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eastAsia="宋体" w:cs="宋体"/>
          <w:b/>
          <w:sz w:val="48"/>
          <w:szCs w:val="48"/>
          <w:highlight w:val="none"/>
          <w:lang w:val="en-US" w:eastAsia="zh-CN"/>
        </w:rPr>
      </w:pPr>
      <w:r/>
      <w:bookmarkStart w:id="0" w:name="_Hlk74841385"/>
      <w:r/>
      <w:bookmarkStart w:id="1" w:name="_Hlk77778371"/>
      <w:r/>
      <w:r/>
    </w:p>
    <w:p>
      <w:pPr>
        <w:pStyle w:val="879"/>
        <w:rPr>
          <w:rFonts w:hint="eastAsia" w:ascii="宋体" w:hAnsi="宋体" w:cs="宋体"/>
          <w:highlight w:val="none"/>
        </w:rPr>
      </w:pPr>
      <w:r>
        <w:rPr>
          <w:rFonts w:hint="eastAsia" w:ascii="宋体" w:hAnsi="宋体" w:cs="宋体"/>
          <w:highlight w:val="none"/>
        </w:rPr>
      </w:r>
      <w:r/>
    </w:p>
    <w:p>
      <w:pPr>
        <w:jc w:val="center"/>
        <w:spacing w:line="360" w:lineRule="auto"/>
        <w:widowControl/>
        <w:rPr>
          <w:rFonts w:hint="eastAsia" w:ascii="宋体" w:hAnsi="宋体" w:cs="宋体"/>
          <w:b/>
          <w:sz w:val="52"/>
          <w:szCs w:val="52"/>
          <w:highlight w:val="none"/>
        </w:rPr>
      </w:pPr>
      <w:r>
        <w:rPr>
          <w:rFonts w:hint="eastAsia" w:ascii="宋体" w:hAnsi="宋体" w:cs="宋体"/>
          <w:b/>
          <w:bCs/>
          <w:sz w:val="52"/>
          <w:szCs w:val="52"/>
          <w:highlight w:val="none"/>
        </w:rPr>
        <w:t xml:space="preserve">南京中医药大学粉末X-衍射仪采购项目</w:t>
      </w:r>
      <w:r/>
    </w:p>
    <w:p>
      <w:pPr>
        <w:pStyle w:val="879"/>
        <w:rPr>
          <w:rFonts w:hint="eastAsia" w:ascii="宋体" w:hAnsi="宋体" w:cs="宋体"/>
          <w:highlight w:val="none"/>
        </w:rPr>
      </w:pPr>
      <w:r>
        <w:rPr>
          <w:rFonts w:hint="eastAsia" w:ascii="宋体" w:hAnsi="宋体" w:cs="宋体"/>
          <w:highlight w:val="none"/>
        </w:rPr>
      </w:r>
      <w:r/>
    </w:p>
    <w:p>
      <w:pPr>
        <w:pStyle w:val="879"/>
        <w:rPr>
          <w:rFonts w:hint="eastAsia" w:ascii="宋体" w:hAnsi="宋体" w:cs="宋体"/>
          <w:highlight w:val="none"/>
        </w:rPr>
      </w:pPr>
      <w:r>
        <w:rPr>
          <w:rFonts w:hint="eastAsia" w:ascii="宋体" w:hAnsi="宋体" w:cs="宋体"/>
          <w:highlight w:val="none"/>
        </w:rPr>
      </w:r>
      <w:r/>
    </w:p>
    <w:p>
      <w:pPr>
        <w:pStyle w:val="879"/>
        <w:rPr>
          <w:rFonts w:hint="eastAsia" w:ascii="宋体" w:hAnsi="宋体" w:cs="宋体"/>
          <w:highlight w:val="none"/>
        </w:rPr>
      </w:pPr>
      <w:r>
        <w:rPr>
          <w:rFonts w:hint="eastAsia" w:ascii="宋体" w:hAnsi="宋体" w:cs="宋体"/>
          <w:highlight w:val="none"/>
        </w:rPr>
      </w:r>
      <w:r/>
    </w:p>
    <w:p>
      <w:pPr>
        <w:pStyle w:val="879"/>
        <w:rPr>
          <w:rFonts w:hint="eastAsia" w:ascii="宋体" w:hAnsi="宋体" w:cs="宋体"/>
          <w:highlight w:val="none"/>
        </w:rPr>
      </w:pPr>
      <w:r>
        <w:rPr>
          <w:rFonts w:hint="eastAsia" w:ascii="宋体" w:hAnsi="宋体" w:cs="宋体"/>
          <w:highlight w:val="none"/>
        </w:rPr>
      </w:r>
      <w:r/>
    </w:p>
    <w:p>
      <w:pPr>
        <w:pStyle w:val="879"/>
        <w:rPr>
          <w:rFonts w:hint="eastAsia" w:ascii="宋体" w:hAnsi="宋体" w:cs="宋体"/>
          <w:highlight w:val="none"/>
        </w:rPr>
      </w:pPr>
      <w:r>
        <w:rPr>
          <w:rFonts w:hint="eastAsia" w:ascii="宋体" w:hAnsi="宋体" w:cs="宋体"/>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采购文件</w:t>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项目编号：NZYZB2025-140-1/</w:t>
      </w:r>
      <w:r>
        <w:rPr>
          <w:rFonts w:hint="eastAsia" w:ascii="宋体" w:hAnsi="宋体" w:cs="宋体"/>
          <w:b/>
          <w:sz w:val="32"/>
          <w:szCs w:val="32"/>
          <w:highlight w:val="none"/>
          <w:lang w:eastAsia="zh-CN"/>
        </w:rPr>
        <w:t xml:space="preserve">JSZC-320000-JCEC-G2026-0279</w:t>
      </w:r>
      <w:r/>
    </w:p>
    <w:p>
      <w:pPr>
        <w:jc w:val="center"/>
        <w:spacing w:line="360" w:lineRule="auto"/>
        <w:widowControl/>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widowControl/>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shd w:val="clear" w:color="auto" w:fill="ffffff"/>
        <w:widowControl/>
        <w:rPr>
          <w:rFonts w:hint="eastAsia" w:ascii="宋体" w:hAnsi="宋体" w:cs="宋体"/>
          <w:b/>
          <w:sz w:val="36"/>
          <w:szCs w:val="36"/>
          <w:highlight w:val="none"/>
        </w:rPr>
      </w:pPr>
      <w:r>
        <w:rPr>
          <w:rFonts w:hint="eastAsia" w:ascii="宋体" w:hAnsi="宋体" w:cs="宋体"/>
          <w:sz w:val="32"/>
          <w:szCs w:val="32"/>
          <w:highlight w:val="none"/>
        </w:rPr>
        <w:t xml:space="preserve">  </w:t>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rPr>
          <w:rFonts w:hint="eastAsia" w:ascii="Arial" w:hAnsi="宋体" w:cs="Arial"/>
          <w:b/>
          <w:color w:val="000000"/>
          <w:sz w:val="32"/>
          <w:szCs w:val="32"/>
          <w:highlight w:val="none"/>
        </w:rPr>
      </w:pPr>
      <w:r>
        <w:rPr>
          <w:rFonts w:hint="eastAsia" w:ascii="Arial" w:hAnsi="宋体" w:cs="Arial"/>
          <w:b/>
          <w:color w:val="000000"/>
          <w:sz w:val="32"/>
          <w:szCs w:val="32"/>
          <w:highlight w:val="none"/>
        </w:rPr>
        <w:t xml:space="preserve">采购人：南京中医药大学</w:t>
      </w:r>
      <w:r/>
    </w:p>
    <w:p>
      <w:pPr>
        <w:jc w:val="center"/>
        <w:spacing w:line="360" w:lineRule="auto"/>
        <w:rPr>
          <w:rFonts w:hint="eastAsia" w:ascii="Arial" w:hAnsi="宋体" w:cs="Arial"/>
          <w:b/>
          <w:color w:val="000000"/>
          <w:sz w:val="32"/>
          <w:szCs w:val="32"/>
          <w:highlight w:val="none"/>
        </w:rPr>
      </w:pPr>
      <w:r>
        <w:rPr>
          <w:rFonts w:hint="eastAsia" w:ascii="Arial" w:hAnsi="宋体" w:cs="Arial"/>
          <w:b/>
          <w:color w:val="000000"/>
          <w:sz w:val="32"/>
          <w:szCs w:val="32"/>
          <w:highlight w:val="none"/>
        </w:rPr>
        <w:t xml:space="preserve">采购代理机构：</w:t>
      </w:r>
      <w:r>
        <w:rPr>
          <w:rFonts w:ascii="Arial" w:hAnsi="宋体" w:cs="Arial"/>
          <w:b/>
          <w:color w:val="000000"/>
          <w:sz w:val="32"/>
          <w:szCs w:val="32"/>
          <w:highlight w:val="none"/>
        </w:rPr>
        <w:t xml:space="preserve">江苏省设备成套股份有限公司</w:t>
      </w:r>
      <w:r/>
    </w:p>
    <w:p>
      <w:pPr>
        <w:jc w:val="center"/>
        <w:spacing w:line="360" w:lineRule="auto"/>
        <w:rPr>
          <w:rFonts w:hint="eastAsia" w:ascii="Arial" w:hAnsi="宋体" w:cs="Arial"/>
          <w:b/>
          <w:color w:val="000000"/>
          <w:sz w:val="32"/>
          <w:szCs w:val="32"/>
          <w:highlight w:val="none"/>
        </w:rPr>
      </w:pPr>
      <w:r>
        <w:rPr>
          <w:rFonts w:hint="eastAsia" w:ascii="Arial" w:hAnsi="宋体" w:cs="Arial"/>
          <w:b/>
          <w:color w:val="000000"/>
          <w:sz w:val="32"/>
          <w:szCs w:val="32"/>
          <w:highlight w:val="none"/>
        </w:rPr>
        <w:t xml:space="preserve">2026年</w:t>
      </w:r>
      <w:r>
        <w:rPr>
          <w:rFonts w:hint="eastAsia" w:ascii="Arial" w:hAnsi="宋体" w:cs="Arial"/>
          <w:b/>
          <w:color w:val="000000"/>
          <w:sz w:val="32"/>
          <w:szCs w:val="32"/>
          <w:highlight w:val="none"/>
          <w:lang w:val="en-US" w:eastAsia="zh-CN"/>
        </w:rPr>
        <w:t xml:space="preserve">7</w:t>
      </w:r>
      <w:r>
        <w:rPr>
          <w:rFonts w:hint="eastAsia" w:ascii="Arial" w:hAnsi="宋体" w:cs="Arial"/>
          <w:b/>
          <w:color w:val="000000"/>
          <w:sz w:val="32"/>
          <w:szCs w:val="32"/>
          <w:highlight w:val="none"/>
        </w:rPr>
        <w:t xml:space="preserve">月</w:t>
      </w:r>
      <w:r>
        <w:rPr>
          <w:rFonts w:hint="eastAsia" w:ascii="Arial" w:hAnsi="宋体" w:cs="Arial"/>
          <w:b/>
          <w:color w:val="000000"/>
          <w:sz w:val="32"/>
          <w:szCs w:val="32"/>
          <w:highlight w:val="none"/>
          <w:lang w:val="en-US" w:eastAsia="zh-CN"/>
        </w:rPr>
        <w:t xml:space="preserve">27</w:t>
      </w:r>
      <w:r>
        <w:rPr>
          <w:rFonts w:hint="eastAsia" w:ascii="Arial" w:hAnsi="宋体" w:cs="Arial"/>
          <w:b/>
          <w:color w:val="000000"/>
          <w:sz w:val="32"/>
          <w:szCs w:val="32"/>
          <w:highlight w:val="none"/>
        </w:rPr>
        <w:t xml:space="preserve">日</w:t>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br w:type="page" w:clear="all"/>
      </w:r>
      <w:r/>
      <w:r>
        <w:rPr>
          <w:rFonts w:hint="eastAsia" w:ascii="宋体" w:hAnsi="宋体" w:cs="宋体"/>
          <w:color w:val="auto"/>
          <w:sz w:val="36"/>
          <w:szCs w:val="36"/>
          <w:highlight w:val="none"/>
          <w:lang w:val="zh-CN"/>
        </w:rPr>
        <w:t xml:space="preserve">目录</w:t>
      </w:r>
      <w:r/>
      <w:r>
        <w:rPr>
          <w:rFonts w:hint="eastAsia" w:ascii="宋体" w:hAnsi="宋体" w:cs="宋体"/>
          <w:b/>
          <w:sz w:val="36"/>
          <w:szCs w:val="36"/>
          <w:highlight w:val="none"/>
        </w:rPr>
      </w:r>
    </w:p>
    <w:p>
      <w:pPr>
        <w:pStyle w:val="855"/>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855"/>
        <w:tabs>
          <w:tab w:val="right" w:pos="8299" w:leader="dot"/>
        </w:tabs>
        <w:rPr>
          <w:highlight w:val="none"/>
        </w:rPr>
      </w:pPr>
      <w:r>
        <w:rPr>
          <w:rFonts w:hint="eastAsia" w:ascii="宋体" w:hAnsi="宋体" w:cs="宋体"/>
          <w:sz w:val="52"/>
          <w:szCs w:val="52"/>
          <w:highlight w:val="none"/>
        </w:rPr>
        <w:fldChar w:fldCharType="begin"/>
      </w:r>
      <w:r>
        <w:rPr>
          <w:rFonts w:hint="eastAsia" w:ascii="宋体" w:hAnsi="宋体" w:cs="宋体"/>
          <w:sz w:val="52"/>
          <w:szCs w:val="52"/>
          <w:highlight w:val="none"/>
        </w:rPr>
        <w:instrText xml:space="preserve">TOC \o "1-1" \h \u </w:instrText>
      </w:r>
      <w:r>
        <w:rPr>
          <w:rFonts w:hint="eastAsia" w:ascii="宋体" w:hAnsi="宋体" w:cs="宋体"/>
          <w:sz w:val="52"/>
          <w:szCs w:val="52"/>
          <w:highlight w:val="none"/>
        </w:rPr>
        <w:fldChar w:fldCharType="separate"/>
      </w:r>
      <w:r>
        <w:rPr>
          <w:highlight w:val="none"/>
        </w:rPr>
        <w:fldChar w:fldCharType="begin"/>
      </w:r>
      <w:r>
        <w:rPr>
          <w:highlight w:val="none"/>
        </w:rPr>
        <w:instrText xml:space="preserve"> HYPERLINK \l "_Toc20458" </w:instrText>
      </w:r>
      <w:r>
        <w:rPr>
          <w:highlight w:val="none"/>
        </w:rPr>
        <w:fldChar w:fldCharType="separate"/>
      </w:r>
      <w:r>
        <w:rPr>
          <w:rFonts w:hint="eastAsia" w:ascii="宋体" w:hAnsi="宋体" w:cs="宋体"/>
          <w:szCs w:val="21"/>
          <w:highlight w:val="none"/>
        </w:rPr>
        <w:t xml:space="preserve">第一章 </w:t>
      </w:r>
      <w:r>
        <w:rPr>
          <w:rFonts w:hint="eastAsia" w:ascii="宋体" w:hAnsi="宋体" w:cs="宋体"/>
          <w:highlight w:val="none"/>
        </w:rPr>
        <w:t xml:space="preserve">招标公告</w:t>
      </w:r>
      <w:r>
        <w:rPr>
          <w:highlight w:val="none"/>
        </w:rPr>
        <w:tab/>
      </w:r>
      <w:r>
        <w:rPr>
          <w:highlight w:val="none"/>
        </w:rPr>
        <w:fldChar w:fldCharType="begin"/>
      </w:r>
      <w:r>
        <w:rPr>
          <w:highlight w:val="none"/>
        </w:rPr>
        <w:instrText xml:space="preserve"> PAGEREF _Toc20458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55"/>
        <w:tabs>
          <w:tab w:val="right" w:pos="8299" w:leader="dot"/>
        </w:tabs>
        <w:rPr>
          <w:highlight w:val="none"/>
        </w:rPr>
      </w:pPr>
      <w:r>
        <w:rPr>
          <w:highlight w:val="none"/>
        </w:rPr>
        <w:fldChar w:fldCharType="begin"/>
      </w:r>
      <w:r>
        <w:rPr>
          <w:highlight w:val="none"/>
        </w:rPr>
        <w:instrText xml:space="preserve"> HYPERLINK \l "_Toc22441" </w:instrText>
      </w:r>
      <w:r>
        <w:rPr>
          <w:highlight w:val="none"/>
        </w:rPr>
        <w:fldChar w:fldCharType="separate"/>
      </w:r>
      <w:r>
        <w:rPr>
          <w:rFonts w:hint="eastAsia" w:ascii="宋体" w:hAnsi="宋体" w:cs="宋体"/>
          <w:highlight w:val="none"/>
        </w:rPr>
        <w:t xml:space="preserve">第二章 供应商须知</w:t>
      </w:r>
      <w:r>
        <w:rPr>
          <w:highlight w:val="none"/>
        </w:rPr>
        <w:tab/>
      </w:r>
      <w:r>
        <w:rPr>
          <w:highlight w:val="none"/>
        </w:rPr>
        <w:fldChar w:fldCharType="begin"/>
      </w:r>
      <w:r>
        <w:rPr>
          <w:highlight w:val="none"/>
        </w:rPr>
        <w:instrText xml:space="preserve"> PAGEREF _Toc22441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55"/>
        <w:tabs>
          <w:tab w:val="right" w:pos="8299" w:leader="dot"/>
        </w:tabs>
        <w:rPr>
          <w:highlight w:val="none"/>
        </w:rPr>
      </w:pPr>
      <w:r>
        <w:rPr>
          <w:highlight w:val="none"/>
        </w:rPr>
        <w:fldChar w:fldCharType="begin"/>
      </w:r>
      <w:r>
        <w:rPr>
          <w:highlight w:val="none"/>
        </w:rPr>
        <w:instrText xml:space="preserve"> HYPERLINK \l "_Toc20221" </w:instrText>
      </w:r>
      <w:r>
        <w:rPr>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_Toc20221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55"/>
        <w:tabs>
          <w:tab w:val="right" w:pos="8299" w:leader="dot"/>
        </w:tabs>
        <w:rPr>
          <w:highlight w:val="none"/>
        </w:rPr>
      </w:pPr>
      <w:r>
        <w:rPr>
          <w:highlight w:val="none"/>
        </w:rPr>
        <w:fldChar w:fldCharType="begin"/>
      </w:r>
      <w:r>
        <w:rPr>
          <w:highlight w:val="none"/>
        </w:rPr>
        <w:instrText xml:space="preserve"> HYPERLINK \l "_Toc29436" </w:instrText>
      </w:r>
      <w:r>
        <w:rPr>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_Toc29436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55"/>
        <w:tabs>
          <w:tab w:val="right" w:pos="8299" w:leader="dot"/>
        </w:tabs>
        <w:rPr>
          <w:highlight w:val="none"/>
        </w:rPr>
      </w:pPr>
      <w:r>
        <w:rPr>
          <w:highlight w:val="none"/>
        </w:rPr>
        <w:fldChar w:fldCharType="begin"/>
      </w:r>
      <w:r>
        <w:rPr>
          <w:highlight w:val="none"/>
        </w:rPr>
        <w:instrText xml:space="preserve"> HYPERLINK \l "_Toc14613" </w:instrText>
      </w:r>
      <w:r>
        <w:rPr>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_Toc14613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55"/>
        <w:tabs>
          <w:tab w:val="right" w:pos="8299" w:leader="dot"/>
        </w:tabs>
        <w:rPr>
          <w:highlight w:val="none"/>
        </w:rPr>
      </w:pPr>
      <w:r>
        <w:rPr>
          <w:highlight w:val="none"/>
        </w:rPr>
        <w:fldChar w:fldCharType="begin"/>
      </w:r>
      <w:r>
        <w:rPr>
          <w:highlight w:val="none"/>
        </w:rPr>
        <w:instrText xml:space="preserve"> HYPERLINK \l "_Toc15700" </w:instrText>
      </w:r>
      <w:r>
        <w:rPr>
          <w:highlight w:val="none"/>
        </w:rPr>
        <w:fldChar w:fldCharType="separate"/>
      </w:r>
      <w:r>
        <w:rPr>
          <w:rFonts w:hint="eastAsia" w:ascii="宋体" w:hAnsi="宋体" w:cs="宋体"/>
          <w:highlight w:val="none"/>
        </w:rPr>
        <w:t xml:space="preserve">第六章 附件</w:t>
      </w:r>
      <w:r>
        <w:rPr>
          <w:highlight w:val="none"/>
        </w:rPr>
        <w:tab/>
      </w:r>
      <w:r>
        <w:rPr>
          <w:highlight w:val="none"/>
        </w:rPr>
        <w:fldChar w:fldCharType="begin"/>
      </w:r>
      <w:r>
        <w:rPr>
          <w:highlight w:val="none"/>
        </w:rPr>
        <w:instrText xml:space="preserve"> PAGEREF _Toc15700 \h </w:instrText>
      </w:r>
      <w:r>
        <w:rPr>
          <w:highlight w:val="none"/>
        </w:rPr>
        <w:fldChar w:fldCharType="separate"/>
      </w:r>
      <w:r>
        <w:rPr>
          <w:highlight w:val="none"/>
        </w:rPr>
        <w:t xml:space="preserve">43</w:t>
      </w:r>
      <w:r>
        <w:rPr>
          <w:highlight w:val="none"/>
        </w:rPr>
        <w:fldChar w:fldCharType="end"/>
      </w:r>
      <w:r>
        <w:rPr>
          <w:highlight w:val="none"/>
        </w:rPr>
        <w:fldChar w:fldCharType="end"/>
      </w:r>
      <w:r/>
    </w:p>
    <w:p>
      <w:pPr>
        <w:spacing w:line="360" w:lineRule="auto"/>
        <w:rPr>
          <w:rFonts w:hint="eastAsia" w:ascii="宋体" w:hAnsi="宋体" w:cs="宋体"/>
          <w:b/>
          <w:sz w:val="36"/>
          <w:szCs w:val="36"/>
          <w:highlight w:val="none"/>
        </w:rPr>
      </w:pPr>
      <w:r>
        <w:rPr>
          <w:rFonts w:hint="eastAsia" w:ascii="宋体" w:hAnsi="宋体" w:cs="宋体"/>
          <w:szCs w:val="52"/>
          <w:highlight w:val="none"/>
        </w:rPr>
        <w:fldChar w:fldCharType="end"/>
      </w:r>
      <w:r/>
    </w:p>
    <w:p>
      <w:pPr>
        <w:pStyle w:val="823"/>
        <w:rPr>
          <w:rFonts w:hint="eastAsia" w:ascii="宋体" w:hAnsi="宋体" w:cs="宋体"/>
          <w:szCs w:val="21"/>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23"/>
        <w:rPr>
          <w:rFonts w:hint="eastAsia" w:ascii="宋体" w:hAnsi="宋体" w:cs="宋体"/>
          <w:szCs w:val="21"/>
          <w:highlight w:val="none"/>
        </w:rPr>
      </w:pPr>
      <w:r>
        <w:rPr>
          <w:rFonts w:hint="eastAsia" w:ascii="宋体" w:hAnsi="宋体" w:cs="宋体"/>
          <w:sz w:val="36"/>
          <w:szCs w:val="36"/>
          <w:highlight w:val="none"/>
          <w:shd w:val="clear" w:color="auto" w:fill="ffffff"/>
        </w:rPr>
        <w:t xml:space="preserve"> </w:t>
      </w:r>
      <w:bookmarkStart w:id="3" w:name="_Toc20458"/>
      <w:r/>
      <w:bookmarkStart w:id="4" w:name="_Hlk85716974"/>
      <w:r>
        <w:rPr>
          <w:rFonts w:hint="eastAsia" w:ascii="宋体" w:hAnsi="宋体" w:cs="宋体"/>
          <w:highlight w:val="none"/>
        </w:rPr>
        <w:t xml:space="preserve">招标公告</w:t>
      </w:r>
      <w:bookmarkEnd w:id="2"/>
      <w:r/>
      <w:bookmarkEnd w:id="3"/>
      <w:r/>
      <w:bookmarkStart w:id="5" w:name="OLE_LINK6"/>
      <w:r/>
      <w:bookmarkStart w:id="6" w:name="OLE_LINK5"/>
      <w:r/>
      <w:bookmarkStart w:id="7" w:name="OLE_LINK7"/>
      <w:r/>
      <w:bookmarkStart w:id="8" w:name="OLE_LINK1"/>
      <w:r/>
      <w:bookmarkStart w:id="9" w:name="_Hlk74842529"/>
      <w:r/>
      <w:r/>
    </w:p>
    <w:p>
      <w:pPr>
        <w:ind w:firstLine="369"/>
        <w:spacing w:line="360" w:lineRule="auto"/>
        <w:shd w:val="clear" w:color="auto" w:fill="ffffff"/>
        <w:widowControl/>
        <w:rPr>
          <w:rFonts w:hint="eastAsia" w:ascii="宋体" w:hAnsi="宋体" w:cs="宋体"/>
          <w:spacing w:val="8"/>
          <w:szCs w:val="21"/>
          <w:highlight w:val="none"/>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宋体" w:hAnsi="宋体" w:cs="宋体"/>
          <w:b/>
          <w:bCs/>
          <w:spacing w:val="8"/>
          <w:szCs w:val="21"/>
          <w:highlight w:val="none"/>
        </w:rPr>
        <w:t xml:space="preserve">项目概况</w:t>
      </w:r>
      <w:r/>
    </w:p>
    <w:p>
      <w:pPr>
        <w:ind w:firstLine="369"/>
        <w:spacing w:line="360" w:lineRule="auto"/>
        <w:shd w:val="clear" w:color="auto" w:fill="ffffff"/>
        <w:widowControl/>
        <w:rPr>
          <w:rFonts w:hint="eastAsia" w:ascii="宋体" w:hAnsi="宋体" w:cs="宋体"/>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rPr>
        <w:t xml:space="preserve">南京中医药大学粉末X-衍射仪采购项目</w:t>
      </w:r>
      <w:r>
        <w:rPr>
          <w:rFonts w:hint="eastAsia" w:ascii="宋体" w:hAnsi="宋体" w:cs="宋体"/>
          <w:spacing w:val="8"/>
          <w:szCs w:val="21"/>
          <w:highlight w:val="none"/>
        </w:rPr>
        <w:t xml:space="preserve">招标项目的潜在供应商应在</w:t>
      </w:r>
      <w:r>
        <w:rPr>
          <w:rFonts w:hint="eastAsia" w:ascii="宋体" w:hAnsi="宋体" w:cs="宋体"/>
          <w:b/>
          <w:bCs/>
          <w:spacing w:val="8"/>
          <w:szCs w:val="21"/>
          <w:highlight w:val="none"/>
        </w:rPr>
        <w:t xml:space="preserve">江苏政府采购网苏采云系统注册登记成功后系统内免费下载</w:t>
      </w:r>
      <w:r>
        <w:rPr>
          <w:rFonts w:hint="eastAsia" w:ascii="宋体" w:hAnsi="宋体" w:cs="宋体"/>
          <w:spacing w:val="8"/>
          <w:szCs w:val="21"/>
          <w:highlight w:val="none"/>
        </w:rPr>
        <w:t xml:space="preserve">获取招标文件，并于</w:t>
      </w:r>
      <w:r>
        <w:rPr>
          <w:rFonts w:hint="eastAsia" w:ascii="宋体" w:hAnsi="宋体" w:cs="宋体"/>
          <w:b/>
          <w:bCs/>
          <w:szCs w:val="21"/>
          <w:highlight w:val="none"/>
          <w:u w:val="single"/>
        </w:rPr>
        <w:t xml:space="preserve">2026年</w:t>
      </w:r>
      <w:r>
        <w:rPr>
          <w:rFonts w:hint="eastAsia" w:ascii="宋体" w:hAnsi="宋体" w:cs="宋体"/>
          <w:b/>
          <w:bCs/>
          <w:szCs w:val="21"/>
          <w:highlight w:val="none"/>
          <w:u w:val="single"/>
          <w:lang w:val="en-US" w:eastAsia="zh-CN"/>
        </w:rPr>
        <w:t xml:space="preserve">8</w:t>
      </w:r>
      <w:r>
        <w:rPr>
          <w:rFonts w:hint="eastAsia" w:ascii="宋体" w:hAnsi="宋体" w:cs="宋体"/>
          <w:b/>
          <w:bCs/>
          <w:szCs w:val="21"/>
          <w:highlight w:val="none"/>
          <w:u w:val="single"/>
        </w:rPr>
        <w:t xml:space="preserve">月</w:t>
      </w:r>
      <w:r>
        <w:rPr>
          <w:rFonts w:hint="eastAsia" w:ascii="宋体" w:hAnsi="宋体" w:cs="宋体"/>
          <w:b/>
          <w:bCs/>
          <w:szCs w:val="21"/>
          <w:highlight w:val="none"/>
          <w:u w:val="single"/>
          <w:lang w:val="en-US" w:eastAsia="zh-CN"/>
        </w:rPr>
        <w:t xml:space="preserve">18</w:t>
      </w:r>
      <w:r>
        <w:rPr>
          <w:rFonts w:hint="eastAsia" w:ascii="宋体" w:hAnsi="宋体" w:cs="宋体"/>
          <w:b/>
          <w:bCs/>
          <w:szCs w:val="21"/>
          <w:highlight w:val="none"/>
          <w:u w:val="single"/>
        </w:rPr>
        <w:t xml:space="preserve">日</w:t>
      </w:r>
      <w:r>
        <w:rPr>
          <w:rFonts w:hint="eastAsia" w:ascii="宋体" w:hAnsi="宋体" w:cs="宋体"/>
          <w:b/>
          <w:bCs/>
          <w:szCs w:val="21"/>
          <w:highlight w:val="none"/>
          <w:u w:val="single"/>
          <w:lang w:val="en-US" w:eastAsia="zh-CN"/>
        </w:rPr>
        <w:t xml:space="preserve">14</w:t>
      </w:r>
      <w:r>
        <w:rPr>
          <w:rFonts w:hint="eastAsia" w:ascii="宋体" w:hAnsi="宋体" w:cs="宋体"/>
          <w:b/>
          <w:bCs/>
          <w:szCs w:val="21"/>
          <w:highlight w:val="none"/>
          <w:u w:val="single"/>
        </w:rPr>
        <w:t xml:space="preserve">点</w:t>
      </w:r>
      <w:r>
        <w:rPr>
          <w:rFonts w:hint="eastAsia" w:ascii="宋体" w:hAnsi="宋体" w:cs="宋体"/>
          <w:b/>
          <w:bCs/>
          <w:szCs w:val="21"/>
          <w:highlight w:val="none"/>
          <w:u w:val="single"/>
          <w:lang w:val="en-US" w:eastAsia="zh-CN"/>
        </w:rPr>
        <w:t xml:space="preserve">30</w:t>
      </w:r>
      <w:r>
        <w:rPr>
          <w:rFonts w:hint="eastAsia" w:ascii="宋体" w:hAnsi="宋体" w:cs="宋体"/>
          <w:b/>
          <w:bCs/>
          <w:szCs w:val="21"/>
          <w:highlight w:val="none"/>
          <w:u w:val="single"/>
        </w:rPr>
        <w:t xml:space="preserve">分</w:t>
      </w:r>
      <w:r>
        <w:rPr>
          <w:rFonts w:hint="eastAsia" w:ascii="宋体" w:hAnsi="宋体" w:cs="宋体"/>
          <w:spacing w:val="8"/>
          <w:szCs w:val="21"/>
          <w:highlight w:val="none"/>
        </w:rPr>
        <w:t xml:space="preserve">（北京时间）前递交投标文件。</w:t>
      </w:r>
      <w:r/>
    </w:p>
    <w:p>
      <w:pPr>
        <w:rPr>
          <w:rFonts w:hint="eastAsia" w:ascii="宋体" w:hAnsi="宋体" w:cs="宋体"/>
          <w:highlight w:val="none"/>
        </w:rPr>
      </w:pPr>
      <w:r>
        <w:rPr>
          <w:rFonts w:hint="eastAsia" w:ascii="宋体" w:hAnsi="宋体" w:cs="宋体"/>
          <w:highlight w:val="none"/>
        </w:rPr>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highlight w:val="none"/>
          <w:lang w:eastAsia="zh-CN"/>
        </w:rPr>
      </w:pPr>
      <w:r>
        <w:rPr>
          <w:rFonts w:hint="eastAsia" w:ascii="宋体" w:hAnsi="宋体" w:cs="宋体"/>
          <w:spacing w:val="8"/>
          <w:szCs w:val="21"/>
          <w:highlight w:val="none"/>
        </w:rPr>
        <w:t xml:space="preserve">1.1项目编号：NZYZB2025-140-1/</w:t>
      </w:r>
      <w:r>
        <w:rPr>
          <w:rFonts w:hint="eastAsia" w:ascii="宋体" w:hAnsi="宋体" w:cs="宋体"/>
          <w:spacing w:val="8"/>
          <w:szCs w:val="21"/>
          <w:highlight w:val="none"/>
          <w:lang w:eastAsia="zh-CN"/>
        </w:rPr>
        <w:t xml:space="preserve">JSZC-320000-JCEC-G2026-0279</w:t>
      </w:r>
      <w:r/>
    </w:p>
    <w:p>
      <w:pPr>
        <w:ind w:firstLine="452"/>
        <w:spacing w:line="360" w:lineRule="auto"/>
        <w:shd w:val="clear" w:color="auto" w:fill="ffffff" w:themeFill="background1"/>
        <w:widowControl/>
        <w:rPr>
          <w:rFonts w:hint="eastAsia" w:ascii="宋体" w:hAnsi="宋体" w:cs="宋体"/>
          <w:spacing w:val="8"/>
          <w:szCs w:val="21"/>
          <w:highlight w:val="none"/>
        </w:rPr>
      </w:pPr>
      <w:r>
        <w:rPr>
          <w:rFonts w:hint="eastAsia" w:ascii="宋体" w:hAnsi="宋体" w:cs="宋体"/>
          <w:spacing w:val="8"/>
          <w:szCs w:val="21"/>
          <w:highlight w:val="none"/>
        </w:rPr>
        <w:t xml:space="preserve">1.2项目名称：南京中医药大学粉末X-衍射仪采购项目</w:t>
      </w:r>
      <w:r/>
    </w:p>
    <w:p>
      <w:pPr>
        <w:ind w:firstLine="452"/>
        <w:spacing w:line="360" w:lineRule="auto"/>
        <w:shd w:val="clear" w:color="auto" w:fill="ffffff" w:themeFill="background1"/>
        <w:widowControl/>
        <w:rPr>
          <w:rFonts w:hint="eastAsia" w:ascii="宋体" w:hAnsi="宋体" w:cs="宋体"/>
          <w:spacing w:val="8"/>
          <w:szCs w:val="21"/>
          <w:highlight w:val="none"/>
        </w:rPr>
      </w:pPr>
      <w:r>
        <w:rPr>
          <w:rFonts w:hint="eastAsia" w:ascii="宋体" w:hAnsi="宋体" w:cs="宋体"/>
          <w:spacing w:val="8"/>
          <w:szCs w:val="21"/>
          <w:highlight w:val="none"/>
        </w:rPr>
        <w:t xml:space="preserve">1.3预算金额：</w:t>
      </w:r>
      <w:r>
        <w:rPr>
          <w:rFonts w:hint="eastAsia" w:ascii="宋体" w:hAnsi="宋体" w:cs="宋体"/>
          <w:bCs/>
          <w:szCs w:val="21"/>
          <w:highlight w:val="none"/>
        </w:rPr>
        <w:t xml:space="preserve">180</w:t>
      </w:r>
      <w:r>
        <w:rPr>
          <w:rFonts w:hint="eastAsia" w:ascii="宋体" w:hAnsi="宋体" w:cs="宋体"/>
          <w:spacing w:val="8"/>
          <w:szCs w:val="21"/>
          <w:highlight w:val="none"/>
        </w:rPr>
        <w:t xml:space="preserve">万元</w:t>
      </w:r>
      <w:r/>
    </w:p>
    <w:p>
      <w:pPr>
        <w:ind w:firstLine="452"/>
        <w:spacing w:line="360" w:lineRule="auto"/>
        <w:shd w:val="clear" w:color="auto" w:fill="ffffff" w:themeFill="background1"/>
        <w:widowControl/>
        <w:rPr>
          <w:rFonts w:hint="eastAsia" w:ascii="宋体" w:hAnsi="宋体" w:cs="宋体"/>
          <w:spacing w:val="8"/>
          <w:szCs w:val="21"/>
          <w:highlight w:val="none"/>
        </w:rPr>
      </w:pPr>
      <w:r>
        <w:rPr>
          <w:rFonts w:hint="eastAsia" w:ascii="宋体" w:hAnsi="宋体" w:cs="宋体"/>
          <w:spacing w:val="8"/>
          <w:szCs w:val="21"/>
          <w:highlight w:val="none"/>
        </w:rPr>
        <w:t xml:space="preserve">1.4最高限价：</w:t>
      </w:r>
      <w:r>
        <w:rPr>
          <w:rFonts w:hint="eastAsia" w:ascii="宋体" w:hAnsi="宋体" w:cs="宋体"/>
          <w:bCs/>
          <w:szCs w:val="21"/>
          <w:highlight w:val="none"/>
        </w:rPr>
        <w:t xml:space="preserve">180</w:t>
      </w:r>
      <w:r>
        <w:rPr>
          <w:rFonts w:hint="eastAsia" w:ascii="宋体" w:hAnsi="宋体" w:cs="宋体"/>
          <w:spacing w:val="8"/>
          <w:szCs w:val="21"/>
          <w:highlight w:val="none"/>
        </w:rPr>
        <w:t xml:space="preserve">万元（超过最高限价的按无效投标处理）</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1.5采购需求：</w:t>
      </w:r>
      <w:r>
        <w:rPr>
          <w:rFonts w:hint="eastAsia" w:ascii="宋体" w:hAnsi="宋体" w:cs="宋体"/>
          <w:bCs/>
          <w:szCs w:val="21"/>
          <w:highlight w:val="none"/>
        </w:rPr>
        <w:t xml:space="preserve">购置粉末X-衍射仪1台，具体详见采购需求。</w:t>
      </w:r>
      <w:r/>
    </w:p>
    <w:p>
      <w:pPr>
        <w:ind w:firstLine="420"/>
        <w:spacing w:line="360" w:lineRule="auto"/>
        <w:rPr>
          <w:rFonts w:hint="eastAsia" w:ascii="宋体" w:hAnsi="宋体" w:cs="宋体"/>
          <w:spacing w:val="8"/>
          <w:szCs w:val="21"/>
          <w:highlight w:val="none"/>
        </w:rPr>
      </w:pPr>
      <w:r>
        <w:rPr>
          <w:rFonts w:hint="eastAsia" w:ascii="宋体" w:hAnsi="宋体" w:cs="宋体"/>
          <w:bCs/>
          <w:szCs w:val="21"/>
          <w:highlight w:val="none"/>
        </w:rPr>
        <w:t xml:space="preserve">1.6合同履行期限：</w:t>
      </w:r>
      <w:r>
        <w:rPr>
          <w:rFonts w:hint="eastAsia" w:ascii="宋体" w:hAnsi="宋体" w:cs="宋体"/>
          <w:spacing w:val="8"/>
          <w:szCs w:val="21"/>
          <w:highlight w:val="none"/>
        </w:rPr>
        <w:t xml:space="preserve">合同签订生效后180个日历日内向采购人交付合同全部货物；</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1.7行业划分</w:t>
      </w:r>
      <w:r>
        <w:rPr>
          <w:rFonts w:hint="eastAsia" w:ascii="Arial" w:hAnsi="Arial" w:cs="Arial"/>
          <w:spacing w:val="8"/>
          <w:szCs w:val="21"/>
          <w:highlight w:val="none"/>
        </w:rPr>
        <w:t xml:space="preserve">：工业。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1.8本项目非专门面向中小企业（或监狱企业或残疾人福利性单位），执行价格扣除优惠政策，详见第三章评标标准。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1.9本项目不接受联合体投标。</w:t>
      </w:r>
      <w:r/>
    </w:p>
    <w:p>
      <w:pPr>
        <w:ind w:firstLine="422"/>
        <w:spacing w:line="360" w:lineRule="auto"/>
        <w:rPr>
          <w:rFonts w:hint="eastAsia" w:ascii="宋体" w:hAnsi="宋体" w:cs="宋体"/>
          <w:bCs/>
          <w:szCs w:val="21"/>
          <w:highlight w:val="none"/>
        </w:rPr>
      </w:pPr>
      <w:r>
        <w:rPr>
          <w:rFonts w:hint="eastAsia" w:ascii="宋体" w:hAnsi="宋体" w:cs="宋体"/>
          <w:b/>
          <w:szCs w:val="21"/>
          <w:highlight w:val="none"/>
        </w:rPr>
        <w:t xml:space="preserve">1.10本项目接受进口产品投标（注：本文件所称进口产品是指通过中国海关报关验放进</w:t>
      </w:r>
      <w:r>
        <w:rPr>
          <w:rFonts w:hint="eastAsia" w:ascii="宋体" w:hAnsi="宋体" w:cs="宋体"/>
          <w:b/>
          <w:szCs w:val="21"/>
          <w:highlight w:val="none"/>
        </w:rPr>
        <w:br/>
      </w:r>
      <w:r>
        <w:rPr>
          <w:rFonts w:hint="eastAsia" w:ascii="宋体" w:hAnsi="宋体" w:cs="宋体"/>
          <w:b/>
          <w:szCs w:val="21"/>
          <w:highlight w:val="none"/>
        </w:rPr>
        <w:t xml:space="preserve">入中国境内且产自关境外的产品）。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highlight w:val="none"/>
        </w:rPr>
      </w:pPr>
      <w:r>
        <w:rPr>
          <w:rFonts w:hint="eastAsia" w:ascii="宋体" w:hAnsi="宋体" w:cs="宋体"/>
          <w:b/>
          <w:bCs/>
          <w:spacing w:val="8"/>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上一年度的财务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（5）参加采购活动前三年内，在经营活动中没有重大违法记录（提供承诺书）；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shd w:val="clear" w:color="auto" w:fill="ffffff" w:themeFill="background1"/>
        <w:widowControl/>
        <w:rPr>
          <w:rFonts w:hint="eastAsia" w:ascii="宋体" w:hAnsi="宋体" w:cs="宋体"/>
          <w:b/>
          <w:bCs/>
          <w:spacing w:val="8"/>
          <w:szCs w:val="21"/>
          <w:highlight w:val="none"/>
        </w:rPr>
      </w:pPr>
      <w:r>
        <w:rPr>
          <w:rFonts w:hint="eastAsia" w:ascii="宋体" w:hAnsi="宋体" w:cs="宋体"/>
          <w:b/>
          <w:bCs/>
          <w:spacing w:val="8"/>
          <w:szCs w:val="21"/>
          <w:highlight w:val="none"/>
        </w:rPr>
        <w:t xml:space="preserve">2.2落实政府采购政策需满足的资格要求：无。</w:t>
      </w:r>
      <w:r/>
    </w:p>
    <w:p>
      <w:pPr>
        <w:ind w:firstLine="454"/>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材料或者情况说明：本项目接受进口产品投标（注：本文件所称进口产品是指通过中国海关报关验放进入中国境内且产自关境外的产品）。供应商必须是所投产品的制造商或代理商，代理商投标须提供制造商的专项授权（本条适用于进口产品）。（须提供有效授权书盖章原件）。</w:t>
      </w:r>
      <w:r/>
    </w:p>
    <w:p>
      <w:pPr>
        <w:ind w:firstLine="454"/>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2.4 拒绝下述供应商参加本次招标活动：</w:t>
      </w:r>
      <w:r/>
    </w:p>
    <w:p>
      <w:pPr>
        <w:ind w:firstLine="452"/>
        <w:spacing w:line="360" w:lineRule="auto"/>
        <w:rPr>
          <w:rFonts w:hint="eastAsia" w:ascii="宋体" w:hAnsi="宋体" w:cs="宋体"/>
          <w:bCs/>
          <w:spacing w:val="8"/>
          <w:szCs w:val="21"/>
          <w:highlight w:val="none"/>
        </w:rPr>
      </w:pPr>
      <w:r>
        <w:rPr>
          <w:rFonts w:hint="eastAsia" w:ascii="宋体" w:hAnsi="宋体" w:cs="宋体"/>
          <w:bCs/>
          <w:spacing w:val="8"/>
          <w:szCs w:val="21"/>
          <w:highlight w:val="none"/>
        </w:rPr>
        <w:t xml:space="preserve">（1）单位负责人为同一人或者存在直接控股、管理关系的不同供应商，不得参加同一合同项下的政府采购活动。</w:t>
      </w:r>
      <w:r/>
    </w:p>
    <w:p>
      <w:pPr>
        <w:ind w:firstLine="452"/>
        <w:spacing w:line="360" w:lineRule="auto"/>
        <w:rPr>
          <w:rFonts w:hint="eastAsia" w:ascii="宋体" w:hAnsi="宋体" w:cs="宋体"/>
          <w:bCs/>
          <w:spacing w:val="8"/>
          <w:szCs w:val="21"/>
          <w:highlight w:val="none"/>
        </w:rPr>
      </w:pPr>
      <w:r>
        <w:rPr>
          <w:rFonts w:hint="eastAsia" w:ascii="宋体" w:hAnsi="宋体" w:cs="宋体"/>
          <w:bCs/>
          <w:spacing w:val="8"/>
          <w:szCs w:val="21"/>
          <w:highlight w:val="none"/>
        </w:rPr>
        <w:t xml:space="preserve">（2）为采购项目提供整体设计、规范编制或者项目管理、监理、检测等服务的供应商，不得参加本项目的采购活动。</w:t>
      </w:r>
      <w:r/>
    </w:p>
    <w:p>
      <w:pPr>
        <w:ind w:firstLine="452"/>
        <w:spacing w:line="360" w:lineRule="auto"/>
        <w:rPr>
          <w:rFonts w:hint="eastAsia" w:ascii="宋体" w:hAnsi="宋体" w:cs="宋体"/>
          <w:bCs/>
          <w:szCs w:val="21"/>
          <w:highlight w:val="none"/>
        </w:rPr>
      </w:pPr>
      <w:r>
        <w:rPr>
          <w:rFonts w:hint="eastAsia" w:ascii="宋体" w:hAnsi="宋体" w:cs="宋体"/>
          <w:bCs/>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highlight w:val="none"/>
        </w:rPr>
        <w:t xml:space="preserve">。</w:t>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20"/>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bCs/>
          <w:szCs w:val="21"/>
          <w:highlight w:val="none"/>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bCs/>
          <w:szCs w:val="21"/>
          <w:highlight w:val="none"/>
        </w:rPr>
        <w:t xml:space="preserve">3.2地点：江苏政府采购网苏采云系统注册登记成功后系统内免费下载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highlight w:val="none"/>
          <w:shd w:val="clear" w:color="auto" w:fill="ffffff"/>
        </w:rPr>
      </w:pPr>
      <w:r>
        <w:rPr>
          <w:rFonts w:hint="eastAsia" w:ascii="宋体" w:hAnsi="宋体" w:cs="宋体"/>
          <w:bCs/>
          <w:szCs w:val="21"/>
          <w:highlight w:val="none"/>
        </w:rPr>
        <w:t xml:space="preserve">3.3方式：</w:t>
      </w:r>
      <w:r>
        <w:rPr>
          <w:rFonts w:hint="eastAsia" w:ascii="宋体" w:hAnsi="宋体" w:cs="宋体"/>
          <w:szCs w:val="21"/>
          <w:highlight w:val="none"/>
        </w:rPr>
        <w:t xml:space="preserve">采用网上注册登记方式 </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3.4</w:t>
      </w:r>
      <w:r>
        <w:rPr>
          <w:rFonts w:hint="eastAsia" w:ascii="宋体" w:hAnsi="宋体" w:cs="宋体"/>
          <w:spacing w:val="8"/>
          <w:szCs w:val="21"/>
          <w:highlight w:val="none"/>
        </w:rPr>
        <w:t xml:space="preserve">售价：0.00元</w:t>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四、提交投标文件开始时间、截止时间、地点和开标时间、地点</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4.1提交投标文件截止时间、开标时间：2026年</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18</w:t>
      </w:r>
      <w:r>
        <w:rPr>
          <w:rFonts w:hint="eastAsia" w:ascii="宋体" w:hAnsi="宋体" w:cs="宋体"/>
          <w:bCs/>
          <w:szCs w:val="21"/>
          <w:highlight w:val="none"/>
        </w:rPr>
        <w:t xml:space="preserve">日</w:t>
      </w:r>
      <w:r>
        <w:rPr>
          <w:rFonts w:hint="eastAsia" w:ascii="宋体" w:hAnsi="宋体" w:cs="宋体"/>
          <w:bCs/>
          <w:szCs w:val="21"/>
          <w:highlight w:val="none"/>
          <w:lang w:val="en-US" w:eastAsia="zh-CN"/>
        </w:rPr>
        <w:t xml:space="preserve">14</w:t>
      </w:r>
      <w:r>
        <w:rPr>
          <w:rFonts w:hint="eastAsia" w:ascii="宋体" w:hAnsi="宋体" w:cs="宋体"/>
          <w:bCs/>
          <w:szCs w:val="21"/>
          <w:highlight w:val="none"/>
        </w:rPr>
        <w:t xml:space="preserve">点30分（北京时间）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4.2提交投标文件地点：江苏省政府采购管理交易系统（苏采云）（以下简称“苏采云”）（网址：http://jszfcg.jsczt.cn/）</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4.3开标地点：“苏采云”网上开标大厅。</w:t>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452"/>
        <w:spacing w:line="360" w:lineRule="auto"/>
        <w:shd w:val="clear" w:color="auto" w:fill="ffffff" w:themeFill="background1"/>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420"/>
        <w:spacing w:line="360" w:lineRule="auto"/>
        <w:shd w:val="clear" w:color="auto" w:fill="ffffff"/>
        <w:widowControl/>
        <w:rPr>
          <w:rFonts w:hint="eastAsia" w:ascii="宋体" w:hAnsi="宋体" w:cs="宋体"/>
          <w:highlight w:val="none"/>
          <w:shd w:val="clear" w:color="auto" w:fill="ffffff"/>
          <w:lang w:val="zh-CN"/>
        </w:rPr>
      </w:pPr>
      <w:r>
        <w:rPr>
          <w:rFonts w:hint="eastAsia" w:ascii="宋体" w:hAnsi="宋体" w:cs="宋体"/>
          <w:highlight w:val="none"/>
          <w:shd w:val="clear" w:color="auto" w:fill="ffffff"/>
          <w:lang w:val="zh-CN"/>
        </w:rPr>
        <w:t xml:space="preserve">6.1本项目在</w:t>
      </w:r>
      <w:r>
        <w:rPr>
          <w:rFonts w:hint="eastAsia" w:ascii="Arial" w:hAnsi="Arial" w:cs="Arial"/>
          <w:b/>
          <w:szCs w:val="21"/>
          <w:highlight w:val="none"/>
          <w:u w:val="single"/>
        </w:rPr>
        <w:t xml:space="preserve">江苏政府采购网、中国政府采购网</w:t>
      </w:r>
      <w:r>
        <w:rPr>
          <w:rFonts w:hint="eastAsia" w:ascii="宋体" w:hAnsi="宋体" w:cs="宋体"/>
          <w:highlight w:val="none"/>
          <w:shd w:val="clear" w:color="auto" w:fill="ffffff"/>
          <w:lang w:val="zh-CN"/>
        </w:rPr>
        <w:t xml:space="preserve">发布公告。</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6.2勘察现场：无。</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③“CA数字证书”的获取：</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“苏采云”江苏省客服热线025-83633744、025-83633743。</w:t>
      </w:r>
      <w:r/>
    </w:p>
    <w:p>
      <w:pPr>
        <w:ind w:firstLine="420"/>
        <w:spacing w:line="360" w:lineRule="auto"/>
        <w:shd w:val="clear" w:color="auto" w:fill="ffffff"/>
        <w:widowControl/>
        <w:rPr>
          <w:rFonts w:hint="eastAsia" w:ascii="宋体" w:hAnsi="宋体" w:cs="宋体"/>
          <w:highlight w:val="none"/>
          <w:shd w:val="clear" w:color="auto" w:fill="ffffff"/>
        </w:rPr>
      </w:pPr>
      <w:r>
        <w:rPr>
          <w:rFonts w:hint="eastAsia" w:ascii="宋体" w:hAnsi="宋体" w:cs="宋体"/>
          <w:highlight w:val="none"/>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r>
      <w:r/>
    </w:p>
    <w:p>
      <w:pPr>
        <w:spacing w:line="360" w:lineRule="auto"/>
        <w:shd w:val="clear" w:color="auto" w:fill="ffffff" w:themeFill="background1"/>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bookmarkEnd w:id="5"/>
      <w:bookmarkEnd w:id="6"/>
      <w:bookmarkEnd w:id="7"/>
      <w:bookmarkEnd w:id="8"/>
      <w:bookmarkEnd w:id="10"/>
      <w:bookmarkEnd w:id="11"/>
      <w:bookmarkEnd w:id="12"/>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7.1采购人信息</w:t>
      </w:r>
      <w:bookmarkEnd w:id="4"/>
      <w:bookmarkEnd w:id="9"/>
      <w:bookmarkEnd w:id="13"/>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名称：南京中医药大学</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地址：南京市栖霞区仙林大学城仙林大道138号南京中医药大学财务处</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联系人：石老师  梁老师</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联系电话：025-85811250  025-85811022</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7.2采购代理机构信息</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名称：江苏省设备成套股份有限公司</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联 系 人：左卢成 褚晶晶 </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电    话：025-83314167</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电子邮箱：zuolc@jcec.cn</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7.3项目联系方式</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项目联系人：左卢成 褚晶晶 </w:t>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电话：025-83314167</w:t>
      </w:r>
      <w:r/>
    </w:p>
    <w:p>
      <w:pPr>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br w:type="page" w:clear="all"/>
      </w:r>
      <w:r/>
    </w:p>
    <w:p>
      <w:pPr>
        <w:ind w:firstLine="480"/>
        <w:spacing w:line="360" w:lineRule="auto"/>
        <w:shd w:val="clear" w:color="auto" w:fill="ffffff"/>
        <w:widowControl/>
        <w:rPr>
          <w:rFonts w:hint="eastAsia" w:ascii="宋体" w:hAnsi="宋体" w:cs="宋体"/>
          <w:spacing w:val="15"/>
          <w:highlight w:val="none"/>
          <w:shd w:val="clear" w:color="auto" w:fill="ffffff"/>
        </w:rPr>
      </w:pPr>
      <w:r>
        <w:rPr>
          <w:rFonts w:hint="eastAsia" w:ascii="宋体" w:hAnsi="宋体" w:cs="宋体"/>
          <w:spacing w:val="15"/>
          <w:highlight w:val="none"/>
          <w:shd w:val="clear" w:color="auto" w:fill="ffffff"/>
        </w:rPr>
        <w:t xml:space="preserve"> </w:t>
      </w:r>
      <w:r/>
    </w:p>
    <w:p>
      <w:pPr>
        <w:pStyle w:val="823"/>
        <w:numPr>
          <w:ilvl w:val="0"/>
          <w:numId w:val="0"/>
        </w:numPr>
        <w:rPr>
          <w:rFonts w:hint="eastAsia" w:ascii="宋体" w:hAnsi="宋体" w:cs="宋体"/>
          <w:highlight w:val="none"/>
        </w:rPr>
      </w:pPr>
      <w:r/>
      <w:bookmarkStart w:id="14" w:name="_Toc22441"/>
      <w:r>
        <w:rPr>
          <w:rFonts w:hint="eastAsia" w:ascii="宋体" w:hAnsi="宋体" w:cs="宋体"/>
          <w:highlight w:val="none"/>
        </w:rPr>
        <w:t xml:space="preserve">第二章</w:t>
      </w:r>
      <w:bookmarkStart w:id="15" w:name="_Toc452625218"/>
      <w:r>
        <w:rPr>
          <w:rFonts w:hint="eastAsia" w:ascii="宋体" w:hAnsi="宋体" w:cs="宋体"/>
          <w:highlight w:val="none"/>
        </w:rPr>
        <w:t xml:space="preserve"> 供应商须知</w:t>
      </w:r>
      <w:bookmarkEnd w:id="14"/>
      <w:r/>
      <w:bookmarkEnd w:id="15"/>
      <w:r/>
      <w:r/>
    </w:p>
    <w:p>
      <w:pPr>
        <w:ind w:firstLine="424"/>
        <w:spacing w:line="360" w:lineRule="auto"/>
        <w:shd w:val="clear" w:color="auto" w:fill="ffffff"/>
        <w:widowControl/>
        <w:rPr>
          <w:rFonts w:hint="eastAsia" w:ascii="宋体" w:hAnsi="宋体" w:cs="宋体"/>
          <w:szCs w:val="21"/>
          <w:highlight w:val="none"/>
        </w:rPr>
      </w:pPr>
      <w:r/>
      <w:bookmarkStart w:id="16" w:name="_Toc25340"/>
      <w:r/>
      <w:bookmarkStart w:id="17" w:name="_Toc481057145"/>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联合体投标（本项目不接受）</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8.1投标人应当根据招标文件要求编制投标文件，投标文件应对招标文件提出的要求和条件作出实质性响应，并在《商务条款偏离表》和《技术条款偏离表》等处标明满足与否。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”）的技术条款在投标文件中提供技术支持资料（如白皮书、彩页、手册、检测报告等），具体以招标文件需求要求为准，未提供技术支持资料的，视为未对招标文件实质性要求作出响应，评审时不予认可。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（1）-（4）所述材料不得有缺失或提供不全或不满足招标文件的实质性要求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（2）《技术条款偏离表》；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w:t>
      </w:r>
      <w:r>
        <w:rPr>
          <w:rFonts w:hint="eastAsia" w:ascii="宋体" w:hAnsi="宋体" w:cs="宋体"/>
          <w:szCs w:val="21"/>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11.7本项目预算为：详见第一章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如标书制作工具中格式和内容与“江苏政府采购网、中国政府采购网”发布的</w:t>
      </w:r>
      <w:r>
        <w:rPr>
          <w:rFonts w:hint="eastAsia" w:ascii="Arial" w:hAnsi="Arial"/>
          <w:color w:val="000000"/>
          <w:szCs w:val="21"/>
          <w:highlight w:val="none"/>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rPr>
        <w:t xml:space="preserve">采购</w:t>
      </w:r>
      <w:r>
        <w:rPr>
          <w:rFonts w:hint="eastAsia" w:ascii="Arial" w:hAnsi="Arial"/>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16.2 招标代理服务费：</w:t>
      </w:r>
      <w:r>
        <w:rPr>
          <w:rFonts w:hint="eastAsia" w:ascii="新宋体" w:hAnsi="新宋体" w:eastAsia="新宋体" w:cs="新宋体"/>
          <w:bCs/>
          <w:szCs w:val="21"/>
          <w:highlight w:val="none"/>
        </w:rPr>
        <w:t xml:space="preserve">本次招标，中标人按照国家发展计划委员会“计价格[〔2002〕1980号文收费标准差额累进计算后的6.5折-采购人承担的专家费后收取。单个项目按照以上标准计算低于3000元时，按照保底代理费3000元/项目收取。由中标人向招标代理机构支付中标服务费。本项费用无需在投标报价表中单列。</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21.4公开招标数额标准以上的采购项目，投标截止后投标人不足3家或者通过资格审查或符合性审查的投标人不足3家的，除采购任务取消情形外，按照以下方式处理：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（2）投标文件未按照招标文件要求加盖电子公章的或者签字；</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（4）投标文件含有采购人不能接受的附加条件的；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22.2.5相同品牌产品的投标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 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22.4.1评标过程中出现下列情形之一的，评标委员会应当启动异常低价投标审查程序：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highlight w:val="none"/>
        </w:rPr>
      </w:pPr>
      <w:r>
        <w:rPr>
          <w:rFonts w:hint="eastAsia" w:ascii="宋体" w:hAnsi="宋体" w:cs="宋体"/>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27.6采购代理机构在收到投标人的书面质疑后将及时组织调查核实，在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r>
      <w:r/>
    </w:p>
    <w:p>
      <w:pPr>
        <w:rPr>
          <w:rFonts w:hint="eastAsia" w:ascii="宋体" w:hAnsi="宋体" w:cs="宋体"/>
          <w:highlight w:val="none"/>
        </w:rPr>
      </w:pPr>
      <w:r>
        <w:rPr>
          <w:rFonts w:hint="eastAsia" w:ascii="宋体" w:hAnsi="宋体" w:cs="宋体"/>
          <w:highlight w:val="none"/>
        </w:rPr>
        <w:br w:type="page" w:clear="all"/>
      </w:r>
      <w:r/>
    </w:p>
    <w:p>
      <w:pPr>
        <w:pStyle w:val="823"/>
        <w:numPr>
          <w:ilvl w:val="0"/>
          <w:numId w:val="0"/>
        </w:numPr>
        <w:rPr>
          <w:rFonts w:hint="eastAsia" w:ascii="宋体" w:hAnsi="宋体" w:cs="宋体"/>
          <w:highlight w:val="none"/>
        </w:rPr>
      </w:pPr>
      <w:r/>
      <w:bookmarkStart w:id="18" w:name="_Toc20221"/>
      <w:r>
        <w:rPr>
          <w:rFonts w:hint="eastAsia" w:ascii="宋体" w:hAnsi="宋体" w:cs="宋体"/>
          <w:highlight w:val="none"/>
        </w:rPr>
        <w:t xml:space="preserve">第三章 评标标准</w:t>
      </w:r>
      <w:bookmarkEnd w:id="16"/>
      <w:r/>
      <w:bookmarkEnd w:id="18"/>
      <w:r/>
      <w:bookmarkEnd w:id="17"/>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33"/>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gridCol w:w="600"/>
      </w:tblGrid>
      <w:tr>
        <w:trPr>
          <w:jc w:val="center"/>
          <w:trHeight w:val="600"/>
        </w:trPr>
        <w:tc>
          <w:tcPr>
            <w:tcMar>
              <w:left w:w="20" w:type="dxa"/>
              <w:top w:w="20" w:type="dxa"/>
              <w:right w:w="20" w:type="dxa"/>
              <w:bottom w:w="20" w:type="dxa"/>
            </w:tcMar>
            <w:tcW w:w="1200" w:type="dxa"/>
            <w:vAlign w:val="center"/>
            <w:textDirection w:val="lrTb"/>
            <w:noWrap w:val="false"/>
          </w:tcPr>
          <w:p>
            <w:pPr>
              <w:jc w:val="center"/>
              <w:spacing w:line="378" w:lineRule="exact"/>
              <w:rPr>
                <w:highlight w:val="none"/>
              </w:rPr>
            </w:pPr>
            <w:r>
              <w:rPr>
                <w:rFonts w:ascii="宋体" w:hAnsi="宋体" w:cs="宋体"/>
                <w:b/>
                <w:highlight w:val="none"/>
              </w:rPr>
              <w:t xml:space="preserve">评分因素</w:t>
            </w:r>
            <w:r/>
          </w:p>
        </w:tc>
        <w:tc>
          <w:tcPr>
            <w:tcMar>
              <w:left w:w="20" w:type="dxa"/>
              <w:top w:w="20" w:type="dxa"/>
              <w:right w:w="20" w:type="dxa"/>
              <w:bottom w:w="20" w:type="dxa"/>
            </w:tcMar>
            <w:tcW w:w="690" w:type="dxa"/>
            <w:vAlign w:val="center"/>
            <w:textDirection w:val="lrTb"/>
            <w:noWrap w:val="false"/>
          </w:tcPr>
          <w:p>
            <w:pPr>
              <w:jc w:val="center"/>
              <w:spacing w:line="378" w:lineRule="exact"/>
              <w:rPr>
                <w:highlight w:val="none"/>
              </w:rPr>
            </w:pPr>
            <w:r>
              <w:rPr>
                <w:rFonts w:ascii="宋体" w:hAnsi="宋体" w:cs="宋体"/>
                <w:b/>
                <w:highlight w:val="none"/>
              </w:rPr>
              <w:t xml:space="preserve">分值</w:t>
            </w:r>
            <w:r/>
          </w:p>
        </w:tc>
        <w:tc>
          <w:tcPr>
            <w:tcMar>
              <w:left w:w="20" w:type="dxa"/>
              <w:top w:w="20" w:type="dxa"/>
              <w:right w:w="20" w:type="dxa"/>
              <w:bottom w:w="20" w:type="dxa"/>
            </w:tcMar>
            <w:tcW w:w="7080" w:type="dxa"/>
            <w:vAlign w:val="center"/>
            <w:textDirection w:val="lrTb"/>
            <w:noWrap w:val="false"/>
          </w:tcPr>
          <w:p>
            <w:pPr>
              <w:jc w:val="center"/>
              <w:spacing w:line="378" w:lineRule="exact"/>
              <w:rPr>
                <w:highlight w:val="none"/>
              </w:rPr>
            </w:pPr>
            <w:r>
              <w:rPr>
                <w:rFonts w:ascii="宋体" w:hAnsi="宋体" w:cs="宋体"/>
                <w:b/>
                <w:highlight w:val="none"/>
              </w:rPr>
              <w:t xml:space="preserve">评分标准</w:t>
            </w:r>
            <w:r/>
          </w:p>
        </w:tc>
        <w:tc>
          <w:tcPr>
            <w:tcMar>
              <w:left w:w="20" w:type="dxa"/>
              <w:top w:w="20" w:type="dxa"/>
              <w:right w:w="20" w:type="dxa"/>
              <w:bottom w:w="20" w:type="dxa"/>
            </w:tcMar>
            <w:tcW w:w="600" w:type="dxa"/>
            <w:vAlign w:val="center"/>
            <w:textDirection w:val="lrTb"/>
            <w:noWrap w:val="false"/>
          </w:tcPr>
          <w:p>
            <w:pPr>
              <w:jc w:val="center"/>
              <w:rPr>
                <w:highlight w:val="none"/>
              </w:rPr>
            </w:pPr>
            <w:r>
              <w:rPr>
                <w:rFonts w:hint="eastAsia"/>
                <w:highlight w:val="none"/>
              </w:rPr>
              <w:t xml:space="preserve">页码</w:t>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highlight w:val="none"/>
              </w:rPr>
            </w:pPr>
            <w:r>
              <w:rPr>
                <w:rFonts w:hint="eastAsia" w:ascii="宋体" w:hAnsi="宋体" w:cs="宋体"/>
                <w:highlight w:val="none"/>
              </w:rPr>
              <w:t xml:space="preserve">1、</w:t>
            </w:r>
            <w:r>
              <w:rPr>
                <w:rFonts w:ascii="宋体" w:hAnsi="宋体" w:cs="宋体"/>
                <w:highlight w:val="none"/>
              </w:rPr>
              <w:t xml:space="preserve">投标报价</w:t>
            </w:r>
            <w:r/>
          </w:p>
        </w:tc>
        <w:tc>
          <w:tcPr>
            <w:tcMar>
              <w:left w:w="20" w:type="dxa"/>
              <w:top w:w="20" w:type="dxa"/>
              <w:right w:w="20" w:type="dxa"/>
              <w:bottom w:w="20" w:type="dxa"/>
            </w:tcMar>
            <w:tcW w:w="690" w:type="dxa"/>
            <w:vAlign w:val="center"/>
            <w:textDirection w:val="lrTb"/>
            <w:noWrap w:val="false"/>
          </w:tcPr>
          <w:p>
            <w:pPr>
              <w:jc w:val="center"/>
              <w:rPr>
                <w:highlight w:val="none"/>
              </w:rPr>
            </w:pPr>
            <w:r>
              <w:rPr>
                <w:rFonts w:ascii="宋体" w:hAnsi="宋体" w:cs="宋体"/>
                <w:highlight w:val="none"/>
              </w:rPr>
              <w:t xml:space="preserve">40</w:t>
            </w:r>
            <w:r/>
          </w:p>
        </w:tc>
        <w:tc>
          <w:tcPr>
            <w:tcMar>
              <w:left w:w="20" w:type="dxa"/>
              <w:top w:w="20" w:type="dxa"/>
              <w:right w:w="20" w:type="dxa"/>
              <w:bottom w:w="20" w:type="dxa"/>
            </w:tcMar>
            <w:tcW w:w="7080" w:type="dxa"/>
            <w:textDirection w:val="lrTb"/>
            <w:noWrap w:val="false"/>
          </w:tcPr>
          <w:p>
            <w:pPr>
              <w:jc w:val="left"/>
              <w:spacing w:line="378" w:lineRule="exact"/>
              <w:rPr>
                <w:highlight w:val="none"/>
              </w:rPr>
            </w:pPr>
            <w:r>
              <w:rPr>
                <w:rFonts w:ascii="宋体" w:hAnsi="宋体" w:cs="宋体"/>
                <w:b/>
                <w:highlight w:val="none"/>
              </w:rPr>
              <w:t xml:space="preserve">投标最低报价为评标基准价</w:t>
            </w:r>
            <w:r>
              <w:rPr>
                <w:rFonts w:ascii="宋体" w:hAnsi="宋体" w:cs="宋体"/>
                <w:highlight w:val="none"/>
              </w:rPr>
              <w:t xml:space="preserve">：满足招标文件要求且投标价格最低的投标报价为评标基准价，其价格分为满分。其他投标人的价格分统一按照下列公式计算：投标报价得分=(评标基准价/投标报价)×40。</w:t>
            </w:r>
            <w:r/>
          </w:p>
        </w:tc>
        <w:tc>
          <w:tcPr>
            <w:tcMar>
              <w:left w:w="20" w:type="dxa"/>
              <w:top w:w="20" w:type="dxa"/>
              <w:right w:w="20" w:type="dxa"/>
              <w:bottom w:w="20" w:type="dxa"/>
            </w:tcMar>
            <w:tcW w:w="600" w:type="dxa"/>
            <w:vAlign w:val="center"/>
            <w:textDirection w:val="lrTb"/>
            <w:noWrap w:val="false"/>
          </w:tcPr>
          <w:p>
            <w:pPr>
              <w:rPr>
                <w:highlight w:val="none"/>
              </w:rPr>
            </w:pPr>
            <w:r>
              <w:rPr>
                <w:highlight w:val="none"/>
              </w:r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highlight w:val="none"/>
              </w:rPr>
            </w:pPr>
            <w:r>
              <w:rPr>
                <w:rFonts w:hint="eastAsia" w:ascii="宋体" w:hAnsi="宋体" w:cs="宋体"/>
                <w:highlight w:val="none"/>
              </w:rPr>
              <w:t xml:space="preserve">2、</w:t>
            </w:r>
            <w:r>
              <w:rPr>
                <w:rFonts w:ascii="宋体" w:hAnsi="宋体" w:cs="宋体"/>
                <w:highlight w:val="none"/>
              </w:rPr>
              <w:t xml:space="preserve">技术能力与招标文件投标程度</w:t>
            </w:r>
            <w:r/>
          </w:p>
        </w:tc>
        <w:tc>
          <w:tcPr>
            <w:tcMar>
              <w:left w:w="20" w:type="dxa"/>
              <w:top w:w="20" w:type="dxa"/>
              <w:right w:w="20" w:type="dxa"/>
              <w:bottom w:w="20" w:type="dxa"/>
            </w:tcMar>
            <w:tcW w:w="690" w:type="dxa"/>
            <w:vAlign w:val="center"/>
            <w:textDirection w:val="lrTb"/>
            <w:noWrap w:val="false"/>
          </w:tcPr>
          <w:p>
            <w:pPr>
              <w:jc w:val="center"/>
              <w:rPr>
                <w:highlight w:val="none"/>
              </w:rPr>
            </w:pPr>
            <w:r>
              <w:rPr>
                <w:rFonts w:ascii="宋体" w:hAnsi="宋体" w:cs="宋体"/>
                <w:highlight w:val="none"/>
              </w:rPr>
              <w:t xml:space="preserve">45</w:t>
            </w:r>
            <w:r/>
          </w:p>
        </w:tc>
        <w:tc>
          <w:tcPr>
            <w:tcMar>
              <w:left w:w="20" w:type="dxa"/>
              <w:top w:w="20" w:type="dxa"/>
              <w:right w:w="20" w:type="dxa"/>
              <w:bottom w:w="20" w:type="dxa"/>
            </w:tcMar>
            <w:tcW w:w="7080" w:type="dxa"/>
            <w:textDirection w:val="lrTb"/>
            <w:noWrap w:val="false"/>
          </w:tcPr>
          <w:p>
            <w:pPr>
              <w:jc w:val="left"/>
              <w:spacing w:line="378" w:lineRule="exact"/>
              <w:rPr>
                <w:highlight w:val="none"/>
              </w:rPr>
            </w:pPr>
            <w:r>
              <w:rPr>
                <w:rFonts w:hint="eastAsia" w:ascii="宋体" w:hAnsi="宋体" w:cs="宋体"/>
                <w:highlight w:val="none"/>
              </w:rPr>
              <w:t xml:space="preserve">供应商</w:t>
            </w:r>
            <w:r>
              <w:rPr>
                <w:rFonts w:ascii="宋体" w:hAnsi="宋体" w:cs="宋体"/>
                <w:highlight w:val="none"/>
              </w:rPr>
              <w:t xml:space="preserve">所投产品对招标文件具体需求的响应程度：</w:t>
            </w:r>
            <w:r/>
          </w:p>
          <w:p>
            <w:pPr>
              <w:jc w:val="left"/>
              <w:spacing w:line="378" w:lineRule="exact"/>
              <w:rPr>
                <w:highlight w:val="none"/>
              </w:rPr>
            </w:pPr>
            <w:r>
              <w:rPr>
                <w:rFonts w:ascii="宋体" w:hAnsi="宋体" w:cs="宋体"/>
                <w:highlight w:val="none"/>
              </w:rPr>
              <w:t xml:space="preserve">满足招标文件技术指标、参数要求的得45分。</w:t>
            </w:r>
            <w:r>
              <w:rPr>
                <w:rFonts w:ascii="宋体" w:hAnsi="宋体" w:cs="宋体"/>
                <w:b/>
                <w:bCs/>
                <w:highlight w:val="none"/>
              </w:rPr>
              <w:t xml:space="preserve">“★”项的为实质性要求，有一项不符合的，作无效投标处理</w:t>
            </w:r>
            <w:r>
              <w:rPr>
                <w:rFonts w:ascii="宋体" w:hAnsi="宋体" w:cs="宋体"/>
                <w:highlight w:val="none"/>
              </w:rPr>
              <w:t xml:space="preserve">；“▲”项的为主要指标，不满足的每项扣6分；其他每有一项负偏离扣1分，扣完为止。</w:t>
            </w:r>
            <w:r/>
          </w:p>
          <w:p>
            <w:pPr>
              <w:jc w:val="left"/>
              <w:spacing w:line="378" w:lineRule="exact"/>
              <w:rPr>
                <w:highlight w:val="none"/>
              </w:rPr>
            </w:pPr>
            <w:r>
              <w:rPr>
                <w:rFonts w:hint="eastAsia" w:ascii="宋体" w:hAnsi="宋体" w:cs="宋体"/>
                <w:b/>
                <w:bCs/>
                <w:color w:val="000000"/>
                <w:highlight w:val="none"/>
              </w:rPr>
              <w:t xml:space="preserve">注：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r/>
          </w:p>
        </w:tc>
        <w:tc>
          <w:tcPr>
            <w:tcMar>
              <w:left w:w="20" w:type="dxa"/>
              <w:top w:w="20" w:type="dxa"/>
              <w:right w:w="20" w:type="dxa"/>
              <w:bottom w:w="20" w:type="dxa"/>
            </w:tcMar>
            <w:tcW w:w="600" w:type="dxa"/>
            <w:vAlign w:val="center"/>
            <w:textDirection w:val="lrTb"/>
            <w:noWrap w:val="false"/>
          </w:tcPr>
          <w:p>
            <w:pPr>
              <w:jc w:val="left"/>
              <w:rPr>
                <w:highlight w:val="none"/>
              </w:rPr>
            </w:pPr>
            <w:r>
              <w:rPr>
                <w:highlight w:val="none"/>
              </w:r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highlight w:val="none"/>
              </w:rPr>
            </w:pPr>
            <w:r>
              <w:rPr>
                <w:rFonts w:hint="eastAsia" w:ascii="宋体" w:hAnsi="宋体" w:cs="宋体"/>
                <w:highlight w:val="none"/>
              </w:rPr>
              <w:t xml:space="preserve">3、</w:t>
            </w:r>
            <w:r>
              <w:rPr>
                <w:rFonts w:ascii="宋体" w:hAnsi="宋体" w:cs="宋体"/>
                <w:highlight w:val="none"/>
              </w:rPr>
              <w:t xml:space="preserve">服务承诺</w:t>
            </w:r>
            <w:r/>
          </w:p>
        </w:tc>
        <w:tc>
          <w:tcPr>
            <w:tcMar>
              <w:left w:w="20" w:type="dxa"/>
              <w:top w:w="20" w:type="dxa"/>
              <w:right w:w="20" w:type="dxa"/>
              <w:bottom w:w="20" w:type="dxa"/>
            </w:tcMar>
            <w:tcW w:w="690" w:type="dxa"/>
            <w:vAlign w:val="center"/>
            <w:textDirection w:val="lrTb"/>
            <w:noWrap w:val="false"/>
          </w:tcPr>
          <w:p>
            <w:pPr>
              <w:jc w:val="center"/>
              <w:rPr>
                <w:highlight w:val="none"/>
              </w:rPr>
            </w:pPr>
            <w:r>
              <w:rPr>
                <w:rFonts w:hint="eastAsia" w:ascii="宋体" w:hAnsi="宋体" w:cs="宋体"/>
                <w:highlight w:val="none"/>
              </w:rPr>
              <w:t xml:space="preserve">1</w:t>
            </w:r>
            <w:r/>
          </w:p>
        </w:tc>
        <w:tc>
          <w:tcPr>
            <w:tcMar>
              <w:left w:w="20" w:type="dxa"/>
              <w:top w:w="20" w:type="dxa"/>
              <w:right w:w="20" w:type="dxa"/>
              <w:bottom w:w="20" w:type="dxa"/>
            </w:tcMar>
            <w:tcW w:w="7080" w:type="dxa"/>
            <w:textDirection w:val="lrTb"/>
            <w:noWrap w:val="false"/>
          </w:tcPr>
          <w:p>
            <w:pPr>
              <w:jc w:val="left"/>
              <w:spacing w:line="378" w:lineRule="exact"/>
              <w:rPr>
                <w:highlight w:val="none"/>
              </w:rPr>
            </w:pPr>
            <w:r>
              <w:rPr>
                <w:rFonts w:ascii="宋体" w:hAnsi="宋体" w:cs="宋体"/>
                <w:highlight w:val="none"/>
              </w:rPr>
              <w:t xml:space="preserve">服务承诺：</w:t>
            </w:r>
            <w:r>
              <w:rPr>
                <w:rFonts w:hint="eastAsia" w:ascii="宋体" w:hAnsi="宋体" w:cs="宋体"/>
                <w:highlight w:val="none"/>
              </w:rPr>
              <w:t xml:space="preserve">供应商</w:t>
            </w:r>
            <w:r>
              <w:rPr>
                <w:rFonts w:ascii="宋体" w:hAnsi="宋体" w:cs="宋体"/>
                <w:highlight w:val="none"/>
              </w:rPr>
              <w:t xml:space="preserve">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w:t>
            </w:r>
            <w:r>
              <w:rPr>
                <w:rFonts w:hint="eastAsia" w:ascii="宋体" w:hAnsi="宋体" w:cs="宋体"/>
                <w:highlight w:val="none"/>
              </w:rPr>
              <w:t xml:space="preserve">48</w:t>
            </w:r>
            <w:r>
              <w:rPr>
                <w:rFonts w:ascii="宋体" w:hAnsi="宋体" w:cs="宋体"/>
                <w:highlight w:val="none"/>
              </w:rPr>
              <w:t xml:space="preserve">小时内至现场提供技术支持并解决。本项得</w:t>
            </w:r>
            <w:r>
              <w:rPr>
                <w:rFonts w:hint="eastAsia" w:ascii="宋体" w:hAnsi="宋体" w:cs="宋体"/>
                <w:highlight w:val="none"/>
              </w:rPr>
              <w:t xml:space="preserve">1</w:t>
            </w:r>
            <w:r>
              <w:rPr>
                <w:rFonts w:ascii="宋体" w:hAnsi="宋体" w:cs="宋体"/>
                <w:highlight w:val="none"/>
              </w:rPr>
              <w:t xml:space="preserve">分。</w:t>
            </w:r>
            <w:r>
              <w:rPr>
                <w:rFonts w:hint="eastAsia" w:ascii="宋体" w:hAnsi="宋体" w:cs="宋体"/>
                <w:highlight w:val="none"/>
              </w:rPr>
              <w:t xml:space="preserve">（提供承诺书加盖公章）</w:t>
            </w:r>
            <w:r/>
          </w:p>
        </w:tc>
        <w:tc>
          <w:tcPr>
            <w:tcMar>
              <w:left w:w="20" w:type="dxa"/>
              <w:top w:w="20" w:type="dxa"/>
              <w:right w:w="20" w:type="dxa"/>
              <w:bottom w:w="20" w:type="dxa"/>
            </w:tcMar>
            <w:tcW w:w="600" w:type="dxa"/>
            <w:vAlign w:val="center"/>
            <w:textDirection w:val="lrTb"/>
            <w:noWrap w:val="false"/>
          </w:tcPr>
          <w:p>
            <w:pPr>
              <w:jc w:val="left"/>
              <w:rPr>
                <w:highlight w:val="none"/>
              </w:rPr>
            </w:pPr>
            <w:r>
              <w:rPr>
                <w:highlight w:val="none"/>
              </w:r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highlight w:val="none"/>
              </w:rPr>
            </w:pPr>
            <w:r>
              <w:rPr>
                <w:rFonts w:hint="eastAsia" w:ascii="宋体" w:hAnsi="宋体" w:cs="宋体"/>
                <w:highlight w:val="none"/>
              </w:rPr>
              <w:t xml:space="preserve">4、</w:t>
            </w:r>
            <w:r>
              <w:rPr>
                <w:rFonts w:ascii="宋体" w:hAnsi="宋体" w:cs="宋体"/>
                <w:highlight w:val="none"/>
              </w:rPr>
              <w:t xml:space="preserve">售后服务方案</w:t>
            </w:r>
            <w:r/>
          </w:p>
        </w:tc>
        <w:tc>
          <w:tcPr>
            <w:tcMar>
              <w:left w:w="20" w:type="dxa"/>
              <w:top w:w="20" w:type="dxa"/>
              <w:right w:w="20" w:type="dxa"/>
              <w:bottom w:w="20" w:type="dxa"/>
            </w:tcMar>
            <w:tcW w:w="690" w:type="dxa"/>
            <w:vAlign w:val="center"/>
            <w:textDirection w:val="lrTb"/>
            <w:noWrap w:val="false"/>
          </w:tcPr>
          <w:p>
            <w:pPr>
              <w:jc w:val="center"/>
              <w:rPr>
                <w:highlight w:val="none"/>
              </w:rPr>
            </w:pPr>
            <w:r>
              <w:rPr>
                <w:rFonts w:ascii="宋体" w:hAnsi="宋体" w:cs="宋体"/>
                <w:highlight w:val="none"/>
              </w:rPr>
              <w:t xml:space="preserve">3</w:t>
            </w:r>
            <w:r/>
          </w:p>
        </w:tc>
        <w:tc>
          <w:tcPr>
            <w:tcMar>
              <w:left w:w="20" w:type="dxa"/>
              <w:top w:w="20" w:type="dxa"/>
              <w:right w:w="20" w:type="dxa"/>
              <w:bottom w:w="20" w:type="dxa"/>
            </w:tcMar>
            <w:tcW w:w="7080" w:type="dxa"/>
            <w:textDirection w:val="lrTb"/>
            <w:noWrap w:val="false"/>
          </w:tcPr>
          <w:p>
            <w:pPr>
              <w:jc w:val="left"/>
              <w:spacing w:line="378" w:lineRule="exact"/>
              <w:rPr>
                <w:rFonts w:hint="eastAsia" w:ascii="宋体" w:hAnsi="宋体" w:cs="宋体"/>
                <w:highlight w:val="none"/>
              </w:rPr>
            </w:pPr>
            <w:r>
              <w:rPr>
                <w:rFonts w:ascii="宋体" w:hAnsi="宋体" w:cs="宋体"/>
                <w:highlight w:val="none"/>
              </w:rPr>
              <w:t xml:space="preserve">根据</w:t>
            </w:r>
            <w:r>
              <w:rPr>
                <w:rFonts w:hint="eastAsia" w:ascii="宋体" w:hAnsi="宋体" w:cs="宋体"/>
                <w:highlight w:val="none"/>
              </w:rPr>
              <w:t xml:space="preserve">供应商</w:t>
            </w:r>
            <w:r>
              <w:rPr>
                <w:rFonts w:ascii="宋体" w:hAnsi="宋体" w:cs="宋体"/>
                <w:highlight w:val="none"/>
              </w:rPr>
              <w:t xml:space="preserve">提供的售后服务方案中对售后服务体系、售后服务承诺，质量保证期内的售后服务范围、质保期满后的售后服务范围和收费情况、备品备件的承诺情况进行评审。</w:t>
            </w:r>
            <w:r/>
          </w:p>
          <w:p>
            <w:pPr>
              <w:jc w:val="left"/>
              <w:spacing w:line="378" w:lineRule="exact"/>
              <w:rPr>
                <w:rFonts w:hint="eastAsia" w:ascii="宋体" w:hAnsi="宋体" w:cs="宋体"/>
                <w:highlight w:val="none"/>
              </w:rPr>
            </w:pPr>
            <w:r>
              <w:rPr>
                <w:rFonts w:ascii="宋体" w:hAnsi="宋体" w:cs="宋体"/>
                <w:highlight w:val="none"/>
              </w:rPr>
              <w:t xml:space="preserve">方案完整、合理可行、售后服务应答及处理及时的得3分；</w:t>
            </w:r>
            <w:r/>
          </w:p>
          <w:p>
            <w:pPr>
              <w:jc w:val="left"/>
              <w:spacing w:line="378" w:lineRule="exact"/>
              <w:rPr>
                <w:rFonts w:hint="eastAsia" w:ascii="宋体" w:hAnsi="宋体" w:cs="宋体"/>
                <w:highlight w:val="none"/>
              </w:rPr>
            </w:pPr>
            <w:r>
              <w:rPr>
                <w:rFonts w:ascii="宋体" w:hAnsi="宋体" w:cs="宋体"/>
                <w:highlight w:val="none"/>
              </w:rPr>
              <w:t xml:space="preserve">方案较完整、较合理可行、售后服务应答及处理较及时的得2分；</w:t>
            </w:r>
            <w:r/>
          </w:p>
          <w:p>
            <w:pPr>
              <w:jc w:val="left"/>
              <w:spacing w:line="378" w:lineRule="exact"/>
              <w:rPr>
                <w:rFonts w:hint="eastAsia" w:ascii="宋体" w:hAnsi="宋体" w:cs="宋体"/>
                <w:highlight w:val="none"/>
              </w:rPr>
            </w:pPr>
            <w:r>
              <w:rPr>
                <w:rFonts w:ascii="宋体" w:hAnsi="宋体" w:cs="宋体"/>
                <w:highlight w:val="none"/>
              </w:rPr>
              <w:t xml:space="preserve">方案不完整、不合理的得1分；</w:t>
            </w:r>
            <w:r/>
          </w:p>
          <w:p>
            <w:pPr>
              <w:jc w:val="left"/>
              <w:spacing w:line="378" w:lineRule="exact"/>
              <w:rPr>
                <w:highlight w:val="none"/>
              </w:rPr>
            </w:pPr>
            <w:r>
              <w:rPr>
                <w:rFonts w:ascii="宋体" w:hAnsi="宋体" w:cs="宋体"/>
                <w:highlight w:val="none"/>
              </w:rPr>
              <w:t xml:space="preserve">没有的不得分。</w:t>
            </w:r>
            <w:r/>
          </w:p>
        </w:tc>
        <w:tc>
          <w:tcPr>
            <w:tcMar>
              <w:left w:w="20" w:type="dxa"/>
              <w:top w:w="20" w:type="dxa"/>
              <w:right w:w="20" w:type="dxa"/>
              <w:bottom w:w="20" w:type="dxa"/>
            </w:tcMar>
            <w:tcW w:w="600" w:type="dxa"/>
            <w:vAlign w:val="center"/>
            <w:textDirection w:val="lrTb"/>
            <w:noWrap w:val="false"/>
          </w:tcPr>
          <w:p>
            <w:pPr>
              <w:jc w:val="left"/>
              <w:rPr>
                <w:highlight w:val="none"/>
              </w:rPr>
            </w:pPr>
            <w:r>
              <w:rPr>
                <w:highlight w:val="none"/>
              </w:r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highlight w:val="none"/>
              </w:rPr>
            </w:pPr>
            <w:r>
              <w:rPr>
                <w:rFonts w:hint="eastAsia" w:ascii="宋体" w:hAnsi="宋体" w:cs="宋体"/>
                <w:highlight w:val="none"/>
              </w:rPr>
              <w:t xml:space="preserve">5、</w:t>
            </w:r>
            <w:r>
              <w:rPr>
                <w:rFonts w:ascii="宋体" w:hAnsi="宋体" w:cs="宋体"/>
                <w:highlight w:val="none"/>
              </w:rPr>
              <w:t xml:space="preserve">培训方案</w:t>
            </w:r>
            <w:r/>
          </w:p>
        </w:tc>
        <w:tc>
          <w:tcPr>
            <w:tcMar>
              <w:left w:w="20" w:type="dxa"/>
              <w:top w:w="20" w:type="dxa"/>
              <w:right w:w="20" w:type="dxa"/>
              <w:bottom w:w="20" w:type="dxa"/>
            </w:tcMar>
            <w:tcW w:w="690" w:type="dxa"/>
            <w:vAlign w:val="center"/>
            <w:textDirection w:val="lrTb"/>
            <w:noWrap w:val="false"/>
          </w:tcPr>
          <w:p>
            <w:pPr>
              <w:jc w:val="center"/>
              <w:rPr>
                <w:highlight w:val="none"/>
              </w:rPr>
            </w:pPr>
            <w:r>
              <w:rPr>
                <w:rFonts w:ascii="宋体" w:hAnsi="宋体" w:cs="宋体"/>
                <w:highlight w:val="none"/>
              </w:rPr>
              <w:t xml:space="preserve">3</w:t>
            </w:r>
            <w:r/>
          </w:p>
        </w:tc>
        <w:tc>
          <w:tcPr>
            <w:tcMar>
              <w:left w:w="20" w:type="dxa"/>
              <w:top w:w="20" w:type="dxa"/>
              <w:right w:w="20" w:type="dxa"/>
              <w:bottom w:w="20" w:type="dxa"/>
            </w:tcMar>
            <w:tcW w:w="7080" w:type="dxa"/>
            <w:textDirection w:val="lrTb"/>
            <w:noWrap w:val="false"/>
          </w:tcPr>
          <w:p>
            <w:pPr>
              <w:jc w:val="left"/>
              <w:spacing w:line="378" w:lineRule="exact"/>
              <w:rPr>
                <w:rFonts w:hint="eastAsia" w:ascii="宋体" w:hAnsi="宋体" w:cs="宋体"/>
                <w:highlight w:val="none"/>
              </w:rPr>
            </w:pPr>
            <w:r>
              <w:rPr>
                <w:rFonts w:ascii="宋体" w:hAnsi="宋体" w:cs="宋体"/>
                <w:highlight w:val="none"/>
              </w:rPr>
              <w:t xml:space="preserve">根据</w:t>
            </w:r>
            <w:r>
              <w:rPr>
                <w:rFonts w:hint="eastAsia" w:ascii="宋体" w:hAnsi="宋体" w:cs="宋体"/>
                <w:highlight w:val="none"/>
              </w:rPr>
              <w:t xml:space="preserve">供应商</w:t>
            </w:r>
            <w:r>
              <w:rPr>
                <w:rFonts w:ascii="宋体" w:hAnsi="宋体" w:cs="宋体"/>
                <w:highlight w:val="none"/>
              </w:rPr>
              <w:t xml:space="preserve">提供的对招标人仪器操作人员、维护人员等的培训方案及计划进行评审。培训方案完整详细，计划合理的得3分；</w:t>
            </w:r>
            <w:r/>
          </w:p>
          <w:p>
            <w:pPr>
              <w:jc w:val="left"/>
              <w:spacing w:line="378" w:lineRule="exact"/>
              <w:rPr>
                <w:rFonts w:hint="eastAsia" w:ascii="宋体" w:hAnsi="宋体" w:cs="宋体"/>
                <w:highlight w:val="none"/>
              </w:rPr>
            </w:pPr>
            <w:r>
              <w:rPr>
                <w:rFonts w:ascii="宋体" w:hAnsi="宋体" w:cs="宋体"/>
                <w:highlight w:val="none"/>
              </w:rPr>
              <w:t xml:space="preserve">培训方案较完整，计划较合理的得2分；</w:t>
            </w:r>
            <w:r/>
          </w:p>
          <w:p>
            <w:pPr>
              <w:jc w:val="left"/>
              <w:spacing w:line="378" w:lineRule="exact"/>
              <w:rPr>
                <w:rFonts w:hint="eastAsia" w:ascii="宋体" w:hAnsi="宋体" w:cs="宋体"/>
                <w:highlight w:val="none"/>
              </w:rPr>
            </w:pPr>
            <w:r>
              <w:rPr>
                <w:rFonts w:ascii="宋体" w:hAnsi="宋体" w:cs="宋体"/>
                <w:highlight w:val="none"/>
              </w:rPr>
              <w:t xml:space="preserve">培训方案不完整，计划不合理的得1分；</w:t>
            </w:r>
            <w:r/>
          </w:p>
          <w:p>
            <w:pPr>
              <w:jc w:val="left"/>
              <w:spacing w:line="378" w:lineRule="exact"/>
              <w:rPr>
                <w:highlight w:val="none"/>
              </w:rPr>
            </w:pPr>
            <w:r>
              <w:rPr>
                <w:rFonts w:ascii="宋体" w:hAnsi="宋体" w:cs="宋体"/>
                <w:highlight w:val="none"/>
              </w:rPr>
              <w:t xml:space="preserve">没有的不得分。</w:t>
            </w:r>
            <w:r/>
          </w:p>
        </w:tc>
        <w:tc>
          <w:tcPr>
            <w:tcMar>
              <w:left w:w="20" w:type="dxa"/>
              <w:top w:w="20" w:type="dxa"/>
              <w:right w:w="20" w:type="dxa"/>
              <w:bottom w:w="20" w:type="dxa"/>
            </w:tcMar>
            <w:tcW w:w="600" w:type="dxa"/>
            <w:vAlign w:val="center"/>
            <w:textDirection w:val="lrTb"/>
            <w:noWrap w:val="false"/>
          </w:tcPr>
          <w:p>
            <w:pPr>
              <w:jc w:val="left"/>
              <w:rPr>
                <w:highlight w:val="none"/>
              </w:rPr>
            </w:pPr>
            <w:r>
              <w:rPr>
                <w:highlight w:val="none"/>
              </w:r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highlight w:val="none"/>
              </w:rPr>
            </w:pPr>
            <w:r>
              <w:rPr>
                <w:rFonts w:hint="eastAsia" w:ascii="宋体" w:hAnsi="宋体" w:cs="宋体"/>
                <w:highlight w:val="none"/>
              </w:rPr>
              <w:t xml:space="preserve">6、</w:t>
            </w:r>
            <w:r>
              <w:rPr>
                <w:rFonts w:ascii="宋体" w:hAnsi="宋体" w:cs="宋体"/>
                <w:highlight w:val="none"/>
              </w:rPr>
              <w:t xml:space="preserve">质保承诺</w:t>
            </w:r>
            <w:r/>
          </w:p>
        </w:tc>
        <w:tc>
          <w:tcPr>
            <w:tcMar>
              <w:left w:w="20" w:type="dxa"/>
              <w:top w:w="20" w:type="dxa"/>
              <w:right w:w="20" w:type="dxa"/>
              <w:bottom w:w="20" w:type="dxa"/>
            </w:tcMar>
            <w:tcW w:w="690" w:type="dxa"/>
            <w:vAlign w:val="center"/>
            <w:textDirection w:val="lrTb"/>
            <w:noWrap w:val="false"/>
          </w:tcPr>
          <w:p>
            <w:pPr>
              <w:jc w:val="center"/>
              <w:rPr>
                <w:highlight w:val="none"/>
              </w:rPr>
            </w:pPr>
            <w:r>
              <w:rPr>
                <w:rFonts w:ascii="宋体" w:hAnsi="宋体" w:cs="宋体"/>
                <w:highlight w:val="none"/>
              </w:rPr>
              <w:t xml:space="preserve">3</w:t>
            </w:r>
            <w:r/>
          </w:p>
        </w:tc>
        <w:tc>
          <w:tcPr>
            <w:tcMar>
              <w:left w:w="20" w:type="dxa"/>
              <w:top w:w="20" w:type="dxa"/>
              <w:right w:w="20" w:type="dxa"/>
              <w:bottom w:w="20" w:type="dxa"/>
            </w:tcMar>
            <w:tcW w:w="7080" w:type="dxa"/>
            <w:textDirection w:val="lrTb"/>
            <w:noWrap w:val="false"/>
          </w:tcPr>
          <w:p>
            <w:pPr>
              <w:jc w:val="left"/>
              <w:spacing w:line="378" w:lineRule="exact"/>
              <w:rPr>
                <w:highlight w:val="none"/>
              </w:rPr>
            </w:pPr>
            <w:r>
              <w:rPr>
                <w:rFonts w:ascii="宋体" w:hAnsi="宋体" w:cs="宋体"/>
                <w:highlight w:val="none"/>
              </w:rPr>
              <w:t xml:space="preserve">在满足采购文件中对</w:t>
            </w:r>
            <w:r>
              <w:rPr>
                <w:rFonts w:hint="eastAsia" w:ascii="宋体" w:hAnsi="宋体" w:cs="宋体"/>
                <w:b/>
                <w:bCs/>
                <w:highlight w:val="none"/>
              </w:rPr>
              <w:t xml:space="preserve">主体设备</w:t>
            </w:r>
            <w:r>
              <w:rPr>
                <w:rFonts w:ascii="宋体" w:hAnsi="宋体" w:cs="宋体"/>
                <w:highlight w:val="none"/>
              </w:rPr>
              <w:t xml:space="preserve">质量保证期</w:t>
            </w:r>
            <w:r>
              <w:rPr>
                <w:rFonts w:hint="eastAsia" w:ascii="宋体" w:hAnsi="宋体" w:cs="宋体"/>
                <w:highlight w:val="none"/>
              </w:rPr>
              <w:t xml:space="preserve">2年</w:t>
            </w:r>
            <w:r>
              <w:rPr>
                <w:rFonts w:ascii="宋体" w:hAnsi="宋体" w:cs="宋体"/>
                <w:highlight w:val="none"/>
              </w:rPr>
              <w:t xml:space="preserve">要求的基础上，增加1年加1分，增加2年加3分。本项最高得3分。</w:t>
            </w:r>
            <w:r>
              <w:rPr>
                <w:rFonts w:hint="eastAsia" w:ascii="宋体" w:hAnsi="宋体" w:cs="宋体"/>
                <w:highlight w:val="none"/>
              </w:rPr>
              <w:t xml:space="preserve">（提供承诺书加盖公章）</w:t>
            </w:r>
            <w:r/>
          </w:p>
        </w:tc>
        <w:tc>
          <w:tcPr>
            <w:tcMar>
              <w:left w:w="20" w:type="dxa"/>
              <w:top w:w="20" w:type="dxa"/>
              <w:right w:w="20" w:type="dxa"/>
              <w:bottom w:w="20" w:type="dxa"/>
            </w:tcMar>
            <w:tcW w:w="600" w:type="dxa"/>
            <w:vAlign w:val="center"/>
            <w:textDirection w:val="lrTb"/>
            <w:noWrap w:val="false"/>
          </w:tcPr>
          <w:p>
            <w:pPr>
              <w:jc w:val="left"/>
              <w:rPr>
                <w:highlight w:val="none"/>
              </w:rPr>
            </w:pPr>
            <w:r>
              <w:rPr>
                <w:highlight w:val="none"/>
              </w:r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highlight w:val="none"/>
              </w:rPr>
            </w:pPr>
            <w:r>
              <w:rPr>
                <w:rFonts w:hint="eastAsia" w:ascii="宋体" w:hAnsi="宋体" w:cs="宋体"/>
                <w:highlight w:val="none"/>
              </w:rPr>
              <w:t xml:space="preserve">7、</w:t>
            </w:r>
            <w:r>
              <w:rPr>
                <w:rFonts w:ascii="宋体" w:hAnsi="宋体" w:cs="宋体"/>
                <w:highlight w:val="none"/>
              </w:rPr>
              <w:t xml:space="preserve">业绩</w:t>
            </w:r>
            <w:r/>
          </w:p>
        </w:tc>
        <w:tc>
          <w:tcPr>
            <w:tcMar>
              <w:left w:w="20" w:type="dxa"/>
              <w:top w:w="20" w:type="dxa"/>
              <w:right w:w="20" w:type="dxa"/>
              <w:bottom w:w="20" w:type="dxa"/>
            </w:tcMar>
            <w:tcW w:w="690" w:type="dxa"/>
            <w:vAlign w:val="center"/>
            <w:textDirection w:val="lrTb"/>
            <w:noWrap w:val="false"/>
          </w:tcPr>
          <w:p>
            <w:pPr>
              <w:jc w:val="center"/>
              <w:rPr>
                <w:highlight w:val="none"/>
              </w:rPr>
            </w:pPr>
            <w:r>
              <w:rPr>
                <w:rFonts w:ascii="宋体" w:hAnsi="宋体" w:cs="宋体"/>
                <w:highlight w:val="none"/>
              </w:rPr>
              <w:t xml:space="preserve">4</w:t>
            </w:r>
            <w:r/>
          </w:p>
        </w:tc>
        <w:tc>
          <w:tcPr>
            <w:tcMar>
              <w:left w:w="20" w:type="dxa"/>
              <w:top w:w="20" w:type="dxa"/>
              <w:right w:w="20" w:type="dxa"/>
              <w:bottom w:w="20" w:type="dxa"/>
            </w:tcMar>
            <w:tcW w:w="7080" w:type="dxa"/>
            <w:textDirection w:val="lrTb"/>
            <w:noWrap w:val="false"/>
          </w:tcPr>
          <w:p>
            <w:pPr>
              <w:jc w:val="left"/>
              <w:spacing w:line="378" w:lineRule="exact"/>
              <w:rPr>
                <w:highlight w:val="none"/>
              </w:rPr>
            </w:pPr>
            <w:r>
              <w:rPr>
                <w:rFonts w:hint="eastAsia" w:ascii="宋体" w:hAnsi="宋体" w:cs="宋体"/>
                <w:highlight w:val="none"/>
              </w:rPr>
              <w:t xml:space="preserve">供应商</w:t>
            </w:r>
            <w:r>
              <w:rPr>
                <w:rFonts w:ascii="宋体" w:hAnsi="宋体" w:cs="宋体"/>
                <w:highlight w:val="none"/>
              </w:rPr>
              <w:t xml:space="preserve">提供202</w:t>
            </w:r>
            <w:r>
              <w:rPr>
                <w:rFonts w:hint="eastAsia" w:ascii="宋体" w:hAnsi="宋体" w:cs="宋体"/>
                <w:highlight w:val="none"/>
              </w:rPr>
              <w:t xml:space="preserve">3</w:t>
            </w:r>
            <w:r>
              <w:rPr>
                <w:rFonts w:ascii="宋体" w:hAnsi="宋体" w:cs="宋体"/>
                <w:highlight w:val="none"/>
              </w:rPr>
              <w:t xml:space="preserve">年</w:t>
            </w:r>
            <w:r>
              <w:rPr>
                <w:rFonts w:hint="eastAsia" w:ascii="宋体" w:hAnsi="宋体" w:cs="宋体"/>
                <w:highlight w:val="none"/>
              </w:rPr>
              <w:t xml:space="preserve">7</w:t>
            </w:r>
            <w:r>
              <w:rPr>
                <w:rFonts w:ascii="宋体" w:hAnsi="宋体" w:cs="宋体"/>
                <w:highlight w:val="none"/>
              </w:rPr>
              <w:t xml:space="preserve">月1日以来的X射线衍射仪项目业绩合同，每提供一个得1分，最高得4分。（须提供加盖公章的有效合同复印件）</w:t>
            </w:r>
            <w:r/>
          </w:p>
        </w:tc>
        <w:tc>
          <w:tcPr>
            <w:tcMar>
              <w:left w:w="20" w:type="dxa"/>
              <w:top w:w="20" w:type="dxa"/>
              <w:right w:w="20" w:type="dxa"/>
              <w:bottom w:w="20" w:type="dxa"/>
            </w:tcMar>
            <w:tcW w:w="600" w:type="dxa"/>
            <w:vAlign w:val="center"/>
            <w:textDirection w:val="lrTb"/>
            <w:noWrap w:val="false"/>
          </w:tcPr>
          <w:p>
            <w:pPr>
              <w:jc w:val="left"/>
              <w:rPr>
                <w:highlight w:val="none"/>
              </w:rPr>
            </w:pPr>
            <w:r>
              <w:rPr>
                <w:highlight w:val="none"/>
              </w:rPr>
            </w:r>
            <w:r/>
          </w:p>
        </w:tc>
      </w:tr>
      <w:tr>
        <w:trPr>
          <w:jc w:val="center"/>
          <w:trHeight w:val="720"/>
        </w:trPr>
        <w:tc>
          <w:tcPr>
            <w:tcMar>
              <w:left w:w="20" w:type="dxa"/>
              <w:top w:w="20" w:type="dxa"/>
              <w:right w:w="20" w:type="dxa"/>
              <w:bottom w:w="20" w:type="dxa"/>
            </w:tcMar>
            <w:tcW w:w="1200" w:type="dxa"/>
            <w:vAlign w:val="center"/>
            <w:textDirection w:val="lrTb"/>
            <w:noWrap w:val="false"/>
          </w:tcPr>
          <w:p>
            <w:pPr>
              <w:jc w:val="left"/>
              <w:spacing w:line="378" w:lineRule="exact"/>
              <w:rPr>
                <w:rFonts w:hint="eastAsia" w:ascii="宋体" w:hAnsi="宋体" w:cs="宋体"/>
                <w:highlight w:val="none"/>
              </w:rPr>
            </w:pPr>
            <w:r>
              <w:rPr>
                <w:rFonts w:hint="eastAsia" w:ascii="宋体" w:hAnsi="宋体" w:cs="宋体"/>
                <w:highlight w:val="none"/>
              </w:rPr>
              <w:t xml:space="preserve">8、政策</w:t>
            </w:r>
            <w:r>
              <w:rPr>
                <w:rFonts w:hint="eastAsia" w:ascii="宋体" w:hAnsi="宋体" w:cs="宋体"/>
                <w:color w:val="000000"/>
                <w:highlight w:val="none"/>
              </w:rPr>
              <w:t xml:space="preserve">功能</w:t>
            </w:r>
            <w:r/>
          </w:p>
        </w:tc>
        <w:tc>
          <w:tcPr>
            <w:tcMar>
              <w:left w:w="20" w:type="dxa"/>
              <w:top w:w="20" w:type="dxa"/>
              <w:right w:w="20" w:type="dxa"/>
              <w:bottom w:w="20" w:type="dxa"/>
            </w:tcMar>
            <w:tcW w:w="69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w:t>
            </w:r>
            <w:r/>
          </w:p>
        </w:tc>
        <w:tc>
          <w:tcPr>
            <w:tcMar>
              <w:left w:w="20" w:type="dxa"/>
              <w:top w:w="20" w:type="dxa"/>
              <w:right w:w="20" w:type="dxa"/>
              <w:bottom w:w="20" w:type="dxa"/>
            </w:tcMar>
            <w:tcW w:w="7080" w:type="dxa"/>
            <w:textDirection w:val="lrTb"/>
            <w:noWrap w:val="false"/>
          </w:tcPr>
          <w:p>
            <w:pPr>
              <w:jc w:val="left"/>
              <w:spacing w:line="378" w:lineRule="exact"/>
              <w:rPr>
                <w:rFonts w:hint="eastAsia" w:ascii="宋体" w:hAnsi="宋体" w:cs="宋体"/>
                <w:highlight w:val="none"/>
              </w:rPr>
            </w:pPr>
            <w:r>
              <w:rPr>
                <w:rFonts w:hint="eastAsia" w:ascii="宋体" w:hAnsi="宋体" w:cs="宋体"/>
                <w:highlight w:val="none"/>
              </w:rPr>
              <w:t xml:space="preserve">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p>
            <w:pPr>
              <w:jc w:val="left"/>
              <w:spacing w:line="378" w:lineRule="exact"/>
              <w:rPr>
                <w:rFonts w:hint="eastAsia" w:ascii="宋体" w:hAnsi="宋体" w:cs="宋体"/>
                <w:highlight w:val="none"/>
              </w:rPr>
            </w:pPr>
            <w:r>
              <w:rPr>
                <w:rFonts w:hint="eastAsia" w:ascii="宋体" w:hAnsi="宋体" w:cs="宋体"/>
                <w:highlight w:val="none"/>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Mar>
              <w:left w:w="20" w:type="dxa"/>
              <w:top w:w="20" w:type="dxa"/>
              <w:right w:w="20" w:type="dxa"/>
              <w:bottom w:w="20" w:type="dxa"/>
            </w:tcMar>
            <w:tcW w:w="600" w:type="dxa"/>
            <w:vAlign w:val="center"/>
            <w:textDirection w:val="lrTb"/>
            <w:noWrap w:val="false"/>
          </w:tcPr>
          <w:p>
            <w:pPr>
              <w:jc w:val="left"/>
              <w:rPr>
                <w:highlight w:val="none"/>
              </w:rPr>
            </w:pPr>
            <w:r>
              <w:rPr>
                <w:highlight w:val="none"/>
              </w:rPr>
            </w:r>
            <w:r/>
          </w:p>
        </w:tc>
      </w:tr>
      <w:tr>
        <w:trPr>
          <w:jc w:val="center"/>
          <w:trHeight w:val="453" w:hRule="exact"/>
        </w:trPr>
        <w:tc>
          <w:tcPr>
            <w:tcMar>
              <w:left w:w="20" w:type="dxa"/>
              <w:top w:w="20" w:type="dxa"/>
              <w:right w:w="20" w:type="dxa"/>
              <w:bottom w:w="20" w:type="dxa"/>
            </w:tcMar>
            <w:tcW w:w="1200" w:type="dxa"/>
            <w:textDirection w:val="lrTb"/>
            <w:noWrap w:val="false"/>
          </w:tcPr>
          <w:p>
            <w:pPr>
              <w:jc w:val="left"/>
              <w:rPr>
                <w:highlight w:val="none"/>
              </w:rPr>
            </w:pPr>
            <w:r>
              <w:rPr>
                <w:rFonts w:hint="eastAsia"/>
                <w:highlight w:val="none"/>
              </w:rPr>
              <w:t xml:space="preserve">9、合计</w:t>
            </w:r>
            <w:r/>
          </w:p>
        </w:tc>
        <w:tc>
          <w:tcPr>
            <w:gridSpan w:val="2"/>
            <w:tcMar>
              <w:left w:w="20" w:type="dxa"/>
              <w:top w:w="20" w:type="dxa"/>
              <w:right w:w="20" w:type="dxa"/>
              <w:bottom w:w="20" w:type="dxa"/>
            </w:tcMar>
            <w:tcW w:w="7770" w:type="dxa"/>
            <w:textDirection w:val="lrTb"/>
            <w:noWrap w:val="false"/>
          </w:tcPr>
          <w:p>
            <w:pPr>
              <w:jc w:val="center"/>
              <w:rPr>
                <w:highlight w:val="none"/>
              </w:rPr>
            </w:pPr>
            <w:r>
              <w:rPr>
                <w:rFonts w:hint="eastAsia"/>
                <w:highlight w:val="none"/>
              </w:rPr>
              <w:t xml:space="preserve">100</w:t>
            </w:r>
            <w:r/>
          </w:p>
        </w:tc>
        <w:tc>
          <w:tcPr>
            <w:tcMar>
              <w:left w:w="20" w:type="dxa"/>
              <w:top w:w="20" w:type="dxa"/>
              <w:right w:w="20" w:type="dxa"/>
              <w:bottom w:w="20" w:type="dxa"/>
            </w:tcMar>
            <w:tcW w:w="600" w:type="dxa"/>
            <w:textDirection w:val="lrTb"/>
            <w:noWrap w:val="false"/>
          </w:tcPr>
          <w:p>
            <w:pPr>
              <w:rPr>
                <w:highlight w:val="none"/>
              </w:rPr>
            </w:pPr>
            <w:r>
              <w:rPr>
                <w:highlight w:val="none"/>
              </w:rPr>
            </w:r>
            <w:r/>
          </w:p>
        </w:tc>
      </w:tr>
    </w:tbl>
    <w:p>
      <w:pPr>
        <w:ind w:firstLine="420"/>
        <w:spacing w:line="360" w:lineRule="auto"/>
        <w:rPr>
          <w:rFonts w:hint="eastAsia" w:ascii="宋体" w:hAnsi="宋体" w:cs="宋体"/>
          <w:highlight w:val="none"/>
        </w:rPr>
      </w:pPr>
      <w:r>
        <w:rPr>
          <w:rFonts w:hint="eastAsia" w:ascii="宋体" w:hAnsi="宋体" w:cs="宋体"/>
          <w:highlight w:val="none"/>
        </w:rPr>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说明：</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1.所有认证、证明和业绩均以有效清晰的证明文件的复印件为依据，原件备查。</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2.小微企业价格扣除</w:t>
      </w:r>
      <w:r/>
    </w:p>
    <w:p>
      <w:pPr>
        <w:ind w:firstLine="440"/>
        <w:spacing w:line="360" w:lineRule="auto"/>
        <w:rPr>
          <w:rFonts w:hint="eastAsia" w:ascii="宋体" w:hAnsi="宋体" w:cs="宋体"/>
          <w:bCs/>
          <w:highlight w:val="none"/>
        </w:rPr>
      </w:pPr>
      <w:r>
        <w:rPr>
          <w:rFonts w:hint="eastAsia" w:ascii="宋体" w:hAnsi="宋体" w:cs="宋体"/>
          <w:bCs/>
          <w:sz w:val="22"/>
          <w:szCs w:val="28"/>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3.监狱和戒毒企业的价格扣除</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3.1 本项目对监狱和戒毒企业，给予10%的价格扣除，用扣除后的价格参与评审。</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3.3 监狱企业标准请参照《关于政府采购支持监狱企业发展有关问题的通知》（财库〔2014〕68号）。</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4.残疾人福利性单位的价格扣除</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4.1 本项目对残疾人福利性单位，给予10%的价格扣除，用扣除后的价格参与评审。</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4.2 残疾人福利性单位需提供《残疾人福利性单位声明函》</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4.3 残疾人福利性单位标准请参照《关于促进残疾人就业政府采购政策的通知》（财库〔2017〕141号）。</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5.监狱企业、残疾人福利性单位属于小型、微型企业的，不重复享受政策。</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6.本国产品的价格扣除</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6.2政府采购活动中既有本国产品又有非本国产品参与竞争的，依法对本国产品给予价格评审优惠，对本国产品的报价给予20%的价格扣除，用扣除后的价格参与评审。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sz w:val="22"/>
          <w:szCs w:val="28"/>
          <w:highlight w:val="none"/>
        </w:rPr>
      </w:pPr>
      <w:r>
        <w:rPr>
          <w:rFonts w:hint="eastAsia" w:ascii="宋体" w:hAnsi="宋体" w:cs="宋体"/>
          <w:bCs/>
          <w:sz w:val="22"/>
          <w:szCs w:val="28"/>
          <w:highlight w:val="none"/>
        </w:rPr>
        <w:br w:type="page" w:clear="all"/>
      </w:r>
      <w:r/>
    </w:p>
    <w:p>
      <w:pPr>
        <w:ind w:firstLine="440"/>
        <w:spacing w:line="360" w:lineRule="auto"/>
        <w:rPr>
          <w:rFonts w:hint="eastAsia" w:ascii="宋体" w:hAnsi="宋体" w:cs="宋体"/>
          <w:bCs/>
          <w:sz w:val="22"/>
          <w:szCs w:val="28"/>
          <w:highlight w:val="none"/>
        </w:rPr>
      </w:pPr>
      <w:r>
        <w:rPr>
          <w:rFonts w:hint="eastAsia" w:ascii="宋体" w:hAnsi="宋体" w:cs="宋体"/>
          <w:bCs/>
          <w:sz w:val="22"/>
          <w:szCs w:val="28"/>
          <w:highlight w:val="none"/>
        </w:rPr>
      </w:r>
      <w:r/>
    </w:p>
    <w:p>
      <w:pPr>
        <w:pStyle w:val="823"/>
        <w:numPr>
          <w:ilvl w:val="0"/>
          <w:numId w:val="0"/>
        </w:numPr>
        <w:rPr>
          <w:rFonts w:hint="eastAsia" w:ascii="宋体" w:hAnsi="宋体" w:cs="宋体"/>
          <w:highlight w:val="none"/>
        </w:rPr>
      </w:pPr>
      <w:r/>
      <w:bookmarkStart w:id="19" w:name="_Toc29436"/>
      <w:r>
        <w:rPr>
          <w:rFonts w:hint="eastAsia" w:ascii="宋体" w:hAnsi="宋体" w:cs="宋体"/>
          <w:highlight w:val="none"/>
        </w:rPr>
        <w:t xml:space="preserve">第四章 采购需求</w:t>
      </w:r>
      <w:bookmarkEnd w:id="19"/>
      <w:r/>
      <w:r/>
    </w:p>
    <w:p>
      <w:pPr>
        <w:ind w:firstLine="422"/>
        <w:spacing w:line="360" w:lineRule="auto"/>
        <w:rPr>
          <w:rFonts w:hint="eastAsia" w:ascii="宋体" w:hAnsi="宋体" w:cs="宋体"/>
          <w:b/>
          <w:szCs w:val="21"/>
          <w:highlight w:val="none"/>
        </w:rPr>
        <w:outlineLvl w:val="1"/>
      </w:pPr>
      <w:r/>
      <w:bookmarkStart w:id="20" w:name="_Toc481057147"/>
      <w:r>
        <w:rPr>
          <w:rFonts w:hint="eastAsia" w:asciiTheme="minorEastAsia" w:hAnsiTheme="minorEastAsia" w:eastAsiaTheme="minorEastAsia" w:cstheme="minorEastAsia"/>
          <w:b/>
          <w:bCs/>
          <w:szCs w:val="21"/>
          <w:highlight w:val="none"/>
        </w:rPr>
        <w:t xml:space="preserve">一、项目清单</w:t>
      </w:r>
      <w:r/>
    </w:p>
    <w:tbl>
      <w:tblPr>
        <w:tblStyle w:val="833"/>
        <w:tblW w:w="8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87"/>
        <w:gridCol w:w="1711"/>
        <w:gridCol w:w="1409"/>
        <w:gridCol w:w="587"/>
        <w:gridCol w:w="687"/>
        <w:gridCol w:w="1409"/>
        <w:gridCol w:w="939"/>
        <w:gridCol w:w="587"/>
      </w:tblGrid>
      <w:tr>
        <w:trPr>
          <w:jc w:val="center"/>
          <w:trHeight w:val="545"/>
        </w:trPr>
        <w:tc>
          <w:tcPr>
            <w:tcMar>
              <w:left w:w="20" w:type="dxa"/>
              <w:top w:w="20" w:type="dxa"/>
              <w:right w:w="20" w:type="dxa"/>
              <w:bottom w:w="20" w:type="dxa"/>
            </w:tcMar>
            <w:tcW w:w="687" w:type="dxa"/>
            <w:vAlign w:val="center"/>
            <w:textDirection w:val="lrTb"/>
            <w:noWrap w:val="false"/>
          </w:tcPr>
          <w:p>
            <w:pPr>
              <w:jc w:val="center"/>
              <w:spacing w:line="360" w:lineRule="auto"/>
              <w:rPr>
                <w:highlight w:val="none"/>
              </w:rPr>
            </w:pPr>
            <w:r>
              <w:rPr>
                <w:rFonts w:ascii="宋体" w:hAnsi="宋体" w:cs="宋体"/>
                <w:b/>
                <w:highlight w:val="none"/>
              </w:rPr>
              <w:t xml:space="preserve">序号</w:t>
            </w:r>
            <w:r/>
          </w:p>
        </w:tc>
        <w:tc>
          <w:tcPr>
            <w:tcMar>
              <w:left w:w="20" w:type="dxa"/>
              <w:top w:w="20" w:type="dxa"/>
              <w:right w:w="20" w:type="dxa"/>
              <w:bottom w:w="20" w:type="dxa"/>
            </w:tcMar>
            <w:tcW w:w="1711" w:type="dxa"/>
            <w:vAlign w:val="center"/>
            <w:textDirection w:val="lrTb"/>
            <w:noWrap w:val="false"/>
          </w:tcPr>
          <w:p>
            <w:pPr>
              <w:jc w:val="center"/>
              <w:spacing w:line="360" w:lineRule="auto"/>
              <w:rPr>
                <w:highlight w:val="none"/>
              </w:rPr>
            </w:pPr>
            <w:r>
              <w:rPr>
                <w:rFonts w:ascii="宋体" w:hAnsi="宋体" w:cs="宋体"/>
                <w:b/>
                <w:highlight w:val="none"/>
              </w:rPr>
              <w:t xml:space="preserve">名称</w:t>
            </w:r>
            <w:r/>
          </w:p>
        </w:tc>
        <w:tc>
          <w:tcPr>
            <w:tcMar>
              <w:left w:w="20" w:type="dxa"/>
              <w:top w:w="20" w:type="dxa"/>
              <w:right w:w="20" w:type="dxa"/>
              <w:bottom w:w="20" w:type="dxa"/>
            </w:tcMar>
            <w:tcW w:w="1409" w:type="dxa"/>
            <w:vAlign w:val="center"/>
            <w:textDirection w:val="lrTb"/>
            <w:noWrap w:val="false"/>
          </w:tcPr>
          <w:p>
            <w:pPr>
              <w:jc w:val="center"/>
              <w:spacing w:line="360" w:lineRule="auto"/>
              <w:rPr>
                <w:highlight w:val="none"/>
              </w:rPr>
            </w:pPr>
            <w:r>
              <w:rPr>
                <w:rFonts w:ascii="宋体" w:hAnsi="宋体" w:cs="宋体"/>
                <w:b/>
                <w:highlight w:val="none"/>
              </w:rPr>
              <w:t xml:space="preserve">规格</w:t>
            </w:r>
            <w:r/>
          </w:p>
        </w:tc>
        <w:tc>
          <w:tcPr>
            <w:tcMar>
              <w:left w:w="20" w:type="dxa"/>
              <w:top w:w="20" w:type="dxa"/>
              <w:right w:w="20" w:type="dxa"/>
              <w:bottom w:w="20" w:type="dxa"/>
            </w:tcMar>
            <w:tcW w:w="587" w:type="dxa"/>
            <w:vAlign w:val="center"/>
            <w:textDirection w:val="lrTb"/>
            <w:noWrap w:val="false"/>
          </w:tcPr>
          <w:p>
            <w:pPr>
              <w:jc w:val="center"/>
              <w:spacing w:line="360" w:lineRule="auto"/>
              <w:rPr>
                <w:highlight w:val="none"/>
              </w:rPr>
            </w:pPr>
            <w:r>
              <w:rPr>
                <w:rFonts w:ascii="宋体" w:hAnsi="宋体" w:cs="宋体"/>
                <w:b/>
                <w:highlight w:val="none"/>
              </w:rPr>
              <w:t xml:space="preserve">单位</w:t>
            </w:r>
            <w:r/>
          </w:p>
        </w:tc>
        <w:tc>
          <w:tcPr>
            <w:tcMar>
              <w:left w:w="20" w:type="dxa"/>
              <w:top w:w="20" w:type="dxa"/>
              <w:right w:w="20" w:type="dxa"/>
              <w:bottom w:w="20" w:type="dxa"/>
            </w:tcMar>
            <w:tcW w:w="687" w:type="dxa"/>
            <w:vAlign w:val="center"/>
            <w:textDirection w:val="lrTb"/>
            <w:noWrap w:val="false"/>
          </w:tcPr>
          <w:p>
            <w:pPr>
              <w:jc w:val="center"/>
              <w:spacing w:line="360" w:lineRule="auto"/>
              <w:rPr>
                <w:highlight w:val="none"/>
              </w:rPr>
            </w:pPr>
            <w:r>
              <w:rPr>
                <w:rFonts w:ascii="宋体" w:hAnsi="宋体" w:cs="宋体"/>
                <w:b/>
                <w:highlight w:val="none"/>
              </w:rPr>
              <w:t xml:space="preserve">数量</w:t>
            </w:r>
            <w:r/>
          </w:p>
        </w:tc>
        <w:tc>
          <w:tcPr>
            <w:tcMar>
              <w:left w:w="20" w:type="dxa"/>
              <w:top w:w="20" w:type="dxa"/>
              <w:right w:w="20" w:type="dxa"/>
              <w:bottom w:w="20" w:type="dxa"/>
            </w:tcMar>
            <w:tcW w:w="1409" w:type="dxa"/>
            <w:vAlign w:val="center"/>
            <w:textDirection w:val="lrTb"/>
            <w:noWrap w:val="false"/>
          </w:tcPr>
          <w:p>
            <w:pPr>
              <w:jc w:val="center"/>
              <w:spacing w:line="360" w:lineRule="auto"/>
              <w:rPr>
                <w:highlight w:val="none"/>
              </w:rPr>
            </w:pPr>
            <w:r>
              <w:rPr>
                <w:rFonts w:ascii="宋体" w:hAnsi="宋体" w:cs="宋体"/>
                <w:b/>
                <w:highlight w:val="none"/>
              </w:rPr>
              <w:t xml:space="preserve">产品要求</w:t>
            </w:r>
            <w:r/>
          </w:p>
        </w:tc>
        <w:tc>
          <w:tcPr>
            <w:tcMar>
              <w:left w:w="20" w:type="dxa"/>
              <w:top w:w="20" w:type="dxa"/>
              <w:right w:w="20" w:type="dxa"/>
              <w:bottom w:w="20" w:type="dxa"/>
            </w:tcMar>
            <w:tcW w:w="939" w:type="dxa"/>
            <w:vAlign w:val="center"/>
            <w:textDirection w:val="lrTb"/>
            <w:noWrap w:val="false"/>
          </w:tcPr>
          <w:p>
            <w:pPr>
              <w:jc w:val="center"/>
              <w:spacing w:line="360" w:lineRule="auto"/>
              <w:rPr>
                <w:highlight w:val="none"/>
              </w:rPr>
            </w:pPr>
            <w:r>
              <w:rPr>
                <w:rFonts w:ascii="宋体" w:hAnsi="宋体" w:cs="宋体"/>
                <w:b/>
                <w:highlight w:val="none"/>
              </w:rPr>
              <w:t xml:space="preserve">进口产品</w:t>
            </w:r>
            <w:r/>
          </w:p>
        </w:tc>
        <w:tc>
          <w:tcPr>
            <w:tcMar>
              <w:left w:w="20" w:type="dxa"/>
              <w:top w:w="20" w:type="dxa"/>
              <w:right w:w="20" w:type="dxa"/>
              <w:bottom w:w="20" w:type="dxa"/>
            </w:tcMar>
            <w:tcW w:w="587" w:type="dxa"/>
            <w:vAlign w:val="center"/>
            <w:textDirection w:val="lrTb"/>
            <w:noWrap w:val="false"/>
          </w:tcPr>
          <w:p>
            <w:pPr>
              <w:jc w:val="center"/>
              <w:spacing w:line="360" w:lineRule="auto"/>
              <w:rPr>
                <w:highlight w:val="none"/>
              </w:rPr>
            </w:pPr>
            <w:r>
              <w:rPr>
                <w:rFonts w:ascii="宋体" w:hAnsi="宋体" w:cs="宋体"/>
                <w:b/>
                <w:highlight w:val="none"/>
              </w:rPr>
              <w:t xml:space="preserve">核心</w:t>
            </w:r>
            <w:r/>
          </w:p>
          <w:p>
            <w:pPr>
              <w:jc w:val="center"/>
              <w:spacing w:line="360" w:lineRule="auto"/>
              <w:rPr>
                <w:highlight w:val="none"/>
              </w:rPr>
            </w:pPr>
            <w:r>
              <w:rPr>
                <w:rFonts w:ascii="宋体" w:hAnsi="宋体" w:cs="宋体"/>
                <w:b/>
                <w:highlight w:val="none"/>
              </w:rPr>
              <w:t xml:space="preserve">产品</w:t>
            </w:r>
            <w:r/>
          </w:p>
        </w:tc>
      </w:tr>
      <w:tr>
        <w:trPr>
          <w:jc w:val="center"/>
          <w:trHeight w:val="555"/>
        </w:trPr>
        <w:tc>
          <w:tcPr>
            <w:tcMar>
              <w:left w:w="20" w:type="dxa"/>
              <w:top w:w="20" w:type="dxa"/>
              <w:right w:w="20" w:type="dxa"/>
              <w:bottom w:w="20" w:type="dxa"/>
            </w:tcMar>
            <w:tcW w:w="687" w:type="dxa"/>
            <w:vAlign w:val="center"/>
            <w:textDirection w:val="lrTb"/>
            <w:noWrap w:val="false"/>
          </w:tcPr>
          <w:p>
            <w:pPr>
              <w:jc w:val="center"/>
              <w:spacing w:line="360" w:lineRule="auto"/>
              <w:rPr>
                <w:highlight w:val="none"/>
              </w:rPr>
            </w:pPr>
            <w:r>
              <w:rPr>
                <w:rFonts w:ascii="宋体" w:hAnsi="宋体" w:cs="宋体"/>
                <w:highlight w:val="none"/>
              </w:rPr>
              <w:t xml:space="preserve">1</w:t>
            </w:r>
            <w:r/>
          </w:p>
        </w:tc>
        <w:tc>
          <w:tcPr>
            <w:tcMar>
              <w:left w:w="20" w:type="dxa"/>
              <w:top w:w="20" w:type="dxa"/>
              <w:right w:w="20" w:type="dxa"/>
              <w:bottom w:w="20" w:type="dxa"/>
            </w:tcMar>
            <w:tcW w:w="1711" w:type="dxa"/>
            <w:vAlign w:val="center"/>
            <w:textDirection w:val="lrTb"/>
            <w:noWrap w:val="false"/>
          </w:tcPr>
          <w:p>
            <w:pPr>
              <w:jc w:val="center"/>
              <w:spacing w:line="360" w:lineRule="auto"/>
              <w:rPr>
                <w:highlight w:val="none"/>
              </w:rPr>
            </w:pPr>
            <w:r>
              <w:rPr>
                <w:rFonts w:hint="eastAsia" w:ascii="宋体" w:hAnsi="宋体" w:cs="宋体"/>
                <w:highlight w:val="none"/>
              </w:rPr>
              <w:t xml:space="preserve">粉末</w:t>
            </w:r>
            <w:r>
              <w:rPr>
                <w:rFonts w:ascii="宋体" w:hAnsi="宋体" w:cs="宋体"/>
                <w:highlight w:val="none"/>
              </w:rPr>
              <w:t xml:space="preserve">X-衍射仪</w:t>
            </w:r>
            <w:r/>
          </w:p>
        </w:tc>
        <w:tc>
          <w:tcPr>
            <w:tcMar>
              <w:left w:w="20" w:type="dxa"/>
              <w:top w:w="20" w:type="dxa"/>
              <w:right w:w="20" w:type="dxa"/>
              <w:bottom w:w="20" w:type="dxa"/>
            </w:tcMar>
            <w:tcW w:w="1409" w:type="dxa"/>
            <w:vAlign w:val="center"/>
            <w:textDirection w:val="lrTb"/>
            <w:noWrap w:val="false"/>
          </w:tcPr>
          <w:p>
            <w:pPr>
              <w:jc w:val="center"/>
              <w:spacing w:line="360" w:lineRule="auto"/>
              <w:rPr>
                <w:highlight w:val="none"/>
              </w:rPr>
            </w:pPr>
            <w:r>
              <w:rPr>
                <w:rFonts w:ascii="宋体" w:hAnsi="宋体" w:cs="宋体"/>
                <w:highlight w:val="none"/>
              </w:rPr>
              <w:t xml:space="preserve">详见技术参数</w:t>
            </w:r>
            <w:r/>
          </w:p>
        </w:tc>
        <w:tc>
          <w:tcPr>
            <w:tcMar>
              <w:left w:w="20" w:type="dxa"/>
              <w:top w:w="20" w:type="dxa"/>
              <w:right w:w="20" w:type="dxa"/>
              <w:bottom w:w="20" w:type="dxa"/>
            </w:tcMar>
            <w:tcW w:w="587" w:type="dxa"/>
            <w:vAlign w:val="center"/>
            <w:textDirection w:val="lrTb"/>
            <w:noWrap w:val="false"/>
          </w:tcPr>
          <w:p>
            <w:pPr>
              <w:jc w:val="center"/>
              <w:spacing w:line="360" w:lineRule="auto"/>
              <w:rPr>
                <w:highlight w:val="none"/>
              </w:rPr>
            </w:pPr>
            <w:r>
              <w:rPr>
                <w:rFonts w:ascii="宋体" w:hAnsi="宋体" w:cs="宋体"/>
                <w:highlight w:val="none"/>
              </w:rPr>
              <w:t xml:space="preserve">台</w:t>
            </w:r>
            <w:r/>
          </w:p>
        </w:tc>
        <w:tc>
          <w:tcPr>
            <w:tcMar>
              <w:left w:w="20" w:type="dxa"/>
              <w:top w:w="20" w:type="dxa"/>
              <w:right w:w="20" w:type="dxa"/>
              <w:bottom w:w="20" w:type="dxa"/>
            </w:tcMar>
            <w:tcW w:w="687" w:type="dxa"/>
            <w:vAlign w:val="center"/>
            <w:textDirection w:val="lrTb"/>
            <w:noWrap w:val="false"/>
          </w:tcPr>
          <w:p>
            <w:pPr>
              <w:jc w:val="center"/>
              <w:spacing w:line="360" w:lineRule="auto"/>
              <w:rPr>
                <w:highlight w:val="none"/>
              </w:rPr>
            </w:pPr>
            <w:r>
              <w:rPr>
                <w:rFonts w:ascii="宋体" w:hAnsi="宋体" w:cs="宋体"/>
                <w:sz w:val="18"/>
                <w:highlight w:val="none"/>
              </w:rPr>
              <w:t xml:space="preserve">1</w:t>
            </w:r>
            <w:r/>
          </w:p>
        </w:tc>
        <w:tc>
          <w:tcPr>
            <w:tcMar>
              <w:left w:w="20" w:type="dxa"/>
              <w:top w:w="20" w:type="dxa"/>
              <w:right w:w="20" w:type="dxa"/>
              <w:bottom w:w="20" w:type="dxa"/>
            </w:tcMar>
            <w:tcW w:w="1409" w:type="dxa"/>
            <w:vAlign w:val="center"/>
            <w:textDirection w:val="lrTb"/>
            <w:noWrap w:val="false"/>
          </w:tcPr>
          <w:p>
            <w:pPr>
              <w:jc w:val="center"/>
              <w:spacing w:line="360" w:lineRule="auto"/>
              <w:rPr>
                <w:highlight w:val="none"/>
              </w:rPr>
            </w:pPr>
            <w:r>
              <w:rPr>
                <w:rFonts w:ascii="宋体" w:hAnsi="宋体" w:cs="宋体"/>
                <w:highlight w:val="none"/>
              </w:rPr>
              <w:t xml:space="preserve">详见技术参数</w:t>
            </w:r>
            <w:r/>
          </w:p>
        </w:tc>
        <w:tc>
          <w:tcPr>
            <w:tcMar>
              <w:left w:w="20" w:type="dxa"/>
              <w:top w:w="20" w:type="dxa"/>
              <w:right w:w="20" w:type="dxa"/>
              <w:bottom w:w="20" w:type="dxa"/>
            </w:tcMar>
            <w:tcW w:w="939" w:type="dxa"/>
            <w:vAlign w:val="center"/>
            <w:textDirection w:val="lrTb"/>
            <w:noWrap w:val="false"/>
          </w:tcPr>
          <w:p>
            <w:pPr>
              <w:jc w:val="center"/>
              <w:spacing w:line="360" w:lineRule="auto"/>
              <w:rPr>
                <w:highlight w:val="none"/>
              </w:rPr>
            </w:pPr>
            <w:r>
              <w:rPr>
                <w:rFonts w:ascii="宋体" w:hAnsi="宋体" w:cs="宋体"/>
                <w:highlight w:val="none"/>
              </w:rPr>
              <w:t xml:space="preserve">接受</w:t>
            </w:r>
            <w:r/>
          </w:p>
        </w:tc>
        <w:tc>
          <w:tcPr>
            <w:tcMar>
              <w:left w:w="20" w:type="dxa"/>
              <w:top w:w="20" w:type="dxa"/>
              <w:right w:w="20" w:type="dxa"/>
              <w:bottom w:w="20" w:type="dxa"/>
            </w:tcMar>
            <w:tcW w:w="587" w:type="dxa"/>
            <w:vAlign w:val="center"/>
            <w:textDirection w:val="lrTb"/>
            <w:noWrap w:val="false"/>
          </w:tcPr>
          <w:p>
            <w:pPr>
              <w:jc w:val="center"/>
              <w:spacing w:line="360" w:lineRule="auto"/>
              <w:rPr>
                <w:highlight w:val="none"/>
              </w:rPr>
            </w:pPr>
            <w:r>
              <w:rPr>
                <w:rFonts w:ascii="宋体" w:hAnsi="宋体" w:cs="宋体"/>
                <w:highlight w:val="none"/>
              </w:rPr>
              <w:t xml:space="preserve">是</w:t>
            </w:r>
            <w:r/>
          </w:p>
        </w:tc>
      </w:tr>
    </w:tbl>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2"/>
        <w:spacing w:line="360" w:lineRule="auto"/>
        <w:rPr>
          <w:rFonts w:hint="eastAsia" w:ascii="宋体" w:hAnsi="宋体" w:cs="宋体"/>
          <w:b/>
          <w:szCs w:val="21"/>
          <w:highlight w:val="none"/>
        </w:rPr>
        <w:outlineLvl w:val="1"/>
      </w:pPr>
      <w:r>
        <w:rPr>
          <w:rFonts w:hint="eastAsia" w:ascii="宋体" w:hAnsi="宋体" w:cs="宋体"/>
          <w:b/>
          <w:szCs w:val="21"/>
          <w:highlight w:val="none"/>
        </w:rPr>
        <w:t xml:space="preserve">二、技术参数（标准）</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对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bookmarkStart w:id="52" w:name="_GoBack"/>
      <w:r/>
      <w:bookmarkEnd w:id="52"/>
      <w:r>
        <w:rPr>
          <w:rFonts w:hint="eastAsia" w:ascii="宋体" w:hAnsi="宋体" w:cs="宋体"/>
          <w:b/>
          <w:szCs w:val="21"/>
          <w:highlight w:val="none"/>
        </w:rPr>
        <w:t xml:space="preserve">）</w:t>
      </w:r>
      <w:r/>
    </w:p>
    <w:p>
      <w:pPr>
        <w:ind w:firstLine="422"/>
        <w:jc w:val="left"/>
        <w:spacing w:line="360" w:lineRule="auto"/>
        <w:rPr>
          <w:rFonts w:hint="eastAsia" w:ascii="宋体" w:hAnsi="宋体" w:cs="宋体"/>
          <w:highlight w:val="none"/>
        </w:rPr>
        <w:outlineLvl w:val="2"/>
      </w:pPr>
      <w:r>
        <w:rPr>
          <w:rFonts w:hint="eastAsia" w:ascii="宋体" w:hAnsi="宋体" w:cs="宋体"/>
          <w:b/>
          <w:bCs/>
          <w:highlight w:val="none"/>
        </w:rPr>
        <w:t xml:space="preserve">（一）性能要求</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1、X射线光源与光管</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1.1、X射线发生器：输出功率≥3kW；最大电压≥50kV；最大电流≥50mA；</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1.2、长寿命陶瓷X射线光管：Cu靶陶瓷光管，≥2.2kW，标准尺寸设计；</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★1.3、独立X射线光管控制系统：开机状态非测试条件下确保无 X 射线发；门锁联动机构（门闭锁后 X 射线才能发生）；X射线防护：防护罩外任何一点的计量辐射量小于1μSv/h（机柜外 10 cm 处）。</w:t>
      </w:r>
      <w:r>
        <w:rPr>
          <w:rFonts w:hint="eastAsia" w:ascii="宋体" w:hAnsi="宋体" w:cs="宋体"/>
          <w:b/>
          <w:bCs/>
          <w:highlight w:val="none"/>
        </w:rPr>
        <w:t xml:space="preserve">（具备国家环保部门颁发的对应型号的辐射豁免公告或相同型号产品的具备辐射类设备检测资质的第三方检测合格报告）。</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2、测角仪</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2.1、测角仪采用光学编码或步进马达定位系统；</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2.2、驱动方式：步进马达或光学编码器驱动；</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2.3、扫描方式：Theta / Theta测角仪，立式测角仪；</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2.4、转动范围：-10°~168°；</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▲2.5、测角仪半径：≥240mm，入射光路＆衍射光路可连续改变；</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2.6、最小步长：0.0001°，角度重现性：0.0001°；</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★2.7、验收精度：国际标准样品NIST 1976刚玉标样或NIST 640硅粉标样现场检测，全谱范围内所有峰的角度偏差不超过±0.01度（20度到140度），随机带保证书。</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3.探测器</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3.1、阵列探测器；</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▲3.2、探测器面积:≥220mm^2，子探测器或通道数≥190个，单个探测器像素≤75μm；</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▲3.3、背景：＜0.1 cps；最大计数：≥1×10^8 cps；</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▲3.4、能量分辨率：≤12.5%（1000eV/8000eV）。</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4、自动样品交换器：（保证提供自动进样器，限制表述不清、而仅提供单个样品台）</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4.1样品数量：≥6个；</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4.2样品面内旋转速度：0.1～200 rpm；</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4.3可以实现透射模式和反射模式（保证提供透反射功能）。</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5、光路部分</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5.1、所有光学附件均采用模块化设计，智能芯片识别、自动精确定位，安装、拆卸方便快捷；</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5.2、动态光路或平行光路系统或会聚光路；</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▲5.3、采用全光路自动狭缝系统：包括自动防散射狭缝、自动发散狭缝、自动接受狭缝；</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6、仪器控制和数据采集系统:</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6.1控制器：i5处理器或优于、≥8G内存、1T硬盘，正版win10系统（或同等功能及以上操作系统）、≥21英寸显示屏；</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6.2、数据分析软件，包含结构精修、全谱拟合、无标定量等功能；标配COD数据库。</w:t>
      </w:r>
      <w:r/>
    </w:p>
    <w:p>
      <w:pPr>
        <w:ind w:firstLine="420"/>
        <w:jc w:val="left"/>
        <w:spacing w:line="360" w:lineRule="auto"/>
        <w:rPr>
          <w:rFonts w:hint="eastAsia" w:ascii="宋体" w:hAnsi="宋体" w:cs="宋体"/>
          <w:highlight w:val="none"/>
        </w:rPr>
      </w:pPr>
      <w:r>
        <w:rPr>
          <w:rFonts w:hint="eastAsia" w:ascii="宋体" w:hAnsi="宋体" w:cs="宋体"/>
          <w:szCs w:val="21"/>
          <w:highlight w:val="none"/>
        </w:rPr>
        <w:t xml:space="preserve">★</w:t>
      </w:r>
      <w:r>
        <w:rPr>
          <w:rFonts w:hint="eastAsia" w:ascii="宋体" w:hAnsi="宋体" w:cs="宋体"/>
          <w:highlight w:val="none"/>
        </w:rPr>
        <w:t xml:space="preserve">（二）配置要求</w:t>
      </w:r>
      <w:r>
        <w:rPr>
          <w:rFonts w:hint="eastAsia" w:ascii="宋体" w:hAnsi="宋体" w:cs="宋体"/>
          <w:b/>
          <w:bCs/>
          <w:highlight w:val="none"/>
        </w:rPr>
        <w:t xml:space="preserve">（此项须提供承诺书原件加盖公章）</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1、X射线衍射衍射仪主机柜1套；</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2、高压发生器、X射线光管1套；</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3、高精度测角仪1套；</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4、自动进样器1套；</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5、阵列探测器1套；</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6、光路系统1套；</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7、终端显示器（i5处理器或优于、≥8G内存、1T硬盘，正版win10系统、≥21英寸显示屏）1套；</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8、配套软件  1套；</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9、国内配套水冷机   1套；</w:t>
      </w:r>
      <w:r/>
    </w:p>
    <w:p>
      <w:pPr>
        <w:ind w:firstLine="420"/>
        <w:jc w:val="left"/>
        <w:spacing w:line="360" w:lineRule="auto"/>
        <w:rPr>
          <w:rFonts w:hint="eastAsia" w:ascii="宋体" w:hAnsi="宋体" w:cs="宋体"/>
          <w:szCs w:val="21"/>
          <w:highlight w:val="none"/>
        </w:rPr>
      </w:pPr>
      <w:r>
        <w:rPr>
          <w:rFonts w:hint="eastAsia" w:ascii="宋体" w:hAnsi="宋体" w:cs="宋体"/>
          <w:highlight w:val="none"/>
        </w:rPr>
        <w:t xml:space="preserve">10、稳压电源（10KVA）   1套。</w:t>
      </w:r>
      <w:r/>
    </w:p>
    <w:p>
      <w:pPr>
        <w:ind w:firstLine="422"/>
        <w:spacing w:line="500" w:lineRule="exact"/>
        <w:rPr>
          <w:rFonts w:hint="eastAsia" w:ascii="宋体" w:hAnsi="宋体" w:cs="宋体"/>
          <w:b/>
          <w:szCs w:val="21"/>
          <w:highlight w:val="none"/>
        </w:rPr>
        <w:outlineLvl w:val="1"/>
      </w:pPr>
      <w:r>
        <w:rPr>
          <w:rFonts w:hint="eastAsia" w:ascii="宋体" w:hAnsi="宋体" w:cs="宋体"/>
          <w:b/>
          <w:szCs w:val="21"/>
          <w:highlight w:val="none"/>
        </w:rPr>
        <w:t xml:space="preserve">三、服务要求</w:t>
      </w:r>
      <w:r/>
    </w:p>
    <w:p>
      <w:pPr>
        <w:ind w:firstLine="420"/>
        <w:jc w:val="left"/>
        <w:spacing w:line="360" w:lineRule="auto"/>
        <w:rPr>
          <w:highlight w:val="none"/>
        </w:rPr>
        <w:outlineLvl w:val="2"/>
      </w:pPr>
      <w:r>
        <w:rPr>
          <w:rFonts w:ascii="宋体" w:hAnsi="宋体" w:cs="宋体"/>
          <w:highlight w:val="none"/>
        </w:rPr>
        <w:t xml:space="preserve">(一)售后服务要求</w:t>
      </w:r>
      <w:r/>
    </w:p>
    <w:p>
      <w:pPr>
        <w:ind w:firstLine="420"/>
        <w:jc w:val="left"/>
        <w:spacing w:line="360" w:lineRule="auto"/>
        <w:rPr>
          <w:highlight w:val="none"/>
        </w:rPr>
      </w:pPr>
      <w:r>
        <w:rPr>
          <w:rFonts w:ascii="宋体" w:hAnsi="宋体" w:cs="宋体"/>
          <w:highlight w:val="none"/>
        </w:rPr>
        <w:t xml:space="preserve">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highlight w:val="none"/>
        </w:rPr>
        <w:t xml:space="preserve">原厂</w:t>
      </w:r>
      <w:r>
        <w:rPr>
          <w:rFonts w:ascii="宋体" w:hAnsi="宋体" w:cs="宋体"/>
          <w:highlight w:val="none"/>
        </w:rPr>
        <w:t xml:space="preserve">维修工程师应于</w:t>
      </w:r>
      <w:r>
        <w:rPr>
          <w:rFonts w:hint="eastAsia" w:ascii="宋体" w:hAnsi="宋体" w:cs="宋体"/>
          <w:highlight w:val="none"/>
        </w:rPr>
        <w:t xml:space="preserve">48</w:t>
      </w:r>
      <w:r>
        <w:rPr>
          <w:rFonts w:ascii="宋体" w:hAnsi="宋体" w:cs="宋体"/>
          <w:highlight w:val="none"/>
        </w:rPr>
        <w:t xml:space="preserve">小时内至现场解决。在质量保证期内，免费维修更换有缺陷的设备或部件，质量保证期外，</w:t>
      </w:r>
      <w:r>
        <w:rPr>
          <w:rFonts w:hint="eastAsia" w:ascii="宋体" w:hAnsi="宋体" w:cs="宋体"/>
          <w:highlight w:val="none"/>
        </w:rPr>
        <w:t xml:space="preserve">供应商</w:t>
      </w:r>
      <w:r>
        <w:rPr>
          <w:rFonts w:ascii="宋体" w:hAnsi="宋体" w:cs="宋体"/>
          <w:highlight w:val="none"/>
        </w:rPr>
        <w:t xml:space="preserve">继续提供维修服务及零部件更换。</w:t>
      </w:r>
      <w:r/>
    </w:p>
    <w:p>
      <w:pPr>
        <w:ind w:firstLine="420"/>
        <w:jc w:val="left"/>
        <w:spacing w:line="360" w:lineRule="auto"/>
        <w:rPr>
          <w:highlight w:val="none"/>
        </w:rPr>
      </w:pPr>
      <w:r>
        <w:rPr>
          <w:rFonts w:ascii="宋体" w:hAnsi="宋体" w:cs="宋体"/>
          <w:highlight w:val="none"/>
        </w:rPr>
        <w:t xml:space="preserve">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w:t>
      </w:r>
      <w:r/>
    </w:p>
    <w:p>
      <w:pPr>
        <w:ind w:firstLine="420"/>
        <w:jc w:val="left"/>
        <w:spacing w:line="360" w:lineRule="auto"/>
        <w:rPr>
          <w:highlight w:val="none"/>
        </w:rPr>
      </w:pPr>
      <w:r>
        <w:rPr>
          <w:rFonts w:ascii="宋体" w:hAnsi="宋体" w:cs="宋体"/>
          <w:highlight w:val="none"/>
        </w:rPr>
        <w:t xml:space="preserve">3、其他的服务内容：供应商根据合同规定提供设备安装调试所需的资料, 并在保证安全和质量的前提下提供技术支持, 包括技术咨询、现场服务等。</w:t>
      </w:r>
      <w:r/>
    </w:p>
    <w:p>
      <w:pPr>
        <w:ind w:firstLine="420"/>
        <w:jc w:val="left"/>
        <w:spacing w:line="360" w:lineRule="auto"/>
        <w:rPr>
          <w:highlight w:val="none"/>
        </w:rPr>
      </w:pPr>
      <w:r>
        <w:rPr>
          <w:rFonts w:ascii="宋体" w:hAnsi="宋体" w:cs="宋体"/>
          <w:highlight w:val="none"/>
        </w:rPr>
        <w:t xml:space="preserve">4、在设备交付运行后，供应商如对系统软件改进，增加新功能以及适应新建议所做实质性修改的最新版本，应主动提示采购人并免费提供升级服务。</w:t>
      </w:r>
      <w:r/>
    </w:p>
    <w:p>
      <w:pPr>
        <w:ind w:firstLine="420"/>
        <w:jc w:val="left"/>
        <w:spacing w:line="360" w:lineRule="auto"/>
        <w:rPr>
          <w:highlight w:val="none"/>
        </w:rPr>
      </w:pPr>
      <w:r>
        <w:rPr>
          <w:rFonts w:ascii="宋体" w:hAnsi="宋体" w:cs="宋体"/>
          <w:highlight w:val="none"/>
        </w:rPr>
        <w:t xml:space="preserve">5、供应商应设有技术支持中心，提供专业的技术支持和维修服务，在所提供设备的寿命期内保证设备终身技术支持。</w:t>
      </w:r>
      <w:r/>
    </w:p>
    <w:p>
      <w:pPr>
        <w:ind w:firstLine="420"/>
        <w:jc w:val="left"/>
        <w:spacing w:line="360" w:lineRule="auto"/>
        <w:rPr>
          <w:highlight w:val="none"/>
        </w:rPr>
      </w:pPr>
      <w:r>
        <w:rPr>
          <w:rFonts w:ascii="宋体" w:hAnsi="宋体" w:cs="宋体"/>
          <w:highlight w:val="none"/>
        </w:rPr>
        <w:t xml:space="preserve">6、供应商应承诺，根据采购人实际需要提供在同一校区内免费设备移机服务1次。</w:t>
      </w:r>
      <w:r/>
    </w:p>
    <w:p>
      <w:pPr>
        <w:ind w:firstLine="420"/>
        <w:jc w:val="left"/>
        <w:spacing w:line="360" w:lineRule="auto"/>
        <w:rPr>
          <w:highlight w:val="none"/>
        </w:rPr>
      </w:pPr>
      <w:r>
        <w:rPr>
          <w:rFonts w:ascii="宋体" w:hAnsi="宋体" w:cs="宋体"/>
          <w:highlight w:val="none"/>
        </w:rPr>
        <w:t xml:space="preserve">7</w:t>
      </w:r>
      <w:r>
        <w:rPr>
          <w:rFonts w:hint="eastAsia" w:ascii="宋体" w:hAnsi="宋体" w:cs="宋体"/>
          <w:highlight w:val="none"/>
        </w:rPr>
        <w:t xml:space="preserve">、</w:t>
      </w:r>
      <w:r>
        <w:rPr>
          <w:rFonts w:ascii="宋体" w:hAnsi="宋体" w:cs="宋体"/>
          <w:highlight w:val="none"/>
        </w:rPr>
        <w:t xml:space="preserve">供应商需在仪器安装完72h内安排仪器操作人员、维护人员的培训，培训形式包括现场培训或线上培训。</w:t>
      </w:r>
      <w:r/>
    </w:p>
    <w:p>
      <w:pPr>
        <w:ind w:firstLine="420"/>
        <w:jc w:val="left"/>
        <w:spacing w:line="360" w:lineRule="auto"/>
        <w:rPr>
          <w:highlight w:val="none"/>
        </w:rPr>
        <w:outlineLvl w:val="2"/>
      </w:pPr>
      <w:r>
        <w:rPr>
          <w:rFonts w:ascii="宋体" w:hAnsi="宋体" w:cs="宋体"/>
          <w:highlight w:val="none"/>
        </w:rPr>
        <w:t xml:space="preserve">(二)质保期限</w:t>
      </w:r>
      <w:r/>
    </w:p>
    <w:p>
      <w:pPr>
        <w:ind w:firstLine="420"/>
        <w:jc w:val="left"/>
        <w:spacing w:line="360" w:lineRule="auto"/>
        <w:rPr>
          <w:rFonts w:hint="eastAsia" w:ascii="宋体" w:hAnsi="宋体"/>
          <w:szCs w:val="21"/>
          <w:highlight w:val="none"/>
        </w:rPr>
      </w:pPr>
      <w:r>
        <w:rPr>
          <w:rFonts w:ascii="宋体" w:hAnsi="宋体" w:cs="宋体"/>
          <w:highlight w:val="none"/>
        </w:rPr>
        <w:t xml:space="preserve">本次采购设备的质量保证期自设备完成验收后，采购人与供应商双方签字之日起计算，质量保证期至少为</w:t>
      </w:r>
      <w:r>
        <w:rPr>
          <w:rFonts w:hint="eastAsia" w:ascii="宋体" w:hAnsi="宋体" w:cs="宋体"/>
          <w:highlight w:val="none"/>
        </w:rPr>
        <w:t xml:space="preserve">2</w:t>
      </w:r>
      <w:r>
        <w:rPr>
          <w:rFonts w:ascii="宋体" w:hAnsi="宋体" w:cs="宋体"/>
          <w:highlight w:val="none"/>
        </w:rPr>
        <w:t xml:space="preserve">年（</w:t>
      </w:r>
      <w:r>
        <w:rPr>
          <w:rFonts w:hint="eastAsia" w:ascii="宋体" w:hAnsi="宋体" w:cs="宋体"/>
          <w:highlight w:val="none"/>
        </w:rPr>
        <w:t xml:space="preserve">24</w:t>
      </w:r>
      <w:r>
        <w:rPr>
          <w:rFonts w:ascii="宋体" w:hAnsi="宋体" w:cs="宋体"/>
          <w:highlight w:val="none"/>
        </w:rPr>
        <w:t xml:space="preserve">个月）。</w:t>
      </w:r>
      <w:r/>
    </w:p>
    <w:p>
      <w:pPr>
        <w:ind w:firstLine="422"/>
        <w:spacing w:line="500" w:lineRule="exact"/>
        <w:rPr>
          <w:rFonts w:hint="eastAsia" w:ascii="宋体" w:hAnsi="宋体"/>
          <w:szCs w:val="21"/>
          <w:highlight w:val="none"/>
        </w:rPr>
        <w:outlineLvl w:val="1"/>
      </w:pPr>
      <w:r>
        <w:rPr>
          <w:rFonts w:hint="eastAsia" w:ascii="宋体" w:hAnsi="宋体" w:cs="宋体"/>
          <w:b/>
          <w:szCs w:val="21"/>
          <w:highlight w:val="none"/>
        </w:rPr>
        <w:t xml:space="preserve">四、验收标准</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1、中标供应商交货前应对货物全面检查并对验收文件进行整理，列出清单提交采购人，检验的结果亦应随货物交采购人。</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2、采购人对中标供应商提供的货物在使用前进行调试时，中标供应商需负责安装并培训采购人的使用操作人员，并协助采购人一起调试，直到符合技术要求。</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3、在安装、调试和验收过程中，如发现有漏件、缺件，中标供应商应无条件、无偿补齐，所发生的一切费用，视为已包含在投标报价中，且并不因此而影响交付采购人使用的时间。</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4、采购人对中标供应商提交的货物依据采购文件上的技术规格要求和国家有关质量标准进行现场初步验收。外观、说明书符合采购文件技术要求的，给予签收，初步验收不合格的不予签收。采购人需在10个工作日内完成初步验收。</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5、设备、材料安装、调试结束，采购人及中标供应商双方派员共同验收，达到验收标准则由采购人最终验收合格。最终验收完毕后出具验收结果报告并经双方签字确认；验收相关费用由中标供应商承担。</w:t>
      </w:r>
      <w:r/>
    </w:p>
    <w:p>
      <w:pPr>
        <w:ind w:firstLine="420"/>
        <w:jc w:val="left"/>
        <w:spacing w:line="360" w:lineRule="auto"/>
        <w:rPr>
          <w:rFonts w:hint="eastAsia" w:ascii="宋体" w:hAnsi="宋体"/>
          <w:szCs w:val="21"/>
          <w:highlight w:val="none"/>
        </w:rPr>
      </w:pPr>
      <w:r>
        <w:rPr>
          <w:rFonts w:hint="eastAsia" w:ascii="宋体" w:hAnsi="宋体" w:cs="宋体"/>
          <w:highlight w:val="none"/>
        </w:rPr>
        <w:t xml:space="preserve">6、采购人可聘请国家认可的专业检测机构参与初步验收及最终验收，并由其出具质量检测报告，作为采购人判断中标供应商的货物能否通过验收的条件之一，无论是否通过验收，相关检测费用均由中标供应商承担。因中标供应商交付的货物不符合标准导致重复支出的验收费用，亦由中标供应商承担。</w:t>
      </w:r>
      <w:r/>
    </w:p>
    <w:p>
      <w:pPr>
        <w:ind w:firstLine="422"/>
        <w:spacing w:line="500" w:lineRule="exact"/>
        <w:rPr>
          <w:rFonts w:hint="eastAsia" w:ascii="宋体" w:hAnsi="宋体" w:cs="宋体"/>
          <w:b/>
          <w:szCs w:val="21"/>
          <w:highlight w:val="none"/>
        </w:rPr>
        <w:outlineLvl w:val="1"/>
      </w:pPr>
      <w:r>
        <w:rPr>
          <w:rFonts w:hint="eastAsia" w:ascii="宋体" w:hAnsi="宋体" w:cs="宋体"/>
          <w:b/>
          <w:szCs w:val="21"/>
          <w:highlight w:val="none"/>
        </w:rPr>
        <w:t xml:space="preserve">五、履约保证金</w:t>
      </w:r>
      <w:r/>
    </w:p>
    <w:p>
      <w:pPr>
        <w:ind w:firstLine="420"/>
        <w:spacing w:line="360" w:lineRule="auto"/>
        <w:rPr>
          <w:rFonts w:hint="eastAsia" w:ascii="宋体" w:hAnsi="宋体" w:cs="宋体"/>
          <w:highlight w:val="none"/>
        </w:rPr>
        <w:outlineLvl w:val="2"/>
      </w:pPr>
      <w:r>
        <w:rPr>
          <w:rFonts w:hint="eastAsia" w:ascii="宋体" w:hAnsi="宋体" w:cs="宋体"/>
          <w:highlight w:val="none"/>
        </w:rPr>
        <w:t xml:space="preserve">1.免费质保期</w:t>
      </w:r>
      <w:r/>
    </w:p>
    <w:p>
      <w:pPr>
        <w:ind w:firstLine="420"/>
        <w:spacing w:line="360" w:lineRule="auto"/>
        <w:rPr>
          <w:rFonts w:hint="eastAsia" w:ascii="宋体" w:hAnsi="宋体" w:cs="宋体"/>
          <w:highlight w:val="none"/>
        </w:rPr>
      </w:pPr>
      <w:r>
        <w:rPr>
          <w:rFonts w:ascii="宋体" w:hAnsi="宋体" w:cs="宋体"/>
          <w:highlight w:val="none"/>
        </w:rPr>
        <w:t xml:space="preserve">本次采购设备的质量保证期自设备完成验收后，采购人与供应商双方签字之日起计算，质量保证期至少为</w:t>
      </w:r>
      <w:r>
        <w:rPr>
          <w:rFonts w:hint="eastAsia" w:ascii="宋体" w:hAnsi="宋体" w:cs="宋体"/>
          <w:highlight w:val="none"/>
        </w:rPr>
        <w:t xml:space="preserve">2</w:t>
      </w:r>
      <w:r>
        <w:rPr>
          <w:rFonts w:ascii="宋体" w:hAnsi="宋体" w:cs="宋体"/>
          <w:highlight w:val="none"/>
        </w:rPr>
        <w:t xml:space="preserve">年（</w:t>
      </w:r>
      <w:r>
        <w:rPr>
          <w:rFonts w:hint="eastAsia" w:ascii="宋体" w:hAnsi="宋体" w:cs="宋体"/>
          <w:highlight w:val="none"/>
        </w:rPr>
        <w:t xml:space="preserve">24</w:t>
      </w:r>
      <w:r>
        <w:rPr>
          <w:rFonts w:ascii="宋体" w:hAnsi="宋体" w:cs="宋体"/>
          <w:highlight w:val="none"/>
        </w:rPr>
        <w:t xml:space="preserve">个月）。</w:t>
      </w:r>
      <w:r/>
    </w:p>
    <w:p>
      <w:pPr>
        <w:ind w:firstLine="420"/>
        <w:spacing w:line="360" w:lineRule="auto"/>
        <w:rPr>
          <w:rFonts w:hint="eastAsia" w:ascii="宋体" w:hAnsi="宋体" w:cs="宋体"/>
          <w:highlight w:val="none"/>
        </w:rPr>
        <w:outlineLvl w:val="2"/>
      </w:pPr>
      <w:r>
        <w:rPr>
          <w:rFonts w:hint="eastAsia" w:ascii="宋体" w:hAnsi="宋体" w:cs="宋体"/>
          <w:highlight w:val="none"/>
        </w:rPr>
        <w:t xml:space="preserve">2.履约保证金</w:t>
      </w:r>
      <w:r/>
    </w:p>
    <w:p>
      <w:pPr>
        <w:ind w:firstLine="420"/>
        <w:spacing w:line="360" w:lineRule="auto"/>
        <w:rPr>
          <w:rFonts w:hint="eastAsia" w:ascii="宋体" w:hAnsi="宋体" w:cs="宋体"/>
          <w:highlight w:val="none"/>
        </w:rPr>
      </w:pPr>
      <w:r>
        <w:rPr>
          <w:rFonts w:hint="eastAsia" w:ascii="宋体" w:hAnsi="宋体" w:cs="宋体"/>
          <w:highlight w:val="none"/>
        </w:rPr>
        <w:t xml:space="preserve">中标供应商于本合同签订前向采购人交纳合同价的【5】%作为本合同的履约保证金。</w:t>
      </w:r>
      <w:r/>
    </w:p>
    <w:p>
      <w:pPr>
        <w:ind w:firstLine="420"/>
        <w:spacing w:line="360" w:lineRule="auto"/>
        <w:rPr>
          <w:rFonts w:hint="eastAsia" w:ascii="宋体" w:hAnsi="宋体" w:cs="宋体"/>
          <w:highlight w:val="none"/>
        </w:rPr>
      </w:pPr>
      <w:r>
        <w:rPr>
          <w:rFonts w:hint="eastAsia" w:ascii="宋体" w:hAnsi="宋体" w:cs="宋体"/>
          <w:highlight w:val="none"/>
        </w:rPr>
        <w:t xml:space="preserve">自采购人最终书面确认验收合格之日起算【12】个月后，采购人确认无质量问题且中标供应商无违约情形后将履约保证金无息退还给中标供应商。中标供应商若有违约情形的或产品存在质量问题，采购人有权依据合同约定在履约保证金中先行扣除相应金额的违约金或质量赔偿金。履约保证金不足扣除的，中标供应商应在接到采购人通知后及时补足。</w:t>
      </w:r>
      <w:r/>
    </w:p>
    <w:p>
      <w:pPr>
        <w:ind w:firstLine="422"/>
        <w:spacing w:line="360" w:lineRule="auto"/>
        <w:rPr>
          <w:rFonts w:hint="eastAsia" w:ascii="宋体" w:hAnsi="宋体" w:cs="宋体"/>
          <w:highlight w:val="none"/>
        </w:rPr>
        <w:outlineLvl w:val="1"/>
      </w:pPr>
      <w:r>
        <w:rPr>
          <w:rFonts w:hint="eastAsia" w:ascii="宋体" w:hAnsi="宋体" w:cs="宋体"/>
          <w:b/>
          <w:bCs/>
          <w:highlight w:val="none"/>
        </w:rPr>
        <w:t xml:space="preserve">六、付款方式</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采购人在收到发票后</w:t>
      </w:r>
      <w:r>
        <w:rPr>
          <w:rFonts w:hint="eastAsia" w:ascii="宋体" w:hAnsi="宋体" w:cs="宋体"/>
          <w:highlight w:val="none"/>
        </w:rPr>
        <w:t xml:space="preserve">15个工作日内</w:t>
      </w:r>
      <w:r>
        <w:rPr>
          <w:rFonts w:hint="eastAsia" w:ascii="宋体" w:hAnsi="宋体" w:cs="宋体"/>
          <w:color w:val="000000"/>
          <w:szCs w:val="21"/>
          <w:highlight w:val="none"/>
          <w:lang w:bidi="ar"/>
        </w:rPr>
        <w:t xml:space="preserve">向中标供货商付清应付款项。</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如中标产品为进口设备，则付款方式为：合同</w:t>
      </w:r>
      <w:r>
        <w:rPr>
          <w:rFonts w:hint="eastAsia" w:ascii="宋体" w:hAnsi="宋体" w:cs="宋体"/>
          <w:color w:val="000000"/>
          <w:szCs w:val="21"/>
          <w:highlight w:val="none"/>
          <w:lang w:bidi="ar"/>
        </w:rPr>
        <w:t xml:space="preserve">签订后，中标供应商委托采购人指定的外贸代理公司向采购人提供海关报关清单复印件、购汇凭证、境外发票复印件、代理手续费发票原件等（复印件须加盖外贸代理公司公章），在采购人在收到上述完整资料并与中标供应商确认无误后，根据采购人与外贸代理公司签订的外贸合同（即《委托代理进口合同》）的约定，采购人外贸代理公司预先支付货物的人民币全款（中标金额）。中标供货商将货物送达采购人指定交货地点并经采购人初步确认无误、且外贸代理公司与采购人一致确认到货后，由外贸代理公司按照与采购人签订的外贸合同的约定向中标供货商支付90％货款，</w:t>
      </w:r>
      <w:r>
        <w:rPr>
          <w:rFonts w:hint="eastAsia" w:ascii="宋体" w:hAnsi="宋体" w:cs="宋体"/>
          <w:color w:val="000000"/>
          <w:szCs w:val="21"/>
          <w:highlight w:val="none"/>
          <w:lang w:bidi="ar"/>
        </w:rPr>
        <w:t xml:space="preserve">待中标供货商将货物安装、调试完毕并经采购人验收合格后，由外贸代理公司凭采购人签署的正本验收合格报告向中标供货商支付剩余10％货款（中标供货商与外贸代理公司之间的其他权利和义务，按该两方之间的合同约定执行）。中标供货商对采购人、中标供货商及外贸代理公司三者之间的关系明确知晓，并自愿、自行与采购人指定的外贸代理公司建立合作关系和款项结付关系，以保证采购人的权利得以全面实现。采购人依照采购人与外贸代理公司签订的外贸合同所约定的人民币全包价（中标金额），向外贸代理公司付清全部货款后，采购人的付款义务即告履行完毕。 </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响应供应商产品如为进口设备，在报价中，需考虑因中美贸易战或其他不可控因素导致的关税增加及其他风险费用，中标后，采购人将按照中标价格与中标供应商签订合同并支付合同款，合同执行期间，采购人不再另外支付任何费用。</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评标价不得超出预算。超预算的评标价视为实质性偏离，作无效投标处理。</w:t>
      </w:r>
      <w:r/>
    </w:p>
    <w:p>
      <w:pPr>
        <w:rPr>
          <w:rFonts w:hint="eastAsia" w:ascii="宋体" w:hAnsi="宋体"/>
          <w:szCs w:val="21"/>
          <w:highlight w:val="none"/>
        </w:rPr>
      </w:pPr>
      <w:r>
        <w:rPr>
          <w:rFonts w:hint="eastAsia" w:ascii="宋体" w:hAnsi="宋体" w:cs="宋体"/>
          <w:color w:val="000000"/>
          <w:szCs w:val="21"/>
          <w:highlight w:val="none"/>
          <w:lang w:bidi="ar"/>
        </w:rPr>
        <w:t xml:space="preserve">注：供应商报价为最终报价，如因国家政策调整，增加的税费由供应商自行承担。</w:t>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br/>
      </w:r>
      <w:r/>
    </w:p>
    <w:p>
      <w:pPr>
        <w:rPr>
          <w:rFonts w:hint="eastAsia" w:ascii="宋体" w:hAnsi="宋体"/>
          <w:szCs w:val="21"/>
          <w:highlight w:val="none"/>
        </w:rPr>
      </w:pPr>
      <w:r>
        <w:rPr>
          <w:rFonts w:hint="eastAsia" w:ascii="宋体" w:hAnsi="宋体"/>
          <w:szCs w:val="21"/>
          <w:highlight w:val="none"/>
        </w:rPr>
        <w:br w:type="page" w:clear="all"/>
      </w:r>
      <w:r/>
    </w:p>
    <w:p>
      <w:pPr>
        <w:pStyle w:val="823"/>
        <w:numPr>
          <w:ilvl w:val="0"/>
          <w:numId w:val="0"/>
        </w:numPr>
        <w:rPr>
          <w:rFonts w:hint="eastAsia" w:ascii="宋体" w:hAnsi="宋体" w:cs="宋体"/>
          <w:highlight w:val="none"/>
        </w:rPr>
      </w:pPr>
      <w:r/>
      <w:bookmarkStart w:id="21" w:name="_Toc14613"/>
      <w:r>
        <w:rPr>
          <w:rFonts w:hint="eastAsia" w:ascii="宋体" w:hAnsi="宋体" w:cs="宋体"/>
          <w:highlight w:val="none"/>
        </w:rPr>
        <w:t xml:space="preserve">第五章 合同主要条款及格式</w:t>
      </w:r>
      <w:bookmarkEnd w:id="20"/>
      <w:r/>
      <w:bookmarkEnd w:id="21"/>
      <w:r/>
      <w:r/>
    </w:p>
    <w:p>
      <w:pPr>
        <w:jc w:val="center"/>
        <w:spacing w:line="360" w:lineRule="auto"/>
        <w:rPr>
          <w:rFonts w:hint="eastAsia" w:ascii="宋体" w:hAnsi="宋体"/>
          <w:b/>
          <w:szCs w:val="21"/>
          <w:highlight w:val="none"/>
        </w:rPr>
        <w:outlineLvl w:val="1"/>
      </w:pPr>
      <w:r>
        <w:rPr>
          <w:rFonts w:hint="eastAsia" w:ascii="宋体" w:hAnsi="宋体"/>
          <w:b/>
          <w:szCs w:val="21"/>
          <w:highlight w:val="none"/>
        </w:rPr>
        <w:t xml:space="preserve">南京中医药大学物资采购合同-国产</w:t>
      </w:r>
      <w:r/>
    </w:p>
    <w:p>
      <w:pPr>
        <w:spacing w:line="360" w:lineRule="auto"/>
        <w:rPr>
          <w:rFonts w:hint="eastAsia" w:ascii="宋体" w:hAnsi="宋体"/>
          <w:szCs w:val="21"/>
          <w:highlight w:val="none"/>
        </w:rPr>
      </w:pPr>
      <w:r>
        <w:rPr>
          <w:rFonts w:hint="eastAsia" w:ascii="宋体" w:hAnsi="宋体"/>
          <w:szCs w:val="21"/>
          <w:highlight w:val="none"/>
        </w:rPr>
        <w:t xml:space="preserve">甲方（需方）：南京中医药大学</w:t>
      </w:r>
      <w:r/>
    </w:p>
    <w:p>
      <w:pPr>
        <w:spacing w:line="360" w:lineRule="auto"/>
        <w:rPr>
          <w:rFonts w:hint="eastAsia" w:ascii="宋体" w:hAnsi="宋体"/>
          <w:szCs w:val="21"/>
          <w:highlight w:val="none"/>
        </w:rPr>
      </w:pPr>
      <w:r>
        <w:rPr>
          <w:rFonts w:hint="eastAsia" w:ascii="宋体" w:hAnsi="宋体"/>
          <w:szCs w:val="21"/>
          <w:highlight w:val="none"/>
        </w:rPr>
        <w:t xml:space="preserve">法定代表人：</w:t>
      </w:r>
      <w:r/>
    </w:p>
    <w:p>
      <w:pPr>
        <w:spacing w:line="360" w:lineRule="auto"/>
        <w:rPr>
          <w:rFonts w:hint="eastAsia" w:ascii="宋体" w:hAnsi="宋体"/>
          <w:szCs w:val="21"/>
          <w:highlight w:val="none"/>
        </w:rPr>
      </w:pPr>
      <w:r>
        <w:rPr>
          <w:rFonts w:hint="eastAsia" w:ascii="宋体" w:hAnsi="宋体"/>
          <w:szCs w:val="21"/>
          <w:highlight w:val="none"/>
        </w:rPr>
        <w:t xml:space="preserve">乙方（供方）：</w:t>
      </w:r>
      <w:r/>
    </w:p>
    <w:p>
      <w:pPr>
        <w:spacing w:line="360" w:lineRule="auto"/>
        <w:rPr>
          <w:rFonts w:hint="eastAsia" w:ascii="宋体" w:hAnsi="宋体"/>
          <w:szCs w:val="21"/>
          <w:highlight w:val="none"/>
        </w:rPr>
      </w:pPr>
      <w:r>
        <w:rPr>
          <w:rFonts w:hint="eastAsia" w:ascii="宋体" w:hAnsi="宋体"/>
          <w:szCs w:val="21"/>
          <w:highlight w:val="none"/>
        </w:rPr>
        <w:t xml:space="preserve">法定代表人：</w:t>
      </w:r>
      <w:r/>
    </w:p>
    <w:p>
      <w:pPr>
        <w:spacing w:line="360" w:lineRule="auto"/>
        <w:rPr>
          <w:rFonts w:hint="eastAsia" w:ascii="宋体" w:hAnsi="宋体"/>
          <w:szCs w:val="21"/>
          <w:highlight w:val="none"/>
        </w:rPr>
      </w:pPr>
      <w:r>
        <w:rPr>
          <w:rFonts w:hint="eastAsia" w:ascii="宋体" w:hAnsi="宋体"/>
          <w:szCs w:val="21"/>
          <w:highlight w:val="none"/>
        </w:rPr>
        <w:t xml:space="preserve">合同编号：</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经招标（项目编号：</w:t>
      </w:r>
      <w:r>
        <w:rPr>
          <w:rFonts w:hint="eastAsia" w:ascii="宋体" w:hAnsi="宋体" w:cs="宋体"/>
          <w:szCs w:val="21"/>
          <w:highlight w:val="none"/>
          <w:u w:val="single"/>
        </w:rPr>
        <w:t xml:space="preserve">               </w:t>
      </w:r>
      <w:r>
        <w:rPr>
          <w:rFonts w:hint="eastAsia" w:ascii="宋体" w:hAnsi="宋体" w:cs="宋体"/>
          <w:szCs w:val="21"/>
          <w:highlight w:val="none"/>
        </w:rPr>
        <w:t xml:space="preserve">），双方同意按照以下条款就</w:t>
      </w:r>
      <w:r>
        <w:rPr>
          <w:rFonts w:hint="eastAsia" w:ascii="宋体" w:hAnsi="宋体" w:cs="宋体"/>
          <w:szCs w:val="21"/>
          <w:highlight w:val="none"/>
          <w:u w:val="single"/>
        </w:rPr>
        <w:t xml:space="preserve">             </w:t>
      </w:r>
      <w:r>
        <w:rPr>
          <w:rFonts w:hint="eastAsia" w:ascii="宋体" w:hAnsi="宋体" w:cs="宋体"/>
          <w:szCs w:val="21"/>
          <w:highlight w:val="none"/>
        </w:rPr>
        <w:t xml:space="preserve">货物的买卖签订本合同：</w:t>
      </w:r>
      <w:r/>
    </w:p>
    <w:p>
      <w:pPr>
        <w:spacing w:line="360" w:lineRule="auto"/>
        <w:rPr>
          <w:rFonts w:hint="eastAsia" w:ascii="宋体" w:hAnsi="宋体"/>
          <w:b/>
          <w:bCs/>
          <w:szCs w:val="21"/>
          <w:highlight w:val="none"/>
        </w:rPr>
      </w:pPr>
      <w:r>
        <w:rPr>
          <w:rFonts w:hint="eastAsia" w:ascii="宋体" w:hAnsi="宋体" w:cs="宋体"/>
          <w:b/>
          <w:bCs/>
          <w:szCs w:val="21"/>
          <w:highlight w:val="none"/>
        </w:rPr>
        <w:t xml:space="preserve">1.甲方向乙方购买的货物清单和金额</w:t>
      </w:r>
      <w:r>
        <w:rPr>
          <w:rFonts w:hint="eastAsia" w:ascii="宋体" w:hAnsi="宋体"/>
          <w:b/>
          <w:bCs/>
          <w:szCs w:val="21"/>
          <w:highlight w:val="none"/>
        </w:rPr>
        <w:t xml:space="preserve">（如包含赠品，需在</w:t>
      </w:r>
      <w:r>
        <w:rPr>
          <w:rFonts w:ascii="宋体" w:hAnsi="宋体"/>
          <w:b/>
          <w:bCs/>
          <w:szCs w:val="21"/>
          <w:highlight w:val="none"/>
        </w:rPr>
        <w:t xml:space="preserve">表格中</w:t>
      </w:r>
      <w:r>
        <w:rPr>
          <w:rFonts w:hint="eastAsia" w:ascii="宋体" w:hAnsi="宋体"/>
          <w:b/>
          <w:bCs/>
          <w:szCs w:val="21"/>
          <w:highlight w:val="none"/>
        </w:rPr>
        <w:t xml:space="preserve">列明</w:t>
      </w:r>
      <w:r>
        <w:rPr>
          <w:rFonts w:ascii="宋体" w:hAnsi="宋体"/>
          <w:b/>
          <w:bCs/>
          <w:szCs w:val="21"/>
          <w:highlight w:val="none"/>
        </w:rPr>
        <w:t xml:space="preserve">赠品型号</w:t>
      </w:r>
      <w:r>
        <w:rPr>
          <w:rFonts w:hint="eastAsia" w:ascii="宋体" w:hAnsi="宋体"/>
          <w:b/>
          <w:bCs/>
          <w:szCs w:val="21"/>
          <w:highlight w:val="none"/>
        </w:rPr>
        <w:t xml:space="preserve">、规格，价格</w:t>
      </w:r>
      <w:r>
        <w:rPr>
          <w:rFonts w:ascii="宋体" w:hAnsi="宋体"/>
          <w:b/>
          <w:bCs/>
          <w:szCs w:val="21"/>
          <w:highlight w:val="none"/>
        </w:rPr>
        <w:t xml:space="preserve">统一填写</w:t>
      </w:r>
      <w:r>
        <w:rPr>
          <w:rFonts w:hint="eastAsia" w:ascii="宋体" w:hAnsi="宋体"/>
          <w:b/>
          <w:bCs/>
          <w:szCs w:val="21"/>
          <w:highlight w:val="none"/>
        </w:rPr>
        <w:t xml:space="preserve">0【正式</w:t>
      </w:r>
      <w:r>
        <w:rPr>
          <w:rFonts w:ascii="宋体" w:hAnsi="宋体"/>
          <w:b/>
          <w:bCs/>
          <w:szCs w:val="21"/>
          <w:highlight w:val="none"/>
        </w:rPr>
        <w:t xml:space="preserve">合同需删除</w:t>
      </w:r>
      <w:r>
        <w:rPr>
          <w:rFonts w:hint="eastAsia" w:ascii="宋体" w:hAnsi="宋体"/>
          <w:b/>
          <w:bCs/>
          <w:szCs w:val="21"/>
          <w:highlight w:val="none"/>
        </w:rPr>
        <w:t xml:space="preserve">本填写说明】）</w:t>
      </w:r>
      <w:r/>
    </w:p>
    <w:tbl>
      <w:tblPr>
        <w:tblStyle w:val="833"/>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900"/>
        <w:gridCol w:w="769"/>
        <w:gridCol w:w="975"/>
        <w:gridCol w:w="1312"/>
        <w:gridCol w:w="1240"/>
        <w:gridCol w:w="553"/>
        <w:gridCol w:w="722"/>
        <w:gridCol w:w="643"/>
        <w:gridCol w:w="721"/>
      </w:tblGrid>
      <w:tr>
        <w:trPr>
          <w:jc w:val="center"/>
          <w:trHeight w:val="1299"/>
        </w:trPr>
        <w:tc>
          <w:tcPr>
            <w:tcW w:w="918" w:type="dxa"/>
            <w:textDirection w:val="lrTb"/>
            <w:noWrap w:val="false"/>
          </w:tcPr>
          <w:p>
            <w:pPr>
              <w:jc w:val="center"/>
              <w:spacing w:line="360" w:lineRule="auto"/>
              <w:tabs>
                <w:tab w:val="left" w:pos="795" w:leader="none"/>
              </w:tabs>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900" w:type="dxa"/>
            <w:textDirection w:val="lrTb"/>
            <w:noWrap w:val="false"/>
          </w:tcPr>
          <w:p>
            <w:pPr>
              <w:jc w:val="center"/>
              <w:spacing w:line="360" w:lineRule="auto"/>
              <w:tabs>
                <w:tab w:val="left" w:pos="795" w:leader="none"/>
              </w:tabs>
              <w:rPr>
                <w:rFonts w:hint="eastAsia" w:ascii="宋体" w:hAnsi="宋体" w:cs="宋体"/>
                <w:b/>
                <w:bCs/>
                <w:szCs w:val="21"/>
                <w:highlight w:val="none"/>
              </w:rPr>
            </w:pPr>
            <w:r>
              <w:rPr>
                <w:rFonts w:hint="eastAsia" w:ascii="宋体" w:hAnsi="宋体" w:cs="宋体"/>
                <w:b/>
                <w:bCs/>
                <w:szCs w:val="21"/>
                <w:highlight w:val="none"/>
              </w:rPr>
              <w:t xml:space="preserve">产品</w:t>
            </w:r>
            <w:r/>
          </w:p>
          <w:p>
            <w:pPr>
              <w:jc w:val="center"/>
              <w:spacing w:line="360" w:lineRule="auto"/>
              <w:tabs>
                <w:tab w:val="left" w:pos="795" w:leader="none"/>
              </w:tabs>
              <w:rPr>
                <w:rFonts w:hint="eastAsia" w:ascii="宋体" w:hAnsi="宋体" w:cs="宋体"/>
                <w:b/>
                <w:bCs/>
                <w:szCs w:val="21"/>
                <w:highlight w:val="none"/>
              </w:rPr>
            </w:pPr>
            <w:r>
              <w:rPr>
                <w:rFonts w:hint="eastAsia" w:ascii="宋体" w:hAnsi="宋体" w:cs="宋体"/>
                <w:b/>
                <w:bCs/>
                <w:szCs w:val="21"/>
                <w:highlight w:val="none"/>
              </w:rPr>
              <w:t xml:space="preserve">名称</w:t>
            </w:r>
            <w:r/>
          </w:p>
        </w:tc>
        <w:tc>
          <w:tcPr>
            <w:tcW w:w="769"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厂家</w:t>
            </w:r>
            <w:r/>
          </w:p>
        </w:tc>
        <w:tc>
          <w:tcPr>
            <w:tcW w:w="975"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型号</w:t>
            </w:r>
            <w:r/>
          </w:p>
        </w:tc>
        <w:tc>
          <w:tcPr>
            <w:tcW w:w="1312"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规格或描述</w:t>
            </w:r>
            <w:r/>
          </w:p>
        </w:tc>
        <w:tc>
          <w:tcPr>
            <w:tcW w:w="1240"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质保期(自安装调试甲方最终验收合格日起)</w:t>
            </w:r>
            <w:r/>
          </w:p>
        </w:tc>
        <w:tc>
          <w:tcPr>
            <w:tcW w:w="553"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c>
          <w:tcPr>
            <w:tcW w:w="722"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单位</w:t>
            </w:r>
            <w:r/>
          </w:p>
        </w:tc>
        <w:tc>
          <w:tcPr>
            <w:tcW w:w="643"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单价(元)</w:t>
            </w:r>
            <w:r/>
          </w:p>
        </w:tc>
        <w:tc>
          <w:tcPr>
            <w:tcW w:w="721"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总价(元)</w:t>
            </w:r>
            <w:r/>
          </w:p>
        </w:tc>
      </w:tr>
      <w:tr>
        <w:trPr>
          <w:jc w:val="center"/>
          <w:trHeight w:val="924"/>
        </w:trPr>
        <w:tc>
          <w:tcPr>
            <w:tcW w:w="918"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W w:w="900"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W w:w="769"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W w:w="975"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W w:w="1312" w:type="dxa"/>
            <w:textDirection w:val="lrTb"/>
            <w:noWrap w:val="false"/>
          </w:tcPr>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简单描述，</w:t>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详见附件货物技术要求及参数</w:t>
            </w:r>
            <w:r/>
          </w:p>
        </w:tc>
        <w:tc>
          <w:tcPr>
            <w:tcW w:w="1240"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W w:w="553"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W w:w="722"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W w:w="643"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W w:w="721"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r>
      <w:tr>
        <w:trPr>
          <w:jc w:val="center"/>
          <w:trHeight w:val="378"/>
        </w:trPr>
        <w:tc>
          <w:tcPr>
            <w:tcW w:w="918"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合计</w:t>
            </w:r>
            <w:r/>
          </w:p>
        </w:tc>
        <w:tc>
          <w:tcPr>
            <w:gridSpan w:val="9"/>
            <w:tcW w:w="7835" w:type="dxa"/>
            <w:textDirection w:val="lrTb"/>
            <w:noWrap w:val="false"/>
          </w:tcPr>
          <w:p>
            <w:pPr>
              <w:jc w:val="left"/>
              <w:spacing w:line="360" w:lineRule="auto"/>
              <w:rPr>
                <w:rFonts w:hint="eastAsia" w:ascii="宋体" w:hAnsi="宋体" w:cs="宋体"/>
                <w:b/>
                <w:bCs/>
                <w:szCs w:val="21"/>
                <w:highlight w:val="none"/>
              </w:rPr>
            </w:pPr>
            <w:r>
              <w:rPr>
                <w:rFonts w:ascii="宋体" w:hAnsi="宋体" w:cs="宋体"/>
                <w:szCs w:val="21"/>
                <w:highlight w:val="none"/>
              </w:rPr>
              <w:t xml:space="preserve">人民币：大写</w:t>
            </w:r>
            <w:r>
              <w:rPr>
                <w:rFonts w:ascii="宋体" w:hAnsi="宋体" w:cs="宋体"/>
                <w:szCs w:val="21"/>
                <w:highlight w:val="none"/>
                <w:u w:val="single"/>
              </w:rPr>
              <w:t xml:space="preserve">　　　　　</w:t>
            </w:r>
            <w:r>
              <w:rPr>
                <w:rFonts w:ascii="宋体" w:hAnsi="宋体" w:cs="宋体"/>
                <w:szCs w:val="21"/>
                <w:highlight w:val="none"/>
              </w:rPr>
              <w:t xml:space="preserve"> （￥ </w:t>
            </w:r>
            <w:r>
              <w:rPr>
                <w:rFonts w:ascii="宋体" w:hAnsi="宋体" w:cs="宋体"/>
                <w:szCs w:val="21"/>
                <w:highlight w:val="none"/>
                <w:u w:val="single"/>
              </w:rPr>
              <w:t xml:space="preserve">　　　　　</w:t>
            </w:r>
            <w:r>
              <w:rPr>
                <w:rFonts w:ascii="宋体" w:hAnsi="宋体" w:cs="宋体"/>
                <w:szCs w:val="21"/>
                <w:highlight w:val="none"/>
              </w:rPr>
              <w:t xml:space="preserve"> 元）</w:t>
            </w:r>
            <w:r/>
          </w:p>
        </w:tc>
      </w:tr>
      <w:tr>
        <w:trPr>
          <w:jc w:val="center"/>
          <w:trHeight w:val="2598"/>
        </w:trPr>
        <w:tc>
          <w:tcPr>
            <w:tcW w:w="918"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w:t>
            </w:r>
            <w:r/>
          </w:p>
        </w:tc>
        <w:tc>
          <w:tcPr>
            <w:gridSpan w:val="9"/>
            <w:tcW w:w="7835" w:type="dxa"/>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szCs w:val="21"/>
                <w:highlight w:val="none"/>
              </w:rPr>
              <w:t xml:space="preserve">即除甲方应付合同款</w:t>
            </w:r>
            <w:r>
              <w:rPr>
                <w:rFonts w:hint="eastAsia"/>
                <w:szCs w:val="21"/>
                <w:highlight w:val="none"/>
              </w:rPr>
              <w:t xml:space="preserve">项</w:t>
            </w:r>
            <w:r>
              <w:rPr>
                <w:szCs w:val="21"/>
                <w:highlight w:val="none"/>
              </w:rPr>
              <w:t xml:space="preserve">外，</w:t>
            </w:r>
            <w:r>
              <w:rPr>
                <w:rFonts w:hint="eastAsia" w:ascii="宋体" w:hAnsi="宋体" w:cs="宋体"/>
                <w:szCs w:val="21"/>
                <w:highlight w:val="none"/>
              </w:rPr>
              <w:t xml:space="preserve">甲方</w:t>
            </w:r>
            <w:r>
              <w:rPr>
                <w:szCs w:val="21"/>
                <w:highlight w:val="none"/>
              </w:rPr>
              <w:t xml:space="preserve">取得本合同项下全部货物</w:t>
            </w:r>
            <w:r>
              <w:rPr>
                <w:rFonts w:hint="eastAsia" w:ascii="宋体" w:hAnsi="宋体" w:cs="宋体"/>
                <w:szCs w:val="21"/>
                <w:highlight w:val="none"/>
              </w:rPr>
              <w:t xml:space="preserve">无需再支付任何费用，所有设备安装实施完毕后就能正常使用。本合同总价款还包含乙方应当提供的伴随服务/售后服务费用。</w:t>
            </w:r>
            <w:r/>
          </w:p>
        </w:tc>
      </w:tr>
    </w:tbl>
    <w:p>
      <w:pPr>
        <w:pStyle w:val="843"/>
        <w:ind w:left="0" w:firstLine="420"/>
        <w:spacing w:line="360" w:lineRule="auto"/>
        <w:rPr>
          <w:rFonts w:hint="eastAsia" w:ascii="宋体" w:hAnsi="宋体" w:cs="宋体"/>
          <w:szCs w:val="21"/>
          <w:highlight w:val="none"/>
        </w:rPr>
      </w:pPr>
      <w:r>
        <w:rPr>
          <w:rFonts w:hint="eastAsia" w:cs="宋体"/>
          <w:szCs w:val="21"/>
          <w:highlight w:val="none"/>
        </w:rPr>
        <w:t xml:space="preserve">1.1</w:t>
      </w:r>
      <w:r>
        <w:rPr>
          <w:rFonts w:hint="eastAsia" w:ascii="宋体" w:hAnsi="宋体" w:cs="宋体"/>
          <w:szCs w:val="21"/>
          <w:highlight w:val="none"/>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szCs w:val="21"/>
          <w:highlight w:val="none"/>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szCs w:val="21"/>
          <w:highlight w:val="none"/>
        </w:rPr>
        <w:t xml:space="preserve">。</w:t>
      </w:r>
      <w:r/>
    </w:p>
    <w:p>
      <w:pPr>
        <w:pStyle w:val="843"/>
        <w:ind w:left="0" w:firstLine="420"/>
        <w:spacing w:line="360" w:lineRule="auto"/>
        <w:rPr>
          <w:rFonts w:hint="eastAsia" w:ascii="宋体" w:hAnsi="宋体" w:cs="宋体"/>
          <w:szCs w:val="21"/>
          <w:highlight w:val="none"/>
        </w:rPr>
      </w:pPr>
      <w:r>
        <w:rPr>
          <w:rFonts w:hint="eastAsia" w:cs="宋体"/>
          <w:szCs w:val="21"/>
          <w:highlight w:val="none"/>
        </w:rPr>
        <w:t xml:space="preserve">1.2</w:t>
      </w:r>
      <w:r>
        <w:rPr>
          <w:rFonts w:hint="eastAsia" w:ascii="宋体" w:hAnsi="宋体" w:cs="宋体"/>
          <w:szCs w:val="21"/>
          <w:highlight w:val="none"/>
        </w:rPr>
        <w:t xml:space="preserve">乙方应根据甲方的要求（</w:t>
      </w:r>
      <w:r>
        <w:rPr>
          <w:rFonts w:hint="eastAsia" w:cs="宋体"/>
          <w:szCs w:val="21"/>
          <w:highlight w:val="none"/>
        </w:rPr>
        <w:t xml:space="preserve">包括招标文件和本合同约定的要求</w:t>
      </w:r>
      <w:r>
        <w:rPr>
          <w:rFonts w:hint="eastAsia" w:ascii="宋体" w:hAnsi="宋体" w:cs="宋体"/>
          <w:szCs w:val="21"/>
          <w:highlight w:val="none"/>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szCs w:val="21"/>
          <w:highlight w:val="none"/>
        </w:rPr>
        <w:t xml:space="preserve">良</w:t>
      </w:r>
      <w:r>
        <w:rPr>
          <w:rFonts w:hint="eastAsia" w:ascii="宋体" w:hAnsi="宋体" w:cs="宋体"/>
          <w:szCs w:val="21"/>
          <w:highlight w:val="none"/>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843"/>
        <w:ind w:left="0" w:firstLine="420"/>
        <w:spacing w:line="360" w:lineRule="auto"/>
        <w:rPr>
          <w:rFonts w:hint="eastAsia" w:ascii="宋体" w:hAnsi="宋体" w:cs="宋体"/>
          <w:szCs w:val="21"/>
          <w:highlight w:val="none"/>
        </w:rPr>
      </w:pPr>
      <w:r>
        <w:rPr>
          <w:rFonts w:hint="eastAsia" w:cs="宋体"/>
          <w:szCs w:val="21"/>
          <w:highlight w:val="none"/>
        </w:rPr>
        <w:t xml:space="preserve">1.3</w:t>
      </w:r>
      <w:r>
        <w:rPr>
          <w:rFonts w:hint="eastAsia" w:ascii="宋体" w:hAnsi="宋体" w:cs="宋体"/>
          <w:szCs w:val="21"/>
          <w:highlight w:val="none"/>
        </w:rPr>
        <w:t xml:space="preserve">如因乙方运输、安装、后期维保或产品质量问题而发生事故造成甲方或第三方的人身伤害或财产损失，包括</w:t>
      </w:r>
      <w:r>
        <w:rPr>
          <w:rFonts w:hint="eastAsia" w:cs="宋体"/>
          <w:szCs w:val="21"/>
          <w:highlight w:val="none"/>
        </w:rPr>
        <w:t xml:space="preserve">出现</w:t>
      </w:r>
      <w:r>
        <w:rPr>
          <w:rFonts w:hint="eastAsia" w:ascii="宋体" w:hAnsi="宋体" w:cs="宋体"/>
          <w:szCs w:val="21"/>
          <w:highlight w:val="none"/>
        </w:rPr>
        <w:t xml:space="preserve">质量责任事故导致甲方被第三方索赔或遭受国家有关部门处罚</w:t>
      </w:r>
      <w:r>
        <w:rPr>
          <w:rFonts w:hint="eastAsia" w:cs="宋体"/>
          <w:szCs w:val="21"/>
          <w:highlight w:val="none"/>
        </w:rPr>
        <w:t xml:space="preserve">情形</w:t>
      </w:r>
      <w:r>
        <w:rPr>
          <w:rFonts w:hint="eastAsia" w:ascii="宋体" w:hAnsi="宋体" w:cs="宋体"/>
          <w:szCs w:val="21"/>
          <w:highlight w:val="none"/>
        </w:rPr>
        <w:t xml:space="preserve">的，凡经国家认可的技术监督部门或专业检测机构认定是乙方责任的，乙方均应承担全部赔偿责任，包括对甲方及第三方因此蒙受的所有直接或者间接的损失</w:t>
      </w:r>
      <w:r>
        <w:rPr>
          <w:rFonts w:hint="eastAsia" w:cs="宋体"/>
          <w:szCs w:val="21"/>
          <w:highlight w:val="none"/>
        </w:rPr>
        <w:t xml:space="preserve">给予赔偿</w:t>
      </w:r>
      <w:r>
        <w:rPr>
          <w:rFonts w:hint="eastAsia" w:ascii="宋体" w:hAnsi="宋体" w:cs="宋体"/>
          <w:szCs w:val="21"/>
          <w:highlight w:val="none"/>
        </w:rPr>
        <w:t xml:space="preserve">；同时，造成本合同项下及甲方物品损毁的，乙方负责恢复原样，如无法复原则按被损坏物品市场价格1倍向甲方进行赔偿，并向甲方支付合同价</w:t>
      </w:r>
      <w:r>
        <w:rPr>
          <w:rFonts w:hint="eastAsia" w:cs="宋体"/>
          <w:szCs w:val="21"/>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rPr>
        <w:t xml:space="preserve">违约金。</w:t>
      </w:r>
      <w:r/>
    </w:p>
    <w:p>
      <w:pPr>
        <w:pStyle w:val="843"/>
        <w:ind w:left="0" w:firstLine="420"/>
        <w:spacing w:line="360" w:lineRule="auto"/>
        <w:rPr>
          <w:rFonts w:hint="eastAsia" w:ascii="宋体" w:hAnsi="宋体" w:cs="宋体"/>
          <w:szCs w:val="21"/>
          <w:highlight w:val="none"/>
        </w:rPr>
      </w:pPr>
      <w:r>
        <w:rPr>
          <w:rFonts w:hint="eastAsia" w:cs="宋体"/>
          <w:szCs w:val="21"/>
          <w:highlight w:val="none"/>
        </w:rPr>
        <w:t xml:space="preserve">1.4</w:t>
      </w:r>
      <w:r>
        <w:rPr>
          <w:rFonts w:hint="eastAsia" w:ascii="宋体" w:hAnsi="宋体" w:cs="宋体"/>
          <w:szCs w:val="21"/>
          <w:highlight w:val="none"/>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843"/>
        <w:ind w:left="0" w:firstLine="420"/>
        <w:spacing w:line="360" w:lineRule="auto"/>
        <w:rPr>
          <w:rFonts w:hint="eastAsia" w:ascii="宋体" w:hAnsi="宋体" w:cs="宋体"/>
          <w:szCs w:val="21"/>
          <w:highlight w:val="none"/>
        </w:rPr>
      </w:pPr>
      <w:r>
        <w:rPr>
          <w:rFonts w:hint="eastAsia" w:cs="宋体"/>
          <w:szCs w:val="21"/>
          <w:highlight w:val="none"/>
        </w:rPr>
        <w:t xml:space="preserve">1.5</w:t>
      </w:r>
      <w:r>
        <w:rPr>
          <w:rFonts w:hint="eastAsia" w:ascii="宋体" w:hAnsi="宋体" w:cs="宋体"/>
          <w:szCs w:val="21"/>
          <w:highlight w:val="none"/>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szCs w:val="21"/>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rPr>
        <w:t xml:space="preserve">的违约金。若乙方支付的违约金不足以弥补甲方损失的，乙方还须继续承担损失赔偿责任。  </w:t>
      </w:r>
      <w:r/>
    </w:p>
    <w:p>
      <w:pPr>
        <w:pStyle w:val="843"/>
        <w:ind w:left="0"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以上条款中乙方的责任承担期限不受甲方已收货且出具验收确认书的限制。</w:t>
      </w:r>
      <w:r/>
    </w:p>
    <w:p>
      <w:pPr>
        <w:pStyle w:val="843"/>
        <w:ind w:left="0" w:firstLine="420"/>
        <w:spacing w:line="360" w:lineRule="auto"/>
        <w:rPr>
          <w:rFonts w:hint="eastAsia" w:ascii="宋体" w:hAnsi="宋体" w:cs="宋体"/>
          <w:szCs w:val="21"/>
          <w:highlight w:val="none"/>
        </w:rPr>
      </w:pPr>
      <w:r>
        <w:rPr>
          <w:rFonts w:hint="eastAsia" w:cs="宋体"/>
          <w:szCs w:val="21"/>
          <w:highlight w:val="none"/>
        </w:rPr>
        <w:t xml:space="preserve">1.6</w:t>
      </w:r>
      <w:r>
        <w:rPr>
          <w:rFonts w:hint="eastAsia" w:ascii="宋体" w:hAnsi="宋体" w:cs="宋体"/>
          <w:szCs w:val="21"/>
          <w:highlight w:val="none"/>
        </w:rPr>
        <w:t xml:space="preserve">乙方指定【           （电话：）】为项目经理，由其全面负责本合同履行过程中与甲方确认到货情况、安排货物安装调试、参与验收、售后服务等事宜，乙方对其项目经理在本合同履行过程中向甲方出具的任何</w:t>
      </w:r>
      <w:r>
        <w:rPr>
          <w:rFonts w:hint="eastAsia" w:cs="宋体"/>
          <w:szCs w:val="21"/>
          <w:highlight w:val="none"/>
        </w:rPr>
        <w:t xml:space="preserve">签名</w:t>
      </w:r>
      <w:r>
        <w:rPr>
          <w:rFonts w:hint="eastAsia" w:ascii="宋体" w:hAnsi="宋体" w:cs="宋体"/>
          <w:szCs w:val="21"/>
          <w:highlight w:val="none"/>
        </w:rPr>
        <w:t xml:space="preserve">文件或材料均予以认可。若乙方前述项目经理发生变化，应及时以书面方式通知甲方。</w:t>
      </w:r>
      <w:r/>
    </w:p>
    <w:p>
      <w:pPr>
        <w:pStyle w:val="843"/>
        <w:ind w:left="0" w:firstLine="420"/>
        <w:spacing w:line="360" w:lineRule="auto"/>
        <w:rPr>
          <w:rFonts w:hint="eastAsia" w:ascii="宋体" w:hAnsi="宋体" w:cs="宋体"/>
          <w:szCs w:val="21"/>
          <w:highlight w:val="none"/>
        </w:rPr>
      </w:pPr>
      <w:r>
        <w:rPr>
          <w:rFonts w:ascii="Wingdings 2" w:hAnsi="Wingdings 2" w:eastAsia="Wingdings 2" w:cs="Wingdings 2"/>
          <w:szCs w:val="21"/>
          <w:highlight w:val="none"/>
        </w:rPr>
        <w:t xml:space="preserve">£</w:t>
      </w:r>
      <w:r>
        <w:rPr>
          <w:rFonts w:hint="eastAsia" w:ascii="宋体" w:hAnsi="宋体" w:cs="宋体"/>
          <w:szCs w:val="21"/>
          <w:highlight w:val="none"/>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szCs w:val="21"/>
          <w:highlight w:val="none"/>
        </w:rPr>
        <w:t xml:space="preserve"> </w:t>
      </w:r>
      <w:r>
        <w:rPr>
          <w:rFonts w:hint="eastAsia" w:ascii="宋体" w:hAnsi="宋体" w:cs="宋体"/>
          <w:b/>
          <w:bCs/>
          <w:szCs w:val="21"/>
          <w:highlight w:val="none"/>
        </w:rPr>
        <w:t xml:space="preserve">交货时间</w:t>
      </w:r>
      <w:r/>
    </w:p>
    <w:p>
      <w:pPr>
        <w:ind w:firstLine="420"/>
        <w:spacing w:line="360" w:lineRule="auto"/>
        <w:rPr>
          <w:rFonts w:hint="eastAsia" w:ascii="宋体" w:hAnsi="宋体" w:cs="宋体"/>
          <w:szCs w:val="21"/>
          <w:highlight w:val="none"/>
        </w:rPr>
      </w:pPr>
      <w:r>
        <w:rPr>
          <w:rFonts w:ascii="宋体" w:hAnsi="宋体" w:cs="宋体"/>
          <w:highlight w:val="none"/>
        </w:rPr>
        <w:t xml:space="preserve">乙方应在本合同签订生效后</w:t>
      </w:r>
      <w:r>
        <w:rPr>
          <w:rFonts w:ascii="宋体" w:hAnsi="宋体" w:cs="宋体"/>
          <w:highlight w:val="none"/>
          <w:u w:val="single"/>
        </w:rPr>
        <w:t xml:space="preserve">1</w:t>
      </w:r>
      <w:r>
        <w:rPr>
          <w:rFonts w:hint="eastAsia" w:ascii="宋体" w:hAnsi="宋体" w:cs="宋体"/>
          <w:highlight w:val="none"/>
          <w:u w:val="single"/>
          <w:lang w:val="en-US" w:eastAsia="zh-CN"/>
        </w:rPr>
        <w:t xml:space="preserve">8</w:t>
      </w:r>
      <w:r>
        <w:rPr>
          <w:rFonts w:ascii="宋体" w:hAnsi="宋体" w:cs="宋体"/>
          <w:highlight w:val="none"/>
          <w:u w:val="single"/>
        </w:rPr>
        <w:t xml:space="preserve">0</w:t>
      </w:r>
      <w:r>
        <w:rPr>
          <w:rFonts w:ascii="宋体" w:hAnsi="宋体" w:cs="宋体"/>
          <w:highlight w:val="none"/>
        </w:rPr>
        <w:t xml:space="preserve">个日历日内向甲方交付合同条款１中所列的全部货物（具体时间以甲方通知为准）。</w:t>
      </w:r>
      <w:r>
        <w:rPr>
          <w:rFonts w:hint="eastAsia" w:ascii="宋体" w:hAnsi="宋体" w:cs="宋体"/>
          <w:szCs w:val="21"/>
          <w:highlight w:val="none"/>
        </w:rPr>
        <w:t xml:space="preserve">。</w:t>
      </w:r>
      <w:r/>
    </w:p>
    <w:p>
      <w:pPr>
        <w:ind w:firstLine="420"/>
        <w:spacing w:line="360" w:lineRule="auto"/>
        <w:rPr>
          <w:szCs w:val="21"/>
          <w:highlight w:val="none"/>
        </w:rPr>
      </w:pPr>
      <w:r>
        <w:rPr>
          <w:rFonts w:ascii="Wingdings 2" w:hAnsi="Wingdings 2" w:eastAsia="Wingdings 2" w:cs="Wingdings 2"/>
          <w:szCs w:val="21"/>
          <w:highlight w:val="none"/>
        </w:rPr>
        <w:t xml:space="preserve">£</w:t>
      </w:r>
      <w:r>
        <w:rPr>
          <w:rFonts w:hint="eastAsia" w:ascii="宋体" w:hAnsi="宋体" w:cs="宋体"/>
          <w:szCs w:val="21"/>
          <w:highlight w:val="none"/>
        </w:rPr>
        <w:t xml:space="preserve">同时，乙方应于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日前完成合同条款1 中所列的全部货物的安装调试并可以达到本合同约定的验收要求。</w:t>
      </w:r>
      <w:r/>
    </w:p>
    <w:p>
      <w:pPr>
        <w:numPr>
          <w:ilvl w:val="0"/>
          <w:numId w:val="6"/>
        </w:num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交货地点</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江苏省南京市栖霞区仙林大道南京中医药大学B2-201</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 保证金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甲方指定的履约保证金汇款银行、帐号及户名如下：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账号为：4301010109001027264</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开户行：工行汉中门支行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收款人：南京中医药大学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汇款必须从乙方的基本账户转出，在备注、用途或附加说明中写明是本项目的履约保证金。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4.1乙方于本合同签订前向甲方交纳</w:t>
      </w:r>
      <w:r>
        <w:rPr>
          <w:rFonts w:hint="eastAsia" w:ascii="宋体" w:hAnsi="宋体" w:cs="宋体"/>
          <w:szCs w:val="21"/>
          <w:highlight w:val="none"/>
          <w:lang w:bidi="ar"/>
        </w:rPr>
        <w:t xml:space="preserve">人民币</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元（</w:t>
      </w:r>
      <w:r>
        <w:rPr>
          <w:rFonts w:hint="eastAsia" w:ascii="宋体" w:hAnsi="宋体" w:cs="宋体"/>
          <w:szCs w:val="21"/>
          <w:highlight w:val="none"/>
        </w:rPr>
        <w:t xml:space="preserve">合同价的【5】%）作为本合同的履约保证金，该保证金在本合同项下自货物经甲方最终书面确认验收合格后转为质保金。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甲方最终书面确认验收合格之日起算【12】个月后，甲方确认无质量问题且乙方无违约情形后将质保金无息退还给乙方。乙方若有违约情形的或产品存在质量问题，甲方有权依据合同约定在履约保证金或质保金中先行扣除相应金额的违约金或质量赔偿金。履约保证金或质保金不足扣除的，乙方应在接到甲方通知后及时补足。</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5.其它费用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5.1货物的运输、拆卸、安装过程中以及质保期内所有货物维修产生的全部费用均由乙方承担。</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6.调试和验收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6.1甲方对乙方提交的货物依据招标文件上的技术要求、本合同约定和国家有关质量标准进行现场清点、初步验收，外观、说明书符合招标文件技术要求的，予以签收，初步验收不合格的不予签收。货到后甲方指定地点，乙方须在5个工作日内配合甲方予以初步验收，初步验收时乙方项目经理须在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6.3</w:t>
      </w:r>
      <w:r>
        <w:rPr>
          <w:rFonts w:hint="eastAsia" w:ascii="宋体" w:hAnsi="宋体" w:cs="宋体"/>
          <w:szCs w:val="21"/>
          <w:highlight w:val="none"/>
        </w:rPr>
        <w:t xml:space="preserve">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最终验收时乙方项目经理须在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6.5对于本合同约定的货物，乙方同意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7.付款方式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本合同签订后，乙方将全部货物运到甲方指定的交货地点，并按照招标文件、本合同约定及甲方的要求安装调试结束，经甲方最终书面确认验收合格无误后，乙方向甲方提供金额合法有效的正规增值税发票，甲方在收到发票后15个工作日内向乙方付清</w:t>
      </w:r>
      <w:r>
        <w:rPr>
          <w:rFonts w:hint="eastAsia" w:ascii="宋体" w:hAnsi="宋体" w:cs="宋体"/>
          <w:szCs w:val="21"/>
          <w:highlight w:val="none"/>
          <w:lang w:val="en-US" w:eastAsia="zh-CN"/>
        </w:rPr>
        <w:t xml:space="preserve">所有</w:t>
      </w:r>
      <w:r>
        <w:rPr>
          <w:rFonts w:hint="eastAsia" w:ascii="宋体" w:hAnsi="宋体" w:cs="宋体"/>
          <w:szCs w:val="21"/>
          <w:highlight w:val="none"/>
        </w:rPr>
        <w:t xml:space="preserve">款项，即：人民币【  】元。</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甲、乙双方一致同意：甲方可以以甲方的名义单方委托有相应资质的第三方审计机构（工程造价咨询单位）对乙方提供的货物安装调试和配套装饰装修工程做跟踪审计（初审），也可以以甲方的名义单方委托有相应资质的第三方审计机构（工程造价咨询单位）对乙方提供的货物安装调试和配套装饰装修工程做结算审计（复审），乙方承诺对相关的跟踪审计和结算审计的结果给予认可。若合同项下的货物安装调试和配套装饰装修工程在双方完成结算审计之后，甲方上级主管单位又在该审计结论的基础上进行再次审计的，乙方承诺认可该最终审计结果。（本条款为特别约定）</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乙方明确知晓南中医大审字〔2020〕4号文件《南京中医药大学工程项目审计管理办法》，并同意按照该办法中相关规定承担和支付相应的工程审计费用。属于乙方承担的审计费部分，甲方有权在应付合同价款中予以扣减。乙方向甲方提供合法有效的正规增值税发票，甲方在收到发票后15个工作日内向乙方付清应付款项。若甲方审计规定发生调整修订，则按照甲方调整修订后的新审计规定执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7.2甲方付款前，乙方应向甲方提供符合甲方财务要求的正规合法有效，发票开具方与乙方相一致、且金额与应付款金额相一致的增值税发票，否则甲方有权拒绝付款。</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如遇甲方高校寒暑假期等财务封帐特殊原因或不可抗拒事件等情形不受此时间限制，付款时间相应顺延。对此乙方表示：遇此情况下甲方可以推迟付款且不构成违约，且乙方不主张顺延期间的利息。</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7.3乙方指定的收取本合同项下所有应收款项的账户如下：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开户名称：【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开户行： 【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银行账户：【     】</w:t>
      </w:r>
      <w:r/>
    </w:p>
    <w:p>
      <w:pPr>
        <w:ind w:firstLine="420"/>
        <w:spacing w:line="360" w:lineRule="auto"/>
        <w:rPr>
          <w:rFonts w:hint="eastAsia" w:ascii="宋体" w:hAnsi="宋体" w:cs="宋体"/>
          <w:b/>
          <w:bCs/>
          <w:szCs w:val="21"/>
          <w:highlight w:val="none"/>
        </w:rPr>
      </w:pPr>
      <w:r>
        <w:rPr>
          <w:rFonts w:hint="eastAsia" w:ascii="宋体" w:hAnsi="宋体" w:cs="宋体"/>
          <w:szCs w:val="21"/>
          <w:highlight w:val="none"/>
        </w:rPr>
        <w:t xml:space="preserve">因乙方提供银行账户信息有误，或银行账户自身问题（包括但不限于被查封、冻结），导致甲方未能按照本合同约定付款的，所造成的法律后果由乙方自行承担，甲方不承担任何责任。</w:t>
      </w:r>
      <w:r/>
    </w:p>
    <w:p>
      <w:pPr>
        <w:ind w:firstLine="422"/>
        <w:spacing w:line="360" w:lineRule="auto"/>
        <w:rPr>
          <w:rFonts w:hint="eastAsia" w:ascii="宋体" w:hAnsi="宋体" w:cs="宋体"/>
          <w:i/>
          <w:iCs/>
          <w:szCs w:val="21"/>
          <w:highlight w:val="none"/>
        </w:rPr>
      </w:pPr>
      <w:r>
        <w:rPr>
          <w:rFonts w:hint="eastAsia" w:ascii="宋体" w:hAnsi="宋体" w:cs="宋体"/>
          <w:b/>
          <w:bCs/>
          <w:szCs w:val="21"/>
          <w:highlight w:val="none"/>
        </w:rPr>
        <w:t xml:space="preserve">8.乙方的其他义务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8.2质保和售后服务：乙方保证按本合同约定以及投标响应文件的服务承诺履行质保和售后服务义务，其中免费质保期为【   </w:t>
      </w:r>
      <w:r>
        <w:rPr>
          <w:rFonts w:hint="eastAsia" w:ascii="宋体" w:hAnsi="宋体" w:cs="宋体"/>
          <w:szCs w:val="21"/>
          <w:highlight w:val="none"/>
        </w:rPr>
        <w:t xml:space="preserve">】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终身提供广泛优惠的技术支持及备件供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8.3售后服务响应时间：乙方应在国内有专门负责的维修工程师或技术支持工程师。质保期内，如在使用过程中发生问题等，则乙方在接到甲方提出的维修维保要求通知后，应于</w:t>
      </w:r>
      <w:r>
        <w:rPr>
          <w:rFonts w:hint="eastAsia" w:ascii="宋体" w:hAnsi="宋体" w:cs="宋体"/>
          <w:szCs w:val="21"/>
          <w:highlight w:val="none"/>
        </w:rPr>
        <w:t xml:space="preserve">2</w:t>
      </w:r>
      <w:r>
        <w:rPr>
          <w:rFonts w:hint="eastAsia" w:ascii="宋体" w:hAnsi="宋体" w:cs="宋体"/>
          <w:szCs w:val="21"/>
          <w:highlight w:val="none"/>
        </w:rPr>
        <w:t xml:space="preserve">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】元违约金/次，甲方有权从质保金中直接扣除前述违约金；若乙方在质保期内不能及时完成维修维保工作累计达【  】次，甲方有权扣除质保金作为违约金，且有权将乙方列入黑名单，取消其以后投标资格。</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8.4乙方在维修维保过程中应确保按正确的检修规程进行专业操作，并承担全部安全责任。</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8.5其他：</w:t>
      </w:r>
      <w:r>
        <w:rPr>
          <w:rFonts w:hint="eastAsia" w:ascii="宋体" w:hAnsi="宋体" w:cs="宋体"/>
          <w:szCs w:val="21"/>
          <w:highlight w:val="none"/>
          <w:u w:val="single"/>
        </w:rPr>
        <w:t xml:space="preserve">                            </w:t>
      </w:r>
      <w:r/>
    </w:p>
    <w:p>
      <w:pPr>
        <w:ind w:firstLine="422"/>
        <w:spacing w:line="360" w:lineRule="auto"/>
        <w:rPr>
          <w:rFonts w:hint="eastAsia" w:ascii="宋体" w:hAnsi="宋体" w:cs="宋体"/>
          <w:b/>
          <w:szCs w:val="21"/>
          <w:highlight w:val="none"/>
        </w:rPr>
      </w:pPr>
      <w:r>
        <w:rPr>
          <w:rFonts w:hint="eastAsia" w:ascii="宋体" w:hAnsi="宋体" w:cs="宋体"/>
          <w:b/>
          <w:bCs/>
          <w:szCs w:val="21"/>
          <w:highlight w:val="none"/>
        </w:rPr>
        <w:t xml:space="preserve">9.违约责任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9.1乙</w:t>
      </w:r>
      <w:r>
        <w:rPr>
          <w:rFonts w:hint="eastAsia" w:ascii="宋体" w:hAnsi="宋体" w:cs="宋体"/>
          <w:szCs w:val="21"/>
          <w:highlight w:val="none"/>
        </w:rPr>
        <w:t xml:space="preserve">方因故需要延迟交货（包括迟延履行安装</w:t>
      </w:r>
      <w:r>
        <w:rPr>
          <w:rFonts w:hint="eastAsia" w:cs="宋体"/>
          <w:szCs w:val="21"/>
          <w:highlight w:val="none"/>
        </w:rPr>
        <w:t xml:space="preserve">调试或培训</w:t>
      </w:r>
      <w:r>
        <w:rPr>
          <w:rFonts w:hint="eastAsia" w:ascii="宋体" w:hAnsi="宋体" w:cs="宋体"/>
          <w:szCs w:val="21"/>
          <w:highlight w:val="none"/>
        </w:rPr>
        <w:t xml:space="preserve">义务）的，应提前向甲方说明缘由并征得甲方同意。若未事先说明且取得甲方书面</w:t>
      </w:r>
      <w:r>
        <w:rPr>
          <w:rFonts w:hint="eastAsia" w:cs="宋体"/>
          <w:szCs w:val="21"/>
          <w:highlight w:val="none"/>
        </w:rPr>
        <w:t xml:space="preserve">同意</w:t>
      </w:r>
      <w:r>
        <w:rPr>
          <w:rFonts w:hint="eastAsia" w:ascii="宋体" w:hAnsi="宋体" w:cs="宋体"/>
          <w:szCs w:val="21"/>
          <w:highlight w:val="none"/>
        </w:rPr>
        <w:t xml:space="preserve">的，每延迟一天，则应按照迟延交货部分合同金额的</w:t>
      </w:r>
      <w:r>
        <w:rPr>
          <w:rFonts w:hint="eastAsia" w:cs="宋体"/>
          <w:szCs w:val="21"/>
          <w:highlight w:val="none"/>
          <w:u w:val="single"/>
        </w:rPr>
        <w:t xml:space="preserve">   </w:t>
      </w:r>
      <w:r>
        <w:rPr>
          <w:rFonts w:hint="eastAsia" w:ascii="宋体" w:hAnsi="宋体" w:cs="宋体"/>
          <w:szCs w:val="21"/>
          <w:highlight w:val="none"/>
        </w:rPr>
        <w:t xml:space="preserve">%向甲方支付违约金</w:t>
      </w:r>
      <w:r>
        <w:rPr>
          <w:rFonts w:hint="eastAsia" w:cs="宋体"/>
          <w:szCs w:val="21"/>
          <w:highlight w:val="none"/>
        </w:rPr>
        <w:t xml:space="preserve">，甲方有权从</w:t>
      </w:r>
      <w:r>
        <w:rPr>
          <w:rFonts w:hint="eastAsia" w:ascii="宋体" w:hAnsi="宋体" w:cs="宋体"/>
          <w:b/>
          <w:szCs w:val="21"/>
          <w:highlight w:val="none"/>
        </w:rPr>
        <w:t xml:space="preserve">待付合同款项</w:t>
      </w:r>
      <w:r>
        <w:rPr>
          <w:rFonts w:hint="eastAsia" w:ascii="宋体" w:hAnsi="宋体" w:cs="宋体"/>
          <w:bCs/>
          <w:szCs w:val="21"/>
          <w:highlight w:val="none"/>
        </w:rPr>
        <w:t xml:space="preserve">中</w:t>
      </w:r>
      <w:r>
        <w:rPr>
          <w:rFonts w:hint="eastAsia" w:cs="宋体"/>
          <w:bCs/>
          <w:szCs w:val="21"/>
          <w:highlight w:val="none"/>
        </w:rPr>
        <w:t xml:space="preserve">直</w:t>
      </w:r>
      <w:r>
        <w:rPr>
          <w:rFonts w:hint="eastAsia" w:cs="宋体"/>
          <w:szCs w:val="21"/>
          <w:highlight w:val="none"/>
        </w:rPr>
        <w:t xml:space="preserve">接扣除前述违约金，不足扣除的，乙方应继续向甲方支付</w:t>
      </w:r>
      <w:r>
        <w:rPr>
          <w:rFonts w:hint="eastAsia" w:ascii="宋体" w:hAnsi="宋体" w:cs="宋体"/>
          <w:szCs w:val="21"/>
          <w:highlight w:val="none"/>
        </w:rPr>
        <w:t xml:space="preserve">。乙方迟延交货达</w:t>
      </w:r>
      <w:r>
        <w:rPr>
          <w:rFonts w:hint="eastAsia" w:cs="宋体"/>
          <w:szCs w:val="21"/>
          <w:highlight w:val="none"/>
          <w:u w:val="single"/>
        </w:rPr>
        <w:t xml:space="preserve">   </w:t>
      </w:r>
      <w:r>
        <w:rPr>
          <w:rFonts w:hint="eastAsia" w:ascii="宋体" w:hAnsi="宋体" w:cs="宋体"/>
          <w:szCs w:val="21"/>
          <w:highlight w:val="none"/>
        </w:rPr>
        <w:t xml:space="preserve">日的，甲方有权单方解除合同并追究乙方的违约责任，乙方须按未能交货部分合同金额或不合格货物对应合同金额的</w:t>
      </w:r>
      <w:r>
        <w:rPr>
          <w:rFonts w:hint="eastAsia" w:cs="宋体"/>
          <w:szCs w:val="21"/>
          <w:highlight w:val="none"/>
          <w:u w:val="single"/>
        </w:rPr>
        <w:t xml:space="preserve">   </w:t>
      </w:r>
      <w:r>
        <w:rPr>
          <w:rFonts w:hint="eastAsia" w:ascii="宋体" w:hAnsi="宋体" w:cs="宋体"/>
          <w:szCs w:val="21"/>
          <w:highlight w:val="none"/>
        </w:rPr>
        <w:t xml:space="preserve">%向甲方支付违约金，违约金不足以补偿甲方损失的，甲方有权要求乙方补足。</w:t>
      </w:r>
      <w:r/>
    </w:p>
    <w:p>
      <w:pPr>
        <w:ind w:firstLine="420"/>
        <w:jc w:val="left"/>
        <w:spacing w:line="360" w:lineRule="auto"/>
        <w:rPr>
          <w:rFonts w:hint="eastAsia" w:ascii="宋体" w:hAnsi="宋体" w:cs="宋体"/>
          <w:szCs w:val="21"/>
          <w:highlight w:val="none"/>
        </w:rPr>
      </w:pPr>
      <w:r>
        <w:rPr>
          <w:rFonts w:hint="eastAsia" w:cs="宋体"/>
          <w:szCs w:val="21"/>
          <w:highlight w:val="none"/>
        </w:rPr>
        <w:t xml:space="preserve">9.2</w:t>
      </w:r>
      <w:r>
        <w:rPr>
          <w:rFonts w:hint="eastAsia" w:ascii="宋体" w:hAnsi="宋体" w:cs="宋体"/>
          <w:szCs w:val="21"/>
          <w:highlight w:val="none"/>
        </w:rPr>
        <w:t xml:space="preserve">乙方必须遵守甲方有关管理制度和规定，在货物运输、安装</w:t>
      </w:r>
      <w:r>
        <w:rPr>
          <w:rFonts w:hint="eastAsia" w:cs="宋体"/>
          <w:szCs w:val="21"/>
          <w:highlight w:val="none"/>
        </w:rPr>
        <w:t xml:space="preserve">调试、维修维保等</w:t>
      </w:r>
      <w:r>
        <w:rPr>
          <w:rFonts w:hint="eastAsia" w:ascii="宋体" w:hAnsi="宋体" w:cs="宋体"/>
          <w:szCs w:val="21"/>
          <w:highlight w:val="none"/>
        </w:rPr>
        <w:t xml:space="preserve">过程中须服从甲方管理，禁止非乙方单位人员、车辆进出</w:t>
      </w:r>
      <w:r>
        <w:rPr>
          <w:rFonts w:hint="eastAsia" w:cs="宋体"/>
          <w:szCs w:val="21"/>
          <w:highlight w:val="none"/>
        </w:rPr>
        <w:t xml:space="preserve">甲方</w:t>
      </w:r>
      <w:r>
        <w:rPr>
          <w:rFonts w:hint="eastAsia" w:ascii="宋体" w:hAnsi="宋体" w:cs="宋体"/>
          <w:szCs w:val="21"/>
          <w:highlight w:val="none"/>
        </w:rPr>
        <w:t xml:space="preserve">，给甲方造成安全隐患，如因乙方违反此约定给甲方或第三人造成伤害或财产损失的，乙方承担全部赔偿责任。</w:t>
      </w:r>
      <w:r/>
    </w:p>
    <w:p>
      <w:pPr>
        <w:ind w:firstLine="420"/>
        <w:jc w:val="left"/>
        <w:spacing w:line="360" w:lineRule="auto"/>
        <w:rPr>
          <w:rFonts w:hint="eastAsia" w:ascii="宋体" w:hAnsi="宋体" w:cs="宋体"/>
          <w:szCs w:val="21"/>
          <w:highlight w:val="none"/>
        </w:rPr>
      </w:pPr>
      <w:r>
        <w:rPr>
          <w:rFonts w:hint="eastAsia" w:cs="宋体"/>
          <w:szCs w:val="21"/>
          <w:highlight w:val="none"/>
        </w:rPr>
        <w:t xml:space="preserve">9.3</w:t>
      </w:r>
      <w:r>
        <w:rPr>
          <w:rFonts w:hint="eastAsia" w:ascii="宋体" w:hAnsi="宋体" w:cs="宋体"/>
          <w:szCs w:val="21"/>
          <w:highlight w:val="none"/>
        </w:rPr>
        <w:t xml:space="preserve">因不可抗力或国家法律、法规或其他相关文件规定造成合同不能履行的，双方互不追究违约责任。</w:t>
      </w:r>
      <w:r/>
    </w:p>
    <w:p>
      <w:pPr>
        <w:ind w:firstLine="420"/>
        <w:jc w:val="left"/>
        <w:spacing w:line="360" w:lineRule="auto"/>
        <w:rPr>
          <w:rFonts w:hint="eastAsia" w:ascii="宋体" w:hAnsi="宋体" w:cs="宋体"/>
          <w:szCs w:val="21"/>
          <w:highlight w:val="none"/>
        </w:rPr>
      </w:pPr>
      <w:r>
        <w:rPr>
          <w:rFonts w:hint="eastAsia" w:cs="宋体"/>
          <w:szCs w:val="21"/>
          <w:highlight w:val="none"/>
        </w:rPr>
        <w:t xml:space="preserve">9.4其他：</w:t>
      </w:r>
      <w:r>
        <w:rPr>
          <w:rFonts w:hint="eastAsia" w:cs="宋体"/>
          <w:highlight w:val="none"/>
          <w:u w:val="single"/>
        </w:rPr>
        <w:t xml:space="preserve">如乙方未能按本合同约定履行相应义务，甲方有权追究乙方违约责任，并将乙方列入甲方采购不良供应商名单，以后不得参加甲方采购活动。</w:t>
      </w:r>
      <w:r>
        <w:rPr>
          <w:rFonts w:hint="eastAsia" w:cs="宋体"/>
          <w:szCs w:val="21"/>
          <w:highlight w:val="none"/>
        </w:rPr>
        <w:t xml:space="preserve">  </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10.其他约定事项</w:t>
      </w:r>
      <w:r/>
    </w:p>
    <w:p>
      <w:pPr>
        <w:ind w:firstLine="420"/>
        <w:spacing w:line="360" w:lineRule="auto"/>
        <w:rPr>
          <w:szCs w:val="21"/>
          <w:highlight w:val="none"/>
        </w:rPr>
      </w:pPr>
      <w:r>
        <w:rPr>
          <w:rFonts w:hint="eastAsia" w:ascii="宋体" w:hAnsi="宋体" w:cs="宋体"/>
          <w:bCs/>
          <w:szCs w:val="21"/>
          <w:highlight w:val="none"/>
          <w:u w:val="single"/>
        </w:rPr>
        <w:t xml:space="preserve">                    </w:t>
      </w:r>
      <w:r>
        <w:rPr>
          <w:rFonts w:hint="eastAsia"/>
          <w:szCs w:val="21"/>
          <w:highlight w:val="none"/>
        </w:rPr>
        <w:t xml:space="preserve">。</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11.争议解决</w:t>
      </w:r>
      <w:r/>
    </w:p>
    <w:p>
      <w:pPr>
        <w:ind w:firstLine="420"/>
        <w:spacing w:line="360" w:lineRule="auto"/>
        <w:rPr>
          <w:szCs w:val="21"/>
          <w:highlight w:val="none"/>
        </w:rPr>
      </w:pPr>
      <w:r>
        <w:rPr>
          <w:rFonts w:hint="eastAsia" w:ascii="宋体" w:hAnsi="宋体" w:cs="宋体"/>
          <w:bCs/>
          <w:szCs w:val="21"/>
          <w:highlight w:val="none"/>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12.合同效力和其他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12.1本合同附件、相关的</w:t>
      </w:r>
      <w:r>
        <w:rPr>
          <w:rFonts w:hint="eastAsia" w:ascii="宋体" w:hAnsi="宋体" w:cs="宋体"/>
          <w:bCs/>
          <w:szCs w:val="21"/>
          <w:highlight w:val="none"/>
          <w:u w:val="single"/>
        </w:rPr>
        <w:t xml:space="preserve">招投标资料/谈判纪要以及与本合同相关的其他文件</w:t>
      </w:r>
      <w:r>
        <w:rPr>
          <w:rFonts w:hint="eastAsia" w:ascii="宋体" w:hAnsi="宋体" w:cs="宋体"/>
          <w:bCs/>
          <w:szCs w:val="21"/>
          <w:highlight w:val="none"/>
        </w:rPr>
        <w:t xml:space="preserve">均为本合同不可分割的组成部分，与本合同具有同等法律效力；若存在不一致之处或不明确之处，甲乙双方同意以最有利于甲方利益的文件或文意进行解释。</w:t>
      </w:r>
      <w:r/>
    </w:p>
    <w:p>
      <w:pPr>
        <w:ind w:firstLine="420"/>
        <w:spacing w:line="360" w:lineRule="auto"/>
        <w:rPr>
          <w:szCs w:val="21"/>
          <w:highlight w:val="none"/>
        </w:rPr>
      </w:pPr>
      <w:r>
        <w:rPr>
          <w:rFonts w:hint="eastAsia" w:ascii="宋体" w:hAnsi="宋体" w:cs="宋体"/>
          <w:bCs/>
          <w:szCs w:val="21"/>
          <w:highlight w:val="none"/>
        </w:rPr>
        <w:t xml:space="preserve">12.2本合同一式</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份，自甲乙双方法定代表人或其授权代表签名并加盖单位印章（注：甲方加盖单位印章为甲方单位经济合同专用章）之日起生效，甲方持有</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份，乙方持有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份，均具有同等法律效力。</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附件：</w:t>
      </w:r>
      <w:r/>
    </w:p>
    <w:p>
      <w:pPr>
        <w:spacing w:line="360" w:lineRule="auto"/>
        <w:rPr>
          <w:rFonts w:hint="eastAsia" w:ascii="宋体" w:hAnsi="宋体" w:cs="宋体"/>
          <w:bCs/>
          <w:szCs w:val="21"/>
          <w:highlight w:val="none"/>
        </w:rPr>
      </w:pPr>
      <w:r>
        <w:rPr>
          <w:rFonts w:ascii="Wingdings 2" w:hAnsi="Wingdings 2" w:eastAsia="Wingdings 2" w:cs="Wingdings 2"/>
          <w:szCs w:val="21"/>
          <w:highlight w:val="none"/>
          <w:lang w:bidi="ar"/>
        </w:rPr>
        <w:t xml:space="preserve">£</w:t>
      </w:r>
      <w:r>
        <w:rPr>
          <w:rFonts w:hint="eastAsia" w:ascii="宋体" w:hAnsi="宋体" w:cs="宋体"/>
          <w:szCs w:val="21"/>
          <w:highlight w:val="none"/>
          <w:lang w:bidi="ar"/>
        </w:rPr>
        <w:t xml:space="preserve">货物明细</w:t>
      </w:r>
      <w:r/>
    </w:p>
    <w:p>
      <w:pPr>
        <w:spacing w:line="360" w:lineRule="auto"/>
        <w:rPr>
          <w:szCs w:val="21"/>
          <w:highlight w:val="none"/>
        </w:rPr>
      </w:pPr>
      <w:r>
        <w:rPr>
          <w:rFonts w:ascii="Wingdings 2" w:hAnsi="Wingdings 2" w:eastAsia="Wingdings 2" w:cs="Wingdings 2"/>
          <w:szCs w:val="21"/>
          <w:highlight w:val="none"/>
          <w:lang w:bidi="ar"/>
        </w:rPr>
        <w:t xml:space="preserve">£</w:t>
      </w:r>
      <w:r>
        <w:rPr>
          <w:rFonts w:hint="eastAsia" w:ascii="宋体" w:hAnsi="宋体" w:cs="宋体"/>
          <w:szCs w:val="21"/>
          <w:highlight w:val="none"/>
          <w:lang w:bidi="ar"/>
        </w:rPr>
        <w:t xml:space="preserve">货物技术参数</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（以下无正文）</w:t>
      </w:r>
      <w:r/>
    </w:p>
    <w:tbl>
      <w:tblPr>
        <w:tblStyle w:val="833"/>
        <w:tblW w:w="975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875"/>
        <w:gridCol w:w="4875"/>
      </w:tblGrid>
      <w:tr>
        <w:trPr>
          <w:jc w:val="center"/>
          <w:trHeight w:val="33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甲方(</w:t>
            </w:r>
            <w:r>
              <w:rPr>
                <w:rFonts w:hint="eastAsia" w:ascii="宋体" w:hAnsi="宋体" w:cs="宋体"/>
                <w:szCs w:val="21"/>
                <w:highlight w:val="none"/>
              </w:rPr>
              <w:t xml:space="preserve">盖</w:t>
            </w:r>
            <w:r>
              <w:rPr>
                <w:rFonts w:ascii="宋体" w:hAnsi="宋体" w:cs="宋体"/>
                <w:szCs w:val="21"/>
                <w:highlight w:val="none"/>
              </w:rPr>
              <w:t xml:space="preserve">章)：南京中医药大学</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乙方(</w:t>
            </w:r>
            <w:r>
              <w:rPr>
                <w:rFonts w:hint="eastAsia" w:ascii="宋体" w:hAnsi="宋体" w:cs="宋体"/>
                <w:szCs w:val="21"/>
                <w:highlight w:val="none"/>
              </w:rPr>
              <w:t xml:space="preserve">盖</w:t>
            </w:r>
            <w:r>
              <w:rPr>
                <w:rFonts w:ascii="宋体" w:hAnsi="宋体" w:cs="宋体"/>
                <w:szCs w:val="21"/>
                <w:highlight w:val="none"/>
              </w:rPr>
              <w:t xml:space="preserve">章)</w:t>
            </w:r>
            <w:r>
              <w:rPr>
                <w:rFonts w:hint="eastAsia" w:ascii="宋体" w:hAnsi="宋体" w:cs="宋体"/>
                <w:szCs w:val="21"/>
                <w:highlight w:val="none"/>
              </w:rPr>
              <w:t xml:space="preserve">：</w:t>
            </w:r>
            <w:r/>
          </w:p>
        </w:tc>
      </w:tr>
      <w:tr>
        <w:trPr>
          <w:jc w:val="center"/>
          <w:trHeight w:val="557" w:hRule="exact"/>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spacing w:line="360" w:lineRule="auto"/>
              <w:rPr>
                <w:szCs w:val="21"/>
                <w:highlight w:val="none"/>
              </w:rPr>
            </w:pPr>
            <w:r>
              <w:rPr>
                <w:szCs w:val="21"/>
                <w:highlight w:val="none"/>
              </w:rPr>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spacing w:line="360" w:lineRule="auto"/>
              <w:rPr>
                <w:szCs w:val="21"/>
                <w:highlight w:val="none"/>
              </w:rPr>
            </w:pPr>
            <w:r>
              <w:rPr>
                <w:szCs w:val="21"/>
                <w:highlight w:val="none"/>
              </w:rPr>
            </w:r>
            <w:r/>
          </w:p>
        </w:tc>
      </w:tr>
      <w:tr>
        <w:trPr>
          <w:jc w:val="center"/>
          <w:trHeight w:val="33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ind w:firstLine="2520"/>
              <w:jc w:val="left"/>
              <w:spacing w:line="360" w:lineRule="auto"/>
              <w:rPr>
                <w:szCs w:val="21"/>
                <w:highlight w:val="none"/>
              </w:rPr>
            </w:pPr>
            <w:r>
              <w:rPr>
                <w:rFonts w:ascii="宋体" w:hAnsi="宋体" w:cs="宋体"/>
                <w:szCs w:val="21"/>
                <w:highlight w:val="none"/>
              </w:rPr>
              <w:t xml:space="preserve">　　</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ind w:firstLine="2520"/>
              <w:jc w:val="left"/>
              <w:spacing w:line="360" w:lineRule="auto"/>
              <w:rPr>
                <w:szCs w:val="21"/>
                <w:highlight w:val="none"/>
              </w:rPr>
            </w:pPr>
            <w:r>
              <w:rPr>
                <w:rFonts w:ascii="宋体" w:hAnsi="宋体" w:cs="宋体"/>
                <w:szCs w:val="21"/>
                <w:highlight w:val="none"/>
              </w:rPr>
              <w:t xml:space="preserve">　　</w:t>
            </w:r>
            <w:r/>
          </w:p>
        </w:tc>
      </w:tr>
      <w:tr>
        <w:trPr>
          <w:jc w:val="center"/>
          <w:trHeight w:val="39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单位地址：南京仙林大学城仙林大道138号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单位地址：　　　　　　　　　　　</w:t>
            </w:r>
            <w:r/>
          </w:p>
        </w:tc>
      </w:tr>
      <w:tr>
        <w:trPr>
          <w:jc w:val="center"/>
          <w:trHeight w:val="33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法定代表人（或</w:t>
            </w:r>
            <w:r>
              <w:rPr>
                <w:rFonts w:hint="eastAsia" w:ascii="宋体" w:hAnsi="宋体" w:cs="宋体"/>
                <w:szCs w:val="21"/>
                <w:highlight w:val="none"/>
              </w:rPr>
              <w:t xml:space="preserve">授权代表</w:t>
            </w:r>
            <w:r>
              <w:rPr>
                <w:rFonts w:ascii="宋体" w:hAnsi="宋体" w:cs="宋体"/>
                <w:szCs w:val="21"/>
                <w:highlight w:val="none"/>
              </w:rPr>
              <w:t xml:space="preserve">）</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法定代表人（或</w:t>
            </w:r>
            <w:r>
              <w:rPr>
                <w:rFonts w:hint="eastAsia" w:ascii="宋体" w:hAnsi="宋体" w:cs="宋体"/>
                <w:szCs w:val="21"/>
                <w:highlight w:val="none"/>
              </w:rPr>
              <w:t xml:space="preserve">授权代表</w:t>
            </w:r>
            <w:r>
              <w:rPr>
                <w:rFonts w:ascii="宋体" w:hAnsi="宋体" w:cs="宋体"/>
                <w:szCs w:val="21"/>
                <w:highlight w:val="none"/>
              </w:rPr>
              <w:t xml:space="preserve">）</w:t>
            </w:r>
            <w:r/>
          </w:p>
        </w:tc>
      </w:tr>
      <w:tr>
        <w:trPr>
          <w:jc w:val="center"/>
          <w:trHeight w:val="33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rFonts w:hint="eastAsia" w:ascii="宋体" w:hAnsi="宋体" w:cs="宋体"/>
                <w:szCs w:val="21"/>
                <w:highlight w:val="none"/>
              </w:rPr>
            </w:pPr>
            <w:r>
              <w:rPr>
                <w:rFonts w:ascii="宋体" w:hAnsi="宋体" w:cs="宋体"/>
                <w:szCs w:val="21"/>
                <w:highlight w:val="none"/>
              </w:rPr>
              <w:t xml:space="preserve">（签</w:t>
            </w:r>
            <w:r>
              <w:rPr>
                <w:rFonts w:hint="eastAsia" w:ascii="宋体" w:hAnsi="宋体" w:cs="宋体"/>
                <w:szCs w:val="21"/>
                <w:highlight w:val="none"/>
              </w:rPr>
              <w:t xml:space="preserve">名</w:t>
            </w:r>
            <w:r>
              <w:rPr>
                <w:rFonts w:ascii="宋体" w:hAnsi="宋体" w:cs="宋体"/>
                <w:szCs w:val="21"/>
                <w:highlight w:val="none"/>
              </w:rPr>
              <w:t xml:space="preserve">）：</w:t>
            </w:r>
            <w:r/>
          </w:p>
          <w:p>
            <w:pPr>
              <w:jc w:val="right"/>
              <w:spacing w:line="360" w:lineRule="auto"/>
              <w:rPr>
                <w:rFonts w:hint="eastAsia" w:ascii="宋体" w:hAnsi="宋体" w:cs="宋体"/>
                <w:szCs w:val="21"/>
                <w:highlight w:val="none"/>
              </w:rPr>
            </w:pPr>
            <w:r>
              <w:rPr>
                <w:rFonts w:ascii="宋体" w:hAnsi="宋体" w:cs="宋体"/>
                <w:szCs w:val="21"/>
                <w:highlight w:val="none"/>
              </w:rPr>
              <w:t xml:space="preserve">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rFonts w:hint="eastAsia" w:ascii="宋体" w:hAnsi="宋体" w:cs="宋体"/>
                <w:szCs w:val="21"/>
                <w:highlight w:val="none"/>
              </w:rPr>
            </w:pPr>
            <w:r>
              <w:rPr>
                <w:rFonts w:ascii="宋体" w:hAnsi="宋体" w:cs="宋体"/>
                <w:szCs w:val="21"/>
                <w:highlight w:val="none"/>
              </w:rPr>
              <w:t xml:space="preserve">（签</w:t>
            </w:r>
            <w:r>
              <w:rPr>
                <w:rFonts w:hint="eastAsia" w:ascii="宋体" w:hAnsi="宋体" w:cs="宋体"/>
                <w:szCs w:val="21"/>
                <w:highlight w:val="none"/>
              </w:rPr>
              <w:t xml:space="preserve">名</w:t>
            </w:r>
            <w:r>
              <w:rPr>
                <w:rFonts w:ascii="宋体" w:hAnsi="宋体" w:cs="宋体"/>
                <w:szCs w:val="21"/>
                <w:highlight w:val="none"/>
              </w:rPr>
              <w:t xml:space="preserve">）：</w:t>
            </w:r>
            <w:r/>
          </w:p>
          <w:p>
            <w:pPr>
              <w:jc w:val="right"/>
              <w:spacing w:line="360" w:lineRule="auto"/>
              <w:rPr>
                <w:rFonts w:hint="eastAsia" w:ascii="宋体" w:hAnsi="宋体" w:cs="宋体"/>
                <w:szCs w:val="21"/>
                <w:highlight w:val="none"/>
              </w:rPr>
            </w:pPr>
            <w:r>
              <w:rPr>
                <w:rFonts w:ascii="宋体" w:hAnsi="宋体" w:cs="宋体"/>
                <w:szCs w:val="21"/>
                <w:highlight w:val="none"/>
              </w:rPr>
              <w:t xml:space="preserve">年　月　日</w:t>
            </w:r>
            <w:r/>
          </w:p>
        </w:tc>
      </w:tr>
      <w:tr>
        <w:trPr>
          <w:jc w:val="center"/>
          <w:trHeight w:val="39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电话：　　　　　　</w:t>
            </w:r>
            <w:r/>
          </w:p>
        </w:tc>
      </w:tr>
      <w:tr>
        <w:trPr>
          <w:jc w:val="center"/>
          <w:trHeight w:val="390"/>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邮政编码：21</w:t>
            </w:r>
            <w:r>
              <w:rPr>
                <w:rFonts w:hint="eastAsia" w:ascii="宋体" w:hAnsi="宋体" w:cs="宋体"/>
                <w:szCs w:val="21"/>
                <w:highlight w:val="none"/>
              </w:rPr>
              <w:t xml:space="preserve">0000</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875"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邮政编码：　　　　　　</w:t>
            </w:r>
            <w:r/>
          </w:p>
        </w:tc>
      </w:tr>
    </w:tbl>
    <w:p>
      <w:pPr>
        <w:rPr>
          <w:rFonts w:hint="eastAsia" w:ascii="宋体" w:hAnsi="宋体" w:cs="宋体"/>
          <w:b/>
          <w:szCs w:val="21"/>
          <w:highlight w:val="none"/>
        </w:rPr>
      </w:pPr>
      <w:r>
        <w:rPr>
          <w:rFonts w:hint="eastAsia" w:ascii="宋体" w:hAnsi="宋体" w:cs="宋体"/>
          <w:b/>
          <w:szCs w:val="21"/>
          <w:highlight w:val="none"/>
        </w:rPr>
        <w:br w:type="page" w:clear="all"/>
      </w:r>
      <w:r/>
    </w:p>
    <w:p>
      <w:pPr>
        <w:jc w:val="center"/>
        <w:spacing w:line="520" w:lineRule="exact"/>
        <w:rPr>
          <w:rFonts w:hint="eastAsia" w:ascii="宋体" w:hAnsi="宋体" w:cs="宋体"/>
          <w:b/>
          <w:szCs w:val="21"/>
          <w:highlight w:val="none"/>
        </w:rPr>
      </w:pPr>
      <w:r>
        <w:rPr>
          <w:rFonts w:hint="eastAsia" w:ascii="宋体" w:hAnsi="宋体" w:cs="宋体"/>
          <w:b/>
          <w:szCs w:val="21"/>
          <w:highlight w:val="none"/>
        </w:rPr>
        <w:t xml:space="preserve">南京中医药大学进口设备采购合同</w:t>
      </w:r>
      <w:r/>
    </w:p>
    <w:p>
      <w:pPr>
        <w:jc w:val="center"/>
        <w:spacing w:line="520" w:lineRule="exact"/>
        <w:rPr>
          <w:rFonts w:hint="eastAsia" w:ascii="宋体" w:hAnsi="宋体" w:cs="宋体"/>
          <w:b/>
          <w:szCs w:val="21"/>
          <w:highlight w:val="none"/>
        </w:rPr>
      </w:pPr>
      <w:r>
        <w:rPr>
          <w:rFonts w:hint="eastAsia" w:ascii="宋体" w:hAnsi="宋体" w:cs="宋体"/>
          <w:b/>
          <w:szCs w:val="21"/>
          <w:highlight w:val="none"/>
        </w:rPr>
      </w:r>
      <w:r/>
    </w:p>
    <w:p>
      <w:pPr>
        <w:spacing w:line="520" w:lineRule="exact"/>
        <w:rPr>
          <w:rFonts w:hint="eastAsia" w:ascii="宋体" w:hAnsi="宋体" w:cs="宋体"/>
          <w:b/>
          <w:szCs w:val="21"/>
          <w:highlight w:val="none"/>
        </w:rPr>
      </w:pPr>
      <w:r>
        <w:rPr>
          <w:rFonts w:hint="eastAsia" w:ascii="宋体" w:hAnsi="宋体" w:cs="宋体"/>
          <w:b/>
          <w:szCs w:val="21"/>
          <w:highlight w:val="none"/>
        </w:rPr>
        <w:t xml:space="preserve">甲方（需方）：南京中医药大学</w:t>
      </w:r>
      <w:r/>
    </w:p>
    <w:p>
      <w:pPr>
        <w:spacing w:line="520" w:lineRule="exact"/>
        <w:rPr>
          <w:rFonts w:hint="eastAsia" w:ascii="宋体" w:hAnsi="宋体" w:cs="宋体"/>
          <w:szCs w:val="21"/>
          <w:highlight w:val="none"/>
        </w:rPr>
      </w:pPr>
      <w:r>
        <w:rPr>
          <w:rFonts w:hint="eastAsia" w:ascii="宋体" w:hAnsi="宋体" w:cs="宋体"/>
          <w:szCs w:val="21"/>
          <w:highlight w:val="none"/>
        </w:rPr>
        <w:t xml:space="preserve">法定代表人：</w:t>
      </w:r>
      <w:r/>
    </w:p>
    <w:p>
      <w:pPr>
        <w:spacing w:line="520" w:lineRule="exact"/>
        <w:rPr>
          <w:rFonts w:hint="eastAsia" w:ascii="宋体" w:hAnsi="宋体" w:cs="宋体"/>
          <w:b/>
          <w:szCs w:val="21"/>
          <w:highlight w:val="none"/>
        </w:rPr>
      </w:pPr>
      <w:r>
        <w:rPr>
          <w:rFonts w:hint="eastAsia" w:ascii="宋体" w:hAnsi="宋体" w:cs="宋体"/>
          <w:b/>
          <w:szCs w:val="21"/>
          <w:highlight w:val="none"/>
        </w:rPr>
        <w:t xml:space="preserve">乙方（供方）：</w:t>
      </w:r>
      <w:r/>
    </w:p>
    <w:p>
      <w:pPr>
        <w:spacing w:line="520" w:lineRule="exact"/>
        <w:rPr>
          <w:rFonts w:hint="eastAsia" w:ascii="宋体" w:hAnsi="宋体" w:cs="宋体"/>
          <w:szCs w:val="21"/>
          <w:highlight w:val="none"/>
        </w:rPr>
      </w:pPr>
      <w:r>
        <w:rPr>
          <w:rFonts w:hint="eastAsia" w:ascii="宋体" w:hAnsi="宋体" w:cs="宋体"/>
          <w:szCs w:val="21"/>
          <w:highlight w:val="none"/>
        </w:rPr>
        <w:t xml:space="preserve">法定代表人：</w:t>
      </w:r>
      <w:r/>
    </w:p>
    <w:p>
      <w:pPr>
        <w:spacing w:line="520" w:lineRule="exact"/>
        <w:rPr>
          <w:rFonts w:hint="eastAsia" w:ascii="宋体" w:hAnsi="宋体" w:cs="宋体"/>
          <w:szCs w:val="21"/>
          <w:highlight w:val="none"/>
        </w:rPr>
      </w:pPr>
      <w:r>
        <w:rPr>
          <w:rFonts w:hint="eastAsia" w:ascii="宋体" w:hAnsi="宋体" w:cs="宋体"/>
          <w:szCs w:val="21"/>
          <w:highlight w:val="none"/>
        </w:rPr>
        <w:t xml:space="preserve">合同编号：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经招标（项目编号：</w:t>
      </w:r>
      <w:r>
        <w:rPr>
          <w:rFonts w:hint="eastAsia" w:ascii="宋体" w:hAnsi="宋体" w:cs="宋体"/>
          <w:szCs w:val="21"/>
          <w:highlight w:val="none"/>
          <w:u w:val="single"/>
        </w:rPr>
        <w:t xml:space="preserve">          </w:t>
      </w:r>
      <w:r>
        <w:rPr>
          <w:rFonts w:hint="eastAsia" w:ascii="宋体" w:hAnsi="宋体" w:cs="宋体"/>
          <w:szCs w:val="21"/>
          <w:highlight w:val="none"/>
        </w:rPr>
        <w:t xml:space="preserve">），双方同意按照以下条款就</w:t>
      </w:r>
      <w:r>
        <w:rPr>
          <w:rFonts w:hint="eastAsia" w:ascii="宋体" w:hAnsi="宋体" w:cs="宋体"/>
          <w:szCs w:val="21"/>
          <w:highlight w:val="none"/>
          <w:u w:val="single"/>
        </w:rPr>
        <w:t xml:space="preserve">        货物</w:t>
      </w:r>
      <w:r>
        <w:rPr>
          <w:rFonts w:hint="eastAsia" w:ascii="宋体" w:hAnsi="宋体" w:cs="宋体"/>
          <w:szCs w:val="21"/>
          <w:highlight w:val="none"/>
        </w:rPr>
        <w:t xml:space="preserve">的买卖签订本合同：</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1.甲方向乙方购买的货物清单和金额</w:t>
      </w:r>
      <w:r/>
    </w:p>
    <w:tbl>
      <w:tblPr>
        <w:tblStyle w:val="833"/>
        <w:tblW w:w="975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05"/>
        <w:gridCol w:w="912"/>
        <w:gridCol w:w="492"/>
        <w:gridCol w:w="1332"/>
        <w:gridCol w:w="1025"/>
        <w:gridCol w:w="1528"/>
        <w:gridCol w:w="588"/>
        <w:gridCol w:w="398"/>
        <w:gridCol w:w="1312"/>
        <w:gridCol w:w="1463"/>
      </w:tblGrid>
      <w:tr>
        <w:trPr>
          <w:trHeight w:val="1335"/>
        </w:trPr>
        <w:tc>
          <w:tcPr>
            <w:shd w:val="clear" w:color="auto" w:fill="ffffff"/>
            <w:tcW w:w="705" w:type="dxa"/>
            <w:textDirection w:val="lrTb"/>
            <w:noWrap w:val="false"/>
          </w:tcPr>
          <w:p>
            <w:pPr>
              <w:jc w:val="center"/>
              <w:spacing w:line="360" w:lineRule="auto"/>
              <w:tabs>
                <w:tab w:val="left" w:pos="795" w:leader="none"/>
              </w:tabs>
              <w:rPr>
                <w:b/>
                <w:bCs/>
                <w:szCs w:val="21"/>
                <w:highlight w:val="none"/>
              </w:rPr>
            </w:pPr>
            <w:r>
              <w:rPr>
                <w:rFonts w:hint="eastAsia"/>
                <w:b/>
                <w:bCs/>
                <w:szCs w:val="21"/>
                <w:highlight w:val="none"/>
              </w:rPr>
              <w:t xml:space="preserve">序号</w:t>
            </w:r>
            <w:r/>
          </w:p>
        </w:tc>
        <w:tc>
          <w:tcPr>
            <w:shd w:val="clear" w:color="auto" w:fill="ffffff"/>
            <w:tcW w:w="912" w:type="dxa"/>
            <w:textDirection w:val="lrTb"/>
            <w:noWrap w:val="false"/>
          </w:tcPr>
          <w:p>
            <w:pPr>
              <w:jc w:val="center"/>
              <w:spacing w:line="360" w:lineRule="auto"/>
              <w:tabs>
                <w:tab w:val="left" w:pos="795" w:leader="none"/>
              </w:tabs>
              <w:rPr>
                <w:b/>
                <w:bCs/>
                <w:szCs w:val="21"/>
                <w:highlight w:val="none"/>
              </w:rPr>
            </w:pPr>
            <w:r>
              <w:rPr>
                <w:rFonts w:hint="eastAsia"/>
                <w:b/>
                <w:bCs/>
                <w:szCs w:val="21"/>
                <w:highlight w:val="none"/>
              </w:rPr>
              <w:t xml:space="preserve">产品</w:t>
            </w:r>
            <w:r/>
          </w:p>
          <w:p>
            <w:pPr>
              <w:jc w:val="center"/>
              <w:spacing w:line="360" w:lineRule="auto"/>
              <w:tabs>
                <w:tab w:val="left" w:pos="795" w:leader="none"/>
              </w:tabs>
              <w:rPr>
                <w:b/>
                <w:bCs/>
                <w:szCs w:val="21"/>
                <w:highlight w:val="none"/>
              </w:rPr>
            </w:pPr>
            <w:r>
              <w:rPr>
                <w:b/>
                <w:bCs/>
                <w:szCs w:val="21"/>
                <w:highlight w:val="none"/>
              </w:rPr>
              <w:t xml:space="preserve">名称</w:t>
            </w:r>
            <w:r/>
          </w:p>
        </w:tc>
        <w:tc>
          <w:tcPr>
            <w:shd w:val="clear" w:color="auto" w:fill="ffffff"/>
            <w:tcW w:w="492" w:type="dxa"/>
            <w:textDirection w:val="lrTb"/>
            <w:noWrap w:val="false"/>
          </w:tcPr>
          <w:p>
            <w:pPr>
              <w:jc w:val="center"/>
              <w:spacing w:line="360" w:lineRule="auto"/>
              <w:rPr>
                <w:b/>
                <w:bCs/>
                <w:szCs w:val="21"/>
                <w:highlight w:val="none"/>
              </w:rPr>
            </w:pPr>
            <w:r>
              <w:rPr>
                <w:b/>
                <w:bCs/>
                <w:szCs w:val="21"/>
                <w:highlight w:val="none"/>
              </w:rPr>
              <w:t xml:space="preserve">厂家</w:t>
            </w:r>
            <w:r/>
          </w:p>
        </w:tc>
        <w:tc>
          <w:tcPr>
            <w:shd w:val="clear" w:color="auto" w:fill="ffffff"/>
            <w:tcW w:w="1332" w:type="dxa"/>
            <w:textDirection w:val="lrTb"/>
            <w:noWrap w:val="false"/>
          </w:tcPr>
          <w:p>
            <w:pPr>
              <w:jc w:val="center"/>
              <w:spacing w:line="360" w:lineRule="auto"/>
              <w:rPr>
                <w:b/>
                <w:bCs/>
                <w:szCs w:val="21"/>
                <w:highlight w:val="none"/>
              </w:rPr>
            </w:pPr>
            <w:r>
              <w:rPr>
                <w:b/>
                <w:bCs/>
                <w:szCs w:val="21"/>
                <w:highlight w:val="none"/>
              </w:rPr>
              <w:t xml:space="preserve">型号</w:t>
            </w:r>
            <w:r/>
          </w:p>
        </w:tc>
        <w:tc>
          <w:tcPr>
            <w:shd w:val="clear" w:color="auto" w:fill="ffffff"/>
            <w:tcW w:w="1025" w:type="dxa"/>
            <w:textDirection w:val="lrTb"/>
            <w:noWrap w:val="false"/>
          </w:tcPr>
          <w:p>
            <w:pPr>
              <w:jc w:val="center"/>
              <w:spacing w:line="360" w:lineRule="auto"/>
              <w:rPr>
                <w:b/>
                <w:bCs/>
                <w:szCs w:val="21"/>
                <w:highlight w:val="none"/>
              </w:rPr>
            </w:pPr>
            <w:r>
              <w:rPr>
                <w:b/>
                <w:bCs/>
                <w:szCs w:val="21"/>
                <w:highlight w:val="none"/>
              </w:rPr>
              <w:t xml:space="preserve">规格或</w:t>
            </w:r>
            <w:r/>
          </w:p>
          <w:p>
            <w:pPr>
              <w:jc w:val="center"/>
              <w:spacing w:line="360" w:lineRule="auto"/>
              <w:rPr>
                <w:b/>
                <w:bCs/>
                <w:szCs w:val="21"/>
                <w:highlight w:val="none"/>
              </w:rPr>
            </w:pPr>
            <w:r>
              <w:rPr>
                <w:b/>
                <w:bCs/>
                <w:szCs w:val="21"/>
                <w:highlight w:val="none"/>
              </w:rPr>
              <w:t xml:space="preserve">描述</w:t>
            </w:r>
            <w:r/>
          </w:p>
        </w:tc>
        <w:tc>
          <w:tcPr>
            <w:shd w:val="clear" w:color="auto" w:fill="ffffff"/>
            <w:tcW w:w="1528" w:type="dxa"/>
            <w:textDirection w:val="lrTb"/>
            <w:noWrap w:val="false"/>
          </w:tcPr>
          <w:p>
            <w:pPr>
              <w:jc w:val="center"/>
              <w:spacing w:line="360" w:lineRule="auto"/>
              <w:rPr>
                <w:b/>
                <w:bCs/>
                <w:szCs w:val="21"/>
                <w:highlight w:val="none"/>
              </w:rPr>
            </w:pPr>
            <w:r>
              <w:rPr>
                <w:b/>
                <w:bCs/>
                <w:szCs w:val="21"/>
                <w:highlight w:val="none"/>
              </w:rPr>
              <w:t xml:space="preserve">质保期(自安装调试</w:t>
            </w:r>
            <w:r>
              <w:rPr>
                <w:rFonts w:hint="eastAsia"/>
                <w:b/>
                <w:bCs/>
                <w:szCs w:val="21"/>
                <w:highlight w:val="none"/>
              </w:rPr>
              <w:t xml:space="preserve">甲方最终</w:t>
            </w:r>
            <w:r>
              <w:rPr>
                <w:b/>
                <w:bCs/>
                <w:szCs w:val="21"/>
                <w:highlight w:val="none"/>
              </w:rPr>
              <w:t xml:space="preserve">验收合格日起)</w:t>
            </w:r>
            <w:r/>
          </w:p>
        </w:tc>
        <w:tc>
          <w:tcPr>
            <w:shd w:val="clear" w:color="auto" w:fill="ffffff"/>
            <w:tcW w:w="588" w:type="dxa"/>
            <w:textDirection w:val="lrTb"/>
            <w:noWrap w:val="false"/>
          </w:tcPr>
          <w:p>
            <w:pPr>
              <w:jc w:val="center"/>
              <w:spacing w:line="360" w:lineRule="auto"/>
              <w:rPr>
                <w:b/>
                <w:bCs/>
                <w:szCs w:val="21"/>
                <w:highlight w:val="none"/>
              </w:rPr>
            </w:pPr>
            <w:r>
              <w:rPr>
                <w:b/>
                <w:bCs/>
                <w:szCs w:val="21"/>
                <w:highlight w:val="none"/>
              </w:rPr>
              <w:t xml:space="preserve">数量</w:t>
            </w:r>
            <w:r/>
          </w:p>
        </w:tc>
        <w:tc>
          <w:tcPr>
            <w:shd w:val="clear" w:color="auto" w:fill="ffffff"/>
            <w:tcW w:w="398" w:type="dxa"/>
            <w:textDirection w:val="lrTb"/>
            <w:noWrap w:val="false"/>
          </w:tcPr>
          <w:p>
            <w:pPr>
              <w:jc w:val="center"/>
              <w:spacing w:line="360" w:lineRule="auto"/>
              <w:rPr>
                <w:b/>
                <w:bCs/>
                <w:szCs w:val="21"/>
                <w:highlight w:val="none"/>
              </w:rPr>
            </w:pPr>
            <w:r>
              <w:rPr>
                <w:rFonts w:hint="eastAsia"/>
                <w:b/>
                <w:bCs/>
                <w:szCs w:val="21"/>
                <w:highlight w:val="none"/>
              </w:rPr>
              <w:t xml:space="preserve">单位</w:t>
            </w:r>
            <w:r/>
          </w:p>
        </w:tc>
        <w:tc>
          <w:tcPr>
            <w:shd w:val="clear" w:color="auto" w:fill="ffffff"/>
            <w:tcW w:w="1312" w:type="dxa"/>
            <w:textDirection w:val="lrTb"/>
            <w:noWrap w:val="false"/>
          </w:tcPr>
          <w:p>
            <w:pPr>
              <w:jc w:val="center"/>
              <w:spacing w:line="360" w:lineRule="auto"/>
              <w:rPr>
                <w:b/>
                <w:bCs/>
                <w:szCs w:val="21"/>
                <w:highlight w:val="none"/>
              </w:rPr>
            </w:pPr>
            <w:r>
              <w:rPr>
                <w:b/>
                <w:bCs/>
                <w:szCs w:val="21"/>
                <w:highlight w:val="none"/>
              </w:rPr>
              <w:t xml:space="preserve">单价</w:t>
            </w:r>
            <w:r/>
          </w:p>
          <w:p>
            <w:pPr>
              <w:jc w:val="center"/>
              <w:spacing w:line="360" w:lineRule="auto"/>
              <w:rPr>
                <w:b/>
                <w:bCs/>
                <w:szCs w:val="21"/>
                <w:highlight w:val="none"/>
              </w:rPr>
            </w:pPr>
            <w:r>
              <w:rPr>
                <w:b/>
                <w:bCs/>
                <w:szCs w:val="21"/>
                <w:highlight w:val="none"/>
              </w:rPr>
              <w:t xml:space="preserve">(人民币:元)</w:t>
            </w:r>
            <w:r/>
          </w:p>
        </w:tc>
        <w:tc>
          <w:tcPr>
            <w:shd w:val="clear" w:color="auto" w:fill="ffffff"/>
            <w:tcW w:w="1463" w:type="dxa"/>
            <w:textDirection w:val="lrTb"/>
            <w:noWrap w:val="false"/>
          </w:tcPr>
          <w:p>
            <w:pPr>
              <w:jc w:val="center"/>
              <w:spacing w:line="360" w:lineRule="auto"/>
              <w:rPr>
                <w:b/>
                <w:bCs/>
                <w:szCs w:val="21"/>
                <w:highlight w:val="none"/>
              </w:rPr>
            </w:pPr>
            <w:r>
              <w:rPr>
                <w:b/>
                <w:bCs/>
                <w:szCs w:val="21"/>
                <w:highlight w:val="none"/>
              </w:rPr>
              <w:t xml:space="preserve">总价</w:t>
            </w:r>
            <w:r/>
          </w:p>
          <w:p>
            <w:pPr>
              <w:jc w:val="center"/>
              <w:spacing w:line="360" w:lineRule="auto"/>
              <w:rPr>
                <w:b/>
                <w:bCs/>
                <w:szCs w:val="21"/>
                <w:highlight w:val="none"/>
              </w:rPr>
            </w:pPr>
            <w:r>
              <w:rPr>
                <w:b/>
                <w:bCs/>
                <w:szCs w:val="21"/>
                <w:highlight w:val="none"/>
              </w:rPr>
              <w:t xml:space="preserve">(人民币:元)</w:t>
            </w:r>
            <w:r/>
          </w:p>
        </w:tc>
      </w:tr>
      <w:tr>
        <w:trPr>
          <w:trHeight w:val="452"/>
        </w:trPr>
        <w:tc>
          <w:tcPr>
            <w:shd w:val="clear" w:color="auto" w:fill="ffffff"/>
            <w:tcW w:w="705" w:type="dxa"/>
            <w:textDirection w:val="lrTb"/>
            <w:noWrap w:val="false"/>
          </w:tcPr>
          <w:p>
            <w:pPr>
              <w:spacing w:line="360" w:lineRule="auto"/>
              <w:rPr>
                <w:b/>
                <w:bCs/>
                <w:szCs w:val="21"/>
                <w:highlight w:val="none"/>
              </w:rPr>
            </w:pPr>
            <w:r>
              <w:rPr>
                <w:b/>
                <w:bCs/>
                <w:szCs w:val="21"/>
                <w:highlight w:val="none"/>
              </w:rPr>
            </w:r>
            <w:r/>
          </w:p>
        </w:tc>
        <w:tc>
          <w:tcPr>
            <w:shd w:val="clear" w:color="auto" w:fill="ffffff"/>
            <w:tcW w:w="912" w:type="dxa"/>
            <w:textDirection w:val="lrTb"/>
            <w:noWrap w:val="false"/>
          </w:tcPr>
          <w:p>
            <w:pPr>
              <w:spacing w:line="360" w:lineRule="auto"/>
              <w:rPr>
                <w:b/>
                <w:bCs/>
                <w:szCs w:val="21"/>
                <w:highlight w:val="none"/>
              </w:rPr>
            </w:pPr>
            <w:r>
              <w:rPr>
                <w:b/>
                <w:bCs/>
                <w:szCs w:val="21"/>
                <w:highlight w:val="none"/>
              </w:rPr>
            </w:r>
            <w:r/>
          </w:p>
        </w:tc>
        <w:tc>
          <w:tcPr>
            <w:shd w:val="clear" w:color="auto" w:fill="ffffff"/>
            <w:tcW w:w="492" w:type="dxa"/>
            <w:textDirection w:val="lrTb"/>
            <w:noWrap w:val="false"/>
          </w:tcPr>
          <w:p>
            <w:pPr>
              <w:jc w:val="center"/>
              <w:spacing w:line="360" w:lineRule="auto"/>
              <w:rPr>
                <w:b/>
                <w:bCs/>
                <w:szCs w:val="21"/>
                <w:highlight w:val="none"/>
              </w:rPr>
            </w:pPr>
            <w:r>
              <w:rPr>
                <w:b/>
                <w:bCs/>
                <w:szCs w:val="21"/>
                <w:highlight w:val="none"/>
              </w:rPr>
            </w:r>
            <w:r/>
          </w:p>
        </w:tc>
        <w:tc>
          <w:tcPr>
            <w:shd w:val="clear" w:color="auto" w:fill="ffffff"/>
            <w:tcW w:w="1332" w:type="dxa"/>
            <w:textDirection w:val="lrTb"/>
            <w:noWrap w:val="false"/>
          </w:tcPr>
          <w:p>
            <w:pPr>
              <w:jc w:val="center"/>
              <w:spacing w:line="360" w:lineRule="auto"/>
              <w:rPr>
                <w:b/>
                <w:bCs/>
                <w:szCs w:val="21"/>
                <w:highlight w:val="none"/>
              </w:rPr>
            </w:pPr>
            <w:r>
              <w:rPr>
                <w:b/>
                <w:bCs/>
                <w:szCs w:val="21"/>
                <w:highlight w:val="none"/>
              </w:rPr>
            </w:r>
            <w:r/>
          </w:p>
        </w:tc>
        <w:tc>
          <w:tcPr>
            <w:shd w:val="clear" w:color="auto" w:fill="ffffff"/>
            <w:tcW w:w="1025" w:type="dxa"/>
            <w:textDirection w:val="lrTb"/>
            <w:noWrap w:val="false"/>
          </w:tcPr>
          <w:p>
            <w:pPr>
              <w:jc w:val="left"/>
              <w:spacing w:line="360" w:lineRule="auto"/>
              <w:rPr>
                <w:b/>
                <w:bCs/>
                <w:szCs w:val="21"/>
                <w:highlight w:val="none"/>
              </w:rPr>
            </w:pPr>
            <w:r>
              <w:rPr>
                <w:b/>
                <w:bCs/>
                <w:szCs w:val="21"/>
                <w:highlight w:val="none"/>
              </w:rPr>
            </w:r>
            <w:r/>
          </w:p>
        </w:tc>
        <w:tc>
          <w:tcPr>
            <w:shd w:val="clear" w:color="auto" w:fill="ffffff"/>
            <w:tcW w:w="1528" w:type="dxa"/>
            <w:textDirection w:val="lrTb"/>
            <w:noWrap w:val="false"/>
          </w:tcPr>
          <w:p>
            <w:pPr>
              <w:jc w:val="center"/>
              <w:spacing w:line="360" w:lineRule="auto"/>
              <w:rPr>
                <w:b/>
                <w:bCs/>
                <w:szCs w:val="21"/>
                <w:highlight w:val="none"/>
              </w:rPr>
            </w:pPr>
            <w:r>
              <w:rPr>
                <w:b/>
                <w:bCs/>
                <w:szCs w:val="21"/>
                <w:highlight w:val="none"/>
              </w:rPr>
            </w:r>
            <w:r/>
          </w:p>
        </w:tc>
        <w:tc>
          <w:tcPr>
            <w:shd w:val="clear" w:color="auto" w:fill="ffffff"/>
            <w:tcW w:w="588" w:type="dxa"/>
            <w:textDirection w:val="lrTb"/>
            <w:noWrap w:val="false"/>
          </w:tcPr>
          <w:p>
            <w:pPr>
              <w:jc w:val="center"/>
              <w:spacing w:line="360" w:lineRule="auto"/>
              <w:rPr>
                <w:b/>
                <w:bCs/>
                <w:szCs w:val="21"/>
                <w:highlight w:val="none"/>
              </w:rPr>
            </w:pPr>
            <w:r>
              <w:rPr>
                <w:b/>
                <w:bCs/>
                <w:szCs w:val="21"/>
                <w:highlight w:val="none"/>
              </w:rPr>
            </w:r>
            <w:r/>
          </w:p>
        </w:tc>
        <w:tc>
          <w:tcPr>
            <w:shd w:val="clear" w:color="auto" w:fill="ffffff"/>
            <w:tcW w:w="398" w:type="dxa"/>
            <w:textDirection w:val="lrTb"/>
            <w:noWrap w:val="false"/>
          </w:tcPr>
          <w:p>
            <w:pPr>
              <w:jc w:val="center"/>
              <w:spacing w:line="360" w:lineRule="auto"/>
              <w:rPr>
                <w:b/>
                <w:bCs/>
                <w:szCs w:val="21"/>
                <w:highlight w:val="none"/>
              </w:rPr>
            </w:pPr>
            <w:r>
              <w:rPr>
                <w:b/>
                <w:bCs/>
                <w:szCs w:val="21"/>
                <w:highlight w:val="none"/>
              </w:rPr>
            </w:r>
            <w:r/>
          </w:p>
        </w:tc>
        <w:tc>
          <w:tcPr>
            <w:shd w:val="clear" w:color="auto" w:fill="ffffff"/>
            <w:tcW w:w="1312" w:type="dxa"/>
            <w:textDirection w:val="lrTb"/>
            <w:noWrap w:val="false"/>
          </w:tcPr>
          <w:p>
            <w:pPr>
              <w:jc w:val="center"/>
              <w:spacing w:line="360" w:lineRule="auto"/>
              <w:rPr>
                <w:b/>
                <w:bCs/>
                <w:szCs w:val="21"/>
                <w:highlight w:val="none"/>
              </w:rPr>
            </w:pPr>
            <w:r>
              <w:rPr>
                <w:b/>
                <w:bCs/>
                <w:szCs w:val="21"/>
                <w:highlight w:val="none"/>
              </w:rPr>
            </w:r>
            <w:r/>
          </w:p>
        </w:tc>
        <w:tc>
          <w:tcPr>
            <w:shd w:val="clear" w:color="auto" w:fill="ffffff"/>
            <w:tcW w:w="1463" w:type="dxa"/>
            <w:textDirection w:val="lrTb"/>
            <w:noWrap w:val="false"/>
          </w:tcPr>
          <w:p>
            <w:pPr>
              <w:jc w:val="center"/>
              <w:spacing w:line="360" w:lineRule="auto"/>
              <w:rPr>
                <w:b/>
                <w:bCs/>
                <w:szCs w:val="21"/>
                <w:highlight w:val="none"/>
              </w:rPr>
            </w:pPr>
            <w:r>
              <w:rPr>
                <w:b/>
                <w:bCs/>
                <w:szCs w:val="21"/>
                <w:highlight w:val="none"/>
              </w:rPr>
            </w:r>
            <w:r/>
          </w:p>
        </w:tc>
      </w:tr>
      <w:tr>
        <w:trPr>
          <w:trHeight w:val="452"/>
        </w:trPr>
        <w:tc>
          <w:tcPr>
            <w:gridSpan w:val="2"/>
            <w:shd w:val="clear" w:color="auto" w:fill="ffffff"/>
            <w:tcW w:w="1617" w:type="dxa"/>
            <w:textDirection w:val="lrTb"/>
            <w:noWrap w:val="false"/>
          </w:tcPr>
          <w:p>
            <w:pPr>
              <w:jc w:val="left"/>
              <w:spacing w:line="360" w:lineRule="auto"/>
              <w:rPr>
                <w:b/>
                <w:bCs/>
                <w:szCs w:val="21"/>
                <w:highlight w:val="none"/>
              </w:rPr>
            </w:pPr>
            <w:r>
              <w:rPr>
                <w:rFonts w:hint="eastAsia"/>
                <w:b/>
                <w:bCs/>
                <w:szCs w:val="21"/>
                <w:highlight w:val="none"/>
              </w:rPr>
              <w:t xml:space="preserve">合</w:t>
            </w:r>
            <w:r>
              <w:rPr>
                <w:b/>
                <w:bCs/>
                <w:szCs w:val="21"/>
                <w:highlight w:val="none"/>
              </w:rPr>
              <w:t xml:space="preserve">计</w:t>
            </w:r>
            <w:r/>
          </w:p>
        </w:tc>
        <w:tc>
          <w:tcPr>
            <w:gridSpan w:val="7"/>
            <w:shd w:val="clear" w:color="auto" w:fill="ffffff"/>
            <w:tcW w:w="6675" w:type="dxa"/>
            <w:textDirection w:val="lrTb"/>
            <w:noWrap w:val="false"/>
          </w:tcPr>
          <w:p>
            <w:pPr>
              <w:jc w:val="left"/>
              <w:spacing w:line="360" w:lineRule="auto"/>
              <w:rPr>
                <w:b/>
                <w:bCs/>
                <w:szCs w:val="21"/>
                <w:highlight w:val="none"/>
              </w:rPr>
            </w:pPr>
            <w:r>
              <w:rPr>
                <w:rFonts w:ascii="宋体" w:hAnsi="宋体" w:cs="宋体"/>
                <w:szCs w:val="21"/>
                <w:highlight w:val="none"/>
              </w:rPr>
              <w:t xml:space="preserve">人民币：大写</w:t>
            </w:r>
            <w:r>
              <w:rPr>
                <w:rFonts w:ascii="宋体" w:hAnsi="宋体" w:cs="宋体"/>
                <w:szCs w:val="21"/>
                <w:highlight w:val="none"/>
                <w:u w:val="single"/>
              </w:rPr>
              <w:t xml:space="preserve">　　　　　</w:t>
            </w:r>
            <w:r>
              <w:rPr>
                <w:rFonts w:ascii="宋体" w:hAnsi="宋体" w:cs="宋体"/>
                <w:szCs w:val="21"/>
                <w:highlight w:val="none"/>
              </w:rPr>
              <w:t xml:space="preserve"> （￥ </w:t>
            </w:r>
            <w:r>
              <w:rPr>
                <w:rFonts w:ascii="宋体" w:hAnsi="宋体" w:cs="宋体"/>
                <w:szCs w:val="21"/>
                <w:highlight w:val="none"/>
                <w:u w:val="single"/>
              </w:rPr>
              <w:t xml:space="preserve">　　　　　</w:t>
            </w:r>
            <w:r>
              <w:rPr>
                <w:rFonts w:ascii="宋体" w:hAnsi="宋体" w:cs="宋体"/>
                <w:szCs w:val="21"/>
                <w:highlight w:val="none"/>
              </w:rPr>
              <w:t xml:space="preserve"> 元）</w:t>
            </w:r>
            <w:r/>
          </w:p>
        </w:tc>
        <w:tc>
          <w:tcPr>
            <w:shd w:val="clear" w:color="auto" w:fill="ffffff"/>
            <w:tcW w:w="1463" w:type="dxa"/>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3111"/>
        </w:trPr>
        <w:tc>
          <w:tcPr>
            <w:gridSpan w:val="2"/>
            <w:shd w:val="clear" w:color="auto" w:fill="ffffff"/>
            <w:tcW w:w="1617" w:type="dxa"/>
            <w:textDirection w:val="lrTb"/>
            <w:noWrap w:val="false"/>
          </w:tcPr>
          <w:p>
            <w:pPr>
              <w:jc w:val="left"/>
              <w:spacing w:line="360" w:lineRule="auto"/>
              <w:rPr>
                <w:b/>
                <w:bCs/>
                <w:szCs w:val="21"/>
                <w:highlight w:val="none"/>
              </w:rPr>
            </w:pPr>
            <w:r>
              <w:rPr>
                <w:b/>
                <w:bCs/>
                <w:szCs w:val="21"/>
                <w:highlight w:val="none"/>
              </w:rPr>
              <w:t xml:space="preserve">备注</w:t>
            </w:r>
            <w:r/>
          </w:p>
        </w:tc>
        <w:tc>
          <w:tcPr>
            <w:gridSpan w:val="8"/>
            <w:shd w:val="clear" w:color="auto" w:fill="ffffff"/>
            <w:tcW w:w="8138" w:type="dxa"/>
            <w:textDirection w:val="lrTb"/>
            <w:noWrap w:val="false"/>
          </w:tcPr>
          <w:p>
            <w:pPr>
              <w:jc w:val="left"/>
              <w:spacing w:line="360" w:lineRule="auto"/>
              <w:rPr>
                <w:szCs w:val="21"/>
                <w:highlight w:val="none"/>
              </w:rPr>
            </w:pPr>
            <w:r>
              <w:rPr>
                <w:szCs w:val="21"/>
                <w:highlight w:val="none"/>
              </w:rPr>
              <w:t xml:space="preserve">本合同总价款是人民币全包价，为全部设备、材料、随设备提供的备品配件及专用工具的价格、全部税金（含增值税等）、包装费、运杂费（运抵甲方指</w:t>
            </w:r>
            <w:r>
              <w:rPr>
                <w:rFonts w:hint="eastAsia"/>
                <w:szCs w:val="21"/>
                <w:highlight w:val="none"/>
              </w:rPr>
              <w:t xml:space="preserve">定</w:t>
            </w:r>
            <w:r>
              <w:rPr>
                <w:szCs w:val="21"/>
                <w:highlight w:val="none"/>
              </w:rPr>
              <w:t xml:space="preserve">交货地点）、保险费、安装费、调试费、甲方操作维护人员培训费、验收</w:t>
            </w:r>
            <w:r>
              <w:rPr>
                <w:rFonts w:hint="eastAsia"/>
                <w:szCs w:val="21"/>
                <w:highlight w:val="none"/>
              </w:rPr>
              <w:t xml:space="preserve">检测费、鉴</w:t>
            </w:r>
            <w:r>
              <w:rPr>
                <w:szCs w:val="21"/>
                <w:highlight w:val="none"/>
              </w:rPr>
              <w:t xml:space="preserve">定费、外贸代理公司代理服务费</w:t>
            </w:r>
            <w:r>
              <w:rPr>
                <w:rFonts w:hint="eastAsia"/>
                <w:szCs w:val="21"/>
                <w:highlight w:val="none"/>
              </w:rPr>
              <w:t xml:space="preserve">及</w:t>
            </w:r>
            <w:r>
              <w:rPr>
                <w:szCs w:val="21"/>
                <w:highlight w:val="none"/>
              </w:rPr>
              <w:t xml:space="preserve">手续费、甲方最终验收合格之前乙方认为需要的其他费用及质保期内备品备件发生的所有含税费用。即除甲方应付合同</w:t>
            </w:r>
            <w:r>
              <w:rPr>
                <w:rFonts w:hint="eastAsia"/>
                <w:szCs w:val="21"/>
                <w:highlight w:val="none"/>
              </w:rPr>
              <w:t xml:space="preserve">款项</w:t>
            </w:r>
            <w:r>
              <w:rPr>
                <w:szCs w:val="21"/>
                <w:highlight w:val="none"/>
              </w:rPr>
              <w:t xml:space="preserve">外，甲方取得本合同项下全部货物无需再支付任何费用，所有设备安装实施完毕后就能正常使用。本合同总价款还包含乙方应当提供的伴随服务/售后服务费用。</w:t>
            </w:r>
            <w:r/>
          </w:p>
        </w:tc>
      </w:tr>
    </w:tbl>
    <w:p>
      <w:pPr>
        <w:spacing w:line="360" w:lineRule="auto"/>
        <w:rPr>
          <w:rFonts w:hint="eastAsia" w:ascii="宋体" w:hAnsi="宋体" w:cs="宋体"/>
          <w:szCs w:val="21"/>
          <w:highlight w:val="none"/>
        </w:rPr>
      </w:pPr>
      <w:r>
        <w:rPr>
          <w:rFonts w:hint="eastAsia" w:ascii="宋体" w:hAnsi="宋体" w:cs="宋体"/>
          <w:szCs w:val="21"/>
          <w:highlight w:val="none"/>
        </w:rPr>
        <w:t xml:space="preserve">    备注：外贸代理公司代理服务费及手续费由《委托代理进口合同》另行约定，乙方承诺已充分考虑相关情况，外贸代理公司代理服务费及手续费已包含在本合同总价款中，乙方不得以任何理由收取额外费用。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1.1乙方对其所提供货物应当拥有完整物权，货物中的软件产品或货物中所载有</w:t>
      </w:r>
      <w:r>
        <w:rPr>
          <w:rFonts w:hint="eastAsia" w:ascii="宋体" w:hAnsi="宋体" w:cs="宋体"/>
          <w:szCs w:val="21"/>
          <w:highlight w:val="none"/>
        </w:rPr>
        <w:t xml:space="preserve">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乙方应根据甲方的要求（包括招标文件和本合同约定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szCs w:val="21"/>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如因乙方运输、安装、后期维保或产品质量问题而发生事故造成甲方或第三方的人身伤害或财产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楷体_GB2312" w:eastAsia="楷体_GB2312" w:cs="宋体"/>
          <w:szCs w:val="21"/>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rPr>
        <w:t xml:space="preserve">的违约金。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楷体_GB2312" w:eastAsia="楷体_GB2312" w:cs="宋体"/>
          <w:szCs w:val="21"/>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rPr>
        <w:t xml:space="preserve">的违约金。若乙方支付的违约金不足以弥补甲方损失的，乙方还须继续承担损失赔偿责任。  </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本合同约定条款中乙方的责任承担期限均不受甲方已收货且出具验收确认书的限制。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1.6乙方指定【        （电话：      ）】为项目经理，由其全面负责本合同履行过程中与甲方确认到货情况、安排货物安装调试、参与验收、售后服务等事宜，乙方对其项目经理在本合同履行过程中向甲方出具的任何签字文件或材料均予以认可。若乙方前述项目经理发生变化，应及时以书面方式通知甲方。</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若本合同项下的进口设备按国家政策不能免税，则乙方应及时告知甲方并由乙方承担</w:t>
      </w:r>
      <w:r>
        <w:rPr>
          <w:rFonts w:hint="eastAsia" w:ascii="宋体" w:hAnsi="宋体" w:eastAsia="楷体_GB2312" w:cs="宋体"/>
          <w:szCs w:val="21"/>
          <w:highlight w:val="none"/>
          <w:u w:val="single"/>
        </w:rPr>
        <w:t xml:space="preserve">     全部</w:t>
      </w:r>
      <w:r>
        <w:rPr>
          <w:rFonts w:hint="eastAsia" w:ascii="宋体" w:hAnsi="宋体" w:cs="宋体"/>
          <w:b/>
          <w:szCs w:val="21"/>
          <w:highlight w:val="none"/>
        </w:rPr>
        <w:t xml:space="preserve">税费。</w:t>
      </w:r>
      <w:r/>
    </w:p>
    <w:p>
      <w:p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2.交货时间</w:t>
      </w:r>
      <w:r/>
    </w:p>
    <w:p>
      <w:pPr>
        <w:ind w:firstLine="420"/>
        <w:spacing w:line="360" w:lineRule="auto"/>
        <w:rPr>
          <w:rFonts w:hint="eastAsia" w:ascii="宋体" w:hAnsi="宋体" w:cs="宋体"/>
          <w:szCs w:val="21"/>
          <w:highlight w:val="none"/>
        </w:rPr>
      </w:pPr>
      <w:r>
        <w:rPr>
          <w:rFonts w:ascii="宋体" w:hAnsi="宋体" w:cs="宋体"/>
          <w:highlight w:val="none"/>
        </w:rPr>
        <w:t xml:space="preserve">乙方应在本合同签订生效后</w:t>
      </w:r>
      <w:r>
        <w:rPr>
          <w:rFonts w:ascii="宋体" w:hAnsi="宋体" w:cs="宋体"/>
          <w:highlight w:val="none"/>
          <w:u w:val="single"/>
        </w:rPr>
        <w:t xml:space="preserve">1</w:t>
      </w:r>
      <w:r>
        <w:rPr>
          <w:rFonts w:hint="eastAsia" w:ascii="宋体" w:hAnsi="宋体" w:cs="宋体"/>
          <w:highlight w:val="none"/>
          <w:u w:val="single"/>
          <w:lang w:val="en-US" w:eastAsia="zh-CN"/>
        </w:rPr>
        <w:t xml:space="preserve">8</w:t>
      </w:r>
      <w:r>
        <w:rPr>
          <w:rFonts w:ascii="宋体" w:hAnsi="宋体" w:cs="宋体"/>
          <w:highlight w:val="none"/>
          <w:u w:val="single"/>
        </w:rPr>
        <w:t xml:space="preserve">0</w:t>
      </w:r>
      <w:r>
        <w:rPr>
          <w:rFonts w:ascii="宋体" w:hAnsi="宋体" w:cs="宋体"/>
          <w:highlight w:val="none"/>
        </w:rPr>
        <w:t xml:space="preserve">个日历日内向甲方交付合同条款１中所列的全部货物（具体时间以甲方通知为准）。</w:t>
      </w:r>
      <w:r/>
    </w:p>
    <w:p>
      <w:pPr>
        <w:ind w:firstLine="420"/>
        <w:spacing w:line="360" w:lineRule="auto"/>
        <w:rPr>
          <w:szCs w:val="21"/>
          <w:highlight w:val="none"/>
        </w:rPr>
      </w:pPr>
      <w:r>
        <w:rPr>
          <w:rFonts w:ascii="Wingdings 2" w:hAnsi="Wingdings 2" w:eastAsia="Wingdings 2" w:cs="Wingdings 2"/>
          <w:szCs w:val="21"/>
          <w:highlight w:val="none"/>
        </w:rPr>
        <w:t xml:space="preserve">£</w:t>
      </w:r>
      <w:r>
        <w:rPr>
          <w:rFonts w:hint="eastAsia" w:ascii="宋体" w:hAnsi="宋体" w:cs="宋体"/>
          <w:szCs w:val="21"/>
          <w:highlight w:val="none"/>
        </w:rPr>
        <w:t xml:space="preserve">同时，乙方应于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日前完成合同条款1 中所列的全部货物的安装调试并可以达到本合同约定的验收要求。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3.交货地点</w:t>
      </w:r>
      <w:r/>
    </w:p>
    <w:p>
      <w:pPr>
        <w:ind w:firstLine="420"/>
        <w:spacing w:line="360" w:lineRule="auto"/>
        <w:rPr>
          <w:rFonts w:hint="eastAsia" w:ascii="宋体" w:hAnsi="宋体" w:eastAsia="宋体" w:cs="宋体"/>
          <w:szCs w:val="21"/>
          <w:highlight w:val="none"/>
          <w:u w:val="single"/>
          <w:lang w:val="en-US" w:eastAsia="zh-CN"/>
        </w:rPr>
      </w:pPr>
      <w:r>
        <w:rPr>
          <w:rFonts w:hint="eastAsia" w:ascii="宋体" w:hAnsi="宋体" w:cs="宋体"/>
          <w:szCs w:val="21"/>
          <w:highlight w:val="none"/>
          <w:u w:val="single"/>
        </w:rPr>
        <w:t xml:space="preserve">江苏省南京市栖霞区仙林大道南京中医药大学B2-201</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4.其它费用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4.1货物的运输、拆卸、安装过程中以及免费质保期内所有货物维修产生的全部费用均由乙方承担。</w:t>
      </w:r>
      <w:r/>
    </w:p>
    <w:p>
      <w:pPr>
        <w:ind w:firstLine="422"/>
        <w:spacing w:line="360" w:lineRule="auto"/>
        <w:rPr>
          <w:rFonts w:hint="eastAsia" w:ascii="宋体" w:hAnsi="宋体"/>
          <w:b/>
          <w:bCs/>
          <w:szCs w:val="21"/>
          <w:highlight w:val="none"/>
        </w:rPr>
      </w:pPr>
      <w:r>
        <w:rPr>
          <w:rFonts w:hint="eastAsia" w:ascii="宋体" w:hAnsi="宋体" w:cs="宋体"/>
          <w:b/>
          <w:bCs/>
          <w:szCs w:val="21"/>
          <w:highlight w:val="none"/>
        </w:rPr>
        <w:t xml:space="preserve">5.保证金</w:t>
      </w:r>
      <w:r>
        <w:rPr>
          <w:rFonts w:hint="eastAsia" w:ascii="宋体" w:hAnsi="宋体"/>
          <w:b/>
          <w:bCs/>
          <w:szCs w:val="21"/>
          <w:highlight w:val="none"/>
        </w:rPr>
        <w:t xml:space="preserve">（根据招标文件要求选用）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甲方指定的履约保证金汇款银行、帐号及户名如下：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账号为：4301010109001027264</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开户行：工行汉中门支行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收款人：南京中医药大学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汇款必须从乙方的基本账户转出，在备注、用途或附加说明中写明是本项目的履约保证金。</w:t>
      </w:r>
      <w:r/>
    </w:p>
    <w:p>
      <w:pPr>
        <w:ind w:firstLine="420"/>
        <w:spacing w:line="360" w:lineRule="auto"/>
        <w:rPr>
          <w:rFonts w:hint="eastAsia" w:ascii="宋体" w:hAnsi="宋体" w:cs="宋体"/>
          <w:szCs w:val="21"/>
          <w:highlight w:val="none"/>
        </w:rPr>
      </w:pPr>
      <w:r>
        <w:rPr>
          <w:rFonts w:ascii="Wingdings 2" w:hAnsi="Wingdings 2" w:eastAsia="Wingdings 2" w:cs="Wingdings 2"/>
          <w:szCs w:val="21"/>
          <w:highlight w:val="none"/>
          <w:lang w:bidi="ar"/>
        </w:rPr>
        <w:t xml:space="preserve">£</w:t>
      </w:r>
      <w:r>
        <w:rPr>
          <w:rFonts w:hint="eastAsia" w:ascii="宋体" w:hAnsi="宋体" w:cs="宋体"/>
          <w:szCs w:val="21"/>
          <w:highlight w:val="none"/>
        </w:rPr>
        <w:t xml:space="preserve">4.1乙方于本合同签订前向甲方交纳</w:t>
      </w:r>
      <w:r>
        <w:rPr>
          <w:rFonts w:hint="eastAsia" w:ascii="宋体" w:hAnsi="宋体" w:cs="宋体"/>
          <w:szCs w:val="21"/>
          <w:highlight w:val="none"/>
          <w:lang w:bidi="ar"/>
        </w:rPr>
        <w:t xml:space="preserve">人民币</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元（</w:t>
      </w:r>
      <w:r>
        <w:rPr>
          <w:rFonts w:hint="eastAsia" w:ascii="宋体" w:hAnsi="宋体" w:cs="宋体"/>
          <w:szCs w:val="21"/>
          <w:highlight w:val="none"/>
        </w:rPr>
        <w:t xml:space="preserve">合同价的【5】%）作为本合同的履约保证金。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甲方最终书面确认验收合格之日起算【12】个月后，甲方确认无质量问题且乙方无违约情形后将履约保证金一次性无息退还给乙方。乙方若有违约情形的或产品存在质量问题，甲方有权依据合同约定在履约保证金中先行扣除相应金额的违约金或质量赔偿金。履约保证金不足扣除的，乙方应在接到甲方通知后及时补足。</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6.调试和验收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6.1甲乙双方均认可本合同项下的全部货物由乙方指定的外商直接向甲方及甲方指定的外贸代理机构提供，乙方指定的外商向甲方及甲方指定的外贸代理机构提供的货物视为本合同“乙方提交的货物”，乙方应当按照本合同的约定承担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6.2甲方对乙方提交的货物依据招</w:t>
      </w:r>
      <w:r>
        <w:rPr>
          <w:rFonts w:hint="eastAsia" w:ascii="宋体" w:hAnsi="宋体" w:cs="宋体"/>
          <w:szCs w:val="21"/>
          <w:highlight w:val="none"/>
        </w:rPr>
        <w:t xml:space="preserve">标文件上的技术参数要求、本合同约定和国家有关质量标准进行现场清点、初步验收，外观、说明书符合招标文件技术要求的，予以签收，初步验收不合格的不予签收。货到后甲方指定地点，乙方须在5个工作日内配合甲方予以初步验收，乙方项目经理应参加初步验收。验收不合格的，乙方应当按照甲方要求限期提供符合约定的产品，由此给甲方造成迟延的，乙方应当按照每日验收不合格货物对应总价的【  】%支付迟延违约金；乙方针对同一批货物交付两次均验收不合格的，甲方有权针对该部分货物另行委托第三方购买，由此给甲方造成损失的，乙方应当承担赔偿责任。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6.3乙方交货前应对产品做出全面检查和对初步验收文件进行整理，提供与货物有关的清晰、正确、完整的技术资料，并列出清单，如：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6.4甲方人员在清点核查、初步验收时若发现货物有明显缺漏、损坏、包装破损、遗失等情形，甲方有权拒绝接收该批次货物，乙方应按照甲方的要求及</w:t>
      </w:r>
      <w:r>
        <w:rPr>
          <w:rFonts w:hint="eastAsia" w:ascii="宋体" w:hAnsi="宋体" w:cs="宋体"/>
          <w:szCs w:val="21"/>
          <w:highlight w:val="none"/>
        </w:rPr>
        <w:t xml:space="preserve">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负有直接向甲方退还全部相关费用的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6.5乙方在接到甲方通知的7个工作日内派人前往甲方指定地点，负责该货物的安装、调试和操作培训。甲方对乙方提供的货物在使用前进行调试时，乙方需负责免费安装并免费培训甲方的使用操作人员，并协助甲方一起调试，直到符合招标文件及本合同约定的技术要求并被甲方所能应用，甲方才做最终验收。乙方项目经理应参加最终验收。在安装、调试和验收过程中，如发现有漏件、缺件，乙方应无条件、无偿补齐，所发生的一切费用已包含本合同总价款中，甲方不再另行付费，且并不因此而影响交付甲方使用的时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6.6对于本合同约定的货物，乙方同意由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ind w:firstLine="422"/>
        <w:spacing w:line="360" w:lineRule="auto"/>
        <w:rPr>
          <w:rFonts w:hint="eastAsia" w:ascii="宋体" w:hAnsi="宋体"/>
          <w:b/>
          <w:bCs/>
          <w:szCs w:val="21"/>
          <w:highlight w:val="none"/>
        </w:rPr>
      </w:pPr>
      <w:r>
        <w:rPr>
          <w:rFonts w:hint="eastAsia" w:ascii="宋体" w:hAnsi="宋体" w:cs="宋体"/>
          <w:b/>
          <w:bCs/>
          <w:szCs w:val="21"/>
          <w:highlight w:val="none"/>
        </w:rPr>
        <w:t xml:space="preserve">7.付款方式</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7.1乙方委托甲方指定的外贸代理公司（即本合同项下货物的进口代理商）向甲方提供委托代理全额发票、外商发票复印件，在甲方收到上述完整资料并与乙方确认无误后，根据甲方与外贸代理公司签订的《委托代理进口合同》的约定，甲方向甲</w:t>
      </w:r>
      <w:r>
        <w:rPr>
          <w:rFonts w:hint="eastAsia" w:ascii="宋体" w:hAnsi="宋体"/>
          <w:bCs/>
          <w:szCs w:val="21"/>
          <w:highlight w:val="none"/>
        </w:rPr>
        <w:t xml:space="preserve">乙双</w:t>
      </w:r>
      <w:r>
        <w:rPr>
          <w:rFonts w:hint="eastAsia" w:ascii="宋体" w:hAnsi="宋体" w:cs="宋体"/>
          <w:bCs/>
          <w:szCs w:val="21"/>
          <w:highlight w:val="none"/>
        </w:rPr>
        <w:t xml:space="preserve">方</w:t>
      </w:r>
      <w:r>
        <w:rPr>
          <w:rFonts w:hint="eastAsia" w:ascii="宋体" w:hAnsi="宋体"/>
          <w:bCs/>
          <w:szCs w:val="21"/>
          <w:highlight w:val="none"/>
        </w:rPr>
        <w:t xml:space="preserve">一致确认</w:t>
      </w:r>
      <w:r>
        <w:rPr>
          <w:rFonts w:hint="eastAsia" w:ascii="宋体" w:hAnsi="宋体" w:cs="宋体"/>
          <w:bCs/>
          <w:szCs w:val="21"/>
          <w:highlight w:val="none"/>
        </w:rPr>
        <w:t xml:space="preserve">的外贸代理公司预先支付货物的人民币全款</w:t>
      </w:r>
      <w:r>
        <w:rPr>
          <w:rFonts w:hint="eastAsia" w:ascii="宋体" w:hAnsi="宋体"/>
          <w:bCs/>
          <w:szCs w:val="21"/>
          <w:highlight w:val="none"/>
        </w:rPr>
        <w:t xml:space="preserve">（即本合同条款1约定的本合同总价）</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乙方将货物送达甲方指定交货地点并经甲方初步确认无误、</w:t>
      </w:r>
      <w:r>
        <w:rPr>
          <w:rFonts w:hint="eastAsia" w:ascii="宋体" w:hAnsi="宋体"/>
          <w:bCs/>
          <w:szCs w:val="21"/>
          <w:highlight w:val="none"/>
        </w:rPr>
        <w:t xml:space="preserve">且外贸代理公司与甲方一致确认到货后，由</w:t>
      </w:r>
      <w:r>
        <w:rPr>
          <w:rFonts w:hint="eastAsia" w:ascii="宋体" w:hAnsi="宋体" w:cs="宋体"/>
          <w:bCs/>
          <w:szCs w:val="21"/>
          <w:highlight w:val="none"/>
        </w:rPr>
        <w:t xml:space="preserve">外贸代理公司凭装运单据向乙方指定的外商支付90%的</w:t>
      </w:r>
      <w:r>
        <w:rPr>
          <w:rFonts w:hint="eastAsia" w:ascii="宋体" w:hAnsi="宋体" w:cs="宋体"/>
          <w:b/>
          <w:szCs w:val="21"/>
          <w:highlight w:val="none"/>
        </w:rPr>
        <w:t xml:space="preserve">货款</w:t>
      </w:r>
      <w:r>
        <w:rPr>
          <w:rFonts w:hint="eastAsia" w:ascii="宋体" w:hAnsi="宋体" w:cs="宋体"/>
          <w:bCs/>
          <w:szCs w:val="21"/>
          <w:highlight w:val="none"/>
        </w:rPr>
        <w:t xml:space="preserve">，待乙方将货物安装、调试完毕并经甲方验收合格后，由外贸代理公司凭甲方签署的正本验收合格报告向乙方指定的外商支付剩余</w:t>
      </w:r>
      <w:r>
        <w:rPr>
          <w:rFonts w:hint="eastAsia" w:ascii="宋体" w:hAnsi="宋体" w:cs="宋体"/>
          <w:b/>
          <w:szCs w:val="21"/>
          <w:highlight w:val="none"/>
          <w:u w:val="single"/>
        </w:rPr>
        <w:t xml:space="preserve">10%的</w:t>
      </w:r>
      <w:r>
        <w:rPr>
          <w:rFonts w:hint="eastAsia" w:ascii="宋体" w:hAnsi="宋体" w:cs="宋体"/>
          <w:b/>
          <w:szCs w:val="21"/>
          <w:highlight w:val="none"/>
        </w:rPr>
        <w:t xml:space="preserve">货款</w:t>
      </w:r>
      <w:r>
        <w:rPr>
          <w:rFonts w:hint="eastAsia" w:ascii="宋体" w:hAnsi="宋体" w:cs="宋体"/>
          <w:bCs/>
          <w:szCs w:val="21"/>
          <w:highlight w:val="none"/>
        </w:rPr>
        <w:t xml:space="preserve">（乙方、乙方指定的外商与外贸代理公司之间的其他权利和义务，按其之间的合同约定执行）。</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7.2乙方确认：乙方对甲方、乙方、乙方指定的外商及外贸代理公司之间的关系明确知晓，并自愿、自行与甲方指定的外贸代理公司建立合作关系和款项结付关系，以保证本合同项下甲方的权利得以全面实现。甲方依照甲方与外贸代理公司签订的《委托代理进口合同》所约定的人民币全包价（即本合</w:t>
      </w:r>
      <w:r>
        <w:rPr>
          <w:rFonts w:hint="eastAsia" w:ascii="宋体" w:hAnsi="宋体" w:cs="宋体"/>
          <w:b/>
          <w:szCs w:val="21"/>
          <w:highlight w:val="none"/>
        </w:rPr>
        <w:t xml:space="preserve">同条款1约定的本合同总价），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7.3如遇甲方高校寒暑假期等财务封帐特殊原因或不可抗拒事件等情形不受此时间限制，付款时间相应顺延。对此乙方表示：遇此情况下甲方可以推迟付款且不构成违约，且乙方不主张顺延期间的利息。</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7.4因本合同约定的货物为进口仪器设备，依我国相关法律规定可以减免税，同时为了甲方的交易安全，乙方同意并承诺如下：</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甲方委托外贸代理公司与乙方指定的外商签订《外贸合同》。若乙方指定的外商在《外贸合同》执行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同约定向甲方及甲方委托外卖代理公司承担全部责任。</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8.乙方的其他义务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8.2质保和售后服务：乙方保证按本合同约定以及投标响应文件的服务承诺履行质保和售后服务义务，其中免费质保期为【   </w:t>
      </w:r>
      <w:r>
        <w:rPr>
          <w:rFonts w:hint="eastAsia" w:ascii="宋体" w:hAnsi="宋体" w:cs="宋体"/>
          <w:szCs w:val="21"/>
          <w:highlight w:val="none"/>
        </w:rPr>
        <w:t xml:space="preserve">】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终身提供广泛优惠的技术支持及备件供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8.3售后服务响应时间：乙方应在国内有专门负责的维修工程师或技术支持工程师。质保期内，如在使用过程中发生问题等，则乙方在接到甲方提出的维修维保要求通知后，应于</w:t>
      </w:r>
      <w:r>
        <w:rPr>
          <w:rFonts w:hint="eastAsia" w:ascii="宋体" w:hAnsi="宋体" w:cs="宋体"/>
          <w:szCs w:val="21"/>
          <w:highlight w:val="none"/>
        </w:rPr>
        <w:t xml:space="preserve">2</w:t>
      </w:r>
      <w:r>
        <w:rPr>
          <w:rFonts w:hint="eastAsia" w:ascii="宋体" w:hAnsi="宋体" w:cs="宋体"/>
          <w:szCs w:val="21"/>
          <w:highlight w:val="none"/>
        </w:rPr>
        <w:t xml:space="preserve">小时电话响应，对甲方的服务要求提出解决方案，经确认如有需要，技术人员须在24小时内到达甲方现场，并于【  】日内完成维修维保工作；重大问题或其他无法迅速</w:t>
      </w:r>
      <w:r>
        <w:rPr>
          <w:rFonts w:hint="eastAsia" w:ascii="宋体" w:hAnsi="宋体" w:cs="宋体"/>
          <w:szCs w:val="21"/>
          <w:highlight w:val="none"/>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8.4乙方在维修维保过程中应确保按正确的检修规程进行专业操作，并承担全部安全责任。</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8.5其他：</w:t>
      </w:r>
      <w:r>
        <w:rPr>
          <w:rFonts w:hint="eastAsia" w:ascii="宋体" w:hAnsi="宋体" w:cs="宋体"/>
          <w:szCs w:val="21"/>
          <w:highlight w:val="none"/>
          <w:u w:val="single"/>
        </w:rPr>
        <w:t xml:space="preserve">                            </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9.违约责任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9.1乙</w:t>
      </w:r>
      <w:r>
        <w:rPr>
          <w:rFonts w:hint="eastAsia" w:ascii="宋体" w:hAnsi="宋体" w:cs="宋体"/>
          <w:szCs w:val="21"/>
          <w:highlight w:val="none"/>
        </w:rPr>
        <w:t xml:space="preserve">方因故需要延迟交货（包括迟延履行安装</w:t>
      </w:r>
      <w:r>
        <w:rPr>
          <w:rFonts w:hint="eastAsia" w:cs="宋体"/>
          <w:szCs w:val="21"/>
          <w:highlight w:val="none"/>
        </w:rPr>
        <w:t xml:space="preserve">调试或培训</w:t>
      </w:r>
      <w:r>
        <w:rPr>
          <w:rFonts w:hint="eastAsia" w:ascii="宋体" w:hAnsi="宋体" w:cs="宋体"/>
          <w:szCs w:val="21"/>
          <w:highlight w:val="none"/>
        </w:rPr>
        <w:t xml:space="preserve">义务）的，应提前向甲方说明缘由并征得甲方同意。若未事先说明且取得甲方书面</w:t>
      </w:r>
      <w:r>
        <w:rPr>
          <w:rFonts w:hint="eastAsia" w:cs="宋体"/>
          <w:szCs w:val="21"/>
          <w:highlight w:val="none"/>
        </w:rPr>
        <w:t xml:space="preserve">同意</w:t>
      </w:r>
      <w:r>
        <w:rPr>
          <w:rFonts w:hint="eastAsia" w:ascii="宋体" w:hAnsi="宋体" w:cs="宋体"/>
          <w:szCs w:val="21"/>
          <w:highlight w:val="none"/>
        </w:rPr>
        <w:t xml:space="preserve">的，每延迟一天，则应按照迟延交货部分合同金额的</w:t>
      </w:r>
      <w:r>
        <w:rPr>
          <w:rFonts w:hint="eastAsia" w:cs="宋体"/>
          <w:szCs w:val="21"/>
          <w:highlight w:val="none"/>
          <w:u w:val="single"/>
        </w:rPr>
        <w:t xml:space="preserve">   </w:t>
      </w:r>
      <w:r>
        <w:rPr>
          <w:rFonts w:hint="eastAsia" w:ascii="宋体" w:hAnsi="宋体" w:cs="宋体"/>
          <w:szCs w:val="21"/>
          <w:highlight w:val="none"/>
        </w:rPr>
        <w:t xml:space="preserve">%向甲方支付违约金</w:t>
      </w:r>
      <w:r>
        <w:rPr>
          <w:rFonts w:hint="eastAsia" w:cs="宋体"/>
          <w:szCs w:val="21"/>
          <w:highlight w:val="none"/>
        </w:rPr>
        <w:t xml:space="preserve">，甲方有权从</w:t>
      </w:r>
      <w:r>
        <w:rPr>
          <w:rFonts w:hint="eastAsia" w:ascii="宋体" w:hAnsi="宋体" w:cs="宋体"/>
          <w:b/>
          <w:szCs w:val="21"/>
          <w:highlight w:val="none"/>
        </w:rPr>
        <w:t xml:space="preserve">待付合同款项中</w:t>
      </w:r>
      <w:r>
        <w:rPr>
          <w:rFonts w:hint="eastAsia" w:cs="宋体"/>
          <w:szCs w:val="21"/>
          <w:highlight w:val="none"/>
        </w:rPr>
        <w:t xml:space="preserve">直接扣除前述违约金，不足扣除的，乙方应继续向甲方支付</w:t>
      </w:r>
      <w:r>
        <w:rPr>
          <w:rFonts w:hint="eastAsia" w:ascii="宋体" w:hAnsi="宋体" w:cs="宋体"/>
          <w:szCs w:val="21"/>
          <w:highlight w:val="none"/>
        </w:rPr>
        <w:t xml:space="preserve">。乙方迟延交货达</w:t>
      </w:r>
      <w:r>
        <w:rPr>
          <w:rFonts w:hint="eastAsia" w:cs="宋体"/>
          <w:szCs w:val="21"/>
          <w:highlight w:val="none"/>
          <w:u w:val="single"/>
        </w:rPr>
        <w:t xml:space="preserve">   </w:t>
      </w:r>
      <w:r>
        <w:rPr>
          <w:rFonts w:hint="eastAsia" w:ascii="宋体" w:hAnsi="宋体" w:cs="宋体"/>
          <w:szCs w:val="21"/>
          <w:highlight w:val="none"/>
        </w:rPr>
        <w:t xml:space="preserve">日的，甲方有权单方解除合同并追究乙方的违约责任，乙方须按未能交货部分合同金额或不合格货物对应合同金额的</w:t>
      </w:r>
      <w:r>
        <w:rPr>
          <w:rFonts w:hint="eastAsia" w:cs="宋体"/>
          <w:szCs w:val="21"/>
          <w:highlight w:val="none"/>
          <w:u w:val="single"/>
        </w:rPr>
        <w:t xml:space="preserve">   </w:t>
      </w:r>
      <w:r>
        <w:rPr>
          <w:rFonts w:hint="eastAsia" w:ascii="宋体" w:hAnsi="宋体" w:cs="宋体"/>
          <w:szCs w:val="21"/>
          <w:highlight w:val="none"/>
        </w:rPr>
        <w:t xml:space="preserve">%向甲方支付违约金，违约金不足以补偿甲方损失的，甲方有权要求乙方补足。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9.3因不可抗力或国家法律、法规或其他相关文件规定造成合同不能履行的，双方互不追究违约责任。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9.4其他：</w:t>
      </w:r>
      <w:r>
        <w:rPr>
          <w:rFonts w:hint="eastAsia" w:ascii="宋体" w:hAnsi="宋体" w:cs="宋体"/>
          <w:szCs w:val="21"/>
          <w:highlight w:val="none"/>
          <w:u w:val="single"/>
        </w:rPr>
        <w:t xml:space="preserve">                            </w:t>
      </w:r>
      <w:r>
        <w:rPr>
          <w:rFonts w:hint="eastAsia" w:cs="宋体"/>
          <w:szCs w:val="21"/>
          <w:highlight w:val="none"/>
        </w:rPr>
        <w:t xml:space="preserve"> </w:t>
      </w:r>
      <w:r>
        <w:rPr>
          <w:rFonts w:hint="eastAsia" w:ascii="宋体" w:hAnsi="宋体" w:cs="宋体"/>
          <w:szCs w:val="21"/>
          <w:highlight w:val="none"/>
        </w:rPr>
        <w:t xml:space="preserve">                              </w:t>
      </w:r>
      <w:r/>
    </w:p>
    <w:p>
      <w:pPr>
        <w:ind w:firstLine="422"/>
        <w:spacing w:line="360" w:lineRule="auto"/>
        <w:tabs>
          <w:tab w:val="left" w:pos="319" w:leader="none"/>
        </w:tabs>
        <w:rPr>
          <w:szCs w:val="21"/>
          <w:highlight w:val="none"/>
        </w:rPr>
      </w:pPr>
      <w:r>
        <w:rPr>
          <w:rFonts w:hint="eastAsia" w:ascii="宋体" w:hAnsi="宋体" w:cs="宋体"/>
          <w:b/>
          <w:bCs/>
          <w:szCs w:val="21"/>
          <w:highlight w:val="none"/>
        </w:rPr>
        <w:t xml:space="preserve">10.其他约定事项</w:t>
      </w:r>
      <w:r/>
    </w:p>
    <w:p>
      <w:pPr>
        <w:ind w:firstLine="420"/>
        <w:spacing w:line="360" w:lineRule="auto"/>
        <w:rPr>
          <w:szCs w:val="21"/>
          <w:highlight w:val="none"/>
        </w:rPr>
      </w:pPr>
      <w:r>
        <w:rPr>
          <w:rFonts w:hint="eastAsia" w:ascii="宋体" w:hAnsi="宋体" w:cs="宋体"/>
          <w:szCs w:val="21"/>
          <w:highlight w:val="none"/>
          <w:u w:val="single"/>
        </w:rPr>
        <w:t xml:space="preserve">                            </w:t>
      </w:r>
      <w:r>
        <w:rPr>
          <w:rFonts w:hint="eastAsia" w:cs="宋体"/>
          <w:szCs w:val="21"/>
          <w:highlight w:val="none"/>
        </w:rPr>
        <w:t xml:space="preserve">。</w:t>
      </w:r>
      <w:r>
        <w:rPr>
          <w:rFonts w:hint="eastAsia" w:ascii="宋体" w:hAnsi="宋体" w:cs="宋体"/>
          <w:szCs w:val="21"/>
          <w:highlight w:val="none"/>
        </w:rPr>
        <w:t xml:space="preserve"> </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11.争议解决</w:t>
      </w:r>
      <w:r/>
    </w:p>
    <w:p>
      <w:pPr>
        <w:ind w:firstLine="420"/>
        <w:spacing w:line="360" w:lineRule="auto"/>
        <w:rPr>
          <w:rFonts w:hint="eastAsia" w:ascii="宋体" w:hAnsi="宋体" w:cs="宋体"/>
          <w:bCs/>
          <w:szCs w:val="21"/>
          <w:highlight w:val="none"/>
        </w:rPr>
      </w:pPr>
      <w:r>
        <w:rPr>
          <w:rFonts w:hint="eastAsia" w:ascii="宋体" w:hAnsi="宋体" w:cs="宋体"/>
          <w:szCs w:val="21"/>
          <w:highlight w:val="none"/>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12.合同生效和其他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12.1本合同附件、相关的</w:t>
      </w:r>
      <w:r>
        <w:rPr>
          <w:rFonts w:hint="eastAsia" w:ascii="宋体" w:hAnsi="宋体" w:cs="宋体"/>
          <w:bCs/>
          <w:szCs w:val="21"/>
          <w:highlight w:val="none"/>
          <w:u w:val="single"/>
        </w:rPr>
        <w:t xml:space="preserve">招投标资料/谈判纪要以及与本合同相关的其他文件</w:t>
      </w:r>
      <w:r>
        <w:rPr>
          <w:rFonts w:hint="eastAsia" w:ascii="宋体" w:hAnsi="宋体" w:cs="宋体"/>
          <w:bCs/>
          <w:szCs w:val="21"/>
          <w:highlight w:val="none"/>
        </w:rPr>
        <w:t xml:space="preserve">均为本合同的组成部分，与本合同具有同等法律效力；若存在不一致之处或不明确之处，甲乙双方同意以最有利于甲方利益的文件或文意进行解释。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12.2本合同一式</w:t>
      </w:r>
      <w:r>
        <w:rPr>
          <w:rFonts w:hint="eastAsia" w:ascii="宋体" w:hAnsi="宋体" w:cs="宋体"/>
          <w:bCs/>
          <w:szCs w:val="21"/>
          <w:highlight w:val="none"/>
          <w:u w:val="single"/>
        </w:rPr>
        <w:t xml:space="preserve"> 伍 </w:t>
      </w:r>
      <w:r>
        <w:rPr>
          <w:rFonts w:hint="eastAsia" w:ascii="宋体" w:hAnsi="宋体" w:cs="宋体"/>
          <w:bCs/>
          <w:szCs w:val="21"/>
          <w:highlight w:val="none"/>
        </w:rPr>
        <w:t xml:space="preserve">份，自甲乙双方法定代表人或其授权代表签名并加盖单位印章（注：甲方加盖单位印章为甲方单位经济合同专用章）之日起生效，甲方持有</w:t>
      </w:r>
      <w:r>
        <w:rPr>
          <w:rFonts w:hint="eastAsia" w:ascii="宋体" w:hAnsi="宋体" w:cs="宋体"/>
          <w:bCs/>
          <w:szCs w:val="21"/>
          <w:highlight w:val="none"/>
          <w:u w:val="single"/>
        </w:rPr>
        <w:t xml:space="preserve"> 肆 </w:t>
      </w:r>
      <w:r>
        <w:rPr>
          <w:rFonts w:hint="eastAsia" w:ascii="宋体" w:hAnsi="宋体" w:cs="宋体"/>
          <w:bCs/>
          <w:szCs w:val="21"/>
          <w:highlight w:val="none"/>
        </w:rPr>
        <w:t xml:space="preserve">份，乙方持有</w:t>
      </w:r>
      <w:r>
        <w:rPr>
          <w:rFonts w:hint="eastAsia" w:ascii="宋体" w:hAnsi="宋体" w:cs="宋体"/>
          <w:bCs/>
          <w:szCs w:val="21"/>
          <w:highlight w:val="none"/>
          <w:u w:val="single"/>
        </w:rPr>
        <w:t xml:space="preserve">壹 </w:t>
      </w:r>
      <w:r>
        <w:rPr>
          <w:rFonts w:hint="eastAsia" w:ascii="宋体" w:hAnsi="宋体" w:cs="宋体"/>
          <w:bCs/>
          <w:szCs w:val="21"/>
          <w:highlight w:val="none"/>
        </w:rPr>
        <w:t xml:space="preserve">份，均具有同等法律效力。</w:t>
      </w:r>
      <w:r/>
    </w:p>
    <w:p>
      <w:pP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附件：</w:t>
      </w:r>
      <w:r/>
    </w:p>
    <w:p>
      <w:pPr>
        <w:spacing w:line="360" w:lineRule="auto"/>
        <w:rPr>
          <w:szCs w:val="21"/>
          <w:highlight w:val="none"/>
        </w:rPr>
      </w:pPr>
      <w:r>
        <w:rPr>
          <w:rFonts w:ascii="Wingdings 2" w:hAnsi="Wingdings 2" w:eastAsia="Wingdings 2" w:cs="Wingdings 2"/>
          <w:szCs w:val="21"/>
          <w:highlight w:val="none"/>
          <w:lang w:bidi="ar"/>
        </w:rPr>
        <w:t xml:space="preserve">£</w:t>
      </w:r>
      <w:r>
        <w:rPr>
          <w:rFonts w:hint="eastAsia" w:ascii="宋体" w:hAnsi="宋体" w:cs="宋体"/>
          <w:szCs w:val="21"/>
          <w:highlight w:val="none"/>
          <w:lang w:bidi="ar"/>
        </w:rPr>
        <w:t xml:space="preserve">货物配置表</w:t>
      </w:r>
      <w:r/>
    </w:p>
    <w:p>
      <w:pPr>
        <w:spacing w:line="360" w:lineRule="auto"/>
        <w:rPr>
          <w:szCs w:val="21"/>
          <w:highlight w:val="none"/>
        </w:rPr>
      </w:pPr>
      <w:r>
        <w:rPr>
          <w:rFonts w:ascii="Wingdings 2" w:hAnsi="Wingdings 2" w:eastAsia="Wingdings 2" w:cs="Wingdings 2"/>
          <w:szCs w:val="21"/>
          <w:highlight w:val="none"/>
          <w:lang w:bidi="ar"/>
        </w:rPr>
        <w:t xml:space="preserve">£</w:t>
      </w:r>
      <w:r>
        <w:rPr>
          <w:rFonts w:hint="eastAsia" w:ascii="宋体" w:hAnsi="宋体" w:cs="宋体"/>
          <w:szCs w:val="21"/>
          <w:highlight w:val="none"/>
          <w:lang w:bidi="ar"/>
        </w:rPr>
        <w:t xml:space="preserve">货物技术参数</w:t>
      </w:r>
      <w:r/>
    </w:p>
    <w:p>
      <w:pPr>
        <w:ind w:firstLine="420"/>
        <w:spacing w:line="360" w:lineRule="auto"/>
        <w:rPr>
          <w:szCs w:val="21"/>
          <w:highlight w:val="none"/>
        </w:rPr>
      </w:pPr>
      <w:r>
        <w:rPr>
          <w:rFonts w:hint="eastAsia" w:ascii="宋体" w:hAnsi="宋体" w:cs="宋体"/>
          <w:bCs/>
          <w:szCs w:val="21"/>
          <w:highlight w:val="none"/>
        </w:rPr>
        <w:t xml:space="preserve">（以下无正文）</w:t>
      </w:r>
      <w:r/>
    </w:p>
    <w:tbl>
      <w:tblPr>
        <w:tblStyle w:val="833"/>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702"/>
        <w:gridCol w:w="4198"/>
      </w:tblGrid>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甲方(</w:t>
            </w:r>
            <w:r>
              <w:rPr>
                <w:rFonts w:hint="eastAsia" w:ascii="宋体" w:hAnsi="宋体" w:cs="宋体"/>
                <w:szCs w:val="21"/>
                <w:highlight w:val="none"/>
              </w:rPr>
              <w:t xml:space="preserve">盖</w:t>
            </w:r>
            <w:r>
              <w:rPr>
                <w:rFonts w:ascii="宋体" w:hAnsi="宋体" w:cs="宋体"/>
                <w:szCs w:val="21"/>
                <w:highlight w:val="none"/>
              </w:rPr>
              <w:t xml:space="preserve">章)：南京中医药大学</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乙方(</w:t>
            </w:r>
            <w:r>
              <w:rPr>
                <w:rFonts w:hint="eastAsia" w:ascii="宋体" w:hAnsi="宋体" w:cs="宋体"/>
                <w:szCs w:val="21"/>
                <w:highlight w:val="none"/>
              </w:rPr>
              <w:t xml:space="preserve">盖</w:t>
            </w:r>
            <w:r>
              <w:rPr>
                <w:rFonts w:ascii="宋体" w:hAnsi="宋体" w:cs="宋体"/>
                <w:szCs w:val="21"/>
                <w:highlight w:val="none"/>
              </w:rPr>
              <w:t xml:space="preserve">章)</w:t>
            </w:r>
            <w:r>
              <w:rPr>
                <w:rFonts w:hint="eastAsia" w:ascii="宋体" w:hAnsi="宋体" w:cs="宋体"/>
                <w:szCs w:val="21"/>
                <w:highlight w:val="none"/>
              </w:rPr>
              <w:t xml:space="preserve">：</w:t>
            </w:r>
            <w:r/>
          </w:p>
        </w:tc>
      </w:tr>
      <w:tr>
        <w:trPr>
          <w:trHeight w:val="481" w:hRule="exact"/>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spacing w:line="360" w:lineRule="auto"/>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spacing w:line="360" w:lineRule="auto"/>
              <w:rPr>
                <w:szCs w:val="21"/>
                <w:highlight w:val="none"/>
              </w:rPr>
            </w:pPr>
            <w:r>
              <w:rPr>
                <w:szCs w:val="21"/>
                <w:highlight w:val="none"/>
              </w:rPr>
            </w:r>
            <w:r/>
          </w:p>
          <w:p>
            <w:pPr>
              <w:rPr>
                <w:szCs w:val="21"/>
                <w:highlight w:val="none"/>
              </w:rPr>
            </w:pPr>
            <w:r>
              <w:rPr>
                <w:szCs w:val="21"/>
                <w:highlight w:val="none"/>
              </w:rPr>
            </w:r>
            <w:r/>
          </w:p>
        </w:tc>
      </w:tr>
      <w:tr>
        <w:trPr>
          <w:trHeight w:val="424"/>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ind w:firstLine="2520"/>
              <w:jc w:val="left"/>
              <w:spacing w:line="360" w:lineRule="auto"/>
              <w:rPr>
                <w:szCs w:val="21"/>
                <w:highlight w:val="none"/>
              </w:rPr>
            </w:pPr>
            <w:r>
              <w:rPr>
                <w:rFonts w:ascii="宋体" w:hAnsi="宋体" w:cs="宋体"/>
                <w:szCs w:val="21"/>
                <w:highlight w:val="none"/>
              </w:rPr>
              <w:t xml:space="preserve">　</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ind w:firstLine="2520"/>
              <w:jc w:val="left"/>
              <w:spacing w:line="360" w:lineRule="auto"/>
              <w:rPr>
                <w:szCs w:val="21"/>
                <w:highlight w:val="none"/>
              </w:rPr>
            </w:pPr>
            <w:r>
              <w:rPr>
                <w:szCs w:val="21"/>
                <w:highlight w:val="none"/>
              </w:rPr>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单位地址：南京仙林大学城仙林大道138号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单位地址：　　　　　　　　　　　</w:t>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法定代表人（或</w:t>
            </w:r>
            <w:r>
              <w:rPr>
                <w:rFonts w:hint="eastAsia" w:ascii="宋体" w:hAnsi="宋体" w:cs="宋体"/>
                <w:szCs w:val="21"/>
                <w:highlight w:val="none"/>
              </w:rPr>
              <w:t xml:space="preserve">授权代表</w:t>
            </w:r>
            <w:r>
              <w:rPr>
                <w:rFonts w:ascii="宋体" w:hAnsi="宋体" w:cs="宋体"/>
                <w:szCs w:val="21"/>
                <w:highlight w:val="none"/>
              </w:rPr>
              <w:t xml:space="preserve">）</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法定代表人（或</w:t>
            </w:r>
            <w:r>
              <w:rPr>
                <w:rFonts w:hint="eastAsia" w:ascii="宋体" w:hAnsi="宋体" w:cs="宋体"/>
                <w:szCs w:val="21"/>
                <w:highlight w:val="none"/>
              </w:rPr>
              <w:t xml:space="preserve">授权代表</w:t>
            </w:r>
            <w:r>
              <w:rPr>
                <w:rFonts w:ascii="宋体" w:hAnsi="宋体" w:cs="宋体"/>
                <w:szCs w:val="21"/>
                <w:highlight w:val="none"/>
              </w:rPr>
              <w:t xml:space="preserve">）</w:t>
            </w:r>
            <w:r/>
          </w:p>
        </w:tc>
      </w:tr>
      <w:tr>
        <w:trPr>
          <w:trHeight w:val="424"/>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spacing w:line="360" w:lineRule="auto"/>
              <w:rPr>
                <w:rFonts w:hint="eastAsia" w:ascii="宋体" w:hAnsi="宋体" w:cs="宋体"/>
                <w:szCs w:val="21"/>
                <w:highlight w:val="none"/>
              </w:rPr>
            </w:pPr>
            <w:r>
              <w:rPr>
                <w:rFonts w:ascii="宋体" w:hAnsi="宋体" w:cs="宋体"/>
                <w:szCs w:val="21"/>
                <w:highlight w:val="none"/>
              </w:rPr>
              <w:t xml:space="preserve">（签</w:t>
            </w:r>
            <w:r>
              <w:rPr>
                <w:rFonts w:hint="eastAsia" w:ascii="宋体" w:hAnsi="宋体" w:cs="宋体"/>
                <w:szCs w:val="21"/>
                <w:highlight w:val="none"/>
              </w:rPr>
              <w:t xml:space="preserve">名</w:t>
            </w:r>
            <w:r>
              <w:rPr>
                <w:rFonts w:ascii="宋体" w:hAnsi="宋体" w:cs="宋体"/>
                <w:szCs w:val="21"/>
                <w:highlight w:val="none"/>
              </w:rPr>
              <w:t xml:space="preserve">）：</w:t>
            </w:r>
            <w:r>
              <w:rPr>
                <w:rFonts w:hint="eastAsia" w:ascii="宋体" w:hAnsi="宋体" w:cs="宋体"/>
                <w:szCs w:val="21"/>
                <w:highlight w:val="none"/>
              </w:rPr>
              <w:t xml:space="preserve">            </w:t>
            </w:r>
            <w:r/>
          </w:p>
          <w:p>
            <w:pPr>
              <w:ind w:firstLine="840"/>
              <w:jc w:val="right"/>
              <w:spacing w:line="360" w:lineRule="auto"/>
              <w:rPr>
                <w:rFonts w:hint="eastAsia" w:ascii="宋体" w:hAnsi="宋体" w:cs="宋体"/>
                <w:szCs w:val="21"/>
                <w:highlight w:val="none"/>
              </w:rPr>
            </w:pPr>
            <w:r>
              <w:rPr>
                <w:rFonts w:ascii="宋体" w:hAnsi="宋体" w:cs="宋体"/>
                <w:szCs w:val="21"/>
                <w:highlight w:val="none"/>
              </w:rPr>
              <w:t xml:space="preserve">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spacing w:line="360" w:lineRule="auto"/>
              <w:rPr>
                <w:rFonts w:hint="eastAsia" w:ascii="宋体" w:hAnsi="宋体" w:cs="宋体"/>
                <w:szCs w:val="21"/>
                <w:highlight w:val="none"/>
              </w:rPr>
            </w:pPr>
            <w:r>
              <w:rPr>
                <w:rFonts w:ascii="宋体" w:hAnsi="宋体" w:cs="宋体"/>
                <w:szCs w:val="21"/>
                <w:highlight w:val="none"/>
              </w:rPr>
              <w:t xml:space="preserve">（签</w:t>
            </w:r>
            <w:r>
              <w:rPr>
                <w:rFonts w:hint="eastAsia" w:ascii="宋体" w:hAnsi="宋体" w:cs="宋体"/>
                <w:szCs w:val="21"/>
                <w:highlight w:val="none"/>
              </w:rPr>
              <w:t xml:space="preserve">名</w:t>
            </w:r>
            <w:r>
              <w:rPr>
                <w:rFonts w:ascii="宋体" w:hAnsi="宋体" w:cs="宋体"/>
                <w:szCs w:val="21"/>
                <w:highlight w:val="none"/>
              </w:rPr>
              <w:t xml:space="preserve">）：</w:t>
            </w:r>
            <w:r/>
          </w:p>
          <w:p>
            <w:pPr>
              <w:ind w:firstLine="840"/>
              <w:jc w:val="right"/>
              <w:spacing w:line="360" w:lineRule="auto"/>
              <w:rPr>
                <w:rFonts w:hint="eastAsia" w:ascii="宋体" w:hAnsi="宋体" w:cs="宋体"/>
                <w:szCs w:val="21"/>
                <w:highlight w:val="none"/>
              </w:rPr>
            </w:pPr>
            <w:r>
              <w:rPr>
                <w:rFonts w:ascii="宋体" w:hAnsi="宋体" w:cs="宋体"/>
                <w:szCs w:val="21"/>
                <w:highlight w:val="none"/>
              </w:rPr>
              <w:t xml:space="preserve">年　月　日</w:t>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电话：　　　　　　</w:t>
            </w:r>
            <w:r/>
          </w:p>
        </w:tc>
      </w:tr>
      <w:tr>
        <w:trPr>
          <w:trHeight w:val="449"/>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邮政编码：21</w:t>
            </w:r>
            <w:r>
              <w:rPr>
                <w:rFonts w:hint="eastAsia" w:ascii="宋体" w:hAnsi="宋体" w:cs="宋体"/>
                <w:szCs w:val="21"/>
                <w:highlight w:val="none"/>
              </w:rPr>
              <w:t xml:space="preserve">0000</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szCs w:val="21"/>
                <w:highlight w:val="none"/>
              </w:rPr>
            </w:pPr>
            <w:r>
              <w:rPr>
                <w:rFonts w:ascii="宋体" w:hAnsi="宋体" w:cs="宋体"/>
                <w:szCs w:val="21"/>
                <w:highlight w:val="none"/>
              </w:rPr>
              <w:t xml:space="preserve">邮政编码：　　　　　　</w:t>
            </w:r>
            <w:r/>
          </w:p>
        </w:tc>
      </w:tr>
    </w:tbl>
    <w:p>
      <w:pPr>
        <w:rPr>
          <w:rFonts w:hint="eastAsia" w:ascii="宋体" w:hAnsi="宋体" w:cs="宋体"/>
          <w:highlight w:val="none"/>
        </w:rPr>
      </w:pPr>
      <w:r>
        <w:rPr>
          <w:rFonts w:hint="eastAsia" w:ascii="宋体" w:hAnsi="宋体" w:cs="宋体"/>
          <w:highlight w:val="none"/>
        </w:rPr>
        <w:br w:type="page" w:clear="all"/>
      </w:r>
      <w:r/>
    </w:p>
    <w:p>
      <w:pPr>
        <w:pStyle w:val="823"/>
        <w:numPr>
          <w:ilvl w:val="0"/>
          <w:numId w:val="0"/>
        </w:numPr>
        <w:rPr>
          <w:rFonts w:hint="eastAsia" w:ascii="宋体" w:hAnsi="宋体" w:cs="宋体"/>
          <w:highlight w:val="none"/>
        </w:rPr>
      </w:pPr>
      <w:r/>
      <w:bookmarkStart w:id="22" w:name="_Toc15700"/>
      <w:r>
        <w:rPr>
          <w:rFonts w:hint="eastAsia" w:ascii="宋体" w:hAnsi="宋体" w:cs="宋体"/>
          <w:highlight w:val="none"/>
        </w:rPr>
        <w:t xml:space="preserve">第六章 附件</w:t>
      </w:r>
      <w:bookmarkEnd w:id="22"/>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bookmarkEnd w:id="0"/>
      <w:bookmarkEnd w:id="1"/>
      <w:r/>
    </w:p>
    <w:p>
      <w:pPr>
        <w:jc w:val="left"/>
        <w:spacing w:line="240" w:lineRule="atLeast"/>
        <w:widowControl/>
        <w:rPr>
          <w:rFonts w:ascii="Arial" w:hAnsi="Arial" w:cs="Arial"/>
          <w:b/>
          <w:bCs/>
          <w:szCs w:val="21"/>
          <w:highlight w:val="none"/>
        </w:rPr>
      </w:pPr>
      <w:r/>
      <w:bookmarkStart w:id="23" w:name="_Toc26810"/>
      <w:r/>
      <w:r/>
    </w:p>
    <w:p>
      <w:pPr>
        <w:spacing w:line="440" w:lineRule="exact"/>
        <w:rPr>
          <w:rFonts w:ascii="Arial" w:hAnsi="Arial" w:eastAsia="黑体" w:cs="Arial"/>
          <w:sz w:val="20"/>
          <w:szCs w:val="20"/>
          <w:highlight w:val="none"/>
        </w:rPr>
      </w:pPr>
      <w:r>
        <w:rPr>
          <w:rFonts w:ascii="Arial" w:hAnsi="Arial" w:eastAsia="黑体" w:cs="Arial"/>
          <w:sz w:val="20"/>
          <w:szCs w:val="20"/>
          <w:highlight w:val="none"/>
        </w:rPr>
      </w:r>
      <w:r/>
    </w:p>
    <w:p>
      <w:pPr>
        <w:spacing w:line="440" w:lineRule="exact"/>
        <w:rPr>
          <w:rFonts w:ascii="Arial" w:hAnsi="Arial" w:eastAsia="黑体" w:cs="Arial"/>
          <w:sz w:val="20"/>
          <w:szCs w:val="20"/>
          <w:highlight w:val="none"/>
        </w:rPr>
      </w:pPr>
      <w:r>
        <w:rPr>
          <w:rFonts w:ascii="Arial" w:hAnsi="Arial" w:eastAsia="黑体" w:cs="Arial"/>
          <w:sz w:val="20"/>
          <w:szCs w:val="20"/>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hint="eastAsia"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rPr>
        <w:t xml:space="preserve">日期：</w:t>
      </w:r>
      <w:r/>
    </w:p>
    <w:p>
      <w:pPr>
        <w:rPr>
          <w:rFonts w:eastAsia="黑体"/>
          <w:sz w:val="32"/>
          <w:szCs w:val="32"/>
          <w:highlight w:val="none"/>
        </w:rPr>
      </w:pPr>
      <w:r>
        <w:rPr>
          <w:rFonts w:eastAsia="黑体"/>
          <w:sz w:val="32"/>
          <w:szCs w:val="32"/>
          <w:highlight w:val="none"/>
        </w:rPr>
        <w:br w:type="page" w:clear="all"/>
      </w:r>
      <w:r/>
    </w:p>
    <w:p>
      <w:pPr>
        <w:jc w:val="center"/>
        <w:spacing w:before="312" w:after="312"/>
        <w:rPr>
          <w:rFonts w:eastAsia="黑体"/>
          <w:sz w:val="32"/>
          <w:szCs w:val="32"/>
          <w:highlight w:val="none"/>
        </w:rPr>
      </w:pPr>
      <w:r>
        <w:rPr>
          <w:rFonts w:eastAsia="黑体"/>
          <w:sz w:val="32"/>
          <w:szCs w:val="32"/>
          <w:highlight w:val="none"/>
        </w:rPr>
        <w:t xml:space="preserve">目录</w:t>
      </w:r>
      <w:r/>
    </w:p>
    <w:p>
      <w:pPr>
        <w:jc w:val="center"/>
        <w:rPr>
          <w:rFonts w:hint="eastAsia" w:ascii="宋体" w:hAnsi="宋体" w:cs="宋体"/>
          <w:szCs w:val="21"/>
          <w:highlight w:val="none"/>
        </w:rPr>
      </w:pPr>
      <w:r>
        <w:rPr>
          <w:rFonts w:hint="eastAsia" w:ascii="宋体" w:hAnsi="宋体" w:cs="宋体"/>
          <w:szCs w:val="21"/>
          <w:highlight w:val="none"/>
        </w:rPr>
        <w:t xml:space="preserve">（注：供应商根据附件顺序编制投标文件并制作目录（须生成页码））</w:t>
      </w:r>
      <w:r/>
    </w:p>
    <w:p>
      <w:pPr>
        <w:spacing w:line="440" w:lineRule="exact"/>
        <w:rPr>
          <w:rFonts w:hint="eastAsia" w:ascii="宋体" w:hAnsi="宋体" w:cs="宋体"/>
          <w:szCs w:val="21"/>
          <w:highlight w:val="none"/>
        </w:rPr>
      </w:pPr>
      <w:r>
        <w:rPr>
          <w:rFonts w:ascii="Arial" w:hAnsi="Arial" w:cs="Arial"/>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致：江苏省设备成套股份有限公司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贵方组织的其他采购方式采购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rPr>
          <w:rFonts w:hint="eastAsia" w:ascii="宋体" w:hAnsi="宋体"/>
          <w:szCs w:val="21"/>
          <w:highlight w:val="none"/>
        </w:rPr>
      </w:pPr>
      <w:r>
        <w:rPr>
          <w:rFonts w:ascii="宋体" w:hAnsi="宋体"/>
          <w:szCs w:val="21"/>
          <w:highlight w:val="none"/>
        </w:rPr>
        <w:br w:type="page" w:clear="all"/>
      </w:r>
      <w:r/>
    </w:p>
    <w:p>
      <w:pPr>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cs="宋体"/>
          <w:highlight w:val="none"/>
        </w:rPr>
      </w:pPr>
      <w:r>
        <w:rPr>
          <w:rFonts w:hint="eastAsia" w:ascii="宋体" w:hAnsi="宋体" w:cs="宋体"/>
          <w:b/>
          <w:bCs/>
          <w:szCs w:val="21"/>
          <w:highlight w:val="none"/>
          <w:lang w:val="zh-CN"/>
        </w:rPr>
        <w:t xml:space="preserve">附件三、</w:t>
      </w:r>
      <w:bookmarkEnd w:id="23"/>
      <w:r>
        <w:rPr>
          <w:rFonts w:hint="eastAsia" w:ascii="宋体" w:hAnsi="宋体" w:cs="宋体"/>
          <w:b/>
          <w:bCs/>
          <w:szCs w:val="21"/>
          <w:highlight w:val="none"/>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tbl>
      <w:tblPr>
        <w:tblStyle w:val="83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6"/>
        <w:gridCol w:w="4519"/>
        <w:gridCol w:w="1425"/>
      </w:tblGrid>
      <w:tr>
        <w:trPr>
          <w:cantSplit/>
          <w:trHeight w:val="2238"/>
        </w:trPr>
        <w:tc>
          <w:tcPr>
            <w:tcW w:w="2696" w:type="dxa"/>
            <w:vAlign w:val="center"/>
            <w:textDirection w:val="lrTb"/>
            <w:noWrap w:val="false"/>
          </w:tcPr>
          <w:p>
            <w:pPr>
              <w:jc w:val="center"/>
              <w:spacing w:line="360" w:lineRule="auto"/>
              <w:rPr>
                <w:highlight w:val="none"/>
              </w:rPr>
            </w:pPr>
            <w:r>
              <w:rPr>
                <w:rFonts w:hint="eastAsia"/>
                <w:highlight w:val="none"/>
              </w:rPr>
              <w:t xml:space="preserve">投标报价</w:t>
            </w:r>
            <w:r/>
          </w:p>
        </w:tc>
        <w:tc>
          <w:tcPr>
            <w:tcW w:w="4519" w:type="dxa"/>
            <w:vAlign w:val="center"/>
            <w:textDirection w:val="lrTb"/>
            <w:noWrap w:val="false"/>
          </w:tcPr>
          <w:p>
            <w:pPr>
              <w:pStyle w:val="837"/>
              <w:ind w:firstLine="0"/>
              <w:spacing w:line="360" w:lineRule="auto"/>
              <w:rPr>
                <w:rFonts w:hint="eastAsia" w:ascii="宋体" w:hAnsi="宋体" w:cs="宋体"/>
                <w:b w:val="0"/>
                <w:bCs/>
                <w:sz w:val="21"/>
                <w:szCs w:val="21"/>
                <w:highlight w:val="none"/>
              </w:rPr>
            </w:pPr>
            <w:r>
              <w:rPr>
                <w:rFonts w:hint="eastAsia" w:ascii="宋体" w:hAnsi="宋体" w:cs="Arial"/>
                <w:sz w:val="21"/>
                <w:szCs w:val="21"/>
                <w:highlight w:val="none"/>
              </w:rPr>
              <w:t xml:space="preserve">详见苏彩云系统</w:t>
            </w:r>
            <w:r/>
          </w:p>
        </w:tc>
        <w:tc>
          <w:tcPr>
            <w:tcW w:w="1425" w:type="dxa"/>
            <w:vAlign w:val="center"/>
            <w:vMerge w:val="restart"/>
            <w:textDirection w:val="lrTb"/>
            <w:noWrap w:val="false"/>
          </w:tcPr>
          <w:p>
            <w:pPr>
              <w:jc w:val="center"/>
              <w:spacing w:line="360" w:lineRule="auto"/>
              <w:rPr>
                <w:rFonts w:hint="eastAsia" w:ascii="宋体" w:hAnsi="宋体" w:cs="宋体"/>
                <w:b/>
                <w:bCs/>
                <w:color w:val="ff0000"/>
                <w:szCs w:val="21"/>
                <w:highlight w:val="none"/>
              </w:rPr>
            </w:pPr>
            <w:r>
              <w:rPr>
                <w:rFonts w:hint="eastAsia" w:ascii="宋体" w:hAnsi="宋体" w:cs="宋体"/>
                <w:b/>
                <w:bCs/>
                <w:color w:val="ff0000"/>
                <w:szCs w:val="21"/>
                <w:highlight w:val="none"/>
              </w:rPr>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686"/>
        </w:trPr>
        <w:tc>
          <w:tcPr>
            <w:tcW w:w="269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服务时间/交付使用时间</w:t>
            </w:r>
            <w:r/>
          </w:p>
        </w:tc>
        <w:tc>
          <w:tcPr>
            <w:tcW w:w="4519" w:type="dxa"/>
            <w:vAlign w:val="center"/>
            <w:textDirection w:val="lrTb"/>
            <w:noWrap w:val="false"/>
          </w:tcPr>
          <w:p>
            <w:pPr>
              <w:pStyle w:val="837"/>
              <w:ind w:firstLine="472"/>
              <w:jc w:val="center"/>
              <w:spacing w:line="360" w:lineRule="auto"/>
              <w:rPr>
                <w:rFonts w:hint="eastAsia" w:ascii="宋体" w:hAnsi="宋体" w:cs="宋体"/>
                <w:b w:val="0"/>
                <w:bCs/>
                <w:sz w:val="21"/>
                <w:szCs w:val="21"/>
                <w:highlight w:val="none"/>
              </w:rPr>
            </w:pPr>
            <w:r>
              <w:rPr>
                <w:rFonts w:hint="eastAsia" w:ascii="宋体" w:hAnsi="宋体" w:cs="宋体"/>
                <w:b w:val="0"/>
                <w:bCs/>
                <w:sz w:val="21"/>
                <w:szCs w:val="21"/>
                <w:highlight w:val="none"/>
                <w:u w:val="single"/>
              </w:rPr>
              <w:t xml:space="preserve">满足招标文件要求</w:t>
            </w:r>
            <w:r>
              <w:rPr>
                <w:rFonts w:hint="eastAsia" w:ascii="宋体" w:hAnsi="宋体" w:cs="宋体"/>
                <w:b w:val="0"/>
                <w:bCs/>
                <w:sz w:val="21"/>
                <w:szCs w:val="21"/>
                <w:highlight w:val="none"/>
              </w:rPr>
              <w:t xml:space="preserve">。</w:t>
            </w:r>
            <w:r/>
          </w:p>
        </w:tc>
        <w:tc>
          <w:tcPr>
            <w:tcW w:w="1425" w:type="dxa"/>
            <w:vAlign w:val="center"/>
            <w:vMerge w:val="continue"/>
            <w:textDirection w:val="lrTb"/>
            <w:noWrap w:val="false"/>
          </w:tcPr>
          <w:p>
            <w:pPr>
              <w:ind w:firstLine="472"/>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058"/>
        </w:trPr>
        <w:tc>
          <w:tcPr>
            <w:tcW w:w="2696" w:type="dxa"/>
            <w:vAlign w:val="center"/>
            <w:textDirection w:val="lrTb"/>
            <w:noWrap w:val="false"/>
          </w:tcPr>
          <w:p>
            <w:pPr>
              <w:pStyle w:val="837"/>
              <w:ind w:firstLine="0"/>
              <w:jc w:val="center"/>
              <w:spacing w:line="360" w:lineRule="auto"/>
              <w:rPr>
                <w:rFonts w:hint="eastAsia"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tcW w:w="4519" w:type="dxa"/>
            <w:vAlign w:val="center"/>
            <w:textDirection w:val="lrTb"/>
            <w:noWrap w:val="false"/>
          </w:tcPr>
          <w:p>
            <w:pPr>
              <w:pStyle w:val="837"/>
              <w:ind w:firstLine="474"/>
              <w:jc w:val="center"/>
              <w:spacing w:line="360" w:lineRule="auto"/>
              <w:rPr>
                <w:rFonts w:hint="eastAsia"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1425" w:type="dxa"/>
            <w:vAlign w:val="center"/>
            <w:vMerge w:val="continue"/>
            <w:textDirection w:val="lrTb"/>
            <w:noWrap w:val="false"/>
          </w:tcPr>
          <w:p>
            <w:pPr>
              <w:ind w:firstLine="472"/>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058"/>
        </w:trPr>
        <w:tc>
          <w:tcPr>
            <w:tcW w:w="2696" w:type="dxa"/>
            <w:vAlign w:val="center"/>
            <w:textDirection w:val="lrTb"/>
            <w:noWrap w:val="false"/>
          </w:tcPr>
          <w:p>
            <w:pPr>
              <w:pStyle w:val="837"/>
              <w:ind w:firstLine="0"/>
              <w:jc w:val="cente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符合本国产品标准的产品成本之和占其提供的全部产品成本之和比例是否达到80%</w:t>
            </w:r>
            <w:r/>
          </w:p>
        </w:tc>
        <w:tc>
          <w:tcPr>
            <w:tcW w:w="4519" w:type="dxa"/>
            <w:vAlign w:val="center"/>
            <w:textDirection w:val="lrTb"/>
            <w:noWrap w:val="false"/>
          </w:tcPr>
          <w:p>
            <w:pPr>
              <w:pStyle w:val="837"/>
              <w:ind w:firstLine="474"/>
              <w:jc w:val="cente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1425" w:type="dxa"/>
            <w:vAlign w:val="center"/>
            <w:textDirection w:val="lrTb"/>
            <w:noWrap w:val="false"/>
          </w:tcPr>
          <w:p>
            <w:pPr>
              <w:ind w:firstLine="472"/>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058"/>
        </w:trPr>
        <w:tc>
          <w:tcPr>
            <w:shd w:val="clear" w:color="auto" w:fill="auto"/>
            <w:tcW w:w="2696" w:type="dxa"/>
            <w:vAlign w:val="center"/>
            <w:textDirection w:val="lrTb"/>
            <w:noWrap w:val="false"/>
          </w:tcPr>
          <w:p>
            <w:pPr>
              <w:pStyle w:val="837"/>
              <w:ind w:firstLine="0"/>
              <w:jc w:val="center"/>
              <w:spacing w:line="440" w:lineRule="exact"/>
              <w:rPr>
                <w:rFonts w:hint="eastAsia" w:ascii="宋体" w:hAnsi="宋体" w:cs="Arial"/>
                <w:sz w:val="21"/>
                <w:szCs w:val="21"/>
                <w:highlight w:val="none"/>
              </w:rPr>
            </w:pPr>
            <w:r>
              <w:rPr>
                <w:rFonts w:hint="eastAsia" w:ascii="宋体" w:hAnsi="宋体" w:cs="Arial"/>
                <w:sz w:val="21"/>
                <w:szCs w:val="21"/>
                <w:highlight w:val="none"/>
              </w:rPr>
              <w:t xml:space="preserve">是否符合我国进口免税政策</w:t>
            </w:r>
            <w:r/>
          </w:p>
        </w:tc>
        <w:tc>
          <w:tcPr>
            <w:shd w:val="clear" w:color="auto" w:fill="auto"/>
            <w:tcW w:w="4519" w:type="dxa"/>
            <w:vAlign w:val="center"/>
            <w:textDirection w:val="lrTb"/>
            <w:noWrap w:val="false"/>
          </w:tcPr>
          <w:p>
            <w:pPr>
              <w:pStyle w:val="837"/>
              <w:ind w:firstLine="474"/>
              <w:jc w:val="center"/>
              <w:spacing w:line="440" w:lineRule="exact"/>
              <w:tabs>
                <w:tab w:val="left" w:pos="3624" w:leader="none"/>
              </w:tabs>
              <w:rPr>
                <w:rFonts w:hint="eastAsia" w:ascii="宋体" w:hAnsi="宋体" w:cs="Arial"/>
                <w:sz w:val="21"/>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shd w:val="clear" w:color="auto" w:fill="auto"/>
            <w:tcW w:w="1425" w:type="dxa"/>
            <w:vAlign w:val="center"/>
            <w:textDirection w:val="lrTb"/>
            <w:noWrap w:val="false"/>
          </w:tcPr>
          <w:p>
            <w:pPr>
              <w:pStyle w:val="837"/>
              <w:ind w:firstLine="0"/>
              <w:spacing w:line="440" w:lineRule="exact"/>
              <w:rPr>
                <w:rFonts w:hint="eastAsia" w:ascii="宋体" w:hAnsi="宋体" w:cs="Arial"/>
                <w:sz w:val="21"/>
                <w:szCs w:val="21"/>
                <w:highlight w:val="none"/>
              </w:rPr>
            </w:pPr>
            <w:r>
              <w:rPr>
                <w:rFonts w:hint="eastAsia" w:ascii="宋体" w:hAnsi="宋体" w:cs="Arial"/>
                <w:sz w:val="21"/>
                <w:szCs w:val="21"/>
                <w:highlight w:val="none"/>
              </w:rPr>
              <w:t xml:space="preserve">如为进口产品须填写</w:t>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说明：</w:t>
      </w:r>
      <w:r/>
    </w:p>
    <w:p>
      <w:pPr>
        <w:numPr>
          <w:ilvl w:val="0"/>
          <w:numId w:val="7"/>
        </w:numPr>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t xml:space="preserve">“投标标的是否全部由小微企业提供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widowControl/>
        <w:rPr>
          <w:rFonts w:hint="eastAsia" w:ascii="宋体" w:hAnsi="宋体" w:cs="宋体"/>
          <w:b/>
          <w:bCs/>
          <w:szCs w:val="21"/>
          <w:highlight w:val="none"/>
          <w:lang w:val="zh-CN"/>
        </w:rPr>
      </w:pPr>
      <w:r/>
      <w:bookmarkStart w:id="24" w:name="_Toc12264"/>
      <w:r>
        <w:rPr>
          <w:rFonts w:hint="eastAsia" w:ascii="宋体" w:hAnsi="宋体" w:cs="宋体"/>
          <w:b/>
          <w:bCs/>
          <w:szCs w:val="21"/>
          <w:highlight w:val="none"/>
          <w:lang w:val="zh-CN"/>
        </w:rPr>
        <w:br w:type="page" w:clear="all"/>
      </w:r>
      <w:r/>
    </w:p>
    <w:p>
      <w:pPr>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rPr>
        <w:t xml:space="preserve">附表</w:t>
      </w:r>
      <w:r>
        <w:rPr>
          <w:rFonts w:hint="eastAsia" w:ascii="宋体" w:hAnsi="宋体" w:cs="宋体"/>
          <w:b/>
          <w:bCs/>
          <w:szCs w:val="21"/>
          <w:highlight w:val="none"/>
          <w:lang w:val="zh-CN"/>
        </w:rPr>
        <w:t xml:space="preserve">：分项报价表格式</w:t>
      </w:r>
      <w:bookmarkEnd w:id="24"/>
      <w:r/>
      <w:r/>
    </w:p>
    <w:p>
      <w:pPr>
        <w:jc w:val="center"/>
        <w:spacing w:line="440" w:lineRule="exact"/>
        <w:rPr>
          <w:b/>
          <w:sz w:val="28"/>
          <w:szCs w:val="22"/>
          <w:highlight w:val="none"/>
        </w:rPr>
      </w:pPr>
      <w:r>
        <w:rPr>
          <w:b/>
          <w:sz w:val="28"/>
          <w:szCs w:val="22"/>
          <w:highlight w:val="none"/>
        </w:rPr>
        <w:t xml:space="preserve">分项报价表</w:t>
      </w:r>
      <w:r/>
    </w:p>
    <w:p>
      <w:pPr>
        <w:jc w:val="right"/>
        <w:spacing w:line="440" w:lineRule="exact"/>
        <w:rPr>
          <w:bCs/>
          <w:color w:val="000000"/>
          <w:szCs w:val="21"/>
          <w:highlight w:val="none"/>
        </w:rPr>
      </w:pPr>
      <w:r>
        <w:rPr>
          <w:bCs/>
          <w:color w:val="000000"/>
          <w:szCs w:val="21"/>
          <w:highlight w:val="none"/>
        </w:rPr>
        <w:t xml:space="preserve">报价单位：人民币（小数点后保留2位）</w:t>
      </w:r>
      <w:r/>
    </w:p>
    <w:tbl>
      <w:tblPr>
        <w:tblStyle w:val="833"/>
        <w:tblW w:w="109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446"/>
        <w:gridCol w:w="1446"/>
        <w:gridCol w:w="1042"/>
        <w:gridCol w:w="1491"/>
        <w:gridCol w:w="1525"/>
        <w:gridCol w:w="813"/>
        <w:gridCol w:w="1182"/>
        <w:gridCol w:w="1246"/>
      </w:tblGrid>
      <w:tr>
        <w:trPr>
          <w:jc w:val="center"/>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440" w:lineRule="exact"/>
              <w:rPr>
                <w:color w:val="000000"/>
                <w:szCs w:val="21"/>
                <w:highlight w:val="none"/>
              </w:rPr>
            </w:pPr>
            <w:r>
              <w:rPr>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spacing w:line="440" w:lineRule="exact"/>
              <w:rPr>
                <w:color w:val="000000"/>
                <w:szCs w:val="21"/>
                <w:highlight w:val="none"/>
              </w:rPr>
            </w:pPr>
            <w:r>
              <w:rPr>
                <w:rFonts w:hint="eastAsia"/>
                <w:color w:val="000000"/>
                <w:szCs w:val="21"/>
                <w:highlight w:val="none"/>
              </w:rPr>
              <w:t xml:space="preserve">采购标的</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spacing w:line="440" w:lineRule="exact"/>
              <w:rPr>
                <w:color w:val="000000"/>
                <w:szCs w:val="21"/>
                <w:highlight w:val="none"/>
              </w:rPr>
            </w:pPr>
            <w:r>
              <w:rPr>
                <w:color w:val="000000"/>
                <w:szCs w:val="21"/>
                <w:highlight w:val="none"/>
              </w:rPr>
              <w:t xml:space="preserve">名 称</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440" w:lineRule="exact"/>
              <w:rPr>
                <w:color w:val="000000"/>
                <w:szCs w:val="21"/>
                <w:highlight w:val="none"/>
              </w:rPr>
            </w:pPr>
            <w:r>
              <w:rPr>
                <w:color w:val="000000"/>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jc w:val="center"/>
              <w:spacing w:line="440" w:lineRule="exact"/>
              <w:rPr>
                <w:color w:val="000000"/>
                <w:szCs w:val="21"/>
                <w:highlight w:val="none"/>
              </w:rPr>
            </w:pPr>
            <w:r>
              <w:rPr>
                <w:color w:val="000000"/>
                <w:szCs w:val="21"/>
                <w:highlight w:val="none"/>
              </w:rPr>
              <w:t xml:space="preserve">规格或型号</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440" w:lineRule="exact"/>
              <w:rPr>
                <w:color w:val="000000"/>
                <w:szCs w:val="21"/>
                <w:highlight w:val="none"/>
              </w:rPr>
            </w:pPr>
            <w:r>
              <w:rPr>
                <w:color w:val="000000"/>
                <w:szCs w:val="21"/>
                <w:highlight w:val="none"/>
              </w:rPr>
              <w:t xml:space="preserve">原产地和</w:t>
            </w:r>
            <w:r/>
          </w:p>
          <w:p>
            <w:pPr>
              <w:jc w:val="center"/>
              <w:spacing w:line="440" w:lineRule="exact"/>
              <w:rPr>
                <w:color w:val="000000"/>
                <w:szCs w:val="21"/>
                <w:highlight w:val="none"/>
              </w:rPr>
            </w:pPr>
            <w:r>
              <w:rPr>
                <w:color w:val="000000"/>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spacing w:line="440" w:lineRule="exact"/>
              <w:rPr>
                <w:color w:val="000000"/>
                <w:szCs w:val="21"/>
                <w:highlight w:val="none"/>
              </w:rPr>
            </w:pPr>
            <w:r>
              <w:rPr>
                <w:color w:val="00000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jc w:val="center"/>
              <w:spacing w:line="440" w:lineRule="exact"/>
              <w:rPr>
                <w:color w:val="000000"/>
                <w:szCs w:val="21"/>
                <w:highlight w:val="none"/>
              </w:rPr>
            </w:pPr>
            <w:r>
              <w:rPr>
                <w:color w:val="000000"/>
                <w:szCs w:val="21"/>
                <w:highlight w:val="none"/>
              </w:rPr>
              <w:t xml:space="preserve">单项金额（元）</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440" w:lineRule="exact"/>
              <w:rPr>
                <w:color w:val="000000"/>
                <w:szCs w:val="21"/>
                <w:highlight w:val="none"/>
              </w:rPr>
            </w:pPr>
            <w:r>
              <w:rPr>
                <w:color w:val="000000"/>
                <w:szCs w:val="21"/>
                <w:highlight w:val="none"/>
              </w:rPr>
              <w:t xml:space="preserve">总价金额（元）</w:t>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highlight w:val="none"/>
              </w:rPr>
            </w:pPr>
            <w:r>
              <w:rPr>
                <w:color w:val="000000"/>
                <w:szCs w:val="21"/>
                <w:highlight w:val="none"/>
              </w:rPr>
              <w:t xml:space="preserve">1</w:t>
            </w:r>
            <w:r/>
          </w:p>
        </w:tc>
        <w:tc>
          <w:tcPr>
            <w:tcBorders>
              <w:top w:val="single" w:color="auto" w:sz="4" w:space="0"/>
              <w:left w:val="single" w:color="auto" w:sz="4" w:space="0"/>
              <w:right w:val="single" w:color="auto" w:sz="4" w:space="0"/>
            </w:tcBorders>
            <w:tcW w:w="1446" w:type="dxa"/>
            <w:vMerge w:val="restart"/>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highlight w:val="none"/>
              </w:rPr>
            </w:pPr>
            <w:r>
              <w:rPr>
                <w:color w:val="000000"/>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highlight w:val="none"/>
              </w:rPr>
            </w:pPr>
            <w:r>
              <w:rPr>
                <w:color w:val="000000"/>
                <w:szCs w:val="21"/>
                <w:highlight w:val="none"/>
              </w:rPr>
              <w:t xml:space="preserve">2</w:t>
            </w:r>
            <w:r/>
          </w:p>
        </w:tc>
        <w:tc>
          <w:tcPr>
            <w:tcBorders>
              <w:left w:val="single" w:color="auto" w:sz="4" w:space="0"/>
              <w:right w:val="single" w:color="auto" w:sz="4" w:space="0"/>
            </w:tcBorders>
            <w:tcW w:w="1446" w:type="dxa"/>
            <w:vMerge w:val="continue"/>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highlight w:val="none"/>
              </w:rPr>
            </w:pPr>
            <w:r>
              <w:rPr>
                <w:color w:val="000000"/>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highlight w:val="none"/>
              </w:rPr>
            </w:pPr>
            <w:r>
              <w:rPr>
                <w:color w:val="000000"/>
                <w:szCs w:val="21"/>
                <w:highlight w:val="none"/>
              </w:rPr>
              <w:t xml:space="preserve">3</w:t>
            </w:r>
            <w:r/>
          </w:p>
        </w:tc>
        <w:tc>
          <w:tcPr>
            <w:tcBorders>
              <w:left w:val="single" w:color="auto" w:sz="4" w:space="0"/>
              <w:right w:val="single" w:color="auto" w:sz="4" w:space="0"/>
            </w:tcBorders>
            <w:tcW w:w="1446" w:type="dxa"/>
            <w:vMerge w:val="continue"/>
            <w:textDirection w:val="lrTb"/>
            <w:noWrap w:val="false"/>
          </w:tcPr>
          <w:p>
            <w:pPr>
              <w:ind w:left="-827" w:firstLine="827"/>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ind w:left="-827" w:firstLine="827"/>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highlight w:val="none"/>
              </w:rPr>
            </w:pPr>
            <w:r>
              <w:rPr>
                <w:color w:val="000000"/>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highlight w:val="none"/>
              </w:rPr>
            </w:pPr>
            <w:r>
              <w:rPr>
                <w:color w:val="000000"/>
                <w:szCs w:val="21"/>
                <w:highlight w:val="none"/>
              </w:rPr>
              <w:t xml:space="preserve">4</w:t>
            </w:r>
            <w:r/>
          </w:p>
        </w:tc>
        <w:tc>
          <w:tcPr>
            <w:tcBorders>
              <w:left w:val="single" w:color="auto" w:sz="4" w:space="0"/>
              <w:right w:val="single" w:color="auto" w:sz="4" w:space="0"/>
            </w:tcBorders>
            <w:tcW w:w="1446" w:type="dxa"/>
            <w:vMerge w:val="continue"/>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highlight w:val="none"/>
              </w:rPr>
            </w:pPr>
            <w:r>
              <w:rPr>
                <w:color w:val="000000"/>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highlight w:val="none"/>
              </w:rPr>
            </w:pPr>
            <w:r>
              <w:rPr>
                <w:color w:val="000000"/>
                <w:szCs w:val="21"/>
                <w:highlight w:val="none"/>
              </w:rPr>
              <w:t xml:space="preserve">5</w:t>
            </w:r>
            <w:r/>
          </w:p>
        </w:tc>
        <w:tc>
          <w:tcPr>
            <w:tcBorders>
              <w:left w:val="single" w:color="auto" w:sz="4" w:space="0"/>
              <w:right w:val="single" w:color="auto" w:sz="4" w:space="0"/>
            </w:tcBorders>
            <w:tcW w:w="1446" w:type="dxa"/>
            <w:vMerge w:val="continue"/>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highlight w:val="none"/>
              </w:rPr>
            </w:pPr>
            <w:r>
              <w:rPr>
                <w:color w:val="000000"/>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highlight w:val="none"/>
              </w:rPr>
            </w:pPr>
            <w:r>
              <w:rPr>
                <w:color w:val="000000"/>
                <w:szCs w:val="21"/>
                <w:highlight w:val="none"/>
              </w:rPr>
              <w:t xml:space="preserve">6</w:t>
            </w:r>
            <w:r/>
          </w:p>
        </w:tc>
        <w:tc>
          <w:tcPr>
            <w:tcBorders>
              <w:left w:val="single" w:color="auto" w:sz="4" w:space="0"/>
              <w:right w:val="single" w:color="auto" w:sz="4" w:space="0"/>
            </w:tcBorders>
            <w:tcW w:w="1446" w:type="dxa"/>
            <w:vMerge w:val="continue"/>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highlight w:val="none"/>
              </w:rPr>
            </w:pPr>
            <w:r>
              <w:rPr>
                <w:color w:val="000000"/>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8" w:type="dxa"/>
            <w:textDirection w:val="lrTb"/>
            <w:noWrap w:val="false"/>
          </w:tcPr>
          <w:p>
            <w:pPr>
              <w:jc w:val="center"/>
              <w:spacing w:line="440" w:lineRule="exact"/>
              <w:rPr>
                <w:color w:val="000000"/>
                <w:szCs w:val="21"/>
                <w:highlight w:val="none"/>
              </w:rPr>
            </w:pPr>
            <w:r>
              <w:rPr>
                <w:color w:val="000000"/>
                <w:szCs w:val="21"/>
                <w:highlight w:val="none"/>
              </w:rPr>
              <w:t xml:space="preserve">7</w:t>
            </w:r>
            <w:r/>
          </w:p>
        </w:tc>
        <w:tc>
          <w:tcPr>
            <w:tcBorders>
              <w:left w:val="single" w:color="auto" w:sz="4" w:space="0"/>
              <w:bottom w:val="single" w:color="auto" w:sz="4" w:space="0"/>
              <w:right w:val="single" w:color="auto" w:sz="4" w:space="0"/>
            </w:tcBorders>
            <w:tcW w:w="1446" w:type="dxa"/>
            <w:vMerge w:val="continue"/>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46"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04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491"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813"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182" w:type="dxa"/>
            <w:textDirection w:val="lrTb"/>
            <w:noWrap w:val="false"/>
          </w:tcPr>
          <w:p>
            <w:pPr>
              <w:spacing w:line="440" w:lineRule="exact"/>
              <w:rPr>
                <w:color w:val="000000"/>
                <w:szCs w:val="21"/>
                <w:highlight w:val="none"/>
              </w:rPr>
            </w:pPr>
            <w:r>
              <w:rPr>
                <w:color w:val="000000"/>
                <w:szCs w:val="21"/>
                <w:highlight w:val="none"/>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440" w:lineRule="exact"/>
              <w:rPr>
                <w:color w:val="000000"/>
                <w:szCs w:val="21"/>
                <w:highlight w:val="none"/>
              </w:rPr>
            </w:pPr>
            <w:r>
              <w:rPr>
                <w:color w:val="000000"/>
                <w:szCs w:val="21"/>
                <w:highlight w:val="none"/>
              </w:rPr>
            </w:r>
            <w:r/>
          </w:p>
        </w:tc>
      </w:tr>
      <w:tr>
        <w:trPr>
          <w:jc w:val="center"/>
        </w:trPr>
        <w:tc>
          <w:tcPr>
            <w:gridSpan w:val="5"/>
            <w:tcBorders>
              <w:top w:val="single" w:color="auto" w:sz="4" w:space="0"/>
              <w:left w:val="single" w:color="auto" w:sz="4" w:space="0"/>
              <w:bottom w:val="single" w:color="auto" w:sz="4" w:space="0"/>
              <w:right w:val="single" w:color="auto" w:sz="4" w:space="0"/>
            </w:tcBorders>
            <w:tcW w:w="6163" w:type="dxa"/>
            <w:textDirection w:val="lrTb"/>
            <w:noWrap w:val="false"/>
          </w:tcPr>
          <w:p>
            <w:pPr>
              <w:jc w:val="center"/>
              <w:spacing w:line="440" w:lineRule="exact"/>
              <w:rPr>
                <w:color w:val="000000"/>
                <w:szCs w:val="21"/>
                <w:highlight w:val="none"/>
              </w:rPr>
            </w:pPr>
            <w:r>
              <w:rPr>
                <w:color w:val="000000"/>
                <w:szCs w:val="21"/>
                <w:highlight w:val="none"/>
              </w:rPr>
              <w:t xml:space="preserve">投标总价合计（元）：</w:t>
            </w:r>
            <w:r/>
          </w:p>
        </w:tc>
        <w:tc>
          <w:tcPr>
            <w:gridSpan w:val="4"/>
            <w:tcBorders>
              <w:top w:val="single" w:color="auto" w:sz="4" w:space="0"/>
              <w:left w:val="single" w:color="auto" w:sz="4" w:space="0"/>
              <w:bottom w:val="single" w:color="auto" w:sz="4" w:space="0"/>
              <w:right w:val="single" w:color="auto" w:sz="4" w:space="0"/>
            </w:tcBorders>
            <w:tcW w:w="4766" w:type="dxa"/>
            <w:textDirection w:val="lrTb"/>
            <w:noWrap w:val="false"/>
          </w:tcPr>
          <w:p>
            <w:pPr>
              <w:spacing w:line="440" w:lineRule="exact"/>
              <w:rPr>
                <w:color w:val="000000"/>
                <w:szCs w:val="21"/>
                <w:highlight w:val="none"/>
              </w:rPr>
            </w:pPr>
            <w:r>
              <w:rPr>
                <w:color w:val="000000"/>
                <w:szCs w:val="21"/>
                <w:highlight w:val="none"/>
              </w:rPr>
            </w:r>
            <w:r/>
          </w:p>
        </w:tc>
      </w:tr>
    </w:tbl>
    <w:p>
      <w:pPr>
        <w:spacing w:line="440" w:lineRule="exact"/>
        <w:rPr>
          <w:color w:val="000000"/>
          <w:highlight w:val="none"/>
        </w:rPr>
      </w:pPr>
      <w:r>
        <w:rPr>
          <w:color w:val="000000"/>
          <w:highlight w:val="none"/>
        </w:rPr>
        <w:t xml:space="preserve">注：1.投标人应根据其项目情况提供详细分项报价。投标人应对上述每项内容列明组成的详细分项价格。</w:t>
      </w:r>
      <w:r/>
    </w:p>
    <w:p>
      <w:pPr>
        <w:ind w:firstLine="420"/>
        <w:spacing w:line="440" w:lineRule="exact"/>
        <w:rPr>
          <w:color w:val="000000"/>
          <w:highlight w:val="none"/>
        </w:rPr>
      </w:pPr>
      <w:r>
        <w:rPr>
          <w:color w:val="000000"/>
          <w:highlight w:val="none"/>
        </w:rPr>
        <w:t xml:space="preserve">2.如果不提供详细分项报价将视为没有实质性响应招标文件。</w:t>
      </w:r>
      <w:r/>
    </w:p>
    <w:p>
      <w:pPr>
        <w:ind w:firstLine="420"/>
        <w:spacing w:line="440" w:lineRule="exact"/>
        <w:rPr>
          <w:highlight w:val="none"/>
        </w:rPr>
      </w:pPr>
      <w:r>
        <w:rPr>
          <w:color w:val="000000"/>
          <w:highlight w:val="none"/>
        </w:rPr>
        <w:t xml:space="preserve">3.表中表格行数可自行添加。</w:t>
      </w:r>
      <w:r>
        <w:rPr>
          <w:color w:val="000000"/>
          <w:highlight w:val="none"/>
        </w:rPr>
        <w:br/>
      </w:r>
      <w:r/>
    </w:p>
    <w:p>
      <w:pPr>
        <w:jc w:val="left"/>
        <w:spacing w:line="440" w:lineRule="exact"/>
        <w:widowControl/>
        <w:rPr>
          <w:rFonts w:hint="eastAsia" w:ascii="宋体" w:hAnsi="宋体" w:cs="宋体"/>
          <w:szCs w:val="21"/>
          <w:highlight w:val="none"/>
        </w:rPr>
      </w:pPr>
      <w:r>
        <w:rPr>
          <w:color w:val="ee0000"/>
          <w:highlight w:val="none"/>
        </w:rPr>
        <w:b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附件五、技术条款偏离表格式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技术条款偏离表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833"/>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951"/>
        <w:gridCol w:w="3536"/>
        <w:gridCol w:w="1648"/>
        <w:gridCol w:w="680"/>
        <w:gridCol w:w="680"/>
      </w:tblGrid>
      <w:tr>
        <w:trPr>
          <w:jc w:val="center"/>
          <w:trHeight w:val="284"/>
        </w:trPr>
        <w:tc>
          <w:tcPr>
            <w:tcMar>
              <w:left w:w="10" w:type="dxa"/>
              <w:top w:w="0" w:type="dxa"/>
              <w:right w:w="10" w:type="dxa"/>
              <w:bottom w:w="0" w:type="dxa"/>
            </w:tcMar>
            <w:tcW w:w="641" w:type="dxa"/>
            <w:vAlign w:val="center"/>
            <w:textDirection w:val="lrTb"/>
            <w:noWrap w:val="false"/>
          </w:tcPr>
          <w:p>
            <w:pPr>
              <w:pStyle w:val="882"/>
              <w:ind w:firstLine="0"/>
              <w:jc w:val="center"/>
              <w:spacing w:line="360" w:lineRule="auto"/>
              <w:rPr>
                <w:rFonts w:hint="eastAsia" w:ascii="宋体" w:hAnsi="宋体" w:cs="宋体"/>
                <w:b/>
                <w:bCs/>
                <w:szCs w:val="21"/>
                <w:highlight w:val="none"/>
              </w:rPr>
            </w:pPr>
            <w:r>
              <w:rPr>
                <w:rFonts w:hint="eastAsia"/>
                <w:b/>
                <w:bCs/>
                <w:highlight w:val="none"/>
              </w:rPr>
              <w:t xml:space="preserve">序号</w:t>
            </w:r>
            <w:r/>
          </w:p>
        </w:tc>
        <w:tc>
          <w:tcPr>
            <w:tcMar>
              <w:left w:w="10" w:type="dxa"/>
              <w:top w:w="0" w:type="dxa"/>
              <w:right w:w="10" w:type="dxa"/>
              <w:bottom w:w="0" w:type="dxa"/>
            </w:tcMar>
            <w:tcW w:w="951" w:type="dxa"/>
            <w:vAlign w:val="center"/>
            <w:textDirection w:val="lrTb"/>
            <w:noWrap w:val="false"/>
          </w:tcPr>
          <w:p>
            <w:pPr>
              <w:pStyle w:val="882"/>
              <w:ind w:firstLine="0"/>
              <w:jc w:val="center"/>
              <w:spacing w:line="360" w:lineRule="auto"/>
              <w:rPr>
                <w:rFonts w:hint="eastAsia" w:ascii="宋体" w:hAnsi="宋体" w:cs="宋体"/>
                <w:b/>
                <w:bCs/>
                <w:szCs w:val="21"/>
                <w:highlight w:val="none"/>
              </w:rPr>
            </w:pPr>
            <w:r>
              <w:rPr>
                <w:rFonts w:hint="eastAsia"/>
                <w:b/>
                <w:bCs/>
                <w:highlight w:val="none"/>
              </w:rPr>
              <w:t xml:space="preserve">产品名称</w:t>
            </w:r>
            <w:r/>
          </w:p>
        </w:tc>
        <w:tc>
          <w:tcPr>
            <w:tcMar>
              <w:left w:w="10" w:type="dxa"/>
              <w:top w:w="0" w:type="dxa"/>
              <w:right w:w="10" w:type="dxa"/>
              <w:bottom w:w="0" w:type="dxa"/>
            </w:tcMar>
            <w:tcW w:w="3536"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招标要求</w:t>
            </w:r>
            <w:r>
              <w:rPr>
                <w:rFonts w:hint="eastAsia"/>
                <w:b/>
                <w:highlight w:val="none"/>
              </w:rPr>
              <w:t xml:space="preserve">技术参数</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技术参数响应情况</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是否偏离</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证明材料所在页码</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1</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highlight w:val="none"/>
              </w:rPr>
            </w:pPr>
            <w:r>
              <w:rPr>
                <w:rFonts w:hint="eastAsia" w:ascii="Arial" w:hAnsi="Arial"/>
                <w:szCs w:val="21"/>
                <w:highlight w:val="none"/>
              </w:rPr>
              <w:t xml:space="preserve">★.....</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2</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highlight w:val="none"/>
              </w:rPr>
            </w:pPr>
            <w:r>
              <w:rPr>
                <w:rFonts w:hint="eastAsia" w:ascii="Arial" w:hAnsi="Arial"/>
                <w:szCs w:val="21"/>
                <w:highlight w:val="none"/>
              </w:rPr>
              <w:t xml:space="preserve">.....</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3</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highlight w:val="none"/>
              </w:rPr>
            </w:pPr>
            <w:r>
              <w:rPr>
                <w:rFonts w:hint="eastAsia" w:ascii="Arial" w:hAnsi="Arial"/>
                <w:szCs w:val="21"/>
                <w:highlight w:val="none"/>
              </w:rPr>
              <w:t xml:space="preserve">▲.....</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4</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5</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6</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7</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8</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9</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t xml:space="preserve">普通条款（要求证明材料）</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color w:val="000000"/>
                <w:szCs w:val="21"/>
                <w:highlight w:val="none"/>
                <w:lang w:bidi="ar"/>
              </w:rPr>
              <w:t xml:space="preserve">10</w:t>
            </w:r>
            <w:r/>
          </w:p>
        </w:tc>
        <w:tc>
          <w:tcPr>
            <w:tcMar>
              <w:left w:w="10" w:type="dxa"/>
              <w:top w:w="0" w:type="dxa"/>
              <w:right w:w="10" w:type="dxa"/>
              <w:bottom w:w="0" w:type="dxa"/>
            </w:tcMar>
            <w:tcW w:w="951"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536" w:type="dxa"/>
            <w:vAlign w:val="center"/>
            <w:textDirection w:val="lrTb"/>
            <w:noWrap w:val="false"/>
          </w:tcPr>
          <w:p>
            <w:pPr>
              <w:pStyle w:val="882"/>
              <w:ind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p>
        </w:tc>
        <w:tc>
          <w:tcPr>
            <w:gridSpan w:val="2"/>
            <w:tcMar>
              <w:left w:w="10" w:type="dxa"/>
              <w:top w:w="0" w:type="dxa"/>
              <w:right w:w="10" w:type="dxa"/>
              <w:bottom w:w="0" w:type="dxa"/>
            </w:tcMar>
            <w:tcW w:w="4487" w:type="dxa"/>
            <w:vAlign w:val="center"/>
            <w:textDirection w:val="lrTb"/>
            <w:noWrap w:val="false"/>
          </w:tcPr>
          <w:p>
            <w:pPr>
              <w:pStyle w:val="882"/>
              <w:ind w:firstLine="0"/>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我单位承诺，其余普通条款</w:t>
            </w:r>
            <w:r>
              <w:rPr>
                <w:rFonts w:hint="eastAsia" w:ascii="Arial" w:hAnsi="Arial"/>
                <w:b/>
                <w:bCs/>
                <w:szCs w:val="21"/>
                <w:highlight w:val="none"/>
              </w:rPr>
              <w:t xml:space="preserve">（除了要求证明材料的）均满足采购文件要求，无偏离</w:t>
            </w:r>
            <w:r/>
          </w:p>
        </w:tc>
        <w:tc>
          <w:tcPr>
            <w:tcMar>
              <w:left w:w="10" w:type="dxa"/>
              <w:top w:w="0" w:type="dxa"/>
              <w:right w:w="10" w:type="dxa"/>
              <w:bottom w:w="0" w:type="dxa"/>
            </w:tcMar>
            <w:tcW w:w="16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Arial" w:hAnsi="Arial"/>
                <w:b/>
                <w:bCs/>
                <w:szCs w:val="21"/>
                <w:highlight w:val="none"/>
              </w:rPr>
              <w:t xml:space="preserve">均满足采购文件要求，无偏离</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Arial" w:hAnsi="Arial"/>
                <w:b/>
                <w:bCs/>
                <w:szCs w:val="21"/>
                <w:highlight w:val="none"/>
              </w:rPr>
              <w:t xml:space="preserve">无偏离</w:t>
            </w:r>
            <w:r/>
          </w:p>
        </w:tc>
        <w:tc>
          <w:tcPr>
            <w:tcMar>
              <w:left w:w="10" w:type="dxa"/>
              <w:top w:w="0" w:type="dxa"/>
              <w:right w:w="10" w:type="dxa"/>
              <w:bottom w:w="0" w:type="dxa"/>
            </w:tcMar>
            <w:tcW w:w="68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如果行数不够，请自行增加。</w:t>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rPr>
        <w:t xml:space="preserve">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83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说明：如果行数不够，请自行增加。</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投标文件的商务部分内容响应存在正偏离或负偏离或无偏离的，请在本表中逐条列出。未列出的，视为响应采购文件要求。</w:t>
      </w:r>
      <w:r>
        <w:rPr>
          <w:rFonts w:ascii="Arial" w:hAnsi="Arial"/>
          <w:szCs w:val="21"/>
          <w:highlight w:val="none"/>
        </w:rPr>
        <w:t xml:space="preserve">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widowControl/>
        <w:rPr>
          <w:rFonts w:hint="eastAsia" w:ascii="宋体" w:hAnsi="宋体" w:cs="宋体"/>
          <w:b/>
          <w:szCs w:val="21"/>
          <w:highlight w:val="none"/>
          <w:lang w:val="zh-CN"/>
        </w:rPr>
      </w:pPr>
      <w:r>
        <w:rPr>
          <w:rFonts w:hint="eastAsia" w:ascii="宋体" w:hAnsi="宋体" w:cs="宋体"/>
          <w:b/>
          <w:szCs w:val="21"/>
          <w:highlight w:val="none"/>
          <w:lang w:val="zh-CN"/>
        </w:rPr>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技术方案及服务承诺应根据招标人对项目的要求、评标标准的要求及项目本身的特点编写。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                项目编号：</w:t>
      </w:r>
      <w:r/>
    </w:p>
    <w:tbl>
      <w:tblPr>
        <w:tblStyle w:val="83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83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获奖</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签约及服务</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
          <w:bCs/>
          <w:highlight w:val="none"/>
        </w:rPr>
      </w:pPr>
      <w:r>
        <w:rPr>
          <w:rFonts w:hint="eastAsia" w:ascii="宋体" w:hAnsi="宋体" w:cs="宋体"/>
          <w:b/>
          <w:highlight w:val="none"/>
        </w:rPr>
        <w:br w:type="page" w:clear="all"/>
      </w:r>
      <w:r>
        <w:rPr>
          <w:rFonts w:hint="eastAsia" w:ascii="宋体" w:hAnsi="宋体" w:cs="宋体"/>
          <w:b/>
          <w:highlight w:val="none"/>
        </w:rPr>
        <w:t xml:space="preserve">附件十</w:t>
      </w:r>
      <w:r>
        <w:rPr>
          <w:rFonts w:hint="eastAsia" w:ascii="宋体" w:hAnsi="宋体" w:cs="宋体"/>
          <w:b/>
          <w:bCs/>
          <w:highlight w:val="none"/>
        </w:rPr>
        <w:t xml:space="preserve">、企业声明函格式</w:t>
      </w:r>
      <w:r/>
    </w:p>
    <w:p>
      <w:pPr>
        <w:jc w:val="center"/>
        <w:spacing w:before="312" w:line="480" w:lineRule="auto"/>
        <w:rPr>
          <w:rFonts w:hint="eastAsia" w:ascii="宋体" w:hAnsi="宋体" w:cs="宋体"/>
          <w:b/>
          <w:bCs/>
          <w:sz w:val="28"/>
          <w:szCs w:val="28"/>
          <w:highlight w:val="none"/>
        </w:rPr>
      </w:pPr>
      <w:r/>
      <w:bookmarkStart w:id="25" w:name="OLE_LINK13"/>
      <w:r/>
      <w:bookmarkStart w:id="26" w:name="OLE_LINK14"/>
      <w:r>
        <w:rPr>
          <w:rFonts w:hint="eastAsia" w:ascii="宋体" w:hAnsi="宋体" w:cs="宋体"/>
          <w:b/>
          <w:bCs/>
          <w:sz w:val="28"/>
          <w:szCs w:val="28"/>
          <w:highlight w:val="none"/>
        </w:rPr>
        <w:t xml:space="preserve">中小企业声明函（货物）</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行业;制造商为（企业名称）,从业人员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u w:val="single"/>
        </w:rPr>
        <w:t xml:space="preserve">万</w:t>
      </w:r>
      <w:r>
        <w:rPr>
          <w:rFonts w:hint="eastAsia" w:ascii="宋体" w:hAnsi="宋体" w:cs="宋体"/>
          <w:highlight w:val="none"/>
        </w:rPr>
        <w:t xml:space="preserve">元，属于（中型企业、小型企业、微型企业）；</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行业；制造商为（企业名称）,从业人员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企业名称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jc w:val="left"/>
        <w:spacing w:line="360" w:lineRule="auto"/>
        <w:rPr>
          <w:rFonts w:hint="eastAsia" w:ascii="宋体" w:hAnsi="宋体" w:cs="宋体"/>
          <w:b/>
          <w:bCs/>
          <w:sz w:val="28"/>
          <w:highlight w:val="none"/>
        </w:rPr>
      </w:pPr>
      <w:r>
        <w:rPr>
          <w:rFonts w:hint="eastAsia" w:ascii="宋体" w:hAnsi="宋体" w:cs="宋体"/>
          <w:szCs w:val="21"/>
          <w:highlight w:val="none"/>
        </w:rPr>
        <w:t xml:space="preserve">日 期：</w:t>
      </w:r>
      <w:r/>
    </w:p>
    <w:p>
      <w:pPr>
        <w:ind w:firstLine="420"/>
        <w:keepLines/>
        <w:keepNext/>
        <w:rPr>
          <w:rFonts w:hint="eastAsia" w:ascii="宋体" w:hAnsi="宋体" w:cs="宋体"/>
          <w:highlight w:val="none"/>
        </w:rPr>
        <w:outlineLvl w:val="0"/>
      </w:pPr>
      <w:r/>
      <w:bookmarkStart w:id="27" w:name="_Toc12370"/>
      <w:r/>
      <w:bookmarkStart w:id="28" w:name="_Toc15368"/>
      <w:r/>
      <w:bookmarkStart w:id="29" w:name="_Toc31857"/>
      <w:r/>
      <w:bookmarkStart w:id="30" w:name="_Toc9170"/>
      <w:r/>
      <w:r/>
    </w:p>
    <w:p>
      <w:pPr>
        <w:keepLines/>
        <w:keepNext/>
        <w:rPr>
          <w:rFonts w:hint="eastAsia" w:ascii="宋体" w:hAnsi="宋体" w:cs="宋体"/>
          <w:highlight w:val="none"/>
        </w:rPr>
        <w:outlineLvl w:val="0"/>
      </w:pPr>
      <w:r/>
      <w:bookmarkStart w:id="31" w:name="_Toc1861"/>
      <w:r>
        <w:rPr>
          <w:rFonts w:hint="eastAsia" w:ascii="宋体" w:hAnsi="宋体" w:cs="宋体"/>
          <w:highlight w:val="none"/>
        </w:rPr>
        <w:t xml:space="preserve">备注：</w:t>
      </w:r>
      <w:bookmarkEnd w:id="27"/>
      <w:r/>
      <w:bookmarkEnd w:id="28"/>
      <w:r/>
      <w:bookmarkEnd w:id="29"/>
      <w:r/>
      <w:bookmarkEnd w:id="30"/>
      <w:r/>
      <w:bookmarkEnd w:id="31"/>
      <w:r/>
      <w:r/>
    </w:p>
    <w:p>
      <w:pPr>
        <w:ind w:firstLine="632"/>
        <w:keepLines/>
        <w:keepNext/>
        <w:rPr>
          <w:rFonts w:hint="eastAsia" w:ascii="宋体" w:hAnsi="宋体" w:cs="宋体"/>
          <w:b/>
          <w:bCs/>
          <w:highlight w:val="none"/>
        </w:rPr>
        <w:outlineLvl w:val="0"/>
      </w:pPr>
      <w:r/>
      <w:bookmarkStart w:id="32" w:name="_Toc4087"/>
      <w:r/>
      <w:bookmarkStart w:id="33" w:name="_Toc26583"/>
      <w:r/>
      <w:bookmarkStart w:id="34" w:name="_Toc3322"/>
      <w:r/>
      <w:bookmarkStart w:id="35" w:name="_Toc22289"/>
      <w:r/>
      <w:bookmarkStart w:id="36" w:name="_Toc18101"/>
      <w:r>
        <w:rPr>
          <w:rFonts w:hint="eastAsia" w:ascii="宋体" w:hAnsi="宋体" w:cs="宋体"/>
          <w:b/>
          <w:bCs/>
          <w:highlight w:val="none"/>
        </w:rPr>
        <w:t xml:space="preserve">1.从业人员、营业收入、资产总额填报上一年度数据，无上一年度数据的新成立企业可不填报。</w:t>
      </w:r>
      <w:bookmarkEnd w:id="32"/>
      <w:r/>
      <w:bookmarkEnd w:id="33"/>
      <w:r/>
      <w:bookmarkEnd w:id="34"/>
      <w:r/>
      <w:bookmarkEnd w:id="35"/>
      <w:r/>
      <w:bookmarkEnd w:id="36"/>
      <w:r/>
      <w:r/>
    </w:p>
    <w:p>
      <w:pPr>
        <w:ind w:firstLine="630"/>
        <w:keepLines/>
        <w:keepNext/>
        <w:rPr>
          <w:rFonts w:hint="eastAsia" w:ascii="宋体" w:hAnsi="宋体" w:cs="宋体"/>
          <w:b/>
          <w:bCs/>
          <w:highlight w:val="none"/>
        </w:rPr>
        <w:outlineLvl w:val="0"/>
      </w:pPr>
      <w:r/>
      <w:bookmarkStart w:id="37" w:name="_Toc7010"/>
      <w:r/>
      <w:bookmarkStart w:id="38" w:name="_Toc927"/>
      <w:r/>
      <w:bookmarkStart w:id="39" w:name="_Toc18057"/>
      <w:r/>
      <w:bookmarkStart w:id="40" w:name="_Toc10475"/>
      <w:r/>
      <w:bookmarkStart w:id="41" w:name="_Toc2574"/>
      <w:r>
        <w:rPr>
          <w:rFonts w:hint="eastAsia" w:ascii="宋体" w:hAnsi="宋体" w:cs="宋体"/>
          <w:highlight w:val="none"/>
        </w:rPr>
        <w:t xml:space="preserve">2.在货物采购项目中，货物由中小企业制造，即货物由中小企业生产且使用该中小企业商号或者注册商标。</w:t>
      </w:r>
      <w:r>
        <w:rPr>
          <w:rFonts w:hint="eastAsia" w:ascii="宋体" w:hAnsi="宋体" w:cs="宋体"/>
          <w:b/>
          <w:bCs/>
          <w:highlight w:val="none"/>
        </w:rPr>
        <w:t xml:space="preserve">供应商提供的货物既有中小企业制造货物，也有大型企业制造货物的，不享受相应扶持政策。</w:t>
      </w:r>
      <w:bookmarkEnd w:id="37"/>
      <w:r/>
      <w:bookmarkEnd w:id="38"/>
      <w:r/>
      <w:bookmarkEnd w:id="39"/>
      <w:r/>
      <w:bookmarkEnd w:id="40"/>
      <w:r/>
      <w:bookmarkEnd w:id="41"/>
      <w:r/>
      <w:r/>
    </w:p>
    <w:p>
      <w:pPr>
        <w:ind w:firstLine="630"/>
        <w:keepLines/>
        <w:keepNext/>
        <w:rPr>
          <w:rFonts w:hint="eastAsia" w:ascii="宋体" w:hAnsi="宋体" w:cs="宋体"/>
          <w:b/>
          <w:bCs/>
          <w:highlight w:val="none"/>
        </w:rPr>
        <w:outlineLvl w:val="0"/>
      </w:pPr>
      <w:r/>
      <w:bookmarkStart w:id="42" w:name="_Toc10358"/>
      <w:r/>
      <w:bookmarkStart w:id="43" w:name="_Toc12857"/>
      <w:r/>
      <w:bookmarkStart w:id="44" w:name="_Toc17905"/>
      <w:r/>
      <w:bookmarkStart w:id="45" w:name="_Toc19903"/>
      <w:r/>
      <w:bookmarkStart w:id="46" w:name="_Toc30404"/>
      <w:r>
        <w:rPr>
          <w:rFonts w:hint="eastAsia" w:ascii="宋体" w:hAnsi="宋体" w:cs="宋体"/>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highlight w:val="none"/>
        </w:rPr>
        <w:t xml:space="preserve">本采购标的对应的中小企业划分标准所属行业，以采购文件中具体规定为准。</w:t>
      </w:r>
      <w:bookmarkEnd w:id="42"/>
      <w:r/>
      <w:bookmarkEnd w:id="43"/>
      <w:r/>
      <w:bookmarkEnd w:id="44"/>
      <w:r/>
      <w:bookmarkEnd w:id="45"/>
      <w:r/>
      <w:bookmarkEnd w:id="46"/>
      <w:r/>
      <w:r/>
    </w:p>
    <w:p>
      <w:pPr>
        <w:ind w:firstLine="632"/>
        <w:keepLines/>
        <w:keepNext/>
        <w:rPr>
          <w:rFonts w:hint="eastAsia" w:ascii="宋体" w:hAnsi="宋体" w:cs="宋体"/>
          <w:b/>
          <w:szCs w:val="21"/>
          <w:highlight w:val="none"/>
        </w:rPr>
        <w:outlineLvl w:val="0"/>
      </w:pPr>
      <w:r/>
      <w:bookmarkStart w:id="47" w:name="_Toc10257"/>
      <w:r/>
      <w:bookmarkStart w:id="48" w:name="_Toc21794"/>
      <w:r/>
      <w:bookmarkStart w:id="49" w:name="_Toc8833"/>
      <w:r/>
      <w:bookmarkStart w:id="50" w:name="_Toc29908"/>
      <w:r/>
      <w:bookmarkStart w:id="51" w:name="_Toc25066"/>
      <w:r>
        <w:rPr>
          <w:rFonts w:hint="eastAsia" w:ascii="宋体" w:hAnsi="宋体" w:cs="宋体"/>
          <w:b/>
          <w:bCs/>
          <w:highlight w:val="none"/>
        </w:rPr>
        <w:t xml:space="preserve">4.如未对（中型企业、小型企业、微型企业）进行勾选，视同非中小微企业，不可享受相应扶持政策。</w:t>
      </w:r>
      <w:bookmarkEnd w:id="47"/>
      <w:r/>
      <w:bookmarkEnd w:id="48"/>
      <w:r/>
      <w:bookmarkEnd w:id="49"/>
      <w:r/>
      <w:bookmarkEnd w:id="50"/>
      <w:r/>
      <w:bookmarkEnd w:id="51"/>
      <w:r/>
      <w:r/>
    </w:p>
    <w:p>
      <w:pPr>
        <w:rPr>
          <w:rFonts w:hint="eastAsia" w:ascii="宋体" w:hAnsi="宋体"/>
          <w:b/>
          <w:highlight w:val="none"/>
        </w:rPr>
      </w:pPr>
      <w:r>
        <w:rPr>
          <w:rFonts w:hint="eastAsia" w:ascii="宋体" w:hAnsi="宋体"/>
          <w:b/>
          <w:highlight w:val="none"/>
        </w:rPr>
        <w:t xml:space="preserve">附：中小企业划型标准规定</w:t>
      </w:r>
      <w:r/>
    </w:p>
    <w:p>
      <w:pPr>
        <w:ind w:firstLine="422"/>
        <w:rPr>
          <w:rFonts w:hint="eastAsia"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highlight w:val="none"/>
        </w:r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r>
      <w:r/>
    </w:p>
    <w:p>
      <w:pPr>
        <w:spacing w:line="360" w:lineRule="auto"/>
        <w:rPr>
          <w:rFonts w:hint="eastAsia" w:ascii="宋体" w:hAnsi="宋体" w:cs="宋体"/>
          <w:b/>
          <w:bCs/>
          <w:sz w:val="28"/>
          <w:highlight w:val="none"/>
        </w:rPr>
        <w:sectPr>
          <w:footerReference w:type="default" r:id="rId16"/>
          <w:footerReference w:type="first" r:id="rId17"/>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bookmarkEnd w:id="25"/>
      <w:bookmarkEnd w:id="26"/>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ind w:firstLine="420"/>
        <w:rPr>
          <w:rFonts w:hint="eastAsia" w:ascii="宋体" w:hAnsi="宋体" w:cs="宋体"/>
          <w:bCs/>
          <w:szCs w:val="20"/>
          <w:highlight w:val="none"/>
        </w:rPr>
      </w:pPr>
      <w:r>
        <w:rPr>
          <w:rFonts w:hint="eastAsia" w:ascii="宋体" w:hAnsi="宋体" w:cs="宋体"/>
          <w:bCs/>
          <w:szCs w:val="20"/>
          <w:highlight w:val="none"/>
        </w:rPr>
      </w:r>
      <w:r/>
    </w:p>
    <w:p>
      <w:pPr>
        <w:ind w:firstLine="420"/>
        <w:rPr>
          <w:rFonts w:hint="eastAsia" w:ascii="宋体" w:hAnsi="宋体" w:cs="宋体"/>
          <w:bCs/>
          <w:szCs w:val="20"/>
          <w:highlight w:val="none"/>
        </w:rPr>
      </w:pPr>
      <w:r>
        <w:rPr>
          <w:rFonts w:hint="eastAsia" w:ascii="宋体" w:hAnsi="宋体" w:cs="宋体"/>
          <w:bCs/>
          <w:szCs w:val="20"/>
          <w:highlight w:val="none"/>
        </w:rPr>
      </w:r>
      <w:r/>
    </w:p>
    <w:p>
      <w:pPr>
        <w:ind w:firstLine="420"/>
        <w:rPr>
          <w:rFonts w:hint="eastAsia" w:ascii="宋体" w:hAnsi="宋体" w:cs="宋体"/>
          <w:bCs/>
          <w:szCs w:val="20"/>
          <w:highlight w:val="none"/>
        </w:rPr>
      </w:pPr>
      <w:r>
        <w:rPr>
          <w:rFonts w:hint="eastAsia" w:ascii="宋体" w:hAnsi="宋体" w:cs="宋体"/>
          <w:bCs/>
          <w:szCs w:val="20"/>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jc w:val="center"/>
        <w:spacing w:before="24" w:after="24" w:line="360" w:lineRule="auto"/>
        <w:shd w:val="clear" w:color="auto" w:fill="ffffff"/>
        <w:widowControl/>
        <w:rPr>
          <w:rFonts w:hint="eastAsia" w:ascii="宋体" w:hAnsi="宋体" w:cs="宋体"/>
          <w:b/>
          <w:bCs/>
          <w:sz w:val="28"/>
          <w:highlight w:val="none"/>
        </w:rPr>
      </w:pPr>
      <w:r>
        <w:rPr>
          <w:rFonts w:hint="eastAsia" w:ascii="宋体" w:hAnsi="宋体" w:cs="宋体"/>
          <w:b/>
          <w:bCs/>
          <w:sz w:val="28"/>
          <w:highlight w:val="none"/>
        </w:rPr>
      </w:r>
      <w:r/>
    </w:p>
    <w:p>
      <w:pPr>
        <w:jc w:val="left"/>
        <w:spacing w:before="24" w:after="24" w:line="360" w:lineRule="auto"/>
        <w:shd w:val="clear" w:color="auto" w:fill="ffffff"/>
        <w:widowControl/>
        <w:rPr>
          <w:rFonts w:hint="eastAsia" w:ascii="宋体" w:hAnsi="宋体" w:cs="宋体"/>
          <w:b/>
          <w:bCs/>
          <w:highlight w:val="none"/>
        </w:rPr>
      </w:pPr>
      <w:r>
        <w:rPr>
          <w:rFonts w:hint="eastAsia" w:ascii="宋体" w:hAnsi="宋体" w:cs="宋体"/>
          <w:b/>
          <w:highlight w:val="none"/>
        </w:rPr>
        <w:t xml:space="preserve">附件十一</w:t>
      </w:r>
      <w:r>
        <w:rPr>
          <w:rFonts w:hint="eastAsia" w:ascii="宋体" w:hAnsi="宋体" w:cs="宋体"/>
          <w:b/>
          <w:bCs/>
          <w:highlight w:val="none"/>
        </w:rPr>
        <w:t xml:space="preserve">、关于符合本国产品标准的声明函</w:t>
      </w:r>
      <w:r/>
    </w:p>
    <w:p>
      <w:pPr>
        <w:jc w:val="center"/>
        <w:spacing w:before="24" w:after="24" w:line="360" w:lineRule="auto"/>
        <w:shd w:val="clear" w:color="auto" w:fill="ffffff"/>
        <w:widowControl/>
        <w:rPr>
          <w:rFonts w:hint="eastAsia" w:ascii="宋体" w:hAnsi="宋体" w:cs="宋体"/>
          <w:b/>
          <w:bCs/>
          <w:sz w:val="28"/>
          <w:highlight w:val="none"/>
        </w:rPr>
      </w:pPr>
      <w:r>
        <w:rPr>
          <w:rFonts w:hint="eastAsia" w:ascii="宋体" w:hAnsi="宋体" w:cs="宋体"/>
          <w:b/>
          <w:bCs/>
          <w:sz w:val="28"/>
          <w:highlight w:val="none"/>
        </w:rPr>
        <w:t xml:space="preserve">关于符合本国产品标准的声明函</w:t>
      </w:r>
      <w:r/>
    </w:p>
    <w:p>
      <w:pPr>
        <w:pStyle w:val="862"/>
        <w:ind w:firstLine="420"/>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1.</w:t>
      </w:r>
      <w:r>
        <w:rPr>
          <w:rStyle w:val="872"/>
          <w:rFonts w:hint="eastAsia"/>
          <w:color w:val="000000" w:themeColor="text1"/>
          <w:highlight w:val="none"/>
          <w:u w:val="single"/>
          <w:shd w:val="clear" w:color="auto" w:fill="ffffff"/>
          <w14:textFill>
            <w14:solidFill>
              <w14:schemeClr w14:val="tx1"/>
            </w14:solidFill>
          </w14:textFill>
        </w:rPr>
        <w:t xml:space="preserve">（产品名称1）</w:t>
      </w:r>
      <w:r>
        <w:rPr>
          <w:rStyle w:val="872"/>
          <w:rFonts w:hint="eastAsia"/>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872"/>
          <w:rFonts w:hint="eastAsia"/>
          <w:color w:val="000000" w:themeColor="text1"/>
          <w:highlight w:val="none"/>
          <w:u w:val="single"/>
          <w:shd w:val="clear" w:color="auto" w:fill="ffffff"/>
          <w14:textFill>
            <w14:solidFill>
              <w14:schemeClr w14:val="tx1"/>
            </w14:solidFill>
          </w14:textFill>
        </w:rPr>
        <w:t xml:space="preserve">（厂名）</w:t>
      </w:r>
      <w:r>
        <w:rPr>
          <w:rStyle w:val="872"/>
          <w:rFonts w:hint="eastAsia"/>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872"/>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62"/>
        <w:ind w:firstLine="420"/>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2.</w:t>
      </w:r>
      <w:r>
        <w:rPr>
          <w:rStyle w:val="872"/>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872"/>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872"/>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62"/>
        <w:ind w:firstLine="420"/>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3.</w:t>
      </w:r>
      <w:r>
        <w:rPr>
          <w:rStyle w:val="872"/>
          <w:rFonts w:hint="eastAsia"/>
          <w:color w:val="000000" w:themeColor="text1"/>
          <w:highlight w:val="none"/>
          <w:u w:val="single"/>
          <w:shd w:val="clear" w:color="auto" w:fill="ffffff"/>
          <w14:textFill>
            <w14:solidFill>
              <w14:schemeClr w14:val="tx1"/>
            </w14:solidFill>
          </w14:textFill>
        </w:rPr>
        <w:t xml:space="preserve">（产品名称3）</w:t>
      </w:r>
      <w:r>
        <w:rPr>
          <w:rFonts w:hint="eastAsia"/>
          <w:color w:val="000000" w:themeColor="text1"/>
          <w:highlight w:val="none"/>
          <w:shd w:val="clear" w:color="auto" w:fill="ffffff"/>
          <w14:textFill>
            <w14:solidFill>
              <w14:schemeClr w14:val="tx1"/>
            </w14:solidFill>
          </w14:textFill>
        </w:rPr>
        <w:t xml:space="preserve">，生产厂为</w:t>
      </w:r>
      <w:r>
        <w:rPr>
          <w:rStyle w:val="872"/>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872"/>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62"/>
        <w:ind w:firstLine="420"/>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862"/>
        <w:ind w:firstLine="420"/>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62"/>
        <w:spacing w:before="30" w:beforeAutospacing="0" w:after="30" w:afterAutospacing="0" w:line="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2"/>
        <w:jc w:val="right"/>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公司（单位）名称（加盖CA电子公章）：　        </w:t>
      </w:r>
      <w:r/>
    </w:p>
    <w:p>
      <w:pPr>
        <w:pStyle w:val="862"/>
        <w:jc w:val="center"/>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r/>
    </w:p>
    <w:p>
      <w:pPr>
        <w:pStyle w:val="862"/>
        <w:spacing w:before="30" w:beforeAutospacing="0" w:after="30" w:afterAutospacing="0" w:line="0" w:lineRule="atLeas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_______________</w:t>
      </w:r>
      <w:r/>
    </w:p>
    <w:p>
      <w:pPr>
        <w:pStyle w:val="862"/>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1.产品如有型号，请在“产品名称”栏一并填写。</w:t>
      </w:r>
      <w:r/>
    </w:p>
    <w:p>
      <w:pPr>
        <w:pStyle w:val="862"/>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862"/>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62"/>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862"/>
        <w:spacing w:before="30" w:beforeAutospacing="0" w:after="30" w:afterAutospacing="0" w:line="360" w:lineRule="auto"/>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862"/>
        <w:spacing w:before="30" w:beforeAutospacing="0" w:after="30" w:afterAutospacing="0" w:line="360" w:lineRule="auto"/>
        <w:rPr>
          <w:rFonts w:hint="eastAsia"/>
          <w:bCs/>
          <w:highlight w:val="none"/>
        </w:rPr>
      </w:pPr>
      <w:r>
        <w:rPr>
          <w:rFonts w:hint="eastAsia"/>
          <w:color w:val="000000" w:themeColor="text1"/>
          <w:highlight w:val="none"/>
          <w:shd w:val="clear" w:color="auto" w:fill="ffffff"/>
          <w14:textFill>
            <w14:solidFill>
              <w14:schemeClr w14:val="tx1"/>
            </w14:solidFill>
          </w14:textFill>
        </w:rPr>
        <w:t xml:space="preserve">6.《声明函》中标注“</w:t>
      </w:r>
      <w:r>
        <w:rPr>
          <w:rFonts w:hint="eastAsia"/>
          <w:color w:val="000000" w:themeColor="text1"/>
          <w:highlight w:val="none"/>
          <w:u w:val="single"/>
          <w:shd w:val="clear" w:color="auto" w:fill="ffffff"/>
          <w14:textFill>
            <w14:solidFill>
              <w14:schemeClr w14:val="tx1"/>
            </w14:solidFill>
          </w14:textFill>
        </w:rPr>
        <w:t xml:space="preserve">  </w:t>
      </w:r>
      <w:r>
        <w:rPr>
          <w:rStyle w:val="872"/>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”的地方无需填写。</w:t>
      </w:r>
      <w:r/>
    </w:p>
    <w:p>
      <w:pPr>
        <w:spacing w:line="360" w:lineRule="auto"/>
        <w:rPr>
          <w:rFonts w:hint="eastAsia" w:ascii="宋体" w:hAnsi="宋体" w:cs="宋体"/>
          <w:bCs/>
          <w:highlight w:val="none"/>
        </w:rPr>
      </w:pPr>
      <w:r>
        <w:rPr>
          <w:rFonts w:hint="eastAsia" w:ascii="宋体" w:hAnsi="宋体" w:cs="宋体"/>
          <w:bCs/>
          <w:highlight w:val="none"/>
        </w:rPr>
        <w:t xml:space="preserve">采购本国产品的支持政策</w:t>
      </w:r>
      <w:r/>
    </w:p>
    <w:p>
      <w:pPr>
        <w:ind w:firstLine="630"/>
        <w:spacing w:line="360" w:lineRule="auto"/>
        <w:rPr>
          <w:rFonts w:hint="eastAsia" w:ascii="宋体" w:hAnsi="宋体" w:cs="宋体"/>
          <w:bCs/>
          <w:highlight w:val="none"/>
        </w:rPr>
      </w:pPr>
      <w:r>
        <w:rPr>
          <w:rFonts w:hint="eastAsia" w:ascii="宋体" w:hAnsi="宋体" w:cs="宋体"/>
          <w:bCs/>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bCs/>
          <w:highlight w:val="none"/>
        </w:rPr>
      </w:pPr>
      <w:r>
        <w:rPr>
          <w:rFonts w:hint="eastAsia" w:ascii="宋体" w:hAnsi="宋体" w:cs="宋体"/>
          <w:bCs/>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2"/>
        <w:spacing w:line="360" w:lineRule="auto"/>
        <w:rPr>
          <w:rFonts w:hint="eastAsia" w:ascii="宋体" w:hAnsi="宋体" w:cs="宋体"/>
          <w:b/>
          <w:highlight w:val="none"/>
        </w:rPr>
      </w:pPr>
      <w:r>
        <w:rPr>
          <w:rFonts w:hint="eastAsia" w:ascii="宋体" w:hAnsi="宋体" w:cs="宋体"/>
          <w:b/>
          <w:highlight w:val="none"/>
        </w:rPr>
        <w:t xml:space="preserve">（3）供应商需按照招标文件的要求提供《关于符合本国产品标准的声明函》（以下简称《声明函》），如不提供将不享受本国产品价格评审优惠。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bCs/>
          <w:highlight w:val="none"/>
        </w:rPr>
      </w:pPr>
      <w:r>
        <w:rPr>
          <w:rFonts w:hint="eastAsia" w:ascii="宋体" w:hAnsi="宋体" w:cs="宋体"/>
          <w:bCs/>
          <w:highlight w:val="none"/>
        </w:rPr>
        <w:t xml:space="preserve">（4）供应商需在《声明函》中逐一、准确填写产品名称、厂名、生产厂址三项信息（《声明函》中标注“/ ”的地方无需填写）。</w:t>
      </w:r>
      <w:r/>
    </w:p>
    <w:p>
      <w:pPr>
        <w:ind w:firstLine="630"/>
        <w:spacing w:line="360" w:lineRule="auto"/>
        <w:rPr>
          <w:rStyle w:val="869"/>
          <w:rFonts w:hint="eastAsia" w:ascii="宋体" w:hAnsi="宋体" w:cs="宋体"/>
          <w:b w:val="0"/>
          <w:bCs/>
          <w:color w:val="333333"/>
          <w:szCs w:val="21"/>
          <w:highlight w:val="none"/>
          <w:shd w:val="clear" w:color="auto" w:fill="ffffff"/>
        </w:rPr>
      </w:pPr>
      <w:r>
        <w:rPr>
          <w:rFonts w:hint="eastAsia" w:ascii="宋体" w:hAnsi="宋体" w:cs="宋体"/>
          <w:bCs/>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cs="宋体"/>
          <w:b/>
          <w:szCs w:val="21"/>
          <w:highlight w:val="none"/>
          <w:lang w:val="zh-CN"/>
        </w:rPr>
      </w:pPr>
      <w:r>
        <w:rPr>
          <w:rFonts w:hint="eastAsia" w:ascii="宋体" w:hAnsi="宋体" w:cs="宋体"/>
          <w:b/>
          <w:szCs w:val="21"/>
          <w:highlight w:val="none"/>
          <w:lang w:val="zh-CN"/>
        </w:rPr>
        <w:br w:type="page" w:clear="all"/>
      </w:r>
      <w:r/>
    </w:p>
    <w:p>
      <w:pPr>
        <w:spacing w:line="360" w:lineRule="auto"/>
        <w:rPr>
          <w:rFonts w:hint="eastAsia" w:ascii="宋体" w:hAnsi="宋体" w:cs="宋体"/>
          <w:b/>
          <w:bCs/>
          <w:highlight w:val="none"/>
        </w:rPr>
      </w:pPr>
      <w:r>
        <w:rPr>
          <w:rFonts w:hint="eastAsia" w:ascii="宋体" w:hAnsi="宋体" w:cs="宋体"/>
          <w:b/>
          <w:bCs/>
          <w:highlight w:val="none"/>
        </w:rPr>
      </w:r>
      <w:r/>
    </w:p>
    <w:p>
      <w:pPr>
        <w:pStyle w:val="862"/>
        <w:jc w:val="center"/>
        <w:spacing w:before="30" w:beforeAutospacing="0" w:after="30" w:afterAutospacing="0"/>
        <w:shd w:val="clear" w:color="auto" w:fill="ffffff"/>
        <w:rPr>
          <w:rStyle w:val="869"/>
          <w:rFonts w:hint="eastAsia"/>
          <w:sz w:val="36"/>
          <w:szCs w:val="36"/>
          <w:highlight w:val="none"/>
        </w:rPr>
      </w:pPr>
      <w:r>
        <w:rPr>
          <w:rStyle w:val="869"/>
          <w:rFonts w:hint="eastAsia"/>
          <w:sz w:val="36"/>
          <w:szCs w:val="36"/>
          <w:highlight w:val="none"/>
        </w:rPr>
        <w:t xml:space="preserve">产品成本占比承诺函</w:t>
      </w:r>
      <w:r/>
    </w:p>
    <w:p>
      <w:pPr>
        <w:pStyle w:val="862"/>
        <w:spacing w:before="30" w:beforeAutospacing="0" w:after="30" w:afterAutospacing="0"/>
        <w:shd w:val="clear" w:color="auto" w:fill="ffffff"/>
        <w:rPr>
          <w:rStyle w:val="869"/>
          <w:rFonts w:hint="eastAsia"/>
          <w:sz w:val="36"/>
          <w:szCs w:val="36"/>
          <w:highlight w:val="none"/>
        </w:rPr>
      </w:pPr>
      <w:r>
        <w:rPr>
          <w:rFonts w:hint="eastAsia"/>
          <w:sz w:val="36"/>
          <w:szCs w:val="36"/>
          <w:highlight w:val="none"/>
        </w:rPr>
      </w:r>
      <w:r/>
    </w:p>
    <w:p>
      <w:pPr>
        <w:ind w:firstLine="480"/>
        <w:jc w:val="left"/>
        <w:spacing w:line="360" w:lineRule="auto"/>
        <w:widowControl/>
        <w:rPr>
          <w:color w:val="333333"/>
          <w:sz w:val="24"/>
          <w:highlight w:val="none"/>
          <w:shd w:val="clear" w:color="auto" w:fill="ffffff"/>
        </w:rPr>
      </w:pPr>
      <w:r>
        <w:rPr>
          <w:rFonts w:hint="eastAsia"/>
          <w:color w:val="333333"/>
          <w:sz w:val="24"/>
          <w:highlight w:val="none"/>
          <w:shd w:val="clear" w:color="auto" w:fill="ffffff"/>
        </w:rPr>
        <w:t xml:space="preserve">我公司（单位）郑重承诺，我公司已阅读并理解《国务院办公厅关于在政府采购中实施本国产品标准及相关政策的通知》（国办发〔</w:t>
      </w:r>
      <w:r>
        <w:rPr>
          <w:color w:val="333333"/>
          <w:sz w:val="24"/>
          <w:highlight w:val="none"/>
          <w:shd w:val="clear" w:color="auto" w:fill="ffffff"/>
        </w:rPr>
        <w:t xml:space="preserve">2025</w:t>
      </w:r>
      <w:r>
        <w:rPr>
          <w:rFonts w:hint="eastAsia"/>
          <w:color w:val="333333"/>
          <w:sz w:val="24"/>
          <w:highlight w:val="none"/>
          <w:shd w:val="clear" w:color="auto" w:fill="ffffff"/>
        </w:rPr>
        <w:t xml:space="preserve">〕</w:t>
      </w:r>
      <w:r>
        <w:rPr>
          <w:color w:val="333333"/>
          <w:sz w:val="24"/>
          <w:highlight w:val="none"/>
          <w:shd w:val="clear" w:color="auto" w:fill="ffffff"/>
        </w:rPr>
        <w:t xml:space="preserve">34</w:t>
      </w:r>
      <w:r>
        <w:rPr>
          <w:rFonts w:hint="eastAsia"/>
          <w:color w:val="333333"/>
          <w:sz w:val="24"/>
          <w:highlight w:val="none"/>
          <w:shd w:val="clear" w:color="auto" w:fill="ffffff"/>
        </w:rPr>
        <w:t xml:space="preserve">号）的规定。据此承诺如下：</w:t>
      </w:r>
      <w:r/>
    </w:p>
    <w:p>
      <w:pPr>
        <w:ind w:firstLine="480"/>
        <w:jc w:val="left"/>
        <w:spacing w:line="360" w:lineRule="auto"/>
        <w:widowControl/>
        <w:rPr>
          <w:spacing w:val="6"/>
          <w:sz w:val="24"/>
          <w:highlight w:val="none"/>
        </w:rPr>
      </w:pPr>
      <w:r>
        <w:rPr>
          <w:rFonts w:hint="eastAsia"/>
          <w:color w:val="333333"/>
          <w:sz w:val="24"/>
          <w:highlight w:val="none"/>
          <w:shd w:val="clear" w:color="auto" w:fill="ffffff"/>
        </w:rPr>
        <w:t xml:space="preserve">为本采购项目或者采购包提供的符合本国产品标准的产品成本之和占提供的全部产品成本之和的比例为</w:t>
      </w:r>
      <w:r>
        <w:rPr>
          <w:spacing w:val="6"/>
          <w:sz w:val="24"/>
          <w:highlight w:val="none"/>
        </w:rPr>
        <w:t xml:space="preserve">______%</w:t>
      </w:r>
      <w:r>
        <w:rPr>
          <w:rFonts w:hint="eastAsia"/>
          <w:spacing w:val="6"/>
          <w:sz w:val="24"/>
          <w:highlight w:val="none"/>
        </w:rPr>
        <w:t xml:space="preserve">。</w:t>
      </w:r>
      <w:r/>
    </w:p>
    <w:p>
      <w:pPr>
        <w:ind w:firstLine="480"/>
        <w:jc w:val="left"/>
        <w:spacing w:line="360" w:lineRule="auto"/>
        <w:widowControl/>
        <w:rPr>
          <w:color w:val="000000"/>
          <w:sz w:val="24"/>
          <w:highlight w:val="none"/>
        </w:rPr>
      </w:pPr>
      <w:r>
        <w:rPr>
          <w:color w:val="000000"/>
          <w:sz w:val="24"/>
          <w:highlight w:val="none"/>
        </w:rPr>
      </w:r>
      <w:r/>
    </w:p>
    <w:p>
      <w:pPr>
        <w:pStyle w:val="862"/>
        <w:jc w:val="right"/>
        <w:spacing w:before="0" w:beforeAutospacing="0" w:after="0" w:afterAutospacing="0" w:line="360" w:lineRule="auto"/>
        <w:shd w:val="clear" w:color="auto" w:fill="ffffff"/>
        <w:rPr>
          <w:rFonts w:hint="eastAsia"/>
          <w:color w:val="333333"/>
          <w:highlight w:val="none"/>
        </w:rPr>
      </w:pPr>
      <w:r>
        <w:rPr>
          <w:rFonts w:hint="eastAsia"/>
          <w:color w:val="333333"/>
          <w:highlight w:val="none"/>
          <w:shd w:val="clear" w:color="auto" w:fill="ffffff"/>
        </w:rPr>
        <w:t xml:space="preserve">公司（单位）名称（盖章）：　        </w:t>
      </w:r>
      <w:r/>
    </w:p>
    <w:p>
      <w:pPr>
        <w:spacing w:line="360" w:lineRule="auto"/>
        <w:rPr>
          <w:rFonts w:hint="eastAsia" w:ascii="宋体" w:hAnsi="宋体" w:cs="宋体"/>
          <w:b/>
          <w:highlight w:val="none"/>
        </w:rPr>
      </w:pPr>
      <w:r>
        <w:rPr>
          <w:rFonts w:hint="eastAsia"/>
          <w:color w:val="333333"/>
          <w:sz w:val="24"/>
          <w:highlight w:val="none"/>
          <w:shd w:val="clear" w:color="auto" w:fill="ffffff"/>
        </w:rPr>
        <w:t xml:space="preserve">日期：　     </w:t>
      </w:r>
      <w:r>
        <w:rPr>
          <w:rFonts w:hint="eastAsia" w:ascii="宋体" w:hAnsi="宋体" w:cs="宋体"/>
          <w:color w:val="333333"/>
          <w:sz w:val="24"/>
          <w:highlight w:val="none"/>
          <w:shd w:val="clear" w:color="auto" w:fill="ffffff"/>
        </w:rPr>
        <w:t xml:space="preserve">年　</w:t>
      </w:r>
      <w:r>
        <w:rPr>
          <w:rFonts w:hint="eastAsia"/>
          <w:color w:val="333333"/>
          <w:sz w:val="24"/>
          <w:highlight w:val="none"/>
          <w:shd w:val="clear" w:color="auto" w:fill="ffffff"/>
        </w:rPr>
        <w:t xml:space="preserve">  </w:t>
      </w:r>
      <w:r>
        <w:rPr>
          <w:rFonts w:hint="eastAsia" w:ascii="宋体" w:hAnsi="宋体" w:cs="宋体"/>
          <w:color w:val="333333"/>
          <w:sz w:val="24"/>
          <w:highlight w:val="none"/>
          <w:shd w:val="clear" w:color="auto" w:fill="ffffff"/>
        </w:rPr>
        <w:t xml:space="preserve">月　</w:t>
      </w:r>
      <w:r>
        <w:rPr>
          <w:rFonts w:hint="eastAsia"/>
          <w:color w:val="333333"/>
          <w:sz w:val="24"/>
          <w:highlight w:val="none"/>
          <w:shd w:val="clear" w:color="auto" w:fill="ffffff"/>
        </w:rPr>
        <w:t xml:space="preserve">  </w:t>
      </w:r>
      <w:r>
        <w:rPr>
          <w:rFonts w:hint="eastAsia" w:ascii="宋体" w:hAnsi="宋体" w:cs="宋体"/>
          <w:color w:val="333333"/>
          <w:sz w:val="24"/>
          <w:highlight w:val="none"/>
          <w:shd w:val="clear" w:color="auto" w:fill="ffffff"/>
        </w:rPr>
        <w:t xml:space="preserve">日</w:t>
      </w:r>
      <w:r>
        <w:rPr>
          <w:rFonts w:hint="eastAsia"/>
          <w:color w:val="333333"/>
          <w:sz w:val="24"/>
          <w:highlight w:val="none"/>
          <w:shd w:val="clear" w:color="auto" w:fill="ffffff"/>
        </w:rPr>
        <w:t xml:space="preserve">    </w:t>
      </w:r>
      <w:r>
        <w:rPr>
          <w:rFonts w:hint="eastAsia" w:ascii="宋体" w:hAnsi="宋体" w:cs="宋体"/>
          <w:b/>
          <w:szCs w:val="21"/>
          <w:highlight w:val="none"/>
          <w:lang w:val="zh-CN"/>
        </w:rPr>
        <w:br w:type="page" w:clear="all"/>
      </w:r>
      <w:r>
        <w:rPr>
          <w:rFonts w:hint="eastAsia" w:ascii="宋体" w:hAnsi="宋体" w:cs="宋体"/>
          <w:b/>
          <w:highlight w:val="none"/>
        </w:rPr>
        <w:t xml:space="preserve">附件十二、无重大违法记录声明格式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江苏省设备成套股份有限公司：</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w:t>
      </w:r>
      <w:r>
        <w:rPr>
          <w:rFonts w:hint="eastAsia" w:ascii="宋体" w:hAnsi="宋体" w:cs="宋体"/>
          <w:szCs w:val="21"/>
          <w:highlight w:val="none"/>
        </w:rPr>
        <w:t xml:space="preserve">（加盖电子公章）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附件十三、资格资信证明文件</w:t>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附件十四、联合体协议及联合体授权委托书（如允许联合体、格式自拟）</w:t>
      </w:r>
      <w:r/>
    </w:p>
    <w:p>
      <w:pPr>
        <w:pStyle w:val="1095"/>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pStyle w:val="1095"/>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95"/>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附件十五、投标人需要提供的其他材料</w:t>
      </w:r>
      <w:r/>
    </w:p>
    <w:p>
      <w:pPr>
        <w:pStyle w:val="840"/>
        <w:rPr>
          <w:rFonts w:hint="eastAsia" w:ascii="宋体" w:hAnsi="宋体" w:cs="宋体"/>
          <w:b/>
          <w:highlight w:val="none"/>
        </w:rPr>
      </w:pPr>
      <w:r>
        <w:rPr>
          <w:rFonts w:hint="eastAsia" w:ascii="宋体" w:hAnsi="宋体" w:cs="宋体"/>
          <w:b/>
          <w:highlight w:val="none"/>
        </w:rPr>
      </w:r>
      <w:r/>
    </w:p>
    <w:p>
      <w:pPr>
        <w:rPr>
          <w:highlight w:val="none"/>
        </w:rPr>
      </w:pPr>
      <w:r>
        <w:rPr>
          <w:highlight w:val="none"/>
        </w:rPr>
      </w:r>
      <w:r/>
    </w:p>
    <w:sectPr>
      <w:headerReference w:type="default" r:id="rId12"/>
      <w:footerReference w:type="default" r:id="rId18"/>
      <w:footerReference w:type="first" r:id="rId19"/>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2">
    <w:panose1 w:val="05020102010507070707"/>
  </w:font>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23"/>
      <w:isLgl w:val="false"/>
      <w:suff w:val="nothing"/>
      <w:lvlText w:val="第%1章"/>
      <w:lvlJc w:val="left"/>
      <w:pPr>
        <w:ind w:left="0" w:firstLine="0"/>
      </w:pPr>
    </w:lvl>
    <w:lvl w:ilvl="1">
      <w:start w:val="1"/>
      <w:numFmt w:val="none"/>
      <w:pStyle w:val="824"/>
      <w:isLgl w:val="false"/>
      <w:suff w:val="nothing"/>
      <w:lvlText w:val=""/>
      <w:lvlJc w:val="left"/>
      <w:pPr>
        <w:ind w:left="0" w:firstLine="0"/>
      </w:pPr>
    </w:lvl>
    <w:lvl w:ilvl="2">
      <w:start w:val="1"/>
      <w:numFmt w:val="none"/>
      <w:pStyle w:val="825"/>
      <w:isLgl w:val="false"/>
      <w:suff w:val="nothing"/>
      <w:lvlText w:val=""/>
      <w:lvlJc w:val="left"/>
      <w:pPr>
        <w:ind w:left="0" w:firstLine="0"/>
      </w:pPr>
    </w:lvl>
    <w:lvl w:ilvl="3">
      <w:start w:val="1"/>
      <w:numFmt w:val="none"/>
      <w:pStyle w:val="826"/>
      <w:isLgl w:val="false"/>
      <w:suff w:val="nothing"/>
      <w:lvlText w:val=""/>
      <w:lvlJc w:val="left"/>
      <w:pPr>
        <w:ind w:left="0" w:firstLine="0"/>
      </w:pPr>
    </w:lvl>
    <w:lvl w:ilvl="4">
      <w:start w:val="1"/>
      <w:numFmt w:val="none"/>
      <w:pStyle w:val="827"/>
      <w:isLgl w:val="false"/>
      <w:suff w:val="nothing"/>
      <w:lvlText w:val=""/>
      <w:lvlJc w:val="left"/>
      <w:pPr>
        <w:ind w:left="0" w:firstLine="0"/>
      </w:pPr>
    </w:lvl>
    <w:lvl w:ilvl="5">
      <w:start w:val="1"/>
      <w:numFmt w:val="none"/>
      <w:pStyle w:val="828"/>
      <w:isLgl w:val="false"/>
      <w:suff w:val="nothing"/>
      <w:lvlText w:val=""/>
      <w:lvlJc w:val="left"/>
      <w:pPr>
        <w:ind w:left="0" w:firstLine="0"/>
      </w:pPr>
    </w:lvl>
    <w:lvl w:ilvl="6">
      <w:start w:val="1"/>
      <w:numFmt w:val="none"/>
      <w:pStyle w:val="829"/>
      <w:isLgl w:val="false"/>
      <w:suff w:val="nothing"/>
      <w:lvlText w:val=""/>
      <w:lvlJc w:val="left"/>
      <w:pPr>
        <w:ind w:left="0" w:firstLine="0"/>
      </w:pPr>
    </w:lvl>
    <w:lvl w:ilvl="7">
      <w:start w:val="1"/>
      <w:numFmt w:val="none"/>
      <w:pStyle w:val="830"/>
      <w:isLgl w:val="false"/>
      <w:suff w:val="nothing"/>
      <w:lvlText w:val=""/>
      <w:lvlJc w:val="left"/>
      <w:pPr>
        <w:ind w:left="0" w:firstLine="0"/>
      </w:pPr>
    </w:lvl>
    <w:lvl w:ilvl="8">
      <w:start w:val="1"/>
      <w:numFmt w:val="none"/>
      <w:pStyle w:val="831"/>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97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2"/>
      <w:isLgl/>
      <w:suff w:val="tab"/>
      <w:lvlText w:val="%1.%2"/>
      <w:lvlJc w:val="left"/>
      <w:pPr>
        <w:ind w:left="425" w:hanging="425"/>
      </w:pPr>
      <w:rPr>
        <w:rFonts w:hint="eastAsia" w:ascii="Arial Unicode MS" w:hAnsi="Arial Unicode MS" w:eastAsia="微软雅黑"/>
        <w:b/>
        <w:i w:val="0"/>
      </w:rPr>
    </w:lvl>
    <w:lvl w:ilvl="2">
      <w:start w:val="1"/>
      <w:numFmt w:val="decimal"/>
      <w:pStyle w:val="100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83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2"/>
    <w:link w:val="823"/>
    <w:uiPriority w:val="9"/>
    <w:rPr>
      <w:rFonts w:ascii="Arial" w:hAnsi="Arial" w:eastAsia="Arial" w:cs="Arial"/>
      <w:sz w:val="40"/>
      <w:szCs w:val="40"/>
    </w:rPr>
  </w:style>
  <w:style w:type="character" w:styleId="15">
    <w:name w:val="Heading 2 Char"/>
    <w:basedOn w:val="832"/>
    <w:link w:val="824"/>
    <w:uiPriority w:val="9"/>
    <w:rPr>
      <w:rFonts w:ascii="Arial" w:hAnsi="Arial" w:eastAsia="Arial" w:cs="Arial"/>
      <w:sz w:val="34"/>
    </w:rPr>
  </w:style>
  <w:style w:type="character" w:styleId="17">
    <w:name w:val="Heading 3 Char"/>
    <w:basedOn w:val="832"/>
    <w:link w:val="825"/>
    <w:uiPriority w:val="9"/>
    <w:rPr>
      <w:rFonts w:ascii="Arial" w:hAnsi="Arial" w:eastAsia="Arial" w:cs="Arial"/>
      <w:sz w:val="30"/>
      <w:szCs w:val="30"/>
    </w:rPr>
  </w:style>
  <w:style w:type="character" w:styleId="19">
    <w:name w:val="Heading 4 Char"/>
    <w:basedOn w:val="832"/>
    <w:link w:val="826"/>
    <w:uiPriority w:val="9"/>
    <w:rPr>
      <w:rFonts w:ascii="Arial" w:hAnsi="Arial" w:eastAsia="Arial" w:cs="Arial"/>
      <w:b/>
      <w:bCs/>
      <w:sz w:val="26"/>
      <w:szCs w:val="26"/>
    </w:rPr>
  </w:style>
  <w:style w:type="character" w:styleId="21">
    <w:name w:val="Heading 5 Char"/>
    <w:basedOn w:val="832"/>
    <w:link w:val="827"/>
    <w:uiPriority w:val="9"/>
    <w:rPr>
      <w:rFonts w:ascii="Arial" w:hAnsi="Arial" w:eastAsia="Arial" w:cs="Arial"/>
      <w:b/>
      <w:bCs/>
      <w:sz w:val="24"/>
      <w:szCs w:val="24"/>
    </w:rPr>
  </w:style>
  <w:style w:type="character" w:styleId="23">
    <w:name w:val="Heading 6 Char"/>
    <w:basedOn w:val="832"/>
    <w:link w:val="828"/>
    <w:uiPriority w:val="9"/>
    <w:rPr>
      <w:rFonts w:ascii="Arial" w:hAnsi="Arial" w:eastAsia="Arial" w:cs="Arial"/>
      <w:b/>
      <w:bCs/>
      <w:sz w:val="22"/>
      <w:szCs w:val="22"/>
    </w:rPr>
  </w:style>
  <w:style w:type="character" w:styleId="25">
    <w:name w:val="Heading 7 Char"/>
    <w:basedOn w:val="832"/>
    <w:link w:val="829"/>
    <w:uiPriority w:val="9"/>
    <w:rPr>
      <w:rFonts w:ascii="Arial" w:hAnsi="Arial" w:eastAsia="Arial" w:cs="Arial"/>
      <w:b/>
      <w:bCs/>
      <w:i/>
      <w:iCs/>
      <w:sz w:val="22"/>
      <w:szCs w:val="22"/>
    </w:rPr>
  </w:style>
  <w:style w:type="character" w:styleId="27">
    <w:name w:val="Heading 8 Char"/>
    <w:basedOn w:val="832"/>
    <w:link w:val="830"/>
    <w:uiPriority w:val="9"/>
    <w:rPr>
      <w:rFonts w:ascii="Arial" w:hAnsi="Arial" w:eastAsia="Arial" w:cs="Arial"/>
      <w:i/>
      <w:iCs/>
      <w:sz w:val="22"/>
      <w:szCs w:val="22"/>
    </w:rPr>
  </w:style>
  <w:style w:type="character" w:styleId="29">
    <w:name w:val="Heading 9 Char"/>
    <w:basedOn w:val="832"/>
    <w:link w:val="83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2"/>
    <w:link w:val="864"/>
    <w:uiPriority w:val="10"/>
    <w:rPr>
      <w:sz w:val="48"/>
      <w:szCs w:val="48"/>
    </w:rPr>
  </w:style>
  <w:style w:type="character" w:styleId="36">
    <w:name w:val="Subtitle Char"/>
    <w:basedOn w:val="832"/>
    <w:link w:val="857"/>
    <w:uiPriority w:val="11"/>
    <w:rPr>
      <w:sz w:val="24"/>
      <w:szCs w:val="24"/>
    </w:rPr>
  </w:style>
  <w:style w:type="paragraph" w:styleId="37">
    <w:name w:val="Quote"/>
    <w:basedOn w:val="822"/>
    <w:next w:val="822"/>
    <w:link w:val="38"/>
    <w:uiPriority w:val="29"/>
    <w:qFormat/>
    <w:pPr>
      <w:ind w:left="720" w:right="720"/>
    </w:pPr>
    <w:rPr>
      <w:i/>
    </w:rPr>
  </w:style>
  <w:style w:type="character" w:styleId="38">
    <w:name w:val="Quote Char"/>
    <w:link w:val="37"/>
    <w:uiPriority w:val="29"/>
    <w:rPr>
      <w:i/>
    </w:rPr>
  </w:style>
  <w:style w:type="paragraph" w:styleId="39">
    <w:name w:val="Intense Quote"/>
    <w:basedOn w:val="822"/>
    <w:next w:val="8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2"/>
    <w:link w:val="854"/>
    <w:uiPriority w:val="99"/>
  </w:style>
  <w:style w:type="character" w:styleId="44">
    <w:name w:val="Footer Char"/>
    <w:basedOn w:val="832"/>
    <w:link w:val="852"/>
    <w:uiPriority w:val="99"/>
  </w:style>
  <w:style w:type="character" w:styleId="46">
    <w:name w:val="Caption Char"/>
    <w:basedOn w:val="838"/>
    <w:link w:val="852"/>
    <w:uiPriority w:val="99"/>
  </w:style>
  <w:style w:type="table" w:styleId="48">
    <w:name w:val="Table Grid Light"/>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2"/>
    <w:uiPriority w:val="99"/>
    <w:unhideWhenUsed/>
    <w:rPr>
      <w:vertAlign w:val="superscript"/>
    </w:rPr>
  </w:style>
  <w:style w:type="paragraph" w:styleId="177">
    <w:name w:val="endnote text"/>
    <w:basedOn w:val="8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2"/>
    <w:uiPriority w:val="99"/>
    <w:semiHidden/>
    <w:unhideWhenUsed/>
    <w:rPr>
      <w:vertAlign w:val="superscript"/>
    </w:rPr>
  </w:style>
  <w:style w:type="paragraph" w:styleId="189">
    <w:name w:val="TOC Heading"/>
    <w:uiPriority w:val="39"/>
    <w:unhideWhenUsed/>
  </w:style>
  <w:style w:type="paragraph" w:styleId="190">
    <w:name w:val="table of figures"/>
    <w:basedOn w:val="822"/>
    <w:next w:val="822"/>
    <w:uiPriority w:val="99"/>
    <w:unhideWhenUsed/>
    <w:pPr>
      <w:spacing w:after="0" w:afterAutospacing="0"/>
    </w:pPr>
  </w:style>
  <w:style w:type="paragraph" w:styleId="82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3">
    <w:name w:val="Heading 1"/>
    <w:basedOn w:val="822"/>
    <w:next w:val="822"/>
    <w:link w:val="959"/>
    <w:uiPriority w:val="0"/>
    <w:qFormat/>
    <w:pPr>
      <w:numPr>
        <w:ilvl w:val="0"/>
        <w:numId w:val="1"/>
      </w:numPr>
      <w:jc w:val="center"/>
      <w:keepLines/>
      <w:keepNext/>
      <w:spacing w:before="340" w:after="330" w:line="578" w:lineRule="auto"/>
      <w:outlineLvl w:val="0"/>
    </w:pPr>
    <w:rPr>
      <w:b/>
      <w:bCs/>
      <w:sz w:val="32"/>
      <w:szCs w:val="44"/>
    </w:rPr>
  </w:style>
  <w:style w:type="paragraph" w:styleId="824">
    <w:name w:val="Heading 2"/>
    <w:basedOn w:val="822"/>
    <w:next w:val="822"/>
    <w:link w:val="88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25">
    <w:name w:val="Heading 3"/>
    <w:basedOn w:val="822"/>
    <w:next w:val="822"/>
    <w:link w:val="927"/>
    <w:uiPriority w:val="0"/>
    <w:qFormat/>
    <w:pPr>
      <w:numPr>
        <w:ilvl w:val="2"/>
        <w:numId w:val="1"/>
      </w:numPr>
      <w:keepLines/>
      <w:keepNext/>
      <w:spacing w:before="260" w:after="260" w:line="416" w:lineRule="auto"/>
      <w:outlineLvl w:val="2"/>
    </w:pPr>
    <w:rPr>
      <w:b/>
      <w:bCs/>
      <w:sz w:val="32"/>
      <w:szCs w:val="32"/>
    </w:rPr>
  </w:style>
  <w:style w:type="paragraph" w:styleId="826">
    <w:name w:val="Heading 4"/>
    <w:basedOn w:val="822"/>
    <w:next w:val="822"/>
    <w:link w:val="96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27">
    <w:name w:val="Heading 5"/>
    <w:basedOn w:val="822"/>
    <w:next w:val="822"/>
    <w:link w:val="917"/>
    <w:uiPriority w:val="0"/>
    <w:qFormat/>
    <w:pPr>
      <w:numPr>
        <w:ilvl w:val="4"/>
        <w:numId w:val="1"/>
      </w:numPr>
      <w:keepLines/>
      <w:keepNext/>
      <w:spacing w:before="280" w:after="290" w:line="376" w:lineRule="auto"/>
      <w:outlineLvl w:val="4"/>
    </w:pPr>
    <w:rPr>
      <w:b/>
      <w:bCs/>
      <w:sz w:val="28"/>
      <w:szCs w:val="28"/>
    </w:rPr>
  </w:style>
  <w:style w:type="paragraph" w:styleId="828">
    <w:name w:val="Heading 6"/>
    <w:basedOn w:val="822"/>
    <w:next w:val="822"/>
    <w:link w:val="903"/>
    <w:uiPriority w:val="0"/>
    <w:qFormat/>
    <w:pPr>
      <w:numPr>
        <w:ilvl w:val="5"/>
        <w:numId w:val="1"/>
      </w:numPr>
      <w:keepLines/>
      <w:keepNext/>
      <w:spacing w:before="240" w:after="64" w:line="320" w:lineRule="auto"/>
      <w:outlineLvl w:val="5"/>
    </w:pPr>
    <w:rPr>
      <w:rFonts w:ascii="Cambria" w:hAnsi="Cambria"/>
      <w:b/>
      <w:bCs/>
      <w:sz w:val="24"/>
    </w:rPr>
  </w:style>
  <w:style w:type="paragraph" w:styleId="829">
    <w:name w:val="Heading 7"/>
    <w:basedOn w:val="822"/>
    <w:next w:val="822"/>
    <w:link w:val="958"/>
    <w:uiPriority w:val="0"/>
    <w:qFormat/>
    <w:pPr>
      <w:numPr>
        <w:ilvl w:val="6"/>
        <w:numId w:val="1"/>
      </w:numPr>
      <w:keepLines/>
      <w:keepNext/>
      <w:spacing w:before="240" w:after="64" w:line="320" w:lineRule="auto"/>
      <w:outlineLvl w:val="6"/>
    </w:pPr>
    <w:rPr>
      <w:b/>
      <w:bCs/>
      <w:sz w:val="24"/>
    </w:rPr>
  </w:style>
  <w:style w:type="paragraph" w:styleId="830">
    <w:name w:val="Heading 8"/>
    <w:basedOn w:val="822"/>
    <w:next w:val="822"/>
    <w:link w:val="943"/>
    <w:uiPriority w:val="0"/>
    <w:qFormat/>
    <w:pPr>
      <w:numPr>
        <w:ilvl w:val="7"/>
        <w:numId w:val="1"/>
      </w:numPr>
      <w:keepLines/>
      <w:keepNext/>
      <w:spacing w:before="240" w:after="64" w:line="320" w:lineRule="auto"/>
      <w:outlineLvl w:val="7"/>
    </w:pPr>
    <w:rPr>
      <w:rFonts w:ascii="Cambria" w:hAnsi="Cambria"/>
      <w:sz w:val="24"/>
    </w:rPr>
  </w:style>
  <w:style w:type="paragraph" w:styleId="831">
    <w:name w:val="Heading 9"/>
    <w:basedOn w:val="822"/>
    <w:next w:val="822"/>
    <w:link w:val="921"/>
    <w:uiPriority w:val="0"/>
    <w:qFormat/>
    <w:pPr>
      <w:numPr>
        <w:ilvl w:val="8"/>
        <w:numId w:val="1"/>
      </w:numPr>
      <w:keepLines/>
      <w:keepNext/>
      <w:spacing w:before="240" w:after="64" w:line="320" w:lineRule="auto"/>
      <w:outlineLvl w:val="8"/>
    </w:pPr>
    <w:rPr>
      <w:rFonts w:ascii="Cambria" w:hAnsi="Cambria"/>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List 3"/>
    <w:basedOn w:val="822"/>
    <w:uiPriority w:val="99"/>
    <w:unhideWhenUsed/>
    <w:qFormat/>
    <w:pPr>
      <w:ind w:left="1260" w:hanging="420"/>
      <w:spacing w:before="100" w:beforeAutospacing="1" w:after="100" w:afterAutospacing="1"/>
    </w:pPr>
    <w:rPr>
      <w:szCs w:val="21"/>
    </w:rPr>
  </w:style>
  <w:style w:type="paragraph" w:styleId="835">
    <w:name w:val="toc 7"/>
    <w:basedOn w:val="822"/>
    <w:next w:val="822"/>
    <w:uiPriority w:val="39"/>
    <w:unhideWhenUsed/>
    <w:qFormat/>
    <w:pPr>
      <w:ind w:left="2520"/>
    </w:pPr>
    <w:rPr>
      <w:rFonts w:ascii="Calibri" w:hAnsi="Calibri"/>
      <w:szCs w:val="22"/>
    </w:rPr>
  </w:style>
  <w:style w:type="paragraph" w:styleId="836">
    <w:name w:val="List Number"/>
    <w:basedOn w:val="822"/>
    <w:uiPriority w:val="0"/>
    <w:qFormat/>
    <w:pPr>
      <w:numPr>
        <w:ilvl w:val="0"/>
        <w:numId w:val="2"/>
      </w:numPr>
      <w:contextualSpacing/>
    </w:pPr>
    <w:rPr>
      <w:rFonts w:ascii="Calibri" w:hAnsi="Calibri"/>
    </w:rPr>
  </w:style>
  <w:style w:type="paragraph" w:styleId="837">
    <w:name w:val="Normal Indent"/>
    <w:basedOn w:val="822"/>
    <w:link w:val="1047"/>
    <w:uiPriority w:val="0"/>
    <w:qFormat/>
    <w:pPr>
      <w:ind w:firstLine="420"/>
    </w:pPr>
    <w:rPr>
      <w:b/>
      <w:sz w:val="24"/>
      <w:szCs w:val="20"/>
    </w:rPr>
  </w:style>
  <w:style w:type="paragraph" w:styleId="838">
    <w:name w:val="Caption"/>
    <w:basedOn w:val="822"/>
    <w:next w:val="822"/>
    <w:uiPriority w:val="0"/>
    <w:qFormat/>
    <w:rPr>
      <w:rFonts w:ascii="Cambria" w:hAnsi="Cambria" w:eastAsia="黑体"/>
      <w:sz w:val="20"/>
      <w:szCs w:val="22"/>
    </w:rPr>
  </w:style>
  <w:style w:type="paragraph" w:styleId="839">
    <w:name w:val="Document Map"/>
    <w:basedOn w:val="822"/>
    <w:link w:val="911"/>
    <w:uiPriority w:val="0"/>
    <w:qFormat/>
    <w:rPr>
      <w:rFonts w:ascii="宋体"/>
      <w:sz w:val="18"/>
      <w:szCs w:val="18"/>
    </w:rPr>
  </w:style>
  <w:style w:type="paragraph" w:styleId="840">
    <w:name w:val="annotation text"/>
    <w:basedOn w:val="822"/>
    <w:link w:val="935"/>
    <w:uiPriority w:val="0"/>
    <w:qFormat/>
    <w:pPr>
      <w:jc w:val="left"/>
    </w:pPr>
  </w:style>
  <w:style w:type="paragraph" w:styleId="841">
    <w:name w:val="Body Text 3"/>
    <w:basedOn w:val="822"/>
    <w:link w:val="954"/>
    <w:uiPriority w:val="0"/>
    <w:qFormat/>
    <w:rPr>
      <w:rFonts w:ascii="宋体"/>
      <w:sz w:val="24"/>
      <w:szCs w:val="20"/>
    </w:rPr>
  </w:style>
  <w:style w:type="paragraph" w:styleId="842">
    <w:name w:val="Body Text"/>
    <w:basedOn w:val="822"/>
    <w:link w:val="942"/>
    <w:uiPriority w:val="0"/>
    <w:qFormat/>
    <w:pPr>
      <w:jc w:val="center"/>
    </w:pPr>
    <w:rPr>
      <w:rFonts w:eastAsia="幼圆"/>
      <w:b/>
      <w:bCs/>
      <w:sz w:val="44"/>
    </w:rPr>
  </w:style>
  <w:style w:type="paragraph" w:styleId="843">
    <w:name w:val="Body Text Indent"/>
    <w:basedOn w:val="822"/>
    <w:next w:val="822"/>
    <w:link w:val="898"/>
    <w:uiPriority w:val="0"/>
    <w:qFormat/>
    <w:pPr>
      <w:ind w:left="420"/>
      <w:spacing w:after="120"/>
    </w:pPr>
  </w:style>
  <w:style w:type="paragraph" w:styleId="844">
    <w:name w:val="index 4"/>
    <w:basedOn w:val="822"/>
    <w:next w:val="822"/>
    <w:uiPriority w:val="0"/>
    <w:qFormat/>
    <w:pPr>
      <w:ind w:left="600"/>
    </w:pPr>
    <w:rPr>
      <w:rFonts w:ascii="Calibri" w:hAnsi="Calibri"/>
    </w:rPr>
  </w:style>
  <w:style w:type="paragraph" w:styleId="845">
    <w:name w:val="toc 5"/>
    <w:basedOn w:val="822"/>
    <w:next w:val="822"/>
    <w:uiPriority w:val="39"/>
    <w:unhideWhenUsed/>
    <w:qFormat/>
    <w:pPr>
      <w:ind w:left="1680"/>
    </w:pPr>
    <w:rPr>
      <w:rFonts w:ascii="Calibri" w:hAnsi="Calibri"/>
      <w:szCs w:val="22"/>
    </w:rPr>
  </w:style>
  <w:style w:type="paragraph" w:styleId="846">
    <w:name w:val="toc 3"/>
    <w:basedOn w:val="822"/>
    <w:next w:val="822"/>
    <w:uiPriority w:val="39"/>
    <w:qFormat/>
    <w:pPr>
      <w:ind w:left="840"/>
    </w:pPr>
    <w:rPr>
      <w:rFonts w:ascii="Calibri" w:hAnsi="Calibri"/>
      <w:szCs w:val="22"/>
    </w:rPr>
  </w:style>
  <w:style w:type="paragraph" w:styleId="847">
    <w:name w:val="Plain Text"/>
    <w:basedOn w:val="822"/>
    <w:link w:val="904"/>
    <w:uiPriority w:val="0"/>
    <w:qFormat/>
    <w:rPr>
      <w:rFonts w:ascii="Ari"/>
    </w:rPr>
  </w:style>
  <w:style w:type="paragraph" w:styleId="848">
    <w:name w:val="toc 8"/>
    <w:basedOn w:val="822"/>
    <w:next w:val="822"/>
    <w:uiPriority w:val="39"/>
    <w:unhideWhenUsed/>
    <w:qFormat/>
    <w:pPr>
      <w:ind w:left="2940"/>
    </w:pPr>
    <w:rPr>
      <w:rFonts w:ascii="Calibri" w:hAnsi="Calibri"/>
      <w:szCs w:val="22"/>
    </w:rPr>
  </w:style>
  <w:style w:type="paragraph" w:styleId="849">
    <w:name w:val="Date"/>
    <w:basedOn w:val="822"/>
    <w:next w:val="822"/>
    <w:link w:val="912"/>
    <w:uiPriority w:val="0"/>
    <w:unhideWhenUsed/>
    <w:qFormat/>
  </w:style>
  <w:style w:type="paragraph" w:styleId="850">
    <w:name w:val="Body Text Indent 2"/>
    <w:basedOn w:val="822"/>
    <w:link w:val="934"/>
    <w:uiPriority w:val="99"/>
    <w:unhideWhenUsed/>
    <w:qFormat/>
    <w:pPr>
      <w:ind w:firstLine="525"/>
      <w:spacing w:line="420" w:lineRule="exact"/>
    </w:pPr>
    <w:rPr>
      <w:rFonts w:ascii="宋体"/>
      <w:sz w:val="20"/>
      <w:szCs w:val="20"/>
    </w:rPr>
  </w:style>
  <w:style w:type="paragraph" w:styleId="851">
    <w:name w:val="Balloon Text"/>
    <w:basedOn w:val="822"/>
    <w:link w:val="957"/>
    <w:uiPriority w:val="0"/>
    <w:qFormat/>
    <w:rPr>
      <w:sz w:val="18"/>
      <w:szCs w:val="18"/>
    </w:rPr>
  </w:style>
  <w:style w:type="paragraph" w:styleId="852">
    <w:name w:val="Footer"/>
    <w:basedOn w:val="822"/>
    <w:next w:val="853"/>
    <w:link w:val="947"/>
    <w:uiPriority w:val="99"/>
    <w:qFormat/>
    <w:pPr>
      <w:jc w:val="left"/>
      <w:tabs>
        <w:tab w:val="center" w:pos="4153" w:leader="none"/>
        <w:tab w:val="right" w:pos="8306" w:leader="none"/>
      </w:tabs>
    </w:pPr>
    <w:rPr>
      <w:sz w:val="18"/>
      <w:szCs w:val="18"/>
    </w:rPr>
  </w:style>
  <w:style w:type="paragraph" w:styleId="853">
    <w:name w:val="toc 2"/>
    <w:basedOn w:val="822"/>
    <w:next w:val="822"/>
    <w:uiPriority w:val="39"/>
    <w:qFormat/>
    <w:pPr>
      <w:ind w:left="420"/>
    </w:pPr>
    <w:rPr>
      <w:rFonts w:ascii="Calibri" w:hAnsi="Calibri"/>
      <w:szCs w:val="22"/>
    </w:rPr>
  </w:style>
  <w:style w:type="paragraph" w:styleId="854">
    <w:name w:val="Header"/>
    <w:basedOn w:val="822"/>
    <w:link w:val="902"/>
    <w:uiPriority w:val="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22"/>
    <w:next w:val="822"/>
    <w:uiPriority w:val="39"/>
    <w:qFormat/>
  </w:style>
  <w:style w:type="paragraph" w:styleId="856">
    <w:name w:val="toc 4"/>
    <w:basedOn w:val="822"/>
    <w:next w:val="822"/>
    <w:uiPriority w:val="39"/>
    <w:unhideWhenUsed/>
    <w:qFormat/>
    <w:pPr>
      <w:ind w:left="1260"/>
    </w:pPr>
    <w:rPr>
      <w:rFonts w:ascii="Calibri" w:hAnsi="Calibri"/>
      <w:szCs w:val="22"/>
    </w:rPr>
  </w:style>
  <w:style w:type="paragraph" w:styleId="857">
    <w:name w:val="Subtitle"/>
    <w:basedOn w:val="822"/>
    <w:next w:val="822"/>
    <w:link w:val="930"/>
    <w:uiPriority w:val="0"/>
    <w:qFormat/>
    <w:pPr>
      <w:jc w:val="center"/>
      <w:spacing w:before="240" w:after="60" w:line="312" w:lineRule="auto"/>
      <w:outlineLvl w:val="1"/>
    </w:pPr>
    <w:rPr>
      <w:rFonts w:ascii="Cambria" w:hAnsi="Cambria"/>
      <w:b/>
      <w:bCs/>
      <w:sz w:val="32"/>
      <w:szCs w:val="32"/>
    </w:rPr>
  </w:style>
  <w:style w:type="paragraph" w:styleId="858">
    <w:name w:val="toc 6"/>
    <w:basedOn w:val="822"/>
    <w:next w:val="822"/>
    <w:uiPriority w:val="39"/>
    <w:unhideWhenUsed/>
    <w:qFormat/>
    <w:pPr>
      <w:ind w:left="2100"/>
    </w:pPr>
    <w:rPr>
      <w:rFonts w:ascii="Calibri" w:hAnsi="Calibri"/>
      <w:szCs w:val="22"/>
    </w:rPr>
  </w:style>
  <w:style w:type="paragraph" w:styleId="859">
    <w:name w:val="Body Text Indent 3"/>
    <w:basedOn w:val="822"/>
    <w:link w:val="955"/>
    <w:uiPriority w:val="0"/>
    <w:qFormat/>
    <w:pPr>
      <w:ind w:left="420"/>
      <w:spacing w:after="120"/>
    </w:pPr>
    <w:rPr>
      <w:sz w:val="16"/>
      <w:szCs w:val="20"/>
    </w:rPr>
  </w:style>
  <w:style w:type="paragraph" w:styleId="860">
    <w:name w:val="toc 9"/>
    <w:basedOn w:val="822"/>
    <w:next w:val="822"/>
    <w:uiPriority w:val="39"/>
    <w:unhideWhenUsed/>
    <w:qFormat/>
    <w:pPr>
      <w:ind w:left="3360"/>
    </w:pPr>
    <w:rPr>
      <w:rFonts w:ascii="Calibri" w:hAnsi="Calibri"/>
      <w:szCs w:val="22"/>
    </w:rPr>
  </w:style>
  <w:style w:type="paragraph" w:styleId="861">
    <w:name w:val="HTML Preformatted"/>
    <w:basedOn w:val="822"/>
    <w:link w:val="104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2">
    <w:name w:val="Normal (Web)"/>
    <w:basedOn w:val="822"/>
    <w:uiPriority w:val="0"/>
    <w:qFormat/>
    <w:pPr>
      <w:jc w:val="left"/>
      <w:spacing w:before="100" w:beforeAutospacing="1" w:after="100" w:afterAutospacing="1"/>
      <w:widowControl/>
    </w:pPr>
    <w:rPr>
      <w:rFonts w:ascii="宋体" w:hAnsi="宋体" w:cs="宋体"/>
      <w:sz w:val="24"/>
    </w:rPr>
  </w:style>
  <w:style w:type="paragraph" w:styleId="863">
    <w:name w:val="index 1"/>
    <w:basedOn w:val="822"/>
    <w:next w:val="822"/>
    <w:uiPriority w:val="0"/>
    <w:qFormat/>
    <w:pPr>
      <w:jc w:val="center"/>
      <w:spacing w:line="220" w:lineRule="exact"/>
    </w:pPr>
    <w:rPr>
      <w:rFonts w:ascii="仿宋_GB2312" w:hAnsi="Calibri" w:eastAsia="仿宋_GB2312"/>
      <w:szCs w:val="22"/>
    </w:rPr>
  </w:style>
  <w:style w:type="paragraph" w:styleId="864">
    <w:name w:val="Title"/>
    <w:basedOn w:val="822"/>
    <w:link w:val="907"/>
    <w:uiPriority w:val="0"/>
    <w:qFormat/>
    <w:pPr>
      <w:jc w:val="center"/>
      <w:spacing w:before="240" w:after="60" w:line="420" w:lineRule="atLeast"/>
      <w:outlineLvl w:val="0"/>
    </w:pPr>
    <w:rPr>
      <w:rFonts w:ascii="Arial" w:hAnsi="Arial"/>
      <w:b/>
      <w:sz w:val="32"/>
      <w:szCs w:val="20"/>
    </w:rPr>
  </w:style>
  <w:style w:type="paragraph" w:styleId="865">
    <w:name w:val="annotation subject"/>
    <w:basedOn w:val="840"/>
    <w:next w:val="840"/>
    <w:link w:val="945"/>
    <w:uiPriority w:val="0"/>
    <w:qFormat/>
    <w:rPr>
      <w:b/>
      <w:bCs/>
    </w:rPr>
  </w:style>
  <w:style w:type="paragraph" w:styleId="866">
    <w:name w:val="Body Text First Indent"/>
    <w:basedOn w:val="842"/>
    <w:uiPriority w:val="0"/>
    <w:qFormat/>
    <w:pPr>
      <w:ind w:right="-24" w:firstLine="425"/>
      <w:spacing w:line="360" w:lineRule="auto"/>
    </w:pPr>
    <w:rPr>
      <w:rFonts w:ascii="Arial" w:hAnsi="Arial" w:eastAsia="仿宋_GB2312" w:cs="Arial"/>
      <w:szCs w:val="32"/>
    </w:rPr>
  </w:style>
  <w:style w:type="paragraph" w:styleId="867">
    <w:name w:val="Body Text First Indent 2"/>
    <w:basedOn w:val="843"/>
    <w:next w:val="866"/>
    <w:uiPriority w:val="99"/>
    <w:semiHidden/>
    <w:unhideWhenUsed/>
    <w:qFormat/>
    <w:pPr>
      <w:ind w:firstLine="420"/>
    </w:pPr>
  </w:style>
  <w:style w:type="table" w:styleId="868">
    <w:name w:val="Table Grid"/>
    <w:basedOn w:val="8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basedOn w:val="832"/>
    <w:uiPriority w:val="22"/>
    <w:qFormat/>
    <w:rPr>
      <w:rFonts w:cs="Times New Roman"/>
      <w:b/>
    </w:rPr>
  </w:style>
  <w:style w:type="character" w:styleId="870">
    <w:name w:val="page number"/>
    <w:uiPriority w:val="0"/>
    <w:qFormat/>
    <w:rPr>
      <w:rFonts w:eastAsia="宋体"/>
      <w:b/>
      <w:spacing w:val="0"/>
      <w:sz w:val="24"/>
      <w:szCs w:val="24"/>
      <w:vertAlign w:val="baseline"/>
      <w:lang w:val="en-US" w:eastAsia="zh-CN" w:bidi="ar-SA"/>
    </w:rPr>
  </w:style>
  <w:style w:type="character" w:styleId="871">
    <w:name w:val="FollowedHyperlink"/>
    <w:uiPriority w:val="0"/>
    <w:qFormat/>
    <w:rPr>
      <w:color w:val="800080"/>
      <w:u w:val="single"/>
    </w:rPr>
  </w:style>
  <w:style w:type="character" w:styleId="872">
    <w:name w:val="Emphasis"/>
    <w:basedOn w:val="832"/>
    <w:uiPriority w:val="0"/>
    <w:qFormat/>
    <w:rPr>
      <w:color w:val="cc0000"/>
    </w:rPr>
  </w:style>
  <w:style w:type="character" w:styleId="873">
    <w:name w:val="Hyperlink"/>
    <w:uiPriority w:val="99"/>
    <w:qFormat/>
    <w:rPr>
      <w:color w:val="0000ff"/>
      <w:u w:val="single"/>
    </w:rPr>
  </w:style>
  <w:style w:type="character" w:styleId="874">
    <w:name w:val="annotation reference"/>
    <w:uiPriority w:val="0"/>
    <w:qFormat/>
    <w:rPr>
      <w:sz w:val="21"/>
      <w:szCs w:val="21"/>
    </w:rPr>
  </w:style>
  <w:style w:type="character" w:styleId="875">
    <w:name w:val="HTML Cite"/>
    <w:uiPriority w:val="0"/>
    <w:qFormat/>
    <w:rPr>
      <w:color w:val="008000"/>
    </w:rPr>
  </w:style>
  <w:style w:type="paragraph" w:styleId="876" w:customStyle="1">
    <w:name w:val="索引 41"/>
    <w:basedOn w:val="822"/>
    <w:next w:val="822"/>
    <w:uiPriority w:val="0"/>
    <w:semiHidden/>
    <w:qFormat/>
    <w:pPr>
      <w:ind w:left="1260"/>
    </w:pPr>
    <w:rPr>
      <w:rFonts w:ascii="Calibri" w:hAnsi="Calibri" w:eastAsia="Calibri" w:cs="宋体"/>
      <w:sz w:val="20"/>
      <w:lang w:val="zh-CN"/>
    </w:rPr>
  </w:style>
  <w:style w:type="paragraph" w:styleId="877" w:customStyle="1">
    <w:name w:val="NormalIndent"/>
    <w:basedOn w:val="822"/>
    <w:uiPriority w:val="0"/>
    <w:qFormat/>
    <w:pPr>
      <w:ind w:firstLine="420"/>
    </w:pPr>
  </w:style>
  <w:style w:type="paragraph" w:styleId="87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80" w:customStyle="1">
    <w:name w:val="Body Text First Indent 21"/>
    <w:basedOn w:val="881"/>
    <w:uiPriority w:val="0"/>
    <w:qFormat/>
    <w:pPr>
      <w:ind w:firstLine="420"/>
    </w:pPr>
  </w:style>
  <w:style w:type="paragraph" w:styleId="881" w:customStyle="1">
    <w:name w:val="Body Text Indent1"/>
    <w:basedOn w:val="822"/>
    <w:uiPriority w:val="0"/>
    <w:qFormat/>
    <w:pPr>
      <w:ind w:left="420"/>
    </w:pPr>
  </w:style>
  <w:style w:type="paragraph" w:styleId="882">
    <w:name w:val="List Paragraph"/>
    <w:basedOn w:val="822"/>
    <w:next w:val="840"/>
    <w:link w:val="1064"/>
    <w:uiPriority w:val="99"/>
    <w:qFormat/>
    <w:pPr>
      <w:ind w:firstLine="420"/>
    </w:pPr>
  </w:style>
  <w:style w:type="character" w:styleId="883" w:customStyle="1">
    <w:name w:val="明显强调1"/>
    <w:uiPriority w:val="0"/>
    <w:qFormat/>
    <w:rPr>
      <w:b/>
      <w:bCs/>
      <w:i/>
      <w:iCs/>
      <w:color w:val="4f81bd"/>
    </w:rPr>
  </w:style>
  <w:style w:type="character" w:styleId="884" w:customStyle="1">
    <w:name w:val="批注文字 Char2"/>
    <w:uiPriority w:val="0"/>
    <w:qFormat/>
    <w:rPr>
      <w:sz w:val="21"/>
    </w:rPr>
  </w:style>
  <w:style w:type="character" w:styleId="885" w:customStyle="1">
    <w:name w:val="标题 3 Char_0"/>
    <w:link w:val="886"/>
    <w:uiPriority w:val="0"/>
    <w:qFormat/>
    <w:rPr>
      <w:b/>
      <w:bCs/>
      <w:sz w:val="32"/>
      <w:szCs w:val="32"/>
    </w:rPr>
  </w:style>
  <w:style w:type="paragraph" w:styleId="886" w:customStyle="1">
    <w:name w:val="标题 3_0"/>
    <w:basedOn w:val="887"/>
    <w:next w:val="887"/>
    <w:link w:val="885"/>
    <w:uiPriority w:val="0"/>
    <w:qFormat/>
    <w:pPr>
      <w:keepLines/>
      <w:keepNext/>
      <w:spacing w:before="260" w:after="260" w:line="416" w:lineRule="auto"/>
      <w:outlineLvl w:val="2"/>
    </w:pPr>
    <w:rPr>
      <w:b/>
      <w:bCs/>
      <w:sz w:val="32"/>
      <w:szCs w:val="32"/>
    </w:rPr>
  </w:style>
  <w:style w:type="paragraph" w:styleId="88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88" w:customStyle="1">
    <w:name w:val="标题 2 字符"/>
    <w:link w:val="824"/>
    <w:uiPriority w:val="0"/>
    <w:qFormat/>
    <w:rPr>
      <w:rFonts w:ascii="Cambria" w:hAnsi="Cambria"/>
      <w:b/>
      <w:bCs/>
      <w:sz w:val="32"/>
      <w:szCs w:val="32"/>
    </w:rPr>
  </w:style>
  <w:style w:type="character" w:styleId="889" w:customStyle="1">
    <w:name w:val="正文文本 Char2"/>
    <w:uiPriority w:val="99"/>
    <w:semiHidden/>
    <w:qFormat/>
    <w:rPr>
      <w:rFonts w:ascii="Calibri" w:hAnsi="Calibri" w:eastAsia="宋体" w:cs="Times New Roman"/>
    </w:rPr>
  </w:style>
  <w:style w:type="character" w:styleId="890" w:customStyle="1">
    <w:name w:val="页脚 Char1"/>
    <w:uiPriority w:val="99"/>
    <w:semiHidden/>
    <w:qFormat/>
    <w:rPr>
      <w:rFonts w:ascii="Calibri" w:hAnsi="Calibri" w:eastAsia="宋体" w:cs="Times New Roman"/>
      <w:sz w:val="18"/>
      <w:szCs w:val="18"/>
    </w:rPr>
  </w:style>
  <w:style w:type="character" w:styleId="891" w:customStyle="1">
    <w:name w:val="明显引用 Char2"/>
    <w:uiPriority w:val="99"/>
    <w:qFormat/>
    <w:rPr>
      <w:b/>
      <w:bCs/>
      <w:i/>
      <w:iCs/>
      <w:color w:val="4f81bd"/>
      <w:sz w:val="21"/>
      <w:szCs w:val="24"/>
    </w:rPr>
  </w:style>
  <w:style w:type="character" w:styleId="892" w:customStyle="1">
    <w:name w:val="引用 Char"/>
    <w:link w:val="893"/>
    <w:uiPriority w:val="0"/>
    <w:qFormat/>
    <w:rPr>
      <w:i/>
      <w:iCs/>
      <w:color w:val="000000"/>
    </w:rPr>
  </w:style>
  <w:style w:type="paragraph" w:styleId="893" w:customStyle="1">
    <w:name w:val="引用1"/>
    <w:basedOn w:val="822"/>
    <w:next w:val="822"/>
    <w:link w:val="892"/>
    <w:uiPriority w:val="0"/>
    <w:qFormat/>
    <w:rPr>
      <w:i/>
      <w:iCs/>
      <w:color w:val="000000"/>
      <w:sz w:val="20"/>
      <w:szCs w:val="20"/>
    </w:rPr>
  </w:style>
  <w:style w:type="character" w:styleId="894" w:customStyle="1">
    <w:name w:val="标题 1 Char_0"/>
    <w:link w:val="895"/>
    <w:uiPriority w:val="0"/>
    <w:qFormat/>
    <w:rPr>
      <w:b/>
      <w:bCs/>
      <w:sz w:val="44"/>
      <w:szCs w:val="44"/>
    </w:rPr>
  </w:style>
  <w:style w:type="paragraph" w:styleId="895" w:customStyle="1">
    <w:name w:val="标题 1_0"/>
    <w:basedOn w:val="887"/>
    <w:next w:val="887"/>
    <w:link w:val="894"/>
    <w:uiPriority w:val="0"/>
    <w:qFormat/>
    <w:pPr>
      <w:keepLines/>
      <w:keepNext/>
      <w:spacing w:before="340" w:after="330" w:line="578" w:lineRule="auto"/>
      <w:outlineLvl w:val="0"/>
    </w:pPr>
    <w:rPr>
      <w:b/>
      <w:bCs/>
      <w:sz w:val="44"/>
      <w:szCs w:val="44"/>
    </w:rPr>
  </w:style>
  <w:style w:type="character" w:styleId="896" w:customStyle="1">
    <w:name w:val="正文文本缩进 3 Char1"/>
    <w:uiPriority w:val="99"/>
    <w:semiHidden/>
    <w:qFormat/>
    <w:rPr>
      <w:sz w:val="16"/>
      <w:szCs w:val="16"/>
    </w:rPr>
  </w:style>
  <w:style w:type="character" w:styleId="897" w:customStyle="1">
    <w:name w:val="引用 Char1"/>
    <w:uiPriority w:val="29"/>
    <w:qFormat/>
    <w:rPr>
      <w:i/>
      <w:iCs/>
      <w:color w:val="000000"/>
      <w:sz w:val="21"/>
    </w:rPr>
  </w:style>
  <w:style w:type="character" w:styleId="898" w:customStyle="1">
    <w:name w:val="正文文本缩进 字符"/>
    <w:link w:val="843"/>
    <w:uiPriority w:val="0"/>
    <w:qFormat/>
    <w:rPr>
      <w:sz w:val="21"/>
      <w:szCs w:val="24"/>
    </w:rPr>
  </w:style>
  <w:style w:type="character" w:styleId="899" w:customStyle="1">
    <w:name w:val="font161"/>
    <w:uiPriority w:val="0"/>
    <w:qFormat/>
    <w:rPr>
      <w:b/>
      <w:sz w:val="32"/>
    </w:rPr>
  </w:style>
  <w:style w:type="character" w:styleId="900" w:customStyle="1">
    <w:name w:val="标题 4 Char_0"/>
    <w:link w:val="901"/>
    <w:uiPriority w:val="0"/>
    <w:qFormat/>
    <w:rPr>
      <w:rFonts w:ascii="Arial" w:hAnsi="Arial" w:eastAsia="黑体"/>
      <w:b/>
      <w:bCs/>
      <w:sz w:val="28"/>
      <w:szCs w:val="28"/>
    </w:rPr>
  </w:style>
  <w:style w:type="paragraph" w:styleId="901" w:customStyle="1">
    <w:name w:val="标题 4_0"/>
    <w:basedOn w:val="887"/>
    <w:next w:val="887"/>
    <w:link w:val="900"/>
    <w:uiPriority w:val="0"/>
    <w:qFormat/>
    <w:pPr>
      <w:keepLines/>
      <w:keepNext/>
      <w:spacing w:before="280" w:after="290" w:line="376" w:lineRule="auto"/>
      <w:outlineLvl w:val="3"/>
    </w:pPr>
    <w:rPr>
      <w:rFonts w:ascii="Arial" w:hAnsi="Arial" w:eastAsia="黑体"/>
      <w:b/>
      <w:bCs/>
      <w:sz w:val="28"/>
      <w:szCs w:val="28"/>
    </w:rPr>
  </w:style>
  <w:style w:type="character" w:styleId="902" w:customStyle="1">
    <w:name w:val="页眉 字符"/>
    <w:link w:val="854"/>
    <w:uiPriority w:val="0"/>
    <w:qFormat/>
    <w:rPr>
      <w:sz w:val="18"/>
      <w:szCs w:val="18"/>
    </w:rPr>
  </w:style>
  <w:style w:type="character" w:styleId="903" w:customStyle="1">
    <w:name w:val="标题 6 字符"/>
    <w:link w:val="828"/>
    <w:uiPriority w:val="0"/>
    <w:qFormat/>
    <w:rPr>
      <w:rFonts w:ascii="Cambria" w:hAnsi="Cambria"/>
      <w:b/>
      <w:bCs/>
      <w:sz w:val="24"/>
      <w:szCs w:val="24"/>
    </w:rPr>
  </w:style>
  <w:style w:type="character" w:styleId="904" w:customStyle="1">
    <w:name w:val="纯文本 字符"/>
    <w:link w:val="847"/>
    <w:uiPriority w:val="99"/>
    <w:qFormat/>
    <w:rPr>
      <w:rFonts w:ascii="Ari"/>
      <w:lang w:val="en-US" w:eastAsia="zh-CN" w:bidi="ar-SA"/>
    </w:rPr>
  </w:style>
  <w:style w:type="character" w:styleId="905" w:customStyle="1">
    <w:name w:val="引用 Char2"/>
    <w:uiPriority w:val="99"/>
    <w:qFormat/>
    <w:rPr>
      <w:i/>
      <w:iCs/>
      <w:color w:val="000000"/>
      <w:sz w:val="21"/>
      <w:szCs w:val="24"/>
    </w:rPr>
  </w:style>
  <w:style w:type="character" w:styleId="906" w:customStyle="1">
    <w:name w:val="rvts11"/>
    <w:uiPriority w:val="0"/>
    <w:qFormat/>
    <w:rPr>
      <w:rFonts w:hint="default" w:ascii="KNLe" w:hAnsi="KNLe"/>
      <w:sz w:val="24"/>
      <w:szCs w:val="24"/>
      <w:u w:val="single"/>
    </w:rPr>
  </w:style>
  <w:style w:type="character" w:styleId="907" w:customStyle="1">
    <w:name w:val="标题 字符"/>
    <w:link w:val="864"/>
    <w:uiPriority w:val="0"/>
    <w:qFormat/>
    <w:rPr>
      <w:rFonts w:ascii="Arial" w:hAnsi="Arial"/>
      <w:b/>
      <w:sz w:val="32"/>
    </w:rPr>
  </w:style>
  <w:style w:type="character" w:styleId="908" w:customStyle="1">
    <w:name w:val="标题5 Char Char"/>
    <w:link w:val="909"/>
    <w:uiPriority w:val="0"/>
    <w:qFormat/>
    <w:rPr>
      <w:rFonts w:ascii="Arial" w:hAnsi="Arial"/>
      <w:b/>
      <w:bCs/>
      <w:sz w:val="24"/>
      <w:szCs w:val="32"/>
    </w:rPr>
  </w:style>
  <w:style w:type="paragraph" w:styleId="909" w:customStyle="1">
    <w:name w:val="标题5"/>
    <w:basedOn w:val="825"/>
    <w:link w:val="908"/>
    <w:uiPriority w:val="0"/>
    <w:qFormat/>
    <w:pPr>
      <w:numPr>
        <w:ilvl w:val="0"/>
        <w:numId w:val="0"/>
      </w:numPr>
      <w:spacing w:line="413" w:lineRule="auto"/>
    </w:pPr>
    <w:rPr>
      <w:rFonts w:ascii="Arial" w:hAnsi="Arial"/>
      <w:sz w:val="24"/>
    </w:rPr>
  </w:style>
  <w:style w:type="character" w:styleId="910" w:customStyle="1">
    <w:name w:val="副标题 Char2"/>
    <w:uiPriority w:val="11"/>
    <w:qFormat/>
    <w:rPr>
      <w:rFonts w:ascii="Cambria" w:hAnsi="Cambria" w:cs="Times New Roman"/>
      <w:b/>
      <w:bCs/>
      <w:sz w:val="32"/>
      <w:szCs w:val="32"/>
    </w:rPr>
  </w:style>
  <w:style w:type="character" w:styleId="911" w:customStyle="1">
    <w:name w:val="文档结构图 字符"/>
    <w:link w:val="839"/>
    <w:uiPriority w:val="0"/>
    <w:qFormat/>
    <w:rPr>
      <w:rFonts w:ascii="宋体"/>
      <w:sz w:val="18"/>
      <w:szCs w:val="18"/>
    </w:rPr>
  </w:style>
  <w:style w:type="character" w:styleId="912" w:customStyle="1">
    <w:name w:val="日期 字符"/>
    <w:link w:val="849"/>
    <w:uiPriority w:val="0"/>
    <w:qFormat/>
    <w:rPr>
      <w:sz w:val="21"/>
      <w:szCs w:val="24"/>
    </w:rPr>
  </w:style>
  <w:style w:type="character" w:styleId="913" w:customStyle="1">
    <w:name w:val="批注主题 Char1"/>
    <w:uiPriority w:val="0"/>
    <w:qFormat/>
    <w:rPr>
      <w:b/>
      <w:bCs/>
      <w:sz w:val="21"/>
      <w:szCs w:val="22"/>
    </w:rPr>
  </w:style>
  <w:style w:type="character" w:styleId="914" w:customStyle="1">
    <w:name w:val="font31"/>
    <w:uiPriority w:val="0"/>
    <w:qFormat/>
    <w:rPr>
      <w:rFonts w:hint="eastAsia" w:ascii="宋体" w:hAnsi="宋体" w:eastAsia="宋体" w:cs="宋体"/>
      <w:color w:val="000000"/>
      <w:sz w:val="20"/>
      <w:szCs w:val="20"/>
      <w:u w:val="none"/>
    </w:rPr>
  </w:style>
  <w:style w:type="character" w:styleId="915" w:customStyle="1">
    <w:name w:val="明显引用 Char"/>
    <w:link w:val="916"/>
    <w:uiPriority w:val="0"/>
    <w:qFormat/>
    <w:rPr>
      <w:b/>
      <w:bCs/>
      <w:i/>
      <w:iCs/>
      <w:color w:val="4f81bd"/>
    </w:rPr>
  </w:style>
  <w:style w:type="paragraph" w:styleId="916" w:customStyle="1">
    <w:name w:val="明显引用1"/>
    <w:basedOn w:val="822"/>
    <w:next w:val="822"/>
    <w:link w:val="915"/>
    <w:uiPriority w:val="0"/>
    <w:qFormat/>
    <w:pPr>
      <w:ind w:left="936" w:right="936"/>
      <w:spacing w:before="200" w:after="280"/>
      <w:pBdr>
        <w:bottom w:val="single" w:color="4F81BD" w:sz="4" w:space="4"/>
      </w:pBdr>
    </w:pPr>
    <w:rPr>
      <w:b/>
      <w:bCs/>
      <w:i/>
      <w:iCs/>
      <w:color w:val="4f81bd"/>
      <w:sz w:val="20"/>
      <w:szCs w:val="20"/>
    </w:rPr>
  </w:style>
  <w:style w:type="character" w:styleId="917" w:customStyle="1">
    <w:name w:val="标题 5 字符"/>
    <w:link w:val="827"/>
    <w:uiPriority w:val="0"/>
    <w:qFormat/>
    <w:rPr>
      <w:b/>
      <w:bCs/>
      <w:sz w:val="28"/>
      <w:szCs w:val="28"/>
    </w:rPr>
  </w:style>
  <w:style w:type="character" w:styleId="918" w:customStyle="1">
    <w:name w:val="日期 Char1"/>
    <w:uiPriority w:val="0"/>
    <w:qFormat/>
    <w:rPr>
      <w:rFonts w:ascii="Calibri" w:hAnsi="Calibri" w:eastAsia="宋体" w:cs="Times New Roman"/>
    </w:rPr>
  </w:style>
  <w:style w:type="character" w:styleId="919" w:customStyle="1">
    <w:name w:val="批注框文本 Char1"/>
    <w:uiPriority w:val="0"/>
    <w:qFormat/>
    <w:rPr>
      <w:sz w:val="18"/>
      <w:szCs w:val="18"/>
    </w:rPr>
  </w:style>
  <w:style w:type="character" w:styleId="920" w:customStyle="1">
    <w:name w:val="标题 Char1"/>
    <w:uiPriority w:val="10"/>
    <w:qFormat/>
    <w:rPr>
      <w:rFonts w:ascii="Cambria" w:hAnsi="Cambria" w:eastAsia="宋体" w:cs="Times New Roman"/>
      <w:b/>
      <w:bCs/>
      <w:sz w:val="32"/>
      <w:szCs w:val="32"/>
    </w:rPr>
  </w:style>
  <w:style w:type="character" w:styleId="921" w:customStyle="1">
    <w:name w:val="标题 9 字符"/>
    <w:link w:val="831"/>
    <w:uiPriority w:val="0"/>
    <w:qFormat/>
    <w:rPr>
      <w:rFonts w:ascii="Cambria" w:hAnsi="Cambria"/>
      <w:sz w:val="21"/>
      <w:szCs w:val="21"/>
    </w:rPr>
  </w:style>
  <w:style w:type="character" w:styleId="922" w:customStyle="1">
    <w:name w:val="不明显参考1"/>
    <w:uiPriority w:val="0"/>
    <w:qFormat/>
    <w:rPr>
      <w:smallCaps/>
      <w:color w:val="c0504d"/>
      <w:u w:val="single"/>
    </w:rPr>
  </w:style>
  <w:style w:type="character" w:styleId="923" w:customStyle="1">
    <w:name w:val="批注文字 Char1"/>
    <w:uiPriority w:val="0"/>
    <w:qFormat/>
    <w:rPr>
      <w:rFonts w:ascii="Calibri" w:hAnsi="Calibri" w:eastAsia="宋体" w:cs="Times New Roman"/>
    </w:rPr>
  </w:style>
  <w:style w:type="character" w:styleId="924" w:customStyle="1">
    <w:name w:val="标题 Char2"/>
    <w:uiPriority w:val="10"/>
    <w:qFormat/>
    <w:rPr>
      <w:rFonts w:ascii="Cambria" w:hAnsi="Cambria" w:cs="Times New Roman"/>
      <w:b/>
      <w:bCs/>
      <w:sz w:val="32"/>
      <w:szCs w:val="32"/>
    </w:rPr>
  </w:style>
  <w:style w:type="character" w:styleId="925" w:customStyle="1">
    <w:name w:val="正文文本 3 Char1"/>
    <w:uiPriority w:val="99"/>
    <w:semiHidden/>
    <w:qFormat/>
    <w:rPr>
      <w:sz w:val="16"/>
      <w:szCs w:val="16"/>
    </w:rPr>
  </w:style>
  <w:style w:type="character" w:styleId="926" w:customStyle="1">
    <w:name w:val="批注主题 Char2"/>
    <w:uiPriority w:val="0"/>
    <w:qFormat/>
    <w:rPr>
      <w:b/>
      <w:bCs/>
      <w:sz w:val="21"/>
    </w:rPr>
  </w:style>
  <w:style w:type="character" w:styleId="927" w:customStyle="1">
    <w:name w:val="标题 3 字符"/>
    <w:link w:val="825"/>
    <w:uiPriority w:val="0"/>
    <w:qFormat/>
    <w:rPr>
      <w:b/>
      <w:bCs/>
      <w:sz w:val="32"/>
      <w:szCs w:val="32"/>
    </w:rPr>
  </w:style>
  <w:style w:type="character" w:styleId="928" w:customStyle="1">
    <w:name w:val="正文文本 Char_0"/>
    <w:link w:val="929"/>
    <w:uiPriority w:val="0"/>
    <w:qFormat/>
    <w:rPr>
      <w:szCs w:val="24"/>
    </w:rPr>
  </w:style>
  <w:style w:type="paragraph" w:styleId="929" w:customStyle="1">
    <w:name w:val="正文文本_0"/>
    <w:basedOn w:val="887"/>
    <w:link w:val="928"/>
    <w:uiPriority w:val="0"/>
    <w:qFormat/>
    <w:pPr>
      <w:spacing w:after="120"/>
    </w:pPr>
    <w:rPr>
      <w:sz w:val="20"/>
    </w:rPr>
  </w:style>
  <w:style w:type="character" w:styleId="930" w:customStyle="1">
    <w:name w:val="副标题 字符"/>
    <w:link w:val="857"/>
    <w:uiPriority w:val="0"/>
    <w:qFormat/>
    <w:rPr>
      <w:rFonts w:ascii="Cambria" w:hAnsi="Cambria"/>
      <w:b/>
      <w:bCs/>
      <w:sz w:val="32"/>
      <w:szCs w:val="32"/>
    </w:rPr>
  </w:style>
  <w:style w:type="character" w:styleId="931" w:customStyle="1">
    <w:name w:val="bookmark"/>
    <w:basedOn w:val="832"/>
    <w:uiPriority w:val="0"/>
    <w:qFormat/>
  </w:style>
  <w:style w:type="character" w:styleId="932" w:customStyle="1">
    <w:name w:val="标题 5 Char_0"/>
    <w:link w:val="933"/>
    <w:uiPriority w:val="0"/>
    <w:qFormat/>
    <w:rPr>
      <w:rFonts w:ascii="Calibri" w:hAnsi="Calibri"/>
      <w:b/>
      <w:bCs/>
      <w:sz w:val="28"/>
      <w:szCs w:val="28"/>
    </w:rPr>
  </w:style>
  <w:style w:type="paragraph" w:styleId="933" w:customStyle="1">
    <w:name w:val="标题 5_0"/>
    <w:basedOn w:val="887"/>
    <w:next w:val="887"/>
    <w:link w:val="932"/>
    <w:uiPriority w:val="0"/>
    <w:qFormat/>
    <w:pPr>
      <w:keepLines/>
      <w:keepNext/>
      <w:spacing w:before="280" w:after="290" w:line="372" w:lineRule="auto"/>
      <w:outlineLvl w:val="4"/>
    </w:pPr>
    <w:rPr>
      <w:rFonts w:ascii="Calibri" w:hAnsi="Calibri"/>
      <w:b/>
      <w:bCs/>
      <w:sz w:val="28"/>
      <w:szCs w:val="28"/>
    </w:rPr>
  </w:style>
  <w:style w:type="character" w:styleId="934" w:customStyle="1">
    <w:name w:val="正文文本缩进 2 字符"/>
    <w:link w:val="850"/>
    <w:uiPriority w:val="99"/>
    <w:qFormat/>
    <w:rPr>
      <w:rFonts w:ascii="宋体"/>
    </w:rPr>
  </w:style>
  <w:style w:type="character" w:styleId="935" w:customStyle="1">
    <w:name w:val="批注文字 字符"/>
    <w:link w:val="840"/>
    <w:uiPriority w:val="0"/>
    <w:qFormat/>
    <w:rPr>
      <w:sz w:val="21"/>
      <w:szCs w:val="24"/>
    </w:rPr>
  </w:style>
  <w:style w:type="character" w:styleId="936" w:customStyle="1">
    <w:name w:val="font11"/>
    <w:uiPriority w:val="0"/>
    <w:qFormat/>
    <w:rPr>
      <w:rFonts w:hint="eastAsia" w:ascii="宋体" w:hAnsi="宋体" w:eastAsia="宋体" w:cs="宋体"/>
      <w:color w:val="000000"/>
      <w:sz w:val="20"/>
      <w:szCs w:val="20"/>
      <w:u w:val="none"/>
    </w:rPr>
  </w:style>
  <w:style w:type="character" w:styleId="937" w:customStyle="1">
    <w:name w:val="明显参考1"/>
    <w:uiPriority w:val="0"/>
    <w:qFormat/>
    <w:rPr>
      <w:b/>
      <w:bCs/>
      <w:smallCaps/>
      <w:color w:val="c0504d"/>
      <w:spacing w:val="5"/>
      <w:u w:val="single"/>
    </w:rPr>
  </w:style>
  <w:style w:type="character" w:styleId="938" w:customStyle="1">
    <w:name w:val="超链接_0"/>
    <w:uiPriority w:val="99"/>
    <w:qFormat/>
    <w:rPr>
      <w:rFonts w:ascii="Calibri" w:hAnsi="Calibri"/>
      <w:color w:val="0000ff"/>
      <w:u w:val="single"/>
    </w:rPr>
  </w:style>
  <w:style w:type="character" w:styleId="939" w:customStyle="1">
    <w:name w:val="文档结构图 Char2"/>
    <w:uiPriority w:val="99"/>
    <w:semiHidden/>
    <w:qFormat/>
    <w:rPr>
      <w:rFonts w:ascii="宋体" w:hAnsi="Calibri" w:eastAsia="宋体" w:cs="Times New Roman"/>
      <w:sz w:val="18"/>
      <w:szCs w:val="18"/>
    </w:rPr>
  </w:style>
  <w:style w:type="character" w:styleId="940" w:customStyle="1">
    <w:name w:val="textcontents"/>
    <w:uiPriority w:val="0"/>
    <w:qFormat/>
    <w:rPr>
      <w:rFonts w:cs="Times New Roman"/>
    </w:rPr>
  </w:style>
  <w:style w:type="character" w:styleId="941" w:customStyle="1">
    <w:name w:val="标题 1 Char"/>
    <w:uiPriority w:val="0"/>
    <w:qFormat/>
    <w:rPr>
      <w:b/>
      <w:bCs/>
      <w:sz w:val="32"/>
      <w:szCs w:val="44"/>
    </w:rPr>
  </w:style>
  <w:style w:type="character" w:styleId="942" w:customStyle="1">
    <w:name w:val="正文文本 字符"/>
    <w:link w:val="842"/>
    <w:uiPriority w:val="0"/>
    <w:qFormat/>
    <w:rPr>
      <w:rFonts w:eastAsia="幼圆"/>
      <w:b/>
      <w:bCs/>
      <w:sz w:val="44"/>
      <w:szCs w:val="24"/>
    </w:rPr>
  </w:style>
  <w:style w:type="character" w:styleId="943" w:customStyle="1">
    <w:name w:val="标题 8 字符"/>
    <w:link w:val="830"/>
    <w:uiPriority w:val="0"/>
    <w:qFormat/>
    <w:rPr>
      <w:rFonts w:ascii="Cambria" w:hAnsi="Cambria"/>
      <w:sz w:val="24"/>
      <w:szCs w:val="24"/>
    </w:rPr>
  </w:style>
  <w:style w:type="character" w:styleId="944" w:customStyle="1">
    <w:name w:val="副标题 Char1"/>
    <w:uiPriority w:val="11"/>
    <w:qFormat/>
    <w:rPr>
      <w:rFonts w:ascii="Cambria" w:hAnsi="Cambria" w:cs="Times New Roman"/>
      <w:b/>
      <w:bCs/>
      <w:sz w:val="32"/>
      <w:szCs w:val="32"/>
    </w:rPr>
  </w:style>
  <w:style w:type="character" w:styleId="945" w:customStyle="1">
    <w:name w:val="批注主题 字符"/>
    <w:link w:val="865"/>
    <w:uiPriority w:val="0"/>
    <w:qFormat/>
    <w:rPr>
      <w:b/>
      <w:bCs/>
      <w:sz w:val="21"/>
      <w:szCs w:val="24"/>
    </w:rPr>
  </w:style>
  <w:style w:type="character" w:styleId="946" w:customStyle="1">
    <w:name w:val="书籍标题1"/>
    <w:uiPriority w:val="0"/>
    <w:qFormat/>
    <w:rPr>
      <w:b/>
      <w:bCs/>
      <w:smallCaps/>
      <w:spacing w:val="5"/>
    </w:rPr>
  </w:style>
  <w:style w:type="character" w:styleId="947" w:customStyle="1">
    <w:name w:val="页脚 字符"/>
    <w:link w:val="852"/>
    <w:uiPriority w:val="99"/>
    <w:qFormat/>
    <w:rPr>
      <w:sz w:val="18"/>
      <w:szCs w:val="18"/>
    </w:rPr>
  </w:style>
  <w:style w:type="character" w:styleId="948" w:customStyle="1">
    <w:name w:val="标题4 Char Char"/>
    <w:link w:val="949"/>
    <w:uiPriority w:val="0"/>
    <w:qFormat/>
    <w:rPr>
      <w:rFonts w:ascii="Arial" w:hAnsi="Arial"/>
      <w:b/>
      <w:bCs/>
      <w:sz w:val="24"/>
      <w:szCs w:val="32"/>
    </w:rPr>
  </w:style>
  <w:style w:type="paragraph" w:styleId="949" w:customStyle="1">
    <w:name w:val="标题4"/>
    <w:basedOn w:val="824"/>
    <w:next w:val="844"/>
    <w:link w:val="948"/>
    <w:uiPriority w:val="0"/>
    <w:qFormat/>
    <w:pPr>
      <w:numPr>
        <w:ilvl w:val="0"/>
        <w:numId w:val="0"/>
      </w:numPr>
      <w:spacing w:line="413" w:lineRule="auto"/>
    </w:pPr>
    <w:rPr>
      <w:rFonts w:ascii="Arial" w:hAnsi="Arial"/>
      <w:sz w:val="24"/>
    </w:rPr>
  </w:style>
  <w:style w:type="character" w:styleId="950" w:customStyle="1">
    <w:name w:val="正文文本 Char1"/>
    <w:uiPriority w:val="0"/>
    <w:qFormat/>
    <w:rPr>
      <w:rFonts w:ascii="Calibri" w:hAnsi="Calibri" w:eastAsia="宋体" w:cs="Times New Roman"/>
    </w:rPr>
  </w:style>
  <w:style w:type="character" w:styleId="951" w:customStyle="1">
    <w:name w:val="明显引用 Char1"/>
    <w:uiPriority w:val="30"/>
    <w:qFormat/>
    <w:rPr>
      <w:b/>
      <w:bCs/>
      <w:i/>
      <w:iCs/>
      <w:color w:val="4f81bd"/>
      <w:sz w:val="21"/>
    </w:rPr>
  </w:style>
  <w:style w:type="character" w:styleId="952" w:customStyle="1">
    <w:name w:val="页眉 Char1"/>
    <w:uiPriority w:val="99"/>
    <w:semiHidden/>
    <w:qFormat/>
    <w:rPr>
      <w:rFonts w:ascii="Calibri" w:hAnsi="Calibri" w:eastAsia="宋体" w:cs="Times New Roman"/>
      <w:sz w:val="18"/>
      <w:szCs w:val="18"/>
    </w:rPr>
  </w:style>
  <w:style w:type="character" w:styleId="953" w:customStyle="1">
    <w:name w:val="不明显强调1"/>
    <w:uiPriority w:val="0"/>
    <w:qFormat/>
    <w:rPr>
      <w:i/>
      <w:iCs/>
      <w:color w:val="808080"/>
    </w:rPr>
  </w:style>
  <w:style w:type="character" w:styleId="954" w:customStyle="1">
    <w:name w:val="正文文本 3 字符"/>
    <w:link w:val="841"/>
    <w:uiPriority w:val="0"/>
    <w:qFormat/>
    <w:rPr>
      <w:rFonts w:ascii="宋体"/>
      <w:sz w:val="24"/>
    </w:rPr>
  </w:style>
  <w:style w:type="character" w:styleId="955" w:customStyle="1">
    <w:name w:val="正文文本缩进 3 字符"/>
    <w:link w:val="859"/>
    <w:uiPriority w:val="0"/>
    <w:qFormat/>
    <w:rPr>
      <w:sz w:val="16"/>
    </w:rPr>
  </w:style>
  <w:style w:type="character" w:styleId="956" w:customStyle="1">
    <w:name w:val="font21"/>
    <w:uiPriority w:val="0"/>
    <w:qFormat/>
    <w:rPr>
      <w:rFonts w:hint="eastAsia" w:ascii="宋体" w:hAnsi="宋体" w:eastAsia="宋体" w:cs="宋体"/>
      <w:color w:val="000000"/>
      <w:sz w:val="20"/>
      <w:szCs w:val="20"/>
      <w:u w:val="none"/>
    </w:rPr>
  </w:style>
  <w:style w:type="character" w:styleId="957" w:customStyle="1">
    <w:name w:val="批注框文本 字符"/>
    <w:link w:val="851"/>
    <w:uiPriority w:val="0"/>
    <w:qFormat/>
    <w:rPr>
      <w:sz w:val="18"/>
      <w:szCs w:val="18"/>
    </w:rPr>
  </w:style>
  <w:style w:type="character" w:styleId="958" w:customStyle="1">
    <w:name w:val="标题 7 字符"/>
    <w:link w:val="829"/>
    <w:uiPriority w:val="0"/>
    <w:qFormat/>
    <w:rPr>
      <w:b/>
      <w:bCs/>
      <w:sz w:val="24"/>
      <w:szCs w:val="24"/>
    </w:rPr>
  </w:style>
  <w:style w:type="character" w:styleId="959" w:customStyle="1">
    <w:name w:val="标题 1 字符"/>
    <w:link w:val="823"/>
    <w:uiPriority w:val="0"/>
    <w:qFormat/>
    <w:rPr>
      <w:b/>
      <w:bCs/>
      <w:sz w:val="32"/>
      <w:szCs w:val="44"/>
    </w:rPr>
  </w:style>
  <w:style w:type="character" w:styleId="960" w:customStyle="1">
    <w:name w:val="文档结构图 Char1"/>
    <w:uiPriority w:val="0"/>
    <w:qFormat/>
    <w:rPr>
      <w:rFonts w:ascii="宋体" w:hAnsi="Calibri" w:eastAsia="宋体" w:cs="Times New Roman"/>
      <w:sz w:val="18"/>
      <w:szCs w:val="18"/>
    </w:rPr>
  </w:style>
  <w:style w:type="character" w:styleId="961" w:customStyle="1">
    <w:name w:val="标题 2 Char_0"/>
    <w:link w:val="962"/>
    <w:uiPriority w:val="0"/>
    <w:qFormat/>
    <w:rPr>
      <w:rFonts w:ascii="Cambria" w:hAnsi="Cambria"/>
      <w:b/>
      <w:bCs/>
      <w:sz w:val="32"/>
      <w:szCs w:val="32"/>
    </w:rPr>
  </w:style>
  <w:style w:type="paragraph" w:styleId="962" w:customStyle="1">
    <w:name w:val="标题 2_0"/>
    <w:basedOn w:val="887"/>
    <w:next w:val="887"/>
    <w:link w:val="961"/>
    <w:uiPriority w:val="0"/>
    <w:unhideWhenUsed/>
    <w:qFormat/>
    <w:pPr>
      <w:keepLines/>
      <w:keepNext/>
      <w:spacing w:before="260" w:after="260" w:line="416" w:lineRule="auto"/>
      <w:outlineLvl w:val="1"/>
    </w:pPr>
    <w:rPr>
      <w:rFonts w:ascii="Cambria" w:hAnsi="Cambria"/>
      <w:b/>
      <w:bCs/>
      <w:sz w:val="32"/>
      <w:szCs w:val="32"/>
    </w:rPr>
  </w:style>
  <w:style w:type="character" w:styleId="963" w:customStyle="1">
    <w:name w:val="日期 Char2"/>
    <w:uiPriority w:val="99"/>
    <w:semiHidden/>
    <w:qFormat/>
    <w:rPr>
      <w:rFonts w:ascii="Calibri" w:hAnsi="Calibri" w:eastAsia="宋体" w:cs="Times New Roman"/>
    </w:rPr>
  </w:style>
  <w:style w:type="character" w:styleId="964" w:customStyle="1">
    <w:name w:val="批注框文本 Char2"/>
    <w:uiPriority w:val="99"/>
    <w:semiHidden/>
    <w:qFormat/>
    <w:rPr>
      <w:rFonts w:ascii="Calibri" w:hAnsi="Calibri" w:eastAsia="宋体" w:cs="Times New Roman"/>
      <w:sz w:val="18"/>
      <w:szCs w:val="18"/>
    </w:rPr>
  </w:style>
  <w:style w:type="character" w:styleId="965" w:customStyle="1">
    <w:name w:val="标题 4 字符"/>
    <w:link w:val="826"/>
    <w:uiPriority w:val="0"/>
    <w:qFormat/>
    <w:rPr>
      <w:rFonts w:ascii="Cambria" w:hAnsi="Cambria"/>
      <w:b/>
      <w:bCs/>
      <w:sz w:val="28"/>
      <w:szCs w:val="28"/>
    </w:rPr>
  </w:style>
  <w:style w:type="character" w:styleId="966" w:customStyle="1">
    <w:name w:val="列出段落 Char"/>
    <w:link w:val="967"/>
    <w:uiPriority w:val="34"/>
    <w:qFormat/>
    <w:rPr>
      <w:sz w:val="21"/>
      <w:szCs w:val="24"/>
    </w:rPr>
  </w:style>
  <w:style w:type="paragraph" w:styleId="967" w:customStyle="1">
    <w:name w:val="List Paragraph1"/>
    <w:basedOn w:val="822"/>
    <w:link w:val="966"/>
    <w:uiPriority w:val="34"/>
    <w:qFormat/>
    <w:pPr>
      <w:ind w:firstLine="420"/>
    </w:pPr>
  </w:style>
  <w:style w:type="paragraph" w:styleId="968" w:customStyle="1">
    <w:name w:val="样式 标题 3 + (中文) 黑体 小四 非加粗 段前: 7.8 磅 段后: 0 磅 行距: 固定值 20 磅"/>
    <w:basedOn w:val="825"/>
    <w:next w:val="822"/>
    <w:uiPriority w:val="0"/>
    <w:qFormat/>
    <w:pPr>
      <w:spacing w:before="0" w:after="0" w:line="400" w:lineRule="exact"/>
    </w:pPr>
    <w:rPr>
      <w:rFonts w:eastAsia="黑体" w:cs="宋体"/>
      <w:b w:val="0"/>
      <w:bCs w:val="0"/>
      <w:sz w:val="24"/>
      <w:szCs w:val="20"/>
    </w:rPr>
  </w:style>
  <w:style w:type="paragraph" w:styleId="969" w:customStyle="1">
    <w:name w:val="_Style 34"/>
    <w:next w:val="822"/>
    <w:uiPriority w:val="0"/>
    <w:qFormat/>
    <w:pPr>
      <w:jc w:val="both"/>
      <w:widowControl w:val="off"/>
    </w:pPr>
    <w:rPr>
      <w:rFonts w:ascii="Times New Roman" w:hAnsi="Times New Roman" w:eastAsia="宋体" w:cs="Times New Roman"/>
      <w:sz w:val="21"/>
      <w:lang w:val="en-US" w:eastAsia="zh-CN" w:bidi="ar-SA"/>
    </w:rPr>
  </w:style>
  <w:style w:type="paragraph" w:styleId="97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71" w:customStyle="1">
    <w:name w:val="_Style 36"/>
    <w:next w:val="822"/>
    <w:uiPriority w:val="0"/>
    <w:qFormat/>
    <w:pPr>
      <w:jc w:val="both"/>
      <w:widowControl w:val="off"/>
    </w:pPr>
    <w:rPr>
      <w:rFonts w:ascii="Times New Roman" w:hAnsi="Times New Roman" w:eastAsia="宋体" w:cs="Times New Roman"/>
      <w:sz w:val="21"/>
      <w:lang w:val="en-US" w:eastAsia="zh-CN" w:bidi="ar-SA"/>
    </w:rPr>
  </w:style>
  <w:style w:type="paragraph" w:styleId="972" w:customStyle="1">
    <w:name w:val="空半行"/>
    <w:basedOn w:val="822"/>
    <w:uiPriority w:val="0"/>
    <w:qFormat/>
    <w:pPr>
      <w:spacing w:line="120" w:lineRule="exact"/>
    </w:pPr>
    <w:rPr>
      <w:rFonts w:ascii="Calibri" w:hAnsi="Calibri" w:eastAsia="仿宋_GB2312"/>
      <w:color w:val="ffffff"/>
      <w:sz w:val="30"/>
      <w:szCs w:val="22"/>
    </w:rPr>
  </w:style>
  <w:style w:type="paragraph" w:styleId="973" w:customStyle="1">
    <w:name w:val="1方案格式1"/>
    <w:basedOn w:val="823"/>
    <w:uiPriority w:val="0"/>
    <w:qFormat/>
    <w:pPr>
      <w:numPr>
        <w:numId w:val="3"/>
      </w:numPr>
      <w:ind w:left="0" w:firstLine="0"/>
      <w:spacing w:line="360" w:lineRule="auto"/>
      <w:tabs>
        <w:tab w:val="left" w:pos="360" w:leader="none"/>
      </w:tabs>
    </w:pPr>
    <w:rPr>
      <w:rFonts w:eastAsia="微软雅黑"/>
      <w:bCs w:val="0"/>
      <w:sz w:val="48"/>
    </w:rPr>
  </w:style>
  <w:style w:type="paragraph" w:styleId="974" w:customStyle="1">
    <w:name w:val="格式３"/>
    <w:basedOn w:val="822"/>
    <w:uiPriority w:val="0"/>
    <w:qFormat/>
    <w:pPr>
      <w:ind w:left="600" w:hanging="600"/>
      <w:spacing w:line="420" w:lineRule="exact"/>
    </w:pPr>
    <w:rPr>
      <w:rFonts w:ascii="宋体" w:hAnsi="宋体"/>
      <w:color w:val="000000"/>
      <w:sz w:val="24"/>
      <w:szCs w:val="20"/>
    </w:rPr>
  </w:style>
  <w:style w:type="paragraph" w:styleId="975" w:customStyle="1">
    <w:name w:val="正文1"/>
    <w:uiPriority w:val="0"/>
    <w:qFormat/>
    <w:pPr>
      <w:jc w:val="both"/>
      <w:widowControl w:val="off"/>
    </w:pPr>
    <w:rPr>
      <w:rFonts w:ascii="Calibri" w:hAnsi="Calibri" w:eastAsia="宋体" w:cs="Times New Roman"/>
      <w:lang w:val="en-US" w:eastAsia="zh-CN" w:bidi="ar-SA"/>
    </w:rPr>
  </w:style>
  <w:style w:type="paragraph" w:styleId="976" w:customStyle="1">
    <w:name w:val="列出段落1"/>
    <w:basedOn w:val="822"/>
    <w:uiPriority w:val="99"/>
    <w:qFormat/>
    <w:pPr>
      <w:contextualSpacing/>
      <w:ind w:left="720"/>
      <w:jc w:val="left"/>
      <w:widowControl/>
    </w:pPr>
    <w:rPr>
      <w:rFonts w:ascii="Arial" w:hAnsi="Arial" w:eastAsia="黑体"/>
      <w:sz w:val="24"/>
      <w:lang w:eastAsia="en-US"/>
    </w:rPr>
  </w:style>
  <w:style w:type="paragraph" w:styleId="977" w:customStyle="1">
    <w:name w:val="正文空2字"/>
    <w:basedOn w:val="822"/>
    <w:uiPriority w:val="0"/>
    <w:qFormat/>
    <w:pPr>
      <w:ind w:firstLine="200"/>
      <w:spacing w:line="360" w:lineRule="auto"/>
    </w:pPr>
    <w:rPr>
      <w:sz w:val="24"/>
      <w:lang w:bidi="en-US"/>
    </w:rPr>
  </w:style>
  <w:style w:type="paragraph" w:styleId="97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79" w:customStyle="1">
    <w:name w:val="目录 5_0"/>
    <w:basedOn w:val="887"/>
    <w:next w:val="887"/>
    <w:uiPriority w:val="39"/>
    <w:qFormat/>
    <w:pPr>
      <w:ind w:left="1680"/>
    </w:pPr>
    <w:rPr>
      <w:rFonts w:ascii="Calibri" w:hAnsi="Calibri"/>
    </w:rPr>
  </w:style>
  <w:style w:type="paragraph" w:styleId="980" w:customStyle="1">
    <w:name w:val="修订1"/>
    <w:uiPriority w:val="0"/>
    <w:qFormat/>
    <w:rPr>
      <w:rFonts w:ascii="Times New Roman" w:hAnsi="Times New Roman" w:eastAsia="宋体" w:cs="Times New Roman"/>
      <w:sz w:val="21"/>
      <w:szCs w:val="24"/>
      <w:lang w:val="en-US" w:eastAsia="zh-CN" w:bidi="ar-SA"/>
    </w:rPr>
  </w:style>
  <w:style w:type="paragraph" w:styleId="981" w:customStyle="1">
    <w:name w:val="标题 11"/>
    <w:basedOn w:val="975"/>
    <w:next w:val="97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82" w:customStyle="1">
    <w:name w:val="正文 + 行距: 固定值 20 磅"/>
    <w:basedOn w:val="822"/>
    <w:uiPriority w:val="0"/>
    <w:qFormat/>
    <w:pPr>
      <w:ind w:firstLine="716"/>
      <w:spacing w:line="400" w:lineRule="exact"/>
    </w:pPr>
    <w:rPr>
      <w:rFonts w:ascii="Calibri" w:hAnsi="Calibri"/>
      <w:szCs w:val="22"/>
    </w:rPr>
  </w:style>
  <w:style w:type="paragraph" w:styleId="983" w:customStyle="1">
    <w:name w:val="TOC 标题1"/>
    <w:basedOn w:val="823"/>
    <w:next w:val="82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84" w:customStyle="1">
    <w:name w:val="表格文字"/>
    <w:basedOn w:val="822"/>
    <w:link w:val="1013"/>
    <w:uiPriority w:val="0"/>
    <w:qFormat/>
    <w:pPr>
      <w:jc w:val="left"/>
      <w:spacing w:line="420" w:lineRule="atLeast"/>
    </w:pPr>
    <w:rPr>
      <w:rFonts w:ascii="Calibri" w:hAnsi="Calibri"/>
      <w:szCs w:val="22"/>
    </w:rPr>
  </w:style>
  <w:style w:type="paragraph" w:styleId="985" w:customStyle="1">
    <w:name w:val="flNote"/>
    <w:basedOn w:val="822"/>
    <w:uiPriority w:val="0"/>
    <w:qFormat/>
    <w:pPr>
      <w:jc w:val="center"/>
      <w:spacing w:before="320" w:after="160" w:line="360" w:lineRule="atLeast"/>
    </w:pPr>
    <w:rPr>
      <w:rFonts w:ascii="Arial" w:hAnsi="Calibri" w:eastAsia="黑体"/>
      <w:sz w:val="30"/>
      <w:szCs w:val="22"/>
    </w:rPr>
  </w:style>
  <w:style w:type="paragraph" w:styleId="986" w:customStyle="1">
    <w:name w:val="文章正文"/>
    <w:basedOn w:val="822"/>
    <w:uiPriority w:val="99"/>
    <w:qFormat/>
    <w:pPr>
      <w:ind w:firstLine="480"/>
      <w:spacing w:line="360" w:lineRule="auto"/>
    </w:pPr>
    <w:rPr>
      <w:rFonts w:ascii="仿宋_GB2312" w:hAnsi="宋体" w:eastAsia="仿宋_GB2312"/>
      <w:color w:val="ff0000"/>
      <w:sz w:val="24"/>
    </w:rPr>
  </w:style>
  <w:style w:type="paragraph" w:styleId="987" w:customStyle="1">
    <w:name w:val="表格"/>
    <w:basedOn w:val="822"/>
    <w:uiPriority w:val="0"/>
    <w:qFormat/>
    <w:pPr>
      <w:jc w:val="center"/>
    </w:pPr>
    <w:rPr>
      <w:rFonts w:ascii="华文细黑" w:hAnsi="华文细黑"/>
      <w:szCs w:val="22"/>
    </w:rPr>
  </w:style>
  <w:style w:type="paragraph" w:styleId="988" w:customStyle="1">
    <w:name w:val="Char"/>
    <w:basedOn w:val="822"/>
    <w:uiPriority w:val="0"/>
    <w:qFormat/>
    <w:pPr>
      <w:jc w:val="left"/>
      <w:spacing w:after="160" w:line="240" w:lineRule="exact"/>
      <w:widowControl/>
    </w:pPr>
    <w:rPr>
      <w:rFonts w:ascii="Verdana" w:hAnsi="Verdana"/>
      <w:sz w:val="20"/>
      <w:szCs w:val="20"/>
      <w:lang w:eastAsia="en-US"/>
    </w:rPr>
  </w:style>
  <w:style w:type="paragraph" w:styleId="989" w:customStyle="1">
    <w:name w:val="列出段落2"/>
    <w:basedOn w:val="822"/>
    <w:uiPriority w:val="34"/>
    <w:qFormat/>
    <w:pPr>
      <w:ind w:firstLine="420"/>
    </w:pPr>
  </w:style>
  <w:style w:type="paragraph" w:styleId="990" w:customStyle="1">
    <w:name w:val="6'"/>
    <w:basedOn w:val="822"/>
    <w:uiPriority w:val="0"/>
    <w:qFormat/>
    <w:pPr>
      <w:jc w:val="center"/>
      <w:spacing w:line="320" w:lineRule="exact"/>
    </w:pPr>
    <w:rPr>
      <w:rFonts w:ascii="Calibri" w:hAnsi="Calibri"/>
      <w:spacing w:val="20"/>
      <w:szCs w:val="22"/>
    </w:rPr>
  </w:style>
  <w:style w:type="paragraph" w:styleId="991" w:customStyle="1">
    <w:name w:val="Char Char Char Char Char Char Char"/>
    <w:basedOn w:val="822"/>
    <w:uiPriority w:val="0"/>
    <w:qFormat/>
    <w:pPr>
      <w:spacing w:line="360" w:lineRule="auto"/>
    </w:pPr>
    <w:rPr>
      <w:sz w:val="24"/>
      <w:szCs w:val="20"/>
    </w:rPr>
  </w:style>
  <w:style w:type="paragraph" w:styleId="992" w:customStyle="1">
    <w:name w:val="2方案格式2"/>
    <w:basedOn w:val="973"/>
    <w:uiPriority w:val="0"/>
    <w:qFormat/>
    <w:pPr>
      <w:numPr>
        <w:ilvl w:val="1"/>
      </w:numPr>
      <w:spacing w:before="50" w:after="50" w:line="240" w:lineRule="auto"/>
      <w:outlineLvl w:val="1"/>
    </w:pPr>
    <w:rPr>
      <w:sz w:val="44"/>
    </w:rPr>
  </w:style>
  <w:style w:type="paragraph" w:styleId="993" w:customStyle="1">
    <w:name w:val="文档正文"/>
    <w:basedOn w:val="822"/>
    <w:uiPriority w:val="0"/>
    <w:qFormat/>
    <w:pPr>
      <w:ind w:firstLine="567"/>
      <w:spacing w:line="480" w:lineRule="atLeast"/>
    </w:pPr>
    <w:rPr>
      <w:rFonts w:ascii="Ari" w:eastAsia="Ari"/>
      <w:sz w:val="28"/>
      <w:szCs w:val="20"/>
    </w:rPr>
  </w:style>
  <w:style w:type="paragraph" w:styleId="994" w:customStyle="1">
    <w:name w:val="txt"/>
    <w:basedOn w:val="822"/>
    <w:uiPriority w:val="0"/>
    <w:qFormat/>
    <w:pPr>
      <w:jc w:val="left"/>
      <w:spacing w:before="100" w:beforeAutospacing="1" w:after="100" w:afterAutospacing="1"/>
      <w:widowControl/>
    </w:pPr>
    <w:rPr>
      <w:rFonts w:ascii="宋体" w:hAnsi="宋体" w:cs="宋体"/>
      <w:sz w:val="24"/>
    </w:rPr>
  </w:style>
  <w:style w:type="paragraph" w:styleId="995" w:customStyle="1">
    <w:name w:val="目录 4_0"/>
    <w:basedOn w:val="887"/>
    <w:next w:val="887"/>
    <w:uiPriority w:val="39"/>
    <w:qFormat/>
    <w:pPr>
      <w:ind w:left="1260"/>
    </w:pPr>
    <w:rPr>
      <w:rFonts w:ascii="Calibri" w:hAnsi="Calibri"/>
    </w:rPr>
  </w:style>
  <w:style w:type="paragraph" w:styleId="996" w:customStyle="1">
    <w:name w:val="目录 3_0"/>
    <w:basedOn w:val="887"/>
    <w:next w:val="887"/>
    <w:uiPriority w:val="39"/>
    <w:qFormat/>
    <w:pPr>
      <w:ind w:left="840"/>
    </w:pPr>
    <w:rPr>
      <w:rFonts w:ascii="Calibri" w:hAnsi="Calibri"/>
    </w:rPr>
  </w:style>
  <w:style w:type="paragraph" w:styleId="997" w:customStyle="1">
    <w:name w:val="样式 标题 1 + 黑体 三号 非加粗 居中 段前: 6 磅 段后: 6 磅 行距: 固定值 20 磅"/>
    <w:basedOn w:val="823"/>
    <w:uiPriority w:val="0"/>
    <w:qFormat/>
    <w:pPr>
      <w:numPr>
        <w:numId w:val="0"/>
      </w:numPr>
      <w:spacing w:before="120" w:after="120" w:line="400" w:lineRule="exact"/>
    </w:pPr>
    <w:rPr>
      <w:rFonts w:ascii="黑体" w:hAnsi="黑体" w:eastAsia="黑体"/>
      <w:b w:val="0"/>
      <w:bCs w:val="0"/>
      <w:szCs w:val="20"/>
    </w:rPr>
  </w:style>
  <w:style w:type="paragraph" w:styleId="998" w:customStyle="1">
    <w:name w:val="1"/>
    <w:basedOn w:val="822"/>
    <w:next w:val="822"/>
    <w:uiPriority w:val="0"/>
    <w:qFormat/>
    <w:rPr>
      <w:rFonts w:ascii="Calibri" w:hAnsi="Calibri"/>
      <w:szCs w:val="22"/>
    </w:rPr>
  </w:style>
  <w:style w:type="paragraph" w:styleId="999" w:customStyle="1">
    <w:name w:val="Blockquote_0"/>
    <w:basedOn w:val="887"/>
    <w:uiPriority w:val="0"/>
    <w:qFormat/>
    <w:pPr>
      <w:ind w:left="360" w:right="360"/>
      <w:jc w:val="left"/>
      <w:spacing w:before="100" w:after="100"/>
    </w:pPr>
    <w:rPr>
      <w:rFonts w:ascii="Calibri" w:hAnsi="Calibri" w:eastAsia="Times New Roman"/>
      <w:sz w:val="24"/>
      <w:szCs w:val="20"/>
    </w:rPr>
  </w:style>
  <w:style w:type="paragraph" w:styleId="1000" w:customStyle="1">
    <w:name w:val="列出段落11"/>
    <w:basedOn w:val="822"/>
    <w:uiPriority w:val="0"/>
    <w:qFormat/>
    <w:pPr>
      <w:contextualSpacing/>
      <w:ind w:left="720"/>
      <w:jc w:val="left"/>
      <w:widowControl/>
    </w:pPr>
    <w:rPr>
      <w:rFonts w:ascii="Arial" w:hAnsi="Arial" w:eastAsia="黑体"/>
      <w:sz w:val="24"/>
      <w:lang w:eastAsia="en-US"/>
    </w:rPr>
  </w:style>
  <w:style w:type="paragraph" w:styleId="1001" w:customStyle="1">
    <w:name w:val="样式 标题 2 + Times New Roman 四号 非加粗 段前: 5 磅 段后: 0 磅 行距: 固定值 20..._0"/>
    <w:basedOn w:val="822"/>
    <w:uiPriority w:val="0"/>
    <w:qFormat/>
    <w:pPr>
      <w:keepLines/>
      <w:keepNext/>
      <w:spacing w:before="100" w:line="360" w:lineRule="auto"/>
      <w:outlineLvl w:val="1"/>
    </w:pPr>
    <w:rPr>
      <w:rFonts w:eastAsia="Times New Roman" w:cs="宋体"/>
      <w:sz w:val="28"/>
      <w:szCs w:val="20"/>
    </w:rPr>
  </w:style>
  <w:style w:type="paragraph" w:styleId="1002" w:customStyle="1">
    <w:name w:val="op_mapdots_left"/>
    <w:basedOn w:val="822"/>
    <w:uiPriority w:val="0"/>
    <w:qFormat/>
    <w:pPr>
      <w:jc w:val="left"/>
      <w:spacing w:before="100" w:beforeAutospacing="1" w:after="100" w:afterAutospacing="1"/>
      <w:widowControl/>
    </w:pPr>
    <w:rPr>
      <w:rFonts w:ascii="宋体" w:hAnsi="宋体" w:cs="宋体"/>
      <w:sz w:val="24"/>
    </w:rPr>
  </w:style>
  <w:style w:type="paragraph" w:styleId="1003" w:customStyle="1">
    <w:name w:val="p0"/>
    <w:basedOn w:val="822"/>
    <w:uiPriority w:val="0"/>
    <w:qFormat/>
    <w:pPr>
      <w:widowControl/>
    </w:pPr>
    <w:rPr>
      <w:b/>
      <w:bCs/>
      <w:sz w:val="24"/>
    </w:rPr>
  </w:style>
  <w:style w:type="paragraph" w:styleId="1004" w:customStyle="1">
    <w:name w:val="Blockquote"/>
    <w:basedOn w:val="822"/>
    <w:uiPriority w:val="0"/>
    <w:qFormat/>
    <w:pPr>
      <w:ind w:left="360" w:right="360"/>
      <w:jc w:val="left"/>
      <w:spacing w:before="100" w:after="100"/>
    </w:pPr>
    <w:rPr>
      <w:rFonts w:ascii="Calibri" w:hAnsi="Calibri"/>
      <w:sz w:val="24"/>
      <w:szCs w:val="22"/>
    </w:rPr>
  </w:style>
  <w:style w:type="paragraph" w:styleId="1005" w:customStyle="1">
    <w:name w:val="3方案格式3"/>
    <w:basedOn w:val="992"/>
    <w:uiPriority w:val="0"/>
    <w:qFormat/>
    <w:pPr>
      <w:numPr>
        <w:ilvl w:val="2"/>
      </w:numPr>
      <w:outlineLvl w:val="2"/>
    </w:pPr>
    <w:rPr>
      <w:sz w:val="32"/>
    </w:rPr>
  </w:style>
  <w:style w:type="paragraph" w:styleId="1006" w:customStyle="1">
    <w:name w:val="样式 标题 2 + Times New Roman 四号 非加粗 段前: 5 磅 段后: 0 磅 行距: 固定值 20..."/>
    <w:basedOn w:val="82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07" w:customStyle="1">
    <w:name w:val="标题2"/>
    <w:basedOn w:val="824"/>
    <w:next w:val="842"/>
    <w:uiPriority w:val="0"/>
    <w:qFormat/>
    <w:pPr>
      <w:spacing w:before="156" w:after="156" w:line="360" w:lineRule="auto"/>
    </w:pPr>
    <w:rPr>
      <w:bCs w:val="0"/>
      <w:sz w:val="24"/>
    </w:rPr>
  </w:style>
  <w:style w:type="paragraph" w:styleId="1008" w:customStyle="1">
    <w:name w:val="普通正文"/>
    <w:basedOn w:val="822"/>
    <w:uiPriority w:val="0"/>
    <w:qFormat/>
    <w:pPr>
      <w:ind w:firstLine="480"/>
      <w:jc w:val="left"/>
      <w:spacing w:before="120" w:after="120" w:line="360" w:lineRule="auto"/>
    </w:pPr>
    <w:rPr>
      <w:rFonts w:ascii="Arial" w:hAnsi="Arial"/>
      <w:sz w:val="24"/>
    </w:rPr>
  </w:style>
  <w:style w:type="paragraph" w:styleId="1009" w:customStyle="1">
    <w:name w:val="正文11"/>
    <w:uiPriority w:val="0"/>
    <w:qFormat/>
    <w:rPr>
      <w:rFonts w:ascii="Calibri" w:hAnsi="Calibri" w:eastAsia="宋体" w:cs="Calibri"/>
      <w:sz w:val="24"/>
      <w:szCs w:val="24"/>
      <w:lang w:val="en-US" w:eastAsia="zh-CN" w:bidi="ar-SA"/>
    </w:rPr>
  </w:style>
  <w:style w:type="paragraph" w:styleId="1010" w:customStyle="1">
    <w:name w:val="正文2"/>
    <w:uiPriority w:val="0"/>
    <w:qFormat/>
    <w:rPr>
      <w:rFonts w:ascii="Times New Roman" w:hAnsi="Times New Roman" w:eastAsia="微软雅黑" w:cs="Times New Roman"/>
      <w:sz w:val="24"/>
      <w:szCs w:val="24"/>
      <w:lang w:val="en-US" w:eastAsia="zh-CN" w:bidi="ar-SA"/>
    </w:rPr>
  </w:style>
  <w:style w:type="paragraph" w:styleId="1011" w:customStyle="1">
    <w:name w:val="列出段落3"/>
    <w:basedOn w:val="822"/>
    <w:uiPriority w:val="0"/>
    <w:qFormat/>
    <w:pPr>
      <w:ind w:firstLine="420"/>
      <w:jc w:val="left"/>
      <w:spacing w:after="200"/>
      <w:widowControl/>
    </w:pPr>
    <w:rPr>
      <w:rFonts w:ascii="Tahoma" w:hAnsi="Tahoma" w:eastAsia="微软雅黑"/>
      <w:sz w:val="22"/>
      <w:szCs w:val="22"/>
    </w:rPr>
  </w:style>
  <w:style w:type="paragraph" w:styleId="1012" w:customStyle="1">
    <w:name w:val="纯文本2"/>
    <w:basedOn w:val="822"/>
    <w:uiPriority w:val="0"/>
    <w:qFormat/>
    <w:pPr>
      <w:jc w:val="left"/>
    </w:pPr>
    <w:rPr>
      <w:rFonts w:hint="eastAsia" w:ascii="宋体" w:hAnsi="宋体" w:cs="Courier New"/>
      <w:sz w:val="24"/>
      <w:szCs w:val="20"/>
      <w:lang w:bidi="hi-IN"/>
    </w:rPr>
  </w:style>
  <w:style w:type="character" w:styleId="1013" w:customStyle="1">
    <w:name w:val="表格文字 字符"/>
    <w:link w:val="984"/>
    <w:uiPriority w:val="0"/>
    <w:qFormat/>
    <w:rPr>
      <w:rFonts w:ascii="Calibri" w:hAnsi="Calibri" w:eastAsia="宋体" w:cs="Times New Roman"/>
      <w:sz w:val="21"/>
      <w:szCs w:val="22"/>
    </w:rPr>
  </w:style>
  <w:style w:type="paragraph" w:styleId="1014" w:customStyle="1">
    <w:name w:val="trs_editor"/>
    <w:basedOn w:val="822"/>
    <w:uiPriority w:val="0"/>
    <w:qFormat/>
    <w:pPr>
      <w:jc w:val="left"/>
      <w:spacing w:before="100" w:beforeAutospacing="1" w:after="100" w:afterAutospacing="1"/>
      <w:widowControl/>
    </w:pPr>
    <w:rPr>
      <w:rFonts w:ascii="宋体" w:hAnsi="宋体" w:cs="宋体"/>
      <w:sz w:val="24"/>
    </w:rPr>
  </w:style>
  <w:style w:type="character" w:styleId="1015" w:customStyle="1">
    <w:name w:val="未处理的提及1"/>
    <w:basedOn w:val="832"/>
    <w:uiPriority w:val="99"/>
    <w:semiHidden/>
    <w:unhideWhenUsed/>
    <w:qFormat/>
    <w:rPr>
      <w:color w:val="605e5c"/>
      <w:shd w:val="clear" w:color="auto" w:fill="e1dfdd"/>
    </w:rPr>
  </w:style>
  <w:style w:type="paragraph" w:styleId="1016" w:customStyle="1">
    <w:name w:val="_Style 3"/>
    <w:basedOn w:val="822"/>
    <w:uiPriority w:val="99"/>
    <w:qFormat/>
    <w:pPr>
      <w:ind w:firstLine="420"/>
    </w:pPr>
    <w:rPr>
      <w:szCs w:val="22"/>
    </w:rPr>
  </w:style>
  <w:style w:type="table" w:styleId="1017" w:customStyle="1">
    <w:name w:val="网格型1"/>
    <w:basedOn w:val="83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customStyle="1">
    <w:name w:val="批注文字 字符1"/>
    <w:uiPriority w:val="99"/>
    <w:qFormat/>
    <w:rPr>
      <w:sz w:val="24"/>
      <w:szCs w:val="22"/>
    </w:rPr>
  </w:style>
  <w:style w:type="character" w:styleId="1019" w:customStyle="1">
    <w:name w:val="f141"/>
    <w:uiPriority w:val="0"/>
    <w:qFormat/>
    <w:rPr>
      <w:sz w:val="21"/>
      <w:szCs w:val="21"/>
    </w:rPr>
  </w:style>
  <w:style w:type="character" w:styleId="1020" w:customStyle="1">
    <w:name w:val="p141"/>
    <w:uiPriority w:val="0"/>
    <w:qFormat/>
    <w:rPr>
      <w:sz w:val="21"/>
      <w:szCs w:val="21"/>
    </w:rPr>
  </w:style>
  <w:style w:type="character" w:styleId="1021" w:customStyle="1">
    <w:name w:val="s10pv000000"/>
    <w:basedOn w:val="832"/>
    <w:uiPriority w:val="0"/>
    <w:qFormat/>
  </w:style>
  <w:style w:type="paragraph" w:styleId="1022" w:customStyle="1">
    <w:name w:val="样式 标题 4 + 段前: 5 磅 段后: 5 磅 行距: 单倍行距"/>
    <w:basedOn w:val="82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23" w:customStyle="1">
    <w:name w:val="基准标题"/>
    <w:basedOn w:val="842"/>
    <w:next w:val="842"/>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24" w:customStyle="1">
    <w:name w:val="font6"/>
    <w:basedOn w:val="822"/>
    <w:uiPriority w:val="0"/>
    <w:qFormat/>
    <w:pPr>
      <w:jc w:val="left"/>
      <w:spacing w:before="100" w:beforeAutospacing="1" w:after="100" w:afterAutospacing="1"/>
      <w:widowControl/>
    </w:pPr>
    <w:rPr>
      <w:rFonts w:hint="eastAsia" w:ascii="宋体" w:hAnsi="宋体"/>
      <w:sz w:val="24"/>
    </w:rPr>
  </w:style>
  <w:style w:type="paragraph" w:styleId="1025" w:customStyle="1">
    <w:name w:val="样式4"/>
    <w:basedOn w:val="822"/>
    <w:uiPriority w:val="0"/>
    <w:qFormat/>
    <w:pPr>
      <w:ind w:left="2328" w:hanging="708"/>
      <w:tabs>
        <w:tab w:val="left" w:pos="2328" w:leader="none"/>
      </w:tabs>
    </w:pPr>
  </w:style>
  <w:style w:type="paragraph" w:styleId="1026" w:customStyle="1">
    <w:name w:val="font5"/>
    <w:basedOn w:val="822"/>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3 Char"/>
    <w:basedOn w:val="822"/>
    <w:uiPriority w:val="0"/>
    <w:qFormat/>
    <w:pPr>
      <w:jc w:val="center"/>
      <w:spacing w:line="400" w:lineRule="exact"/>
      <w:widowControl/>
    </w:pPr>
    <w:rPr>
      <w:rFonts w:ascii="Verdana" w:hAnsi="Verdana"/>
      <w:szCs w:val="20"/>
      <w:lang w:eastAsia="en-US"/>
    </w:rPr>
  </w:style>
  <w:style w:type="paragraph" w:styleId="1028" w:customStyle="1">
    <w:name w:val="样式 标题 2 + 宋体 五号 非加粗 黑色"/>
    <w:basedOn w:val="82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29" w:customStyle="1">
    <w:name w:val="xl29"/>
    <w:basedOn w:val="822"/>
    <w:uiPriority w:val="0"/>
    <w:qFormat/>
    <w:pPr>
      <w:jc w:val="center"/>
      <w:spacing w:before="100" w:beforeAutospacing="1" w:after="100" w:afterAutospacing="1"/>
      <w:widowControl/>
    </w:pPr>
    <w:rPr>
      <w:rFonts w:ascii="宋体" w:hAnsi="宋体"/>
      <w:sz w:val="28"/>
      <w:szCs w:val="28"/>
    </w:rPr>
  </w:style>
  <w:style w:type="paragraph" w:styleId="1030" w:customStyle="1">
    <w:name w:val="图"/>
    <w:basedOn w:val="822"/>
    <w:uiPriority w:val="0"/>
    <w:qFormat/>
    <w:pPr>
      <w:jc w:val="center"/>
      <w:keepNext/>
      <w:spacing w:before="60" w:after="60" w:line="300" w:lineRule="auto"/>
    </w:pPr>
    <w:rPr>
      <w:spacing w:val="20"/>
      <w:sz w:val="24"/>
      <w:szCs w:val="20"/>
    </w:rPr>
  </w:style>
  <w:style w:type="paragraph" w:styleId="1031" w:customStyle="1">
    <w:name w:val="设计方案"/>
    <w:basedOn w:val="82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32" w:customStyle="1">
    <w:name w:val="xl2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3" w:customStyle="1">
    <w:name w:val="样式1"/>
    <w:basedOn w:val="822"/>
    <w:uiPriority w:val="0"/>
    <w:qFormat/>
    <w:pPr>
      <w:ind w:left="425" w:hanging="425"/>
      <w:tabs>
        <w:tab w:val="left" w:pos="425" w:leader="none"/>
        <w:tab w:val="left" w:pos="709" w:leader="none"/>
      </w:tabs>
    </w:pPr>
    <w:rPr>
      <w:rFonts w:ascii="宋体" w:hAnsi="宋体"/>
      <w:szCs w:val="20"/>
    </w:rPr>
  </w:style>
  <w:style w:type="paragraph" w:styleId="1034" w:customStyle="1">
    <w:name w:val="head"/>
    <w:basedOn w:val="82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35" w:customStyle="1">
    <w:name w:val="默认段落字体 Para Char Char Char Char"/>
    <w:basedOn w:val="822"/>
    <w:uiPriority w:val="0"/>
    <w:qFormat/>
    <w:rPr>
      <w:szCs w:val="20"/>
    </w:rPr>
  </w:style>
  <w:style w:type="paragraph" w:styleId="1036" w:customStyle="1">
    <w:name w:val="Char Char Char Char"/>
    <w:basedOn w:val="822"/>
    <w:uiPriority w:val="0"/>
    <w:qFormat/>
    <w:pPr>
      <w:jc w:val="left"/>
      <w:spacing w:after="160" w:line="240" w:lineRule="exact"/>
      <w:widowControl/>
    </w:pPr>
    <w:rPr>
      <w:rFonts w:ascii="Verdana" w:hAnsi="Verdana" w:eastAsia="仿宋_GB2312"/>
      <w:sz w:val="24"/>
      <w:szCs w:val="20"/>
      <w:lang w:eastAsia="en-US"/>
    </w:rPr>
  </w:style>
  <w:style w:type="paragraph" w:styleId="1037" w:customStyle="1">
    <w:name w:val="font0"/>
    <w:basedOn w:val="822"/>
    <w:uiPriority w:val="0"/>
    <w:qFormat/>
    <w:pPr>
      <w:jc w:val="left"/>
      <w:spacing w:before="100" w:beforeAutospacing="1" w:after="100" w:afterAutospacing="1"/>
      <w:widowControl/>
    </w:pPr>
    <w:rPr>
      <w:rFonts w:hint="eastAsia" w:ascii="宋体" w:hAnsi="宋体"/>
      <w:sz w:val="24"/>
    </w:rPr>
  </w:style>
  <w:style w:type="paragraph" w:styleId="1038" w:customStyle="1">
    <w:name w:val="样式 标题 3h3H3sect1.2.3 + 五号 段前: 6 磅 段后: 6 磅 行距: 单倍行距"/>
    <w:basedOn w:val="82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039" w:customStyle="1">
    <w:name w:val="纯文本 Char1"/>
    <w:basedOn w:val="832"/>
    <w:uiPriority w:val="0"/>
    <w:qFormat/>
    <w:rPr>
      <w:rFonts w:ascii="宋体" w:hAnsi="Courier New" w:eastAsia="宋体" w:cs="Courier New"/>
      <w:szCs w:val="21"/>
    </w:rPr>
  </w:style>
  <w:style w:type="character" w:styleId="1040" w:customStyle="1">
    <w:name w:val="HTML 预设格式 字符"/>
    <w:basedOn w:val="832"/>
    <w:link w:val="861"/>
    <w:uiPriority w:val="99"/>
    <w:qFormat/>
    <w:rPr>
      <w:rFonts w:ascii="宋体" w:hAnsi="宋体"/>
      <w:sz w:val="24"/>
      <w:szCs w:val="24"/>
    </w:rPr>
  </w:style>
  <w:style w:type="paragraph" w:styleId="1041" w:customStyle="1">
    <w:name w:val="Char1 Char Char Char"/>
    <w:basedOn w:val="822"/>
    <w:uiPriority w:val="0"/>
    <w:qFormat/>
    <w:rPr>
      <w:szCs w:val="20"/>
    </w:rPr>
  </w:style>
  <w:style w:type="paragraph" w:styleId="1042" w:customStyle="1">
    <w:name w:val="Char1"/>
    <w:basedOn w:val="822"/>
    <w:uiPriority w:val="0"/>
    <w:qFormat/>
    <w:pPr>
      <w:jc w:val="left"/>
      <w:spacing w:after="160" w:line="240" w:lineRule="exact"/>
      <w:widowControl/>
    </w:pPr>
    <w:rPr>
      <w:sz w:val="24"/>
    </w:rPr>
  </w:style>
  <w:style w:type="paragraph" w:styleId="1043" w:customStyle="1">
    <w:name w:val="默认段落字体 Para Char"/>
    <w:basedOn w:val="822"/>
    <w:uiPriority w:val="0"/>
    <w:qFormat/>
  </w:style>
  <w:style w:type="paragraph" w:styleId="1044" w:customStyle="1">
    <w:name w:val="Char1 Char Char Char Char Char Char Char Char Char"/>
    <w:basedOn w:val="822"/>
    <w:uiPriority w:val="0"/>
    <w:qFormat/>
    <w:pPr>
      <w:jc w:val="center"/>
      <w:spacing w:line="400" w:lineRule="exact"/>
      <w:widowControl/>
    </w:pPr>
    <w:rPr>
      <w:rFonts w:ascii="Verdana" w:hAnsi="Verdana"/>
      <w:szCs w:val="20"/>
      <w:lang w:eastAsia="en-US"/>
    </w:rPr>
  </w:style>
  <w:style w:type="paragraph" w:styleId="1045" w:customStyle="1">
    <w:name w:val="普通(网站)1"/>
    <w:basedOn w:val="822"/>
    <w:uiPriority w:val="0"/>
    <w:qFormat/>
    <w:pPr>
      <w:jc w:val="left"/>
      <w:spacing w:before="100" w:beforeAutospacing="1" w:after="100" w:afterAutospacing="1"/>
      <w:widowControl/>
    </w:pPr>
    <w:rPr>
      <w:rFonts w:ascii="宋体" w:hAnsi="宋体"/>
      <w:sz w:val="24"/>
    </w:rPr>
  </w:style>
  <w:style w:type="paragraph" w:styleId="1046" w:customStyle="1">
    <w:name w:val="Char Char2 Char"/>
    <w:basedOn w:val="822"/>
    <w:uiPriority w:val="0"/>
    <w:qFormat/>
    <w:rPr>
      <w:rFonts w:ascii="宋体" w:hAnsi="宋体"/>
      <w:b/>
      <w:sz w:val="28"/>
      <w:szCs w:val="28"/>
    </w:rPr>
  </w:style>
  <w:style w:type="character" w:styleId="1047" w:customStyle="1">
    <w:name w:val="正文缩进 字符"/>
    <w:link w:val="837"/>
    <w:uiPriority w:val="0"/>
    <w:qFormat/>
    <w:rPr>
      <w:b/>
      <w:sz w:val="24"/>
    </w:rPr>
  </w:style>
  <w:style w:type="paragraph" w:styleId="1048" w:customStyle="1">
    <w:name w:val="Char Char Char"/>
    <w:basedOn w:val="822"/>
    <w:uiPriority w:val="0"/>
    <w:qFormat/>
    <w:rPr>
      <w:rFonts w:ascii="宋体" w:hAnsi="宋体"/>
      <w:b/>
      <w:sz w:val="28"/>
      <w:szCs w:val="28"/>
    </w:rPr>
  </w:style>
  <w:style w:type="paragraph" w:styleId="1049" w:customStyle="1">
    <w:name w:val="Char2"/>
    <w:basedOn w:val="822"/>
    <w:uiPriority w:val="0"/>
    <w:qFormat/>
    <w:pPr>
      <w:jc w:val="left"/>
      <w:spacing w:after="160" w:line="240" w:lineRule="exact"/>
      <w:widowControl/>
    </w:pPr>
    <w:rPr>
      <w:szCs w:val="20"/>
    </w:rPr>
  </w:style>
  <w:style w:type="paragraph" w:styleId="1050" w:customStyle="1">
    <w:name w:val="a"/>
    <w:basedOn w:val="822"/>
    <w:uiPriority w:val="0"/>
    <w:qFormat/>
    <w:pPr>
      <w:jc w:val="left"/>
      <w:spacing w:before="100" w:beforeAutospacing="1" w:after="100" w:afterAutospacing="1"/>
      <w:widowControl/>
    </w:pPr>
    <w:rPr>
      <w:rFonts w:ascii="宋体" w:hAnsi="宋体" w:cs="宋体"/>
      <w:sz w:val="24"/>
    </w:rPr>
  </w:style>
  <w:style w:type="character" w:styleId="1051" w:customStyle="1">
    <w:name w:val="description5"/>
    <w:basedOn w:val="832"/>
    <w:uiPriority w:val="0"/>
    <w:qFormat/>
  </w:style>
  <w:style w:type="character" w:styleId="1052">
    <w:name w:val="Placeholder Text"/>
    <w:uiPriority w:val="99"/>
    <w:semiHidden/>
    <w:qFormat/>
    <w:rPr>
      <w:color w:val="808080"/>
    </w:rPr>
  </w:style>
  <w:style w:type="paragraph" w:styleId="1053" w:customStyle="1">
    <w:name w:val="Table Paragraph"/>
    <w:basedOn w:val="822"/>
    <w:uiPriority w:val="1"/>
    <w:qFormat/>
    <w:pPr>
      <w:jc w:val="left"/>
    </w:pPr>
    <w:rPr>
      <w:sz w:val="24"/>
    </w:rPr>
  </w:style>
  <w:style w:type="character" w:styleId="1054" w:customStyle="1">
    <w:name w:val="Char Char7"/>
    <w:uiPriority w:val="0"/>
    <w:qFormat/>
    <w:rPr>
      <w:rFonts w:ascii="Tahoma" w:hAnsi="Tahoma" w:eastAsia="微软雅黑"/>
      <w:b/>
      <w:bCs/>
      <w:sz w:val="32"/>
      <w:szCs w:val="32"/>
      <w:lang w:val="en-US" w:eastAsia="zh-CN" w:bidi="ar-SA"/>
    </w:rPr>
  </w:style>
  <w:style w:type="character" w:styleId="1055" w:customStyle="1">
    <w:name w:val="font01"/>
    <w:uiPriority w:val="0"/>
    <w:qFormat/>
    <w:rPr>
      <w:rFonts w:hint="eastAsia" w:ascii="宋体" w:hAnsi="宋体" w:eastAsia="宋体" w:cs="宋体"/>
      <w:color w:val="000000"/>
      <w:sz w:val="20"/>
      <w:szCs w:val="20"/>
      <w:u w:val="none"/>
    </w:rPr>
  </w:style>
  <w:style w:type="character" w:styleId="1056" w:customStyle="1">
    <w:name w:val="font81"/>
    <w:uiPriority w:val="0"/>
    <w:qFormat/>
    <w:rPr>
      <w:rFonts w:hint="eastAsia" w:ascii="宋体" w:hAnsi="宋体" w:eastAsia="宋体" w:cs="宋体"/>
      <w:color w:val="000000"/>
      <w:sz w:val="22"/>
      <w:szCs w:val="22"/>
      <w:u w:val="none"/>
    </w:rPr>
  </w:style>
  <w:style w:type="character" w:styleId="1057" w:customStyle="1">
    <w:name w:val="font71"/>
    <w:uiPriority w:val="0"/>
    <w:qFormat/>
    <w:rPr>
      <w:rFonts w:hint="eastAsia" w:ascii="宋体" w:hAnsi="宋体" w:eastAsia="宋体" w:cs="宋体"/>
      <w:color w:val="000000"/>
      <w:sz w:val="22"/>
      <w:szCs w:val="22"/>
      <w:u w:val="none"/>
    </w:rPr>
  </w:style>
  <w:style w:type="character" w:styleId="1058" w:customStyle="1">
    <w:name w:val="font51"/>
    <w:uiPriority w:val="0"/>
    <w:qFormat/>
    <w:rPr>
      <w:rFonts w:hint="default" w:ascii="Calibri" w:hAnsi="Calibri" w:cs="Calibri"/>
      <w:color w:val="000000"/>
      <w:sz w:val="22"/>
      <w:szCs w:val="22"/>
      <w:u w:val="none"/>
    </w:rPr>
  </w:style>
  <w:style w:type="character" w:styleId="1059" w:customStyle="1">
    <w:name w:val="font61"/>
    <w:uiPriority w:val="0"/>
    <w:qFormat/>
    <w:rPr>
      <w:rFonts w:hint="default" w:ascii="Calibri" w:hAnsi="Calibri" w:cs="Calibri"/>
      <w:color w:val="000000"/>
      <w:sz w:val="22"/>
      <w:szCs w:val="22"/>
      <w:u w:val="none"/>
    </w:rPr>
  </w:style>
  <w:style w:type="character" w:styleId="1060" w:customStyle="1">
    <w:name w:val="font41"/>
    <w:uiPriority w:val="0"/>
    <w:qFormat/>
    <w:rPr>
      <w:rFonts w:hint="eastAsia" w:ascii="宋体" w:hAnsi="宋体" w:eastAsia="宋体" w:cs="宋体"/>
      <w:color w:val="000000"/>
      <w:sz w:val="22"/>
      <w:szCs w:val="22"/>
      <w:u w:val="none"/>
    </w:rPr>
  </w:style>
  <w:style w:type="character" w:styleId="1061" w:customStyle="1">
    <w:name w:val="未处理的提及2"/>
    <w:basedOn w:val="832"/>
    <w:uiPriority w:val="99"/>
    <w:semiHidden/>
    <w:unhideWhenUsed/>
    <w:qFormat/>
    <w:rPr>
      <w:color w:val="605e5c"/>
      <w:shd w:val="clear" w:color="auto" w:fill="e1dfdd"/>
    </w:rPr>
  </w:style>
  <w:style w:type="character" w:styleId="1062" w:customStyle="1">
    <w:name w:val="未处理的提及3"/>
    <w:basedOn w:val="832"/>
    <w:uiPriority w:val="99"/>
    <w:semiHidden/>
    <w:unhideWhenUsed/>
    <w:qFormat/>
    <w:rPr>
      <w:color w:val="605e5c"/>
      <w:shd w:val="clear" w:color="auto" w:fill="e1dfdd"/>
    </w:rPr>
  </w:style>
  <w:style w:type="paragraph" w:styleId="1063" w:customStyle="1">
    <w:name w:val="_Style 234"/>
    <w:basedOn w:val="822"/>
    <w:next w:val="882"/>
    <w:uiPriority w:val="34"/>
    <w:qFormat/>
    <w:pPr>
      <w:ind w:left="420" w:firstLine="420"/>
      <w:spacing w:line="400" w:lineRule="exact"/>
    </w:pPr>
    <w:rPr>
      <w:rFonts w:ascii="Calibri" w:hAnsi="Calibri"/>
    </w:rPr>
  </w:style>
  <w:style w:type="character" w:styleId="1064" w:customStyle="1">
    <w:name w:val="列表段落 字符"/>
    <w:link w:val="882"/>
    <w:uiPriority w:val="99"/>
    <w:qFormat/>
    <w:rPr>
      <w:sz w:val="21"/>
      <w:szCs w:val="24"/>
    </w:rPr>
  </w:style>
  <w:style w:type="character" w:styleId="1065" w:customStyle="1">
    <w:name w:val="彩色列表 - 强调文字颜色 1字符"/>
    <w:uiPriority w:val="34"/>
    <w:qFormat/>
    <w:rPr>
      <w:rFonts w:ascii="Calibri" w:hAnsi="Calibri"/>
      <w:sz w:val="21"/>
      <w:szCs w:val="24"/>
    </w:rPr>
  </w:style>
  <w:style w:type="character" w:styleId="1066" w:customStyle="1">
    <w:name w:val="批注主题 字符1"/>
    <w:basedOn w:val="1018"/>
    <w:uiPriority w:val="99"/>
    <w:semiHidden/>
    <w:qFormat/>
    <w:rPr>
      <w:rFonts w:ascii="Calibri" w:hAnsi="Calibri" w:eastAsia="宋体" w:cs="Times New Roman"/>
      <w:b/>
      <w:bCs/>
      <w:sz w:val="24"/>
      <w:szCs w:val="24"/>
    </w:rPr>
  </w:style>
  <w:style w:type="character" w:styleId="1067" w:customStyle="1">
    <w:name w:val="正文文本缩进 2 字符1"/>
    <w:basedOn w:val="832"/>
    <w:uiPriority w:val="99"/>
    <w:semiHidden/>
    <w:qFormat/>
    <w:rPr>
      <w:rFonts w:ascii="Calibri" w:hAnsi="Calibri" w:eastAsia="宋体" w:cs="Times New Roman"/>
      <w:szCs w:val="24"/>
    </w:rPr>
  </w:style>
  <w:style w:type="character" w:styleId="1068" w:customStyle="1">
    <w:name w:val="标题 字符1"/>
    <w:basedOn w:val="832"/>
    <w:uiPriority w:val="10"/>
    <w:qFormat/>
    <w:rPr>
      <w:rFonts w:asciiTheme="majorHAnsi" w:hAnsiTheme="majorHAnsi" w:eastAsiaTheme="majorEastAsia" w:cstheme="majorBidi"/>
      <w:b/>
      <w:bCs/>
      <w:sz w:val="32"/>
      <w:szCs w:val="32"/>
    </w:rPr>
  </w:style>
  <w:style w:type="character" w:styleId="1069" w:customStyle="1">
    <w:name w:val="正文文本缩进 字符1"/>
    <w:basedOn w:val="832"/>
    <w:uiPriority w:val="99"/>
    <w:semiHidden/>
    <w:qFormat/>
    <w:rPr>
      <w:rFonts w:ascii="Calibri" w:hAnsi="Calibri" w:eastAsia="宋体" w:cs="Times New Roman"/>
      <w:szCs w:val="24"/>
    </w:rPr>
  </w:style>
  <w:style w:type="character" w:styleId="1070" w:customStyle="1">
    <w:name w:val="副标题 字符1"/>
    <w:basedOn w:val="832"/>
    <w:uiPriority w:val="11"/>
    <w:qFormat/>
    <w:rPr>
      <w:b/>
      <w:bCs/>
      <w:sz w:val="32"/>
      <w:szCs w:val="32"/>
    </w:rPr>
  </w:style>
  <w:style w:type="character" w:styleId="1071" w:customStyle="1">
    <w:name w:val="日期 字符1"/>
    <w:basedOn w:val="832"/>
    <w:uiPriority w:val="99"/>
    <w:semiHidden/>
    <w:qFormat/>
    <w:rPr>
      <w:rFonts w:ascii="Calibri" w:hAnsi="Calibri" w:eastAsia="宋体" w:cs="Times New Roman"/>
      <w:szCs w:val="24"/>
    </w:rPr>
  </w:style>
  <w:style w:type="paragraph" w:styleId="1072" w:customStyle="1">
    <w:name w:val="修订2"/>
    <w:uiPriority w:val="99"/>
    <w:unhideWhenUsed/>
    <w:qFormat/>
    <w:rPr>
      <w:rFonts w:ascii="Calibri" w:hAnsi="Calibri" w:eastAsia="宋体" w:cs="Times New Roman"/>
      <w:sz w:val="21"/>
      <w:szCs w:val="24"/>
      <w:lang w:val="en-US" w:eastAsia="zh-CN" w:bidi="ar-SA"/>
    </w:rPr>
  </w:style>
  <w:style w:type="character" w:styleId="1073" w:customStyle="1">
    <w:name w:val="正文文本 字符1"/>
    <w:basedOn w:val="832"/>
    <w:uiPriority w:val="99"/>
    <w:semiHidden/>
    <w:qFormat/>
    <w:rPr>
      <w:rFonts w:ascii="Calibri" w:hAnsi="Calibri" w:eastAsia="宋体" w:cs="Times New Roman"/>
      <w:szCs w:val="24"/>
    </w:rPr>
  </w:style>
  <w:style w:type="character" w:styleId="1074" w:customStyle="1">
    <w:name w:val="批注框文本 字符1"/>
    <w:basedOn w:val="832"/>
    <w:uiPriority w:val="99"/>
    <w:semiHidden/>
    <w:qFormat/>
    <w:rPr>
      <w:rFonts w:ascii="Calibri" w:hAnsi="Calibri" w:eastAsia="宋体" w:cs="Times New Roman"/>
      <w:sz w:val="18"/>
      <w:szCs w:val="18"/>
    </w:rPr>
  </w:style>
  <w:style w:type="paragraph" w:styleId="1075" w:customStyle="1">
    <w:name w:val="小四 段落 宋体 Char Char Char"/>
    <w:basedOn w:val="836"/>
    <w:uiPriority w:val="0"/>
    <w:qFormat/>
    <w:pPr>
      <w:numPr>
        <w:ilvl w:val="0"/>
        <w:numId w:val="0"/>
      </w:numPr>
      <w:ind w:right="-33" w:firstLine="480"/>
      <w:jc w:val="left"/>
      <w:spacing w:line="360" w:lineRule="auto"/>
    </w:pPr>
    <w:rPr>
      <w:rFonts w:ascii="Times New Roman" w:hAnsi="Times New Roman"/>
      <w:sz w:val="24"/>
      <w:szCs w:val="20"/>
    </w:rPr>
  </w:style>
  <w:style w:type="character" w:styleId="1076" w:customStyle="1">
    <w:name w:val="纯文本 字符1"/>
    <w:basedOn w:val="832"/>
    <w:uiPriority w:val="99"/>
    <w:semiHidden/>
    <w:qFormat/>
    <w:rPr>
      <w:rFonts w:hAnsi="Courier New" w:cs="Courier New" w:asciiTheme="minorEastAsia"/>
      <w:szCs w:val="24"/>
    </w:rPr>
  </w:style>
  <w:style w:type="character" w:styleId="1077" w:customStyle="1">
    <w:name w:val="文档结构图 字符1"/>
    <w:basedOn w:val="832"/>
    <w:uiPriority w:val="99"/>
    <w:semiHidden/>
    <w:qFormat/>
    <w:rPr>
      <w:rFonts w:ascii="Microsoft YaHei UI" w:hAnsi="Calibri" w:eastAsia="Microsoft YaHei UI" w:cs="Times New Roman"/>
      <w:sz w:val="18"/>
      <w:szCs w:val="18"/>
    </w:rPr>
  </w:style>
  <w:style w:type="character" w:styleId="1078" w:customStyle="1">
    <w:name w:val="正文文本 3 字符1"/>
    <w:basedOn w:val="832"/>
    <w:uiPriority w:val="99"/>
    <w:semiHidden/>
    <w:qFormat/>
    <w:rPr>
      <w:rFonts w:ascii="Calibri" w:hAnsi="Calibri" w:eastAsia="宋体" w:cs="Times New Roman"/>
      <w:sz w:val="16"/>
      <w:szCs w:val="16"/>
    </w:rPr>
  </w:style>
  <w:style w:type="paragraph" w:styleId="1079" w:customStyle="1">
    <w:name w:val="_Style 106"/>
    <w:basedOn w:val="822"/>
    <w:next w:val="882"/>
    <w:uiPriority w:val="34"/>
    <w:qFormat/>
    <w:pPr>
      <w:ind w:left="420" w:firstLine="420"/>
      <w:spacing w:line="400" w:lineRule="exact"/>
    </w:pPr>
    <w:rPr>
      <w:rFonts w:ascii="Calibri" w:hAnsi="Calibri"/>
    </w:rPr>
  </w:style>
  <w:style w:type="character" w:styleId="1080" w:customStyle="1">
    <w:name w:val="正文文本缩进 3 字符1"/>
    <w:basedOn w:val="832"/>
    <w:uiPriority w:val="99"/>
    <w:semiHidden/>
    <w:qFormat/>
    <w:rPr>
      <w:rFonts w:ascii="Calibri" w:hAnsi="Calibri" w:eastAsia="宋体" w:cs="Times New Roman"/>
      <w:sz w:val="16"/>
      <w:szCs w:val="16"/>
    </w:rPr>
  </w:style>
  <w:style w:type="character" w:styleId="1081" w:customStyle="1">
    <w:name w:val="未处理的提及4"/>
    <w:basedOn w:val="832"/>
    <w:uiPriority w:val="99"/>
    <w:semiHidden/>
    <w:unhideWhenUsed/>
    <w:qFormat/>
    <w:rPr>
      <w:color w:val="605e5c"/>
      <w:shd w:val="clear" w:color="auto" w:fill="e1dfdd"/>
    </w:rPr>
  </w:style>
  <w:style w:type="character" w:styleId="1082" w:customStyle="1">
    <w:name w:val="未处理的提及5"/>
    <w:basedOn w:val="832"/>
    <w:uiPriority w:val="99"/>
    <w:semiHidden/>
    <w:unhideWhenUsed/>
    <w:qFormat/>
    <w:rPr>
      <w:color w:val="605e5c"/>
      <w:shd w:val="clear" w:color="auto" w:fill="e1dfdd"/>
    </w:rPr>
  </w:style>
  <w:style w:type="character" w:styleId="1083" w:customStyle="1">
    <w:name w:val="未处理的提及6"/>
    <w:basedOn w:val="832"/>
    <w:uiPriority w:val="99"/>
    <w:semiHidden/>
    <w:unhideWhenUsed/>
    <w:qFormat/>
    <w:rPr>
      <w:color w:val="605e5c"/>
      <w:shd w:val="clear" w:color="auto" w:fill="e1dfdd"/>
    </w:rPr>
  </w:style>
  <w:style w:type="character" w:styleId="1084" w:customStyle="1">
    <w:name w:val="font101"/>
    <w:uiPriority w:val="0"/>
    <w:qFormat/>
    <w:rPr>
      <w:rFonts w:ascii="PingFangTC-light" w:hAnsi="PingFangTC-light" w:eastAsia="PingFangTC-light" w:cs="PingFangTC-light"/>
      <w:color w:val="ff0000"/>
      <w:sz w:val="22"/>
      <w:szCs w:val="22"/>
      <w:u w:val="none"/>
    </w:rPr>
  </w:style>
  <w:style w:type="character" w:styleId="1085" w:customStyle="1">
    <w:name w:val="font112"/>
    <w:uiPriority w:val="0"/>
    <w:qFormat/>
    <w:rPr>
      <w:rFonts w:ascii="Calibri" w:hAnsi="Calibri" w:cs="Calibri"/>
      <w:color w:val="ff0000"/>
      <w:sz w:val="21"/>
      <w:szCs w:val="21"/>
      <w:u w:val="none"/>
    </w:rPr>
  </w:style>
  <w:style w:type="character" w:styleId="1086" w:customStyle="1">
    <w:name w:val="font121"/>
    <w:uiPriority w:val="0"/>
    <w:qFormat/>
    <w:rPr>
      <w:rFonts w:hint="eastAsia" w:ascii="宋体" w:hAnsi="宋体" w:eastAsia="宋体" w:cs="宋体"/>
      <w:color w:val="000000"/>
      <w:sz w:val="20"/>
      <w:szCs w:val="20"/>
      <w:u w:val="none"/>
    </w:rPr>
  </w:style>
  <w:style w:type="character" w:styleId="1087" w:customStyle="1">
    <w:name w:val="纯文本 Char"/>
    <w:uiPriority w:val="0"/>
    <w:qFormat/>
    <w:rPr>
      <w:rFonts w:ascii="宋体" w:hAnsi="Courier New" w:eastAsia="宋体" w:cs="Courier New"/>
      <w:szCs w:val="21"/>
    </w:rPr>
  </w:style>
  <w:style w:type="character" w:styleId="1088" w:customStyle="1">
    <w:name w:val="NormalCharacter"/>
    <w:uiPriority w:val="0"/>
    <w:qFormat/>
    <w:rPr>
      <w:rFonts w:ascii="Times New Roman" w:hAnsi="Times New Roman" w:eastAsia="宋体" w:cs="Times New Roman"/>
      <w:sz w:val="21"/>
      <w:szCs w:val="22"/>
      <w:lang w:val="en-US" w:eastAsia="zh-CN" w:bidi="ar-SA"/>
    </w:rPr>
  </w:style>
  <w:style w:type="paragraph" w:styleId="1089" w:customStyle="1">
    <w:name w:val="样式 宋体 五号 行距: 单倍行距"/>
    <w:basedOn w:val="822"/>
    <w:uiPriority w:val="0"/>
    <w:qFormat/>
    <w:pPr>
      <w:jc w:val="left"/>
    </w:pPr>
    <w:rPr>
      <w:rFonts w:ascii="宋体" w:hAnsi="宋体"/>
      <w:szCs w:val="20"/>
    </w:rPr>
  </w:style>
  <w:style w:type="paragraph" w:styleId="1090" w:customStyle="1">
    <w:name w:val="一级条标题"/>
    <w:basedOn w:val="1091"/>
    <w:next w:val="10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customStyle="1">
    <w:name w:val="章标题"/>
    <w:basedOn w:val="822"/>
    <w:next w:val="82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92" w:customStyle="1">
    <w:name w:val="段"/>
    <w:basedOn w:val="822"/>
    <w:next w:val="822"/>
    <w:uiPriority w:val="0"/>
    <w:qFormat/>
    <w:pPr>
      <w:ind w:firstLine="200"/>
      <w:widowControl/>
    </w:pPr>
    <w:rPr>
      <w:rFonts w:hint="eastAsia" w:ascii="宋体"/>
      <w:szCs w:val="20"/>
    </w:rPr>
  </w:style>
  <w:style w:type="paragraph" w:styleId="1093"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094" w:customStyle="1">
    <w:name w:val="RZM投标图片和表格"/>
    <w:basedOn w:val="822"/>
    <w:uiPriority w:val="0"/>
    <w:qFormat/>
    <w:rPr>
      <w:szCs w:val="20"/>
    </w:rPr>
  </w:style>
  <w:style w:type="paragraph" w:styleId="1095" w:customStyle="1">
    <w:name w:val="列表段落1"/>
    <w:basedOn w:val="822"/>
    <w:next w:val="840"/>
    <w:uiPriority w:val="0"/>
    <w:qFormat/>
    <w:pPr>
      <w:ind w:firstLine="420"/>
    </w:pPr>
  </w:style>
  <w:style w:type="paragraph" w:styleId="1096" w:customStyle="1">
    <w:name w:val="正文缩进1"/>
    <w:basedOn w:val="822"/>
    <w:next w:val="822"/>
    <w:uiPriority w:val="0"/>
    <w:qFormat/>
    <w:pPr>
      <w:ind w:firstLine="420"/>
    </w:pPr>
    <w:rPr>
      <w:szCs w:val="21"/>
    </w:rPr>
  </w:style>
  <w:style w:type="paragraph" w:styleId="109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9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99"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0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6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E97110C-3F70-47BD-B1BC-E739F75BC1EA}"/>
</file>

<file path=customXml/itemProps2.xml><?xml version="1.0" encoding="utf-8"?>
<ds:datastoreItem xmlns:ds="http://schemas.openxmlformats.org/officeDocument/2006/customXml" ds:itemID="{200873C3-1D62-4EB1-90CA-246183C3F16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124</cp:revision>
  <dcterms:created xsi:type="dcterms:W3CDTF">2022-09-22T01:08:00Z</dcterms:created>
  <dcterms:modified xsi:type="dcterms:W3CDTF">2026-07-27T01:30:55Z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77531581CF34449DA0F372A2E4105CE3_13</vt:lpwstr>
  </property>
  <property fmtid="{D5CDD505-2E9C-101B-9397-08002B2CF9AE}" pid="4" name="KSOTemplateDocerSaveRecord">
    <vt:lpwstr>eyJoZGlkIjoiNjNhMTcxM2JjY2MyMmMyOTY0M2I3NDgwZDg2YjRlZDgiLCJ1c2VySWQiOiI2NjYwMzMwNDQifQ==</vt:lpwstr>
  </property>
</Properties>
</file>