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7"/>
        <w:ind w:left="0"/>
        <w:rPr>
          <w:rFonts w:hint="eastAsia"/>
        </w:rPr>
      </w:pPr>
      <w:r>
        <w:rPr>
          <w:rFonts w:hint="eastAsia"/>
        </w:rPr>
      </w:r>
      <w:r/>
    </w:p>
    <w:p>
      <w:r/>
      <w:r/>
    </w:p>
    <w:p>
      <w:r/>
      <w:r/>
    </w:p>
    <w:p>
      <w:r/>
      <w:r/>
    </w:p>
    <w:p>
      <w:r/>
      <w:r/>
    </w:p>
    <w:p>
      <w:r/>
      <w:r/>
    </w:p>
    <w:p>
      <w:r/>
      <w:r/>
    </w:p>
    <w:p>
      <w:pPr>
        <w:jc w:val="center"/>
        <w:rPr>
          <w:rFonts w:ascii="微软雅黑" w:hAnsi="微软雅黑" w:cs="微软雅黑"/>
          <w:b/>
          <w:bCs/>
          <w:sz w:val="84"/>
          <w:szCs w:val="84"/>
        </w:rPr>
      </w:pPr>
      <w:r>
        <w:rPr>
          <w:rFonts w:hint="eastAsia" w:ascii="微软雅黑" w:hAnsi="微软雅黑" w:cs="微软雅黑"/>
          <w:sz w:val="84"/>
          <w:szCs w:val="84"/>
        </w:rPr>
        <w:t xml:space="preserve">采购文件</w:t>
      </w:r>
      <w:r/>
    </w:p>
    <w:p>
      <w:pPr>
        <w:jc w:val="center"/>
        <w:rPr>
          <w:rFonts w:ascii="微软雅黑" w:hAnsi="微软雅黑" w:cs="微软雅黑"/>
          <w:sz w:val="52"/>
          <w:szCs w:val="52"/>
        </w:rPr>
      </w:pPr>
      <w:r>
        <w:rPr>
          <w:rFonts w:hint="eastAsia" w:ascii="微软雅黑" w:hAnsi="微软雅黑" w:cs="微软雅黑"/>
          <w:sz w:val="52"/>
          <w:szCs w:val="52"/>
        </w:rPr>
        <w:t xml:space="preserve">（公开招标）</w:t>
      </w:r>
      <w:r/>
    </w:p>
    <w:p>
      <w:pPr>
        <w:rPr>
          <w:rStyle w:val="1352"/>
          <w:rFonts w:ascii="微软雅黑" w:hAnsi="微软雅黑" w:cs="微软雅黑"/>
          <w:color w:val="auto"/>
        </w:rPr>
      </w:pPr>
      <w:r>
        <w:rPr>
          <w:rFonts w:ascii="微软雅黑" w:hAnsi="微软雅黑" w:cs="微软雅黑"/>
          <w:color w:val="auto"/>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ind w:left="2550" w:hanging="1500"/>
        <w:spacing w:line="360" w:lineRule="auto"/>
        <w:rPr>
          <w:rFonts w:ascii="微软雅黑" w:hAnsi="微软雅黑" w:cs="微软雅黑"/>
          <w:sz w:val="30"/>
          <w:szCs w:val="30"/>
        </w:rPr>
      </w:pPr>
      <w:r>
        <w:rPr>
          <w:rFonts w:ascii="微软雅黑" w:hAnsi="微软雅黑" w:cs="微软雅黑"/>
          <w:sz w:val="30"/>
          <w:szCs w:val="30"/>
        </w:rPr>
      </w:r>
      <w:r/>
    </w:p>
    <w:p>
      <w:pPr>
        <w:ind w:left="2550" w:hanging="1500"/>
        <w:spacing w:line="360" w:lineRule="auto"/>
        <w:rPr>
          <w:rFonts w:ascii="微软雅黑" w:hAnsi="微软雅黑" w:cs="微软雅黑"/>
          <w:sz w:val="30"/>
          <w:szCs w:val="30"/>
        </w:rPr>
      </w:pPr>
      <w:r>
        <w:rPr>
          <w:rFonts w:ascii="微软雅黑" w:hAnsi="微软雅黑" w:cs="微软雅黑"/>
          <w:sz w:val="30"/>
          <w:szCs w:val="30"/>
        </w:rPr>
      </w:r>
      <w:r/>
    </w:p>
    <w:p>
      <w:pPr>
        <w:ind w:left="2550" w:hanging="15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项目编号：</w:t>
      </w:r>
      <w:r>
        <w:rPr>
          <w:rFonts w:hint="eastAsia" w:ascii="微软雅黑" w:hAnsi="微软雅黑" w:cs="微软雅黑"/>
          <w:sz w:val="30"/>
          <w:szCs w:val="30"/>
          <w:lang w:eastAsia="zh-CN"/>
        </w:rPr>
        <w:t xml:space="preserve">JSZC-320000-JSHC-G2026-0018</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代理机构内部编号：JSHC-2026040214B1</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项目名称：南京林业大学固体核磁共振波谱仪</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采购人：南京林业大学</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p>
    <w:p>
      <w:pPr>
        <w:ind w:left="2580" w:hanging="2580"/>
        <w:jc w:val="center"/>
        <w:rPr>
          <w:rFonts w:ascii="微软雅黑" w:hAnsi="微软雅黑" w:cs="微软雅黑"/>
          <w:sz w:val="30"/>
          <w:szCs w:val="30"/>
        </w:rPr>
      </w:pPr>
      <w:r>
        <w:rPr>
          <w:rFonts w:ascii="微软雅黑" w:hAnsi="微软雅黑" w:cs="微软雅黑"/>
          <w:sz w:val="30"/>
          <w:szCs w:val="30"/>
        </w:rPr>
      </w:r>
      <w:r/>
    </w:p>
    <w:p>
      <w:pPr>
        <w:pStyle w:val="1297"/>
        <w:ind w:left="1260"/>
      </w:pPr>
      <w:r/>
      <w:r/>
    </w:p>
    <w:p>
      <w:r/>
      <w:r/>
    </w:p>
    <w:p>
      <w:pPr>
        <w:pStyle w:val="1324"/>
        <w:spacing w:line="240" w:lineRule="auto"/>
      </w:pPr>
      <w:r/>
      <w:r/>
    </w:p>
    <w:p>
      <w:pPr>
        <w:pStyle w:val="1297"/>
        <w:ind w:left="0"/>
      </w:pPr>
      <w:r/>
      <w:r/>
    </w:p>
    <w:p>
      <w:pPr>
        <w:jc w:val="center"/>
        <w:rPr>
          <w:rFonts w:ascii="微软雅黑" w:hAnsi="微软雅黑" w:cs="微软雅黑"/>
          <w:sz w:val="30"/>
          <w:szCs w:val="30"/>
        </w:rPr>
        <w:sectPr>
          <w:headerReference w:type="default" r:id="rId9"/>
          <w:headerReference w:type="first" r:id="rId10"/>
          <w:footerReference w:type="default" r:id="rId14"/>
          <w:footerReference w:type="first"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月</w:t>
      </w:r>
      <w:r/>
    </w:p>
    <w:p>
      <w:pPr>
        <w:jc w:val="center"/>
        <w:spacing w:line="400" w:lineRule="exact"/>
        <w:rPr>
          <w:rFonts w:ascii="微软雅黑" w:hAnsi="微软雅黑" w:cs="微软雅黑"/>
          <w:b/>
          <w:bCs/>
          <w:sz w:val="30"/>
          <w:szCs w:val="30"/>
        </w:rPr>
      </w:pPr>
      <w:r>
        <w:rPr>
          <w:rFonts w:hint="eastAsia" w:ascii="微软雅黑" w:hAnsi="微软雅黑" w:cs="微软雅黑"/>
          <w:b/>
          <w:bCs/>
          <w:sz w:val="30"/>
          <w:szCs w:val="30"/>
        </w:rPr>
        <w:t xml:space="preserve">目  录</w:t>
      </w:r>
      <w:r/>
    </w:p>
    <w:sdt>
      <w:sdtPr>
        <w15:appearance w15:val="boundingBox"/>
        <w:id w:val="147459340"/>
        <w:docPartObj>
          <w:docPartGallery w:val="Table of Contents"/>
          <w:docPartUnique w:val="true"/>
        </w:docPartObj>
        <w:rPr>
          <w:rFonts w:ascii="宋体" w:hAnsi="宋体" w:eastAsia="宋体"/>
        </w:rPr>
      </w:sdtPr>
      <w:sdtContent>
        <w:p>
          <w:pPr>
            <w:jc w:val="center"/>
          </w:pPr>
          <w:r/>
          <w:r/>
        </w:p>
        <w:p>
          <w:pPr>
            <w:pStyle w:val="1117"/>
            <w:spacing w:line="420" w:lineRule="exact"/>
            <w:tabs>
              <w:tab w:val="right" w:pos="9400"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fldChar w:fldCharType="begin"/>
          </w:r>
          <w:r>
            <w:instrText xml:space="preserve"> HYPERLINK \l "_Toc30265" </w:instrText>
          </w:r>
          <w:r>
            <w:fldChar w:fldCharType="separate"/>
          </w:r>
          <w:r>
            <w:rPr>
              <w:rFonts w:hint="eastAsia" w:ascii="微软雅黑" w:hAnsi="微软雅黑" w:cs="微软雅黑"/>
              <w:szCs w:val="32"/>
            </w:rPr>
            <w:t xml:space="preserve">第一章投标邀请（采购公告）</w:t>
          </w:r>
          <w:r>
            <w:tab/>
          </w:r>
          <w:r>
            <w:fldChar w:fldCharType="begin"/>
          </w:r>
          <w:r>
            <w:instrText xml:space="preserve"> PAGEREF _Toc30265 \h </w:instrText>
          </w:r>
          <w:r>
            <w:fldChar w:fldCharType="separate"/>
          </w:r>
          <w:r>
            <w:t xml:space="preserve">5</w:t>
          </w:r>
          <w:r>
            <w:fldChar w:fldCharType="end"/>
          </w:r>
          <w:r>
            <w:fldChar w:fldCharType="end"/>
          </w:r>
          <w:r/>
        </w:p>
        <w:p>
          <w:pPr>
            <w:pStyle w:val="1117"/>
            <w:spacing w:line="420" w:lineRule="exact"/>
            <w:tabs>
              <w:tab w:val="right" w:pos="9400" w:leader="dot"/>
            </w:tabs>
          </w:pPr>
          <w:r>
            <w:fldChar w:fldCharType="begin"/>
          </w:r>
          <w:r>
            <w:instrText xml:space="preserve"> HYPERLINK \l "_Toc21541" </w:instrText>
          </w:r>
          <w:r>
            <w:fldChar w:fldCharType="separate"/>
          </w:r>
          <w:r>
            <w:rPr>
              <w:rFonts w:hint="eastAsia" w:ascii="微软雅黑" w:hAnsi="微软雅黑" w:cs="微软雅黑"/>
              <w:szCs w:val="32"/>
            </w:rPr>
            <w:t xml:space="preserve">第二章</w:t>
          </w:r>
          <w:r>
            <w:rPr>
              <w:rFonts w:hint="eastAsia" w:ascii="微软雅黑" w:hAnsi="微软雅黑" w:cs="微软雅黑"/>
            </w:rPr>
            <w:t xml:space="preserve">供应商须知</w:t>
          </w:r>
          <w:r>
            <w:tab/>
          </w:r>
          <w:r>
            <w:fldChar w:fldCharType="begin"/>
          </w:r>
          <w:r>
            <w:instrText xml:space="preserve"> PAGEREF _Toc21541 \h </w:instrText>
          </w:r>
          <w:r>
            <w:fldChar w:fldCharType="separate"/>
          </w:r>
          <w:r>
            <w:t xml:space="preserve">8</w:t>
          </w:r>
          <w:r>
            <w:fldChar w:fldCharType="end"/>
          </w:r>
          <w:r>
            <w:fldChar w:fldCharType="end"/>
          </w:r>
          <w:r/>
        </w:p>
        <w:p>
          <w:pPr>
            <w:pStyle w:val="1123"/>
            <w:spacing w:line="420" w:lineRule="exact"/>
            <w:tabs>
              <w:tab w:val="right" w:pos="9400" w:leader="dot"/>
            </w:tabs>
          </w:pPr>
          <w:r>
            <w:fldChar w:fldCharType="begin"/>
          </w:r>
          <w:r>
            <w:instrText xml:space="preserve"> HYPERLINK \l "_Toc30548" </w:instrText>
          </w:r>
          <w:r>
            <w:fldChar w:fldCharType="separate"/>
          </w:r>
          <w:r>
            <w:rPr>
              <w:rFonts w:hint="eastAsia" w:ascii="微软雅黑" w:hAnsi="微软雅黑" w:cs="微软雅黑"/>
            </w:rPr>
            <w:t xml:space="preserve">一、总则</w:t>
          </w:r>
          <w:r>
            <w:tab/>
          </w:r>
          <w:r>
            <w:fldChar w:fldCharType="begin"/>
          </w:r>
          <w:r>
            <w:instrText xml:space="preserve"> PAGEREF _Toc30548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"_Toc7264" </w:instrText>
          </w:r>
          <w:r>
            <w:fldChar w:fldCharType="separate"/>
          </w:r>
          <w:r>
            <w:rPr>
              <w:rFonts w:hint="eastAsia" w:ascii="微软雅黑" w:hAnsi="微软雅黑" w:cs="微软雅黑"/>
              <w:szCs w:val="24"/>
            </w:rPr>
            <w:t xml:space="preserve">1.1适用范围</w:t>
          </w:r>
          <w:r>
            <w:tab/>
          </w:r>
          <w:r>
            <w:fldChar w:fldCharType="begin"/>
          </w:r>
          <w:r>
            <w:instrText xml:space="preserve"> PAGEREF _Toc7264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"_Toc28962" </w:instrText>
          </w:r>
          <w:r>
            <w:fldChar w:fldCharType="separate"/>
          </w:r>
          <w:r>
            <w:rPr>
              <w:rFonts w:hint="eastAsia" w:ascii="微软雅黑" w:hAnsi="微软雅黑" w:cs="微软雅黑"/>
              <w:szCs w:val="24"/>
            </w:rPr>
            <w:t xml:space="preserve">1.2合格的供应商</w:t>
          </w:r>
          <w:r>
            <w:tab/>
          </w:r>
          <w:r>
            <w:fldChar w:fldCharType="begin"/>
          </w:r>
          <w:r>
            <w:instrText xml:space="preserve"> PAGEREF _Toc28962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"_Toc6166" </w:instrText>
          </w:r>
          <w:r>
            <w:fldChar w:fldCharType="separate"/>
          </w:r>
          <w:r>
            <w:rPr>
              <w:rFonts w:hint="eastAsia" w:ascii="微软雅黑" w:hAnsi="微软雅黑" w:cs="微软雅黑"/>
              <w:szCs w:val="24"/>
            </w:rPr>
            <w:t xml:space="preserve">1.3参加采购活动费用</w:t>
          </w:r>
          <w:r>
            <w:tab/>
          </w:r>
          <w:r>
            <w:fldChar w:fldCharType="begin"/>
          </w:r>
          <w:r>
            <w:instrText xml:space="preserve"> PAGEREF _Toc6166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"_Toc8383" </w:instrText>
          </w:r>
          <w:r>
            <w:fldChar w:fldCharType="separate"/>
          </w:r>
          <w:r>
            <w:rPr>
              <w:rFonts w:hint="eastAsia" w:ascii="微软雅黑" w:hAnsi="微软雅黑" w:cs="微软雅黑"/>
              <w:szCs w:val="24"/>
            </w:rPr>
            <w:t xml:space="preserve">1.4法律适用</w:t>
          </w:r>
          <w:r>
            <w:tab/>
          </w:r>
          <w:r>
            <w:fldChar w:fldCharType="begin"/>
          </w:r>
          <w:r>
            <w:instrText xml:space="preserve"> PAGEREF _Toc8383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"_Toc1706" </w:instrText>
          </w:r>
          <w:r>
            <w:fldChar w:fldCharType="separate"/>
          </w:r>
          <w:r>
            <w:rPr>
              <w:rFonts w:hint="eastAsia" w:ascii="微软雅黑" w:hAnsi="微软雅黑" w:cs="微软雅黑"/>
              <w:szCs w:val="24"/>
            </w:rPr>
            <w:t xml:space="preserve">1.5采购文件的约束力</w:t>
          </w:r>
          <w:r>
            <w:tab/>
          </w:r>
          <w:r>
            <w:fldChar w:fldCharType="begin"/>
          </w:r>
          <w:r>
            <w:instrText xml:space="preserve"> PAGEREF _Toc1706 \h </w:instrText>
          </w:r>
          <w:r>
            <w:fldChar w:fldCharType="separate"/>
          </w:r>
          <w:r>
            <w:t xml:space="preserve">11</w:t>
          </w:r>
          <w:r>
            <w:fldChar w:fldCharType="end"/>
          </w:r>
          <w:r>
            <w:fldChar w:fldCharType="end"/>
          </w:r>
          <w:r/>
        </w:p>
        <w:p>
          <w:pPr>
            <w:pStyle w:val="1123"/>
            <w:spacing w:line="420" w:lineRule="exact"/>
            <w:tabs>
              <w:tab w:val="right" w:pos="9400" w:leader="dot"/>
            </w:tabs>
          </w:pPr>
          <w:r>
            <w:fldChar w:fldCharType="begin"/>
          </w:r>
          <w:r>
            <w:instrText xml:space="preserve"> HYPERLINK \l "_Toc11239" </w:instrText>
          </w:r>
          <w:r>
            <w:fldChar w:fldCharType="separate"/>
          </w:r>
          <w:r>
            <w:rPr>
              <w:rFonts w:hint="eastAsia" w:ascii="微软雅黑" w:hAnsi="微软雅黑" w:cs="微软雅黑"/>
            </w:rPr>
            <w:t xml:space="preserve">二、采购文件</w:t>
          </w:r>
          <w:r>
            <w:tab/>
          </w:r>
          <w:r>
            <w:fldChar w:fldCharType="begin"/>
          </w:r>
          <w:r>
            <w:instrText xml:space="preserve"> PAGEREF _Toc11239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"_Toc29475" </w:instrText>
          </w:r>
          <w:r>
            <w:fldChar w:fldCharType="separate"/>
          </w:r>
          <w:r>
            <w:rPr>
              <w:rFonts w:hint="eastAsia" w:ascii="微软雅黑" w:hAnsi="微软雅黑" w:cs="微软雅黑"/>
              <w:szCs w:val="24"/>
            </w:rPr>
            <w:t xml:space="preserve">2.1采购文件的组成</w:t>
          </w:r>
          <w:r>
            <w:tab/>
          </w:r>
          <w:r>
            <w:fldChar w:fldCharType="begin"/>
          </w:r>
          <w:r>
            <w:instrText xml:space="preserve"> PAGEREF _Toc29475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"_Toc1216" </w:instrText>
          </w:r>
          <w:r>
            <w:fldChar w:fldCharType="separate"/>
          </w:r>
          <w:r>
            <w:rPr>
              <w:rFonts w:hint="eastAsia" w:ascii="微软雅黑" w:hAnsi="微软雅黑" w:cs="微软雅黑"/>
              <w:szCs w:val="24"/>
            </w:rPr>
            <w:t xml:space="preserve">2.2采购文件的更正或补充</w:t>
          </w:r>
          <w:r>
            <w:tab/>
          </w:r>
          <w:r>
            <w:fldChar w:fldCharType="begin"/>
          </w:r>
          <w:r>
            <w:instrText xml:space="preserve"> PAGEREF _Toc1216 \h </w:instrText>
          </w:r>
          <w:r>
            <w:fldChar w:fldCharType="separate"/>
          </w:r>
          <w:r>
            <w:t xml:space="preserve">12</w:t>
          </w:r>
          <w:r>
            <w:fldChar w:fldCharType="end"/>
          </w:r>
          <w:r>
            <w:fldChar w:fldCharType="end"/>
          </w:r>
          <w:r/>
        </w:p>
        <w:p>
          <w:pPr>
            <w:pStyle w:val="1123"/>
            <w:spacing w:line="420" w:lineRule="exact"/>
            <w:tabs>
              <w:tab w:val="right" w:pos="9400" w:leader="dot"/>
            </w:tabs>
          </w:pPr>
          <w:r>
            <w:fldChar w:fldCharType="begin"/>
          </w:r>
          <w:r>
            <w:instrText xml:space="preserve"> HYPERLINK \l "_Toc13675" </w:instrText>
          </w:r>
          <w:r>
            <w:fldChar w:fldCharType="separate"/>
          </w:r>
          <w:r>
            <w:rPr>
              <w:rFonts w:hint="eastAsia" w:ascii="微软雅黑" w:hAnsi="微软雅黑" w:cs="微软雅黑"/>
            </w:rPr>
            <w:t xml:space="preserve">三、投标文件</w:t>
          </w:r>
          <w:r>
            <w:tab/>
          </w:r>
          <w:r>
            <w:fldChar w:fldCharType="begin"/>
          </w:r>
          <w:r>
            <w:instrText xml:space="preserve"> PAGEREF _Toc13675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"_Toc24730" </w:instrText>
          </w:r>
          <w:r>
            <w:fldChar w:fldCharType="separate"/>
          </w:r>
          <w:r>
            <w:rPr>
              <w:rFonts w:hint="eastAsia" w:ascii="微软雅黑" w:hAnsi="微软雅黑" w:cs="微软雅黑"/>
              <w:szCs w:val="24"/>
            </w:rPr>
            <w:t xml:space="preserve">3.1投标文件的语言及度量衡</w:t>
          </w:r>
          <w:r>
            <w:tab/>
          </w:r>
          <w:r>
            <w:fldChar w:fldCharType="begin"/>
          </w:r>
          <w:r>
            <w:instrText xml:space="preserve"> PAGEREF _Toc24730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"_Toc7785" </w:instrText>
          </w:r>
          <w:r>
            <w:fldChar w:fldCharType="separate"/>
          </w:r>
          <w:r>
            <w:rPr>
              <w:rFonts w:hint="eastAsia" w:ascii="微软雅黑" w:hAnsi="微软雅黑" w:cs="微软雅黑"/>
              <w:szCs w:val="24"/>
            </w:rPr>
            <w:t xml:space="preserve">3.2投标文件的组成</w:t>
          </w:r>
          <w:r>
            <w:tab/>
          </w:r>
          <w:r>
            <w:fldChar w:fldCharType="begin"/>
          </w:r>
          <w:r>
            <w:instrText xml:space="preserve"> PAGEREF _Toc7785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"_Toc532" </w:instrText>
          </w:r>
          <w:r>
            <w:fldChar w:fldCharType="separate"/>
          </w:r>
          <w:r>
            <w:rPr>
              <w:rFonts w:hint="eastAsia" w:ascii="微软雅黑" w:hAnsi="微软雅黑" w:cs="微软雅黑"/>
              <w:szCs w:val="24"/>
            </w:rPr>
            <w:t xml:space="preserve">3.3投标报价</w:t>
          </w:r>
          <w:r>
            <w:tab/>
          </w:r>
          <w:r>
            <w:fldChar w:fldCharType="begin"/>
          </w:r>
          <w:r>
            <w:instrText xml:space="preserve"> PAGEREF _Toc532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"_Toc11833" </w:instrText>
          </w:r>
          <w:r>
            <w:fldChar w:fldCharType="separate"/>
          </w:r>
          <w:r>
            <w:rPr>
              <w:rFonts w:hint="eastAsia" w:ascii="微软雅黑" w:hAnsi="微软雅黑" w:cs="微软雅黑"/>
              <w:szCs w:val="24"/>
            </w:rPr>
            <w:t xml:space="preserve">3.4投标报价中的货币</w:t>
          </w:r>
          <w:r>
            <w:tab/>
          </w:r>
          <w:r>
            <w:fldChar w:fldCharType="begin"/>
          </w:r>
          <w:r>
            <w:instrText xml:space="preserve"> PAGEREF _Toc11833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"_Toc22794" </w:instrText>
          </w:r>
          <w:r>
            <w:fldChar w:fldCharType="separate"/>
          </w:r>
          <w:r>
            <w:rPr>
              <w:rFonts w:hint="eastAsia" w:ascii="微软雅黑" w:hAnsi="微软雅黑" w:cs="微软雅黑"/>
              <w:szCs w:val="24"/>
            </w:rPr>
            <w:t xml:space="preserve">3.5投标保证金：无</w:t>
          </w:r>
          <w:r>
            <w:tab/>
          </w:r>
          <w:r>
            <w:fldChar w:fldCharType="begin"/>
          </w:r>
          <w:r>
            <w:instrText xml:space="preserve"> PAGEREF _Toc22794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"_Toc27848" </w:instrText>
          </w:r>
          <w:r>
            <w:fldChar w:fldCharType="separate"/>
          </w:r>
          <w:r>
            <w:rPr>
              <w:rFonts w:hint="eastAsia" w:ascii="微软雅黑" w:hAnsi="微软雅黑" w:cs="微软雅黑"/>
              <w:szCs w:val="24"/>
            </w:rPr>
            <w:t xml:space="preserve">3.6投标有效期</w:t>
          </w:r>
          <w:r>
            <w:tab/>
          </w:r>
          <w:r>
            <w:fldChar w:fldCharType="begin"/>
          </w:r>
          <w:r>
            <w:instrText xml:space="preserve"> PAGEREF _Toc27848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"_Toc20267" </w:instrText>
          </w:r>
          <w:r>
            <w:fldChar w:fldCharType="separate"/>
          </w:r>
          <w:r>
            <w:rPr>
              <w:rFonts w:hint="eastAsia" w:ascii="微软雅黑" w:hAnsi="微软雅黑" w:cs="微软雅黑"/>
              <w:szCs w:val="24"/>
            </w:rPr>
            <w:t xml:space="preserve">3.7投标文件的签署、形式及装订</w:t>
          </w:r>
          <w:r>
            <w:tab/>
          </w:r>
          <w:r>
            <w:fldChar w:fldCharType="begin"/>
          </w:r>
          <w:r>
            <w:instrText xml:space="preserve"> PAGEREF _Toc20267 \h </w:instrText>
          </w:r>
          <w:r>
            <w:fldChar w:fldCharType="separate"/>
          </w:r>
          <w:r>
            <w:t xml:space="preserve">13</w:t>
          </w:r>
          <w:r>
            <w:fldChar w:fldCharType="end"/>
          </w:r>
          <w:r>
            <w:fldChar w:fldCharType="end"/>
          </w:r>
          <w:r/>
        </w:p>
        <w:p>
          <w:pPr>
            <w:pStyle w:val="1123"/>
            <w:spacing w:line="420" w:lineRule="exact"/>
            <w:tabs>
              <w:tab w:val="right" w:pos="9400" w:leader="dot"/>
            </w:tabs>
          </w:pPr>
          <w:r>
            <w:fldChar w:fldCharType="begin"/>
          </w:r>
          <w:r>
            <w:instrText xml:space="preserve"> HYPERLINK \l "_Toc153" </w:instrText>
          </w:r>
          <w:r>
            <w:fldChar w:fldCharType="separate"/>
          </w:r>
          <w:r>
            <w:rPr>
              <w:rFonts w:hint="eastAsia" w:ascii="微软雅黑" w:hAnsi="微软雅黑" w:cs="微软雅黑"/>
            </w:rPr>
            <w:t xml:space="preserve">四、投标文件的递交</w:t>
          </w:r>
          <w:r>
            <w:tab/>
          </w:r>
          <w:r>
            <w:fldChar w:fldCharType="begin"/>
          </w:r>
          <w:r>
            <w:instrText xml:space="preserve"> PAGEREF _Toc153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"_Toc3641" </w:instrText>
          </w:r>
          <w:r>
            <w:fldChar w:fldCharType="separate"/>
          </w:r>
          <w:r>
            <w:rPr>
              <w:rFonts w:hint="eastAsia" w:ascii="微软雅黑" w:hAnsi="微软雅黑" w:cs="微软雅黑"/>
              <w:szCs w:val="21"/>
            </w:rPr>
            <w:t xml:space="preserve">4.2有下列情形的投标文件将被拒收</w:t>
          </w:r>
          <w:r>
            <w:tab/>
          </w:r>
          <w:r>
            <w:fldChar w:fldCharType="begin"/>
          </w:r>
          <w:r>
            <w:instrText xml:space="preserve"> PAGEREF _Toc3641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"_Toc15498" </w:instrText>
          </w:r>
          <w:r>
            <w:fldChar w:fldCharType="separate"/>
          </w:r>
          <w:r>
            <w:rPr>
              <w:rFonts w:hint="eastAsia" w:ascii="微软雅黑" w:hAnsi="微软雅黑" w:cs="微软雅黑"/>
              <w:bCs/>
              <w:szCs w:val="21"/>
            </w:rPr>
            <w:t xml:space="preserve">4.2.1投标人未按照《操作手册》规定，在“苏采云”系统规定的时间内对投标文件进行解密的。</w:t>
          </w:r>
          <w:r>
            <w:tab/>
          </w:r>
          <w:r>
            <w:fldChar w:fldCharType="begin"/>
          </w:r>
          <w:r>
            <w:instrText xml:space="preserve"> PAGEREF _Toc15498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"_Toc13623" </w:instrText>
          </w:r>
          <w:r>
            <w:fldChar w:fldCharType="separate"/>
          </w:r>
          <w:r>
            <w:rPr>
              <w:rFonts w:hint="eastAsia" w:ascii="微软雅黑" w:hAnsi="微软雅黑" w:cs="微软雅黑"/>
              <w:bCs/>
              <w:szCs w:val="21"/>
            </w:rPr>
            <w:t xml:space="preserve">4.2.2投标人应充分考虑网络环境、网络带宽等因素可能对投标产生的影响，如因投标人自身原因造成的电子投标文件解密不成功的，做无效投标处理,</w:t>
          </w:r>
          <w:r>
            <w:rPr>
              <w:rFonts w:ascii="微软雅黑" w:hAnsi="微软雅黑" w:cs="微软雅黑"/>
              <w:bCs/>
              <w:szCs w:val="21"/>
              <w:shd w:val="clear" w:color="auto" w:fill="ffffff"/>
            </w:rPr>
            <w:t xml:space="preserve">但</w:t>
          </w:r>
          <w:r>
            <w:rPr>
              <w:rFonts w:ascii="微软雅黑" w:hAnsi="微软雅黑" w:cs="微软雅黑"/>
              <w:szCs w:val="21"/>
              <w:shd w:val="clear" w:color="auto" w:fill="ffffff"/>
            </w:rPr>
            <w:t xml:space="preserve">因系统故障导致投标人无法在</w:t>
          </w:r>
          <w:r>
            <w:rPr>
              <w:rFonts w:hint="eastAsia" w:ascii="微软雅黑" w:hAnsi="微软雅黑" w:cs="微软雅黑"/>
              <w:bCs/>
              <w:szCs w:val="21"/>
            </w:rPr>
            <w:t xml:space="preserve">“苏采云”系统规定的时间</w:t>
          </w:r>
          <w:r>
            <w:rPr>
              <w:rFonts w:ascii="微软雅黑" w:hAnsi="微软雅黑" w:cs="微软雅黑"/>
              <w:szCs w:val="21"/>
              <w:shd w:val="clear" w:color="auto" w:fill="ffffff"/>
            </w:rPr>
            <w:t xml:space="preserve">内完成签到或解密的情况除外。</w:t>
          </w:r>
          <w:r>
            <w:tab/>
          </w:r>
          <w:r>
            <w:fldChar w:fldCharType="begin"/>
          </w:r>
          <w:r>
            <w:instrText xml:space="preserve"> PAGEREF _Toc13623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"_Toc25795" </w:instrText>
          </w:r>
          <w:r>
            <w:fldChar w:fldCharType="separate"/>
          </w:r>
          <w:r>
            <w:rPr>
              <w:rFonts w:hint="eastAsia" w:ascii="微软雅黑" w:hAnsi="微软雅黑" w:cs="微软雅黑"/>
              <w:szCs w:val="21"/>
            </w:rPr>
            <w:t xml:space="preserve">4.3 投标截止时间</w:t>
          </w:r>
          <w:r>
            <w:tab/>
          </w:r>
          <w:r>
            <w:fldChar w:fldCharType="begin"/>
          </w:r>
          <w:r>
            <w:instrText xml:space="preserve"> PAGEREF _Toc25795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"_Toc23569" </w:instrText>
          </w:r>
          <w:r>
            <w:fldChar w:fldCharType="separate"/>
          </w:r>
          <w:r>
            <w:rPr>
              <w:rFonts w:hint="eastAsia" w:ascii="微软雅黑" w:hAnsi="微软雅黑" w:cs="微软雅黑"/>
              <w:szCs w:val="21"/>
            </w:rPr>
            <w:t xml:space="preserve">4.4 投标文件的修改和撤回</w:t>
          </w:r>
          <w:r>
            <w:tab/>
          </w:r>
          <w:r>
            <w:fldChar w:fldCharType="begin"/>
          </w:r>
          <w:r>
            <w:instrText xml:space="preserve"> PAGEREF _Toc23569 \h </w:instrText>
          </w:r>
          <w:r>
            <w:fldChar w:fldCharType="separate"/>
          </w:r>
          <w:r>
            <w:t xml:space="preserve">14</w:t>
          </w:r>
          <w:r>
            <w:fldChar w:fldCharType="end"/>
          </w:r>
          <w:r>
            <w:fldChar w:fldCharType="end"/>
          </w:r>
          <w:r/>
        </w:p>
        <w:p>
          <w:pPr>
            <w:pStyle w:val="1123"/>
            <w:spacing w:line="420" w:lineRule="exact"/>
            <w:tabs>
              <w:tab w:val="right" w:pos="9400" w:leader="dot"/>
            </w:tabs>
          </w:pPr>
          <w:r>
            <w:fldChar w:fldCharType="begin"/>
          </w:r>
          <w:r>
            <w:instrText xml:space="preserve"> HYPERLINK \l "_Toc11333" </w:instrText>
          </w:r>
          <w:r>
            <w:fldChar w:fldCharType="separate"/>
          </w:r>
          <w:r>
            <w:rPr>
              <w:rFonts w:hint="eastAsia" w:ascii="微软雅黑" w:hAnsi="微软雅黑" w:cs="微软雅黑"/>
              <w:bCs/>
              <w:szCs w:val="32"/>
            </w:rPr>
            <w:t xml:space="preserve">五、开标与评标</w:t>
          </w:r>
          <w:r>
            <w:tab/>
          </w:r>
          <w:r>
            <w:fldChar w:fldCharType="begin"/>
          </w:r>
          <w:r>
            <w:instrText xml:space="preserve"> PAGEREF _Toc11333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"_Toc388" </w:instrText>
          </w:r>
          <w:r>
            <w:fldChar w:fldCharType="separate"/>
          </w:r>
          <w:r>
            <w:rPr>
              <w:rFonts w:hint="eastAsia" w:ascii="微软雅黑" w:hAnsi="微软雅黑" w:cs="微软雅黑"/>
              <w:szCs w:val="21"/>
            </w:rPr>
            <w:t xml:space="preserve">5.1 投标文件启封</w:t>
          </w:r>
          <w:r>
            <w:tab/>
          </w:r>
          <w:r>
            <w:fldChar w:fldCharType="begin"/>
          </w:r>
          <w:r>
            <w:instrText xml:space="preserve"> PAGEREF _Toc388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"_Toc14246" </w:instrText>
          </w:r>
          <w:r>
            <w:fldChar w:fldCharType="separate"/>
          </w:r>
          <w:r>
            <w:rPr>
              <w:rFonts w:hint="eastAsia" w:ascii="微软雅黑" w:hAnsi="微软雅黑" w:cs="微软雅黑"/>
              <w:szCs w:val="21"/>
            </w:rPr>
            <w:t xml:space="preserve">5.2 评标委员会</w:t>
          </w:r>
          <w:r>
            <w:tab/>
          </w:r>
          <w:r>
            <w:fldChar w:fldCharType="begin"/>
          </w:r>
          <w:r>
            <w:instrText xml:space="preserve"> PAGEREF _Toc14246 \h </w:instrText>
          </w:r>
          <w:r>
            <w:fldChar w:fldCharType="separate"/>
          </w:r>
          <w:r>
            <w:t xml:space="preserve">15</w:t>
          </w:r>
          <w:r>
            <w:fldChar w:fldCharType="end"/>
          </w:r>
          <w:r>
            <w:fldChar w:fldCharType="end"/>
          </w:r>
          <w:r/>
        </w:p>
        <w:p>
          <w:pPr>
            <w:pStyle w:val="1110"/>
            <w:spacing w:line="420" w:lineRule="exact"/>
            <w:tabs>
              <w:tab w:val="right" w:pos="9400" w:leader="dot"/>
            </w:tabs>
          </w:pPr>
          <w:r>
            <w:fldChar w:fldCharType="begin"/>
          </w:r>
          <w:r>
            <w:instrText xml:space="preserve"> HYPERLINK \l "_Toc7506" </w:instrText>
          </w:r>
          <w:r>
            <w:fldChar w:fldCharType="separate"/>
          </w:r>
          <w:r>
            <w:rPr>
              <w:rFonts w:hint="eastAsia" w:ascii="微软雅黑" w:hAnsi="微软雅黑" w:cs="微软雅黑"/>
              <w:szCs w:val="21"/>
            </w:rPr>
            <w:t xml:space="preserve">5.3 对投标文件的资格性审查和符合性审查</w:t>
          </w:r>
          <w:r>
            <w:tab/>
          </w:r>
          <w:r>
            <w:fldChar w:fldCharType="begin"/>
          </w:r>
          <w:r>
            <w:instrText xml:space="preserve"> PAGEREF _Toc7506 \h </w:instrText>
          </w:r>
          <w:r>
            <w:fldChar w:fldCharType="separate"/>
          </w:r>
          <w:r>
            <w:t xml:space="preserve">15</w:t>
          </w:r>
          <w:r>
            <w:fldChar w:fldCharType="end"/>
          </w:r>
          <w:r>
            <w:fldChar w:fldCharType="end"/>
          </w:r>
          <w:r/>
        </w:p>
        <w:p>
          <w:pPr>
            <w:pStyle w:val="1110"/>
            <w:spacing w:line="420" w:lineRule="exact"/>
            <w:tabs>
              <w:tab w:val="right" w:pos="9400" w:leader="dot"/>
            </w:tabs>
          </w:pPr>
          <w:r>
            <w:fldChar w:fldCharType="begin"/>
          </w:r>
          <w:r>
            <w:instrText xml:space="preserve"> HYPERLINK \l "_Toc5890" </w:instrText>
          </w:r>
          <w:r>
            <w:fldChar w:fldCharType="separate"/>
          </w:r>
          <w:r>
            <w:rPr>
              <w:rFonts w:hint="eastAsia" w:ascii="微软雅黑" w:hAnsi="微软雅黑" w:cs="微软雅黑"/>
              <w:szCs w:val="24"/>
            </w:rPr>
            <w:t xml:space="preserve">5.4投标文件的澄清</w:t>
          </w:r>
          <w:r>
            <w:tab/>
          </w:r>
          <w:r>
            <w:fldChar w:fldCharType="begin"/>
          </w:r>
          <w:r>
            <w:instrText xml:space="preserve"> PAGEREF _Toc5890 \h </w:instrText>
          </w:r>
          <w:r>
            <w:fldChar w:fldCharType="separate"/>
          </w:r>
          <w:r>
            <w:t xml:space="preserve">15</w:t>
          </w:r>
          <w:r>
            <w:fldChar w:fldCharType="end"/>
          </w:r>
          <w:r>
            <w:fldChar w:fldCharType="end"/>
          </w:r>
          <w:r/>
        </w:p>
        <w:p>
          <w:pPr>
            <w:pStyle w:val="1110"/>
            <w:spacing w:line="420" w:lineRule="exact"/>
            <w:tabs>
              <w:tab w:val="right" w:pos="9400" w:leader="dot"/>
            </w:tabs>
          </w:pPr>
          <w:r>
            <w:fldChar w:fldCharType="begin"/>
          </w:r>
          <w:r>
            <w:instrText xml:space="preserve"> HYPERLINK \l "_Toc8455" </w:instrText>
          </w:r>
          <w:r>
            <w:fldChar w:fldCharType="separate"/>
          </w:r>
          <w:r>
            <w:rPr>
              <w:rFonts w:hint="eastAsia" w:ascii="微软雅黑" w:hAnsi="微软雅黑" w:cs="微软雅黑"/>
              <w:szCs w:val="24"/>
            </w:rPr>
            <w:t xml:space="preserve">5.5评标及中标</w:t>
          </w:r>
          <w:r>
            <w:tab/>
          </w:r>
          <w:r>
            <w:fldChar w:fldCharType="begin"/>
          </w:r>
          <w:r>
            <w:instrText xml:space="preserve"> PAGEREF _Toc8455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"_Toc30764" </w:instrText>
          </w:r>
          <w:r>
            <w:fldChar w:fldCharType="separate"/>
          </w:r>
          <w:r>
            <w:rPr>
              <w:rFonts w:hint="eastAsia" w:ascii="微软雅黑" w:hAnsi="微软雅黑" w:cs="微软雅黑"/>
              <w:szCs w:val="24"/>
            </w:rPr>
            <w:t xml:space="preserve">5.6评标过程保密</w:t>
          </w:r>
          <w:r>
            <w:tab/>
          </w:r>
          <w:r>
            <w:fldChar w:fldCharType="begin"/>
          </w:r>
          <w:r>
            <w:instrText xml:space="preserve"> PAGEREF _Toc30764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"_Toc17359" </w:instrText>
          </w:r>
          <w:r>
            <w:fldChar w:fldCharType="separate"/>
          </w:r>
          <w:r>
            <w:rPr>
              <w:rFonts w:hint="eastAsia" w:ascii="微软雅黑" w:hAnsi="微软雅黑" w:cs="微软雅黑"/>
              <w:szCs w:val="24"/>
            </w:rPr>
            <w:t xml:space="preserve">5.7投标截止时间结束后参加供应商不足三家情况的处理</w:t>
          </w:r>
          <w:r>
            <w:tab/>
          </w:r>
          <w:r>
            <w:fldChar w:fldCharType="begin"/>
          </w:r>
          <w:r>
            <w:instrText xml:space="preserve"> PAGEREF _Toc17359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"_Toc7070" </w:instrText>
          </w:r>
          <w:r>
            <w:fldChar w:fldCharType="separate"/>
          </w:r>
          <w:r>
            <w:rPr>
              <w:rFonts w:hint="eastAsia" w:ascii="微软雅黑" w:hAnsi="微软雅黑" w:cs="微软雅黑"/>
              <w:szCs w:val="24"/>
            </w:rPr>
            <w:t xml:space="preserve">5.8废标（终止采购活动）</w:t>
          </w:r>
          <w:r>
            <w:tab/>
          </w:r>
          <w:r>
            <w:fldChar w:fldCharType="begin"/>
          </w:r>
          <w:r>
            <w:instrText xml:space="preserve"> PAGEREF _Toc7070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"_Toc6713" </w:instrText>
          </w:r>
          <w:r>
            <w:fldChar w:fldCharType="separate"/>
          </w:r>
          <w:r>
            <w:rPr>
              <w:rFonts w:hint="eastAsia" w:ascii="微软雅黑" w:hAnsi="微软雅黑" w:cs="微软雅黑"/>
              <w:szCs w:val="24"/>
            </w:rPr>
            <w:t xml:space="preserve">5.9有下列情形之一的，视为投标供应商串通投标，其投标无效：</w:t>
          </w:r>
          <w:r>
            <w:tab/>
          </w:r>
          <w:r>
            <w:fldChar w:fldCharType="begin"/>
          </w:r>
          <w:r>
            <w:instrText xml:space="preserve"> PAGEREF _Toc6713 \h </w:instrText>
          </w:r>
          <w:r>
            <w:fldChar w:fldCharType="separate"/>
          </w:r>
          <w:r>
            <w:t xml:space="preserve">17</w:t>
          </w:r>
          <w:r>
            <w:fldChar w:fldCharType="end"/>
          </w:r>
          <w:r>
            <w:fldChar w:fldCharType="end"/>
          </w:r>
          <w:r/>
        </w:p>
        <w:p>
          <w:pPr>
            <w:pStyle w:val="1123"/>
            <w:spacing w:line="420" w:lineRule="exact"/>
            <w:tabs>
              <w:tab w:val="right" w:pos="9400" w:leader="dot"/>
            </w:tabs>
          </w:pPr>
          <w:r>
            <w:fldChar w:fldCharType="begin"/>
          </w:r>
          <w:r>
            <w:instrText xml:space="preserve"> HYPERLINK \l "_Toc10687" </w:instrText>
          </w:r>
          <w:r>
            <w:fldChar w:fldCharType="separate"/>
          </w:r>
          <w:r>
            <w:rPr>
              <w:rFonts w:hint="eastAsia" w:ascii="微软雅黑" w:hAnsi="微软雅黑" w:cs="微软雅黑"/>
            </w:rPr>
            <w:t xml:space="preserve">六、合同授予及签订</w:t>
          </w:r>
          <w:r>
            <w:tab/>
          </w:r>
          <w:r>
            <w:fldChar w:fldCharType="begin"/>
          </w:r>
          <w:r>
            <w:instrText xml:space="preserve"> PAGEREF _Toc10687 \h </w:instrText>
          </w:r>
          <w:r>
            <w:fldChar w:fldCharType="separate"/>
          </w:r>
          <w:r>
            <w:t xml:space="preserve">17</w:t>
          </w:r>
          <w:r>
            <w:fldChar w:fldCharType="end"/>
          </w:r>
          <w:r>
            <w:fldChar w:fldCharType="end"/>
          </w:r>
          <w:r/>
        </w:p>
        <w:p>
          <w:pPr>
            <w:pStyle w:val="1110"/>
            <w:spacing w:line="420" w:lineRule="exact"/>
            <w:tabs>
              <w:tab w:val="right" w:pos="9400" w:leader="dot"/>
            </w:tabs>
          </w:pPr>
          <w:r>
            <w:fldChar w:fldCharType="begin"/>
          </w:r>
          <w:r>
            <w:instrText xml:space="preserve"> HYPERLINK \l "_Toc16602" </w:instrText>
          </w:r>
          <w:r>
            <w:fldChar w:fldCharType="separate"/>
          </w:r>
          <w:r>
            <w:rPr>
              <w:rFonts w:hint="eastAsia" w:ascii="微软雅黑" w:hAnsi="微软雅黑" w:cs="微软雅黑"/>
              <w:szCs w:val="24"/>
            </w:rPr>
            <w:t xml:space="preserve">6.1确定中标、成交供应商</w:t>
          </w:r>
          <w:r>
            <w:tab/>
          </w:r>
          <w:r>
            <w:fldChar w:fldCharType="begin"/>
          </w:r>
          <w:r>
            <w:instrText xml:space="preserve"> PAGEREF _Toc16602 \h </w:instrText>
          </w:r>
          <w:r>
            <w:fldChar w:fldCharType="separate"/>
          </w:r>
          <w:r>
            <w:t xml:space="preserve">17</w:t>
          </w:r>
          <w:r>
            <w:fldChar w:fldCharType="end"/>
          </w:r>
          <w:r>
            <w:fldChar w:fldCharType="end"/>
          </w:r>
          <w:r/>
        </w:p>
        <w:p>
          <w:pPr>
            <w:pStyle w:val="1110"/>
            <w:spacing w:line="420" w:lineRule="exact"/>
            <w:tabs>
              <w:tab w:val="right" w:pos="9400" w:leader="dot"/>
            </w:tabs>
          </w:pPr>
          <w:r>
            <w:fldChar w:fldCharType="begin"/>
          </w:r>
          <w:r>
            <w:instrText xml:space="preserve"> HYPERLINK \l "_Toc13169" </w:instrText>
          </w:r>
          <w:r>
            <w:fldChar w:fldCharType="separate"/>
          </w:r>
          <w:r>
            <w:rPr>
              <w:rFonts w:hint="eastAsia" w:ascii="微软雅黑" w:hAnsi="微软雅黑" w:cs="微软雅黑"/>
              <w:szCs w:val="24"/>
            </w:rPr>
            <w:t xml:space="preserve">6.2质疑处理</w:t>
          </w:r>
          <w:r>
            <w:tab/>
          </w:r>
          <w:r>
            <w:fldChar w:fldCharType="begin"/>
          </w:r>
          <w:r>
            <w:instrText xml:space="preserve"> PAGEREF _Toc13169 \h </w:instrText>
          </w:r>
          <w:r>
            <w:fldChar w:fldCharType="separate"/>
          </w:r>
          <w:r>
            <w:t xml:space="preserve">17</w:t>
          </w:r>
          <w:r>
            <w:fldChar w:fldCharType="end"/>
          </w:r>
          <w:r>
            <w:fldChar w:fldCharType="end"/>
          </w:r>
          <w:r/>
        </w:p>
        <w:p>
          <w:pPr>
            <w:pStyle w:val="1110"/>
            <w:spacing w:line="420" w:lineRule="exact"/>
            <w:tabs>
              <w:tab w:val="right" w:pos="9400" w:leader="dot"/>
            </w:tabs>
          </w:pPr>
          <w:r>
            <w:fldChar w:fldCharType="begin"/>
          </w:r>
          <w:r>
            <w:instrText xml:space="preserve"> HYPERLINK \l "_Toc22822" </w:instrText>
          </w:r>
          <w:r>
            <w:fldChar w:fldCharType="separate"/>
          </w:r>
          <w:r>
            <w:rPr>
              <w:rFonts w:hint="eastAsia" w:ascii="微软雅黑" w:hAnsi="微软雅黑" w:cs="微软雅黑"/>
              <w:szCs w:val="24"/>
            </w:rPr>
            <w:t xml:space="preserve">6.3中标通知书</w:t>
          </w:r>
          <w:r>
            <w:tab/>
          </w:r>
          <w:r>
            <w:fldChar w:fldCharType="begin"/>
          </w:r>
          <w:r>
            <w:instrText xml:space="preserve"> PAGEREF _Toc22822 \h </w:instrText>
          </w:r>
          <w:r>
            <w:fldChar w:fldCharType="separate"/>
          </w:r>
          <w:r>
            <w:t xml:space="preserve">18</w:t>
          </w:r>
          <w:r>
            <w:fldChar w:fldCharType="end"/>
          </w:r>
          <w:r>
            <w:fldChar w:fldCharType="end"/>
          </w:r>
          <w:r/>
        </w:p>
        <w:p>
          <w:pPr>
            <w:pStyle w:val="1110"/>
            <w:spacing w:line="420" w:lineRule="exact"/>
            <w:tabs>
              <w:tab w:val="right" w:pos="9400" w:leader="dot"/>
            </w:tabs>
          </w:pPr>
          <w:r>
            <w:fldChar w:fldCharType="begin"/>
          </w:r>
          <w:r>
            <w:instrText xml:space="preserve"> HYPERLINK \l "_Toc16396" </w:instrText>
          </w:r>
          <w:r>
            <w:fldChar w:fldCharType="separate"/>
          </w:r>
          <w:r>
            <w:rPr>
              <w:rFonts w:hint="eastAsia" w:ascii="微软雅黑" w:hAnsi="微软雅黑" w:cs="微软雅黑"/>
              <w:szCs w:val="24"/>
            </w:rPr>
            <w:t xml:space="preserve">6.4签订合同</w:t>
          </w:r>
          <w:r>
            <w:tab/>
          </w:r>
          <w:r>
            <w:fldChar w:fldCharType="begin"/>
          </w:r>
          <w:r>
            <w:instrText xml:space="preserve"> PAGEREF _Toc16396 \h </w:instrText>
          </w:r>
          <w:r>
            <w:fldChar w:fldCharType="separate"/>
          </w:r>
          <w:r>
            <w:t xml:space="preserve">18</w:t>
          </w:r>
          <w:r>
            <w:fldChar w:fldCharType="end"/>
          </w:r>
          <w:r>
            <w:fldChar w:fldCharType="end"/>
          </w:r>
          <w:r/>
        </w:p>
        <w:p>
          <w:pPr>
            <w:pStyle w:val="1117"/>
            <w:spacing w:line="420" w:lineRule="exact"/>
            <w:tabs>
              <w:tab w:val="right" w:pos="9400" w:leader="dot"/>
            </w:tabs>
          </w:pPr>
          <w:r>
            <w:fldChar w:fldCharType="begin"/>
          </w:r>
          <w:r>
            <w:instrText xml:space="preserve"> HYPERLINK \l "_Toc20989" </w:instrText>
          </w:r>
          <w:r>
            <w:fldChar w:fldCharType="separate"/>
          </w:r>
          <w:r>
            <w:rPr>
              <w:rFonts w:hint="eastAsia" w:ascii="微软雅黑" w:hAnsi="微软雅黑" w:cs="微软雅黑"/>
            </w:rPr>
            <w:t xml:space="preserve">第三章 评标办法和定标原则</w:t>
          </w:r>
          <w:r>
            <w:tab/>
          </w:r>
          <w:r>
            <w:fldChar w:fldCharType="begin"/>
          </w:r>
          <w:r>
            <w:instrText xml:space="preserve"> PAGEREF _Toc20989 \h </w:instrText>
          </w:r>
          <w:r>
            <w:fldChar w:fldCharType="separate"/>
          </w:r>
          <w:r>
            <w:t xml:space="preserve">19</w:t>
          </w:r>
          <w:r>
            <w:fldChar w:fldCharType="end"/>
          </w:r>
          <w:r>
            <w:fldChar w:fldCharType="end"/>
          </w:r>
          <w:r/>
        </w:p>
        <w:p>
          <w:pPr>
            <w:pStyle w:val="1117"/>
            <w:spacing w:line="420" w:lineRule="exact"/>
            <w:tabs>
              <w:tab w:val="right" w:pos="9400" w:leader="dot"/>
            </w:tabs>
          </w:pPr>
          <w:r>
            <w:fldChar w:fldCharType="begin"/>
          </w:r>
          <w:r>
            <w:instrText xml:space="preserve"> HYPERLINK \l "_Toc7214" </w:instrText>
          </w:r>
          <w:r>
            <w:fldChar w:fldCharType="separate"/>
          </w:r>
          <w:r>
            <w:rPr>
              <w:rFonts w:hint="eastAsia" w:ascii="微软雅黑" w:hAnsi="微软雅黑" w:cs="微软雅黑"/>
              <w:szCs w:val="32"/>
            </w:rPr>
            <w:t xml:space="preserve">第四章 项目采购需求</w:t>
          </w:r>
          <w:r>
            <w:tab/>
          </w:r>
          <w:r>
            <w:fldChar w:fldCharType="begin"/>
          </w:r>
          <w:r>
            <w:instrText xml:space="preserve"> PAGEREF _Toc7214 \h </w:instrText>
          </w:r>
          <w:r>
            <w:fldChar w:fldCharType="separate"/>
          </w:r>
          <w:r>
            <w:t xml:space="preserve">24</w:t>
          </w:r>
          <w:r>
            <w:fldChar w:fldCharType="end"/>
          </w:r>
          <w:r>
            <w:fldChar w:fldCharType="end"/>
          </w:r>
          <w:r/>
        </w:p>
        <w:p>
          <w:pPr>
            <w:pStyle w:val="1117"/>
            <w:spacing w:line="420" w:lineRule="exact"/>
            <w:tabs>
              <w:tab w:val="right" w:pos="9400" w:leader="dot"/>
            </w:tabs>
          </w:pPr>
          <w:r>
            <w:fldChar w:fldCharType="begin"/>
          </w:r>
          <w:r>
            <w:instrText xml:space="preserve"> HYPERLINK \l "_Toc15482" </w:instrText>
          </w:r>
          <w:r>
            <w:fldChar w:fldCharType="separate"/>
          </w:r>
          <w:r>
            <w:rPr>
              <w:rFonts w:hint="eastAsia" w:ascii="微软雅黑" w:hAnsi="微软雅黑" w:cs="微软雅黑"/>
              <w:bCs/>
              <w:szCs w:val="32"/>
            </w:rPr>
            <w:t xml:space="preserve">第五章  合同条款及格式</w:t>
          </w:r>
          <w:r>
            <w:tab/>
          </w:r>
          <w:r>
            <w:fldChar w:fldCharType="begin"/>
          </w:r>
          <w:r>
            <w:instrText xml:space="preserve"> PAGEREF _Toc15482 \h </w:instrText>
          </w:r>
          <w:r>
            <w:fldChar w:fldCharType="separate"/>
          </w:r>
          <w:r>
            <w:t xml:space="preserve">29</w:t>
          </w:r>
          <w:r>
            <w:fldChar w:fldCharType="end"/>
          </w:r>
          <w:r>
            <w:fldChar w:fldCharType="end"/>
          </w:r>
          <w:r/>
        </w:p>
        <w:p>
          <w:pPr>
            <w:pStyle w:val="1117"/>
            <w:spacing w:line="420" w:lineRule="exact"/>
            <w:tabs>
              <w:tab w:val="right" w:pos="9400" w:leader="dot"/>
            </w:tabs>
          </w:pPr>
          <w:r>
            <w:fldChar w:fldCharType="begin"/>
          </w:r>
          <w:r>
            <w:instrText xml:space="preserve"> HYPERLINK \l "_Toc3509" </w:instrText>
          </w:r>
          <w:r>
            <w:fldChar w:fldCharType="separate"/>
          </w:r>
          <w:r>
            <w:rPr>
              <w:rFonts w:hint="eastAsia" w:ascii="微软雅黑" w:hAnsi="微软雅黑" w:cs="微软雅黑"/>
            </w:rPr>
            <w:t xml:space="preserve">第六章投标文件格式及附件</w:t>
          </w:r>
          <w:r>
            <w:tab/>
          </w:r>
          <w:r>
            <w:fldChar w:fldCharType="begin"/>
          </w:r>
          <w:r>
            <w:instrText xml:space="preserve"> PAGEREF _Toc3509 \h </w:instrText>
          </w:r>
          <w:r>
            <w:fldChar w:fldCharType="separate"/>
          </w:r>
          <w:r>
            <w:t xml:space="preserve">39</w:t>
          </w:r>
          <w:r>
            <w:fldChar w:fldCharType="end"/>
          </w:r>
          <w:r>
            <w:fldChar w:fldCharType="end"/>
          </w:r>
          <w:r/>
        </w:p>
        <w:p>
          <w:pPr>
            <w:pStyle w:val="1123"/>
            <w:spacing w:line="420" w:lineRule="exact"/>
            <w:tabs>
              <w:tab w:val="right" w:pos="9400" w:leader="dot"/>
            </w:tabs>
          </w:pPr>
          <w:r>
            <w:fldChar w:fldCharType="begin"/>
          </w:r>
          <w:r>
            <w:instrText xml:space="preserve"> HYPERLINK \l "_Toc20257" </w:instrText>
          </w:r>
          <w:r>
            <w:fldChar w:fldCharType="separate"/>
          </w:r>
          <w:r>
            <w:rPr>
              <w:rFonts w:hint="eastAsia" w:ascii="微软雅黑" w:hAnsi="微软雅黑" w:cs="微软雅黑"/>
            </w:rPr>
            <w:t xml:space="preserve">一、投标函、投标报价及项目相关文件</w:t>
          </w:r>
          <w:r>
            <w:tab/>
          </w:r>
          <w:r>
            <w:fldChar w:fldCharType="begin"/>
          </w:r>
          <w:r>
            <w:instrText xml:space="preserve"> PAGEREF _Toc20257 \h </w:instrText>
          </w:r>
          <w:r>
            <w:fldChar w:fldCharType="separate"/>
          </w:r>
          <w:r>
            <w:t xml:space="preserve">44</w:t>
          </w:r>
          <w:r>
            <w:fldChar w:fldCharType="end"/>
          </w:r>
          <w:r>
            <w:fldChar w:fldCharType="end"/>
          </w:r>
          <w:r/>
        </w:p>
        <w:p>
          <w:pPr>
            <w:pStyle w:val="1110"/>
            <w:spacing w:line="420" w:lineRule="exact"/>
            <w:tabs>
              <w:tab w:val="right" w:pos="9400" w:leader="dot"/>
            </w:tabs>
          </w:pPr>
          <w:r>
            <w:fldChar w:fldCharType="begin"/>
          </w:r>
          <w:r>
            <w:instrText xml:space="preserve"> HYPERLINK \l "_Toc12562" </w:instrText>
          </w:r>
          <w:r>
            <w:fldChar w:fldCharType="separate"/>
          </w:r>
          <w:r>
            <w:rPr>
              <w:rFonts w:hint="eastAsia" w:ascii="微软雅黑" w:hAnsi="微软雅黑" w:cs="微软雅黑"/>
              <w:szCs w:val="28"/>
            </w:rPr>
            <w:t xml:space="preserve">1. 投标函</w:t>
          </w:r>
          <w:r>
            <w:tab/>
          </w:r>
          <w:r>
            <w:fldChar w:fldCharType="begin"/>
          </w:r>
          <w:r>
            <w:instrText xml:space="preserve"> PAGEREF _Toc12562 \h </w:instrText>
          </w:r>
          <w:r>
            <w:fldChar w:fldCharType="separate"/>
          </w:r>
          <w:r>
            <w:t xml:space="preserve">44</w:t>
          </w:r>
          <w:r>
            <w:fldChar w:fldCharType="end"/>
          </w:r>
          <w:r>
            <w:fldChar w:fldCharType="end"/>
          </w:r>
          <w:r/>
        </w:p>
        <w:p>
          <w:pPr>
            <w:pStyle w:val="1110"/>
            <w:spacing w:line="420" w:lineRule="exact"/>
            <w:tabs>
              <w:tab w:val="right" w:pos="9400" w:leader="dot"/>
            </w:tabs>
          </w:pPr>
          <w:r>
            <w:fldChar w:fldCharType="begin"/>
          </w:r>
          <w:r>
            <w:instrText xml:space="preserve"> HYPERLINK \l "_Toc8723" </w:instrText>
          </w:r>
          <w:r>
            <w:fldChar w:fldCharType="separate"/>
          </w:r>
          <w:r>
            <w:rPr>
              <w:rFonts w:hint="eastAsia" w:ascii="微软雅黑" w:hAnsi="微软雅黑" w:cs="微软雅黑"/>
              <w:szCs w:val="28"/>
            </w:rPr>
            <w:t xml:space="preserve">2. 开标一览表</w:t>
          </w:r>
          <w:r>
            <w:tab/>
          </w:r>
          <w:r>
            <w:fldChar w:fldCharType="begin"/>
          </w:r>
          <w:r>
            <w:instrText xml:space="preserve"> PAGEREF _Toc8723 \h </w:instrText>
          </w:r>
          <w:r>
            <w:fldChar w:fldCharType="separate"/>
          </w:r>
          <w:r>
            <w:t xml:space="preserve">45</w:t>
          </w:r>
          <w:r>
            <w:fldChar w:fldCharType="end"/>
          </w:r>
          <w:r>
            <w:fldChar w:fldCharType="end"/>
          </w:r>
          <w:r/>
        </w:p>
        <w:p>
          <w:pPr>
            <w:pStyle w:val="1110"/>
            <w:spacing w:line="420" w:lineRule="exact"/>
            <w:tabs>
              <w:tab w:val="right" w:pos="9400" w:leader="dot"/>
            </w:tabs>
          </w:pPr>
          <w:r>
            <w:fldChar w:fldCharType="begin"/>
          </w:r>
          <w:r>
            <w:instrText xml:space="preserve"> HYPERLINK \l "_Toc11841" </w:instrText>
          </w:r>
          <w:r>
            <w:fldChar w:fldCharType="separate"/>
          </w:r>
          <w:r>
            <w:rPr>
              <w:rFonts w:hint="eastAsia" w:ascii="微软雅黑" w:hAnsi="微软雅黑" w:cs="微软雅黑"/>
              <w:szCs w:val="28"/>
            </w:rPr>
            <w:t xml:space="preserve">3. 投标报价明细表</w:t>
          </w:r>
          <w:r>
            <w:tab/>
          </w:r>
          <w:r>
            <w:fldChar w:fldCharType="begin"/>
          </w:r>
          <w:r>
            <w:instrText xml:space="preserve"> PAGEREF _Toc11841 \h </w:instrText>
          </w:r>
          <w:r>
            <w:fldChar w:fldCharType="separate"/>
          </w:r>
          <w:r>
            <w:t xml:space="preserve">46</w:t>
          </w:r>
          <w:r>
            <w:fldChar w:fldCharType="end"/>
          </w:r>
          <w:r>
            <w:fldChar w:fldCharType="end"/>
          </w:r>
          <w:r/>
        </w:p>
        <w:p>
          <w:pPr>
            <w:pStyle w:val="1110"/>
            <w:spacing w:line="420" w:lineRule="exact"/>
            <w:tabs>
              <w:tab w:val="right" w:pos="9400" w:leader="dot"/>
            </w:tabs>
          </w:pPr>
          <w:r>
            <w:fldChar w:fldCharType="begin"/>
          </w:r>
          <w:r>
            <w:instrText xml:space="preserve"> HYPERLINK \l "_Toc16661" </w:instrText>
          </w:r>
          <w:r>
            <w:fldChar w:fldCharType="separate"/>
          </w:r>
          <w:r>
            <w:rPr>
              <w:rFonts w:hint="eastAsia" w:ascii="微软雅黑" w:hAnsi="微软雅黑" w:cs="微软雅黑"/>
              <w:szCs w:val="28"/>
            </w:rPr>
            <w:t xml:space="preserve">4. 技术要求响应表</w:t>
          </w:r>
          <w:r>
            <w:tab/>
          </w:r>
          <w:r>
            <w:fldChar w:fldCharType="begin"/>
          </w:r>
          <w:r>
            <w:instrText xml:space="preserve"> PAGEREF _Toc16661 \h </w:instrText>
          </w:r>
          <w:r>
            <w:fldChar w:fldCharType="separate"/>
          </w:r>
          <w:r>
            <w:t xml:space="preserve">47</w:t>
          </w:r>
          <w:r>
            <w:fldChar w:fldCharType="end"/>
          </w:r>
          <w:r>
            <w:fldChar w:fldCharType="end"/>
          </w:r>
          <w:r/>
        </w:p>
        <w:p>
          <w:pPr>
            <w:pStyle w:val="1110"/>
            <w:spacing w:line="420" w:lineRule="exact"/>
            <w:tabs>
              <w:tab w:val="right" w:pos="9400" w:leader="dot"/>
            </w:tabs>
          </w:pPr>
          <w:r>
            <w:fldChar w:fldCharType="begin"/>
          </w:r>
          <w:r>
            <w:instrText xml:space="preserve"> HYPERLINK \l "_Toc9134" </w:instrText>
          </w:r>
          <w:r>
            <w:fldChar w:fldCharType="separate"/>
          </w:r>
          <w:r>
            <w:rPr>
              <w:rFonts w:hint="eastAsia" w:ascii="微软雅黑" w:hAnsi="微软雅黑" w:cs="微软雅黑"/>
              <w:szCs w:val="28"/>
            </w:rPr>
            <w:t xml:space="preserve">5. 商务要求响应表</w:t>
          </w:r>
          <w:r>
            <w:tab/>
          </w:r>
          <w:r>
            <w:fldChar w:fldCharType="begin"/>
          </w:r>
          <w:r>
            <w:instrText xml:space="preserve"> PAGEREF _Toc9134 \h </w:instrText>
          </w:r>
          <w:r>
            <w:fldChar w:fldCharType="separate"/>
          </w:r>
          <w:r>
            <w:t xml:space="preserve">48</w:t>
          </w:r>
          <w:r>
            <w:fldChar w:fldCharType="end"/>
          </w:r>
          <w:r>
            <w:fldChar w:fldCharType="end"/>
          </w:r>
          <w:r/>
        </w:p>
        <w:p>
          <w:pPr>
            <w:pStyle w:val="1110"/>
            <w:spacing w:line="420" w:lineRule="exact"/>
            <w:tabs>
              <w:tab w:val="right" w:pos="9400" w:leader="dot"/>
            </w:tabs>
          </w:pPr>
          <w:r>
            <w:fldChar w:fldCharType="begin"/>
          </w:r>
          <w:r>
            <w:instrText xml:space="preserve"> HYPERLINK \l "_Toc10005" </w:instrText>
          </w:r>
          <w:r>
            <w:fldChar w:fldCharType="separate"/>
          </w:r>
          <w:r>
            <w:rPr>
              <w:rFonts w:hint="eastAsia" w:ascii="微软雅黑" w:hAnsi="微软雅黑" w:cs="微软雅黑"/>
              <w:szCs w:val="28"/>
            </w:rPr>
            <w:t xml:space="preserve">6. 服务方案</w:t>
          </w:r>
          <w:r>
            <w:tab/>
          </w:r>
          <w:r>
            <w:fldChar w:fldCharType="begin"/>
          </w:r>
          <w:r>
            <w:instrText xml:space="preserve"> PAGEREF _Toc10005 \h </w:instrText>
          </w:r>
          <w:r>
            <w:fldChar w:fldCharType="separate"/>
          </w:r>
          <w:r>
            <w:t xml:space="preserve">49</w:t>
          </w:r>
          <w:r>
            <w:fldChar w:fldCharType="end"/>
          </w:r>
          <w:r>
            <w:fldChar w:fldCharType="end"/>
          </w:r>
          <w:r/>
        </w:p>
        <w:p>
          <w:pPr>
            <w:pStyle w:val="1110"/>
            <w:spacing w:line="420" w:lineRule="exact"/>
            <w:tabs>
              <w:tab w:val="right" w:pos="9400" w:leader="dot"/>
            </w:tabs>
          </w:pPr>
          <w:r>
            <w:fldChar w:fldCharType="begin"/>
          </w:r>
          <w:r>
            <w:instrText xml:space="preserve"> HYPERLINK \l "_Toc26105" </w:instrText>
          </w:r>
          <w:r>
            <w:fldChar w:fldCharType="separate"/>
          </w:r>
          <w:r>
            <w:rPr>
              <w:rFonts w:hint="eastAsia" w:ascii="微软雅黑" w:hAnsi="微软雅黑" w:cs="微软雅黑"/>
              <w:szCs w:val="28"/>
            </w:rPr>
            <w:t xml:space="preserve">7. 经营业绩（提供合同复印件）</w:t>
          </w:r>
          <w:r>
            <w:tab/>
          </w:r>
          <w:r>
            <w:fldChar w:fldCharType="begin"/>
          </w:r>
          <w:r>
            <w:instrText xml:space="preserve"> PAGEREF _Toc26105 \h </w:instrText>
          </w:r>
          <w:r>
            <w:fldChar w:fldCharType="separate"/>
          </w:r>
          <w:r>
            <w:t xml:space="preserve">49</w:t>
          </w:r>
          <w:r>
            <w:fldChar w:fldCharType="end"/>
          </w:r>
          <w:r>
            <w:fldChar w:fldCharType="end"/>
          </w:r>
          <w:r/>
        </w:p>
        <w:p>
          <w:pPr>
            <w:pStyle w:val="1123"/>
            <w:spacing w:line="420" w:lineRule="exact"/>
            <w:tabs>
              <w:tab w:val="right" w:pos="9400" w:leader="dot"/>
            </w:tabs>
          </w:pPr>
          <w:r>
            <w:fldChar w:fldCharType="begin"/>
          </w:r>
          <w:r>
            <w:instrText xml:space="preserve"> HYPERLINK \l "_Toc11768" </w:instrText>
          </w:r>
          <w:r>
            <w:fldChar w:fldCharType="separate"/>
          </w:r>
          <w:r>
            <w:rPr>
              <w:rFonts w:hint="eastAsia" w:ascii="微软雅黑" w:hAnsi="微软雅黑" w:cs="微软雅黑"/>
            </w:rPr>
            <w:t xml:space="preserve">二、 资格证明文件格式</w:t>
          </w:r>
          <w:r>
            <w:tab/>
          </w:r>
          <w:r>
            <w:fldChar w:fldCharType="begin"/>
          </w:r>
          <w:r>
            <w:instrText xml:space="preserve"> PAGEREF _Toc11768 \h </w:instrText>
          </w:r>
          <w:r>
            <w:fldChar w:fldCharType="separate"/>
          </w:r>
          <w:r>
            <w:t xml:space="preserve">50</w:t>
          </w:r>
          <w:r>
            <w:fldChar w:fldCharType="end"/>
          </w:r>
          <w:r>
            <w:fldChar w:fldCharType="end"/>
          </w:r>
          <w:r/>
        </w:p>
        <w:p>
          <w:pPr>
            <w:pStyle w:val="1123"/>
            <w:spacing w:line="420" w:lineRule="exact"/>
            <w:tabs>
              <w:tab w:val="right" w:pos="9400" w:leader="dot"/>
            </w:tabs>
          </w:pPr>
          <w:r>
            <w:fldChar w:fldCharType="begin"/>
          </w:r>
          <w:r>
            <w:instrText xml:space="preserve"> HYPERLINK \l "_Toc25198" </w:instrText>
          </w:r>
          <w:r>
            <w:fldChar w:fldCharType="separate"/>
          </w:r>
          <w:r>
            <w:rPr>
              <w:rFonts w:hint="eastAsia"/>
            </w:rPr>
            <w:t xml:space="preserve">三、其他相关附表格式</w:t>
          </w:r>
          <w:r>
            <w:tab/>
          </w:r>
          <w:r>
            <w:fldChar w:fldCharType="begin"/>
          </w:r>
          <w:r>
            <w:instrText xml:space="preserve"> PAGEREF _Toc25198 \h </w:instrText>
          </w:r>
          <w:r>
            <w:fldChar w:fldCharType="separate"/>
          </w:r>
          <w:r>
            <w:t xml:space="preserve">57</w:t>
          </w:r>
          <w:r>
            <w:fldChar w:fldCharType="end"/>
          </w:r>
          <w:r>
            <w:fldChar w:fldCharType="end"/>
          </w:r>
          <w:r/>
        </w:p>
        <w:p>
          <w:pPr>
            <w:pStyle w:val="1110"/>
            <w:spacing w:line="420" w:lineRule="exact"/>
            <w:tabs>
              <w:tab w:val="right" w:pos="9400" w:leader="dot"/>
            </w:tabs>
          </w:pPr>
          <w:r>
            <w:fldChar w:fldCharType="begin"/>
          </w:r>
          <w:r>
            <w:instrText xml:space="preserve"> HYPERLINK \l "_Toc6848" </w:instrText>
          </w:r>
          <w:r>
            <w:fldChar w:fldCharType="separate"/>
          </w:r>
          <w:r>
            <w:rPr>
              <w:rFonts w:hint="eastAsia" w:ascii="微软雅黑" w:hAnsi="微软雅黑" w:cs="微软雅黑"/>
              <w:szCs w:val="24"/>
            </w:rPr>
            <w:t xml:space="preserve">中小企业声明函</w:t>
          </w:r>
          <w:r>
            <w:tab/>
          </w:r>
          <w:r>
            <w:fldChar w:fldCharType="begin"/>
          </w:r>
          <w:r>
            <w:instrText xml:space="preserve"> PAGEREF _Toc6848 \h </w:instrText>
          </w:r>
          <w:r>
            <w:fldChar w:fldCharType="separate"/>
          </w:r>
          <w:r>
            <w:t xml:space="preserve">58</w:t>
          </w:r>
          <w:r>
            <w:fldChar w:fldCharType="end"/>
          </w:r>
          <w:r>
            <w:fldChar w:fldCharType="end"/>
          </w:r>
          <w:r/>
        </w:p>
        <w:p>
          <w:pPr>
            <w:pStyle w:val="1110"/>
            <w:spacing w:line="420" w:lineRule="exact"/>
            <w:tabs>
              <w:tab w:val="right" w:pos="9400" w:leader="dot"/>
            </w:tabs>
          </w:pPr>
          <w:r>
            <w:fldChar w:fldCharType="begin"/>
          </w:r>
          <w:r>
            <w:instrText xml:space="preserve"> HYPERLINK \l "_Toc22380" </w:instrText>
          </w:r>
          <w:r>
            <w:fldChar w:fldCharType="separate"/>
          </w:r>
          <w:r>
            <w:rPr>
              <w:rFonts w:hint="eastAsia" w:ascii="微软雅黑" w:hAnsi="微软雅黑" w:cs="微软雅黑"/>
              <w:szCs w:val="24"/>
            </w:rPr>
            <w:t xml:space="preserve">残疾人福利性单位声明函</w:t>
          </w:r>
          <w:r>
            <w:tab/>
          </w:r>
          <w:r>
            <w:fldChar w:fldCharType="begin"/>
          </w:r>
          <w:r>
            <w:instrText xml:space="preserve"> PAGEREF _Toc22380 \h </w:instrText>
          </w:r>
          <w:r>
            <w:fldChar w:fldCharType="separate"/>
          </w:r>
          <w:r>
            <w:t xml:space="preserve">60</w:t>
          </w:r>
          <w:r>
            <w:fldChar w:fldCharType="end"/>
          </w:r>
          <w:r>
            <w:fldChar w:fldCharType="end"/>
          </w:r>
          <w:r/>
        </w:p>
        <w:p>
          <w:pPr>
            <w:pStyle w:val="1110"/>
            <w:spacing w:line="420" w:lineRule="exact"/>
            <w:tabs>
              <w:tab w:val="right" w:pos="9400" w:leader="dot"/>
            </w:tabs>
          </w:pPr>
          <w:r>
            <w:fldChar w:fldCharType="begin"/>
          </w:r>
          <w:r>
            <w:instrText xml:space="preserve"> HYPERLINK \l "_Toc8114" </w:instrText>
          </w:r>
          <w:r>
            <w:fldChar w:fldCharType="separate"/>
          </w:r>
          <w:r>
            <w:rPr>
              <w:rFonts w:hint="eastAsia" w:ascii="微软雅黑" w:hAnsi="微软雅黑" w:cs="微软雅黑"/>
              <w:szCs w:val="24"/>
            </w:rPr>
            <w:t xml:space="preserve">关于符合本国产品标准的声明函</w:t>
          </w:r>
          <w:r>
            <w:tab/>
          </w:r>
          <w:r>
            <w:fldChar w:fldCharType="begin"/>
          </w:r>
          <w:r>
            <w:instrText xml:space="preserve"> PAGEREF _Toc8114 \h </w:instrText>
          </w:r>
          <w:r>
            <w:fldChar w:fldCharType="separate"/>
          </w:r>
          <w:r>
            <w:t xml:space="preserve">61</w:t>
          </w:r>
          <w:r>
            <w:fldChar w:fldCharType="end"/>
          </w:r>
          <w:r>
            <w:fldChar w:fldCharType="end"/>
          </w:r>
          <w:r/>
        </w:p>
        <w:p>
          <w:pPr>
            <w:spacing w:line="420" w:lineRule="exact"/>
            <w:rPr>
              <w:rFonts w:ascii="微软雅黑" w:hAnsi="微软雅黑" w:cs="微软雅黑"/>
            </w:rPr>
          </w:pPr>
          <w:r>
            <w:rPr>
              <w:rFonts w:hint="eastAsia" w:ascii="微软雅黑" w:hAnsi="微软雅黑" w:cs="微软雅黑"/>
            </w:rPr>
            <w:fldChar w:fldCharType="end"/>
          </w:r>
          <w:r/>
        </w:p>
      </w:sdtContent>
    </w:sdt>
    <w:p>
      <w:pPr>
        <w:spacing w:line="420" w:lineRule="exact"/>
        <w:rPr>
          <w:rFonts w:ascii="微软雅黑" w:hAnsi="微软雅黑" w:cs="微软雅黑"/>
        </w:rPr>
      </w:pPr>
      <w:r>
        <w:rPr>
          <w:rFonts w:ascii="微软雅黑" w:hAnsi="微软雅黑" w:cs="微软雅黑"/>
        </w:rPr>
      </w:r>
      <w:r/>
    </w:p>
    <w:p>
      <w:pPr>
        <w:pStyle w:val="1272"/>
        <w:spacing w:line="360" w:lineRule="exact"/>
        <w:rPr>
          <w:rStyle w:val="1331"/>
          <w:rFonts w:ascii="微软雅黑" w:hAnsi="微软雅黑" w:cs="微软雅黑"/>
          <w:sz w:val="32"/>
          <w:szCs w:val="32"/>
        </w:rPr>
      </w:pPr>
      <w:r>
        <w:rPr>
          <w:rFonts w:hint="eastAsia" w:ascii="微软雅黑" w:hAnsi="微软雅黑" w:cs="微软雅黑"/>
          <w:sz w:val="24"/>
          <w:szCs w:val="24"/>
        </w:rPr>
        <w:br w:type="page" w:clear="all"/>
      </w:r>
      <w:bookmarkStart w:id="0" w:name="_Toc30265"/>
      <w:r/>
      <w:bookmarkStart w:id="1" w:name="_Toc139"/>
      <w:r/>
      <w:bookmarkStart w:id="2" w:name="_Toc21953"/>
      <w:r/>
      <w:bookmarkStart w:id="3" w:name="_Toc418"/>
      <w:r/>
      <w:bookmarkStart w:id="4" w:name="_Toc29591"/>
      <w:r>
        <w:rPr>
          <w:rFonts w:hint="eastAsia" w:ascii="微软雅黑" w:hAnsi="微软雅黑" w:cs="微软雅黑"/>
          <w:bCs w:val="0"/>
          <w:szCs w:val="32"/>
        </w:rPr>
        <w:t xml:space="preserve">第一章投标邀请（采购公告）</w:t>
      </w:r>
      <w:bookmarkEnd w:id="0"/>
      <w:r/>
      <w:bookmarkEnd w:id="1"/>
      <w:r/>
      <w:bookmarkEnd w:id="2"/>
      <w:r/>
      <w:bookmarkEnd w:id="3"/>
      <w:r/>
      <w:bookmarkEnd w:id="4"/>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rPr>
        <w:t xml:space="preserve">南京林业大学固体核磁共振波谱仪</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江苏省政府采购管理交易系统（苏采云）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bCs/>
          <w:szCs w:val="21"/>
        </w:rPr>
        <w:t xml:space="preserve">点</w:t>
      </w:r>
      <w:r>
        <w:rPr>
          <w:rFonts w:hint="eastAsia" w:ascii="微软雅黑" w:hAnsi="微软雅黑" w:cs="微软雅黑"/>
          <w:bCs/>
          <w:szCs w:val="21"/>
          <w:lang w:val="en-US" w:eastAsia="zh-CN"/>
        </w:rPr>
        <w:t xml:space="preserve">30</w:t>
      </w:r>
      <w:r>
        <w:rPr>
          <w:rFonts w:hint="eastAsia" w:ascii="微软雅黑" w:hAnsi="微软雅黑" w:cs="微软雅黑"/>
          <w:bCs/>
          <w:szCs w:val="21"/>
        </w:rPr>
        <w:t xml:space="preserve">分00秒（北京时间）前递交投标文件</w:t>
      </w:r>
      <w:r>
        <w:rPr>
          <w:rFonts w:hint="eastAsia" w:ascii="微软雅黑" w:hAnsi="微软雅黑" w:cs="微软雅黑"/>
          <w:szCs w:val="21"/>
        </w:rPr>
        <w:t xml:space="preserve">。</w:t>
      </w:r>
      <w:r/>
    </w:p>
    <w:p>
      <w:pPr>
        <w:spacing w:line="420" w:lineRule="exact"/>
        <w:rPr>
          <w:rFonts w:ascii="微软雅黑" w:hAnsi="微软雅黑" w:cs="微软雅黑"/>
          <w:szCs w:val="21"/>
        </w:rPr>
      </w:pPr>
      <w:r/>
      <w:bookmarkStart w:id="5" w:name="_Toc5452"/>
      <w:r/>
      <w:bookmarkStart w:id="6" w:name="_Toc35393621"/>
      <w:r/>
      <w:bookmarkStart w:id="7" w:name="_Toc28359079"/>
      <w:r/>
      <w:bookmarkStart w:id="8" w:name="_Toc28359002"/>
      <w:r/>
      <w:bookmarkStart w:id="9" w:name="_Toc35393790"/>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
    </w:p>
    <w:p>
      <w:pPr>
        <w:ind w:right="105" w:firstLine="420"/>
        <w:spacing w:line="42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JSZC-320000-JSHC-G2026-0018</w:t>
      </w:r>
      <w:r/>
    </w:p>
    <w:p>
      <w:pPr>
        <w:ind w:right="105" w:firstLine="420"/>
        <w:spacing w:line="420" w:lineRule="exact"/>
        <w:rPr>
          <w:rFonts w:ascii="微软雅黑" w:hAnsi="微软雅黑" w:cs="微软雅黑"/>
          <w:szCs w:val="21"/>
        </w:rPr>
      </w:pPr>
      <w:r>
        <w:rPr>
          <w:rFonts w:hint="eastAsia" w:ascii="微软雅黑" w:hAnsi="微软雅黑" w:cs="微软雅黑"/>
          <w:szCs w:val="21"/>
        </w:rPr>
        <w:t xml:space="preserve">代理机构内部编号：JSHC-2026040214B1</w:t>
      </w:r>
      <w:r/>
    </w:p>
    <w:p>
      <w:pPr>
        <w:ind w:right="105" w:firstLine="420"/>
        <w:spacing w:line="420" w:lineRule="exact"/>
        <w:rPr>
          <w:rFonts w:ascii="微软雅黑" w:hAnsi="微软雅黑" w:cs="微软雅黑"/>
          <w:szCs w:val="21"/>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：南京林业大学固体核磁共振波谱仪</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预算金额：人民币捌佰万元整（人民币800万元）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最高限价：人民币捌佰万元整（人民币800万元）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资金来源：财政性资金</w:t>
      </w:r>
      <w:r/>
    </w:p>
    <w:p>
      <w:pPr>
        <w:ind w:firstLine="420"/>
        <w:spacing w:line="420" w:lineRule="exact"/>
        <w:rPr>
          <w:rFonts w:ascii="宋体" w:hAnsi="宋体" w:cs="宋体"/>
          <w:szCs w:val="21"/>
        </w:rPr>
      </w:pPr>
      <w:r>
        <w:rPr>
          <w:rFonts w:hint="eastAsia" w:ascii="微软雅黑" w:hAnsi="微软雅黑" w:cs="微软雅黑"/>
          <w:szCs w:val="21"/>
        </w:rPr>
        <w:t xml:space="preserve">采购需求：固体核磁共振波谱仪1台。</w:t>
      </w:r>
      <w:r>
        <w:rPr>
          <w:rFonts w:hint="eastAsia" w:ascii="宋体" w:hAnsi="宋体" w:cs="宋体"/>
          <w:szCs w:val="21"/>
        </w:rPr>
        <w:t xml:space="preserve">详见采购文件第四章项目采购需求。</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合同履行期限：自本合同签订之日起 365 个日历日内完成交付。</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spacing w:line="420" w:lineRule="exact"/>
        <w:rPr>
          <w:rFonts w:ascii="微软雅黑" w:hAnsi="微软雅黑" w:cs="微软雅黑"/>
          <w:b/>
          <w:bCs/>
        </w:rPr>
      </w:pPr>
      <w:r/>
      <w:bookmarkStart w:id="11" w:name="_Toc35393622"/>
      <w:r/>
      <w:bookmarkStart w:id="12" w:name="_Toc18689"/>
      <w:r/>
      <w:bookmarkStart w:id="13" w:name="_Toc28359003"/>
      <w:r/>
      <w:bookmarkStart w:id="14" w:name="_Toc28359080"/>
      <w:r/>
      <w:bookmarkStart w:id="15" w:name="_Toc35393791"/>
      <w:r>
        <w:rPr>
          <w:rFonts w:hint="eastAsia" w:ascii="微软雅黑" w:hAnsi="微软雅黑" w:cs="微软雅黑"/>
          <w:b/>
          <w:bCs/>
        </w:rPr>
        <w:t xml:space="preserve">二、申请人的资格要求：</w:t>
      </w:r>
      <w:bookmarkEnd w:id="11"/>
      <w:r/>
      <w:bookmarkEnd w:id="12"/>
      <w:r/>
      <w:bookmarkEnd w:id="13"/>
      <w:r/>
      <w:bookmarkEnd w:id="14"/>
      <w:r/>
      <w:bookmarkEnd w:id="15"/>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1.2具有良好的商业信誉和健全的财务会计制度（提供2025年1</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依法缴纳税收的凭据（企业代缴的个人所得税除外），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ascii="微软雅黑" w:hAnsi="微软雅黑" w:cs="微软雅黑"/>
        </w:rPr>
      </w:pPr>
      <w:r/>
      <w:bookmarkStart w:id="16" w:name="_Toc28359081"/>
      <w:r/>
      <w:bookmarkStart w:id="17" w:name="_Toc28359004"/>
      <w:r>
        <w:rPr>
          <w:rFonts w:hint="eastAsia" w:ascii="微软雅黑" w:hAnsi="微软雅黑" w:cs="微软雅黑"/>
        </w:rPr>
        <w:t xml:space="preserve">2.是否专门面向中小企业：否</w:t>
      </w:r>
      <w:r/>
    </w:p>
    <w:p>
      <w:pPr>
        <w:ind w:firstLine="420"/>
        <w:spacing w:line="420" w:lineRule="exact"/>
        <w:rPr>
          <w:rFonts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4.本项目的特定资格要求：无。</w:t>
      </w:r>
      <w:r/>
    </w:p>
    <w:p>
      <w:pPr>
        <w:ind w:firstLine="420"/>
        <w:spacing w:line="420" w:lineRule="exact"/>
        <w:rPr>
          <w:rFonts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p>
    <w:p>
      <w:pPr>
        <w:ind w:firstLine="420"/>
        <w:spacing w:line="420" w:lineRule="exact"/>
        <w:rPr>
          <w:rFonts w:ascii="微软雅黑" w:hAnsi="微软雅黑" w:cs="微软雅黑"/>
          <w:b/>
          <w:bCs/>
          <w:szCs w:val="21"/>
        </w:rPr>
      </w:pPr>
      <w:r>
        <w:rPr>
          <w:rFonts w:hint="eastAsia" w:ascii="微软雅黑" w:hAnsi="微软雅黑" w:cs="微软雅黑"/>
          <w:b/>
          <w:bCs/>
          <w:szCs w:val="21"/>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p>
    <w:p>
      <w:pPr>
        <w:spacing w:line="420" w:lineRule="exact"/>
        <w:rPr>
          <w:rFonts w:ascii="微软雅黑" w:hAnsi="微软雅黑" w:cs="微软雅黑"/>
          <w:b/>
          <w:bCs/>
        </w:rPr>
      </w:pPr>
      <w:r/>
      <w:bookmarkStart w:id="18" w:name="_Toc35393792"/>
      <w:r/>
      <w:bookmarkStart w:id="19" w:name="_Toc15914"/>
      <w:r/>
      <w:bookmarkStart w:id="20" w:name="_Toc35393623"/>
      <w:r>
        <w:rPr>
          <w:rFonts w:hint="eastAsia" w:ascii="微软雅黑" w:hAnsi="微软雅黑" w:cs="微软雅黑"/>
          <w:b/>
          <w:bCs/>
        </w:rPr>
        <w:t xml:space="preserve">三、获取采购文件</w:t>
      </w:r>
      <w:bookmarkEnd w:id="16"/>
      <w:r/>
      <w:bookmarkEnd w:id="17"/>
      <w:r/>
      <w:bookmarkEnd w:id="18"/>
      <w:r/>
      <w:bookmarkEnd w:id="19"/>
      <w:r/>
      <w:bookmarkEnd w:id="20"/>
      <w:r/>
      <w:r/>
    </w:p>
    <w:p>
      <w:pPr>
        <w:ind w:firstLine="420"/>
        <w:spacing w:line="420" w:lineRule="exact"/>
        <w:rPr>
          <w:rFonts w:ascii="微软雅黑" w:hAnsi="微软雅黑" w:cs="微软雅黑"/>
          <w:szCs w:val="21"/>
        </w:rPr>
      </w:pPr>
      <w:r/>
      <w:bookmarkStart w:id="21" w:name="OLE_LINK2"/>
      <w:r/>
      <w:bookmarkStart w:id="22" w:name="_Toc28359082"/>
      <w:r/>
      <w:bookmarkStart w:id="23" w:name="_Toc28359005"/>
      <w:r/>
      <w:bookmarkStart w:id="24" w:name="_Toc1219"/>
      <w:r/>
      <w:bookmarkStart w:id="25" w:name="_Toc35393793"/>
      <w:r/>
      <w:bookmarkStart w:id="26" w:name="_Toc35393624"/>
      <w:r>
        <w:rPr>
          <w:rFonts w:hint="eastAsia" w:ascii="微软雅黑" w:hAnsi="微软雅黑" w:cs="微软雅黑"/>
          <w:szCs w:val="21"/>
        </w:rPr>
        <w:t xml:space="preserve">时间：自公告发布之日起5个工作日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bookmarkEnd w:id="21"/>
      <w:r/>
      <w:r/>
    </w:p>
    <w:p>
      <w:pPr>
        <w:spacing w:line="420" w:lineRule="exact"/>
        <w:rPr>
          <w:rFonts w:ascii="微软雅黑" w:hAnsi="微软雅黑" w:cs="微软雅黑"/>
          <w:b/>
          <w:bCs/>
        </w:rPr>
      </w:pPr>
      <w:r>
        <w:rPr>
          <w:rFonts w:hint="eastAsia" w:ascii="微软雅黑" w:hAnsi="微软雅黑" w:cs="微软雅黑"/>
          <w:b/>
          <w:bCs/>
        </w:rPr>
        <w:t xml:space="preserve">四、</w:t>
      </w:r>
      <w:bookmarkEnd w:id="22"/>
      <w:r/>
      <w:bookmarkEnd w:id="23"/>
      <w:r/>
      <w:bookmarkEnd w:id="24"/>
      <w:r/>
      <w:bookmarkEnd w:id="25"/>
      <w:r/>
      <w:bookmarkEnd w:id="26"/>
      <w:r>
        <w:rPr>
          <w:rFonts w:hint="eastAsia" w:ascii="微软雅黑" w:hAnsi="微软雅黑" w:cs="微软雅黑"/>
          <w:b/>
          <w:bCs/>
        </w:rPr>
        <w:t xml:space="preserve">提交投标文件截止时间、开标时间和地点</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14</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00</w:t>
      </w:r>
      <w:r>
        <w:rPr>
          <w:rFonts w:hint="eastAsia" w:ascii="微软雅黑" w:hAnsi="微软雅黑" w:cs="微软雅黑"/>
          <w:bCs/>
          <w:szCs w:val="21"/>
        </w:rPr>
        <w:t xml:space="preserve">（北京时间）</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p>
    <w:p>
      <w:pPr>
        <w:spacing w:line="420" w:lineRule="exact"/>
        <w:rPr>
          <w:rFonts w:ascii="微软雅黑" w:hAnsi="微软雅黑" w:cs="微软雅黑"/>
          <w:b/>
          <w:bCs/>
        </w:rPr>
      </w:pPr>
      <w:r/>
      <w:bookmarkStart w:id="27" w:name="_Toc35393794"/>
      <w:r/>
      <w:bookmarkStart w:id="28" w:name="_Toc31210"/>
      <w:r/>
      <w:bookmarkStart w:id="29" w:name="_Toc35393625"/>
      <w:r/>
      <w:bookmarkStart w:id="30" w:name="_Toc28359084"/>
      <w:r/>
      <w:bookmarkStart w:id="31" w:name="_Toc28359007"/>
      <w:r>
        <w:rPr>
          <w:rFonts w:hint="eastAsia" w:ascii="微软雅黑" w:hAnsi="微软雅黑" w:cs="微软雅黑"/>
          <w:b/>
          <w:bCs/>
        </w:rPr>
        <w:t xml:space="preserve">五、公告期限</w:t>
      </w:r>
      <w:bookmarkEnd w:id="27"/>
      <w:r/>
      <w:bookmarkEnd w:id="28"/>
      <w:r/>
      <w:bookmarkEnd w:id="29"/>
      <w:r/>
      <w:bookmarkEnd w:id="30"/>
      <w:r/>
      <w:bookmarkEnd w:id="31"/>
      <w:r/>
      <w:r/>
    </w:p>
    <w:p>
      <w:pPr>
        <w:ind w:firstLine="420"/>
        <w:spacing w:line="420" w:lineRule="exact"/>
        <w:rPr>
          <w:rFonts w:ascii="微软雅黑" w:hAnsi="微软雅黑" w:cs="微软雅黑"/>
          <w:b/>
          <w:bCs/>
        </w:rPr>
      </w:pPr>
      <w:r>
        <w:rPr>
          <w:rFonts w:hint="eastAsia" w:ascii="微软雅黑" w:hAnsi="微软雅黑" w:cs="微软雅黑"/>
          <w:b/>
          <w:bCs/>
        </w:rPr>
        <w:t xml:space="preserve">自本公告发布之日起5个工作日。</w:t>
      </w:r>
      <w:r/>
    </w:p>
    <w:p>
      <w:pPr>
        <w:numPr>
          <w:ilvl w:val="0"/>
          <w:numId w:val="7"/>
        </w:numPr>
        <w:spacing w:line="420" w:lineRule="exact"/>
        <w:rPr>
          <w:rFonts w:ascii="微软雅黑" w:hAnsi="微软雅黑" w:cs="微软雅黑"/>
          <w:b/>
          <w:bCs/>
          <w:szCs w:val="21"/>
        </w:rPr>
      </w:pPr>
      <w:r>
        <w:rPr>
          <w:rFonts w:hint="eastAsia" w:ascii="微软雅黑" w:hAnsi="微软雅黑" w:cs="微软雅黑"/>
          <w:b/>
          <w:bCs/>
        </w:rPr>
        <w:t xml:space="preserve">其他补充事宜</w:t>
      </w:r>
      <w:r/>
    </w:p>
    <w:p>
      <w:pPr>
        <w:ind w:firstLine="420"/>
        <w:jc w:val="left"/>
        <w:spacing w:line="420" w:lineRule="exact"/>
        <w:rPr>
          <w:rFonts w:ascii="微软雅黑" w:hAnsi="微软雅黑" w:cs="微软雅黑"/>
          <w:szCs w:val="21"/>
        </w:rPr>
      </w:pPr>
      <w:r/>
      <w:bookmarkStart w:id="32" w:name="_Toc26547"/>
      <w:r>
        <w:rPr>
          <w:rFonts w:hint="eastAsia" w:ascii="微软雅黑" w:hAnsi="微软雅黑" w:cs="微软雅黑"/>
          <w:szCs w:val="21"/>
        </w:rPr>
        <w:t xml:space="preserve">1.评标方法和标准：采用综合评分法。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2.此采购公告在江苏政府采购网（www.ccgp-jiangsu.gov.cn）发布。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 不见面远程开标：</w:t>
      </w:r>
      <w:r/>
    </w:p>
    <w:p>
      <w:pPr>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ascii="微软雅黑" w:hAnsi="微软雅黑" w:cs="微软雅黑"/>
          <w:b/>
          <w:bCs/>
        </w:rPr>
      </w:pPr>
      <w:r>
        <w:rPr>
          <w:rFonts w:hint="eastAsia" w:ascii="微软雅黑" w:hAnsi="微软雅黑" w:cs="微软雅黑"/>
          <w:b/>
          <w:bCs/>
        </w:rPr>
        <w:t xml:space="preserve">七、对本次招标提出询问，请按以下方式联系。</w:t>
      </w:r>
      <w:r/>
    </w:p>
    <w:p>
      <w:pPr>
        <w:pStyle w:val="1320"/>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名称：南京林业大学</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地址：南京市玄武区龙蟠路159号</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联系人：陆老师</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3" w:name="_Toc28359009"/>
      <w:r/>
      <w:bookmarkStart w:id="34" w:name="_Toc28359086"/>
      <w:r>
        <w:rPr>
          <w:rFonts w:hint="eastAsia" w:ascii="微软雅黑" w:hAnsi="微软雅黑" w:eastAsia="微软雅黑" w:cs="微软雅黑"/>
          <w:sz w:val="21"/>
          <w:szCs w:val="21"/>
        </w:rPr>
        <w:t xml:space="preserve">025-85428503</w:t>
      </w:r>
      <w:r/>
    </w:p>
    <w:p>
      <w:pPr>
        <w:pStyle w:val="1320"/>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33"/>
      <w:r/>
      <w:bookmarkEnd w:id="34"/>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　址：</w:t>
      </w:r>
      <w:r>
        <w:rPr>
          <w:rFonts w:hint="eastAsia" w:ascii="微软雅黑" w:hAnsi="微软雅黑" w:eastAsia="微软雅黑" w:cs="微软雅黑"/>
          <w:sz w:val="21"/>
          <w:szCs w:val="21"/>
          <w:lang w:bidi="ar"/>
        </w:rPr>
        <w:t xml:space="preserve">南京市建邺区嘉陵江东街8号综合体B3栋一单元16层</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5" w:name="_Toc28359087"/>
      <w:r/>
      <w:bookmarkStart w:id="36" w:name="_Toc28359010"/>
      <w:r>
        <w:rPr>
          <w:rFonts w:hint="eastAsia" w:ascii="微软雅黑" w:hAnsi="微软雅黑" w:eastAsia="微软雅黑" w:cs="微软雅黑"/>
          <w:sz w:val="21"/>
          <w:szCs w:val="21"/>
        </w:rPr>
        <w:t xml:space="preserve">025-83609953</w:t>
      </w:r>
      <w:r/>
    </w:p>
    <w:p>
      <w:pPr>
        <w:pStyle w:val="1320"/>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5"/>
      <w:r/>
      <w:bookmarkEnd w:id="36"/>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电　话：</w:t>
      </w:r>
      <w:bookmarkStart w:id="37" w:name="OLE_LINK1"/>
      <w:r>
        <w:rPr>
          <w:rFonts w:hint="eastAsia" w:ascii="微软雅黑" w:hAnsi="微软雅黑" w:eastAsia="微软雅黑" w:cs="微软雅黑"/>
          <w:sz w:val="21"/>
          <w:szCs w:val="21"/>
        </w:rPr>
        <w:t xml:space="preserve">025-83603368</w:t>
      </w:r>
      <w:bookmarkEnd w:id="37"/>
      <w:r/>
      <w:r/>
    </w:p>
    <w:p>
      <w:pPr>
        <w:pStyle w:val="1272"/>
        <w:spacing w:line="420" w:lineRule="exact"/>
        <w:rPr>
          <w:rFonts w:ascii="微软雅黑" w:hAnsi="微软雅黑" w:cs="微软雅黑"/>
        </w:rPr>
      </w:pPr>
      <w:r>
        <w:rPr>
          <w:rFonts w:hint="eastAsia" w:ascii="微软雅黑" w:hAnsi="微软雅黑" w:cs="微软雅黑"/>
          <w:szCs w:val="32"/>
        </w:rPr>
        <w:br w:type="page" w:clear="all"/>
      </w:r>
      <w:bookmarkStart w:id="38" w:name="_Toc23392"/>
      <w:r/>
      <w:bookmarkStart w:id="39" w:name="_Toc686"/>
      <w:r/>
      <w:bookmarkStart w:id="40" w:name="_Toc28354"/>
      <w:r/>
      <w:bookmarkStart w:id="41" w:name="_Toc21541"/>
      <w:r/>
      <w:bookmarkStart w:id="42" w:name="_Toc17168"/>
      <w:r>
        <w:rPr>
          <w:rFonts w:hint="eastAsia" w:ascii="微软雅黑" w:hAnsi="微软雅黑" w:cs="微软雅黑"/>
          <w:szCs w:val="32"/>
        </w:rPr>
        <w:t xml:space="preserve">第二章</w:t>
      </w:r>
      <w:r>
        <w:rPr>
          <w:rFonts w:hint="eastAsia" w:ascii="微软雅黑" w:hAnsi="微软雅黑" w:cs="微软雅黑"/>
        </w:rPr>
        <w:t xml:space="preserve">供应商须知</w:t>
      </w:r>
      <w:bookmarkEnd w:id="32"/>
      <w:r/>
      <w:bookmarkEnd w:id="38"/>
      <w:r/>
      <w:bookmarkEnd w:id="39"/>
      <w:r/>
      <w:bookmarkEnd w:id="40"/>
      <w:r/>
      <w:bookmarkEnd w:id="41"/>
      <w:r/>
      <w:bookmarkEnd w:id="42"/>
      <w:r/>
      <w:r/>
    </w:p>
    <w:p>
      <w:pPr>
        <w:jc w:val="left"/>
        <w:widowControl/>
        <w:rPr>
          <w:rFonts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p>
    <w:tbl>
      <w:tblPr>
        <w:tblStyle w:val="1104"/>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bookmarkStart w:id="43" w:name="_Toc4078"/>
            <w:r/>
            <w:bookmarkStart w:id="44" w:name="_Toc452384170"/>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具体内容</w:t>
            </w:r>
            <w:r/>
          </w:p>
        </w:tc>
      </w:tr>
      <w:tr>
        <w:trPr>
          <w:jc w:val="center"/>
          <w:trHeight w:val="6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南京林业大学固体核磁共振波谱仪</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JSZC-320000-JSHC-G2026-0018</w:t>
            </w:r>
            <w:r/>
          </w:p>
          <w:p>
            <w:pPr>
              <w:spacing w:line="440" w:lineRule="exact"/>
              <w:rPr>
                <w:rFonts w:ascii="微软雅黑" w:hAnsi="微软雅黑" w:cs="微软雅黑"/>
                <w:szCs w:val="21"/>
              </w:rPr>
            </w:pPr>
            <w:r>
              <w:rPr>
                <w:rFonts w:hint="eastAsia" w:ascii="微软雅黑" w:hAnsi="微软雅黑" w:cs="微软雅黑"/>
                <w:szCs w:val="21"/>
              </w:rPr>
              <w:t xml:space="preserve">代理机构内部编号：JSHC-2026040214B1</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公开招标</w:t>
            </w:r>
            <w:r/>
          </w:p>
        </w:tc>
      </w:tr>
      <w:tr>
        <w:trPr>
          <w:jc w:val="center"/>
          <w:trHeight w:val="5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财政性资金</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人民币捌佰万元整（人民币800万元）</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人民币捌佰万元整（人民币800万元）</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单位名称：南京林业大学</w:t>
            </w:r>
            <w:r/>
          </w:p>
          <w:p>
            <w:pPr>
              <w:spacing w:line="400" w:lineRule="exact"/>
              <w:rPr>
                <w:rFonts w:ascii="微软雅黑" w:hAnsi="微软雅黑" w:cs="微软雅黑"/>
                <w:szCs w:val="21"/>
              </w:rPr>
            </w:pPr>
            <w:r>
              <w:rPr>
                <w:rFonts w:hint="eastAsia" w:ascii="微软雅黑" w:hAnsi="微软雅黑" w:cs="微软雅黑"/>
                <w:szCs w:val="21"/>
              </w:rPr>
              <w:t xml:space="preserve">联系人：陆老师</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联系电话：025-85428503</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项目负责人：刘洁</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联系电话：025-83603368</w:t>
            </w:r>
            <w:r/>
          </w:p>
        </w:tc>
      </w:tr>
      <w:tr>
        <w:trPr>
          <w:jc w:val="center"/>
          <w:trHeight w:val="612"/>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rPr>
            </w:pPr>
            <w:r>
              <w:rPr>
                <w:rFonts w:hint="eastAsia" w:ascii="微软雅黑" w:hAnsi="微软雅黑" w:cs="微软雅黑"/>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spacing w:line="400" w:lineRule="exact"/>
              <w:rPr>
                <w:rFonts w:ascii="微软雅黑" w:hAnsi="微软雅黑" w:cs="微软雅黑"/>
                <w:sz w:val="22"/>
              </w:rPr>
            </w:pPr>
            <w:r>
              <w:rPr>
                <w:rFonts w:hint="eastAsia" w:ascii="微软雅黑" w:hAnsi="微软雅黑" w:cs="微软雅黑"/>
                <w:szCs w:val="21"/>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开标注意事项</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rPr>
              <w:t xml:space="preserve">工业</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b/>
                <w:szCs w:val="21"/>
              </w:rPr>
            </w:pPr>
            <w:r>
              <w:rPr>
                <w:rFonts w:hint="eastAsia" w:ascii="微软雅黑" w:hAnsi="微软雅黑" w:cs="微软雅黑"/>
                <w:b/>
                <w:szCs w:val="21"/>
              </w:rPr>
              <w:t xml:space="preserve">投标报价：</w:t>
            </w:r>
            <w:r/>
          </w:p>
          <w:p>
            <w:pPr>
              <w:spacing w:line="400" w:lineRule="exact"/>
              <w:rPr>
                <w:rFonts w:ascii="微软雅黑" w:hAnsi="微软雅黑" w:cs="微软雅黑"/>
                <w:b/>
                <w:szCs w:val="21"/>
              </w:rPr>
            </w:pPr>
            <w:r>
              <w:rPr>
                <w:rFonts w:hint="eastAsia" w:ascii="微软雅黑" w:hAnsi="微软雅黑" w:cs="微软雅黑"/>
                <w:b/>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货物为进口产品，投标（响应）报价必须报进口免税价。 进口免税价须包含在采购人指定地点交货的，包含安装、调试、培训、检测费用以及外贸代理费等所有费用。</w:t>
            </w:r>
            <w:r/>
          </w:p>
          <w:p>
            <w:pPr>
              <w:spacing w:line="400" w:lineRule="exact"/>
              <w:rPr>
                <w:rFonts w:ascii="微软雅黑" w:hAnsi="微软雅黑" w:cs="微软雅黑"/>
                <w:b/>
                <w:szCs w:val="21"/>
              </w:rPr>
            </w:pPr>
            <w:r>
              <w:rPr>
                <w:rFonts w:hint="eastAsia" w:ascii="微软雅黑" w:hAnsi="微软雅黑" w:cs="微软雅黑"/>
                <w:b/>
                <w:szCs w:val="21"/>
              </w:rPr>
              <w:t xml:space="preserve">注：</w:t>
            </w:r>
            <w:r/>
          </w:p>
          <w:p>
            <w:pPr>
              <w:spacing w:line="400" w:lineRule="exact"/>
              <w:rPr>
                <w:rFonts w:ascii="微软雅黑" w:hAnsi="微软雅黑" w:cs="微软雅黑"/>
                <w:b/>
                <w:szCs w:val="21"/>
              </w:rPr>
            </w:pPr>
            <w:r>
              <w:rPr>
                <w:rFonts w:hint="eastAsia" w:ascii="微软雅黑" w:hAnsi="微软雅黑" w:cs="微软雅黑"/>
                <w:b/>
                <w:szCs w:val="21"/>
              </w:rPr>
              <w:t xml:space="preserve">1）进口产品预算不含依法免征的进口环节税，但包含贸易战加征关税等依法征收的税费。</w:t>
            </w:r>
            <w:r/>
          </w:p>
          <w:p>
            <w:pPr>
              <w:spacing w:line="400" w:lineRule="exact"/>
              <w:rPr>
                <w:rFonts w:ascii="微软雅黑" w:hAnsi="微软雅黑" w:cs="微软雅黑"/>
                <w:b/>
                <w:szCs w:val="21"/>
              </w:rPr>
            </w:pPr>
            <w:r>
              <w:rPr>
                <w:rFonts w:hint="eastAsia" w:ascii="微软雅黑" w:hAnsi="微软雅黑" w:cs="微软雅黑"/>
                <w:b/>
                <w:szCs w:val="21"/>
              </w:rPr>
              <w:t xml:space="preserve">2）合同履行过程中的汇率风险由中标人承担。</w:t>
            </w:r>
            <w:r/>
          </w:p>
          <w:p>
            <w:pPr>
              <w:spacing w:line="400" w:lineRule="exact"/>
              <w:rPr>
                <w:rFonts w:ascii="微软雅黑" w:hAnsi="微软雅黑" w:cs="微软雅黑"/>
                <w:b/>
                <w:szCs w:val="21"/>
              </w:rPr>
            </w:pPr>
            <w:r>
              <w:rPr>
                <w:rFonts w:hint="eastAsia" w:ascii="微软雅黑" w:hAnsi="微软雅黑" w:cs="微软雅黑"/>
                <w:b/>
                <w:szCs w:val="21"/>
              </w:rPr>
              <w:t xml:space="preserve">（2）报价时应充分考虑所有可能影响到报价的因素，一旦评审结束最终中标（成交），如发生漏、缺、少项，都将被认为是中标（成交）供应商的报价让利行为，损失自负。</w:t>
            </w:r>
            <w:r/>
          </w:p>
          <w:p>
            <w:pPr>
              <w:spacing w:line="400" w:lineRule="exact"/>
              <w:rPr>
                <w:rFonts w:ascii="微软雅黑" w:hAnsi="微软雅黑" w:cs="微软雅黑"/>
                <w:szCs w:val="21"/>
              </w:rPr>
            </w:pPr>
            <w:r>
              <w:rPr>
                <w:rFonts w:hint="eastAsia" w:ascii="微软雅黑" w:hAnsi="微软雅黑" w:cs="微软雅黑"/>
                <w:b/>
                <w:szCs w:val="21"/>
              </w:rPr>
              <w:t xml:space="preserve">（3）投标报价不得超过招标公告、招标文件规定的预算金额或最高限价，超过规定的预算金额或最高限价的投标文件将作无效投标处理。</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8"/>
              </w:numPr>
              <w:ind w:left="0" w:firstLine="0"/>
              <w:spacing w:line="400" w:lineRule="exact"/>
              <w:rPr>
                <w:rFonts w:ascii="微软雅黑" w:hAnsi="微软雅黑" w:cs="微软雅黑"/>
              </w:rPr>
            </w:pPr>
            <w:r>
              <w:rPr>
                <w:rFonts w:hint="eastAsia" w:ascii="微软雅黑" w:hAnsi="微软雅黑" w:cs="微软雅黑"/>
              </w:rPr>
              <w:t xml:space="preserve">本次采购活动招标代理服务费采用差额定率累进计费方式。中标供应商按“国家计委关于印发《招标代理服务收费管理暂行办法》的通知（计价格[2002]1980号）”中规定收费标准的</w:t>
            </w:r>
            <w:r>
              <w:rPr>
                <w:rFonts w:ascii="微软雅黑" w:hAnsi="微软雅黑" w:cs="微软雅黑"/>
                <w:bCs/>
              </w:rPr>
              <w:t xml:space="preserve">5</w:t>
            </w:r>
            <w:r>
              <w:rPr>
                <w:rFonts w:hint="eastAsia" w:ascii="微软雅黑" w:hAnsi="微软雅黑" w:cs="微软雅黑"/>
                <w:bCs/>
              </w:rPr>
              <w:t xml:space="preserve">0%</w:t>
            </w:r>
            <w:r>
              <w:rPr>
                <w:rFonts w:hint="eastAsia" w:ascii="微软雅黑" w:hAnsi="微软雅黑" w:cs="微软雅黑"/>
              </w:rPr>
              <w:t xml:space="preserve">向采购代理机构交付招标代理服务费，不足叁仟元的按叁仟元收取。</w:t>
            </w:r>
            <w:r/>
          </w:p>
          <w:p>
            <w:pPr>
              <w:numPr>
                <w:ilvl w:val="0"/>
                <w:numId w:val="8"/>
              </w:numPr>
              <w:spacing w:line="400" w:lineRule="exact"/>
              <w:rPr>
                <w:rFonts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p>
          <w:p>
            <w:pPr>
              <w:pStyle w:val="1297"/>
              <w:numPr>
                <w:ilvl w:val="0"/>
                <w:numId w:val="8"/>
              </w:numPr>
              <w:spacing w:line="400" w:lineRule="exact"/>
              <w:rPr>
                <w:rFonts w:ascii="微软雅黑" w:hAnsi="微软雅黑" w:cs="微软雅黑"/>
              </w:rPr>
            </w:pPr>
            <w:r>
              <w:rPr>
                <w:rFonts w:hint="eastAsia" w:ascii="微软雅黑" w:hAnsi="微软雅黑" w:cs="微软雅黑"/>
              </w:rPr>
              <w:t xml:space="preserve">收款信息：</w:t>
            </w:r>
            <w:r/>
          </w:p>
          <w:p>
            <w:pPr>
              <w:spacing w:line="400" w:lineRule="exact"/>
              <w:rPr>
                <w:rFonts w:ascii="微软雅黑" w:hAnsi="微软雅黑" w:cs="微软雅黑"/>
                <w:szCs w:val="21"/>
              </w:rPr>
            </w:pPr>
            <w:r>
              <w:rPr>
                <w:rFonts w:hint="eastAsia" w:ascii="微软雅黑" w:hAnsi="微软雅黑" w:cs="微软雅黑"/>
                <w:szCs w:val="21"/>
              </w:rPr>
              <w:t xml:space="preserve">户名：江苏省华采招标有限公司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开户行：招商银行南京奥体支行</w:t>
            </w:r>
            <w:r/>
          </w:p>
          <w:p>
            <w:pPr>
              <w:spacing w:line="400" w:lineRule="exact"/>
              <w:rPr>
                <w:rFonts w:ascii="微软雅黑" w:hAnsi="微软雅黑" w:cs="微软雅黑"/>
                <w:szCs w:val="21"/>
              </w:rPr>
            </w:pPr>
            <w:r>
              <w:rPr>
                <w:rFonts w:hint="eastAsia" w:ascii="微软雅黑" w:hAnsi="微软雅黑" w:cs="微软雅黑"/>
                <w:szCs w:val="21"/>
              </w:rPr>
              <w:t xml:space="preserve">账号：125907375810501</w:t>
            </w:r>
            <w:r/>
          </w:p>
          <w:p>
            <w:pPr>
              <w:pStyle w:val="1297"/>
              <w:ind w:left="0"/>
              <w:spacing w:line="400" w:lineRule="exact"/>
              <w:rPr>
                <w:rFonts w:ascii="微软雅黑" w:hAnsi="微软雅黑" w:cs="微软雅黑"/>
                <w:szCs w:val="21"/>
              </w:rPr>
            </w:pPr>
            <w:r>
              <w:rPr>
                <w:rFonts w:hint="eastAsia" w:ascii="微软雅黑" w:hAnsi="微软雅黑" w:cs="微软雅黑"/>
                <w:szCs w:val="21"/>
              </w:rPr>
              <w:t xml:space="preserve">开户行行号：308301006254</w:t>
            </w:r>
            <w:r/>
          </w:p>
          <w:p>
            <w:r>
              <w:rPr>
                <w:rFonts w:hint="eastAsia" w:ascii="微软雅黑" w:hAnsi="微软雅黑" w:cs="微软雅黑"/>
                <w:szCs w:val="21"/>
              </w:rPr>
              <w:t xml:space="preserve">备注214B1代理服务费</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9"/>
              </w:numPr>
              <w:spacing w:line="400" w:lineRule="exact"/>
              <w:rPr>
                <w:rFonts w:ascii="微软雅黑" w:hAnsi="微软雅黑" w:cs="微软雅黑"/>
              </w:rPr>
            </w:pPr>
            <w:r>
              <w:rPr>
                <w:rFonts w:hint="eastAsia" w:ascii="微软雅黑" w:hAnsi="微软雅黑" w:cs="微软雅黑"/>
              </w:rPr>
              <w:t xml:space="preserve">有关本项目的相关公告敬请关注</w:t>
            </w:r>
            <w:r>
              <w:rPr>
                <w:rFonts w:hint="eastAsia" w:ascii="微软雅黑" w:hAnsi="微软雅黑" w:cs="微软雅黑"/>
                <w:szCs w:val="21"/>
              </w:rPr>
              <w:t xml:space="preserve">江苏省政府采购网</w:t>
            </w:r>
            <w:r>
              <w:rPr>
                <w:rFonts w:hint="eastAsia" w:ascii="微软雅黑" w:hAnsi="微软雅黑" w:cs="微软雅黑"/>
              </w:rPr>
              <w:t xml:space="preserve">，也可以与我公司项目部联系，联系人及电话：刘洁025-83603368。</w:t>
            </w:r>
            <w:r/>
          </w:p>
          <w:p>
            <w:pPr>
              <w:pStyle w:val="1297"/>
              <w:numPr>
                <w:ilvl w:val="0"/>
                <w:numId w:val="9"/>
              </w:numPr>
              <w:spacing w:line="400" w:lineRule="exact"/>
              <w:rPr>
                <w:rFonts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p>
        </w:tc>
      </w:tr>
    </w:tbl>
    <w:p>
      <w:pPr>
        <w:pStyle w:val="1273"/>
        <w:spacing w:after="100"/>
        <w:rPr>
          <w:rFonts w:ascii="微软雅黑" w:hAnsi="微软雅黑" w:cs="微软雅黑"/>
        </w:rPr>
      </w:pPr>
      <w:r>
        <w:rPr>
          <w:rFonts w:hint="eastAsia" w:ascii="微软雅黑" w:hAnsi="微软雅黑" w:cs="微软雅黑"/>
        </w:rPr>
        <w:br w:type="page" w:clear="all"/>
      </w:r>
      <w:bookmarkStart w:id="45" w:name="_Toc16010"/>
      <w:r/>
      <w:bookmarkStart w:id="46" w:name="_Toc11735"/>
      <w:r/>
      <w:bookmarkStart w:id="47" w:name="_Toc11344"/>
      <w:r/>
      <w:bookmarkStart w:id="48" w:name="_Toc31643"/>
      <w:r/>
      <w:bookmarkStart w:id="49" w:name="_Toc30548"/>
      <w:r>
        <w:rPr>
          <w:rFonts w:hint="eastAsia" w:ascii="微软雅黑" w:hAnsi="微软雅黑" w:cs="微软雅黑"/>
        </w:rPr>
        <w:t xml:space="preserve">一、总则</w:t>
      </w:r>
      <w:bookmarkEnd w:id="43"/>
      <w:r/>
      <w:bookmarkEnd w:id="44"/>
      <w:r/>
      <w:bookmarkEnd w:id="45"/>
      <w:r/>
      <w:bookmarkEnd w:id="46"/>
      <w:r/>
      <w:bookmarkEnd w:id="47"/>
      <w:r/>
      <w:bookmarkEnd w:id="48"/>
      <w:r/>
      <w:bookmarkEnd w:id="49"/>
      <w:r/>
      <w:r/>
    </w:p>
    <w:p>
      <w:pPr>
        <w:pStyle w:val="1274"/>
        <w:spacing w:line="420" w:lineRule="exact"/>
        <w:rPr>
          <w:rFonts w:ascii="微软雅黑" w:hAnsi="微软雅黑" w:cs="微软雅黑"/>
          <w:bCs w:val="0"/>
          <w:sz w:val="24"/>
          <w:szCs w:val="24"/>
        </w:rPr>
      </w:pPr>
      <w:r/>
      <w:bookmarkStart w:id="50" w:name="_Toc7721"/>
      <w:r/>
      <w:bookmarkStart w:id="51" w:name="_Toc452384171"/>
      <w:r/>
      <w:bookmarkStart w:id="52" w:name="_Toc24353"/>
      <w:r/>
      <w:bookmarkStart w:id="53" w:name="_Toc7264"/>
      <w:r/>
      <w:bookmarkStart w:id="54" w:name="_Toc23928"/>
      <w:r/>
      <w:bookmarkStart w:id="55" w:name="_Toc11419"/>
      <w:r/>
      <w:bookmarkStart w:id="56" w:name="_Toc30960"/>
      <w:r/>
      <w:bookmarkStart w:id="57" w:name="_Toc12748"/>
      <w:r>
        <w:rPr>
          <w:rFonts w:hint="eastAsia" w:ascii="微软雅黑" w:hAnsi="微软雅黑" w:cs="微软雅黑"/>
          <w:bCs w:val="0"/>
          <w:sz w:val="24"/>
          <w:szCs w:val="24"/>
        </w:rPr>
        <w:t xml:space="preserve">1.1适用范围</w:t>
      </w:r>
      <w:bookmarkEnd w:id="50"/>
      <w:r/>
      <w:bookmarkEnd w:id="51"/>
      <w:r/>
      <w:bookmarkEnd w:id="52"/>
      <w:r/>
      <w:bookmarkEnd w:id="53"/>
      <w:r/>
      <w:bookmarkEnd w:id="54"/>
      <w:r/>
      <w:bookmarkEnd w:id="55"/>
      <w:r/>
      <w:bookmarkEnd w:id="56"/>
      <w:r/>
      <w:r/>
    </w:p>
    <w:p>
      <w:pPr>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p>
    <w:p>
      <w:pPr>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szCs w:val="21"/>
        </w:rPr>
        <w:t xml:space="preserve">南京林业大学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p>
    <w:p>
      <w:pPr>
        <w:pStyle w:val="1274"/>
        <w:spacing w:line="420" w:lineRule="exact"/>
        <w:rPr>
          <w:rFonts w:ascii="微软雅黑" w:hAnsi="微软雅黑" w:cs="微软雅黑"/>
          <w:bCs w:val="0"/>
          <w:sz w:val="24"/>
          <w:szCs w:val="24"/>
        </w:rPr>
      </w:pPr>
      <w:r/>
      <w:bookmarkStart w:id="58" w:name="_Toc452384172"/>
      <w:r/>
      <w:bookmarkStart w:id="59" w:name="_Toc28962"/>
      <w:r/>
      <w:bookmarkStart w:id="60" w:name="_Toc26931"/>
      <w:r/>
      <w:bookmarkStart w:id="61" w:name="_Toc17779"/>
      <w:r/>
      <w:bookmarkStart w:id="62" w:name="_Toc14515"/>
      <w:r/>
      <w:bookmarkStart w:id="63" w:name="_Toc14564"/>
      <w:r>
        <w:rPr>
          <w:rFonts w:hint="eastAsia" w:ascii="微软雅黑" w:hAnsi="微软雅黑" w:cs="微软雅黑"/>
          <w:bCs w:val="0"/>
          <w:sz w:val="24"/>
          <w:szCs w:val="24"/>
        </w:rPr>
        <w:t xml:space="preserve">1.2合格的</w:t>
      </w:r>
      <w:bookmarkEnd w:id="58"/>
      <w:r>
        <w:rPr>
          <w:rFonts w:hint="eastAsia" w:ascii="微软雅黑" w:hAnsi="微软雅黑" w:cs="微软雅黑"/>
          <w:bCs w:val="0"/>
          <w:sz w:val="24"/>
          <w:szCs w:val="24"/>
        </w:rPr>
        <w:t xml:space="preserve">供应商</w:t>
      </w:r>
      <w:bookmarkEnd w:id="59"/>
      <w:r/>
      <w:bookmarkEnd w:id="60"/>
      <w:r/>
      <w:bookmarkEnd w:id="61"/>
      <w:r/>
      <w:bookmarkEnd w:id="62"/>
      <w:r/>
      <w:bookmarkEnd w:id="63"/>
      <w:r/>
      <w:r/>
    </w:p>
    <w:p>
      <w:pPr>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p>
    <w:p>
      <w:pPr>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p>
    <w:p>
      <w:pPr>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ascii="微软雅黑" w:hAnsi="微软雅黑" w:cs="微软雅黑"/>
        </w:rPr>
      </w:pPr>
      <w:r>
        <w:rPr>
          <w:rFonts w:hint="eastAsia" w:ascii="微软雅黑" w:hAnsi="微软雅黑" w:cs="微软雅黑"/>
        </w:rPr>
        <w:t xml:space="preserve">1.2.4联合体投标</w:t>
      </w:r>
      <w:r/>
    </w:p>
    <w:p>
      <w:pPr>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p>
    <w:p>
      <w:pPr>
        <w:pStyle w:val="1274"/>
        <w:spacing w:line="420" w:lineRule="exact"/>
        <w:rPr>
          <w:rFonts w:ascii="微软雅黑" w:hAnsi="微软雅黑" w:cs="微软雅黑"/>
          <w:bCs w:val="0"/>
          <w:sz w:val="24"/>
          <w:szCs w:val="24"/>
        </w:rPr>
      </w:pPr>
      <w:r/>
      <w:bookmarkStart w:id="64" w:name="_Toc403671109"/>
      <w:r/>
      <w:bookmarkStart w:id="65" w:name="_Toc15036"/>
      <w:r/>
      <w:bookmarkStart w:id="66" w:name="_Toc452384173"/>
      <w:r/>
      <w:bookmarkStart w:id="67" w:name="_Toc8112"/>
      <w:r/>
      <w:bookmarkStart w:id="68" w:name="_Toc28946"/>
      <w:r/>
      <w:bookmarkStart w:id="69" w:name="_Toc26779"/>
      <w:r/>
      <w:bookmarkStart w:id="70" w:name="_Toc6166"/>
      <w:r>
        <w:rPr>
          <w:rFonts w:hint="eastAsia" w:ascii="微软雅黑" w:hAnsi="微软雅黑" w:cs="微软雅黑"/>
          <w:bCs w:val="0"/>
          <w:sz w:val="24"/>
          <w:szCs w:val="24"/>
        </w:rPr>
        <w:t xml:space="preserve">1.3</w:t>
      </w:r>
      <w:bookmarkEnd w:id="64"/>
      <w:r>
        <w:rPr>
          <w:rFonts w:hint="eastAsia" w:ascii="微软雅黑" w:hAnsi="微软雅黑" w:cs="微软雅黑"/>
          <w:bCs w:val="0"/>
          <w:sz w:val="24"/>
          <w:szCs w:val="24"/>
        </w:rPr>
        <w:t xml:space="preserve">参加采购活动费用</w:t>
      </w:r>
      <w:bookmarkEnd w:id="65"/>
      <w:r/>
      <w:bookmarkEnd w:id="66"/>
      <w:r/>
      <w:bookmarkEnd w:id="67"/>
      <w:r/>
      <w:bookmarkEnd w:id="68"/>
      <w:r/>
      <w:bookmarkEnd w:id="69"/>
      <w:r/>
      <w:bookmarkEnd w:id="70"/>
      <w:r/>
      <w:r/>
    </w:p>
    <w:p>
      <w:pPr>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p>
    <w:p>
      <w:pPr>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p>
    <w:p>
      <w:pPr>
        <w:pStyle w:val="1274"/>
        <w:spacing w:line="420" w:lineRule="exact"/>
        <w:rPr>
          <w:rFonts w:ascii="微软雅黑" w:hAnsi="微软雅黑" w:cs="微软雅黑"/>
          <w:bCs w:val="0"/>
          <w:sz w:val="24"/>
          <w:szCs w:val="24"/>
        </w:rPr>
      </w:pPr>
      <w:r/>
      <w:bookmarkStart w:id="71" w:name="_Toc28048"/>
      <w:r/>
      <w:bookmarkStart w:id="72" w:name="_Toc452384174"/>
      <w:r/>
      <w:bookmarkStart w:id="73" w:name="_Toc15385"/>
      <w:r/>
      <w:bookmarkStart w:id="74" w:name="_Toc1136"/>
      <w:r/>
      <w:bookmarkStart w:id="75" w:name="_Toc8383"/>
      <w:r/>
      <w:bookmarkStart w:id="76" w:name="_Toc22068"/>
      <w:r>
        <w:rPr>
          <w:rFonts w:hint="eastAsia" w:ascii="微软雅黑" w:hAnsi="微软雅黑" w:cs="微软雅黑"/>
          <w:bCs w:val="0"/>
          <w:sz w:val="24"/>
          <w:szCs w:val="24"/>
        </w:rPr>
        <w:t xml:space="preserve">1.4法律适用</w:t>
      </w:r>
      <w:bookmarkEnd w:id="71"/>
      <w:r/>
      <w:bookmarkEnd w:id="72"/>
      <w:r/>
      <w:bookmarkEnd w:id="73"/>
      <w:r/>
      <w:bookmarkEnd w:id="74"/>
      <w:r/>
      <w:bookmarkEnd w:id="75"/>
      <w:r/>
      <w:bookmarkEnd w:id="76"/>
      <w:r/>
      <w:r/>
    </w:p>
    <w:p>
      <w:pPr>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p>
    <w:p>
      <w:pPr>
        <w:pStyle w:val="1274"/>
        <w:spacing w:line="420" w:lineRule="exact"/>
        <w:rPr>
          <w:rFonts w:ascii="微软雅黑" w:hAnsi="微软雅黑" w:cs="微软雅黑"/>
          <w:bCs w:val="0"/>
          <w:sz w:val="24"/>
          <w:szCs w:val="24"/>
        </w:rPr>
      </w:pPr>
      <w:r/>
      <w:bookmarkStart w:id="77" w:name="_Toc30199"/>
      <w:r/>
      <w:bookmarkStart w:id="78" w:name="_Toc8605"/>
      <w:r/>
      <w:bookmarkStart w:id="79" w:name="_Toc452384175"/>
      <w:r/>
      <w:bookmarkStart w:id="80" w:name="_Toc1706"/>
      <w:r/>
      <w:bookmarkStart w:id="81" w:name="_Toc30400"/>
      <w:r/>
      <w:bookmarkStart w:id="82" w:name="_Toc32584"/>
      <w:r>
        <w:rPr>
          <w:rFonts w:hint="eastAsia" w:ascii="微软雅黑" w:hAnsi="微软雅黑" w:cs="微软雅黑"/>
          <w:bCs w:val="0"/>
          <w:sz w:val="24"/>
          <w:szCs w:val="24"/>
        </w:rPr>
        <w:t xml:space="preserve">1.5采购文件的约束力</w:t>
      </w:r>
      <w:bookmarkEnd w:id="77"/>
      <w:r/>
      <w:bookmarkEnd w:id="78"/>
      <w:r/>
      <w:bookmarkEnd w:id="79"/>
      <w:r/>
      <w:bookmarkEnd w:id="80"/>
      <w:r/>
      <w:bookmarkEnd w:id="81"/>
      <w:r/>
      <w:bookmarkEnd w:id="82"/>
      <w:r/>
      <w:r/>
    </w:p>
    <w:p>
      <w:pPr>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p>
    <w:p>
      <w:pPr>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p>
    <w:p>
      <w:pPr>
        <w:pStyle w:val="1273"/>
        <w:spacing w:line="420" w:lineRule="exact"/>
        <w:rPr>
          <w:rFonts w:ascii="微软雅黑" w:hAnsi="微软雅黑" w:cs="微软雅黑"/>
        </w:rPr>
      </w:pPr>
      <w:r/>
      <w:bookmarkStart w:id="83" w:name="_Toc30003"/>
      <w:r/>
      <w:bookmarkStart w:id="84" w:name="_Toc21022"/>
      <w:r/>
      <w:bookmarkStart w:id="85" w:name="_Toc16513"/>
      <w:r/>
      <w:bookmarkStart w:id="86" w:name="_Toc9303"/>
      <w:r/>
      <w:bookmarkStart w:id="87" w:name="_Toc452384176"/>
      <w:r/>
      <w:bookmarkStart w:id="88" w:name="_Toc11239"/>
      <w:r>
        <w:rPr>
          <w:rFonts w:hint="eastAsia" w:ascii="微软雅黑" w:hAnsi="微软雅黑" w:cs="微软雅黑"/>
        </w:rPr>
        <w:t xml:space="preserve">二、采购文件</w:t>
      </w:r>
      <w:bookmarkEnd w:id="83"/>
      <w:r/>
      <w:bookmarkEnd w:id="84"/>
      <w:r/>
      <w:bookmarkEnd w:id="85"/>
      <w:r/>
      <w:bookmarkEnd w:id="86"/>
      <w:r/>
      <w:bookmarkEnd w:id="87"/>
      <w:r/>
      <w:bookmarkEnd w:id="88"/>
      <w:r/>
      <w:r/>
    </w:p>
    <w:p>
      <w:pPr>
        <w:pStyle w:val="1274"/>
        <w:spacing w:line="420" w:lineRule="exact"/>
        <w:rPr>
          <w:rFonts w:ascii="微软雅黑" w:hAnsi="微软雅黑" w:cs="微软雅黑"/>
          <w:bCs w:val="0"/>
          <w:sz w:val="24"/>
          <w:szCs w:val="24"/>
        </w:rPr>
      </w:pPr>
      <w:r/>
      <w:bookmarkStart w:id="89" w:name="_Toc10645"/>
      <w:r/>
      <w:bookmarkStart w:id="90" w:name="_Toc30965"/>
      <w:r/>
      <w:bookmarkStart w:id="91" w:name="_Toc10694"/>
      <w:r/>
      <w:bookmarkStart w:id="92" w:name="_Toc29475"/>
      <w:r/>
      <w:bookmarkStart w:id="93" w:name="_Toc452384177"/>
      <w:r/>
      <w:bookmarkStart w:id="94" w:name="_Toc23555"/>
      <w:r>
        <w:rPr>
          <w:rFonts w:hint="eastAsia" w:ascii="微软雅黑" w:hAnsi="微软雅黑" w:cs="微软雅黑"/>
          <w:bCs w:val="0"/>
          <w:sz w:val="24"/>
          <w:szCs w:val="24"/>
        </w:rPr>
        <w:t xml:space="preserve">2.1采购文件的组成</w:t>
      </w:r>
      <w:bookmarkEnd w:id="89"/>
      <w:r/>
      <w:bookmarkEnd w:id="90"/>
      <w:r/>
      <w:bookmarkEnd w:id="91"/>
      <w:r/>
      <w:bookmarkEnd w:id="92"/>
      <w:r/>
      <w:bookmarkEnd w:id="93"/>
      <w:r/>
      <w:bookmarkEnd w:id="94"/>
      <w:r/>
      <w:r/>
    </w:p>
    <w:p>
      <w:pPr>
        <w:spacing w:line="420" w:lineRule="exact"/>
        <w:rPr>
          <w:rFonts w:ascii="微软雅黑" w:hAnsi="微软雅黑" w:cs="微软雅黑"/>
        </w:rPr>
      </w:pPr>
      <w:r>
        <w:rPr>
          <w:rFonts w:hint="eastAsia" w:ascii="微软雅黑" w:hAnsi="微软雅黑" w:cs="微软雅黑"/>
        </w:rPr>
        <w:t xml:space="preserve">2.1.1采购文件由以下部分组成：</w:t>
      </w:r>
      <w:r/>
    </w:p>
    <w:p>
      <w:pPr>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p>
    <w:p>
      <w:pPr>
        <w:ind w:firstLine="420"/>
        <w:spacing w:line="420" w:lineRule="exact"/>
        <w:rPr>
          <w:rFonts w:ascii="微软雅黑" w:hAnsi="微软雅黑" w:cs="微软雅黑"/>
        </w:rPr>
      </w:pPr>
      <w:r>
        <w:rPr>
          <w:rFonts w:hint="eastAsia" w:ascii="微软雅黑" w:hAnsi="微软雅黑" w:cs="微软雅黑"/>
        </w:rPr>
        <w:t xml:space="preserve">第二章 供应商须知</w:t>
      </w:r>
      <w:r/>
    </w:p>
    <w:p>
      <w:pPr>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p>
    <w:p>
      <w:pPr>
        <w:ind w:firstLine="420"/>
        <w:spacing w:line="420" w:lineRule="exact"/>
        <w:rPr>
          <w:rFonts w:ascii="微软雅黑" w:hAnsi="微软雅黑" w:cs="微软雅黑"/>
        </w:rPr>
      </w:pPr>
      <w:r>
        <w:rPr>
          <w:rFonts w:hint="eastAsia" w:ascii="微软雅黑" w:hAnsi="微软雅黑" w:cs="微软雅黑"/>
        </w:rPr>
        <w:t xml:space="preserve">第四章 项目采购需求</w:t>
      </w:r>
      <w:r/>
    </w:p>
    <w:p>
      <w:pPr>
        <w:ind w:firstLine="420"/>
        <w:spacing w:line="420" w:lineRule="exact"/>
        <w:rPr>
          <w:rFonts w:ascii="微软雅黑" w:hAnsi="微软雅黑" w:cs="微软雅黑"/>
        </w:rPr>
      </w:pPr>
      <w:r>
        <w:rPr>
          <w:rFonts w:hint="eastAsia" w:ascii="微软雅黑" w:hAnsi="微软雅黑" w:cs="微软雅黑"/>
        </w:rPr>
        <w:t xml:space="preserve">第五章 采购合同</w:t>
      </w:r>
      <w:r/>
    </w:p>
    <w:p>
      <w:pPr>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p>
    <w:p>
      <w:pPr>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p>
    <w:p>
      <w:pPr>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p>
    <w:p>
      <w:pPr>
        <w:pStyle w:val="1274"/>
        <w:spacing w:line="420" w:lineRule="exact"/>
        <w:rPr>
          <w:rFonts w:ascii="微软雅黑" w:hAnsi="微软雅黑" w:cs="微软雅黑"/>
          <w:bCs w:val="0"/>
          <w:sz w:val="24"/>
          <w:szCs w:val="24"/>
        </w:rPr>
      </w:pPr>
      <w:r/>
      <w:bookmarkStart w:id="95" w:name="_Toc10339"/>
      <w:r/>
      <w:bookmarkStart w:id="96" w:name="_Toc15213"/>
      <w:r/>
      <w:bookmarkStart w:id="97" w:name="_Toc452384179"/>
      <w:r/>
      <w:bookmarkStart w:id="98" w:name="_Toc26381"/>
      <w:r/>
      <w:bookmarkStart w:id="99" w:name="_Toc19383"/>
      <w:r/>
      <w:bookmarkStart w:id="100" w:name="_Toc1216"/>
      <w:r>
        <w:rPr>
          <w:rFonts w:hint="eastAsia" w:ascii="微软雅黑" w:hAnsi="微软雅黑" w:cs="微软雅黑"/>
          <w:bCs w:val="0"/>
          <w:sz w:val="24"/>
          <w:szCs w:val="24"/>
        </w:rPr>
        <w:t xml:space="preserve">2.2采购文件的更正或补充</w:t>
      </w:r>
      <w:bookmarkEnd w:id="95"/>
      <w:r/>
      <w:bookmarkEnd w:id="96"/>
      <w:r/>
      <w:bookmarkEnd w:id="97"/>
      <w:r/>
      <w:bookmarkEnd w:id="98"/>
      <w:r/>
      <w:bookmarkEnd w:id="99"/>
      <w:r/>
      <w:bookmarkEnd w:id="100"/>
      <w:r/>
      <w:r/>
    </w:p>
    <w:p>
      <w:pPr>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p>
    <w:p>
      <w:pPr>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p>
    <w:p>
      <w:pPr>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p>
    <w:p>
      <w:pPr>
        <w:pStyle w:val="1273"/>
        <w:spacing w:line="420" w:lineRule="exact"/>
        <w:rPr>
          <w:rFonts w:ascii="微软雅黑" w:hAnsi="微软雅黑" w:cs="微软雅黑"/>
        </w:rPr>
      </w:pPr>
      <w:r/>
      <w:bookmarkStart w:id="101" w:name="_Toc30555"/>
      <w:r/>
      <w:bookmarkStart w:id="102" w:name="_Toc30874"/>
      <w:r/>
      <w:bookmarkStart w:id="103" w:name="_Toc923"/>
      <w:r/>
      <w:bookmarkStart w:id="104" w:name="_Toc452384180"/>
      <w:r/>
      <w:bookmarkStart w:id="105" w:name="_Toc13675"/>
      <w:r/>
      <w:bookmarkStart w:id="106" w:name="_Toc28998"/>
      <w:r>
        <w:rPr>
          <w:rFonts w:hint="eastAsia" w:ascii="微软雅黑" w:hAnsi="微软雅黑" w:cs="微软雅黑"/>
        </w:rPr>
        <w:t xml:space="preserve">三、投标文件</w:t>
      </w:r>
      <w:bookmarkEnd w:id="101"/>
      <w:r/>
      <w:bookmarkEnd w:id="102"/>
      <w:r/>
      <w:bookmarkEnd w:id="103"/>
      <w:r/>
      <w:bookmarkEnd w:id="104"/>
      <w:r/>
      <w:bookmarkEnd w:id="105"/>
      <w:r/>
      <w:bookmarkEnd w:id="106"/>
      <w:r/>
      <w:r/>
    </w:p>
    <w:p>
      <w:pPr>
        <w:pStyle w:val="1274"/>
        <w:spacing w:line="420" w:lineRule="exact"/>
        <w:rPr>
          <w:rFonts w:ascii="微软雅黑" w:hAnsi="微软雅黑" w:cs="微软雅黑"/>
          <w:bCs w:val="0"/>
          <w:sz w:val="24"/>
          <w:szCs w:val="24"/>
        </w:rPr>
      </w:pPr>
      <w:r/>
      <w:bookmarkStart w:id="107" w:name="_Toc7846"/>
      <w:r/>
      <w:bookmarkStart w:id="108" w:name="_Toc452384181"/>
      <w:r/>
      <w:bookmarkStart w:id="109" w:name="_Toc24730"/>
      <w:r/>
      <w:bookmarkStart w:id="110" w:name="_Toc5087"/>
      <w:r/>
      <w:bookmarkStart w:id="111" w:name="_Toc13316"/>
      <w:r/>
      <w:bookmarkStart w:id="112" w:name="_Toc1214"/>
      <w:r>
        <w:rPr>
          <w:rFonts w:hint="eastAsia" w:ascii="微软雅黑" w:hAnsi="微软雅黑" w:cs="微软雅黑"/>
          <w:bCs w:val="0"/>
          <w:sz w:val="24"/>
          <w:szCs w:val="24"/>
        </w:rPr>
        <w:t xml:space="preserve">3.1投标文件的语言及度量衡</w:t>
      </w:r>
      <w:bookmarkEnd w:id="107"/>
      <w:r/>
      <w:bookmarkEnd w:id="108"/>
      <w:r/>
      <w:bookmarkEnd w:id="109"/>
      <w:r/>
      <w:bookmarkEnd w:id="110"/>
      <w:r/>
      <w:bookmarkEnd w:id="111"/>
      <w:r/>
      <w:bookmarkEnd w:id="112"/>
      <w:r/>
      <w:r/>
    </w:p>
    <w:p>
      <w:pPr>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p>
    <w:p>
      <w:pPr>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p>
    <w:p>
      <w:pPr>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p>
    <w:p>
      <w:pPr>
        <w:pStyle w:val="1274"/>
        <w:spacing w:line="420" w:lineRule="exact"/>
        <w:rPr>
          <w:rFonts w:ascii="微软雅黑" w:hAnsi="微软雅黑" w:cs="微软雅黑"/>
          <w:bCs w:val="0"/>
          <w:sz w:val="24"/>
          <w:szCs w:val="24"/>
        </w:rPr>
      </w:pPr>
      <w:r/>
      <w:bookmarkStart w:id="113" w:name="_Toc32373"/>
      <w:r/>
      <w:bookmarkStart w:id="114" w:name="_Toc7785"/>
      <w:r/>
      <w:bookmarkStart w:id="115" w:name="_Toc23879"/>
      <w:r/>
      <w:bookmarkStart w:id="116" w:name="_Toc27826"/>
      <w:r/>
      <w:bookmarkStart w:id="117" w:name="_Toc1816"/>
      <w:r/>
      <w:bookmarkStart w:id="118" w:name="_Toc452384182"/>
      <w:r>
        <w:rPr>
          <w:rFonts w:hint="eastAsia" w:ascii="微软雅黑" w:hAnsi="微软雅黑" w:cs="微软雅黑"/>
          <w:bCs w:val="0"/>
          <w:sz w:val="24"/>
          <w:szCs w:val="24"/>
        </w:rPr>
        <w:t xml:space="preserve">3.2投标文件的组成</w:t>
      </w:r>
      <w:bookmarkEnd w:id="113"/>
      <w:r/>
      <w:bookmarkEnd w:id="114"/>
      <w:r/>
      <w:bookmarkEnd w:id="115"/>
      <w:r/>
      <w:bookmarkEnd w:id="116"/>
      <w:r/>
      <w:bookmarkEnd w:id="117"/>
      <w:r/>
      <w:bookmarkEnd w:id="118"/>
      <w:r/>
      <w:r/>
    </w:p>
    <w:p>
      <w:pPr>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p>
    <w:p>
      <w:pPr>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p>
    <w:p>
      <w:pPr>
        <w:ind w:firstLine="420"/>
        <w:spacing w:line="420" w:lineRule="exact"/>
        <w:rPr>
          <w:rFonts w:ascii="微软雅黑" w:hAnsi="微软雅黑" w:cs="微软雅黑"/>
        </w:rPr>
      </w:pPr>
      <w:r>
        <w:rPr>
          <w:rFonts w:hint="eastAsia" w:ascii="微软雅黑" w:hAnsi="微软雅黑" w:cs="微软雅黑"/>
        </w:rPr>
        <w:t xml:space="preserve">（2）供应商资格证明文件。</w:t>
      </w:r>
      <w:r/>
    </w:p>
    <w:p>
      <w:pPr>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p>
    <w:p>
      <w:pPr>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p>
    <w:p>
      <w:pPr>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p>
    <w:p>
      <w:pPr>
        <w:pStyle w:val="1274"/>
        <w:spacing w:line="420" w:lineRule="exact"/>
        <w:rPr>
          <w:rFonts w:ascii="微软雅黑" w:hAnsi="微软雅黑" w:cs="微软雅黑"/>
          <w:bCs w:val="0"/>
          <w:sz w:val="24"/>
          <w:szCs w:val="24"/>
        </w:rPr>
      </w:pPr>
      <w:r/>
      <w:bookmarkStart w:id="119" w:name="_Toc452384183"/>
      <w:r/>
      <w:bookmarkStart w:id="120" w:name="_Toc28667"/>
      <w:r/>
      <w:bookmarkStart w:id="121" w:name="_Toc30513"/>
      <w:r/>
      <w:bookmarkStart w:id="122" w:name="_Toc11816"/>
      <w:r/>
      <w:bookmarkStart w:id="123" w:name="_Toc17661"/>
      <w:r/>
      <w:bookmarkStart w:id="124" w:name="_Toc532"/>
      <w:r>
        <w:rPr>
          <w:rFonts w:hint="eastAsia" w:ascii="微软雅黑" w:hAnsi="微软雅黑" w:cs="微软雅黑"/>
          <w:bCs w:val="0"/>
          <w:sz w:val="24"/>
          <w:szCs w:val="24"/>
        </w:rPr>
        <w:t xml:space="preserve">3.3投标报价</w:t>
      </w:r>
      <w:bookmarkEnd w:id="119"/>
      <w:r/>
      <w:bookmarkEnd w:id="120"/>
      <w:r/>
      <w:bookmarkEnd w:id="121"/>
      <w:r/>
      <w:bookmarkEnd w:id="122"/>
      <w:r/>
      <w:bookmarkEnd w:id="123"/>
      <w:r/>
      <w:bookmarkEnd w:id="124"/>
      <w:r/>
      <w:r/>
    </w:p>
    <w:p>
      <w:pPr>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p>
    <w:p>
      <w:pPr>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p>
    <w:p>
      <w:pPr>
        <w:pStyle w:val="1274"/>
        <w:spacing w:line="420" w:lineRule="exact"/>
        <w:rPr>
          <w:rFonts w:ascii="微软雅黑" w:hAnsi="微软雅黑" w:cs="微软雅黑"/>
          <w:bCs w:val="0"/>
          <w:sz w:val="24"/>
          <w:szCs w:val="24"/>
        </w:rPr>
      </w:pPr>
      <w:r/>
      <w:bookmarkStart w:id="125" w:name="_Toc452384184"/>
      <w:r/>
      <w:bookmarkStart w:id="126" w:name="_Toc17210"/>
      <w:r/>
      <w:bookmarkStart w:id="127" w:name="_Toc1870"/>
      <w:r/>
      <w:bookmarkStart w:id="128" w:name="_Toc11833"/>
      <w:r/>
      <w:bookmarkStart w:id="129" w:name="_Toc9113"/>
      <w:r/>
      <w:bookmarkStart w:id="130" w:name="_Toc19064"/>
      <w:r>
        <w:rPr>
          <w:rFonts w:hint="eastAsia" w:ascii="微软雅黑" w:hAnsi="微软雅黑" w:cs="微软雅黑"/>
          <w:bCs w:val="0"/>
          <w:sz w:val="24"/>
          <w:szCs w:val="24"/>
        </w:rPr>
        <w:t xml:space="preserve">3.4投标报价中的货币</w:t>
      </w:r>
      <w:bookmarkEnd w:id="125"/>
      <w:r/>
      <w:bookmarkEnd w:id="126"/>
      <w:r/>
      <w:bookmarkEnd w:id="127"/>
      <w:r/>
      <w:bookmarkEnd w:id="128"/>
      <w:r/>
      <w:bookmarkEnd w:id="129"/>
      <w:r/>
      <w:bookmarkEnd w:id="130"/>
      <w:r/>
      <w:r/>
    </w:p>
    <w:p>
      <w:pPr>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p>
    <w:p>
      <w:pPr>
        <w:pStyle w:val="1274"/>
        <w:spacing w:line="420" w:lineRule="exact"/>
        <w:rPr>
          <w:rFonts w:ascii="微软雅黑" w:hAnsi="微软雅黑" w:cs="微软雅黑"/>
          <w:bCs w:val="0"/>
          <w:sz w:val="24"/>
          <w:szCs w:val="24"/>
        </w:rPr>
      </w:pPr>
      <w:r/>
      <w:bookmarkStart w:id="131" w:name="_Toc452384185"/>
      <w:r/>
      <w:bookmarkStart w:id="132" w:name="_Toc16380"/>
      <w:r/>
      <w:bookmarkStart w:id="133" w:name="_Toc18127"/>
      <w:r/>
      <w:bookmarkStart w:id="134" w:name="_Toc11012"/>
      <w:r/>
      <w:bookmarkStart w:id="135" w:name="_Toc22794"/>
      <w:r/>
      <w:bookmarkStart w:id="136" w:name="_Toc65"/>
      <w:r>
        <w:rPr>
          <w:rFonts w:hint="eastAsia" w:ascii="微软雅黑" w:hAnsi="微软雅黑" w:cs="微软雅黑"/>
          <w:bCs w:val="0"/>
          <w:sz w:val="24"/>
          <w:szCs w:val="24"/>
        </w:rPr>
        <w:t xml:space="preserve">3.5投标保证金</w:t>
      </w:r>
      <w:bookmarkEnd w:id="131"/>
      <w:r/>
      <w:bookmarkEnd w:id="132"/>
      <w:r>
        <w:rPr>
          <w:rFonts w:hint="eastAsia" w:ascii="微软雅黑" w:hAnsi="微软雅黑" w:cs="微软雅黑"/>
          <w:bCs w:val="0"/>
          <w:sz w:val="24"/>
          <w:szCs w:val="24"/>
        </w:rPr>
        <w:t xml:space="preserve">：无</w:t>
      </w:r>
      <w:bookmarkEnd w:id="133"/>
      <w:r/>
      <w:bookmarkEnd w:id="134"/>
      <w:r/>
      <w:bookmarkEnd w:id="135"/>
      <w:r/>
      <w:bookmarkEnd w:id="136"/>
      <w:r/>
      <w:r/>
    </w:p>
    <w:p>
      <w:pPr>
        <w:pStyle w:val="1274"/>
        <w:spacing w:line="420" w:lineRule="exact"/>
        <w:rPr>
          <w:rFonts w:ascii="微软雅黑" w:hAnsi="微软雅黑" w:cs="微软雅黑"/>
          <w:bCs w:val="0"/>
          <w:sz w:val="24"/>
          <w:szCs w:val="24"/>
        </w:rPr>
      </w:pPr>
      <w:r/>
      <w:bookmarkStart w:id="137" w:name="_Toc5583"/>
      <w:r/>
      <w:bookmarkStart w:id="138" w:name="_Toc31418"/>
      <w:r/>
      <w:bookmarkStart w:id="139" w:name="_Toc17830"/>
      <w:r/>
      <w:bookmarkStart w:id="140" w:name="_Toc27848"/>
      <w:r/>
      <w:bookmarkStart w:id="141" w:name="_Toc474"/>
      <w:r/>
      <w:bookmarkStart w:id="142" w:name="_Toc452384186"/>
      <w:r>
        <w:rPr>
          <w:rFonts w:hint="eastAsia" w:ascii="微软雅黑" w:hAnsi="微软雅黑" w:cs="微软雅黑"/>
          <w:bCs w:val="0"/>
          <w:sz w:val="24"/>
          <w:szCs w:val="24"/>
        </w:rPr>
        <w:t xml:space="preserve">3.6投标有效期</w:t>
      </w:r>
      <w:bookmarkEnd w:id="137"/>
      <w:r/>
      <w:bookmarkEnd w:id="138"/>
      <w:r/>
      <w:bookmarkEnd w:id="139"/>
      <w:r/>
      <w:bookmarkEnd w:id="140"/>
      <w:r/>
      <w:bookmarkEnd w:id="141"/>
      <w:r/>
      <w:bookmarkEnd w:id="142"/>
      <w:r/>
      <w:r/>
    </w:p>
    <w:p>
      <w:pPr>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p>
    <w:p>
      <w:pPr>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74"/>
        <w:spacing w:line="420" w:lineRule="exact"/>
        <w:rPr>
          <w:rFonts w:ascii="微软雅黑" w:hAnsi="微软雅黑" w:cs="微软雅黑"/>
          <w:bCs w:val="0"/>
          <w:sz w:val="24"/>
          <w:szCs w:val="24"/>
        </w:rPr>
      </w:pPr>
      <w:r/>
      <w:bookmarkStart w:id="143" w:name="_Toc20267"/>
      <w:r/>
      <w:bookmarkStart w:id="144" w:name="_Toc452384187"/>
      <w:r/>
      <w:bookmarkStart w:id="145" w:name="_Toc30335"/>
      <w:r/>
      <w:bookmarkStart w:id="146" w:name="_Toc24918"/>
      <w:r/>
      <w:bookmarkStart w:id="147" w:name="_Toc29078"/>
      <w:r/>
      <w:bookmarkStart w:id="148" w:name="_Toc30675"/>
      <w:r>
        <w:rPr>
          <w:rFonts w:hint="eastAsia" w:ascii="微软雅黑" w:hAnsi="微软雅黑" w:cs="微软雅黑"/>
          <w:bCs w:val="0"/>
          <w:sz w:val="24"/>
          <w:szCs w:val="24"/>
        </w:rPr>
        <w:t xml:space="preserve">3.7投标文件的签署、形式及装订</w:t>
      </w:r>
      <w:bookmarkEnd w:id="143"/>
      <w:r/>
      <w:bookmarkEnd w:id="144"/>
      <w:r/>
      <w:bookmarkEnd w:id="145"/>
      <w:r/>
      <w:bookmarkEnd w:id="146"/>
      <w:r/>
      <w:bookmarkEnd w:id="147"/>
      <w:r/>
      <w:bookmarkEnd w:id="148"/>
      <w:r/>
      <w:r/>
    </w:p>
    <w:p>
      <w:pPr>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p>
    <w:p>
      <w:pPr>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p>
    <w:p>
      <w:pPr>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p>
    <w:p>
      <w:pPr>
        <w:pStyle w:val="1273"/>
        <w:spacing w:line="420" w:lineRule="exact"/>
        <w:rPr>
          <w:rFonts w:ascii="微软雅黑" w:hAnsi="微软雅黑" w:cs="微软雅黑"/>
        </w:rPr>
      </w:pPr>
      <w:r/>
      <w:bookmarkStart w:id="149" w:name="_Toc153"/>
      <w:r/>
      <w:bookmarkStart w:id="150" w:name="_Toc30572"/>
      <w:r/>
      <w:bookmarkStart w:id="151" w:name="_Toc27802"/>
      <w:r/>
      <w:bookmarkStart w:id="152" w:name="_Toc27523"/>
      <w:r/>
      <w:bookmarkStart w:id="153" w:name="_Toc28144"/>
      <w:r/>
      <w:bookmarkStart w:id="154" w:name="_Toc452384188"/>
      <w:r>
        <w:rPr>
          <w:rFonts w:hint="eastAsia" w:ascii="微软雅黑" w:hAnsi="微软雅黑" w:cs="微软雅黑"/>
        </w:rPr>
        <w:t xml:space="preserve">四、投标文件的递交</w:t>
      </w:r>
      <w:bookmarkEnd w:id="149"/>
      <w:r/>
      <w:bookmarkEnd w:id="150"/>
      <w:r/>
      <w:bookmarkEnd w:id="151"/>
      <w:r/>
      <w:bookmarkEnd w:id="152"/>
      <w:r/>
      <w:bookmarkEnd w:id="153"/>
      <w:r/>
      <w:bookmarkEnd w:id="154"/>
      <w:r/>
      <w:r/>
    </w:p>
    <w:p>
      <w:pPr>
        <w:jc w:val="left"/>
        <w:spacing w:line="420" w:lineRule="exact"/>
        <w:rPr>
          <w:rFonts w:ascii="微软雅黑" w:hAnsi="微软雅黑" w:cs="微软雅黑"/>
          <w:szCs w:val="21"/>
        </w:rPr>
      </w:pPr>
      <w:r>
        <w:rPr>
          <w:rFonts w:hint="eastAsia" w:ascii="微软雅黑" w:hAnsi="微软雅黑" w:cs="微软雅黑"/>
          <w:b/>
          <w:bCs/>
          <w:szCs w:val="21"/>
        </w:rPr>
        <w:t xml:space="preserve">4.1投标人应当按照《操作手册》规定，在采购公告规定的投标截止时间前制作并上传电子投标文件。</w:t>
      </w:r>
      <w:r/>
    </w:p>
    <w:p>
      <w:pPr>
        <w:pStyle w:val="1096"/>
        <w:jc w:val="left"/>
        <w:spacing w:before="0" w:after="0" w:line="420" w:lineRule="exact"/>
        <w:rPr>
          <w:rFonts w:ascii="微软雅黑" w:hAnsi="微软雅黑" w:eastAsia="微软雅黑" w:cs="微软雅黑"/>
          <w:b/>
          <w:sz w:val="21"/>
          <w:szCs w:val="21"/>
        </w:rPr>
      </w:pPr>
      <w:r/>
      <w:bookmarkStart w:id="155" w:name="_Toc3641"/>
      <w:r/>
      <w:bookmarkStart w:id="156" w:name="_Toc2168"/>
      <w:r/>
      <w:bookmarkStart w:id="157" w:name="_Toc11977"/>
      <w:r/>
      <w:bookmarkStart w:id="158" w:name="_Toc26642"/>
      <w:r/>
      <w:bookmarkStart w:id="159" w:name="_Toc452384192"/>
      <w:r/>
      <w:bookmarkStart w:id="160" w:name="_Toc11818"/>
      <w:r>
        <w:rPr>
          <w:rFonts w:hint="eastAsia" w:ascii="微软雅黑" w:hAnsi="微软雅黑" w:eastAsia="微软雅黑" w:cs="微软雅黑"/>
          <w:b/>
          <w:sz w:val="21"/>
          <w:szCs w:val="21"/>
        </w:rPr>
        <w:t xml:space="preserve">4.2有下列情形的投标文件将被拒收</w:t>
      </w:r>
      <w:bookmarkEnd w:id="155"/>
      <w:r/>
      <w:bookmarkEnd w:id="156"/>
      <w:r/>
      <w:bookmarkEnd w:id="157"/>
      <w:r/>
      <w:bookmarkEnd w:id="158"/>
      <w:r/>
      <w:r/>
    </w:p>
    <w:p>
      <w:pPr>
        <w:pStyle w:val="1096"/>
        <w:jc w:val="left"/>
        <w:spacing w:before="0" w:after="0" w:line="420" w:lineRule="exact"/>
        <w:rPr>
          <w:rFonts w:ascii="微软雅黑" w:hAnsi="微软雅黑" w:eastAsia="微软雅黑" w:cs="微软雅黑"/>
          <w:bCs/>
          <w:sz w:val="21"/>
          <w:szCs w:val="21"/>
        </w:rPr>
      </w:pPr>
      <w:r/>
      <w:bookmarkStart w:id="161" w:name="_Toc15498"/>
      <w:r/>
      <w:bookmarkStart w:id="162" w:name="_Toc13038"/>
      <w:r/>
      <w:bookmarkStart w:id="163" w:name="_Toc7486"/>
      <w:r/>
      <w:bookmarkStart w:id="164" w:name="_Toc3724"/>
      <w:r>
        <w:rPr>
          <w:rFonts w:hint="eastAsia" w:ascii="微软雅黑" w:hAnsi="微软雅黑" w:eastAsia="微软雅黑" w:cs="微软雅黑"/>
          <w:bCs/>
          <w:sz w:val="21"/>
          <w:szCs w:val="21"/>
        </w:rPr>
        <w:t xml:space="preserve">4.2.1投标人未按照《操作手册》规定，在“苏采云”系统规定的时间内对投标文件进行解密的。</w:t>
      </w:r>
      <w:bookmarkEnd w:id="161"/>
      <w:r/>
      <w:bookmarkEnd w:id="162"/>
      <w:r/>
      <w:bookmarkEnd w:id="163"/>
      <w:r/>
      <w:bookmarkEnd w:id="164"/>
      <w:r/>
      <w:r/>
    </w:p>
    <w:p>
      <w:pPr>
        <w:pStyle w:val="1096"/>
        <w:jc w:val="left"/>
        <w:spacing w:before="0" w:after="0" w:line="420" w:lineRule="exact"/>
        <w:rPr>
          <w:rFonts w:ascii="微软雅黑" w:hAnsi="微软雅黑" w:eastAsia="微软雅黑" w:cs="微软雅黑"/>
          <w:b/>
          <w:sz w:val="21"/>
          <w:szCs w:val="21"/>
        </w:rPr>
      </w:pPr>
      <w:r/>
      <w:bookmarkStart w:id="165" w:name="_Toc27804"/>
      <w:r/>
      <w:bookmarkStart w:id="166" w:name="_Toc1919"/>
      <w:r/>
      <w:bookmarkStart w:id="167" w:name="_Toc29996"/>
      <w:r/>
      <w:bookmarkStart w:id="168" w:name="_Toc13623"/>
      <w:r>
        <w:rPr>
          <w:rFonts w:hint="eastAsia" w:ascii="微软雅黑" w:hAnsi="微软雅黑" w:eastAsia="微软雅黑" w:cs="微软雅黑"/>
          <w:bCs/>
          <w:sz w:val="21"/>
          <w:szCs w:val="21"/>
        </w:rPr>
        <w:t xml:space="preserve">4.2.2投标人应充分考虑网络环境、网络带宽等因素可能对投标产生的影响，如因投标人自身原因造成的电子投标文件解密不成功的，做无效投标处理</w:t>
      </w:r>
      <w:bookmarkEnd w:id="165"/>
      <w:r/>
      <w:bookmarkEnd w:id="166"/>
      <w:r>
        <w:rPr>
          <w:rFonts w:hint="eastAsia" w:ascii="微软雅黑" w:hAnsi="微软雅黑" w:eastAsia="微软雅黑" w:cs="微软雅黑"/>
          <w:bCs/>
          <w:sz w:val="21"/>
          <w:szCs w:val="21"/>
        </w:rPr>
        <w:t xml:space="preserve">,</w:t>
      </w:r>
      <w:r>
        <w:rPr>
          <w:rFonts w:ascii="微软雅黑" w:hAnsi="微软雅黑" w:eastAsia="微软雅黑" w:cs="微软雅黑"/>
          <w:bCs/>
          <w:sz w:val="21"/>
          <w:szCs w:val="21"/>
          <w:shd w:val="clear" w:color="auto" w:fill="ffffff"/>
        </w:rPr>
        <w:t xml:space="preserve">但</w:t>
      </w:r>
      <w:r>
        <w:rPr>
          <w:rFonts w:ascii="微软雅黑" w:hAnsi="微软雅黑" w:eastAsia="微软雅黑" w:cs="微软雅黑"/>
          <w:sz w:val="21"/>
          <w:szCs w:val="21"/>
          <w:shd w:val="clear" w:color="auto" w:fill="ffffff"/>
        </w:rPr>
        <w:t xml:space="preserve">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167"/>
      <w:r/>
      <w:bookmarkEnd w:id="168"/>
      <w:r/>
      <w:r/>
    </w:p>
    <w:p>
      <w:pPr>
        <w:pStyle w:val="1105"/>
        <w:spacing w:line="420" w:lineRule="exact"/>
        <w:rPr>
          <w:rFonts w:ascii="微软雅黑" w:hAnsi="微软雅黑" w:cs="微软雅黑"/>
        </w:rPr>
      </w:pPr>
      <w:r>
        <w:rPr>
          <w:rFonts w:ascii="微软雅黑" w:hAnsi="微软雅黑" w:cs="微软雅黑"/>
        </w:rPr>
      </w:r>
      <w:r/>
    </w:p>
    <w:p>
      <w:pPr>
        <w:pStyle w:val="1096"/>
        <w:jc w:val="left"/>
        <w:spacing w:before="0" w:after="0" w:line="420" w:lineRule="exact"/>
        <w:rPr>
          <w:rFonts w:ascii="微软雅黑" w:hAnsi="微软雅黑" w:eastAsia="微软雅黑" w:cs="微软雅黑"/>
          <w:b/>
          <w:sz w:val="21"/>
          <w:szCs w:val="21"/>
        </w:rPr>
      </w:pPr>
      <w:r/>
      <w:bookmarkStart w:id="169" w:name="_Toc25795"/>
      <w:r/>
      <w:bookmarkStart w:id="170" w:name="_Toc21630"/>
      <w:r/>
      <w:bookmarkStart w:id="171" w:name="_Toc1304"/>
      <w:r/>
      <w:bookmarkStart w:id="172" w:name="_Toc452384190"/>
      <w:r/>
      <w:bookmarkStart w:id="173" w:name="_Toc6818"/>
      <w:r/>
      <w:bookmarkStart w:id="174" w:name="_Toc1859"/>
      <w:r>
        <w:rPr>
          <w:rFonts w:hint="eastAsia" w:ascii="微软雅黑" w:hAnsi="微软雅黑" w:eastAsia="微软雅黑" w:cs="微软雅黑"/>
          <w:b/>
          <w:sz w:val="21"/>
          <w:szCs w:val="21"/>
        </w:rPr>
        <w:t xml:space="preserve">4.3 投标截止时间</w:t>
      </w:r>
      <w:bookmarkEnd w:id="169"/>
      <w:r/>
      <w:bookmarkEnd w:id="170"/>
      <w:r/>
      <w:bookmarkEnd w:id="171"/>
      <w:r/>
      <w:bookmarkEnd w:id="172"/>
      <w:r/>
      <w:bookmarkEnd w:id="173"/>
      <w:r/>
      <w:bookmarkEnd w:id="174"/>
      <w:r/>
      <w:r/>
    </w:p>
    <w:p>
      <w:pPr>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p>
    <w:p>
      <w:pPr>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p>
    <w:p>
      <w:pPr>
        <w:pStyle w:val="1096"/>
        <w:jc w:val="left"/>
        <w:spacing w:before="0" w:after="0" w:line="420" w:lineRule="exact"/>
        <w:rPr>
          <w:rFonts w:ascii="微软雅黑" w:hAnsi="微软雅黑" w:eastAsia="微软雅黑" w:cs="微软雅黑"/>
          <w:b/>
          <w:sz w:val="21"/>
          <w:szCs w:val="21"/>
        </w:rPr>
      </w:pPr>
      <w:r/>
      <w:bookmarkStart w:id="175" w:name="_Toc23569"/>
      <w:r/>
      <w:bookmarkStart w:id="176" w:name="_Toc21532"/>
      <w:r/>
      <w:bookmarkStart w:id="177" w:name="_Toc4410"/>
      <w:r/>
      <w:bookmarkStart w:id="178" w:name="_Toc2903"/>
      <w:r>
        <w:rPr>
          <w:rFonts w:hint="eastAsia" w:ascii="微软雅黑" w:hAnsi="微软雅黑" w:eastAsia="微软雅黑" w:cs="微软雅黑"/>
          <w:b/>
          <w:sz w:val="21"/>
          <w:szCs w:val="21"/>
        </w:rPr>
        <w:t xml:space="preserve">4.4 投标文件的修改和撤回</w:t>
      </w:r>
      <w:bookmarkEnd w:id="159"/>
      <w:r/>
      <w:bookmarkEnd w:id="160"/>
      <w:r/>
      <w:bookmarkEnd w:id="175"/>
      <w:r/>
      <w:bookmarkEnd w:id="176"/>
      <w:r/>
      <w:bookmarkEnd w:id="177"/>
      <w:r/>
      <w:bookmarkEnd w:id="178"/>
      <w:r/>
      <w:r/>
    </w:p>
    <w:p>
      <w:pPr>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p>
    <w:p>
      <w:pPr>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p>
    <w:p>
      <w:pPr>
        <w:pStyle w:val="1095"/>
        <w:jc w:val="center"/>
        <w:spacing w:before="0" w:after="0"/>
        <w:rPr>
          <w:rFonts w:ascii="微软雅黑" w:hAnsi="微软雅黑" w:eastAsia="微软雅黑" w:cs="微软雅黑"/>
          <w:b/>
          <w:bCs/>
          <w:sz w:val="28"/>
          <w:szCs w:val="32"/>
        </w:rPr>
      </w:pPr>
      <w:r/>
      <w:bookmarkStart w:id="179" w:name="_Toc11333"/>
      <w:r/>
      <w:bookmarkStart w:id="180" w:name="_Toc19492"/>
      <w:r/>
      <w:bookmarkStart w:id="181" w:name="_Toc24848"/>
      <w:r/>
      <w:bookmarkStart w:id="182" w:name="_Toc1965"/>
      <w:r>
        <w:rPr>
          <w:rFonts w:hint="eastAsia" w:ascii="微软雅黑" w:hAnsi="微软雅黑" w:eastAsia="微软雅黑" w:cs="微软雅黑"/>
          <w:b/>
          <w:bCs/>
          <w:sz w:val="28"/>
          <w:szCs w:val="32"/>
        </w:rPr>
        <w:t xml:space="preserve">五、开标与评标</w:t>
      </w:r>
      <w:bookmarkEnd w:id="179"/>
      <w:r/>
      <w:bookmarkEnd w:id="180"/>
      <w:r/>
      <w:bookmarkEnd w:id="181"/>
      <w:r/>
      <w:bookmarkEnd w:id="182"/>
      <w:r/>
      <w:r/>
    </w:p>
    <w:p>
      <w:pPr>
        <w:pStyle w:val="1096"/>
        <w:jc w:val="left"/>
        <w:spacing w:before="0" w:after="0" w:line="440" w:lineRule="exact"/>
        <w:rPr>
          <w:rFonts w:ascii="微软雅黑" w:hAnsi="微软雅黑" w:eastAsia="微软雅黑" w:cs="微软雅黑"/>
          <w:b/>
          <w:sz w:val="21"/>
          <w:szCs w:val="21"/>
        </w:rPr>
      </w:pPr>
      <w:r/>
      <w:bookmarkStart w:id="183" w:name="_Toc452384194"/>
      <w:r/>
      <w:bookmarkStart w:id="184" w:name="_Toc4421"/>
      <w:r/>
      <w:bookmarkStart w:id="185" w:name="_Toc21670"/>
      <w:r/>
      <w:bookmarkStart w:id="186" w:name="_Toc7072"/>
      <w:r/>
      <w:bookmarkStart w:id="187" w:name="_Toc388"/>
      <w:r/>
      <w:bookmarkStart w:id="188" w:name="_Toc20612"/>
      <w:r>
        <w:rPr>
          <w:rFonts w:hint="eastAsia" w:ascii="微软雅黑" w:hAnsi="微软雅黑" w:eastAsia="微软雅黑" w:cs="微软雅黑"/>
          <w:b/>
          <w:sz w:val="21"/>
          <w:szCs w:val="21"/>
        </w:rPr>
        <w:t xml:space="preserve">5.1 投标文件启封</w:t>
      </w:r>
      <w:bookmarkEnd w:id="183"/>
      <w:r/>
      <w:bookmarkEnd w:id="184"/>
      <w:r/>
      <w:bookmarkEnd w:id="185"/>
      <w:r/>
      <w:bookmarkEnd w:id="186"/>
      <w:r/>
      <w:bookmarkEnd w:id="187"/>
      <w:r/>
      <w:bookmarkEnd w:id="188"/>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89" w:name="OLE_LINK3"/>
      <w:r>
        <w:rPr>
          <w:rFonts w:hint="eastAsia" w:ascii="微软雅黑" w:hAnsi="微软雅黑" w:cs="微软雅黑"/>
          <w:bCs/>
          <w:szCs w:val="21"/>
        </w:rPr>
        <w:t xml:space="preserve">“苏采云”系统规定的时间内</w:t>
      </w:r>
      <w:bookmarkEnd w:id="189"/>
      <w:r>
        <w:rPr>
          <w:rFonts w:hint="eastAsia" w:ascii="微软雅黑" w:hAnsi="微软雅黑" w:cs="微软雅黑"/>
          <w:bCs/>
          <w:szCs w:val="21"/>
        </w:rPr>
        <w:t xml:space="preserve">对投标文件进行解密。“苏采云”系统公布各投标人名称和投标价格。</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p>
    <w:p>
      <w:pPr>
        <w:pStyle w:val="1096"/>
        <w:jc w:val="left"/>
        <w:spacing w:before="0" w:after="0" w:line="440" w:lineRule="exact"/>
        <w:rPr>
          <w:rFonts w:ascii="微软雅黑" w:hAnsi="微软雅黑" w:eastAsia="微软雅黑" w:cs="微软雅黑"/>
          <w:b/>
          <w:sz w:val="21"/>
          <w:szCs w:val="21"/>
        </w:rPr>
      </w:pPr>
      <w:r/>
      <w:bookmarkStart w:id="190" w:name="_Toc452384195"/>
      <w:r/>
      <w:bookmarkStart w:id="191" w:name="_Toc27375"/>
      <w:r/>
      <w:bookmarkStart w:id="192" w:name="_Toc32095"/>
      <w:r/>
      <w:bookmarkStart w:id="193" w:name="_Toc15763"/>
      <w:r/>
      <w:bookmarkStart w:id="194" w:name="_Toc14246"/>
      <w:r/>
      <w:bookmarkStart w:id="195" w:name="_Toc3406"/>
      <w:r>
        <w:rPr>
          <w:rFonts w:hint="eastAsia" w:ascii="微软雅黑" w:hAnsi="微软雅黑" w:eastAsia="微软雅黑" w:cs="微软雅黑"/>
          <w:b/>
          <w:sz w:val="21"/>
          <w:szCs w:val="21"/>
        </w:rPr>
        <w:t xml:space="preserve">5.2 评标委员会</w:t>
      </w:r>
      <w:bookmarkEnd w:id="190"/>
      <w:r/>
      <w:bookmarkEnd w:id="191"/>
      <w:r/>
      <w:bookmarkEnd w:id="192"/>
      <w:r/>
      <w:bookmarkEnd w:id="193"/>
      <w:r/>
      <w:bookmarkEnd w:id="194"/>
      <w:r/>
      <w:bookmarkEnd w:id="195"/>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p>
    <w:p>
      <w:pPr>
        <w:pStyle w:val="1096"/>
        <w:jc w:val="left"/>
        <w:spacing w:before="0" w:after="0" w:line="440" w:lineRule="exact"/>
        <w:rPr>
          <w:rFonts w:ascii="微软雅黑" w:hAnsi="微软雅黑" w:eastAsia="微软雅黑" w:cs="微软雅黑"/>
          <w:b/>
          <w:sz w:val="21"/>
          <w:szCs w:val="21"/>
        </w:rPr>
      </w:pPr>
      <w:r/>
      <w:bookmarkStart w:id="196" w:name="_Toc452384196"/>
      <w:r/>
      <w:bookmarkStart w:id="197" w:name="_Toc7506"/>
      <w:r/>
      <w:bookmarkStart w:id="198" w:name="_Toc7736"/>
      <w:r/>
      <w:bookmarkStart w:id="199" w:name="_Toc4587"/>
      <w:r/>
      <w:bookmarkStart w:id="200" w:name="_Toc31905"/>
      <w:r/>
      <w:bookmarkStart w:id="201" w:name="_Toc13666"/>
      <w:r>
        <w:rPr>
          <w:rFonts w:hint="eastAsia" w:ascii="微软雅黑" w:hAnsi="微软雅黑" w:eastAsia="微软雅黑" w:cs="微软雅黑"/>
          <w:b/>
          <w:sz w:val="21"/>
          <w:szCs w:val="21"/>
        </w:rPr>
        <w:t xml:space="preserve">5.3 对投标文件的资格性审查和符合性审查</w:t>
      </w:r>
      <w:bookmarkEnd w:id="196"/>
      <w:r/>
      <w:bookmarkEnd w:id="197"/>
      <w:r/>
      <w:bookmarkEnd w:id="198"/>
      <w:r/>
      <w:bookmarkEnd w:id="199"/>
      <w:r/>
      <w:bookmarkEnd w:id="200"/>
      <w:r/>
      <w:bookmarkEnd w:id="201"/>
      <w:r/>
      <w:r/>
    </w:p>
    <w:p>
      <w:pPr>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p>
    <w:p>
      <w:pPr>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p>
    <w:p>
      <w:pPr>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p>
    <w:p>
      <w:pPr>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p>
    <w:p>
      <w:pPr>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p>
    <w:p>
      <w:pPr>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p>
    <w:p>
      <w:pPr>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p>
    <w:p>
      <w:pPr>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p>
    <w:p>
      <w:pPr>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p>
    <w:p>
      <w:pPr>
        <w:pStyle w:val="1274"/>
        <w:spacing w:line="420" w:lineRule="exact"/>
        <w:rPr>
          <w:rFonts w:ascii="微软雅黑" w:hAnsi="微软雅黑" w:cs="微软雅黑"/>
          <w:bCs w:val="0"/>
          <w:sz w:val="24"/>
          <w:szCs w:val="24"/>
        </w:rPr>
      </w:pPr>
      <w:r/>
      <w:bookmarkStart w:id="202" w:name="_Toc5896"/>
      <w:r/>
      <w:bookmarkStart w:id="203" w:name="_Toc23900"/>
      <w:r/>
      <w:bookmarkStart w:id="204" w:name="_Toc20781"/>
      <w:r/>
      <w:bookmarkStart w:id="205" w:name="_Toc3913"/>
      <w:r/>
      <w:bookmarkStart w:id="206" w:name="_Toc452384197"/>
      <w:r/>
      <w:bookmarkStart w:id="207" w:name="_Toc5890"/>
      <w:r>
        <w:rPr>
          <w:rFonts w:hint="eastAsia" w:ascii="微软雅黑" w:hAnsi="微软雅黑" w:cs="微软雅黑"/>
          <w:bCs w:val="0"/>
          <w:sz w:val="24"/>
          <w:szCs w:val="24"/>
        </w:rPr>
        <w:t xml:space="preserve">5.4投标文件的澄清</w:t>
      </w:r>
      <w:bookmarkEnd w:id="202"/>
      <w:r/>
      <w:bookmarkEnd w:id="203"/>
      <w:r/>
      <w:bookmarkEnd w:id="204"/>
      <w:r/>
      <w:bookmarkEnd w:id="205"/>
      <w:r/>
      <w:bookmarkEnd w:id="206"/>
      <w:r/>
      <w:bookmarkEnd w:id="207"/>
      <w:r/>
      <w:r/>
    </w:p>
    <w:p>
      <w:pPr>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p>
    <w:p>
      <w:pPr>
        <w:spacing w:line="420" w:lineRule="exact"/>
        <w:rPr>
          <w:rFonts w:ascii="微软雅黑" w:hAnsi="微软雅黑" w:cs="微软雅黑"/>
        </w:rPr>
      </w:pPr>
      <w:r>
        <w:rPr>
          <w:rFonts w:hint="eastAsia" w:ascii="微软雅黑" w:hAnsi="微软雅黑" w:cs="微软雅黑"/>
        </w:rPr>
        <w:t xml:space="preserve">5.4.4并非每个供应商都将被要求澄清。</w:t>
      </w:r>
      <w:r/>
    </w:p>
    <w:p>
      <w:pPr>
        <w:pStyle w:val="1274"/>
        <w:spacing w:line="420" w:lineRule="exact"/>
        <w:rPr>
          <w:rFonts w:ascii="微软雅黑" w:hAnsi="微软雅黑" w:cs="微软雅黑"/>
          <w:bCs w:val="0"/>
          <w:sz w:val="24"/>
          <w:szCs w:val="24"/>
        </w:rPr>
      </w:pPr>
      <w:r/>
      <w:bookmarkStart w:id="208" w:name="_Toc27862"/>
      <w:r/>
      <w:bookmarkStart w:id="209" w:name="_Toc8455"/>
      <w:r/>
      <w:bookmarkStart w:id="210" w:name="_Toc452384198"/>
      <w:r/>
      <w:bookmarkStart w:id="211" w:name="_Toc5259"/>
      <w:r/>
      <w:bookmarkStart w:id="212" w:name="_Toc2242"/>
      <w:r/>
      <w:bookmarkStart w:id="213" w:name="_Toc6372"/>
      <w:r>
        <w:rPr>
          <w:rFonts w:hint="eastAsia" w:ascii="微软雅黑" w:hAnsi="微软雅黑" w:cs="微软雅黑"/>
          <w:bCs w:val="0"/>
          <w:sz w:val="24"/>
          <w:szCs w:val="24"/>
        </w:rPr>
        <w:t xml:space="preserve">5.5评标及中标</w:t>
      </w:r>
      <w:bookmarkEnd w:id="208"/>
      <w:r/>
      <w:bookmarkEnd w:id="209"/>
      <w:r/>
      <w:bookmarkEnd w:id="210"/>
      <w:r/>
      <w:bookmarkEnd w:id="211"/>
      <w:r/>
      <w:bookmarkEnd w:id="212"/>
      <w:r/>
      <w:bookmarkEnd w:id="213"/>
      <w:r/>
      <w:r/>
    </w:p>
    <w:p>
      <w:pPr>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p>
    <w:p>
      <w:pPr>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p>
    <w:p>
      <w:pPr>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74"/>
        <w:spacing w:line="420" w:lineRule="exact"/>
        <w:rPr>
          <w:rFonts w:ascii="微软雅黑" w:hAnsi="微软雅黑" w:cs="微软雅黑"/>
          <w:bCs w:val="0"/>
          <w:sz w:val="24"/>
          <w:szCs w:val="24"/>
        </w:rPr>
      </w:pPr>
      <w:r/>
      <w:bookmarkStart w:id="214" w:name="_Toc11345"/>
      <w:r/>
      <w:bookmarkStart w:id="215" w:name="_Toc26358"/>
      <w:r/>
      <w:bookmarkStart w:id="216" w:name="_Toc25985"/>
      <w:r/>
      <w:bookmarkStart w:id="217" w:name="_Toc11690"/>
      <w:r/>
      <w:bookmarkStart w:id="218" w:name="_Toc30764"/>
      <w:r/>
      <w:bookmarkStart w:id="219" w:name="_Toc452384199"/>
      <w:r>
        <w:rPr>
          <w:rFonts w:hint="eastAsia" w:ascii="微软雅黑" w:hAnsi="微软雅黑" w:cs="微软雅黑"/>
          <w:bCs w:val="0"/>
          <w:sz w:val="24"/>
          <w:szCs w:val="24"/>
        </w:rPr>
        <w:t xml:space="preserve">5.6评标过程保密</w:t>
      </w:r>
      <w:bookmarkEnd w:id="214"/>
      <w:r/>
      <w:bookmarkEnd w:id="215"/>
      <w:r/>
      <w:bookmarkEnd w:id="216"/>
      <w:r/>
      <w:bookmarkEnd w:id="217"/>
      <w:r/>
      <w:bookmarkEnd w:id="218"/>
      <w:r/>
      <w:bookmarkEnd w:id="219"/>
      <w:r/>
      <w:r/>
    </w:p>
    <w:p>
      <w:pPr>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p>
    <w:p>
      <w:pPr>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p>
    <w:p>
      <w:pPr>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p>
    <w:p>
      <w:pPr>
        <w:pStyle w:val="1274"/>
        <w:spacing w:line="420" w:lineRule="exact"/>
        <w:rPr>
          <w:rFonts w:ascii="微软雅黑" w:hAnsi="微软雅黑" w:cs="微软雅黑"/>
          <w:bCs w:val="0"/>
          <w:sz w:val="24"/>
          <w:szCs w:val="24"/>
        </w:rPr>
      </w:pPr>
      <w:r/>
      <w:bookmarkStart w:id="220" w:name="_Toc4310"/>
      <w:r/>
      <w:bookmarkStart w:id="221" w:name="_Toc6161"/>
      <w:r/>
      <w:bookmarkStart w:id="222" w:name="_Toc13403"/>
      <w:r/>
      <w:bookmarkStart w:id="223" w:name="_Toc452384200"/>
      <w:r/>
      <w:bookmarkStart w:id="224" w:name="_Toc11696"/>
      <w:r/>
      <w:bookmarkStart w:id="225" w:name="_Toc17359"/>
      <w:r>
        <w:rPr>
          <w:rFonts w:hint="eastAsia" w:ascii="微软雅黑" w:hAnsi="微软雅黑" w:cs="微软雅黑"/>
          <w:bCs w:val="0"/>
          <w:sz w:val="24"/>
          <w:szCs w:val="24"/>
        </w:rPr>
        <w:t xml:space="preserve">5.7投标截止时间结束后参加供应商不足三家情况的处理</w:t>
      </w:r>
      <w:bookmarkEnd w:id="220"/>
      <w:r/>
      <w:bookmarkEnd w:id="221"/>
      <w:r/>
      <w:bookmarkEnd w:id="222"/>
      <w:r/>
      <w:bookmarkEnd w:id="223"/>
      <w:r/>
      <w:bookmarkEnd w:id="224"/>
      <w:r/>
      <w:bookmarkEnd w:id="225"/>
      <w:r/>
      <w:r/>
    </w:p>
    <w:p>
      <w:pPr>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p>
    <w:p>
      <w:pPr>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p>
    <w:p>
      <w:pPr>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p>
    <w:p>
      <w:pPr>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74"/>
        <w:spacing w:line="420" w:lineRule="exact"/>
        <w:rPr>
          <w:rFonts w:ascii="微软雅黑" w:hAnsi="微软雅黑" w:cs="微软雅黑"/>
          <w:bCs w:val="0"/>
          <w:sz w:val="24"/>
          <w:szCs w:val="24"/>
        </w:rPr>
      </w:pPr>
      <w:r/>
      <w:bookmarkStart w:id="226" w:name="_Toc31001"/>
      <w:r/>
      <w:bookmarkStart w:id="227" w:name="_Toc7070"/>
      <w:r/>
      <w:bookmarkStart w:id="228" w:name="_Toc12833"/>
      <w:r/>
      <w:bookmarkStart w:id="229" w:name="_Toc4908"/>
      <w:r/>
      <w:bookmarkStart w:id="230" w:name="_Toc452384201"/>
      <w:r/>
      <w:bookmarkStart w:id="231" w:name="_Toc14481"/>
      <w:r>
        <w:rPr>
          <w:rFonts w:hint="eastAsia" w:ascii="微软雅黑" w:hAnsi="微软雅黑" w:cs="微软雅黑"/>
          <w:bCs w:val="0"/>
          <w:sz w:val="24"/>
          <w:szCs w:val="24"/>
        </w:rPr>
        <w:t xml:space="preserve">5.8废标（终止采购活动）</w:t>
      </w:r>
      <w:bookmarkEnd w:id="226"/>
      <w:r/>
      <w:bookmarkEnd w:id="227"/>
      <w:r/>
      <w:bookmarkEnd w:id="228"/>
      <w:r/>
      <w:bookmarkEnd w:id="229"/>
      <w:r/>
      <w:bookmarkEnd w:id="230"/>
      <w:r/>
      <w:bookmarkEnd w:id="231"/>
      <w:r/>
      <w:r/>
    </w:p>
    <w:p>
      <w:pPr>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p>
    <w:p>
      <w:pPr>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p>
    <w:p>
      <w:pPr>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p>
    <w:p>
      <w:pPr>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p>
    <w:p>
      <w:pPr>
        <w:spacing w:line="420" w:lineRule="exact"/>
        <w:rPr>
          <w:rFonts w:ascii="微软雅黑" w:hAnsi="微软雅黑" w:cs="微软雅黑"/>
        </w:rPr>
      </w:pPr>
      <w:r>
        <w:rPr>
          <w:rFonts w:hint="eastAsia" w:ascii="微软雅黑" w:hAnsi="微软雅黑" w:cs="微软雅黑"/>
        </w:rPr>
        <w:t xml:space="preserve">5.8.4因重大变故，采购任务取消的。</w:t>
      </w:r>
      <w:r/>
    </w:p>
    <w:p>
      <w:pPr>
        <w:pStyle w:val="1274"/>
        <w:spacing w:line="420" w:lineRule="exact"/>
        <w:rPr>
          <w:rFonts w:ascii="微软雅黑" w:hAnsi="微软雅黑" w:cs="微软雅黑"/>
          <w:bCs w:val="0"/>
          <w:sz w:val="24"/>
          <w:szCs w:val="24"/>
        </w:rPr>
      </w:pPr>
      <w:r/>
      <w:bookmarkStart w:id="232" w:name="_Toc8776"/>
      <w:r/>
      <w:bookmarkStart w:id="233" w:name="_Toc26119"/>
      <w:r/>
      <w:bookmarkStart w:id="234" w:name="_Toc6713"/>
      <w:r/>
      <w:bookmarkStart w:id="235" w:name="_Toc18356"/>
      <w:r/>
      <w:bookmarkStart w:id="236" w:name="_Toc25877"/>
      <w:r>
        <w:rPr>
          <w:rFonts w:hint="eastAsia" w:ascii="微软雅黑" w:hAnsi="微软雅黑" w:cs="微软雅黑"/>
          <w:bCs w:val="0"/>
          <w:sz w:val="24"/>
          <w:szCs w:val="24"/>
        </w:rPr>
        <w:t xml:space="preserve">5.9有下列情形之一的，视为投标供应商串通投标，其投标无效：</w:t>
      </w:r>
      <w:bookmarkEnd w:id="232"/>
      <w:r/>
      <w:bookmarkEnd w:id="233"/>
      <w:r/>
      <w:bookmarkEnd w:id="234"/>
      <w:r/>
      <w:bookmarkEnd w:id="235"/>
      <w:r/>
      <w:bookmarkEnd w:id="236"/>
      <w:r/>
      <w:r/>
    </w:p>
    <w:p>
      <w:pPr>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p>
    <w:p>
      <w:pPr>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p>
    <w:p>
      <w:pPr>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p>
    <w:p>
      <w:pPr>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p>
    <w:p>
      <w:pPr>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p>
    <w:p>
      <w:pPr>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p>
    <w:p>
      <w:pPr>
        <w:pStyle w:val="1273"/>
        <w:spacing w:line="420" w:lineRule="exact"/>
        <w:rPr>
          <w:rFonts w:ascii="微软雅黑" w:hAnsi="微软雅黑" w:cs="微软雅黑"/>
        </w:rPr>
      </w:pPr>
      <w:r/>
      <w:bookmarkStart w:id="237" w:name="_Toc452384202"/>
      <w:r/>
      <w:bookmarkStart w:id="238" w:name="_Toc25642"/>
      <w:r/>
      <w:bookmarkStart w:id="239" w:name="_Toc15764"/>
      <w:r/>
      <w:bookmarkStart w:id="240" w:name="_Toc9605"/>
      <w:r/>
      <w:bookmarkStart w:id="241" w:name="_Toc16539"/>
      <w:r/>
      <w:bookmarkStart w:id="242" w:name="_Toc10687"/>
      <w:r>
        <w:rPr>
          <w:rFonts w:hint="eastAsia" w:ascii="微软雅黑" w:hAnsi="微软雅黑" w:cs="微软雅黑"/>
        </w:rPr>
        <w:t xml:space="preserve">六、合同授予及签订</w:t>
      </w:r>
      <w:bookmarkEnd w:id="237"/>
      <w:r/>
      <w:bookmarkEnd w:id="238"/>
      <w:r/>
      <w:bookmarkEnd w:id="239"/>
      <w:r/>
      <w:bookmarkEnd w:id="240"/>
      <w:r/>
      <w:bookmarkEnd w:id="241"/>
      <w:r/>
      <w:bookmarkEnd w:id="242"/>
      <w:r/>
      <w:r/>
    </w:p>
    <w:p>
      <w:pPr>
        <w:pStyle w:val="1274"/>
        <w:spacing w:line="420" w:lineRule="exact"/>
        <w:rPr>
          <w:rFonts w:ascii="微软雅黑" w:hAnsi="微软雅黑" w:cs="微软雅黑"/>
          <w:bCs w:val="0"/>
          <w:sz w:val="24"/>
          <w:szCs w:val="24"/>
        </w:rPr>
      </w:pPr>
      <w:r/>
      <w:bookmarkStart w:id="243" w:name="_Toc2419"/>
      <w:r/>
      <w:bookmarkStart w:id="244" w:name="_Toc6552"/>
      <w:r/>
      <w:bookmarkStart w:id="245" w:name="_Toc6259"/>
      <w:r/>
      <w:bookmarkStart w:id="246" w:name="_Toc452384203"/>
      <w:r/>
      <w:bookmarkStart w:id="247" w:name="_Toc29008"/>
      <w:r/>
      <w:bookmarkStart w:id="248" w:name="_Toc16602"/>
      <w:r>
        <w:rPr>
          <w:rFonts w:hint="eastAsia" w:ascii="微软雅黑" w:hAnsi="微软雅黑" w:cs="微软雅黑"/>
          <w:bCs w:val="0"/>
          <w:sz w:val="24"/>
          <w:szCs w:val="24"/>
        </w:rPr>
        <w:t xml:space="preserve">6.1确定中标、成交供应商</w:t>
      </w:r>
      <w:bookmarkEnd w:id="243"/>
      <w:r/>
      <w:bookmarkEnd w:id="244"/>
      <w:r/>
      <w:bookmarkEnd w:id="245"/>
      <w:r/>
      <w:bookmarkEnd w:id="246"/>
      <w:r/>
      <w:bookmarkEnd w:id="247"/>
      <w:r/>
      <w:bookmarkEnd w:id="248"/>
      <w:r/>
      <w:r/>
    </w:p>
    <w:p>
      <w:pPr>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p>
    <w:p>
      <w:pPr>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p>
    <w:p>
      <w:pPr>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p>
    <w:p>
      <w:pPr>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p>
    <w:p>
      <w:pPr>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p>
    <w:p>
      <w:pPr>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p>
    <w:p>
      <w:pPr>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p>
    <w:p>
      <w:pPr>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p>
    <w:p>
      <w:pPr>
        <w:ind w:firstLine="420"/>
        <w:spacing w:line="420" w:lineRule="exact"/>
        <w:rPr>
          <w:rFonts w:ascii="微软雅黑" w:hAnsi="微软雅黑" w:cs="微软雅黑"/>
        </w:rPr>
      </w:pPr>
      <w:r>
        <w:rPr>
          <w:rFonts w:hint="eastAsia" w:ascii="微软雅黑" w:hAnsi="微软雅黑" w:cs="微软雅黑"/>
        </w:rPr>
        <w:t xml:space="preserve">（6）不符合法律、法规的规定。</w:t>
      </w:r>
      <w:r/>
    </w:p>
    <w:p>
      <w:pPr>
        <w:pStyle w:val="1274"/>
        <w:spacing w:line="420" w:lineRule="exact"/>
        <w:rPr>
          <w:rFonts w:ascii="微软雅黑" w:hAnsi="微软雅黑" w:cs="微软雅黑"/>
          <w:bCs w:val="0"/>
          <w:sz w:val="24"/>
          <w:szCs w:val="24"/>
        </w:rPr>
      </w:pPr>
      <w:r/>
      <w:bookmarkStart w:id="249" w:name="_Toc24458"/>
      <w:r/>
      <w:bookmarkStart w:id="250" w:name="_Toc452384204"/>
      <w:r/>
      <w:bookmarkStart w:id="251" w:name="_Toc26991"/>
      <w:r/>
      <w:bookmarkStart w:id="252" w:name="_Toc13169"/>
      <w:r/>
      <w:bookmarkStart w:id="253" w:name="_Toc6111"/>
      <w:r/>
      <w:bookmarkStart w:id="254" w:name="_Toc14115"/>
      <w:r>
        <w:rPr>
          <w:rFonts w:hint="eastAsia" w:ascii="微软雅黑" w:hAnsi="微软雅黑" w:cs="微软雅黑"/>
          <w:bCs w:val="0"/>
          <w:sz w:val="24"/>
          <w:szCs w:val="24"/>
        </w:rPr>
        <w:t xml:space="preserve">6.2质疑处理</w:t>
      </w:r>
      <w:bookmarkEnd w:id="249"/>
      <w:r/>
      <w:bookmarkEnd w:id="250"/>
      <w:r/>
      <w:bookmarkEnd w:id="251"/>
      <w:r/>
      <w:bookmarkEnd w:id="252"/>
      <w:r/>
      <w:bookmarkEnd w:id="253"/>
      <w:r/>
      <w:bookmarkEnd w:id="254"/>
      <w:r/>
      <w:r/>
    </w:p>
    <w:p>
      <w:pPr>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p>
    <w:p>
      <w:pPr>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ascii="微软雅黑" w:hAnsi="微软雅黑" w:cs="微软雅黑"/>
        </w:rPr>
      </w:pPr>
      <w:r>
        <w:rPr>
          <w:rFonts w:hint="eastAsia" w:ascii="微软雅黑" w:hAnsi="微软雅黑" w:cs="微软雅黑"/>
        </w:rPr>
        <w:t xml:space="preserve">6.2.4质疑函应当包括下列内容：</w:t>
      </w:r>
      <w:r/>
    </w:p>
    <w:p>
      <w:pPr>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p>
    <w:p>
      <w:pPr>
        <w:ind w:firstLine="420"/>
        <w:spacing w:line="420" w:lineRule="exact"/>
        <w:rPr>
          <w:rFonts w:ascii="微软雅黑" w:hAnsi="微软雅黑" w:cs="微软雅黑"/>
        </w:rPr>
      </w:pPr>
      <w:r>
        <w:rPr>
          <w:rFonts w:hint="eastAsia" w:ascii="微软雅黑" w:hAnsi="微软雅黑" w:cs="微软雅黑"/>
        </w:rPr>
        <w:t xml:space="preserve">（2）质疑项目的名称、编号；</w:t>
      </w:r>
      <w:r/>
    </w:p>
    <w:p>
      <w:pPr>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p>
    <w:p>
      <w:pPr>
        <w:ind w:firstLine="420"/>
        <w:spacing w:line="420" w:lineRule="exact"/>
        <w:rPr>
          <w:rFonts w:ascii="微软雅黑" w:hAnsi="微软雅黑" w:cs="微软雅黑"/>
        </w:rPr>
      </w:pPr>
      <w:r>
        <w:rPr>
          <w:rFonts w:hint="eastAsia" w:ascii="微软雅黑" w:hAnsi="微软雅黑" w:cs="微软雅黑"/>
        </w:rPr>
        <w:t xml:space="preserve">（4）事实依据；</w:t>
      </w:r>
      <w:r/>
    </w:p>
    <w:p>
      <w:pPr>
        <w:ind w:firstLine="420"/>
        <w:spacing w:line="420" w:lineRule="exact"/>
        <w:rPr>
          <w:rFonts w:ascii="微软雅黑" w:hAnsi="微软雅黑" w:cs="微软雅黑"/>
        </w:rPr>
      </w:pPr>
      <w:r>
        <w:rPr>
          <w:rFonts w:hint="eastAsia" w:ascii="微软雅黑" w:hAnsi="微软雅黑" w:cs="微软雅黑"/>
        </w:rPr>
        <w:t xml:space="preserve">（5）必要的法律依据；</w:t>
      </w:r>
      <w:r/>
    </w:p>
    <w:p>
      <w:pPr>
        <w:ind w:firstLine="420"/>
        <w:spacing w:line="420" w:lineRule="exact"/>
        <w:rPr>
          <w:rFonts w:ascii="微软雅黑" w:hAnsi="微软雅黑" w:cs="微软雅黑"/>
        </w:rPr>
      </w:pPr>
      <w:r>
        <w:rPr>
          <w:rFonts w:hint="eastAsia" w:ascii="微软雅黑" w:hAnsi="微软雅黑" w:cs="微软雅黑"/>
        </w:rPr>
        <w:t xml:space="preserve">（6）提出质疑的日期。</w:t>
      </w:r>
      <w:r/>
    </w:p>
    <w:p>
      <w:pPr>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p>
    <w:p>
      <w:pPr>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p>
    <w:p>
      <w:pPr>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p>
    <w:p>
      <w:pPr>
        <w:pStyle w:val="1274"/>
        <w:spacing w:line="420" w:lineRule="exact"/>
        <w:rPr>
          <w:rFonts w:ascii="微软雅黑" w:hAnsi="微软雅黑" w:cs="微软雅黑"/>
          <w:bCs w:val="0"/>
          <w:sz w:val="24"/>
          <w:szCs w:val="24"/>
        </w:rPr>
      </w:pPr>
      <w:r/>
      <w:bookmarkStart w:id="255" w:name="_Toc22822"/>
      <w:r/>
      <w:bookmarkStart w:id="256" w:name="_Toc29601"/>
      <w:r/>
      <w:bookmarkStart w:id="257" w:name="_Toc10000"/>
      <w:r/>
      <w:bookmarkStart w:id="258" w:name="_Toc4506"/>
      <w:r/>
      <w:bookmarkStart w:id="259" w:name="_Toc452384205"/>
      <w:r/>
      <w:bookmarkStart w:id="260" w:name="_Toc1781"/>
      <w:r>
        <w:rPr>
          <w:rFonts w:hint="eastAsia" w:ascii="微软雅黑" w:hAnsi="微软雅黑" w:cs="微软雅黑"/>
          <w:bCs w:val="0"/>
          <w:sz w:val="24"/>
          <w:szCs w:val="24"/>
        </w:rPr>
        <w:t xml:space="preserve">6.3中标通知书</w:t>
      </w:r>
      <w:bookmarkEnd w:id="255"/>
      <w:r/>
      <w:bookmarkEnd w:id="256"/>
      <w:r/>
      <w:bookmarkEnd w:id="257"/>
      <w:r/>
      <w:bookmarkEnd w:id="258"/>
      <w:r/>
      <w:bookmarkEnd w:id="259"/>
      <w:r/>
      <w:bookmarkEnd w:id="260"/>
      <w:r/>
      <w:r/>
    </w:p>
    <w:p>
      <w:pPr>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p>
    <w:p>
      <w:pPr>
        <w:spacing w:line="420" w:lineRule="exact"/>
        <w:rPr>
          <w:rFonts w:ascii="微软雅黑" w:hAnsi="微软雅黑" w:cs="微软雅黑"/>
        </w:rPr>
      </w:pPr>
      <w:r>
        <w:rPr>
          <w:rFonts w:hint="eastAsia" w:ascii="微软雅黑" w:hAnsi="微软雅黑" w:cs="微软雅黑"/>
        </w:rPr>
        <w:t xml:space="preserve">6.3.2中标通知书是合同的组成部分。</w:t>
      </w:r>
      <w:r/>
    </w:p>
    <w:p>
      <w:pPr>
        <w:pStyle w:val="1274"/>
        <w:spacing w:line="420" w:lineRule="exact"/>
        <w:rPr>
          <w:rFonts w:ascii="微软雅黑" w:hAnsi="微软雅黑" w:cs="微软雅黑"/>
          <w:bCs w:val="0"/>
          <w:sz w:val="24"/>
          <w:szCs w:val="24"/>
        </w:rPr>
      </w:pPr>
      <w:r/>
      <w:bookmarkStart w:id="261" w:name="_Toc24863"/>
      <w:r/>
      <w:bookmarkStart w:id="262" w:name="_Toc452384206"/>
      <w:r/>
      <w:bookmarkStart w:id="263" w:name="_Toc8978"/>
      <w:r/>
      <w:bookmarkStart w:id="264" w:name="_Toc14281"/>
      <w:r/>
      <w:bookmarkStart w:id="265" w:name="_Toc20177"/>
      <w:r/>
      <w:bookmarkStart w:id="266" w:name="_Toc16396"/>
      <w:r>
        <w:rPr>
          <w:rFonts w:hint="eastAsia" w:ascii="微软雅黑" w:hAnsi="微软雅黑" w:cs="微软雅黑"/>
          <w:bCs w:val="0"/>
          <w:sz w:val="24"/>
          <w:szCs w:val="24"/>
        </w:rPr>
        <w:t xml:space="preserve">6.4签订合同</w:t>
      </w:r>
      <w:bookmarkEnd w:id="261"/>
      <w:r/>
      <w:bookmarkEnd w:id="262"/>
      <w:r/>
      <w:bookmarkEnd w:id="263"/>
      <w:r/>
      <w:bookmarkEnd w:id="264"/>
      <w:r/>
      <w:bookmarkEnd w:id="265"/>
      <w:r/>
      <w:bookmarkEnd w:id="266"/>
      <w:r/>
      <w:r/>
    </w:p>
    <w:p>
      <w:pPr>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p>
    <w:p>
      <w:pPr>
        <w:spacing w:line="42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szCs w:val="21"/>
        </w:rPr>
      </w:pPr>
      <w:r>
        <w:rPr>
          <w:rFonts w:ascii="微软雅黑" w:hAnsi="微软雅黑" w:cs="微软雅黑"/>
          <w:szCs w:val="21"/>
        </w:rPr>
      </w:r>
      <w:r/>
    </w:p>
    <w:p>
      <w:pPr>
        <w:pStyle w:val="1272"/>
        <w:spacing w:line="400" w:lineRule="exact"/>
        <w:rPr>
          <w:rFonts w:ascii="微软雅黑" w:hAnsi="微软雅黑" w:cs="微软雅黑"/>
        </w:rPr>
      </w:pPr>
      <w:r>
        <w:rPr>
          <w:rFonts w:hint="eastAsia" w:ascii="微软雅黑" w:hAnsi="微软雅黑" w:cs="微软雅黑"/>
        </w:rPr>
        <w:br w:type="page" w:clear="all"/>
      </w:r>
      <w:bookmarkStart w:id="267" w:name="_Toc1144"/>
      <w:r/>
      <w:bookmarkStart w:id="268" w:name="_Toc32194"/>
      <w:r/>
      <w:bookmarkStart w:id="269" w:name="_Toc103"/>
      <w:r/>
      <w:bookmarkStart w:id="270" w:name="_Toc18279"/>
      <w:r/>
      <w:bookmarkStart w:id="271" w:name="_Toc20989"/>
      <w:r>
        <w:rPr>
          <w:rFonts w:hint="eastAsia" w:ascii="微软雅黑" w:hAnsi="微软雅黑" w:cs="微软雅黑"/>
        </w:rPr>
        <w:t xml:space="preserve">第三章</w:t>
      </w:r>
      <w:bookmarkEnd w:id="57"/>
      <w:r>
        <w:rPr>
          <w:rFonts w:hint="eastAsia" w:ascii="微软雅黑" w:hAnsi="微软雅黑" w:cs="微软雅黑"/>
        </w:rPr>
        <w:t xml:space="preserve"> 评标办法和定标原则</w:t>
      </w:r>
      <w:bookmarkEnd w:id="267"/>
      <w:r/>
      <w:bookmarkEnd w:id="268"/>
      <w:r/>
      <w:bookmarkEnd w:id="269"/>
      <w:r/>
      <w:bookmarkEnd w:id="270"/>
      <w:r/>
      <w:bookmarkEnd w:id="271"/>
      <w:r/>
      <w:r/>
    </w:p>
    <w:p>
      <w:pPr>
        <w:ind w:firstLine="420"/>
        <w:spacing w:line="42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20" w:lineRule="exact"/>
        <w:rPr>
          <w:rFonts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p>
    <w:p>
      <w:pPr>
        <w:ind w:firstLine="420"/>
        <w:spacing w:line="420" w:lineRule="exact"/>
        <w:rPr>
          <w:rFonts w:ascii="微软雅黑" w:hAnsi="微软雅黑" w:cs="微软雅黑"/>
        </w:rPr>
      </w:pPr>
      <w:r>
        <w:rPr>
          <w:rFonts w:hint="eastAsia" w:ascii="微软雅黑" w:hAnsi="微软雅黑" w:cs="微软雅黑"/>
        </w:rPr>
        <w:t xml:space="preserve">（1）投标（响应）报价低于采购项目预算50%的；</w:t>
      </w:r>
      <w:r/>
    </w:p>
    <w:p>
      <w:pPr>
        <w:ind w:firstLine="420"/>
        <w:spacing w:line="420" w:lineRule="exact"/>
        <w:rPr>
          <w:rFonts w:ascii="微软雅黑" w:hAnsi="微软雅黑" w:cs="微软雅黑"/>
        </w:rPr>
      </w:pPr>
      <w:r>
        <w:rPr>
          <w:rFonts w:hint="eastAsia" w:ascii="微软雅黑" w:hAnsi="微软雅黑" w:cs="微软雅黑"/>
        </w:rPr>
        <w:t xml:space="preserve">（2）投标（响应）报价低于采购项目最高限价45%的；</w:t>
      </w:r>
      <w:r/>
    </w:p>
    <w:p>
      <w:pPr>
        <w:ind w:firstLine="420"/>
        <w:spacing w:line="420" w:lineRule="exact"/>
        <w:rPr>
          <w:rFonts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p>
    <w:p>
      <w:pPr>
        <w:ind w:firstLine="420"/>
        <w:spacing w:line="440" w:lineRule="exact"/>
        <w:rPr>
          <w:rFonts w:ascii="微软雅黑" w:hAnsi="微软雅黑" w:cs="微软雅黑"/>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04"/>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04"/>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numPr>
          <w:ilvl w:val="0"/>
          <w:numId w:val="10"/>
        </w:numPr>
        <w:spacing w:line="420" w:lineRule="exact"/>
        <w:rPr>
          <w:rFonts w:ascii="微软雅黑" w:hAnsi="微软雅黑" w:cs="微软雅黑"/>
          <w:b/>
          <w:bCs/>
          <w:szCs w:val="21"/>
        </w:rPr>
      </w:pPr>
      <w:r/>
      <w:bookmarkStart w:id="272" w:name="_Hlk72848049"/>
      <w:r>
        <w:rPr>
          <w:rFonts w:hint="eastAsia" w:ascii="微软雅黑" w:hAnsi="微软雅黑" w:cs="微软雅黑"/>
          <w:b/>
          <w:bCs/>
        </w:rPr>
        <w:t xml:space="preserve">评分因素及分</w:t>
      </w:r>
      <w:r>
        <w:rPr>
          <w:rFonts w:hint="eastAsia" w:ascii="微软雅黑" w:hAnsi="微软雅黑" w:cs="微软雅黑"/>
          <w:b/>
          <w:bCs/>
          <w:szCs w:val="21"/>
        </w:rPr>
        <w:t xml:space="preserve">值</w:t>
      </w:r>
      <w:r/>
    </w:p>
    <w:tbl>
      <w:tblPr>
        <w:tblStyle w:val="1104"/>
        <w:tblW w:w="48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203"/>
        <w:gridCol w:w="6766"/>
        <w:gridCol w:w="605"/>
      </w:tblGrid>
      <w:tr>
        <w:trPr>
          <w:jc w:val="center"/>
          <w:trHeight w:val="129"/>
        </w:trPr>
        <w:tc>
          <w:tcPr>
            <w:tcW w:w="663" w:type="dxa"/>
            <w:vAlign w:val="center"/>
            <w:textDirection w:val="lrTb"/>
            <w:noWrap w:val="false"/>
          </w:tcPr>
          <w:p>
            <w:pPr>
              <w:spacing w:line="420" w:lineRule="exact"/>
              <w:widowControl/>
              <w:rPr>
                <w:rFonts w:ascii="微软雅黑" w:hAnsi="微软雅黑" w:cs="微软雅黑"/>
                <w:b/>
                <w:szCs w:val="21"/>
              </w:rPr>
            </w:pPr>
            <w:r>
              <w:rPr>
                <w:rFonts w:hint="eastAsia" w:ascii="微软雅黑" w:hAnsi="微软雅黑" w:cs="微软雅黑"/>
                <w:b/>
                <w:szCs w:val="21"/>
              </w:rPr>
              <w:t xml:space="preserve">序号</w:t>
            </w:r>
            <w:r/>
          </w:p>
        </w:tc>
        <w:tc>
          <w:tcPr>
            <w:tcW w:w="1203" w:type="dxa"/>
            <w:vAlign w:val="center"/>
            <w:textDirection w:val="lrTb"/>
            <w:noWrap w:val="false"/>
          </w:tcPr>
          <w:p>
            <w:pPr>
              <w:spacing w:line="420" w:lineRule="exact"/>
              <w:widowControl/>
              <w:rPr>
                <w:rFonts w:ascii="微软雅黑" w:hAnsi="微软雅黑" w:cs="微软雅黑"/>
                <w:b/>
                <w:szCs w:val="21"/>
              </w:rPr>
            </w:pPr>
            <w:r>
              <w:rPr>
                <w:rFonts w:hint="eastAsia" w:ascii="微软雅黑" w:hAnsi="微软雅黑" w:cs="微软雅黑"/>
                <w:b/>
                <w:szCs w:val="21"/>
              </w:rPr>
              <w:t xml:space="preserve">评分因素</w:t>
            </w:r>
            <w:r/>
          </w:p>
        </w:tc>
        <w:tc>
          <w:tcPr>
            <w:tcW w:w="6767"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评审标准</w:t>
            </w:r>
            <w:r/>
          </w:p>
        </w:tc>
        <w:tc>
          <w:tcPr>
            <w:tcW w:w="604"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分值</w:t>
            </w:r>
            <w:r/>
          </w:p>
        </w:tc>
      </w:tr>
      <w:tr>
        <w:trPr>
          <w:jc w:val="center"/>
          <w:trHeight w:val="129"/>
        </w:trPr>
        <w:tc>
          <w:tcPr>
            <w:tcW w:w="663"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1.1</w:t>
            </w:r>
            <w:r/>
          </w:p>
        </w:tc>
        <w:tc>
          <w:tcPr>
            <w:tcW w:w="1203"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价格</w:t>
            </w:r>
            <w:r/>
          </w:p>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（30分）</w:t>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价格分采用低价优先法计算，即满足招标文件要求且报价最低的为评标基准价，其价格分为满分。</w:t>
            </w:r>
            <w:r/>
          </w:p>
          <w:p>
            <w:pPr>
              <w:spacing w:line="420" w:lineRule="exact"/>
              <w:rPr>
                <w:rFonts w:ascii="微软雅黑" w:hAnsi="微软雅黑" w:cs="微软雅黑"/>
                <w:szCs w:val="21"/>
              </w:rPr>
            </w:pPr>
            <w:r>
              <w:rPr>
                <w:rFonts w:hint="eastAsia" w:ascii="微软雅黑" w:hAnsi="微软雅黑" w:cs="微软雅黑"/>
              </w:rPr>
              <w:t xml:space="preserve">其他供应商的价格分统一按照下列公式计算（小数点保留两位）：投标报价得分=(评标基准价／投标报价)×30。</w:t>
            </w:r>
            <w:r/>
          </w:p>
        </w:tc>
        <w:tc>
          <w:tcPr>
            <w:tcW w:w="604" w:type="dxa"/>
            <w:vAlign w:val="center"/>
            <w:textDirection w:val="lrTb"/>
            <w:noWrap w:val="false"/>
          </w:tcPr>
          <w:p>
            <w:pPr>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p>
        </w:tc>
      </w:tr>
      <w:tr>
        <w:trPr>
          <w:jc w:val="center"/>
          <w:trHeight w:val="129"/>
        </w:trPr>
        <w:tc>
          <w:tcPr>
            <w:tcW w:w="663" w:type="dxa"/>
            <w:vAlign w:val="center"/>
            <w:textDirection w:val="lrTb"/>
            <w:noWrap w:val="false"/>
          </w:tcPr>
          <w:p>
            <w:pPr>
              <w:spacing w:line="420" w:lineRule="exact"/>
              <w:rPr>
                <w:rFonts w:ascii="微软雅黑" w:hAnsi="微软雅黑" w:cs="微软雅黑"/>
                <w:b/>
                <w:szCs w:val="21"/>
              </w:rPr>
            </w:pPr>
            <w:r>
              <w:rPr>
                <w:rFonts w:hint="eastAsia" w:ascii="微软雅黑" w:hAnsi="微软雅黑" w:cs="微软雅黑"/>
                <w:b/>
                <w:szCs w:val="21"/>
              </w:rPr>
              <w:t xml:space="preserve">2.1</w:t>
            </w:r>
            <w:r/>
          </w:p>
        </w:tc>
        <w:tc>
          <w:tcPr>
            <w:tcW w:w="1203" w:type="dxa"/>
            <w:vAlign w:val="center"/>
            <w:vMerge w:val="restart"/>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技术</w:t>
            </w:r>
            <w:r/>
          </w:p>
          <w:p>
            <w:pPr>
              <w:jc w:val="center"/>
              <w:spacing w:line="420" w:lineRule="exact"/>
              <w:rPr>
                <w:rFonts w:ascii="微软雅黑" w:hAnsi="微软雅黑" w:cs="微软雅黑"/>
                <w:b/>
                <w:szCs w:val="21"/>
              </w:rPr>
            </w:pPr>
            <w:r>
              <w:rPr>
                <w:rFonts w:hint="eastAsia" w:ascii="微软雅黑" w:hAnsi="微软雅黑" w:cs="微软雅黑"/>
                <w:b/>
                <w:szCs w:val="21"/>
              </w:rPr>
              <w:t xml:space="preserve">（44分）</w:t>
            </w:r>
            <w:r/>
          </w:p>
        </w:tc>
        <w:tc>
          <w:tcPr>
            <w:tcW w:w="6767" w:type="dxa"/>
            <w:vAlign w:val="center"/>
            <w:textDirection w:val="lrTb"/>
            <w:noWrap w:val="false"/>
          </w:tcPr>
          <w:p>
            <w:pPr>
              <w:spacing w:line="420" w:lineRule="exact"/>
              <w:rPr>
                <w:rFonts w:ascii="微软雅黑" w:hAnsi="微软雅黑" w:cs="微软雅黑"/>
                <w:bCs/>
              </w:rPr>
            </w:pPr>
            <w:r>
              <w:rPr>
                <w:rFonts w:hint="eastAsia" w:ascii="微软雅黑" w:hAnsi="微软雅黑" w:cs="微软雅黑"/>
                <w:bCs/>
              </w:rPr>
              <w:t xml:space="preserve">投标人应对招标文件“第四章 项目需求”中采购设备技术要求响应，全部满足技术要求的得满分30分；加“★”的内容为实质性要求，有一项不符合的，作无效投标处理，加“▲”号指标为重要技术参数，有一项负偏离扣2分；其余技术指标为一般参数，有一项负偏离扣0.47分。</w:t>
            </w:r>
            <w:r/>
          </w:p>
          <w:p>
            <w:pPr>
              <w:spacing w:line="420" w:lineRule="exact"/>
              <w:rPr>
                <w:rFonts w:ascii="微软雅黑" w:hAnsi="微软雅黑" w:cs="微软雅黑"/>
                <w:b/>
              </w:rPr>
            </w:pPr>
            <w:r>
              <w:rPr>
                <w:rFonts w:hint="eastAsia" w:ascii="微软雅黑" w:hAnsi="微软雅黑" w:cs="微软雅黑"/>
                <w:b/>
              </w:rPr>
              <w:t xml:space="preserve">注：加★及▲项须在投标文件中提供技术支持资料并加盖公章（如彩页、官网截图、具有CNAS或CMA认证资质的检测机构出具的检测报告（若具体指标中另有要求的，以具体指标中的要求为准）。未按要求提供技术支持资料的，视同未对招标文件采购要求作出响应，评审时不予认可。</w:t>
            </w:r>
            <w:r/>
          </w:p>
          <w:p>
            <w:pPr>
              <w:pStyle w:val="1334"/>
              <w:ind w:firstLine="0"/>
              <w:spacing w:line="420" w:lineRule="exact"/>
              <w:rPr>
                <w:rFonts w:ascii="微软雅黑" w:hAnsi="微软雅黑" w:cs="微软雅黑"/>
                <w:b/>
                <w:szCs w:val="21"/>
              </w:rPr>
            </w:pPr>
            <w:r>
              <w:rPr>
                <w:rFonts w:hint="eastAsia" w:ascii="微软雅黑" w:hAnsi="微软雅黑" w:cs="微软雅黑"/>
                <w:bCs/>
                <w:szCs w:val="21"/>
              </w:rPr>
              <w:t xml:space="preserve">（投标人需在“项目技术及商务需求响应表”中如实逐项填列所投产品的参数及服务承诺，如招标文件要求提供相应证明材料的，应在偏离表中注明证明材料所在投标文件的页码位置）</w:t>
            </w:r>
            <w:r/>
          </w:p>
        </w:tc>
        <w:tc>
          <w:tcPr>
            <w:tcW w:w="604" w:type="dxa"/>
            <w:vAlign w:val="center"/>
            <w:textDirection w:val="lrTb"/>
            <w:noWrap w:val="false"/>
          </w:tcPr>
          <w:p>
            <w:pPr>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p>
        </w:tc>
      </w:tr>
      <w:tr>
        <w:trPr>
          <w:jc w:val="center"/>
          <w:trHeight w:val="8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2.2</w:t>
            </w:r>
            <w:r/>
          </w:p>
        </w:tc>
        <w:tc>
          <w:tcPr>
            <w:tcW w:w="1203" w:type="dxa"/>
            <w:vAlign w:val="center"/>
            <w:vMerge w:val="continue"/>
            <w:textDirection w:val="lrTb"/>
            <w:noWrap w:val="false"/>
          </w:tcPr>
          <w:p>
            <w:pPr>
              <w:jc w:val="left"/>
              <w:spacing w:line="420" w:lineRule="exact"/>
              <w:widowControl/>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评委根据投标文件提供的技术保障措施（包括但不限于包括技术团队、技术方案、技术人员等内容）进行综合评分。</w:t>
            </w:r>
            <w:r/>
          </w:p>
          <w:p>
            <w:pPr>
              <w:spacing w:line="420" w:lineRule="exact"/>
              <w:rPr>
                <w:rFonts w:ascii="微软雅黑" w:hAnsi="微软雅黑" w:cs="微软雅黑"/>
              </w:rPr>
            </w:pPr>
            <w:r>
              <w:rPr>
                <w:rFonts w:hint="eastAsia" w:ascii="微软雅黑" w:hAnsi="微软雅黑" w:cs="微软雅黑"/>
              </w:rPr>
              <w:t xml:space="preserve">内容全面合理、科学可行、保障措施到位的得7分；</w:t>
            </w:r>
            <w:r/>
          </w:p>
          <w:p>
            <w:pPr>
              <w:spacing w:line="420" w:lineRule="exact"/>
              <w:rPr>
                <w:rFonts w:ascii="微软雅黑" w:hAnsi="微软雅黑" w:cs="微软雅黑"/>
              </w:rPr>
            </w:pPr>
            <w:r>
              <w:rPr>
                <w:rFonts w:hint="eastAsia" w:ascii="微软雅黑" w:hAnsi="微软雅黑" w:cs="微软雅黑"/>
              </w:rPr>
              <w:t xml:space="preserve">内容具有一定的全面性、科学性、合理性与可行性、保障措施基本到位的得4分；</w:t>
            </w:r>
            <w:r/>
          </w:p>
          <w:p>
            <w:pPr>
              <w:spacing w:line="420" w:lineRule="exact"/>
              <w:rPr>
                <w:rFonts w:ascii="微软雅黑" w:hAnsi="微软雅黑" w:cs="微软雅黑"/>
              </w:rPr>
            </w:pPr>
            <w:r>
              <w:rPr>
                <w:rFonts w:hint="eastAsia" w:ascii="微软雅黑" w:hAnsi="微软雅黑" w:cs="微软雅黑"/>
              </w:rPr>
              <w:t xml:space="preserve">内容片面、科学性、合理性与可行性一般的得1分；</w:t>
            </w:r>
            <w:r/>
          </w:p>
          <w:p>
            <w:pPr>
              <w:spacing w:line="420" w:lineRule="exact"/>
              <w:rPr>
                <w:rFonts w:ascii="微软雅黑" w:hAnsi="微软雅黑" w:cs="微软雅黑"/>
                <w:szCs w:val="21"/>
              </w:rPr>
            </w:pPr>
            <w:r>
              <w:rPr>
                <w:rFonts w:hint="eastAsia" w:ascii="微软雅黑" w:hAnsi="微软雅黑" w:cs="微软雅黑"/>
              </w:rPr>
              <w:t xml:space="preserve">未提供不得分。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bCs/>
                <w:szCs w:val="21"/>
              </w:rPr>
              <w:t xml:space="preserve">7</w:t>
            </w:r>
            <w:r/>
          </w:p>
        </w:tc>
      </w:tr>
      <w:tr>
        <w:trPr>
          <w:jc w:val="center"/>
          <w:trHeight w:val="8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2.3</w:t>
            </w:r>
            <w:r/>
          </w:p>
        </w:tc>
        <w:tc>
          <w:tcPr>
            <w:tcW w:w="1203" w:type="dxa"/>
            <w:vAlign w:val="center"/>
            <w:vMerge w:val="continue"/>
            <w:textDirection w:val="lrTb"/>
            <w:noWrap w:val="false"/>
          </w:tcPr>
          <w:p>
            <w:pPr>
              <w:jc w:val="left"/>
              <w:spacing w:line="420" w:lineRule="exact"/>
              <w:widowControl/>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评委根据投标人提供的产品设备的先进性与可靠性、科研领域有领先的前瞻性、采用的技术处于行业领先水平，得7分；</w:t>
            </w:r>
            <w:r/>
          </w:p>
          <w:p>
            <w:pPr>
              <w:spacing w:line="420" w:lineRule="exact"/>
              <w:rPr>
                <w:rFonts w:ascii="微软雅黑" w:hAnsi="微软雅黑" w:cs="微软雅黑"/>
              </w:rPr>
            </w:pPr>
            <w:r>
              <w:rPr>
                <w:rFonts w:hint="eastAsia" w:ascii="微软雅黑" w:hAnsi="微软雅黑" w:cs="微软雅黑"/>
              </w:rPr>
              <w:t xml:space="preserve">产品性能有待提高、但基本能满足用户对新技术的需求，得4分；</w:t>
            </w:r>
            <w:r/>
          </w:p>
          <w:p>
            <w:pPr>
              <w:spacing w:line="420" w:lineRule="exact"/>
              <w:rPr>
                <w:rFonts w:ascii="微软雅黑" w:hAnsi="微软雅黑" w:cs="微软雅黑"/>
              </w:rPr>
            </w:pPr>
            <w:r>
              <w:rPr>
                <w:rFonts w:hint="eastAsia" w:ascii="微软雅黑" w:hAnsi="微软雅黑" w:cs="微软雅黑"/>
              </w:rPr>
              <w:t xml:space="preserve">产品无突出优势、对市场变化及新技术更新略有欠缺，得1分；</w:t>
            </w:r>
            <w:r/>
          </w:p>
          <w:p>
            <w:pPr>
              <w:spacing w:line="420" w:lineRule="exact"/>
              <w:rPr>
                <w:rFonts w:ascii="微软雅黑" w:hAnsi="微软雅黑" w:cs="微软雅黑"/>
                <w:szCs w:val="21"/>
              </w:rPr>
            </w:pPr>
            <w:r>
              <w:rPr>
                <w:rFonts w:ascii="微软雅黑" w:hAnsi="微软雅黑" w:cs="微软雅黑"/>
              </w:rPr>
              <w:t xml:space="preserve">产品技术性能落后的</w:t>
            </w:r>
            <w:r>
              <w:rPr>
                <w:rFonts w:hint="eastAsia" w:ascii="微软雅黑" w:hAnsi="微软雅黑" w:cs="微软雅黑"/>
              </w:rPr>
              <w:t xml:space="preserve">不得分。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bCs/>
                <w:szCs w:val="21"/>
              </w:rPr>
              <w:t xml:space="preserve">7</w:t>
            </w:r>
            <w:r/>
          </w:p>
        </w:tc>
      </w:tr>
      <w:tr>
        <w:trPr>
          <w:jc w:val="center"/>
          <w:trHeight w:val="45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3.1</w:t>
            </w:r>
            <w:r/>
          </w:p>
        </w:tc>
        <w:tc>
          <w:tcPr>
            <w:tcW w:w="1203" w:type="dxa"/>
            <w:vAlign w:val="center"/>
            <w:vMerge w:val="restart"/>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售后服务</w:t>
            </w:r>
            <w:r/>
          </w:p>
          <w:p>
            <w:pPr>
              <w:jc w:val="center"/>
              <w:spacing w:line="420" w:lineRule="exact"/>
              <w:rPr>
                <w:rFonts w:ascii="微软雅黑" w:hAnsi="微软雅黑" w:cs="微软雅黑"/>
                <w:szCs w:val="21"/>
              </w:rPr>
            </w:pPr>
            <w:r>
              <w:rPr>
                <w:rFonts w:hint="eastAsia" w:ascii="微软雅黑" w:hAnsi="微软雅黑" w:cs="微软雅黑"/>
                <w:b/>
                <w:szCs w:val="21"/>
              </w:rPr>
              <w:t xml:space="preserve">（16分）</w:t>
            </w:r>
            <w:r/>
          </w:p>
        </w:tc>
        <w:tc>
          <w:tcPr>
            <w:tcW w:w="6767"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评委根据供应商提供的售后服务方案（包括但不限于包括维护计划，对故障的响应、处理、定期巡检、其他优惠等承诺等内容）进行综合评分。</w:t>
            </w:r>
            <w:r/>
          </w:p>
          <w:p>
            <w:pPr>
              <w:spacing w:line="420" w:lineRule="exact"/>
              <w:rPr>
                <w:rFonts w:ascii="微软雅黑" w:hAnsi="微软雅黑" w:cs="微软雅黑"/>
                <w:szCs w:val="21"/>
              </w:rPr>
            </w:pPr>
            <w:r>
              <w:rPr>
                <w:rFonts w:hint="eastAsia" w:ascii="微软雅黑" w:hAnsi="微软雅黑" w:cs="微软雅黑"/>
                <w:szCs w:val="21"/>
              </w:rPr>
              <w:t xml:space="preserve">方案全面具体、科学合理、操作可行的得7分；</w:t>
            </w:r>
            <w:r/>
          </w:p>
          <w:p>
            <w:pPr>
              <w:spacing w:line="420" w:lineRule="exact"/>
              <w:rPr>
                <w:rFonts w:ascii="微软雅黑" w:hAnsi="微软雅黑" w:cs="微软雅黑"/>
                <w:szCs w:val="21"/>
              </w:rPr>
            </w:pPr>
            <w:r>
              <w:rPr>
                <w:rFonts w:hint="eastAsia" w:ascii="微软雅黑" w:hAnsi="微软雅黑" w:cs="微软雅黑"/>
                <w:szCs w:val="21"/>
              </w:rPr>
              <w:t xml:space="preserve">方案具有一定的全面性、科学性、合理性与可操作性的得4分；</w:t>
            </w:r>
            <w:r/>
          </w:p>
          <w:p>
            <w:pPr>
              <w:spacing w:line="420" w:lineRule="exact"/>
              <w:rPr>
                <w:rFonts w:ascii="微软雅黑" w:hAnsi="微软雅黑" w:cs="微软雅黑"/>
                <w:szCs w:val="21"/>
              </w:rPr>
            </w:pPr>
            <w:r>
              <w:rPr>
                <w:rFonts w:hint="eastAsia" w:ascii="微软雅黑" w:hAnsi="微软雅黑" w:cs="微软雅黑"/>
                <w:szCs w:val="21"/>
              </w:rPr>
              <w:t xml:space="preserve">方案全面性、科学性一般的得1分；</w:t>
            </w:r>
            <w:r/>
          </w:p>
          <w:p>
            <w:pPr>
              <w:spacing w:line="420" w:lineRule="exact"/>
              <w:rPr>
                <w:rFonts w:ascii="微软雅黑" w:hAnsi="微软雅黑" w:cs="微软雅黑"/>
                <w:szCs w:val="21"/>
              </w:rPr>
            </w:pPr>
            <w:r>
              <w:rPr>
                <w:rFonts w:hint="eastAsia" w:ascii="微软雅黑" w:hAnsi="微软雅黑" w:cs="微软雅黑"/>
                <w:szCs w:val="21"/>
              </w:rPr>
              <w:t xml:space="preserve">未提供不得分。</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7</w:t>
            </w:r>
            <w:r/>
          </w:p>
        </w:tc>
      </w:tr>
      <w:tr>
        <w:trPr>
          <w:jc w:val="center"/>
          <w:trHeight w:val="2517"/>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3.2</w:t>
            </w:r>
            <w:r/>
          </w:p>
        </w:tc>
        <w:tc>
          <w:tcPr>
            <w:tcW w:w="1203" w:type="dxa"/>
            <w:vAlign w:val="center"/>
            <w:vMerge w:val="continue"/>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评委根据供应商提供的培训方案（包括但不限于培训课时、周期、培训资料等内容）进行综合评分。</w:t>
            </w:r>
            <w:r/>
          </w:p>
          <w:p>
            <w:pPr>
              <w:spacing w:line="420" w:lineRule="exact"/>
              <w:rPr>
                <w:rFonts w:ascii="微软雅黑" w:hAnsi="微软雅黑" w:cs="微软雅黑"/>
              </w:rPr>
            </w:pPr>
            <w:r>
              <w:rPr>
                <w:rFonts w:hint="eastAsia" w:ascii="微软雅黑" w:hAnsi="微软雅黑" w:cs="微软雅黑"/>
              </w:rPr>
              <w:t xml:space="preserve">方案全面具体、科学合理、操作可行的得7分；</w:t>
            </w:r>
            <w:r/>
          </w:p>
          <w:p>
            <w:pPr>
              <w:spacing w:line="420" w:lineRule="exact"/>
              <w:rPr>
                <w:rFonts w:ascii="微软雅黑" w:hAnsi="微软雅黑" w:cs="微软雅黑"/>
              </w:rPr>
            </w:pPr>
            <w:r>
              <w:rPr>
                <w:rFonts w:hint="eastAsia" w:ascii="微软雅黑" w:hAnsi="微软雅黑" w:cs="微软雅黑"/>
              </w:rPr>
              <w:t xml:space="preserve">方案具有一定的全面性、科学性、合理性与可操作性的得4分；</w:t>
            </w:r>
            <w:r/>
          </w:p>
          <w:p>
            <w:pPr>
              <w:spacing w:line="420" w:lineRule="exact"/>
              <w:rPr>
                <w:rFonts w:ascii="微软雅黑" w:hAnsi="微软雅黑" w:cs="微软雅黑"/>
              </w:rPr>
            </w:pPr>
            <w:r>
              <w:rPr>
                <w:rFonts w:hint="eastAsia" w:ascii="微软雅黑" w:hAnsi="微软雅黑" w:cs="微软雅黑"/>
              </w:rPr>
              <w:t xml:space="preserve">方案内容片面的得1分；</w:t>
            </w:r>
            <w:r/>
          </w:p>
          <w:p>
            <w:pPr>
              <w:spacing w:line="420" w:lineRule="exact"/>
              <w:rPr>
                <w:rFonts w:ascii="微软雅黑" w:hAnsi="微软雅黑" w:cs="微软雅黑"/>
                <w:szCs w:val="21"/>
              </w:rPr>
            </w:pPr>
            <w:r>
              <w:rPr>
                <w:rFonts w:hint="eastAsia" w:ascii="微软雅黑" w:hAnsi="微软雅黑" w:cs="微软雅黑"/>
              </w:rPr>
              <w:t xml:space="preserve">未提供不得分。</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7</w:t>
            </w:r>
            <w:r/>
          </w:p>
        </w:tc>
      </w:tr>
      <w:tr>
        <w:trPr>
          <w:jc w:val="center"/>
          <w:trHeight w:val="1129"/>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3.3</w:t>
            </w:r>
            <w:r/>
          </w:p>
        </w:tc>
        <w:tc>
          <w:tcPr>
            <w:tcW w:w="1203" w:type="dxa"/>
            <w:vAlign w:val="center"/>
            <w:vMerge w:val="continue"/>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全部货物满足招标文件免费质保期（1年）要求不得分，在此基础上免费质保每增加1年加1分，最高得2分。提供售后服务承诺书并加盖公章。(若投标文件中出现前后不一致的情况，以最低免费质保期作为评分依据)</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w:t>
            </w:r>
            <w:r/>
          </w:p>
        </w:tc>
      </w:tr>
      <w:tr>
        <w:trPr>
          <w:jc w:val="center"/>
          <w:trHeight w:val="1504"/>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4.1</w:t>
            </w:r>
            <w:r/>
          </w:p>
        </w:tc>
        <w:tc>
          <w:tcPr>
            <w:tcW w:w="120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业绩</w:t>
            </w:r>
            <w:r/>
          </w:p>
          <w:p>
            <w:pPr>
              <w:jc w:val="center"/>
              <w:spacing w:line="420" w:lineRule="exact"/>
              <w:rPr>
                <w:rFonts w:ascii="微软雅黑" w:hAnsi="微软雅黑" w:cs="微软雅黑"/>
                <w:b/>
                <w:bCs/>
                <w:szCs w:val="21"/>
              </w:rPr>
            </w:pPr>
            <w:r>
              <w:rPr>
                <w:rFonts w:hint="eastAsia" w:ascii="微软雅黑" w:hAnsi="微软雅黑" w:cs="微软雅黑"/>
                <w:b/>
                <w:szCs w:val="21"/>
              </w:rPr>
              <w:t xml:space="preserve">（8分）</w:t>
            </w:r>
            <w:r/>
          </w:p>
        </w:tc>
        <w:tc>
          <w:tcPr>
            <w:tcW w:w="6767" w:type="dxa"/>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自2023年1月1日（含）以来，投标人承担过类似核磁类产品业绩，且通过验收的，每提供一项得2分，本项最高得8分（投标文件中提供合同</w:t>
            </w:r>
            <w:r>
              <w:rPr>
                <w:rFonts w:hint="eastAsia" w:ascii="微软雅黑" w:hAnsi="微软雅黑" w:cs="微软雅黑"/>
                <w:szCs w:val="21"/>
                <w:lang w:eastAsia="zh-CN"/>
              </w:rPr>
              <w:t xml:space="preserve">及</w:t>
            </w:r>
            <w:r>
              <w:rPr>
                <w:rFonts w:hint="eastAsia" w:ascii="微软雅黑" w:hAnsi="微软雅黑" w:cs="微软雅黑"/>
                <w:szCs w:val="21"/>
              </w:rPr>
              <w:t xml:space="preserve">验收报告复印件并加盖公章，时间以合同签订时间为准，合同需能反映产品清单，未提供或提供不全不得分）。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szCs w:val="21"/>
              </w:rPr>
              <w:t xml:space="preserve">8</w:t>
            </w:r>
            <w:r/>
          </w:p>
        </w:tc>
      </w:tr>
      <w:tr>
        <w:trPr>
          <w:jc w:val="center"/>
          <w:trHeight w:val="1135"/>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4.2</w:t>
            </w:r>
            <w:r/>
          </w:p>
        </w:tc>
        <w:tc>
          <w:tcPr>
            <w:tcW w:w="120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售后满意度书面评</w:t>
            </w:r>
            <w:r/>
          </w:p>
          <w:p>
            <w:pPr>
              <w:jc w:val="center"/>
              <w:spacing w:line="420" w:lineRule="exact"/>
              <w:rPr>
                <w:rFonts w:ascii="微软雅黑" w:hAnsi="微软雅黑" w:cs="微软雅黑"/>
                <w:b/>
                <w:szCs w:val="21"/>
              </w:rPr>
            </w:pPr>
            <w:r>
              <w:rPr>
                <w:rFonts w:hint="eastAsia" w:ascii="微软雅黑" w:hAnsi="微软雅黑" w:cs="微软雅黑"/>
                <w:b/>
                <w:szCs w:val="21"/>
              </w:rPr>
              <w:t xml:space="preserve">价（2分）</w:t>
            </w:r>
            <w:r/>
          </w:p>
        </w:tc>
        <w:tc>
          <w:tcPr>
            <w:tcW w:w="6767"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rPr>
              <w:t xml:space="preserve">在上述业绩中供应商能够提供用户方的售后满意度书面评价良或优秀或满意的（</w:t>
            </w:r>
            <w:r>
              <w:rPr>
                <w:rFonts w:hint="eastAsia" w:ascii="微软雅黑" w:hAnsi="微软雅黑" w:cs="微软雅黑"/>
                <w:b/>
                <w:bCs/>
              </w:rPr>
              <w:t xml:space="preserve">须有用户签字或部门盖章</w:t>
            </w:r>
            <w:r>
              <w:rPr>
                <w:rFonts w:hint="eastAsia" w:ascii="微软雅黑" w:hAnsi="微软雅黑" w:cs="微软雅黑"/>
              </w:rPr>
              <w:t xml:space="preserve">），每提供一个得0.5分（同一家单位不重复计算），本项最高得2分（投标文件中提供相关证明材料复印件加盖公章）。</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w:t>
            </w:r>
            <w:r/>
          </w:p>
        </w:tc>
      </w:tr>
      <w:tr>
        <w:trPr>
          <w:jc w:val="center"/>
          <w:trHeight w:val="382"/>
        </w:trPr>
        <w:tc>
          <w:tcPr>
            <w:gridSpan w:val="3"/>
            <w:tcW w:w="8632"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b/>
                <w:bCs/>
                <w:szCs w:val="21"/>
              </w:rPr>
              <w:t xml:space="preserve">合计总分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szCs w:val="21"/>
              </w:rPr>
              <w:t xml:space="preserve">100</w:t>
            </w:r>
            <w:r/>
          </w:p>
        </w:tc>
      </w:tr>
    </w:tbl>
    <w:p>
      <w:pPr>
        <w:spacing w:line="44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spacing w:line="400" w:lineRule="exact"/>
        <w:rPr>
          <w:rFonts w:ascii="微软雅黑" w:hAnsi="微软雅黑" w:cs="微软雅黑"/>
          <w:b/>
          <w:bCs/>
          <w:szCs w:val="21"/>
        </w:rPr>
      </w:pPr>
      <w:r>
        <w:rPr>
          <w:rFonts w:hint="eastAsia" w:ascii="微软雅黑" w:hAnsi="微软雅黑" w:cs="微软雅黑"/>
          <w:u w:val="single"/>
        </w:rPr>
        <w:t xml:space="preserve">本次采购执行政府强制或优先采购节能和环境标志产品、促进中小微型企业、促进残疾人就业、支持监狱和戒毒企业、扶持不发达地区和少数民族地区、支持科学进步以及限制采购进口产品等相关政策。</w:t>
      </w:r>
      <w:r/>
    </w:p>
    <w:p>
      <w:pPr>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4.残疾人福利单位、监狱企业属于小型、微型企业的，不重复享受政策。</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5.本国产品的价格扣除</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ascii="微软雅黑" w:hAnsi="微软雅黑" w:cs="微软雅黑"/>
          <w:b/>
          <w:bCs/>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微软雅黑" w:hAnsi="微软雅黑" w:cs="微软雅黑"/>
          <w:b/>
          <w:bCs/>
          <w:szCs w:val="21"/>
        </w:rPr>
      </w:pPr>
      <w:r>
        <w:rPr>
          <w:rFonts w:hint="eastAsia" w:ascii="微软雅黑" w:hAnsi="微软雅黑" w:cs="微软雅黑"/>
          <w:b/>
          <w:bCs/>
          <w:szCs w:val="21"/>
        </w:rPr>
        <w:t xml:space="preserve">二、同品牌投标人的认定</w:t>
      </w:r>
      <w:r/>
    </w:p>
    <w:p>
      <w:pPr>
        <w:ind w:firstLine="420"/>
        <w:spacing w:line="420" w:lineRule="exact"/>
        <w:rPr>
          <w:rFonts w:ascii="微软雅黑" w:hAnsi="微软雅黑" w:cs="微软雅黑"/>
          <w:b/>
          <w:sz w:val="24"/>
          <w:szCs w:val="24"/>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核心产品：</w:t>
      </w:r>
      <w:r>
        <w:rPr>
          <w:rFonts w:hint="eastAsia" w:ascii="微软雅黑" w:hAnsi="微软雅黑" w:cs="微软雅黑"/>
          <w:u w:val="single"/>
        </w:rPr>
        <w:t xml:space="preserve">固体核磁共振波谱仪</w:t>
      </w:r>
      <w:r>
        <w:rPr>
          <w:rFonts w:hint="eastAsia" w:ascii="微软雅黑" w:hAnsi="微软雅黑" w:cs="微软雅黑"/>
          <w:b/>
          <w:bCs/>
          <w:szCs w:val="21"/>
          <w:u w:val="single"/>
        </w:rPr>
        <w:t xml:space="preserve">。</w:t>
      </w:r>
      <w:bookmarkEnd w:id="272"/>
      <w:r/>
      <w:r/>
    </w:p>
    <w:p>
      <w:pPr>
        <w:pStyle w:val="1272"/>
        <w:numPr>
          <w:ilvl w:val="0"/>
          <w:numId w:val="14"/>
        </w:numPr>
        <w:spacing w:line="420" w:lineRule="exact"/>
        <w:rPr>
          <w:rFonts w:ascii="微软雅黑" w:hAnsi="微软雅黑" w:cs="微软雅黑"/>
          <w:szCs w:val="32"/>
        </w:rPr>
      </w:pPr>
      <w:r/>
      <w:bookmarkStart w:id="273" w:name="_Toc21811"/>
      <w:r>
        <w:rPr>
          <w:rFonts w:hint="eastAsia" w:ascii="微软雅黑" w:hAnsi="微软雅黑" w:cs="微软雅黑"/>
          <w:szCs w:val="32"/>
        </w:rPr>
        <w:br w:type="page" w:clear="all"/>
      </w:r>
      <w:bookmarkStart w:id="274" w:name="_Toc19395"/>
      <w:r/>
      <w:bookmarkStart w:id="275" w:name="_Toc1271"/>
      <w:r/>
      <w:bookmarkStart w:id="276" w:name="_Toc28291"/>
      <w:r/>
      <w:bookmarkStart w:id="277" w:name="_Toc7214"/>
      <w:r/>
      <w:bookmarkStart w:id="278" w:name="_Toc11285"/>
      <w:r>
        <w:rPr>
          <w:rFonts w:hint="eastAsia" w:ascii="微软雅黑" w:hAnsi="微软雅黑" w:cs="微软雅黑"/>
          <w:szCs w:val="32"/>
        </w:rPr>
        <w:t xml:space="preserve">项目采购需求</w:t>
      </w:r>
      <w:bookmarkEnd w:id="274"/>
      <w:r/>
      <w:bookmarkEnd w:id="275"/>
      <w:r/>
      <w:bookmarkEnd w:id="276"/>
      <w:r/>
      <w:bookmarkEnd w:id="277"/>
      <w:r/>
      <w:bookmarkEnd w:id="278"/>
      <w:r/>
      <w:bookmarkEnd w:id="273"/>
      <w:r/>
      <w:r/>
    </w:p>
    <w:p>
      <w:pPr>
        <w:pStyle w:val="1095"/>
        <w:spacing w:before="0" w:after="0" w:line="420" w:lineRule="exact"/>
        <w:rPr>
          <w:rFonts w:ascii="微软雅黑" w:hAnsi="微软雅黑" w:eastAsia="微软雅黑" w:cs="微软雅黑"/>
          <w:b/>
          <w:bCs/>
          <w:sz w:val="21"/>
          <w:szCs w:val="21"/>
        </w:rPr>
      </w:pPr>
      <w:r/>
      <w:bookmarkStart w:id="279" w:name="_Toc10489"/>
      <w:r/>
      <w:bookmarkStart w:id="280" w:name="_Toc448"/>
      <w:r/>
      <w:bookmarkStart w:id="281" w:name="_Toc25792"/>
      <w:r/>
      <w:bookmarkStart w:id="282" w:name="_Toc12240"/>
      <w:r/>
      <w:bookmarkStart w:id="283" w:name="_Toc22289"/>
      <w:r>
        <w:rPr>
          <w:rFonts w:hint="eastAsia" w:ascii="微软雅黑" w:hAnsi="微软雅黑" w:eastAsia="微软雅黑" w:cs="微软雅黑"/>
          <w:b/>
          <w:bCs/>
          <w:sz w:val="21"/>
          <w:szCs w:val="21"/>
        </w:rPr>
        <w:t xml:space="preserve">一、项目概况</w:t>
      </w:r>
      <w:bookmarkEnd w:id="279"/>
      <w:r/>
      <w:bookmarkEnd w:id="280"/>
      <w:r/>
      <w:bookmarkEnd w:id="281"/>
      <w:r/>
      <w:bookmarkEnd w:id="28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 南京林业大学拟采购固体核磁共振波谱仪一套，包含主机及完成正常运行所必需的下列附件，用于固体样品结构表征。投标人须对整机及所有附件进行完整报价，缺一不可，否则视为未实质性响应。</w:t>
      </w:r>
      <w:r/>
    </w:p>
    <w:p>
      <w:pPr>
        <w:pStyle w:val="1095"/>
        <w:spacing w:before="0" w:after="0" w:line="420" w:lineRule="exact"/>
        <w:rPr>
          <w:rFonts w:ascii="微软雅黑" w:hAnsi="微软雅黑" w:eastAsia="微软雅黑" w:cs="微软雅黑"/>
          <w:b/>
          <w:bCs/>
          <w:sz w:val="21"/>
          <w:szCs w:val="21"/>
        </w:rPr>
      </w:pPr>
      <w:r/>
      <w:bookmarkStart w:id="284" w:name="_Toc30727"/>
      <w:r/>
      <w:bookmarkStart w:id="285" w:name="_Toc26391"/>
      <w:r/>
      <w:bookmarkStart w:id="286" w:name="_Toc29850"/>
      <w:r>
        <w:rPr>
          <w:rFonts w:hint="eastAsia" w:ascii="微软雅黑" w:hAnsi="微软雅黑" w:eastAsia="微软雅黑" w:cs="微软雅黑"/>
          <w:b/>
          <w:bCs/>
          <w:sz w:val="21"/>
          <w:szCs w:val="21"/>
        </w:rPr>
        <w:t xml:space="preserve">二、采购清单</w:t>
      </w:r>
      <w:bookmarkEnd w:id="284"/>
      <w:r/>
      <w:bookmarkEnd w:id="285"/>
      <w:r/>
      <w:bookmarkEnd w:id="286"/>
      <w:r/>
      <w:r/>
    </w:p>
    <w:tbl>
      <w:tblPr>
        <w:tblStyle w:val="110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4619"/>
        <w:gridCol w:w="1806"/>
        <w:gridCol w:w="1293"/>
      </w:tblGrid>
      <w:tr>
        <w:trPr>
          <w:jc w:val="center"/>
          <w:trHeight w:val="633" w:hRule="exact"/>
        </w:trPr>
        <w:tc>
          <w:tcPr>
            <w:tcW w:w="1289" w:type="dxa"/>
            <w:vAlign w:val="center"/>
            <w:textDirection w:val="lrTb"/>
            <w:noWrap w:val="false"/>
          </w:tcPr>
          <w:p>
            <w:pPr>
              <w:ind w:left="368" w:hanging="368"/>
              <w:jc w:val="center"/>
              <w:spacing w:line="420" w:lineRule="exact"/>
              <w:rPr>
                <w:rFonts w:ascii="微软雅黑" w:hAnsi="微软雅黑" w:cs="微软雅黑"/>
                <w:b/>
                <w:bCs/>
                <w:szCs w:val="21"/>
              </w:rPr>
            </w:pPr>
            <w:r/>
            <w:bookmarkStart w:id="287" w:name="OLE_LINK19"/>
            <w:r>
              <w:rPr>
                <w:rFonts w:hint="eastAsia" w:ascii="微软雅黑" w:hAnsi="微软雅黑" w:cs="微软雅黑"/>
                <w:b/>
                <w:bCs/>
                <w:szCs w:val="21"/>
              </w:rPr>
              <w:t xml:space="preserve">序号</w:t>
            </w:r>
            <w:r/>
          </w:p>
        </w:tc>
        <w:tc>
          <w:tcPr>
            <w:tcW w:w="4619" w:type="dxa"/>
            <w:vAlign w:val="center"/>
            <w:textDirection w:val="lrTb"/>
            <w:noWrap w:val="false"/>
          </w:tcPr>
          <w:p>
            <w:pPr>
              <w:ind w:left="368" w:hanging="368"/>
              <w:jc w:val="center"/>
              <w:spacing w:line="420" w:lineRule="exact"/>
              <w:rPr>
                <w:rFonts w:ascii="微软雅黑" w:hAnsi="微软雅黑" w:cs="微软雅黑"/>
                <w:b/>
                <w:bCs/>
                <w:szCs w:val="21"/>
              </w:rPr>
            </w:pPr>
            <w:r>
              <w:rPr>
                <w:rFonts w:hint="eastAsia" w:ascii="微软雅黑" w:hAnsi="微软雅黑" w:cs="微软雅黑"/>
                <w:b/>
                <w:bCs/>
                <w:szCs w:val="21"/>
              </w:rPr>
              <w:t xml:space="preserve">设备名称</w:t>
            </w:r>
            <w:r/>
          </w:p>
        </w:tc>
        <w:tc>
          <w:tcPr>
            <w:tcW w:w="1806" w:type="dxa"/>
            <w:vAlign w:val="center"/>
            <w:textDirection w:val="lrTb"/>
            <w:noWrap w:val="false"/>
          </w:tcPr>
          <w:p>
            <w:pPr>
              <w:ind w:left="368" w:hanging="368"/>
              <w:jc w:val="center"/>
              <w:spacing w:line="420" w:lineRule="exact"/>
              <w:rPr>
                <w:rFonts w:ascii="微软雅黑" w:hAnsi="微软雅黑" w:cs="微软雅黑"/>
                <w:b/>
                <w:bCs/>
                <w:szCs w:val="21"/>
              </w:rPr>
            </w:pPr>
            <w:r>
              <w:rPr>
                <w:rFonts w:hint="eastAsia" w:ascii="微软雅黑" w:hAnsi="微软雅黑" w:cs="微软雅黑"/>
                <w:b/>
                <w:bCs/>
                <w:szCs w:val="21"/>
              </w:rPr>
              <w:t xml:space="preserve">数量（台/件）</w:t>
            </w:r>
            <w:r/>
          </w:p>
        </w:tc>
        <w:tc>
          <w:tcPr>
            <w:tcW w:w="1293" w:type="dxa"/>
            <w:textDirection w:val="lrTb"/>
            <w:noWrap w:val="false"/>
          </w:tcPr>
          <w:p>
            <w:pPr>
              <w:ind w:left="368" w:hanging="368"/>
              <w:jc w:val="center"/>
              <w:spacing w:line="420" w:lineRule="exact"/>
              <w:rPr>
                <w:rFonts w:ascii="微软雅黑" w:hAnsi="微软雅黑" w:cs="微软雅黑"/>
                <w:b/>
                <w:bCs/>
                <w:szCs w:val="21"/>
              </w:rPr>
            </w:pPr>
            <w:r>
              <w:rPr>
                <w:rFonts w:hint="eastAsia" w:ascii="微软雅黑" w:hAnsi="微软雅黑" w:cs="微软雅黑"/>
                <w:b/>
                <w:bCs/>
                <w:szCs w:val="21"/>
              </w:rPr>
              <w:t xml:space="preserve">备注</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1</w:t>
            </w:r>
            <w:r/>
          </w:p>
        </w:tc>
        <w:tc>
          <w:tcPr>
            <w:tcW w:w="4619"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lang w:bidi="ar"/>
              </w:rPr>
              <w:t xml:space="preserve">固体核磁共振波谱仪</w:t>
            </w:r>
            <w:r/>
          </w:p>
        </w:tc>
        <w:tc>
          <w:tcPr>
            <w:tcW w:w="1806"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主机</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2</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3.2mm 固体核磁双共振探头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3</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4mm 固体双共振探头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4</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1.8-2.1 mm 固体双共振探头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5</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5mm三共振HFX液体探头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644" w:hRule="exact"/>
        </w:trPr>
        <w:tc>
          <w:tcPr>
            <w:gridSpan w:val="3"/>
            <w:tcW w:w="7714" w:type="dxa"/>
            <w:vAlign w:val="center"/>
            <w:textDirection w:val="lrTb"/>
            <w:noWrap w:val="false"/>
          </w:tcPr>
          <w:p>
            <w:pPr>
              <w:jc w:val="left"/>
              <w:spacing w:line="420" w:lineRule="exact"/>
              <w:rPr>
                <w:rFonts w:ascii="微软雅黑" w:hAnsi="微软雅黑" w:cs="微软雅黑"/>
                <w:szCs w:val="21"/>
                <w:lang w:bidi="ar"/>
              </w:rPr>
            </w:pPr>
            <w:r>
              <w:rPr>
                <w:rFonts w:hint="eastAsia" w:ascii="微软雅黑" w:hAnsi="微软雅黑" w:cs="微软雅黑"/>
                <w:szCs w:val="21"/>
                <w:lang w:bidi="ar"/>
              </w:rPr>
              <w:t xml:space="preserve">以上产品清单中，本采购项目的核心产品为固体核磁共振波谱仪谱仪。</w:t>
            </w:r>
            <w:r/>
          </w:p>
        </w:tc>
        <w:tc>
          <w:tcPr>
            <w:tcW w:w="1293" w:type="dxa"/>
            <w:textDirection w:val="lrTb"/>
            <w:noWrap w:val="false"/>
          </w:tcPr>
          <w:p>
            <w:pPr>
              <w:jc w:val="left"/>
              <w:spacing w:line="420" w:lineRule="exact"/>
              <w:rPr>
                <w:rFonts w:ascii="微软雅黑" w:hAnsi="微软雅黑" w:cs="微软雅黑"/>
                <w:szCs w:val="21"/>
                <w:lang w:bidi="ar"/>
              </w:rPr>
            </w:pPr>
            <w:r>
              <w:rPr>
                <w:rFonts w:ascii="微软雅黑" w:hAnsi="微软雅黑" w:cs="微软雅黑"/>
                <w:szCs w:val="21"/>
                <w:lang w:bidi="ar"/>
              </w:rPr>
            </w:r>
            <w:bookmarkEnd w:id="287"/>
            <w:r/>
            <w:r/>
          </w:p>
        </w:tc>
      </w:tr>
    </w:tbl>
    <w:p>
      <w:pPr>
        <w:spacing w:line="420" w:lineRule="exact"/>
        <w:rPr>
          <w:rFonts w:ascii="微软雅黑" w:hAnsi="微软雅黑" w:cs="微软雅黑"/>
          <w:b/>
          <w:bCs/>
          <w:szCs w:val="21"/>
        </w:rPr>
      </w:pPr>
      <w:r/>
      <w:bookmarkStart w:id="288" w:name="_Toc13690"/>
      <w:r/>
      <w:bookmarkStart w:id="289" w:name="_Toc32027"/>
      <w:r/>
      <w:bookmarkStart w:id="290" w:name="_Toc1515"/>
      <w:r/>
      <w:bookmarkStart w:id="291" w:name="_Toc22174"/>
      <w:r/>
      <w:bookmarkStart w:id="292" w:name="OLE_LINK4"/>
      <w:r>
        <w:rPr>
          <w:rFonts w:hint="eastAsia" w:ascii="微软雅黑" w:hAnsi="微软雅黑" w:cs="微软雅黑"/>
          <w:b/>
          <w:bCs/>
          <w:szCs w:val="21"/>
        </w:rPr>
        <w:t xml:space="preserve">三、技术指标</w:t>
      </w:r>
      <w:r>
        <w:rPr>
          <w:rFonts w:hint="eastAsia" w:ascii="微软雅黑" w:hAnsi="微软雅黑" w:cs="微软雅黑"/>
          <w:b/>
          <w:bCs/>
          <w:szCs w:val="21"/>
          <w:lang w:bidi="ar"/>
        </w:rPr>
        <w:t xml:space="preserve">（</w:t>
      </w:r>
      <w:r>
        <w:rPr>
          <w:rFonts w:hint="eastAsia" w:ascii="微软雅黑" w:hAnsi="微软雅黑" w:cs="微软雅黑"/>
          <w:b/>
          <w:bCs/>
        </w:rPr>
        <w:t xml:space="preserve">采购文件中标注“★”的内容为实质性要求，有一项不符合的，作无效投标处理。标注</w:t>
      </w:r>
      <w:r>
        <w:rPr>
          <w:rFonts w:hint="eastAsia" w:ascii="微软雅黑" w:hAnsi="微软雅黑" w:cs="微软雅黑"/>
          <w:b/>
          <w:bCs/>
          <w:szCs w:val="21"/>
        </w:rPr>
        <w:t xml:space="preserve">▲</w:t>
      </w:r>
      <w:r>
        <w:rPr>
          <w:rStyle w:val="1476"/>
          <w:rFonts w:hint="eastAsia" w:ascii="微软雅黑" w:hAnsi="微软雅黑" w:cs="微软雅黑"/>
          <w:b/>
          <w:bCs/>
          <w:szCs w:val="21"/>
        </w:rPr>
        <w:t xml:space="preserve">的为重要参数</w:t>
      </w:r>
      <w:r>
        <w:rPr>
          <w:rStyle w:val="1476"/>
          <w:rFonts w:hint="eastAsia" w:ascii="微软雅黑" w:hAnsi="微软雅黑" w:cs="微软雅黑"/>
          <w:b/>
          <w:szCs w:val="21"/>
        </w:rPr>
        <w:t xml:space="preserve">，须按照评分要求作出明确响应说明，注明在投标文件中页码，否则作负偏离扣分。</w:t>
      </w:r>
      <w:r>
        <w:rPr>
          <w:rFonts w:hint="eastAsia" w:ascii="微软雅黑" w:hAnsi="微软雅黑" w:cs="微软雅黑"/>
          <w:b/>
          <w:szCs w:val="21"/>
        </w:rPr>
        <w:t xml:space="preserve">）</w:t>
      </w:r>
      <w:bookmarkEnd w:id="288"/>
      <w:r/>
      <w:bookmarkEnd w:id="289"/>
      <w:r/>
      <w:bookmarkEnd w:id="290"/>
      <w:r/>
      <w:r/>
    </w:p>
    <w:p>
      <w:pPr>
        <w:ind w:firstLine="420"/>
        <w:jc w:val="left"/>
        <w:spacing w:line="420" w:lineRule="exact"/>
        <w:widowControl/>
        <w:rPr>
          <w:rFonts w:ascii="微软雅黑" w:hAnsi="微软雅黑" w:cs="微软雅黑"/>
          <w:b/>
          <w:szCs w:val="21"/>
        </w:rPr>
      </w:pPr>
      <w:r>
        <w:rPr>
          <w:rFonts w:hint="eastAsia" w:ascii="微软雅黑" w:hAnsi="微软雅黑" w:cs="微软雅黑"/>
          <w:b/>
          <w:szCs w:val="21"/>
        </w:rPr>
        <w:t xml:space="preserve">（一）技术参数</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包括但不限于以下技术参数：</w:t>
      </w:r>
      <w:bookmarkEnd w:id="291"/>
      <w:r/>
      <w:r/>
    </w:p>
    <w:p>
      <w:pPr>
        <w:numPr>
          <w:ilvl w:val="0"/>
          <w:numId w:val="15"/>
        </w:num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主机主要技术参数</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1.1至少两组RF射频通道</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1.2各通道配有频率发生器、传输通道和放大器</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1.3频率分辨率：不高于0.005Hz</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1.4相位分辨率：不高于0.01°</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1.5幅度控制全范围不低于90dB</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1.6时间分辨率：不高于12.5ns</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▲1.7高频线性功率放大器不低于200W；低频线性功率放大器不低于500W</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1.8最大谱宽不低于7.5 MHz</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1.9控温范围：-150℃ 至 +150℃，温控精度 0.1℃</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1.10固体核磁匀场系统具有匀场功能</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1.11配有魔角旋转控制器</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1.12配有梯度场附件</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2. 磁体主要技术参数</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★2.1超自屏蔽磁体磁场强度不低于14.09 T </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2.2室温腔直径不低于54mm</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2.3水平方向5高斯强度半径不高于1.0m；垂直方向5高斯强度半径不高于2.0m</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2.4磁场漂移不高于 8Hz/hr</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2.5液氦维持时间不低于180天</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2.6液氮维持时间 不低于12天</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2.7配有大型抗振装置</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 探头</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3.1</w:t>
      </w:r>
      <w:r>
        <w:rPr>
          <w:rFonts w:hint="eastAsia" w:ascii="微软雅黑" w:hAnsi="微软雅黑" w:cs="微软雅黑"/>
          <w:b/>
          <w:bCs/>
          <w:szCs w:val="21"/>
        </w:rPr>
        <w:tab/>
      </w:r>
      <w:r>
        <w:rPr>
          <w:rFonts w:hint="eastAsia" w:ascii="微软雅黑" w:hAnsi="微软雅黑" w:cs="微软雅黑"/>
          <w:b/>
          <w:bCs/>
          <w:szCs w:val="21"/>
        </w:rPr>
        <w:t xml:space="preserve">600MHz 3.2mm 固体核磁双共振探头</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▲3.1.1可观测高频1H，19F核，低频X杂核，配有相应的装样工具</w:t>
      </w:r>
      <w:r/>
    </w:p>
    <w:p>
      <w:pPr>
        <w:ind w:firstLine="42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▲3.1.2最高转速不低于21KHz；温度范围不小于-20℃ ~ +80℃；13C信噪比不低于 170:1（仪器自带标样）；13C分辨率不高于0.1 ppm（仪器自带标样）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3.1.3配有氧化锆材质的样品管不少于15个</w:t>
      </w:r>
      <w:r/>
    </w:p>
    <w:p>
      <w:pPr>
        <w:ind w:firstLine="420"/>
        <w:jc w:val="left"/>
        <w:spacing w:line="420" w:lineRule="exact"/>
        <w:rPr>
          <w:rFonts w:ascii="微软雅黑" w:hAnsi="微软雅黑" w:cs="微软雅黑"/>
          <w:b/>
          <w:bCs/>
          <w:szCs w:val="21"/>
          <w:highlight w:val="none"/>
        </w:rPr>
      </w:pPr>
      <w:r>
        <w:rPr>
          <w:rFonts w:hint="eastAsia" w:ascii="微软雅黑" w:hAnsi="微软雅黑" w:cs="微软雅黑"/>
          <w:b/>
          <w:bCs/>
          <w:szCs w:val="21"/>
          <w:highlight w:val="none"/>
        </w:rPr>
        <w:t xml:space="preserve">3.2</w:t>
      </w:r>
      <w:r>
        <w:rPr>
          <w:rFonts w:hint="eastAsia" w:ascii="微软雅黑" w:hAnsi="微软雅黑" w:cs="微软雅黑"/>
          <w:b/>
          <w:bCs/>
          <w:szCs w:val="21"/>
          <w:highlight w:val="none"/>
        </w:rPr>
        <w:tab/>
      </w:r>
      <w:r>
        <w:rPr>
          <w:rFonts w:hint="eastAsia" w:ascii="微软雅黑" w:hAnsi="微软雅黑" w:cs="微软雅黑"/>
          <w:b/>
          <w:bCs/>
          <w:szCs w:val="21"/>
          <w:highlight w:val="none"/>
        </w:rPr>
        <w:t xml:space="preserve">600MHz 4mm 固体双共振探头</w:t>
      </w:r>
      <w:r/>
    </w:p>
    <w:p>
      <w:pPr>
        <w:ind w:firstLine="420"/>
        <w:jc w:val="left"/>
        <w:spacing w:line="420" w:lineRule="exact"/>
        <w:rPr>
          <w:rFonts w:ascii="微软雅黑" w:hAnsi="微软雅黑" w:cs="微软雅黑"/>
          <w:bCs/>
          <w:szCs w:val="21"/>
          <w:highlight w:val="none"/>
        </w:rPr>
      </w:pPr>
      <w:r>
        <w:rPr>
          <w:rFonts w:hint="eastAsia" w:ascii="微软雅黑" w:hAnsi="微软雅黑" w:cs="微软雅黑"/>
          <w:bCs/>
          <w:szCs w:val="21"/>
          <w:highlight w:val="none"/>
        </w:rPr>
        <w:t xml:space="preserve">▲3.2.1可观测高频1H核，低频X杂核，配有相应的装样工具</w:t>
      </w:r>
      <w:r/>
    </w:p>
    <w:p>
      <w:pPr>
        <w:ind w:firstLine="420"/>
        <w:jc w:val="left"/>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▲3.2.2最高转速不低于15 KHz；温度范围不小于-20℃ ~ +80℃；13C信噪比不低于 400:1（仪器自带标样）；13C分辨率不高于 0.05 ppm（仪器自带标样）</w:t>
      </w:r>
      <w:r/>
    </w:p>
    <w:p>
      <w:pPr>
        <w:ind w:firstLine="420"/>
        <w:jc w:val="left"/>
        <w:spacing w:line="420" w:lineRule="exact"/>
        <w:rPr>
          <w:rFonts w:ascii="微软雅黑" w:hAnsi="微软雅黑" w:cs="微软雅黑"/>
          <w:bCs/>
          <w:szCs w:val="21"/>
          <w:highlight w:val="none"/>
        </w:rPr>
      </w:pPr>
      <w:r>
        <w:rPr>
          <w:rFonts w:hint="eastAsia" w:ascii="微软雅黑" w:hAnsi="微软雅黑" w:cs="微软雅黑"/>
          <w:bCs/>
          <w:szCs w:val="21"/>
          <w:highlight w:val="none"/>
        </w:rPr>
        <w:t xml:space="preserve">3.2.3配有氧化锆材质的样品管不少于15个</w:t>
      </w:r>
      <w:r/>
    </w:p>
    <w:p>
      <w:pPr>
        <w:ind w:firstLine="420"/>
        <w:jc w:val="left"/>
        <w:spacing w:line="420" w:lineRule="exact"/>
        <w:rPr>
          <w:rFonts w:ascii="微软雅黑" w:hAnsi="微软雅黑" w:cs="微软雅黑"/>
          <w:b/>
          <w:bCs/>
          <w:szCs w:val="21"/>
          <w:highlight w:val="none"/>
        </w:rPr>
      </w:pPr>
      <w:r>
        <w:rPr>
          <w:rFonts w:hint="eastAsia" w:ascii="微软雅黑" w:hAnsi="微软雅黑" w:cs="微软雅黑"/>
          <w:b/>
          <w:bCs/>
          <w:szCs w:val="21"/>
          <w:highlight w:val="none"/>
        </w:rPr>
        <w:t xml:space="preserve">3.3</w:t>
      </w:r>
      <w:r>
        <w:rPr>
          <w:rFonts w:hint="eastAsia" w:ascii="微软雅黑" w:hAnsi="微软雅黑" w:cs="微软雅黑"/>
          <w:b/>
          <w:bCs/>
          <w:szCs w:val="21"/>
          <w:highlight w:val="none"/>
        </w:rPr>
        <w:tab/>
      </w:r>
      <w:r>
        <w:rPr>
          <w:rFonts w:hint="eastAsia" w:ascii="微软雅黑" w:hAnsi="微软雅黑" w:cs="微软雅黑"/>
          <w:b/>
          <w:bCs/>
          <w:szCs w:val="21"/>
          <w:highlight w:val="none"/>
        </w:rPr>
        <w:t xml:space="preserve">600MHz 1.8-2.1 mm 固体双共振探头</w:t>
      </w:r>
      <w:r/>
    </w:p>
    <w:p>
      <w:pPr>
        <w:ind w:firstLine="420"/>
        <w:jc w:val="left"/>
        <w:spacing w:line="420" w:lineRule="exact"/>
        <w:rPr>
          <w:rFonts w:ascii="微软雅黑" w:hAnsi="微软雅黑" w:cs="微软雅黑"/>
          <w:bCs/>
          <w:szCs w:val="21"/>
          <w:highlight w:val="none"/>
        </w:rPr>
      </w:pPr>
      <w:r>
        <w:rPr>
          <w:rFonts w:hint="eastAsia" w:ascii="微软雅黑" w:hAnsi="微软雅黑" w:cs="微软雅黑"/>
          <w:bCs/>
          <w:szCs w:val="21"/>
          <w:highlight w:val="none"/>
        </w:rPr>
        <w:t xml:space="preserve">▲3.3.1可观测高频1H，19F核，低频X杂核，配有相应的装样工具</w:t>
      </w:r>
      <w:r/>
    </w:p>
    <w:p>
      <w:pPr>
        <w:ind w:firstLine="420"/>
        <w:jc w:val="left"/>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▲3.3.2最高转速不低于38kHz；温度范围不小于-50℃ ~ +80℃；13C信噪比不低于 180:1（仪器自带标样）；13C分辨率不高于0.1ppm（仪器自带标样）</w:t>
      </w:r>
      <w:r/>
    </w:p>
    <w:p>
      <w:pPr>
        <w:ind w:firstLine="420"/>
        <w:jc w:val="left"/>
        <w:keepLines w:val="0"/>
        <w:keepNext w:val="0"/>
        <w:pageBreakBefore w:val="0"/>
        <w:spacing w:line="420" w:lineRule="exact"/>
        <w:widowControl w:val="off"/>
        <w:rPr>
          <w:rFonts w:hint="eastAsia" w:ascii="微软雅黑" w:hAnsi="微软雅黑" w:cs="微软雅黑"/>
          <w:bCs/>
          <w:szCs w:val="21"/>
          <w:highlight w:val="none"/>
        </w:rPr>
      </w:pPr>
      <w:r>
        <w:rPr>
          <w:rFonts w:hint="eastAsia" w:ascii="微软雅黑" w:hAnsi="微软雅黑" w:cs="微软雅黑"/>
          <w:bCs/>
          <w:szCs w:val="21"/>
          <w:highlight w:val="none"/>
        </w:rPr>
        <w:t xml:space="preserve">3.3.3配有氧化锆材质的样品管不少于15个</w:t>
      </w:r>
      <w:r/>
    </w:p>
    <w:p>
      <w:pPr>
        <w:pStyle w:val="1105"/>
        <w:keepLines w:val="0"/>
        <w:keepNext w:val="0"/>
        <w:pageBreakBefore w:val="0"/>
        <w:spacing w:line="420" w:lineRule="exact"/>
        <w:widowControl w:val="off"/>
        <w:rPr>
          <w:b w:val="0"/>
          <w:bCs w:val="0"/>
        </w:rPr>
      </w:pPr>
      <w:r>
        <w:rPr>
          <w:rFonts w:hint="eastAsia"/>
          <w:b w:val="0"/>
          <w:bCs w:val="0"/>
        </w:rPr>
        <w:t xml:space="preserve">▲3.4上述3.1，3.2和3.3中的三个固体探头所观测X杂核范围叠加后至少包括31P，7Li，11B，13C，15N，17O，23Na，25Mg，27Al，29Si，39K，37Cl，43Ca，79Br等</w:t>
      </w:r>
      <w:r/>
    </w:p>
    <w:p>
      <w:pPr>
        <w:ind w:firstLine="420"/>
        <w:jc w:val="left"/>
        <w:keepLines w:val="0"/>
        <w:keepNext w:val="0"/>
        <w:pageBreakBefore w:val="0"/>
        <w:spacing w:line="420" w:lineRule="exact"/>
        <w:widowControl w:val="off"/>
        <w:rPr>
          <w:rFonts w:ascii="微软雅黑" w:hAnsi="微软雅黑" w:cs="微软雅黑"/>
          <w:b/>
          <w:bCs/>
          <w:szCs w:val="21"/>
          <w:highlight w:val="none"/>
        </w:rPr>
      </w:pPr>
      <w:r>
        <w:rPr>
          <w:rFonts w:hint="eastAsia" w:ascii="微软雅黑" w:hAnsi="微软雅黑" w:cs="微软雅黑"/>
          <w:b/>
          <w:bCs/>
          <w:szCs w:val="21"/>
          <w:highlight w:val="none"/>
        </w:rPr>
        <w:t xml:space="preserve">3.</w:t>
      </w:r>
      <w:r>
        <w:rPr>
          <w:rFonts w:hint="eastAsia" w:ascii="微软雅黑" w:hAnsi="微软雅黑" w:cs="微软雅黑"/>
          <w:b/>
          <w:bCs/>
          <w:szCs w:val="21"/>
          <w:highlight w:val="none"/>
          <w:lang w:val="en-US" w:eastAsia="zh-CN"/>
        </w:rPr>
        <w:t xml:space="preserve">5</w:t>
      </w:r>
      <w:r>
        <w:rPr>
          <w:rFonts w:hint="eastAsia" w:ascii="微软雅黑" w:hAnsi="微软雅黑" w:cs="微软雅黑"/>
          <w:b/>
          <w:bCs/>
          <w:szCs w:val="21"/>
          <w:highlight w:val="none"/>
        </w:rPr>
        <w:t xml:space="preserve"> 600MHz 5mm三共振HFX液体探头</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highlight w:val="none"/>
        </w:rPr>
        <w:t xml:space="preserve">★3.</w:t>
      </w:r>
      <w:r>
        <w:rPr>
          <w:rFonts w:hint="eastAsia" w:ascii="微软雅黑" w:hAnsi="微软雅黑" w:cs="微软雅黑"/>
          <w:bCs/>
          <w:szCs w:val="21"/>
          <w:highlight w:val="none"/>
          <w:lang w:val="en-US" w:eastAsia="zh-CN"/>
        </w:rPr>
        <w:t xml:space="preserve">5</w:t>
      </w:r>
      <w:r>
        <w:rPr>
          <w:rFonts w:hint="eastAsia" w:ascii="微软雅黑" w:hAnsi="微软雅黑" w:cs="微软雅黑"/>
          <w:bCs/>
          <w:szCs w:val="21"/>
          <w:highlight w:val="none"/>
        </w:rPr>
        <w:t xml:space="preserve">.1检测核范围：1H；19F；</w:t>
      </w:r>
      <w:bookmarkStart w:id="437" w:name="_GoBack"/>
      <w:r/>
      <w:bookmarkEnd w:id="437"/>
      <w:r>
        <w:rPr>
          <w:rFonts w:hint="eastAsia" w:ascii="微软雅黑" w:hAnsi="微软雅黑" w:cs="微软雅黑"/>
          <w:bCs/>
          <w:szCs w:val="21"/>
          <w:highlight w:val="none"/>
        </w:rPr>
        <w:t xml:space="preserve">13C；杂核（共振频率包括但不限于31P - 15N之间的核，或</w:t>
      </w:r>
      <w:r>
        <w:rPr>
          <w:rFonts w:hint="eastAsia" w:ascii="微软雅黑" w:hAnsi="微软雅黑" w:cs="微软雅黑"/>
          <w:bCs/>
          <w:szCs w:val="21"/>
        </w:rPr>
        <w:t xml:space="preserve">31P-199Hg和17O-109Ag），测量碳谱或其他杂核时，可同时对氢、氟去耦</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w:t>
      </w:r>
      <w:r>
        <w:rPr>
          <w:rFonts w:hint="eastAsia" w:ascii="微软雅黑" w:hAnsi="微软雅黑" w:cs="微软雅黑"/>
          <w:bCs/>
          <w:szCs w:val="21"/>
          <w:lang w:val="en-US" w:eastAsia="zh-CN"/>
        </w:rPr>
        <w:t xml:space="preserve">5</w:t>
      </w:r>
      <w:r>
        <w:rPr>
          <w:rFonts w:hint="eastAsia" w:ascii="微软雅黑" w:hAnsi="微软雅黑" w:cs="微软雅黑"/>
          <w:bCs/>
          <w:szCs w:val="21"/>
        </w:rPr>
        <w:t xml:space="preserve">.2具有自屏蔽Z方向梯度场，探头变温范围不小于-100℃ ~ +150℃</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w:t>
      </w:r>
      <w:r>
        <w:rPr>
          <w:rFonts w:hint="eastAsia" w:ascii="微软雅黑" w:hAnsi="微软雅黑" w:cs="微软雅黑"/>
          <w:bCs/>
          <w:szCs w:val="21"/>
          <w:lang w:val="en-US" w:eastAsia="zh-CN"/>
        </w:rPr>
        <w:t xml:space="preserve">5</w:t>
      </w:r>
      <w:r>
        <w:rPr>
          <w:rFonts w:hint="eastAsia" w:ascii="微软雅黑" w:hAnsi="微软雅黑" w:cs="微软雅黑"/>
          <w:bCs/>
          <w:szCs w:val="21"/>
        </w:rPr>
        <w:t xml:space="preserve">.3配有转子不少于30个，适用温度-100℃ ~+150℃。</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4. 工作站</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4.1高性能工作站一台, Windows11操作系统，CPU配置不低于Intel® CoreTM Ultra 5，内存不低于32 GB DDR5，硬盘不低于4TB，显示器不小于24寸”。</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4.2工作站软件一套，标准实验方法脉冲菜单中包括一维测试脉冲序列、多维测试脉冲序列、弛豫时间测试脉冲序列、多核测试脉冲序列、扩散测试脉冲序列功能等。</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5. 其它配套附件</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5.1标样、专用工具等保证设备主机使用的成套性附件</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5.2无油空压机 一套，最高供气压力不低于0.75Mpa，最高压力下产气量不低于250升/min，噪音不高于80dB，储气罐容积不低于100L，干燥器露点不高于-40℃</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5.3安装所需的液氦、液氮</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5.4不间断电源 一套，功率不低于6KVA，延时不低于1小时。</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5.5液氮低温附件一套</w:t>
      </w:r>
      <w:bookmarkEnd w:id="292"/>
      <w:r/>
      <w:r/>
    </w:p>
    <w:p>
      <w:pPr>
        <w:pStyle w:val="1095"/>
        <w:ind w:firstLine="420"/>
        <w:spacing w:before="0" w:after="0" w:line="420" w:lineRule="exact"/>
        <w:rPr>
          <w:rFonts w:hint="eastAsia" w:ascii="微软雅黑" w:hAnsi="微软雅黑" w:eastAsia="微软雅黑" w:cs="微软雅黑"/>
          <w:b w:val="0"/>
          <w:bCs w:val="0"/>
          <w:sz w:val="21"/>
          <w:szCs w:val="21"/>
        </w:rPr>
      </w:pPr>
      <w:r/>
      <w:bookmarkStart w:id="293" w:name="_Toc6410"/>
      <w:r/>
      <w:bookmarkStart w:id="294" w:name="_Toc8664"/>
      <w:r/>
      <w:bookmarkStart w:id="295" w:name="_Toc23196"/>
      <w:r>
        <w:rPr>
          <w:rFonts w:hint="eastAsia" w:ascii="微软雅黑" w:hAnsi="微软雅黑" w:eastAsia="微软雅黑" w:cs="微软雅黑"/>
          <w:b w:val="0"/>
          <w:bCs w:val="0"/>
          <w:sz w:val="21"/>
          <w:szCs w:val="21"/>
        </w:rPr>
        <w:t xml:space="preserve">5.6液氮、液氦传输管一套，100L液氮罐一个</w:t>
      </w:r>
      <w:r/>
    </w:p>
    <w:p>
      <w:pPr>
        <w:pStyle w:val="1095"/>
        <w:spacing w:before="0" w:after="0" w:line="420" w:lineRule="exact"/>
        <w:rPr>
          <w:rFonts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四、商务要求</w:t>
      </w:r>
      <w:bookmarkEnd w:id="293"/>
      <w:r/>
      <w:bookmarkEnd w:id="294"/>
      <w:r/>
      <w:bookmarkEnd w:id="295"/>
      <w:r/>
      <w:r/>
    </w:p>
    <w:p>
      <w:pPr>
        <w:ind w:firstLine="420"/>
        <w:spacing w:line="420" w:lineRule="exact"/>
        <w:rPr>
          <w:rFonts w:ascii="微软雅黑" w:hAnsi="微软雅黑" w:cs="微软雅黑"/>
          <w:b/>
          <w:szCs w:val="21"/>
        </w:rPr>
      </w:pPr>
      <w:r>
        <w:rPr>
          <w:rFonts w:hint="eastAsia" w:ascii="微软雅黑" w:hAnsi="微软雅黑" w:cs="微软雅黑"/>
          <w:bCs/>
          <w:szCs w:val="21"/>
        </w:rPr>
        <w:t xml:space="preserve">★1、合同履行期限：自本合同签订之日起 365 个日历日内完成交付。</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2、交付地点：采购人指定地点。</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3、交付方式：将全部标的产品运输至甲方指定地点，安装、调试完成并经甲方验收合格的视为完成交付。</w:t>
      </w:r>
      <w:r>
        <w:rPr>
          <w:rFonts w:hint="eastAsia" w:ascii="微软雅黑" w:hAnsi="微软雅黑" w:cs="微软雅黑"/>
          <w:szCs w:val="21"/>
        </w:rPr>
        <w:t xml:space="preserve">中标供应商负责办理运输、装卸、安装调试等，费用由中标供应商承担。</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4、包装方式：乙方应按满足运输距离、防潮、防震、防锈和防破损装卸等要求包装标的产品。因包装不善引起的产品损失均由乙方承担。</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如投标产品为进口产品，投标（响应）报价必须为进口免税价。该价格为固定包干价，包含货物送达采购人指定地点的全部费用，除依法减免的关税和进口增值税外，还应包含但不限于：国际及国内运输、保险、进口代理服务费、清关杂费、仓储装卸、安装调试、培训、检测计量及验收合格前的一切相关费用。若投标产品原产于加征关税商品清单所列国家（地区），加征关税（包括惩罚性关税、反倾销税等）由投标人在投标报价中综合考虑，须包含在投标总价内。采购人除按合同支付货款外，不再支付任何其他费用。</w:t>
      </w:r>
      <w:r/>
    </w:p>
    <w:p>
      <w:pPr>
        <w:pStyle w:val="1105"/>
        <w:spacing w:line="420" w:lineRule="exact"/>
        <w:rPr>
          <w:rFonts w:ascii="微软雅黑" w:hAnsi="微软雅黑" w:cs="微软雅黑"/>
        </w:rPr>
      </w:pPr>
      <w:r>
        <w:rPr>
          <w:rFonts w:hint="eastAsia" w:ascii="微软雅黑" w:hAnsi="微软雅黑" w:cs="微软雅黑"/>
          <w:bCs/>
        </w:rPr>
        <w:t xml:space="preserve">★</w:t>
      </w:r>
      <w:r>
        <w:rPr>
          <w:rFonts w:hint="eastAsia" w:ascii="微软雅黑" w:hAnsi="微软雅黑" w:cs="微软雅黑"/>
        </w:rPr>
        <w:t xml:space="preserve">6、保险：设备在运输过程中的运输保险费用以及遭遇自然灾害和意外事故所造成的损失由供应商承担。</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★7、付款方式：</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国产设备：合同签订</w:t>
      </w:r>
      <w:r>
        <w:rPr>
          <w:rFonts w:ascii="微软雅黑" w:hAnsi="微软雅黑" w:cs="微软雅黑"/>
          <w:bCs/>
          <w:szCs w:val="21"/>
        </w:rPr>
        <w:t xml:space="preserve">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质量保证金后7个工作日内支付合同总价30%的尾款，并退还银行预付款保函。设备验收合格一年且无质量问题后，采购人向供应商无息退还履约保证金。</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进口设备：甲方委托的外贸代理公司按以下方式支付货款，</w:t>
      </w:r>
      <w:r>
        <w:rPr>
          <w:rFonts w:ascii="微软雅黑" w:hAnsi="微软雅黑" w:cs="微软雅黑"/>
          <w:bCs/>
          <w:szCs w:val="21"/>
        </w:rPr>
        <w:t xml:space="preserve">100%不可撤销即期信用证，90%凭装运单据兑付，10%尾款在设备稳定运行1-6</w:t>
      </w:r>
      <w:r>
        <w:rPr>
          <w:rFonts w:hint="eastAsia" w:ascii="微软雅黑" w:hAnsi="微软雅黑" w:cs="微软雅黑"/>
          <w:bCs/>
          <w:szCs w:val="21"/>
        </w:rPr>
        <w:t xml:space="preserve">个月后凭甲方出具的验收合格证明结清。如有特殊情况甲、乙双方另行协商。</w:t>
      </w:r>
      <w:r>
        <w:rPr>
          <w:rFonts w:ascii="微软雅黑" w:hAnsi="微软雅黑" w:cs="微软雅黑"/>
          <w:bCs/>
          <w:szCs w:val="21"/>
        </w:rPr>
        <w:t xml:space="preserve"> </w:t>
      </w:r>
      <w:r/>
    </w:p>
    <w:p>
      <w:pPr>
        <w:ind w:firstLine="420"/>
        <w:spacing w:line="420" w:lineRule="exact"/>
        <w:widowControl/>
        <w:rPr>
          <w:rFonts w:ascii="微软雅黑" w:hAnsi="微软雅黑" w:cs="微软雅黑"/>
          <w:szCs w:val="21"/>
        </w:rPr>
      </w:pPr>
      <w:r>
        <w:rPr>
          <w:rFonts w:hint="eastAsia" w:ascii="微软雅黑" w:hAnsi="微软雅黑" w:cs="微软雅黑"/>
          <w:bCs/>
          <w:szCs w:val="21"/>
        </w:rPr>
        <w:t xml:space="preserve">★8、质保期：自项目验收合格之日起不少于12个月。如投标产品由制造商（指产品生产制造商，或其负责销售、售后服务机构）负责标准售后服务的，应当在投标文件中予以明确说明。在质保期内中标供应商向采购人免费提供配件和上门维修服务，同时参照产品包装内生产厂商保修承诺，且以对采购人最优承诺为准。质保期过后服务要求提供终身上门维修服务。</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9、质量要求</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①应严格按照招标文件的要求和国家有关标准，提供全新的、未经使用的、技术先进的产品。</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②需有产品的出厂检测报告。</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③保证向采购人提供的货物或货物的任何一部分，免受第三方提出的侵犯其专利权、商标权或知识产权等的起诉，任何由此引起的法律责任和经济责任均由中标供应商承担。</w:t>
      </w:r>
      <w:r/>
    </w:p>
    <w:p>
      <w:pPr>
        <w:pStyle w:val="1105"/>
        <w:spacing w:line="420" w:lineRule="exact"/>
      </w:pPr>
      <w:r>
        <w:rPr>
          <w:rFonts w:hint="eastAsia" w:ascii="微软雅黑" w:hAnsi="微软雅黑" w:cs="微软雅黑"/>
        </w:rPr>
        <w:t xml:space="preserve">④</w:t>
      </w:r>
      <w:r>
        <w:rPr>
          <w:rFonts w:hint="eastAsia"/>
        </w:rPr>
        <w:t xml:space="preserve">所投产品必须是成熟、稳定的产品。投标人确保产品技术成熟、性能可靠，并能提供完善的售后服务和技术支持。</w:t>
      </w:r>
      <w:r/>
    </w:p>
    <w:p>
      <w:pPr>
        <w:ind w:firstLine="420"/>
        <w:spacing w:line="420" w:lineRule="exact"/>
        <w:rPr>
          <w:rFonts w:ascii="微软雅黑" w:hAnsi="微软雅黑" w:cs="微软雅黑"/>
          <w:bCs/>
          <w:szCs w:val="21"/>
        </w:rPr>
      </w:pPr>
      <w:r>
        <w:rPr>
          <w:rFonts w:ascii="微软雅黑" w:hAnsi="微软雅黑" w:cs="微软雅黑"/>
          <w:bCs/>
          <w:szCs w:val="21"/>
        </w:rPr>
        <w:t xml:space="preserve">10</w:t>
      </w:r>
      <w:r>
        <w:rPr>
          <w:rFonts w:hint="eastAsia" w:ascii="微软雅黑" w:hAnsi="微软雅黑" w:cs="微软雅黑"/>
          <w:bCs/>
          <w:szCs w:val="21"/>
        </w:rPr>
        <w:t xml:space="preserve">、服务与响应能力：中标供应商必须具备相应的维护保养、后续跟进服务能力，能提供完善的售后服务（包括技术人员、响应时间及备品、备件方面等）；中标供应商在质量保证期内应当为采购人提供以下技术支持和服务：</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①正常使用范围内造成的损坏均免费维修，出现质量缺陷问题或同一货物在质保期内出现三次质量问题，中标供应商须免费予以更换。</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②电话咨询</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中标供应商应当为采购人提供技术援助电话，解答采购人在使用中遇到的问题，及时为采购人提出解决问题的建议。</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③现场响应</w:t>
      </w:r>
      <w:r/>
    </w:p>
    <w:p>
      <w:pPr>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自接到委托人报修时起，24小时内响应，并提出解决方案。48小时内到达委托人现场并解决问题，如不能完成维修工作的，必须提供替代产品以保证项目的正常进行；质保期内配件及维护免费。</w:t>
      </w:r>
      <w:r/>
    </w:p>
    <w:p>
      <w:pPr>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1</w:t>
      </w:r>
      <w:r>
        <w:rPr>
          <w:rFonts w:ascii="微软雅黑" w:hAnsi="微软雅黑" w:cs="微软雅黑"/>
          <w:bCs/>
          <w:szCs w:val="21"/>
        </w:rPr>
        <w:t xml:space="preserve">1</w:t>
      </w:r>
      <w:r>
        <w:rPr>
          <w:rFonts w:hint="eastAsia" w:ascii="微软雅黑" w:hAnsi="微软雅黑" w:cs="微软雅黑"/>
          <w:bCs/>
          <w:szCs w:val="21"/>
        </w:rPr>
        <w:t xml:space="preserve">、培训要求：</w:t>
      </w:r>
      <w:r/>
    </w:p>
    <w:p>
      <w:pPr>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中标供应商需免费提供原厂技术人员对采购人的操作技术培训，现场培训时间不少于1天，并免费提供相关技术资料。</w:t>
      </w:r>
      <w:r/>
    </w:p>
    <w:p>
      <w:pPr>
        <w:ind w:firstLine="420"/>
        <w:spacing w:line="420" w:lineRule="exact"/>
        <w:widowControl/>
        <w:rPr>
          <w:rFonts w:ascii="宋体" w:hAnsi="宋体" w:eastAsia="宋体" w:cs="宋体"/>
          <w:b/>
          <w:bCs/>
          <w:sz w:val="44"/>
          <w:szCs w:val="44"/>
        </w:rPr>
      </w:pPr>
      <w:r>
        <w:rPr>
          <w:rFonts w:hint="eastAsia" w:ascii="微软雅黑" w:hAnsi="微软雅黑" w:cs="微软雅黑"/>
          <w:bCs/>
          <w:szCs w:val="21"/>
        </w:rPr>
        <w:t xml:space="preserve">培训内容包括但不限于工作原理、设备组成、安全事项、设备使用、软件操作、维护保养，并进行实操培训，确保采购人能够独立熟练使用。</w:t>
      </w:r>
      <w:bookmarkEnd w:id="283"/>
      <w:r/>
      <w:bookmarkStart w:id="296" w:name="_Toc8716"/>
      <w:r/>
      <w:bookmarkStart w:id="297" w:name="_Toc11923"/>
      <w:r/>
      <w:bookmarkStart w:id="298" w:name="_Toc8461"/>
      <w:r/>
      <w:bookmarkStart w:id="299" w:name="_Toc23324"/>
      <w:r/>
      <w:bookmarkStart w:id="300" w:name="_Toc20443"/>
      <w:r/>
      <w:bookmarkStart w:id="301" w:name="_Toc24968"/>
      <w:r/>
      <w:bookmarkStart w:id="302" w:name="_Toc19272"/>
      <w:r/>
      <w:bookmarkStart w:id="303" w:name="_Toc15846"/>
      <w:r/>
      <w:bookmarkStart w:id="304" w:name="_Toc26522"/>
      <w:r/>
      <w:bookmarkEnd w:id="296"/>
      <w:r/>
      <w:bookmarkEnd w:id="297"/>
      <w:r/>
      <w:bookmarkEnd w:id="298"/>
      <w:r/>
      <w:bookmarkEnd w:id="299"/>
      <w:r/>
      <w:bookmarkEnd w:id="300"/>
      <w:r/>
      <w:bookmarkEnd w:id="301"/>
      <w:r/>
      <w:bookmarkEnd w:id="302"/>
      <w:r/>
      <w:bookmarkEnd w:id="303"/>
      <w:r/>
      <w:bookmarkEnd w:id="304"/>
      <w:r/>
      <w:r/>
    </w:p>
    <w:p>
      <w:pPr>
        <w:spacing w:line="420" w:lineRule="exact"/>
        <w:widowControl/>
        <w:rPr>
          <w:rFonts w:ascii="微软雅黑" w:hAnsi="微软雅黑" w:cs="微软雅黑"/>
          <w:b/>
          <w:bCs/>
          <w:szCs w:val="21"/>
        </w:rPr>
      </w:pPr>
      <w:r>
        <w:rPr>
          <w:rFonts w:hint="eastAsia" w:ascii="微软雅黑" w:hAnsi="微软雅黑" w:cs="微软雅黑"/>
          <w:b/>
          <w:bCs/>
          <w:szCs w:val="21"/>
        </w:rPr>
        <w:t xml:space="preserve">五、采购标的的验收标准及要求</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标的货物运输及储存符合行业要求，外包装完好无损，品牌、型号、质量性能符合合同约定、技术文件要求和国家及行业标准。</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验收方式</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1、货物到达现场后，中标供应商应在采购人在场情况下当面开箱，共同清点、检查外观，作出开箱记录，双方签字确认。</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2、中标供应商应保证货物到达采购人所在地完好无损，如有缺漏、损坏，由中标供应商负责调换、补齐或赔偿。</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3、中标供应商应提供完备的技术资料、原厂真货证明、装箱单和合格证等。</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4、设备技术参数与项目合同一致，性能指标达到规定的标准。货物技术资料、原厂真货证明、装箱单、合格证等资料齐全。在规定时间内完成交货并由双方组织验收小组进行验收，并经验收小组签字确认。采购人有权邀请第三方专家或检测机构参与验收，相关费用由供应商承担。</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5、如检验不合格或不符合质量要求，中标供应商除无条件退货、返工外，还应承担采购人的一切损失。</w:t>
      </w:r>
      <w:r/>
    </w:p>
    <w:p>
      <w:pPr>
        <w:spacing w:line="420" w:lineRule="exact"/>
        <w:widowControl/>
        <w:rPr>
          <w:rFonts w:ascii="微软雅黑" w:hAnsi="微软雅黑" w:cs="微软雅黑"/>
          <w:b/>
          <w:bCs/>
          <w:szCs w:val="21"/>
        </w:rPr>
      </w:pPr>
      <w:r>
        <w:rPr>
          <w:rFonts w:hint="eastAsia" w:ascii="微软雅黑" w:hAnsi="微软雅黑" w:cs="微软雅黑"/>
          <w:b/>
          <w:bCs/>
          <w:szCs w:val="21"/>
        </w:rPr>
        <w:t xml:space="preserve">六、采购标的需实现的功能及标准、规范</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采购标的需执行国家标准、行业标准、地方标准或者其他标准、规范。</w:t>
      </w:r>
      <w:r/>
    </w:p>
    <w:p>
      <w:pPr>
        <w:ind w:firstLine="482"/>
        <w:spacing w:line="360" w:lineRule="auto"/>
        <w:rPr>
          <w:b/>
          <w:bCs/>
          <w:sz w:val="24"/>
        </w:rPr>
      </w:pPr>
      <w:r>
        <w:rPr>
          <w:b/>
          <w:bCs/>
          <w:sz w:val="24"/>
        </w:rPr>
      </w:r>
      <w:r/>
    </w:p>
    <w:p>
      <w:pPr>
        <w:rPr>
          <w:rFonts w:ascii="宋体" w:hAnsi="宋体" w:eastAsia="宋体" w:cs="宋体"/>
          <w:b/>
          <w:bCs/>
          <w:sz w:val="44"/>
          <w:szCs w:val="44"/>
        </w:rPr>
      </w:pPr>
      <w:r>
        <w:rPr>
          <w:rFonts w:hint="eastAsia" w:ascii="宋体" w:hAnsi="宋体" w:eastAsia="宋体" w:cs="宋体"/>
          <w:b/>
          <w:bCs/>
          <w:sz w:val="44"/>
          <w:szCs w:val="44"/>
        </w:rPr>
        <w:br w:type="page" w:clear="all"/>
      </w:r>
      <w:r/>
    </w:p>
    <w:p>
      <w:pPr>
        <w:pStyle w:val="1094"/>
        <w:jc w:val="center"/>
        <w:spacing w:line="420" w:lineRule="exact"/>
        <w:rPr>
          <w:rFonts w:ascii="微软雅黑" w:hAnsi="微软雅黑" w:eastAsia="微软雅黑" w:cs="微软雅黑"/>
          <w:b/>
          <w:bCs/>
          <w:sz w:val="21"/>
          <w:szCs w:val="21"/>
        </w:rPr>
      </w:pPr>
      <w:r/>
      <w:bookmarkStart w:id="305" w:name="_Toc14225"/>
      <w:r/>
      <w:bookmarkStart w:id="306" w:name="_Toc13186"/>
      <w:r/>
      <w:bookmarkStart w:id="307" w:name="_Toc15482"/>
      <w:r>
        <w:rPr>
          <w:rFonts w:hint="eastAsia" w:ascii="微软雅黑" w:hAnsi="微软雅黑" w:eastAsia="微软雅黑" w:cs="微软雅黑"/>
          <w:b/>
          <w:bCs/>
          <w:sz w:val="32"/>
          <w:szCs w:val="32"/>
        </w:rPr>
        <w:t xml:space="preserve">第五章  合同条款及格式</w:t>
      </w:r>
      <w:bookmarkEnd w:id="305"/>
      <w:r/>
      <w:bookmarkEnd w:id="306"/>
      <w:r/>
      <w:bookmarkEnd w:id="307"/>
      <w:r/>
      <w:r/>
    </w:p>
    <w:p>
      <w:pPr>
        <w:ind w:firstLine="482"/>
        <w:spacing w:line="360" w:lineRule="auto"/>
        <w:rPr>
          <w:rFonts w:ascii="微软雅黑" w:hAnsi="微软雅黑" w:cs="微软雅黑"/>
          <w:b/>
          <w:szCs w:val="21"/>
        </w:rPr>
      </w:pPr>
      <w:r>
        <w:rPr>
          <w:rFonts w:hint="eastAsia" w:ascii="微软雅黑" w:hAnsi="微软雅黑" w:cs="微软雅黑"/>
          <w:b/>
          <w:bCs/>
          <w:szCs w:val="21"/>
        </w:rPr>
        <w:t xml:space="preserve">（以下为中标后签定本项目合同的通用条款，中标人不得提出实质性的修改，关于专用条款将由采购人与中标人结合本项目具体情况协商后签订）</w:t>
      </w:r>
      <w:r/>
    </w:p>
    <w:p>
      <w:pPr>
        <w:ind w:left="330"/>
        <w:jc w:val="center"/>
        <w:spacing w:line="360" w:lineRule="auto"/>
        <w:rPr>
          <w:rFonts w:ascii="微软雅黑" w:hAnsi="微软雅黑" w:cs="微软雅黑"/>
          <w:sz w:val="24"/>
          <w:szCs w:val="24"/>
        </w:rPr>
      </w:pPr>
      <w:r>
        <w:rPr>
          <w:rFonts w:hint="eastAsia" w:ascii="微软雅黑" w:hAnsi="微软雅黑" w:cs="微软雅黑"/>
          <w:sz w:val="24"/>
          <w:szCs w:val="24"/>
        </w:rPr>
        <w:t xml:space="preserve">南京林业大学仪器设备（国产）采购合同</w:t>
      </w:r>
      <w:r/>
    </w:p>
    <w:p>
      <w:pPr>
        <w:spacing w:line="360" w:lineRule="auto"/>
        <w:rPr>
          <w:rFonts w:ascii="微软雅黑" w:hAnsi="微软雅黑" w:cs="微软雅黑"/>
          <w:bCs/>
          <w:szCs w:val="21"/>
          <w:u w:val="single"/>
        </w:rPr>
      </w:pPr>
      <w:r>
        <w:rPr>
          <w:rFonts w:hint="eastAsia" w:ascii="微软雅黑" w:hAnsi="微软雅黑" w:cs="微软雅黑"/>
          <w:bCs/>
          <w:szCs w:val="21"/>
        </w:rPr>
        <w:t xml:space="preserve">招标编号：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采购代理机构：</w:t>
      </w:r>
      <w:r>
        <w:rPr>
          <w:rFonts w:hint="eastAsia" w:ascii="微软雅黑" w:hAnsi="微软雅黑" w:cs="微软雅黑"/>
          <w:bCs/>
          <w:szCs w:val="21"/>
          <w:u w:val="single"/>
        </w:rPr>
        <w:t xml:space="preserve">江苏省华采招标有限公司</w:t>
      </w:r>
      <w:r/>
    </w:p>
    <w:p>
      <w:pPr>
        <w:spacing w:line="360" w:lineRule="auto"/>
        <w:rPr>
          <w:rFonts w:ascii="微软雅黑" w:hAnsi="微软雅黑" w:cs="微软雅黑"/>
          <w:bCs/>
          <w:szCs w:val="21"/>
        </w:rPr>
      </w:pPr>
      <w:r>
        <w:rPr>
          <w:rFonts w:hint="eastAsia" w:ascii="微软雅黑" w:hAnsi="微软雅黑" w:cs="微软雅黑"/>
          <w:bCs/>
          <w:szCs w:val="21"/>
        </w:rPr>
        <w:t xml:space="preserve">甲方：</w:t>
      </w:r>
      <w:r>
        <w:rPr>
          <w:rFonts w:hint="eastAsia" w:ascii="微软雅黑" w:hAnsi="微软雅黑" w:cs="微软雅黑"/>
          <w:bCs/>
          <w:szCs w:val="21"/>
          <w:u w:val="single"/>
        </w:rPr>
        <w:t xml:space="preserve"> 南京林业大学 </w:t>
      </w:r>
      <w:r>
        <w:rPr>
          <w:rFonts w:hint="eastAsia" w:ascii="微软雅黑" w:hAnsi="微软雅黑" w:cs="微软雅黑"/>
          <w:bCs/>
          <w:szCs w:val="21"/>
        </w:rPr>
        <w:t xml:space="preserve">                   签订地点：南京林业大学</w:t>
      </w:r>
      <w:r/>
    </w:p>
    <w:p>
      <w:pPr>
        <w:spacing w:line="360" w:lineRule="auto"/>
        <w:rPr>
          <w:rFonts w:ascii="微软雅黑" w:hAnsi="微软雅黑" w:cs="微软雅黑"/>
          <w:bCs/>
          <w:szCs w:val="21"/>
        </w:rPr>
      </w:pPr>
      <w:r>
        <w:rPr>
          <w:rFonts w:hint="eastAsia" w:ascii="微软雅黑" w:hAnsi="微软雅黑" w:cs="微软雅黑"/>
          <w:bCs/>
          <w:szCs w:val="21"/>
        </w:rPr>
        <w:t xml:space="preserve">乙方：</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用户：</w:t>
      </w:r>
      <w:r>
        <w:rPr>
          <w:rFonts w:hint="eastAsia" w:ascii="微软雅黑" w:hAnsi="微软雅黑" w:cs="微软雅黑"/>
          <w:bCs/>
          <w:szCs w:val="21"/>
          <w:u w:val="single"/>
        </w:rPr>
        <w:t xml:space="preserve">     院/</w:t>
      </w:r>
      <w:r>
        <w:rPr>
          <w:rFonts w:hint="eastAsia" w:ascii="微软雅黑" w:hAnsi="微软雅黑" w:cs="微软雅黑"/>
          <w:bCs/>
          <w:szCs w:val="21"/>
        </w:rPr>
        <w:t xml:space="preserve">处</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老师</w:t>
      </w:r>
      <w:r/>
    </w:p>
    <w:p>
      <w:pPr>
        <w:spacing w:line="360" w:lineRule="auto"/>
        <w:rPr>
          <w:rFonts w:ascii="微软雅黑" w:hAnsi="微软雅黑" w:cs="微软雅黑"/>
          <w:bCs/>
          <w:szCs w:val="21"/>
        </w:rPr>
      </w:pPr>
      <w:r>
        <w:rPr>
          <w:rFonts w:ascii="微软雅黑" w:hAnsi="微软雅黑" w:cs="微软雅黑"/>
          <w:bCs/>
          <w:szCs w:val="21"/>
        </w:rPr>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受甲方委托，采购代理机构于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月</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日组织了南京林业大学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的采购及相关服务的国内采购招标，经评委认真严格评审，确定乙方为中标单位。根据有关法律法规，经甲乙双方友好协商，为保护各自合法权益，现就该设备采购及售后服务等事宜签订本协议。</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第一条、</w:t>
      </w:r>
      <w:r>
        <w:rPr>
          <w:rFonts w:hint="eastAsia" w:ascii="微软雅黑" w:hAnsi="微软雅黑" w:cs="微软雅黑"/>
          <w:b/>
          <w:szCs w:val="21"/>
        </w:rPr>
        <w:tab/>
      </w:r>
      <w:r>
        <w:rPr>
          <w:rFonts w:hint="eastAsia" w:ascii="微软雅黑" w:hAnsi="微软雅黑" w:cs="微软雅黑"/>
          <w:b/>
          <w:szCs w:val="21"/>
        </w:rPr>
        <w:t xml:space="preserve">标的设备及价款</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1、甲方向乙方采购及乙方向甲方出售和供应的设备（包括设备的附属、配件、产品说明等资料的整套设备，下称“标的设备”）及价款如下：</w:t>
      </w:r>
      <w:r/>
    </w:p>
    <w:tbl>
      <w:tblPr>
        <w:tblStyle w:val="1104"/>
        <w:tblW w:w="10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323"/>
        <w:gridCol w:w="1374"/>
        <w:gridCol w:w="1262"/>
        <w:gridCol w:w="1450"/>
        <w:gridCol w:w="1450"/>
        <w:gridCol w:w="1651"/>
      </w:tblGrid>
      <w:tr>
        <w:trPr>
          <w:jc w:val="center"/>
          <w:trHeight w:val="1078"/>
        </w:trPr>
        <w:tc>
          <w:tcPr>
            <w:tcW w:w="841"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序号</w:t>
            </w:r>
            <w:r/>
          </w:p>
        </w:tc>
        <w:tc>
          <w:tcPr>
            <w:tcW w:w="2323"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设备名称</w:t>
            </w:r>
            <w:r/>
          </w:p>
        </w:tc>
        <w:tc>
          <w:tcPr>
            <w:tcW w:w="1374"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型号/规格</w:t>
            </w:r>
            <w:r/>
          </w:p>
        </w:tc>
        <w:tc>
          <w:tcPr>
            <w:tcW w:w="1262"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数量/单位</w:t>
            </w:r>
            <w:r/>
          </w:p>
        </w:tc>
        <w:tc>
          <w:tcPr>
            <w:tcW w:w="1450"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单价（元）</w:t>
            </w:r>
            <w:r/>
          </w:p>
        </w:tc>
        <w:tc>
          <w:tcPr>
            <w:tcW w:w="1450"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总价（元）</w:t>
            </w:r>
            <w:r/>
          </w:p>
        </w:tc>
        <w:tc>
          <w:tcPr>
            <w:tcW w:w="1651"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品牌/</w:t>
            </w:r>
            <w:r/>
          </w:p>
          <w:p>
            <w:pPr>
              <w:jc w:val="center"/>
              <w:spacing w:line="360" w:lineRule="auto"/>
              <w:rPr>
                <w:rFonts w:ascii="微软雅黑" w:hAnsi="微软雅黑" w:cs="微软雅黑"/>
                <w:szCs w:val="21"/>
              </w:rPr>
            </w:pPr>
            <w:r>
              <w:rPr>
                <w:rFonts w:hint="eastAsia" w:ascii="微软雅黑" w:hAnsi="微软雅黑" w:cs="微软雅黑"/>
                <w:szCs w:val="21"/>
              </w:rPr>
              <w:t xml:space="preserve">生产厂家</w:t>
            </w:r>
            <w:r/>
          </w:p>
        </w:tc>
      </w:tr>
      <w:tr>
        <w:trPr>
          <w:jc w:val="center"/>
          <w:trHeight w:val="1066"/>
        </w:trPr>
        <w:tc>
          <w:tcPr>
            <w:tcW w:w="841"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1</w:t>
            </w:r>
            <w:r/>
          </w:p>
        </w:tc>
        <w:tc>
          <w:tcPr>
            <w:tcW w:w="2323"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374"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262"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450"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450"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651"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bl>
    <w:p>
      <w:pPr>
        <w:ind w:firstLine="420"/>
        <w:spacing w:line="360" w:lineRule="auto"/>
        <w:rPr>
          <w:rFonts w:ascii="微软雅黑" w:hAnsi="微软雅黑" w:cs="微软雅黑"/>
          <w:b/>
          <w:bCs/>
          <w:szCs w:val="21"/>
        </w:rPr>
      </w:pPr>
      <w:r>
        <w:rPr>
          <w:rFonts w:hint="eastAsia" w:ascii="微软雅黑" w:hAnsi="微软雅黑" w:cs="微软雅黑"/>
          <w:bCs/>
          <w:szCs w:val="21"/>
        </w:rPr>
        <w:t xml:space="preserve">2、标的设备及其</w:t>
      </w:r>
      <w:bookmarkStart w:id="308" w:name="_Hlk61270212"/>
      <w:r>
        <w:rPr>
          <w:rFonts w:hint="eastAsia" w:ascii="微软雅黑" w:hAnsi="微软雅黑" w:cs="微软雅黑"/>
          <w:bCs/>
          <w:szCs w:val="21"/>
        </w:rPr>
        <w:t xml:space="preserve">详细配置及技术指标</w:t>
      </w:r>
      <w:bookmarkEnd w:id="308"/>
      <w:r>
        <w:rPr>
          <w:rFonts w:hint="eastAsia" w:ascii="微软雅黑" w:hAnsi="微软雅黑" w:cs="微软雅黑"/>
          <w:bCs/>
          <w:szCs w:val="21"/>
        </w:rPr>
        <w:t xml:space="preserve">按附件规定及招投标文件的规定，乙方交付标的设备时应同时交付包括产品使用、注意事项、日常维护等内容的产品说明书、出厂合格证或检测合格证明及证明生产厂商的资料。</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3、合同总金额：</w:t>
      </w:r>
      <w:r>
        <w:rPr>
          <w:rFonts w:hint="eastAsia" w:ascii="微软雅黑" w:hAnsi="微软雅黑" w:cs="微软雅黑"/>
          <w:szCs w:val="21"/>
        </w:rPr>
        <w:t xml:space="preserve">人民币</w:t>
      </w:r>
      <w:r>
        <w:rPr>
          <w:rFonts w:hint="eastAsia" w:ascii="微软雅黑" w:hAnsi="微软雅黑" w:cs="微软雅黑"/>
          <w:szCs w:val="21"/>
          <w:u w:val="single"/>
        </w:rPr>
        <w:t xml:space="preserve">      </w:t>
      </w:r>
      <w:r>
        <w:rPr>
          <w:rFonts w:hint="eastAsia" w:ascii="微软雅黑" w:hAnsi="微软雅黑" w:cs="微软雅黑"/>
          <w:szCs w:val="21"/>
        </w:rPr>
        <w:t xml:space="preserve">元（大写：</w:t>
      </w:r>
      <w:r>
        <w:rPr>
          <w:rFonts w:hint="eastAsia" w:ascii="微软雅黑" w:hAnsi="微软雅黑" w:cs="微软雅黑"/>
          <w:szCs w:val="21"/>
          <w:u w:val="single"/>
        </w:rPr>
        <w:t xml:space="preserve">     万      仟    佰    元整）</w:t>
      </w:r>
      <w:r>
        <w:rPr>
          <w:rFonts w:hint="eastAsia" w:ascii="微软雅黑" w:hAnsi="微软雅黑" w:cs="微软雅黑"/>
          <w:bCs/>
          <w:szCs w:val="21"/>
        </w:rPr>
        <w:t xml:space="preserve">为包干价，已包括设备本身和随机附件、包装、运输、装卸、安装、调试和培训、质保，保险，以及验收鉴定费等全部费用，甲方无需就本合同及本项目向乙方额外支付其他任何费用、款项。</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第二条、交货时间和地点</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1、乙方应在本合同签订之日起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天内将标的设备运抵并交付至南京市玄武区龙蟠路159号南京林业大学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楼</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实验室，由双方按本合同约定办理收货及初步验收手续。甲方指定收货人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2、乙方完成所有标的设备的安装、调试并经甲方最终验收合格的，视为完成交付。</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第三条、付款方式</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甲乙双方同意并确认甲方按以下约定向乙方支付标的设备货款（合同总金额）：标的设备经甲方最终验收合格后，甲方凭乙方签字盖章的验收报告及增值税专用发票将标的设备货款（合同总金额的 %）支付给乙方，余款待验收合格</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年后乙方无违约行为且设备运行没问题时一次性结清。如有特殊情况甲、乙双方另行协商。</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第四条、标的设备的交付、安装调试及验收</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1、乙方应提前</w:t>
      </w:r>
      <w:r>
        <w:rPr>
          <w:rFonts w:hint="eastAsia" w:ascii="微软雅黑" w:hAnsi="微软雅黑" w:cs="微软雅黑"/>
          <w:bCs/>
          <w:szCs w:val="21"/>
          <w:u w:val="single"/>
        </w:rPr>
        <w:t xml:space="preserve"> 5 </w:t>
      </w:r>
      <w:r>
        <w:rPr>
          <w:rFonts w:hint="eastAsia" w:ascii="微软雅黑" w:hAnsi="微软雅黑" w:cs="微软雅黑"/>
          <w:bCs/>
          <w:szCs w:val="21"/>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验收过程中，对于专业性的问题，甲乙双方可以协商指定第三方机构进行检测，协商不成的，由甲方单独指定第三方检测机构；检测合格的，检测费及相关费用由甲方承担，检测不合格的，检测费及相关费用由乙方承担。</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第五条、质量保证</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1、乙方所提供的标的设备必须符合行业标准及国家有关标准（以较高者为准），并提供合格完整的资料（如制造厂商签发的质量证明书等）；标的设备的</w:t>
      </w:r>
      <w:bookmarkStart w:id="309" w:name="_Hlk61254286"/>
      <w:r>
        <w:rPr>
          <w:rFonts w:hint="eastAsia" w:ascii="微软雅黑" w:hAnsi="微软雅黑" w:cs="微软雅黑"/>
          <w:bCs/>
          <w:szCs w:val="21"/>
        </w:rPr>
        <w:t xml:space="preserve">详细配置、技术指标及服务要求按附件</w:t>
      </w:r>
      <w:bookmarkEnd w:id="309"/>
      <w:r>
        <w:rPr>
          <w:rFonts w:hint="eastAsia" w:ascii="微软雅黑" w:hAnsi="微软雅黑" w:cs="微软雅黑"/>
          <w:bCs/>
          <w:szCs w:val="21"/>
        </w:rPr>
        <w:t xml:space="preserve">。</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2、乙方保证提供的设备是全新、未使用过的原装合格正品，并保证设备在正常使用和保养条件下，在其使用寿命周期内具有令甲方满意的性能。</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第六条、售后服务</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1、乙方应按照本合同约定履行质保服务责任和义务，服务内容详见附件。</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2、标的设备免费质保期为自标的设备验收合格之日（即双方签字确认之日）起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个月。</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3、质保期内由于设备质量、安装调试原因或正常使用产生任何故障，乙方应按约定维修，维修所产生的全部费用（包括更换零配件的费用）均由乙方承担。</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4、乙方在接到甲方故障通知后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小时内作出响应，</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小时之内上门服务，维修服务的联系人为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，联系电话是</w:t>
      </w:r>
      <w:r>
        <w:rPr>
          <w:rFonts w:hint="eastAsia" w:ascii="微软雅黑" w:hAnsi="微软雅黑" w:cs="微软雅黑"/>
          <w:bCs/>
          <w:szCs w:val="21"/>
          <w:u w:val="single"/>
        </w:rPr>
        <w:t xml:space="preserve">    </w:t>
      </w:r>
      <w:r>
        <w:rPr>
          <w:rFonts w:hint="eastAsia" w:ascii="微软雅黑" w:hAnsi="微软雅黑" w:cs="微软雅黑"/>
          <w:bCs/>
          <w:szCs w:val="21"/>
        </w:rPr>
        <w:t xml:space="preserve">。</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第七条、违约责任</w:t>
      </w:r>
      <w:r/>
    </w:p>
    <w:p>
      <w:pPr>
        <w:ind w:firstLine="420"/>
        <w:spacing w:line="360" w:lineRule="auto"/>
        <w:rPr>
          <w:rFonts w:ascii="微软雅黑" w:hAnsi="微软雅黑" w:cs="微软雅黑"/>
          <w:bCs/>
          <w:szCs w:val="21"/>
        </w:rPr>
      </w:pPr>
      <w:r/>
      <w:bookmarkStart w:id="310" w:name="_Hlk61345153"/>
      <w:r>
        <w:rPr>
          <w:rFonts w:hint="eastAsia" w:ascii="微软雅黑" w:hAnsi="微软雅黑" w:cs="微软雅黑"/>
          <w:bCs/>
          <w:szCs w:val="21"/>
        </w:rPr>
        <w:t xml:space="preserve">1、</w:t>
      </w:r>
      <w:bookmarkEnd w:id="310"/>
      <w:r>
        <w:rPr>
          <w:rFonts w:hint="eastAsia" w:ascii="微软雅黑" w:hAnsi="微软雅黑" w:cs="微软雅黑"/>
          <w:bCs/>
          <w:szCs w:val="21"/>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p>
    <w:p>
      <w:pPr>
        <w:ind w:firstLine="420"/>
        <w:spacing w:line="360" w:lineRule="auto"/>
        <w:rPr>
          <w:rFonts w:ascii="微软雅黑" w:hAnsi="微软雅黑" w:cs="微软雅黑"/>
          <w:bCs/>
          <w:szCs w:val="21"/>
        </w:rPr>
      </w:pPr>
      <w:r>
        <w:rPr>
          <w:rFonts w:hint="eastAsia" w:ascii="微软雅黑" w:hAnsi="微软雅黑" w:cs="微软雅黑"/>
          <w:b/>
          <w:szCs w:val="21"/>
        </w:rPr>
        <w:t xml:space="preserve">第八条、纠纷处理</w:t>
      </w:r>
      <w:r/>
    </w:p>
    <w:p>
      <w:pPr>
        <w:spacing w:line="360" w:lineRule="auto"/>
        <w:tabs>
          <w:tab w:val="left" w:pos="7732" w:leader="none"/>
        </w:tabs>
        <w:rPr>
          <w:rFonts w:ascii="微软雅黑" w:hAnsi="微软雅黑" w:cs="微软雅黑"/>
          <w:bCs/>
          <w:szCs w:val="21"/>
        </w:rPr>
        <w:sectPr>
          <w:headerReference w:type="default" r:id="rId11"/>
          <w:footerReference w:type="default" r:id="rId16"/>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因本合同引起的或与本合同有关的任何争议，由甲乙双方根据《中华人民共和国民法典》及相关法律法规协商解决，协商不成的，应提交甲方所在地人民法院通过诉讼解决。</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第九条、协议生效及其他</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本合同附件、招投标文件及乙方投标时出具的承诺函、保证函均为本合同的有效组成部分，与本合同具有同等法律效力。本合同一式六份，甲方五份，乙方一份，经甲方、乙方授权代表签字并盖章后生效。</w:t>
      </w:r>
      <w:r/>
    </w:p>
    <w:p>
      <w:pPr>
        <w:ind w:firstLine="420"/>
        <w:spacing w:line="360" w:lineRule="auto"/>
        <w:rPr>
          <w:rFonts w:ascii="微软雅黑" w:hAnsi="微软雅黑" w:cs="微软雅黑"/>
          <w:bCs/>
          <w:szCs w:val="21"/>
        </w:rPr>
      </w:pPr>
      <w:r>
        <w:rPr>
          <w:rFonts w:ascii="微软雅黑" w:hAnsi="微软雅黑" w:cs="微软雅黑"/>
          <w:bCs/>
          <w:szCs w:val="21"/>
        </w:rPr>
      </w:r>
      <w:r/>
    </w:p>
    <w:tbl>
      <w:tblPr>
        <w:tblStyle w:val="1104"/>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甲方(加盖公章)：</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乙方(加盖公章)：</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u w:val="single"/>
              </w:rPr>
              <w:tab/>
            </w:r>
            <w:r>
              <w:rPr>
                <w:rFonts w:hint="eastAsia" w:ascii="微软雅黑" w:hAnsi="微软雅黑" w:cs="微软雅黑"/>
                <w:bCs/>
                <w:szCs w:val="21"/>
                <w:u w:val="single"/>
              </w:rPr>
              <w:t xml:space="preserve">南京林业大学</w:t>
            </w:r>
            <w:r>
              <w:rPr>
                <w:rFonts w:hint="eastAsia" w:ascii="微软雅黑" w:hAnsi="微软雅黑" w:cs="微软雅黑"/>
                <w:bCs/>
                <w:szCs w:val="21"/>
                <w:u w:val="single"/>
              </w:rPr>
              <w:tab/>
            </w:r>
            <w:r>
              <w:rPr>
                <w:rFonts w:hint="eastAsia" w:ascii="微软雅黑" w:hAnsi="微软雅黑" w:cs="微软雅黑"/>
                <w:bCs/>
                <w:szCs w:val="21"/>
                <w:u w:val="single"/>
              </w:rPr>
              <w:tab/>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u w:val="single"/>
              </w:rPr>
              <w:t xml:space="preserve">     有限公司</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负责人签字：</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代表签字：</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联系电话： </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联系电话： </w:t>
            </w:r>
            <w:r/>
          </w:p>
        </w:tc>
      </w:tr>
      <w:tr>
        <w:trPr>
          <w:jc w:val="center"/>
        </w:trPr>
        <w:tc>
          <w:tcPr>
            <w:tcW w:w="4261" w:type="dxa"/>
            <w:vAlign w:val="bottom"/>
            <w:vMerge w:val="restart"/>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设备科电话025-85427252</w:t>
            </w:r>
            <w:r/>
          </w:p>
        </w:tc>
        <w:tc>
          <w:tcPr>
            <w:tcW w:w="4261" w:type="dxa"/>
            <w:textDirection w:val="lrTb"/>
            <w:noWrap w:val="false"/>
          </w:tcPr>
          <w:p>
            <w:pPr>
              <w:ind w:left="840" w:hanging="840"/>
              <w:spacing w:line="360" w:lineRule="auto"/>
              <w:rPr>
                <w:rFonts w:ascii="微软雅黑" w:hAnsi="微软雅黑" w:cs="微软雅黑"/>
                <w:bCs/>
                <w:szCs w:val="21"/>
              </w:rPr>
            </w:pPr>
            <w:r>
              <w:rPr>
                <w:rFonts w:hint="eastAsia" w:ascii="微软雅黑" w:hAnsi="微软雅黑" w:cs="微软雅黑"/>
                <w:bCs/>
                <w:szCs w:val="21"/>
              </w:rPr>
              <w:t xml:space="preserve">开户行： </w:t>
            </w:r>
            <w:r/>
          </w:p>
        </w:tc>
      </w:tr>
      <w:tr>
        <w:trPr>
          <w:jc w:val="center"/>
        </w:trPr>
        <w:tc>
          <w:tcPr>
            <w:tcW w:w="4261" w:type="dxa"/>
            <w:vMerge w:val="continue"/>
            <w:textDirection w:val="lrTb"/>
            <w:noWrap w:val="false"/>
          </w:tcPr>
          <w:p>
            <w:pPr>
              <w:spacing w:line="360" w:lineRule="auto"/>
              <w:rPr>
                <w:rFonts w:ascii="微软雅黑" w:hAnsi="微软雅黑" w:cs="微软雅黑"/>
                <w:bCs/>
                <w:szCs w:val="21"/>
              </w:rPr>
            </w:pPr>
            <w:r>
              <w:rPr>
                <w:rFonts w:ascii="微软雅黑" w:hAnsi="微软雅黑" w:cs="微软雅黑"/>
                <w:bCs/>
                <w:szCs w:val="21"/>
              </w:rPr>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银行帐号： </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202  年  月   日</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202  年   月   日</w:t>
            </w:r>
            <w:r/>
          </w:p>
        </w:tc>
      </w:tr>
    </w:tbl>
    <w:p>
      <w:pPr>
        <w:spacing w:line="360" w:lineRule="auto"/>
        <w:rPr>
          <w:rFonts w:ascii="微软雅黑" w:hAnsi="微软雅黑" w:cs="微软雅黑"/>
          <w:bCs/>
          <w:szCs w:val="21"/>
        </w:rPr>
        <w:sectPr>
          <w:footerReference w:type="default" r:id="rId17"/>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ind w:right="840"/>
        <w:spacing w:line="360" w:lineRule="auto"/>
        <w:rPr>
          <w:rFonts w:ascii="微软雅黑" w:hAnsi="微软雅黑" w:cs="微软雅黑"/>
          <w:b/>
          <w:szCs w:val="21"/>
        </w:rPr>
      </w:pPr>
      <w:r>
        <w:rPr>
          <w:rFonts w:hint="eastAsia" w:ascii="微软雅黑" w:hAnsi="微软雅黑" w:cs="微软雅黑"/>
          <w:b/>
          <w:szCs w:val="21"/>
        </w:rPr>
        <w:t xml:space="preserve">附件：设备的详细配置（含附件清单）及技术指标</w:t>
      </w:r>
      <w:r/>
    </w:p>
    <w:p>
      <w:pPr>
        <w:ind w:right="840"/>
        <w:spacing w:line="360" w:lineRule="auto"/>
        <w:rPr>
          <w:rFonts w:ascii="微软雅黑" w:hAnsi="微软雅黑" w:cs="微软雅黑"/>
          <w:b/>
          <w:szCs w:val="21"/>
        </w:rPr>
      </w:pPr>
      <w:r>
        <w:rPr>
          <w:rFonts w:hint="eastAsia" w:ascii="微软雅黑" w:hAnsi="微软雅黑" w:cs="微软雅黑"/>
          <w:b/>
          <w:szCs w:val="21"/>
        </w:rPr>
        <w:t xml:space="preserve">（1）详细配置</w:t>
      </w:r>
      <w:r/>
    </w:p>
    <w:tbl>
      <w:tblPr>
        <w:tblStyle w:val="110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98"/>
        <w:gridCol w:w="2536"/>
        <w:gridCol w:w="1359"/>
        <w:gridCol w:w="1184"/>
        <w:gridCol w:w="1183"/>
      </w:tblGrid>
      <w:tr>
        <w:trPr>
          <w:trHeight w:val="435"/>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产品名称</w:t>
            </w:r>
            <w:r/>
          </w:p>
        </w:tc>
        <w:tc>
          <w:tcPr>
            <w:tcBorders>
              <w:top w:val="single" w:color="auto" w:sz="4" w:space="0"/>
              <w:left w:val="single" w:color="auto" w:sz="4" w:space="0"/>
              <w:bottom w:val="single" w:color="auto" w:sz="4" w:space="0"/>
              <w:right w:val="single" w:color="auto" w:sz="4" w:space="0"/>
            </w:tcBorders>
            <w:tcW w:w="1325"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品牌/型号</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数量</w:t>
            </w:r>
            <w:r/>
          </w:p>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(单位)</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产地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单价（元）</w:t>
            </w:r>
            <w:r/>
          </w:p>
        </w:tc>
      </w:tr>
      <w:tr>
        <w:trPr>
          <w:trHeight w:val="555"/>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1</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1325"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 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r>
        <w:trPr>
          <w:trHeight w:val="555"/>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2</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1325"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 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r>
        <w:trPr>
          <w:trHeight w:val="615"/>
        </w:trPr>
        <w:tc>
          <w:tcPr>
            <w:gridSpan w:val="3"/>
            <w:tcBorders>
              <w:top w:val="single" w:color="auto" w:sz="4" w:space="0"/>
              <w:left w:val="single" w:color="auto" w:sz="4" w:space="0"/>
              <w:bottom w:val="single" w:color="auto" w:sz="4" w:space="0"/>
              <w:right w:val="single" w:color="auto" w:sz="4" w:space="0"/>
            </w:tcBorders>
            <w:tcW w:w="3042"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合  计：     万  仟  佰  元整</w:t>
            </w:r>
            <w:r/>
          </w:p>
        </w:tc>
        <w:tc>
          <w:tcPr>
            <w:gridSpan w:val="2"/>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r>
    </w:tbl>
    <w:p>
      <w:pPr>
        <w:jc w:val="left"/>
        <w:widowControl/>
        <w:rPr>
          <w:rFonts w:ascii="微软雅黑" w:hAnsi="微软雅黑" w:cs="微软雅黑"/>
          <w:b/>
          <w:szCs w:val="21"/>
        </w:rPr>
      </w:pPr>
      <w:r>
        <w:rPr>
          <w:rFonts w:ascii="微软雅黑" w:hAnsi="微软雅黑" w:cs="微软雅黑"/>
          <w:b/>
          <w:szCs w:val="21"/>
        </w:rPr>
      </w:r>
      <w:r/>
    </w:p>
    <w:p>
      <w:pPr>
        <w:ind w:left="420" w:hanging="420"/>
        <w:spacing w:line="360" w:lineRule="auto"/>
        <w:rPr>
          <w:rFonts w:ascii="微软雅黑" w:hAnsi="微软雅黑" w:cs="微软雅黑"/>
          <w:bCs/>
          <w:szCs w:val="21"/>
        </w:rPr>
      </w:pPr>
      <w:r>
        <w:rPr>
          <w:rFonts w:hint="eastAsia" w:ascii="微软雅黑" w:hAnsi="微软雅黑" w:cs="微软雅黑"/>
          <w:b/>
          <w:szCs w:val="21"/>
        </w:rPr>
        <w:t xml:space="preserve">（2）主要技术参数</w:t>
      </w:r>
      <w:r/>
    </w:p>
    <w:p>
      <w:pPr>
        <w:spacing w:line="360" w:lineRule="auto"/>
        <w:rPr>
          <w:rFonts w:ascii="微软雅黑" w:hAnsi="微软雅黑" w:cs="微软雅黑"/>
          <w:bCs/>
          <w:szCs w:val="21"/>
        </w:rPr>
      </w:pPr>
      <w:r>
        <w:rPr>
          <w:rFonts w:ascii="微软雅黑" w:hAnsi="微软雅黑" w:cs="微软雅黑"/>
          <w:bCs/>
          <w:szCs w:val="21"/>
        </w:rPr>
      </w:r>
      <w:r/>
    </w:p>
    <w:p>
      <w:pPr>
        <w:jc w:val="left"/>
        <w:widowControl/>
        <w:rPr>
          <w:rStyle w:val="1476"/>
          <w:rFonts w:ascii="微软雅黑" w:hAnsi="微软雅黑" w:cs="微软雅黑"/>
          <w:bCs/>
          <w:szCs w:val="21"/>
        </w:rPr>
        <w:sectPr>
          <w:headerReference w:type="default" r:id="rId12"/>
          <w:footerReference w:type="default" r:id="rId18"/>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rPr>
          <w:rStyle w:val="1476"/>
          <w:rFonts w:ascii="微软雅黑" w:hAnsi="微软雅黑" w:cs="微软雅黑"/>
          <w:szCs w:val="21"/>
        </w:rPr>
      </w:pPr>
      <w:r>
        <w:rPr>
          <w:rStyle w:val="1476"/>
          <w:rFonts w:hint="eastAsia" w:ascii="微软雅黑" w:hAnsi="微软雅黑" w:cs="微软雅黑"/>
          <w:b/>
          <w:szCs w:val="21"/>
        </w:rPr>
        <w:t xml:space="preserve">（进口设备）合同模板</w:t>
      </w:r>
      <w:r>
        <w:rPr>
          <w:rStyle w:val="1476"/>
          <w:rFonts w:hint="eastAsia" w:ascii="微软雅黑" w:hAnsi="微软雅黑" w:cs="微软雅黑"/>
          <w:szCs w:val="21"/>
        </w:rPr>
        <w:t xml:space="preserve">： </w:t>
      </w:r>
      <w:r/>
    </w:p>
    <w:p>
      <w:pPr>
        <w:pStyle w:val="1096"/>
        <w:jc w:val="center"/>
        <w:rPr>
          <w:rFonts w:ascii="微软雅黑" w:hAnsi="微软雅黑" w:eastAsia="微软雅黑" w:cs="微软雅黑"/>
          <w:sz w:val="21"/>
          <w:szCs w:val="21"/>
        </w:rPr>
      </w:pPr>
      <w:r/>
      <w:bookmarkStart w:id="311" w:name="_Toc16943"/>
      <w:r/>
      <w:bookmarkStart w:id="312" w:name="_Toc28296"/>
      <w:r>
        <w:rPr>
          <w:rFonts w:hint="eastAsia" w:ascii="微软雅黑" w:hAnsi="微软雅黑" w:eastAsia="微软雅黑" w:cs="微软雅黑"/>
          <w:sz w:val="21"/>
          <w:szCs w:val="21"/>
        </w:rPr>
        <w:t xml:space="preserve">南京林业大学进口设备技术协议</w:t>
      </w:r>
      <w:bookmarkEnd w:id="311"/>
      <w:r/>
      <w:bookmarkEnd w:id="312"/>
      <w:r/>
      <w:r/>
    </w:p>
    <w:p>
      <w:pPr>
        <w:ind w:firstLine="420"/>
        <w:spacing w:line="440" w:lineRule="exact"/>
        <w:rPr>
          <w:rFonts w:ascii="微软雅黑" w:hAnsi="微软雅黑" w:cs="微软雅黑"/>
          <w:bCs/>
          <w:szCs w:val="21"/>
          <w:u w:val="single"/>
        </w:rPr>
      </w:pPr>
      <w:r>
        <w:rPr>
          <w:rFonts w:hint="eastAsia" w:ascii="微软雅黑" w:hAnsi="微软雅黑" w:cs="微软雅黑"/>
          <w:bCs/>
          <w:szCs w:val="21"/>
        </w:rPr>
        <w:t xml:space="preserve">招标编号：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采购代理机构：</w:t>
      </w:r>
      <w:r>
        <w:rPr>
          <w:rFonts w:hint="eastAsia" w:ascii="微软雅黑" w:hAnsi="微软雅黑" w:cs="微软雅黑"/>
          <w:bCs/>
          <w:szCs w:val="21"/>
          <w:u w:val="single"/>
        </w:rPr>
        <w:t xml:space="preserve"> 江苏省华采招标有限公司</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甲方：</w:t>
      </w:r>
      <w:r>
        <w:rPr>
          <w:rFonts w:hint="eastAsia" w:ascii="微软雅黑" w:hAnsi="微软雅黑" w:cs="微软雅黑"/>
          <w:bCs/>
          <w:szCs w:val="21"/>
          <w:u w:val="single"/>
        </w:rPr>
        <w:t xml:space="preserve"> 南京林业大学 </w:t>
      </w:r>
      <w:r>
        <w:rPr>
          <w:rFonts w:hint="eastAsia" w:ascii="微软雅黑" w:hAnsi="微软雅黑" w:cs="微软雅黑"/>
          <w:bCs/>
          <w:szCs w:val="21"/>
        </w:rPr>
        <w:t xml:space="preserve">                   签订地点：南京林业大学</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乙方：</w:t>
      </w:r>
      <w:r>
        <w:rPr>
          <w:rFonts w:hint="eastAsia" w:ascii="微软雅黑" w:hAnsi="微软雅黑" w:cs="微软雅黑"/>
          <w:bCs/>
          <w:szCs w:val="21"/>
          <w:u w:val="single"/>
        </w:rPr>
        <w:t xml:space="preserve">            有限公司</w:t>
      </w:r>
      <w:r>
        <w:rPr>
          <w:rFonts w:hint="eastAsia" w:ascii="微软雅黑" w:hAnsi="微软雅黑" w:cs="微软雅黑"/>
          <w:bCs/>
          <w:szCs w:val="21"/>
        </w:rPr>
        <w:t xml:space="preserve">             用户：</w:t>
      </w:r>
      <w:r>
        <w:rPr>
          <w:rFonts w:hint="eastAsia" w:ascii="微软雅黑" w:hAnsi="微软雅黑" w:cs="微软雅黑"/>
          <w:bCs/>
          <w:szCs w:val="21"/>
          <w:u w:val="single"/>
        </w:rPr>
        <w:t xml:space="preserve">         院/</w:t>
      </w:r>
      <w:r>
        <w:rPr>
          <w:rFonts w:hint="eastAsia" w:ascii="微软雅黑" w:hAnsi="微软雅黑" w:cs="微软雅黑"/>
          <w:bCs/>
          <w:szCs w:val="21"/>
        </w:rPr>
        <w:t xml:space="preserve">处</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老师</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受甲方委托，采购代理机构于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月</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日组织了南京林业大学设备采购及相关服务的国内招标，经评委认真严格评审，确定乙方为中标单位。根据有关法律法规，经甲乙双方友好协商，为保护各自合法权益，现就进口设备采购及售后服务等事宜签订本协议。</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第一条、</w:t>
      </w:r>
      <w:r>
        <w:rPr>
          <w:rFonts w:hint="eastAsia" w:ascii="微软雅黑" w:hAnsi="微软雅黑" w:cs="微软雅黑"/>
          <w:b/>
          <w:szCs w:val="21"/>
        </w:rPr>
        <w:tab/>
      </w:r>
      <w:r>
        <w:rPr>
          <w:rFonts w:hint="eastAsia" w:ascii="微软雅黑" w:hAnsi="微软雅黑" w:cs="微软雅黑"/>
          <w:b/>
          <w:szCs w:val="21"/>
        </w:rPr>
        <w:t xml:space="preserve">标的设备及价款</w:t>
      </w:r>
      <w:r/>
    </w:p>
    <w:p>
      <w:pPr>
        <w:spacing w:line="440" w:lineRule="exact"/>
        <w:rPr>
          <w:rFonts w:ascii="微软雅黑" w:hAnsi="微软雅黑" w:cs="微软雅黑"/>
          <w:bCs/>
          <w:szCs w:val="21"/>
        </w:rPr>
      </w:pPr>
      <w:r>
        <w:rPr>
          <w:rFonts w:hint="eastAsia" w:ascii="微软雅黑" w:hAnsi="微软雅黑" w:cs="微软雅黑"/>
          <w:bCs/>
          <w:szCs w:val="21"/>
        </w:rPr>
        <w:t xml:space="preserve">1、甲方向乙方采购及乙方向甲方出售和供应的设备（包括设备的附属、配件、产品说明等资料的整套设备，下称“标的设备”）及价款如下：</w:t>
      </w:r>
      <w:r/>
    </w:p>
    <w:tbl>
      <w:tblPr>
        <w:tblStyle w:val="1104"/>
        <w:tblW w:w="10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323"/>
        <w:gridCol w:w="1374"/>
        <w:gridCol w:w="1262"/>
        <w:gridCol w:w="1450"/>
        <w:gridCol w:w="1450"/>
        <w:gridCol w:w="1651"/>
      </w:tblGrid>
      <w:tr>
        <w:trPr>
          <w:jc w:val="center"/>
          <w:trHeight w:val="1078"/>
        </w:trPr>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序号</w:t>
            </w:r>
            <w:r/>
          </w:p>
        </w:tc>
        <w:tc>
          <w:tcPr>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设备名称</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规格/型号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数量单位</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单价（元）</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总价（元）</w:t>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产地/品牌</w:t>
            </w:r>
            <w:r/>
          </w:p>
        </w:tc>
      </w:tr>
      <w:tr>
        <w:trPr>
          <w:jc w:val="center"/>
          <w:trHeight w:val="1066"/>
        </w:trPr>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一套</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r>
      <w:tr>
        <w:trPr>
          <w:jc w:val="center"/>
          <w:trHeight w:val="974"/>
        </w:trPr>
        <w:tc>
          <w:tcPr>
            <w:gridSpan w:val="7"/>
            <w:tcBorders>
              <w:top w:val="single" w:color="auto" w:sz="4" w:space="0"/>
              <w:left w:val="single" w:color="auto" w:sz="4" w:space="0"/>
              <w:bottom w:val="single" w:color="auto" w:sz="4" w:space="0"/>
              <w:right w:val="single" w:color="auto" w:sz="4" w:space="0"/>
            </w:tcBorders>
            <w:tcW w:w="1035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CIP：南京林业大学</w:t>
            </w:r>
            <w:r/>
          </w:p>
          <w:p>
            <w:pPr>
              <w:jc w:val="center"/>
              <w:spacing w:line="440" w:lineRule="exact"/>
              <w:rPr>
                <w:rFonts w:ascii="微软雅黑" w:hAnsi="微软雅黑" w:cs="微软雅黑"/>
                <w:szCs w:val="21"/>
              </w:rPr>
            </w:pPr>
            <w:r>
              <w:rPr>
                <w:rFonts w:hint="eastAsia" w:ascii="微软雅黑" w:hAnsi="微软雅黑" w:cs="微软雅黑"/>
                <w:szCs w:val="21"/>
              </w:rPr>
              <w:t xml:space="preserve">合同总额为：人民币</w:t>
            </w:r>
            <w:r>
              <w:rPr>
                <w:rFonts w:hint="eastAsia" w:ascii="微软雅黑" w:hAnsi="微软雅黑" w:cs="微软雅黑"/>
                <w:bCs/>
                <w:szCs w:val="21"/>
                <w:u w:val="single"/>
              </w:rPr>
              <w:t xml:space="preserve">      </w:t>
            </w:r>
            <w:r>
              <w:rPr>
                <w:rFonts w:hint="eastAsia" w:ascii="微软雅黑" w:hAnsi="微软雅黑" w:cs="微软雅黑"/>
                <w:szCs w:val="21"/>
              </w:rPr>
              <w:t xml:space="preserve">元       大写：</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万</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仟</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佰</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拾</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元整</w:t>
            </w:r>
            <w:r/>
          </w:p>
        </w:tc>
      </w:tr>
    </w:tbl>
    <w:p>
      <w:pPr>
        <w:ind w:firstLine="420"/>
        <w:spacing w:line="440" w:lineRule="exact"/>
        <w:rPr>
          <w:rFonts w:ascii="微软雅黑" w:hAnsi="微软雅黑" w:cs="微软雅黑"/>
          <w:b/>
          <w:bCs/>
          <w:szCs w:val="21"/>
        </w:rPr>
      </w:pPr>
      <w:r>
        <w:rPr>
          <w:rFonts w:hint="eastAsia" w:ascii="微软雅黑" w:hAnsi="微软雅黑" w:cs="微软雅黑"/>
          <w:bCs/>
          <w:szCs w:val="21"/>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3、合同总金额：</w:t>
      </w:r>
      <w:r>
        <w:rPr>
          <w:rFonts w:hint="eastAsia" w:ascii="微软雅黑" w:hAnsi="微软雅黑" w:cs="微软雅黑"/>
          <w:szCs w:val="21"/>
        </w:rPr>
        <w:t xml:space="preserve">人民币</w:t>
      </w:r>
      <w:r>
        <w:rPr>
          <w:rFonts w:hint="eastAsia" w:ascii="微软雅黑" w:hAnsi="微软雅黑" w:cs="微软雅黑"/>
          <w:bCs/>
          <w:szCs w:val="21"/>
          <w:u w:val="single"/>
        </w:rPr>
        <w:t xml:space="preserve">      </w:t>
      </w:r>
      <w:r>
        <w:rPr>
          <w:rFonts w:hint="eastAsia" w:ascii="微软雅黑" w:hAnsi="微软雅黑" w:cs="微软雅黑"/>
          <w:szCs w:val="21"/>
        </w:rPr>
        <w:t xml:space="preserve">元（大写：</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万</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仟</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佰</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拾</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元整）</w:t>
      </w:r>
      <w:r>
        <w:rPr>
          <w:rFonts w:hint="eastAsia" w:ascii="微软雅黑" w:hAnsi="微软雅黑" w:cs="微软雅黑"/>
          <w:bCs/>
          <w:szCs w:val="21"/>
        </w:rPr>
        <w:t xml:space="preserve">为包干价，已包括设备本身和随机附件、运输、装卸、安装、调试和培训、质保，以及外贸代理费等全部费用，甲方无需就本合同及本项目向乙方额外支付其他任何费用、款项。</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第二条、交货时间和地点</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1、乙方应在本合同第三条所述《外贸协议》签订之日起</w:t>
      </w:r>
      <w:r>
        <w:rPr>
          <w:rFonts w:hint="eastAsia" w:ascii="微软雅黑" w:hAnsi="微软雅黑" w:cs="微软雅黑"/>
          <w:bCs/>
          <w:szCs w:val="21"/>
          <w:u w:val="single"/>
        </w:rPr>
        <w:t xml:space="preserve">60 </w:t>
      </w:r>
      <w:r>
        <w:rPr>
          <w:rFonts w:hint="eastAsia" w:ascii="微软雅黑" w:hAnsi="微软雅黑" w:cs="微软雅黑"/>
          <w:bCs/>
          <w:szCs w:val="21"/>
        </w:rPr>
        <w:t xml:space="preserve">天内将标的设备运抵并交付至南京市玄武区龙蟠路159号南京林业大学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楼</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实验室，由双方按本合同约定办理初步验收及交付手续。甲方指定收货人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
          <w:szCs w:val="21"/>
        </w:rPr>
        <w:t xml:space="preserve">第三条、外贸手续办理</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1、鉴于标的设备为境外产品且甲方采购标的设备用于教学科研目的，为了顺利办理标的设备进口手续，甲乙双方同意由甲方委托外贸代理公司</w:t>
      </w:r>
      <w:r>
        <w:rPr>
          <w:rFonts w:hint="eastAsia" w:ascii="微软雅黑" w:hAnsi="微软雅黑" w:cs="微软雅黑"/>
          <w:bCs/>
          <w:szCs w:val="21"/>
          <w:u w:val="single"/>
        </w:rPr>
        <w:t xml:space="preserve">     有限公司（联系人：     ，电话：     ）</w:t>
      </w:r>
      <w:r>
        <w:rPr>
          <w:rFonts w:hint="eastAsia" w:ascii="微软雅黑" w:hAnsi="微软雅黑" w:cs="微软雅黑"/>
          <w:bCs/>
          <w:szCs w:val="21"/>
        </w:rPr>
        <w:t xml:space="preserve">(下称“外贸代理公司”)根据本协议内容与乙方指定的境外供货商</w:t>
      </w:r>
      <w:r>
        <w:rPr>
          <w:rFonts w:hint="eastAsia" w:ascii="微软雅黑" w:hAnsi="微软雅黑" w:cs="微软雅黑"/>
          <w:bCs/>
          <w:szCs w:val="21"/>
          <w:u w:val="single"/>
        </w:rPr>
        <w:t xml:space="preserve">     </w:t>
      </w:r>
      <w:r>
        <w:rPr>
          <w:rFonts w:hint="eastAsia" w:ascii="微软雅黑" w:hAnsi="微软雅黑" w:cs="微软雅黑"/>
          <w:bCs/>
          <w:szCs w:val="21"/>
        </w:rPr>
        <w:t xml:space="preserve">（下称“境外供货商”）签订《外贸协议》；委托外贸代理公司办理标的设备进口审批以及免税申请、报关、提运等手续，乙方应协助外贸代理公司办理有关免税批文及相关的进口手续，安排并保证境外供货商供货按法律法规的规定协助并提供相关进出口手续所需资料。</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甲乙双方充分理解并确认：甲方以甲方的名义委托外贸代理公司代理标的设备的进口手续及签订《外贸协议》的目的是为了实现标的设备顺利办理进口手续及甲方可以按相关法律法规享受教学进口设备免税的政策，并不影响乙方作为标的设备的供应商的在本合同项下及本项目相关任何的权利、义务及责任，乙方不得以上述内容为理由免除其在本合同项下及本项目有关的任何义务和责任；同时鉴于境外供应商是由乙方指定，因乙方原因、境外供应商原因或其他任何第三方原因（甲方原因除外）导致乙方未能全面按本合同约定供应标的物的产生的一切责任均由乙方承担。</w:t>
      </w:r>
      <w:r/>
    </w:p>
    <w:p>
      <w:pPr>
        <w:ind w:firstLine="420"/>
        <w:spacing w:line="440" w:lineRule="exact"/>
        <w:rPr>
          <w:rFonts w:ascii="微软雅黑" w:hAnsi="微软雅黑" w:cs="微软雅黑"/>
          <w:b/>
          <w:szCs w:val="21"/>
        </w:rPr>
      </w:pPr>
      <w:r>
        <w:rPr>
          <w:rFonts w:hint="eastAsia" w:ascii="微软雅黑" w:hAnsi="微软雅黑" w:cs="微软雅黑"/>
          <w:bCs/>
          <w:szCs w:val="21"/>
        </w:rPr>
        <w:t xml:space="preserve">3、鉴于境外供应商是由乙方指定，乙方应对境外供应商按《外贸协议》履行交付标的设备义务、协助办理清关手续及免税申请手续的义务、违约责任及损害赔偿等承担连带责任保证担保，境外供应商未能按约定供应标的设备的，乙方应按甲方要求承担返还标的设备货款、赔偿损失等责任。</w:t>
      </w:r>
      <w:r>
        <w:rPr>
          <w:rFonts w:hint="eastAsia" w:ascii="微软雅黑" w:hAnsi="微软雅黑" w:cs="微软雅黑"/>
          <w:b/>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第四条、付款方式</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1、甲乙双方同意并确认：根据《规范进出口代理业务的若干规定》（外经贸政发[1998]第725号），甲方按以下约定向乙方支付标的设备货款（合同总金额）：见第四章项目需求中付款条件。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乙方同意并确认：当甲方将合同金额支付给外贸代理公司之时甲方即完成向乙方付款义务，甲方完成前述付款义务后，乙方不得以任何理由向甲方主张标的设备货款及其他任何费用，也不得向甲方主张任何赔偿或其他任何责任。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第五条、标的设备的交付、安装调试及验收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1、乙方应在标的设备抵达海关后，提前</w:t>
      </w:r>
      <w:r>
        <w:rPr>
          <w:rFonts w:hint="eastAsia" w:ascii="微软雅黑" w:hAnsi="微软雅黑" w:cs="微软雅黑"/>
          <w:bCs/>
          <w:szCs w:val="21"/>
          <w:u w:val="single"/>
        </w:rPr>
        <w:t xml:space="preserve"> 5 </w:t>
      </w:r>
      <w:r>
        <w:rPr>
          <w:rFonts w:hint="eastAsia" w:ascii="微软雅黑" w:hAnsi="微软雅黑" w:cs="微软雅黑"/>
          <w:bCs/>
          <w:szCs w:val="21"/>
        </w:rPr>
        <w:t xml:space="preserve">个工作日通知甲方，以便甲方有充分时间做好标的设备到货接收及安装的准备工作。交货时应由甲乙双方及外贸代理公司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标的设备经初步验收合格并经甲乙双方签字确认后，乙方应在双方签字确认之日起【7】日内完成标的设备的安装调试；乙方完成安装调试后应及时通知甲方试用，甲方在接到乙方通知之日起【15】日内组织验收，甲乙双方根据本合同约定及招投标文件中列明的技术参数、功能、性能指标进行验收，验收合格的由甲乙双方签字确认。验收过程中，对于专业性的问题，甲乙双方可以协商指定第三方机构进行检测，协商不成的，由甲方单独指定第三方检测机构；检测合格的，检测费及相关费用由甲方承担，检测不合格的，检测费及相关费用由乙方承担。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第六条、质量保证</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所提供的标的设备必须符合行业标准及国家进口商品质量管理有关要求（以较高者为准），并提供合格完整的资料（如制造厂商签发的质量证明书等）；标的设备的详细配置、技术指标及服务要求按附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2、乙方保证提供的设备是全新、未使用过的原装合格正品，并保证设备在正常使用和保养条件下，在其使用寿命周期内具有令甲方满意的性能。</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第七条、售后服务</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1、乙方应按照本合同约定履行质保服务责任和义务，服务内容详见附件。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2、标的设备质保期为自标的设备验收合格之日（即双方签字确认之日）起</w:t>
      </w:r>
      <w:r>
        <w:rPr>
          <w:rFonts w:hint="eastAsia" w:ascii="微软雅黑" w:hAnsi="微软雅黑" w:cs="微软雅黑"/>
          <w:bCs/>
          <w:szCs w:val="21"/>
          <w:u w:val="single"/>
        </w:rPr>
        <w:t xml:space="preserve">12</w:t>
      </w:r>
      <w:r>
        <w:rPr>
          <w:rFonts w:hint="eastAsia" w:ascii="微软雅黑" w:hAnsi="微软雅黑" w:cs="微软雅黑"/>
          <w:bCs/>
          <w:szCs w:val="21"/>
        </w:rPr>
        <w:t xml:space="preserve">个月。</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3、质保期内由于设备质量、安装调试原因或正常使用产生任何故障，乙方应按约定维修，维修所产生的全部费用（包括更换零配件的费用）均由乙方承担。</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4、乙方在接到甲方故障通知后</w:t>
      </w:r>
      <w:r>
        <w:rPr>
          <w:rFonts w:hint="eastAsia" w:ascii="微软雅黑" w:hAnsi="微软雅黑" w:cs="微软雅黑"/>
          <w:bCs/>
          <w:szCs w:val="21"/>
          <w:u w:val="single"/>
        </w:rPr>
        <w:t xml:space="preserve">2</w:t>
      </w:r>
      <w:r>
        <w:rPr>
          <w:rFonts w:hint="eastAsia" w:ascii="微软雅黑" w:hAnsi="微软雅黑" w:cs="微软雅黑"/>
          <w:bCs/>
          <w:szCs w:val="21"/>
        </w:rPr>
        <w:t xml:space="preserve">小时内作出响应，</w:t>
      </w:r>
      <w:r>
        <w:rPr>
          <w:rFonts w:hint="eastAsia" w:ascii="微软雅黑" w:hAnsi="微软雅黑" w:cs="微软雅黑"/>
          <w:bCs/>
          <w:szCs w:val="21"/>
          <w:u w:val="single"/>
        </w:rPr>
        <w:t xml:space="preserve">48</w:t>
      </w:r>
      <w:r>
        <w:rPr>
          <w:rFonts w:hint="eastAsia" w:ascii="微软雅黑" w:hAnsi="微软雅黑" w:cs="微软雅黑"/>
          <w:bCs/>
          <w:szCs w:val="21"/>
        </w:rPr>
        <w:t xml:space="preserve">小时之内上门服务，维修服务的联系人为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，联系电话是</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第八条、违约责任</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标的设备经初步验收或安装调试后的验收不合格的，乙方应在甲方指定的期限内重新提供设备，并承担因此而发生的全部费用，赔偿由此给甲方造成的损失。标的设备更换一次后，经验收仍旧不合格的，甲方有权解除合同，且乙方应向甲方支付合同金额20%的违约金。</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乙方未能本合同约定期限交付标的设备或完成安装调试的，每迟延一天应向乙方支付合同金额万分之四的违约金；迟延超过【90】天的，甲方有权解除合同，且乙方应向甲方支付合同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的损失，乙方应承担赔偿责任。</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3、乙方未能按本合同约定的或相关法律法规的规定协助甲方或外贸代理公司办理进口手续的，或者因境外供应商原因、标的设备本身原因，如导致迟延交货的，应向甲方承担迟延交货的违约责任；如导致甲方未能享受免税政策的，乙方应承担因此产生的税费及给甲方造成的其他损失</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4、如乙方未按协议提供保修服务，甲方有权自行委托第三方提供甲方所需要的技术支持和维修服务，由此造成的包括但不限于第三方维保费用、甲方其他经济损失等均由乙方承担，如若有尾款的，甲方可以在尾款中直接扣除。</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5、在使用过程中，一旦发现乙方所提供的设备不符合国家有关规定或质量有缺陷，经查实后，乙方无条件接受甲方退货，并按原价货款退还给甲方，同时按有关规定给予乙方承担违约责任。并且外贸代理公司办理进口及退货所有费用（报关，商检，提货，运输等相关手续费）由乙方承担。</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
          <w:szCs w:val="21"/>
        </w:rPr>
        <w:t xml:space="preserve">第九条、纠纷处理</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因本合同引起的或与本合同有关的任何争议，由甲乙双方根据《中华人民共和国民法典》及相关法律法规协商解决，协商不成的，应提交甲方所在地人民法院通过诉讼解决。</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第十条、协议生效及其他</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本合同附件、招投标文件及乙方投标时出具的承诺函保证函为本合同的有效组成部分，与本合同具有同等法律效力。本合同一式六份，甲方五份，乙方一份，经甲方、乙方授权代表签字盖章后生效。</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tbl>
      <w:tblPr>
        <w:tblStyle w:val="1104"/>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甲方(加盖公章)：</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乙方(加盖公章)：</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u w:val="single"/>
              </w:rPr>
              <w:tab/>
            </w:r>
            <w:r>
              <w:rPr>
                <w:rFonts w:hint="eastAsia" w:ascii="微软雅黑" w:hAnsi="微软雅黑" w:cs="微软雅黑"/>
                <w:bCs/>
                <w:szCs w:val="21"/>
                <w:u w:val="single"/>
              </w:rPr>
              <w:t xml:space="preserve">南京林业大学</w:t>
            </w:r>
            <w:r>
              <w:rPr>
                <w:rFonts w:hint="eastAsia" w:ascii="微软雅黑" w:hAnsi="微软雅黑" w:cs="微软雅黑"/>
                <w:bCs/>
                <w:szCs w:val="21"/>
                <w:u w:val="single"/>
              </w:rPr>
              <w:tab/>
            </w:r>
            <w:r>
              <w:rPr>
                <w:rFonts w:hint="eastAsia" w:ascii="微软雅黑" w:hAnsi="微软雅黑" w:cs="微软雅黑"/>
                <w:bCs/>
                <w:szCs w:val="21"/>
                <w:u w:val="single"/>
              </w:rPr>
              <w:tab/>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u w:val="single"/>
              </w:rPr>
              <w:t xml:space="preserve">     有限公司</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用户代表签字：</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代表签字：</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联系电话： </w:t>
            </w:r>
            <w:r/>
          </w:p>
        </w:tc>
      </w:tr>
      <w:tr>
        <w:trPr>
          <w:jc w:val="cente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设备科电话025-85427252</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开户行：  银行  支行</w:t>
            </w:r>
            <w:r/>
          </w:p>
        </w:tc>
      </w:tr>
      <w:tr>
        <w:trPr>
          <w:jc w:val="center"/>
        </w:trPr>
        <w:tc>
          <w:tcPr>
            <w:tcBorders>
              <w:top w:val="none" w:color="000000" w:sz="4" w:space="0"/>
              <w:left w:val="none" w:color="000000" w:sz="4" w:space="0"/>
              <w:bottom w:val="none" w:color="000000" w:sz="4" w:space="0"/>
              <w:right w:val="none" w:color="000000" w:sz="4" w:space="0"/>
            </w:tcBorders>
            <w:tcW w:w="4261" w:type="dxa"/>
            <w:vAlign w:val="center"/>
            <w:vMerge w:val="continue"/>
            <w:textDirection w:val="lrTb"/>
            <w:noWrap w:val="false"/>
          </w:tcPr>
          <w:p>
            <w:pPr>
              <w:jc w:val="left"/>
              <w:widowControl/>
              <w:rPr>
                <w:rFonts w:ascii="微软雅黑" w:hAnsi="微软雅黑" w:cs="微软雅黑"/>
                <w:bCs/>
                <w:szCs w:val="21"/>
              </w:rPr>
            </w:pP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银行帐号： </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202  年  月   日</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202  年   月   日</w:t>
            </w:r>
            <w:r/>
          </w:p>
        </w:tc>
      </w:tr>
    </w:tbl>
    <w:p>
      <w:pPr>
        <w:jc w:val="left"/>
        <w:widowControl/>
        <w:rPr>
          <w:rFonts w:ascii="微软雅黑" w:hAnsi="微软雅黑" w:cs="微软雅黑"/>
          <w:szCs w:val="21"/>
        </w:rPr>
      </w:pPr>
      <w:r>
        <w:rPr>
          <w:rFonts w:ascii="微软雅黑" w:hAnsi="微软雅黑" w:cs="微软雅黑"/>
          <w:szCs w:val="21"/>
        </w:rPr>
      </w:r>
      <w:r/>
    </w:p>
    <w:p>
      <w:pPr>
        <w:jc w:val="left"/>
        <w:widowControl/>
        <w:rPr>
          <w:rStyle w:val="1476"/>
          <w:rFonts w:ascii="微软雅黑" w:hAnsi="微软雅黑" w:cs="微软雅黑"/>
          <w:bCs/>
          <w:szCs w:val="21"/>
        </w:rPr>
        <w:sectPr>
          <w:footerReference w:type="default" r:id="rId19"/>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pStyle w:val="13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72"/>
        <w:rPr>
          <w:rFonts w:ascii="微软雅黑" w:hAnsi="微软雅黑" w:cs="微软雅黑"/>
          <w:szCs w:val="32"/>
        </w:rPr>
      </w:pPr>
      <w:r/>
      <w:bookmarkStart w:id="313" w:name="_Toc13204"/>
      <w:r/>
      <w:bookmarkStart w:id="314" w:name="_Toc23201"/>
      <w:r/>
      <w:bookmarkStart w:id="315" w:name="_Toc8641"/>
      <w:r/>
      <w:bookmarkStart w:id="316" w:name="_Toc31096"/>
      <w:r/>
      <w:bookmarkStart w:id="317" w:name="_Toc3509"/>
      <w:r/>
      <w:bookmarkStart w:id="318" w:name="_Toc5492"/>
      <w:r>
        <w:rPr>
          <w:rFonts w:hint="eastAsia" w:ascii="微软雅黑" w:hAnsi="微软雅黑" w:cs="微软雅黑"/>
        </w:rPr>
        <w:t xml:space="preserve">第六章投标文件格式</w:t>
      </w:r>
      <w:bookmarkEnd w:id="313"/>
      <w:r>
        <w:rPr>
          <w:rFonts w:hint="eastAsia" w:ascii="微软雅黑" w:hAnsi="微软雅黑" w:cs="微软雅黑"/>
        </w:rPr>
        <w:t xml:space="preserve">及附件</w:t>
      </w:r>
      <w:bookmarkEnd w:id="314"/>
      <w:r/>
      <w:bookmarkEnd w:id="315"/>
      <w:r/>
      <w:bookmarkEnd w:id="316"/>
      <w:r/>
      <w:bookmarkEnd w:id="317"/>
      <w:r/>
      <w:bookmarkEnd w:id="318"/>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6"/>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297"/>
        <w:numPr>
          <w:ilvl w:val="0"/>
          <w:numId w:val="16"/>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16"/>
        </w:numPr>
        <w:ind w:hanging="205"/>
        <w:spacing w:line="400" w:lineRule="exact"/>
        <w:rPr>
          <w:szCs w:val="21"/>
        </w:rPr>
      </w:pPr>
      <w:r>
        <w:rPr>
          <w:rFonts w:hint="eastAsia"/>
          <w:szCs w:val="21"/>
        </w:rPr>
        <w:t xml:space="preserve">供应商提交的材料不予退还。</w:t>
      </w:r>
      <w:r/>
    </w:p>
    <w:p>
      <w:pPr>
        <w:pStyle w:val="1297"/>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项目编号：</w:t>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r/>
      <w:r/>
    </w:p>
    <w:p>
      <w:pPr>
        <w:pStyle w:val="1297"/>
        <w:ind w:left="0"/>
        <w:jc w:val="center"/>
        <w:rPr>
          <w:rFonts w:ascii="微软雅黑" w:hAnsi="微软雅黑" w:cs="微软雅黑"/>
          <w:b/>
          <w:bCs/>
          <w:sz w:val="28"/>
          <w:szCs w:val="28"/>
        </w:rPr>
      </w:pPr>
      <w:r>
        <w:rPr>
          <w:rFonts w:hint="eastAsia" w:ascii="微软雅黑" w:hAnsi="微软雅黑" w:cs="微软雅黑"/>
          <w:b/>
          <w:bCs/>
          <w:sz w:val="28"/>
          <w:szCs w:val="28"/>
        </w:rPr>
        <w:t xml:space="preserve">资格审查索引表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p>
    <w:tbl>
      <w:tblPr>
        <w:tblStyle w:val="1104"/>
        <w:tblW w:w="8466"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jc w:val="center"/>
        <w:spacing w:line="420" w:lineRule="exact"/>
        <w:widowControl/>
        <w:rPr>
          <w:rFonts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p>
    <w:tbl>
      <w:tblPr>
        <w:tblStyle w:val="1104"/>
        <w:tblW w:w="8466"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273"/>
        <w:rPr>
          <w:rFonts w:ascii="微软雅黑" w:hAnsi="微软雅黑" w:cs="微软雅黑"/>
          <w:szCs w:val="30"/>
        </w:rPr>
      </w:pPr>
      <w:r>
        <w:rPr>
          <w:rFonts w:hint="eastAsia" w:ascii="微软雅黑" w:hAnsi="微软雅黑" w:cs="微软雅黑"/>
        </w:rPr>
        <w:br w:type="page" w:clear="all"/>
      </w:r>
      <w:bookmarkStart w:id="319" w:name="_Toc24744"/>
      <w:r/>
      <w:bookmarkStart w:id="320" w:name="_Toc5567"/>
      <w:r/>
      <w:bookmarkStart w:id="321" w:name="_Toc24615"/>
      <w:r/>
      <w:bookmarkStart w:id="322" w:name="_Toc12697"/>
      <w:r/>
      <w:bookmarkStart w:id="323" w:name="_Toc17106"/>
      <w:r/>
      <w:bookmarkStart w:id="324" w:name="_Toc29837"/>
      <w:r/>
      <w:bookmarkStart w:id="325" w:name="_Toc20257"/>
      <w:r>
        <w:rPr>
          <w:rFonts w:hint="eastAsia" w:ascii="微软雅黑" w:hAnsi="微软雅黑" w:cs="微软雅黑"/>
        </w:rPr>
        <w:t xml:space="preserve">一、投标函、投标报价及项目相关文件</w:t>
      </w:r>
      <w:bookmarkEnd w:id="319"/>
      <w:r/>
      <w:bookmarkEnd w:id="320"/>
      <w:r/>
      <w:bookmarkEnd w:id="321"/>
      <w:r/>
      <w:bookmarkEnd w:id="322"/>
      <w:r/>
      <w:bookmarkEnd w:id="323"/>
      <w:r/>
      <w:bookmarkEnd w:id="324"/>
      <w:r/>
      <w:bookmarkEnd w:id="325"/>
      <w:r/>
      <w:r/>
    </w:p>
    <w:p>
      <w:pPr>
        <w:pStyle w:val="1274"/>
        <w:numPr>
          <w:ilvl w:val="0"/>
          <w:numId w:val="17"/>
        </w:numPr>
        <w:jc w:val="center"/>
        <w:rPr>
          <w:rFonts w:ascii="微软雅黑" w:hAnsi="微软雅黑" w:cs="微软雅黑"/>
          <w:b w:val="0"/>
          <w:bCs w:val="0"/>
          <w:sz w:val="28"/>
          <w:szCs w:val="28"/>
        </w:rPr>
      </w:pPr>
      <w:r/>
      <w:bookmarkStart w:id="326" w:name="_Toc2328"/>
      <w:r/>
      <w:bookmarkStart w:id="327" w:name="_Toc12562"/>
      <w:r/>
      <w:bookmarkStart w:id="328" w:name="_Toc16985"/>
      <w:r/>
      <w:bookmarkStart w:id="329" w:name="_Toc3563"/>
      <w:r/>
      <w:bookmarkStart w:id="330" w:name="_Toc5327"/>
      <w:r/>
      <w:bookmarkStart w:id="331" w:name="_Toc4374"/>
      <w:r/>
      <w:bookmarkStart w:id="332" w:name="_Toc8176"/>
      <w:r>
        <w:rPr>
          <w:rFonts w:hint="eastAsia" w:ascii="微软雅黑" w:hAnsi="微软雅黑" w:cs="微软雅黑"/>
          <w:b w:val="0"/>
          <w:bCs w:val="0"/>
          <w:sz w:val="28"/>
          <w:szCs w:val="28"/>
        </w:rPr>
        <w:t xml:space="preserve">投标函</w:t>
      </w:r>
      <w:bookmarkEnd w:id="326"/>
      <w:r/>
      <w:bookmarkEnd w:id="327"/>
      <w:r/>
      <w:bookmarkEnd w:id="328"/>
      <w:r/>
      <w:bookmarkEnd w:id="329"/>
      <w:r/>
      <w:bookmarkEnd w:id="330"/>
      <w:r/>
      <w:bookmarkEnd w:id="331"/>
      <w:r/>
      <w:bookmarkEnd w:id="332"/>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ascii="微软雅黑" w:hAnsi="微软雅黑" w:cs="微软雅黑"/>
        </w:rPr>
      </w:pPr>
      <w:r>
        <w:rPr>
          <w:rFonts w:hint="eastAsia" w:ascii="微软雅黑" w:hAnsi="微软雅黑" w:cs="微软雅黑"/>
        </w:rPr>
        <w:t xml:space="preserve">你们项目名称：（项目编号为：）采购文件（包括更正公告，如果有的话）收悉，我们经详细审阅和研究，现决定参加投标。</w:t>
      </w:r>
      <w:r/>
    </w:p>
    <w:p>
      <w:pPr>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w:t>
      </w:r>
      <w:r/>
    </w:p>
    <w:p>
      <w:pPr>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p>
    <w:p>
      <w:pPr>
        <w:ind w:firstLine="420"/>
        <w:spacing w:line="440" w:lineRule="exact"/>
        <w:rPr>
          <w:rFonts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p>
    <w:p>
      <w:pPr>
        <w:spacing w:line="440" w:lineRule="exact"/>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hint="eastAsia" w:ascii="微软雅黑" w:hAnsi="微软雅黑" w:cs="微软雅黑"/>
        </w:rPr>
        <w:t xml:space="preserve">供应商全称（公章）：</w:t>
      </w:r>
      <w:r/>
    </w:p>
    <w:p>
      <w:pPr>
        <w:spacing w:line="440" w:lineRule="exact"/>
        <w:rPr>
          <w:rFonts w:ascii="微软雅黑" w:hAnsi="微软雅黑" w:cs="微软雅黑"/>
        </w:rPr>
      </w:pPr>
      <w:r>
        <w:rPr>
          <w:rFonts w:hint="eastAsia" w:ascii="微软雅黑" w:hAnsi="微软雅黑" w:cs="微软雅黑"/>
        </w:rPr>
        <w:t xml:space="preserve">地址：</w:t>
      </w:r>
      <w:r/>
    </w:p>
    <w:p>
      <w:pPr>
        <w:spacing w:line="440" w:lineRule="exact"/>
        <w:rPr>
          <w:rFonts w:ascii="微软雅黑" w:hAnsi="微软雅黑" w:cs="微软雅黑"/>
        </w:rPr>
      </w:pPr>
      <w:r>
        <w:rPr>
          <w:rFonts w:hint="eastAsia" w:ascii="微软雅黑" w:hAnsi="微软雅黑" w:cs="微软雅黑"/>
        </w:rPr>
        <w:t xml:space="preserve">电话：</w:t>
      </w:r>
      <w:r/>
    </w:p>
    <w:p>
      <w:pPr>
        <w:spacing w:line="440" w:lineRule="exact"/>
        <w:rPr>
          <w:rFonts w:ascii="微软雅黑" w:hAnsi="微软雅黑" w:cs="微软雅黑"/>
        </w:rPr>
      </w:pPr>
      <w:r>
        <w:rPr>
          <w:rFonts w:hint="eastAsia" w:ascii="微软雅黑" w:hAnsi="微软雅黑" w:cs="微软雅黑"/>
        </w:rPr>
        <w:t xml:space="preserve">法定代表人（授权代表）（签字/盖章）：</w:t>
      </w:r>
      <w:r/>
    </w:p>
    <w:p>
      <w:pPr>
        <w:spacing w:line="440" w:lineRule="exact"/>
        <w:rPr>
          <w:rFonts w:ascii="微软雅黑" w:hAnsi="微软雅黑" w:cs="微软雅黑"/>
        </w:rPr>
      </w:pPr>
      <w:r>
        <w:rPr>
          <w:rFonts w:hint="eastAsia" w:ascii="微软雅黑" w:hAnsi="微软雅黑" w:cs="微软雅黑"/>
        </w:rPr>
        <w:t xml:space="preserve">日期：</w:t>
      </w:r>
      <w:r/>
    </w:p>
    <w:p>
      <w:pPr>
        <w:rPr>
          <w:rFonts w:ascii="微软雅黑" w:hAnsi="微软雅黑" w:cs="微软雅黑"/>
        </w:rPr>
      </w:pPr>
      <w:r>
        <w:rPr>
          <w:rFonts w:ascii="微软雅黑" w:hAnsi="微软雅黑" w:cs="微软雅黑"/>
        </w:rPr>
      </w:r>
      <w:r/>
    </w:p>
    <w:p>
      <w:pPr>
        <w:pStyle w:val="1274"/>
        <w:numPr>
          <w:ilvl w:val="0"/>
          <w:numId w:val="17"/>
        </w:numPr>
        <w:jc w:val="center"/>
        <w:rPr>
          <w:rFonts w:ascii="微软雅黑" w:hAnsi="微软雅黑" w:cs="微软雅黑"/>
          <w:b w:val="0"/>
          <w:bCs w:val="0"/>
          <w:sz w:val="28"/>
          <w:szCs w:val="28"/>
        </w:rPr>
      </w:pPr>
      <w:r/>
      <w:bookmarkStart w:id="333" w:name="_Toc15166"/>
      <w:r/>
      <w:bookmarkStart w:id="334" w:name="_Toc28250"/>
      <w:r>
        <w:rPr>
          <w:rFonts w:hint="eastAsia" w:ascii="微软雅黑" w:hAnsi="微软雅黑" w:cs="微软雅黑"/>
          <w:b w:val="0"/>
          <w:bCs w:val="0"/>
          <w:sz w:val="24"/>
          <w:szCs w:val="24"/>
        </w:rPr>
        <w:br w:type="page" w:clear="all"/>
      </w:r>
      <w:bookmarkStart w:id="335" w:name="_Toc1716"/>
      <w:r/>
      <w:bookmarkStart w:id="336" w:name="_Toc31151"/>
      <w:r/>
      <w:bookmarkStart w:id="337" w:name="_Toc8723"/>
      <w:r/>
      <w:bookmarkStart w:id="338" w:name="_Toc3870"/>
      <w:r/>
      <w:bookmarkStart w:id="339" w:name="_Toc30211"/>
      <w:r>
        <w:rPr>
          <w:rFonts w:hint="eastAsia" w:ascii="微软雅黑" w:hAnsi="微软雅黑" w:cs="微软雅黑"/>
          <w:b w:val="0"/>
          <w:bCs w:val="0"/>
          <w:sz w:val="28"/>
          <w:szCs w:val="28"/>
        </w:rPr>
        <w:t xml:space="preserve">开标一览表</w:t>
      </w:r>
      <w:bookmarkEnd w:id="333"/>
      <w:r/>
      <w:bookmarkEnd w:id="334"/>
      <w:r/>
      <w:bookmarkEnd w:id="335"/>
      <w:r/>
      <w:bookmarkEnd w:id="336"/>
      <w:r/>
      <w:bookmarkEnd w:id="337"/>
      <w:r/>
      <w:bookmarkEnd w:id="338"/>
      <w:r/>
      <w:bookmarkEnd w:id="339"/>
      <w:r/>
      <w:r/>
    </w:p>
    <w:p>
      <w:pPr>
        <w:pStyle w:val="1275"/>
        <w:ind w:firstLine="0"/>
        <w:spacing w:line="440" w:lineRule="exact"/>
        <w:rPr>
          <w:rFonts w:ascii="微软雅黑" w:hAnsi="微软雅黑" w:eastAsia="微软雅黑" w:cs="微软雅黑"/>
        </w:rPr>
      </w:pPr>
      <w:r>
        <w:rPr>
          <w:rFonts w:ascii="微软雅黑" w:hAnsi="微软雅黑" w:eastAsia="微软雅黑" w:cs="微软雅黑"/>
        </w:rPr>
      </w:r>
      <w:r/>
    </w:p>
    <w:tbl>
      <w:tblPr>
        <w:tblStyle w:val="110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投标报价总计</w:t>
            </w:r>
            <w:r/>
          </w:p>
        </w:tc>
        <w:tc>
          <w:tcPr>
            <w:tcW w:w="5898" w:type="dxa"/>
            <w:textDirection w:val="lrTb"/>
            <w:noWrap w:val="false"/>
          </w:tcPr>
          <w:p>
            <w:pPr>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p>
          <w:p>
            <w:pPr>
              <w:pStyle w:val="1297"/>
              <w:ind w:left="0"/>
              <w:rPr>
                <w:rFonts w:ascii="微软雅黑" w:hAnsi="微软雅黑" w:cs="微软雅黑"/>
                <w:u w:val="single"/>
              </w:rPr>
            </w:pPr>
            <w:r>
              <w:rPr>
                <w:rFonts w:hint="eastAsia" w:ascii="微软雅黑" w:hAnsi="微软雅黑" w:cs="微软雅黑"/>
              </w:rPr>
              <w:t xml:space="preserve">（小写）￥</w:t>
            </w:r>
            <w:r>
              <w:rPr>
                <w:rFonts w:hint="eastAsia" w:ascii="微软雅黑" w:hAnsi="微软雅黑" w:cs="微软雅黑"/>
                <w:u w:val="single"/>
              </w:rPr>
              <w:t xml:space="preserve">                                </w:t>
            </w:r>
            <w:r/>
          </w:p>
        </w:tc>
      </w:tr>
    </w:tbl>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法定代表人（授权代表）（签字/盖章）：</w:t>
      </w:r>
      <w:r/>
    </w:p>
    <w:p>
      <w:pPr>
        <w:pStyle w:val="1297"/>
        <w:ind w:left="0"/>
        <w:rPr>
          <w:rFonts w:ascii="微软雅黑" w:hAnsi="微软雅黑" w:cs="微软雅黑"/>
        </w:rPr>
      </w:pPr>
      <w:r>
        <w:rPr>
          <w:rFonts w:hint="eastAsia" w:ascii="微软雅黑" w:hAnsi="微软雅黑" w:cs="微软雅黑"/>
        </w:rPr>
        <w:t xml:space="preserve">日期：</w:t>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p>
    <w:p>
      <w:pPr>
        <w:pStyle w:val="1297"/>
        <w:ind w:left="0" w:firstLine="360"/>
        <w:spacing w:line="360" w:lineRule="exact"/>
        <w:rPr>
          <w:rFonts w:ascii="微软雅黑" w:hAnsi="微软雅黑" w:cs="微软雅黑"/>
          <w:sz w:val="18"/>
          <w:szCs w:val="18"/>
        </w:rPr>
      </w:pPr>
      <w:r>
        <w:rPr>
          <w:rFonts w:hint="eastAsia" w:ascii="微软雅黑" w:hAnsi="微软雅黑" w:cs="微软雅黑"/>
          <w:b/>
          <w:bCs/>
          <w:sz w:val="18"/>
          <w:szCs w:val="18"/>
        </w:rPr>
        <w:t xml:space="preserve">（2）开标一览表除了装订在投标文件中以外，还需要提供一份单独密封的开标一览表，单独密封的开标一览表仅是为方便唱标所用，如未提供，不构成投标文件的完整性偏离。</w:t>
      </w:r>
      <w:r/>
    </w:p>
    <w:p>
      <w:pPr>
        <w:pStyle w:val="1297"/>
        <w:ind w:left="1260"/>
        <w:rPr>
          <w:rFonts w:ascii="微软雅黑" w:hAnsi="微软雅黑" w:cs="微软雅黑"/>
          <w:sz w:val="18"/>
          <w:szCs w:val="18"/>
        </w:rPr>
      </w:pPr>
      <w:r>
        <w:rPr>
          <w:rFonts w:ascii="微软雅黑" w:hAnsi="微软雅黑" w:cs="微软雅黑"/>
          <w:sz w:val="18"/>
          <w:szCs w:val="18"/>
        </w:rPr>
      </w:r>
      <w:r/>
    </w:p>
    <w:p>
      <w:pPr>
        <w:pStyle w:val="1274"/>
        <w:numPr>
          <w:ilvl w:val="0"/>
          <w:numId w:val="17"/>
        </w:numPr>
        <w:jc w:val="center"/>
        <w:rPr>
          <w:rFonts w:ascii="微软雅黑" w:hAnsi="微软雅黑" w:cs="微软雅黑"/>
          <w:b w:val="0"/>
          <w:bCs w:val="0"/>
          <w:sz w:val="28"/>
          <w:szCs w:val="28"/>
        </w:rPr>
      </w:pPr>
      <w:r/>
      <w:bookmarkStart w:id="340" w:name="_Toc17085"/>
      <w:r/>
      <w:bookmarkStart w:id="341" w:name="_Toc25833"/>
      <w:r/>
      <w:bookmarkStart w:id="342" w:name="_Toc403725575"/>
      <w:r>
        <w:rPr>
          <w:rFonts w:hint="eastAsia" w:ascii="微软雅黑" w:hAnsi="微软雅黑" w:cs="微软雅黑"/>
          <w:b w:val="0"/>
          <w:bCs w:val="0"/>
          <w:sz w:val="24"/>
          <w:szCs w:val="24"/>
        </w:rPr>
        <w:br w:type="page" w:clear="all"/>
      </w:r>
      <w:bookmarkStart w:id="343" w:name="_Toc11841"/>
      <w:r/>
      <w:bookmarkStart w:id="344" w:name="_Toc23438"/>
      <w:r/>
      <w:bookmarkStart w:id="345" w:name="_Toc28545"/>
      <w:r/>
      <w:bookmarkStart w:id="346" w:name="_Toc23713"/>
      <w:r/>
      <w:bookmarkStart w:id="347" w:name="_Toc7793"/>
      <w:r>
        <w:rPr>
          <w:rFonts w:hint="eastAsia" w:ascii="微软雅黑" w:hAnsi="微软雅黑" w:cs="微软雅黑"/>
          <w:b w:val="0"/>
          <w:bCs w:val="0"/>
          <w:sz w:val="28"/>
          <w:szCs w:val="28"/>
        </w:rPr>
        <w:t xml:space="preserve">投标报价明细表</w:t>
      </w:r>
      <w:bookmarkEnd w:id="340"/>
      <w:r/>
      <w:bookmarkEnd w:id="341"/>
      <w:r/>
      <w:bookmarkEnd w:id="342"/>
      <w:r/>
      <w:bookmarkEnd w:id="343"/>
      <w:r/>
      <w:bookmarkEnd w:id="344"/>
      <w:r/>
      <w:bookmarkEnd w:id="345"/>
      <w:r/>
      <w:bookmarkEnd w:id="346"/>
      <w:r/>
      <w:bookmarkEnd w:id="347"/>
      <w:r/>
      <w:r/>
    </w:p>
    <w:tbl>
      <w:tblPr>
        <w:tblStyle w:val="1104"/>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444"/>
        <w:gridCol w:w="1048"/>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序号</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
                <w:szCs w:val="21"/>
              </w:rPr>
              <w:t xml:space="preserve">产品名称</w:t>
            </w:r>
            <w:r/>
          </w:p>
        </w:tc>
        <w:tc>
          <w:tcPr>
            <w:tcMar>
              <w:left w:w="15" w:type="dxa"/>
              <w:top w:w="15" w:type="dxa"/>
              <w:right w:w="15" w:type="dxa"/>
              <w:bottom w:w="0" w:type="dxa"/>
            </w:tcMar>
            <w:tcW w:w="1048"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详细部件名称</w:t>
            </w:r>
            <w:r/>
          </w:p>
        </w:tc>
        <w:tc>
          <w:tcPr>
            <w:tcMar>
              <w:left w:w="15" w:type="dxa"/>
              <w:top w:w="15" w:type="dxa"/>
              <w:right w:w="15" w:type="dxa"/>
              <w:bottom w:w="0" w:type="dxa"/>
            </w:tcMar>
            <w:tcW w:w="766"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规格</w:t>
            </w:r>
            <w:r/>
          </w:p>
          <w:p>
            <w:pPr>
              <w:jc w:val="center"/>
              <w:spacing w:line="420" w:lineRule="exact"/>
              <w:rPr>
                <w:rFonts w:ascii="微软雅黑" w:hAnsi="微软雅黑" w:cs="微软雅黑"/>
                <w:bCs/>
                <w:szCs w:val="21"/>
              </w:rPr>
            </w:pPr>
            <w:r>
              <w:rPr>
                <w:rFonts w:hint="eastAsia" w:ascii="微软雅黑" w:hAnsi="微软雅黑" w:cs="微软雅黑"/>
                <w:bCs/>
                <w:szCs w:val="21"/>
              </w:rPr>
              <w:t xml:space="preserve">型号</w:t>
            </w:r>
            <w:r/>
          </w:p>
        </w:tc>
        <w:tc>
          <w:tcPr>
            <w:tcMar>
              <w:left w:w="15" w:type="dxa"/>
              <w:top w:w="15" w:type="dxa"/>
              <w:right w:w="15" w:type="dxa"/>
              <w:bottom w:w="0" w:type="dxa"/>
            </w:tcMar>
            <w:tcW w:w="678"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数量</w:t>
            </w:r>
            <w:r/>
          </w:p>
        </w:tc>
        <w:tc>
          <w:tcPr>
            <w:tcMar>
              <w:left w:w="15" w:type="dxa"/>
              <w:top w:w="15" w:type="dxa"/>
              <w:right w:w="15" w:type="dxa"/>
              <w:bottom w:w="0" w:type="dxa"/>
            </w:tcMar>
            <w:tcW w:w="590"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单位</w:t>
            </w:r>
            <w:r/>
          </w:p>
        </w:tc>
        <w:tc>
          <w:tcPr>
            <w:tcMar>
              <w:left w:w="15" w:type="dxa"/>
              <w:top w:w="15" w:type="dxa"/>
              <w:right w:w="15" w:type="dxa"/>
              <w:bottom w:w="0" w:type="dxa"/>
            </w:tcMar>
            <w:tcW w:w="61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品牌</w:t>
            </w:r>
            <w:r/>
          </w:p>
        </w:tc>
        <w:tc>
          <w:tcPr>
            <w:tcMar>
              <w:left w:w="15" w:type="dxa"/>
              <w:top w:w="15" w:type="dxa"/>
              <w:right w:w="15" w:type="dxa"/>
              <w:bottom w:w="0" w:type="dxa"/>
            </w:tcMar>
            <w:tcW w:w="58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单价（元）</w:t>
            </w:r>
            <w:r/>
          </w:p>
        </w:tc>
        <w:tc>
          <w:tcPr>
            <w:tcMar>
              <w:left w:w="15" w:type="dxa"/>
              <w:top w:w="15" w:type="dxa"/>
              <w:right w:w="15" w:type="dxa"/>
              <w:bottom w:w="0" w:type="dxa"/>
            </w:tcMar>
            <w:tcW w:w="61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总价（元）</w:t>
            </w:r>
            <w:r/>
          </w:p>
        </w:tc>
        <w:tc>
          <w:tcPr>
            <w:tcMar>
              <w:left w:w="15" w:type="dxa"/>
              <w:top w:w="15" w:type="dxa"/>
              <w:right w:w="15" w:type="dxa"/>
              <w:bottom w:w="0" w:type="dxa"/>
            </w:tcMar>
            <w:tcW w:w="604"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生产厂商</w:t>
            </w:r>
            <w:r/>
          </w:p>
        </w:tc>
        <w:tc>
          <w:tcPr>
            <w:tcMar>
              <w:left w:w="15" w:type="dxa"/>
              <w:top w:w="15" w:type="dxa"/>
              <w:right w:w="15" w:type="dxa"/>
              <w:bottom w:w="0" w:type="dxa"/>
            </w:tcMar>
            <w:tcW w:w="353"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产地</w:t>
            </w:r>
            <w:r/>
          </w:p>
        </w:tc>
        <w:tc>
          <w:tcPr>
            <w:tcW w:w="445"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质保期</w:t>
            </w:r>
            <w:r/>
          </w:p>
        </w:tc>
        <w:tc>
          <w:tcPr>
            <w:tcMar>
              <w:left w:w="15" w:type="dxa"/>
              <w:top w:w="15" w:type="dxa"/>
              <w:right w:w="15" w:type="dxa"/>
              <w:bottom w:w="0" w:type="dxa"/>
            </w:tcMar>
            <w:tcW w:w="572"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备注</w:t>
            </w:r>
            <w:r/>
          </w:p>
        </w:tc>
      </w:tr>
      <w:tr>
        <w:trPr>
          <w:cantSplit/>
          <w:trHeight w:val="858"/>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1</w:t>
            </w:r>
            <w:r/>
          </w:p>
        </w:tc>
        <w:tc>
          <w:tcPr>
            <w:tcMar>
              <w:left w:w="15" w:type="dxa"/>
              <w:top w:w="15" w:type="dxa"/>
              <w:right w:w="15" w:type="dxa"/>
              <w:bottom w:w="0" w:type="dxa"/>
            </w:tcMar>
            <w:tcW w:w="144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90"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19"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89"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19"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04"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353"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445"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72"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2</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78"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90"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8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04"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353"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72"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3</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32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4</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5</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088"/>
        </w:trPr>
        <w:tc>
          <w:tcPr>
            <w:gridSpan w:val="3"/>
            <w:tcW w:w="3199"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投标报价总计</w:t>
            </w:r>
            <w:r/>
          </w:p>
        </w:tc>
        <w:tc>
          <w:tcPr>
            <w:gridSpan w:val="10"/>
            <w:tcMar>
              <w:left w:w="15" w:type="dxa"/>
              <w:top w:w="15" w:type="dxa"/>
              <w:right w:w="15" w:type="dxa"/>
              <w:bottom w:w="0" w:type="dxa"/>
            </w:tcMar>
            <w:tcW w:w="5835" w:type="dxa"/>
            <w:textDirection w:val="lrTb"/>
            <w:noWrap w:val="false"/>
          </w:tcPr>
          <w:p>
            <w:pPr>
              <w:jc w:val="left"/>
              <w:rPr>
                <w:rFonts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w:t>
            </w:r>
            <w:r/>
          </w:p>
          <w:p>
            <w:pPr>
              <w:jc w:val="left"/>
              <w:spacing w:line="420" w:lineRule="exact"/>
              <w:rPr>
                <w:rFonts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w:t>
            </w:r>
            <w:r/>
          </w:p>
        </w:tc>
      </w:tr>
      <w:tr>
        <w:trPr>
          <w:cantSplit/>
          <w:trHeight w:val="849"/>
        </w:trPr>
        <w:tc>
          <w:tcPr>
            <w:gridSpan w:val="13"/>
            <w:tcW w:w="9034" w:type="dxa"/>
            <w:vAlign w:val="center"/>
            <w:textDirection w:val="lrTb"/>
            <w:noWrap w:val="false"/>
          </w:tcPr>
          <w:p>
            <w:pPr>
              <w:jc w:val="left"/>
              <w:spacing w:line="420" w:lineRule="exact"/>
              <w:rPr>
                <w:rFonts w:ascii="微软雅黑" w:hAnsi="微软雅黑" w:cs="微软雅黑"/>
                <w:szCs w:val="21"/>
              </w:rPr>
            </w:pPr>
            <w:r>
              <w:rPr>
                <w:rFonts w:hint="eastAsia" w:ascii="微软雅黑" w:hAnsi="微软雅黑" w:cs="微软雅黑"/>
                <w:szCs w:val="21"/>
              </w:rPr>
              <w:t xml:space="preserve">本采购包中提供的符合本国产品标准的产品成本之和占该采购包提供的全部产品成本之和的比例为</w:t>
            </w:r>
            <w:r>
              <w:rPr>
                <w:rFonts w:hint="eastAsia" w:ascii="微软雅黑" w:hAnsi="微软雅黑" w:cs="微软雅黑"/>
                <w:szCs w:val="21"/>
                <w:u w:val="single"/>
              </w:rPr>
              <w:t xml:space="preserve">    </w:t>
            </w:r>
            <w:r>
              <w:rPr>
                <w:rFonts w:hint="eastAsia" w:ascii="微软雅黑" w:hAnsi="微软雅黑" w:cs="微软雅黑"/>
                <w:szCs w:val="21"/>
              </w:rPr>
              <w:t xml:space="preserve">%。</w:t>
            </w:r>
            <w:r/>
          </w:p>
        </w:tc>
      </w:tr>
    </w:tbl>
    <w:p>
      <w:r/>
      <w:r/>
    </w:p>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法定代表人（授权代表）（签字/盖章）：</w:t>
      </w:r>
      <w:r/>
    </w:p>
    <w:p>
      <w:pPr>
        <w:rPr>
          <w:rFonts w:ascii="微软雅黑" w:hAnsi="微软雅黑" w:cs="微软雅黑"/>
          <w:sz w:val="18"/>
          <w:szCs w:val="18"/>
        </w:rPr>
      </w:pPr>
      <w:r>
        <w:rPr>
          <w:rFonts w:hint="eastAsia" w:ascii="微软雅黑" w:hAnsi="微软雅黑" w:cs="微软雅黑"/>
        </w:rPr>
        <w:t xml:space="preserve">日期：</w:t>
      </w:r>
      <w:r/>
    </w:p>
    <w:p>
      <w:pPr>
        <w:jc w:val="left"/>
        <w:spacing w:line="28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注：</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投标报价包括采购文件所规定的采购范围的全部内容。包括但不仅限于全部货物的价格及相关税费、运输到指定地点的装运费用、安装调试、培训、售后服务等其他有关的所有费用。</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上表中的“合计”应当等于“开标一览表”中“投标报价总计”数。</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8"/>
        </w:numPr>
        <w:ind w:left="0" w:firstLine="0"/>
        <w:jc w:val="left"/>
        <w:spacing w:line="360" w:lineRule="exact"/>
        <w:tabs>
          <w:tab w:val="left" w:pos="220" w:leader="none"/>
        </w:tabs>
        <w:rPr>
          <w:rFonts w:ascii="微软雅黑" w:hAnsi="微软雅黑" w:cs="微软雅黑"/>
        </w:rPr>
      </w:pPr>
      <w:r>
        <w:rPr>
          <w:rFonts w:hint="eastAsia" w:ascii="微软雅黑" w:hAnsi="微软雅黑" w:cs="微软雅黑"/>
          <w:b/>
          <w:bCs/>
          <w:sz w:val="18"/>
          <w:szCs w:val="18"/>
        </w:rPr>
        <w:t xml:space="preserve">报价明细表中不得有零元报价或免费赠送产品。</w:t>
      </w:r>
      <w:r/>
    </w:p>
    <w:p>
      <w:pPr>
        <w:numPr>
          <w:ilvl w:val="0"/>
          <w:numId w:val="18"/>
        </w:numPr>
        <w:ind w:left="0" w:firstLine="0"/>
        <w:jc w:val="left"/>
        <w:spacing w:line="36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exact"/>
        <w:tabs>
          <w:tab w:val="left" w:pos="220" w:leader="none"/>
        </w:tabs>
        <w:rPr>
          <w:rFonts w:ascii="微软雅黑" w:hAnsi="微软雅黑" w:cs="微软雅黑"/>
        </w:rPr>
      </w:pPr>
      <w:r>
        <w:rPr>
          <w:rFonts w:ascii="微软雅黑" w:hAnsi="微软雅黑" w:cs="微软雅黑"/>
        </w:rPr>
      </w:r>
      <w:r/>
    </w:p>
    <w:p>
      <w:pPr>
        <w:pStyle w:val="1274"/>
        <w:numPr>
          <w:ilvl w:val="0"/>
          <w:numId w:val="17"/>
        </w:numPr>
        <w:jc w:val="center"/>
        <w:rPr>
          <w:rFonts w:ascii="微软雅黑" w:hAnsi="微软雅黑" w:cs="微软雅黑"/>
          <w:b w:val="0"/>
          <w:bCs w:val="0"/>
          <w:sz w:val="28"/>
          <w:szCs w:val="28"/>
        </w:rPr>
      </w:pPr>
      <w:r/>
      <w:bookmarkStart w:id="348" w:name="_Toc7766"/>
      <w:r/>
      <w:bookmarkStart w:id="349" w:name="_Toc1642"/>
      <w:r/>
      <w:bookmarkStart w:id="350" w:name="_Toc31996"/>
      <w:r/>
      <w:bookmarkStart w:id="351" w:name="_Toc365968480"/>
      <w:r/>
      <w:bookmarkStart w:id="352" w:name="_Toc16661"/>
      <w:r/>
      <w:bookmarkStart w:id="353" w:name="_Toc2374"/>
      <w:r/>
      <w:bookmarkStart w:id="354" w:name="_Toc3044"/>
      <w:r/>
      <w:bookmarkStart w:id="355" w:name="_Toc16518"/>
      <w:r>
        <w:rPr>
          <w:rFonts w:hint="eastAsia" w:ascii="微软雅黑" w:hAnsi="微软雅黑" w:cs="微软雅黑"/>
          <w:b w:val="0"/>
          <w:bCs w:val="0"/>
          <w:sz w:val="28"/>
          <w:szCs w:val="28"/>
        </w:rPr>
        <w:t xml:space="preserve">技术要求响应表</w:t>
      </w:r>
      <w:bookmarkEnd w:id="348"/>
      <w:r/>
      <w:bookmarkEnd w:id="349"/>
      <w:r/>
      <w:bookmarkEnd w:id="350"/>
      <w:r/>
      <w:bookmarkEnd w:id="351"/>
      <w:r/>
      <w:bookmarkEnd w:id="352"/>
      <w:r/>
      <w:bookmarkEnd w:id="353"/>
      <w:r/>
      <w:bookmarkEnd w:id="354"/>
      <w:r/>
      <w:bookmarkEnd w:id="355"/>
      <w:r/>
      <w:r/>
    </w:p>
    <w:tbl>
      <w:tblPr>
        <w:tblStyle w:val="1104"/>
        <w:tblW w:w="8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jc w:val="center"/>
          <w:trHeight w:val="794"/>
          <w:tblHeader/>
        </w:trPr>
        <w:tc>
          <w:tcPr>
            <w:tcW w:w="730"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序号</w:t>
            </w:r>
            <w:r/>
          </w:p>
        </w:tc>
        <w:tc>
          <w:tcPr>
            <w:tcW w:w="2174"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原技术规范主要条款描述</w:t>
            </w:r>
            <w:r/>
          </w:p>
        </w:tc>
        <w:tc>
          <w:tcPr>
            <w:tcW w:w="2172"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投标供应商技术规范描述</w:t>
            </w:r>
            <w:r/>
          </w:p>
        </w:tc>
        <w:tc>
          <w:tcPr>
            <w:tcW w:w="1853"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偏离情况（+/-/=）</w:t>
            </w:r>
            <w:r/>
          </w:p>
        </w:tc>
        <w:tc>
          <w:tcPr>
            <w:tcW w:w="1853"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证明材料所在页</w:t>
            </w:r>
            <w:r/>
          </w:p>
        </w:tc>
      </w:tr>
      <w:tr>
        <w:trPr>
          <w:jc w:val="center"/>
          <w:trHeight w:val="507"/>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1</w:t>
            </w:r>
            <w:r/>
          </w:p>
        </w:tc>
        <w:tc>
          <w:tcPr>
            <w:tcW w:w="2174" w:type="dxa"/>
            <w:textDirection w:val="lrTb"/>
            <w:noWrap w:val="false"/>
          </w:tcPr>
          <w:p>
            <w:pPr>
              <w:pStyle w:val="1297"/>
              <w:ind w:left="0"/>
              <w:spacing w:line="400" w:lineRule="exact"/>
            </w:pPr>
            <w:r/>
            <w:r/>
          </w:p>
        </w:tc>
        <w:tc>
          <w:tcPr>
            <w:tcW w:w="2172" w:type="dxa"/>
            <w:textDirection w:val="lrTb"/>
            <w:noWrap w:val="false"/>
          </w:tcPr>
          <w:p>
            <w:pP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03"/>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2</w:t>
            </w:r>
            <w:r/>
          </w:p>
        </w:tc>
        <w:tc>
          <w:tcPr>
            <w:tcW w:w="2174" w:type="dxa"/>
            <w:textDirection w:val="lrTb"/>
            <w:noWrap w:val="false"/>
          </w:tcPr>
          <w:p>
            <w:pPr>
              <w:pStyle w:val="1297"/>
              <w:ind w:left="0"/>
              <w:spacing w:line="400" w:lineRule="exact"/>
            </w:pPr>
            <w:r/>
            <w:r/>
          </w:p>
        </w:tc>
        <w:tc>
          <w:tcPr>
            <w:tcW w:w="2172" w:type="dxa"/>
            <w:textDirection w:val="lrTb"/>
            <w:noWrap w:val="false"/>
          </w:tcPr>
          <w:p>
            <w:pP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15"/>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3</w:t>
            </w:r>
            <w:r/>
          </w:p>
        </w:tc>
        <w:tc>
          <w:tcPr>
            <w:tcW w:w="2174" w:type="dxa"/>
            <w:textDirection w:val="lrTb"/>
            <w:noWrap w:val="false"/>
          </w:tcPr>
          <w:p>
            <w:pPr>
              <w:pStyle w:val="1297"/>
              <w:ind w:left="0"/>
              <w:spacing w:line="400" w:lineRule="exact"/>
            </w:pPr>
            <w:r/>
            <w:r/>
          </w:p>
        </w:tc>
        <w:tc>
          <w:tcPr>
            <w:tcW w:w="2172"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15"/>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4</w:t>
            </w:r>
            <w:r/>
          </w:p>
        </w:tc>
        <w:tc>
          <w:tcPr>
            <w:tcW w:w="2174" w:type="dxa"/>
            <w:textDirection w:val="lrTb"/>
            <w:noWrap w:val="false"/>
          </w:tcPr>
          <w:p>
            <w:pPr>
              <w:pStyle w:val="1297"/>
              <w:ind w:left="0"/>
              <w:spacing w:line="400" w:lineRule="exact"/>
            </w:pPr>
            <w:r/>
            <w:r/>
          </w:p>
        </w:tc>
        <w:tc>
          <w:tcPr>
            <w:tcW w:w="2172"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bl>
    <w:p>
      <w:pPr>
        <w:spacing w:line="420" w:lineRule="exact"/>
        <w:rPr>
          <w:rFonts w:ascii="微软雅黑" w:hAnsi="微软雅黑" w:cs="微软雅黑"/>
          <w:sz w:val="28"/>
        </w:rPr>
      </w:pPr>
      <w:r>
        <w:rPr>
          <w:rFonts w:ascii="微软雅黑" w:hAnsi="微软雅黑" w:cs="微软雅黑"/>
          <w:sz w:val="28"/>
        </w:rPr>
      </w:r>
      <w:r/>
    </w:p>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p>
    <w:p>
      <w:pPr>
        <w:pStyle w:val="1297"/>
        <w:ind w:left="0"/>
        <w:rPr>
          <w:rFonts w:ascii="微软雅黑" w:hAnsi="微软雅黑" w:cs="微软雅黑"/>
        </w:rPr>
      </w:pPr>
      <w:r>
        <w:rPr>
          <w:rFonts w:hint="eastAsia" w:ascii="微软雅黑" w:hAnsi="微软雅黑" w:cs="微软雅黑"/>
        </w:rPr>
        <w:t xml:space="preserve">日期：</w:t>
      </w:r>
      <w:r/>
    </w:p>
    <w:p>
      <w:pPr>
        <w:ind w:firstLine="140"/>
        <w:spacing w:line="420" w:lineRule="exact"/>
        <w:rPr>
          <w:rFonts w:ascii="微软雅黑" w:hAnsi="微软雅黑" w:cs="微软雅黑"/>
          <w:sz w:val="28"/>
        </w:rPr>
      </w:pPr>
      <w:r>
        <w:rPr>
          <w:rFonts w:ascii="微软雅黑" w:hAnsi="微软雅黑" w:cs="微软雅黑"/>
          <w:sz w:val="28"/>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p>
    <w:p>
      <w:pPr>
        <w:pStyle w:val="1297"/>
        <w:ind w:left="1260"/>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297"/>
        <w:ind w:left="0"/>
        <w:rPr>
          <w:rFonts w:ascii="微软雅黑" w:hAnsi="微软雅黑" w:cs="微软雅黑"/>
        </w:rPr>
      </w:pPr>
      <w:r>
        <w:rPr>
          <w:rFonts w:ascii="微软雅黑" w:hAnsi="微软雅黑" w:cs="微软雅黑"/>
        </w:rPr>
      </w:r>
      <w:r/>
    </w:p>
    <w:p>
      <w:pPr>
        <w:pStyle w:val="1274"/>
        <w:rPr>
          <w:rFonts w:ascii="微软雅黑" w:hAnsi="微软雅黑" w:cs="微软雅黑"/>
          <w:sz w:val="30"/>
          <w:szCs w:val="30"/>
        </w:rPr>
        <w:sectPr>
          <w:headerReference w:type="default" r:id="rId13"/>
          <w:footerReference w:type="default" r:id="rId20"/>
          <w:footnotePr/>
          <w:endnotePr/>
          <w:type w:val="nextPage"/>
          <w:pgSz w:w="11906" w:h="16838" w:orient="portrait"/>
          <w:pgMar w:top="1440" w:right="1797" w:bottom="1440" w:left="1797" w:header="851" w:footer="992" w:gutter="0"/>
          <w:cols w:num="1" w:sep="0" w:space="1701" w:equalWidth="1"/>
          <w:docGrid w:linePitch="360"/>
        </w:sectPr>
      </w:pPr>
      <w:r/>
      <w:bookmarkStart w:id="356" w:name="_Toc493455961"/>
      <w:r/>
      <w:bookmarkStart w:id="357" w:name="_Toc365968482"/>
      <w:r/>
      <w:r/>
    </w:p>
    <w:p>
      <w:pPr>
        <w:pStyle w:val="1274"/>
        <w:numPr>
          <w:ilvl w:val="0"/>
          <w:numId w:val="17"/>
        </w:numPr>
        <w:jc w:val="center"/>
        <w:rPr>
          <w:rFonts w:ascii="微软雅黑" w:hAnsi="微软雅黑" w:cs="微软雅黑"/>
          <w:b w:val="0"/>
          <w:bCs w:val="0"/>
          <w:sz w:val="28"/>
          <w:szCs w:val="28"/>
        </w:rPr>
      </w:pPr>
      <w:r/>
      <w:bookmarkStart w:id="358" w:name="_Toc18282"/>
      <w:r/>
      <w:bookmarkStart w:id="359" w:name="_Toc13552"/>
      <w:r/>
      <w:bookmarkStart w:id="360" w:name="_Toc9134"/>
      <w:r/>
      <w:bookmarkStart w:id="361" w:name="_Toc32589"/>
      <w:r/>
      <w:bookmarkStart w:id="362" w:name="_Toc27209"/>
      <w:r/>
      <w:bookmarkStart w:id="363" w:name="_Toc3562"/>
      <w:r/>
      <w:bookmarkStart w:id="364" w:name="_Toc21799"/>
      <w:r>
        <w:rPr>
          <w:rFonts w:hint="eastAsia" w:ascii="微软雅黑" w:hAnsi="微软雅黑" w:cs="微软雅黑"/>
          <w:b w:val="0"/>
          <w:bCs w:val="0"/>
          <w:sz w:val="28"/>
          <w:szCs w:val="28"/>
        </w:rPr>
        <w:t xml:space="preserve">商务要求响应表</w:t>
      </w:r>
      <w:bookmarkEnd w:id="356"/>
      <w:r/>
      <w:bookmarkEnd w:id="357"/>
      <w:r/>
      <w:bookmarkEnd w:id="358"/>
      <w:r/>
      <w:bookmarkEnd w:id="359"/>
      <w:r/>
      <w:bookmarkEnd w:id="360"/>
      <w:r/>
      <w:bookmarkEnd w:id="361"/>
      <w:r/>
      <w:bookmarkEnd w:id="362"/>
      <w:r/>
      <w:bookmarkEnd w:id="363"/>
      <w:r/>
      <w:bookmarkEnd w:id="364"/>
      <w:r/>
      <w:r/>
    </w:p>
    <w:tbl>
      <w:tblPr>
        <w:tblStyle w:val="1104"/>
        <w:tblW w:w="8777" w:type="dxa"/>
        <w:tblInd w:w="-45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序号</w:t>
            </w:r>
            <w:r/>
          </w:p>
        </w:tc>
        <w:tc>
          <w:tcPr>
            <w:tcW w:w="3609"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原商务主要条款描述</w:t>
            </w:r>
            <w:r/>
          </w:p>
        </w:tc>
        <w:tc>
          <w:tcPr>
            <w:tcW w:w="2809"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投标供应商的承诺或说明</w:t>
            </w:r>
            <w:r/>
          </w:p>
        </w:tc>
        <w:tc>
          <w:tcPr>
            <w:tcW w:w="1604"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偏离情况（+/-/=）</w:t>
            </w:r>
            <w:r/>
          </w:p>
        </w:tc>
      </w:tr>
      <w:tr>
        <w:trPr>
          <w:trHeight w:val="69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1</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2</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3</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4</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5</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77"/>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6</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bl>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p>
    <w:p>
      <w:pPr>
        <w:pStyle w:val="1297"/>
        <w:ind w:left="0"/>
        <w:rPr>
          <w:rFonts w:ascii="微软雅黑" w:hAnsi="微软雅黑" w:cs="微软雅黑"/>
          <w:sz w:val="28"/>
          <w:szCs w:val="28"/>
        </w:rPr>
      </w:pPr>
      <w:r>
        <w:rPr>
          <w:rFonts w:hint="eastAsia" w:ascii="微软雅黑" w:hAnsi="微软雅黑" w:cs="微软雅黑"/>
        </w:rPr>
        <w:t xml:space="preserve">日期：</w:t>
      </w:r>
      <w:r/>
    </w:p>
    <w:p>
      <w:pPr>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bookmarkStart w:id="365" w:name="_Toc365968484"/>
      <w:r/>
      <w:bookmarkStart w:id="366" w:name="_Toc351733249"/>
      <w:r/>
      <w:r/>
    </w:p>
    <w:p>
      <w:pPr>
        <w:pStyle w:val="1297"/>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sz w:val="18"/>
          <w:szCs w:val="18"/>
        </w:rPr>
      </w:pPr>
      <w:r>
        <w:rPr>
          <w:rFonts w:ascii="微软雅黑" w:hAnsi="微软雅黑" w:cs="微软雅黑"/>
          <w:sz w:val="18"/>
          <w:szCs w:val="18"/>
        </w:rPr>
      </w:r>
      <w:r/>
    </w:p>
    <w:p>
      <w:pPr>
        <w:pStyle w:val="1297"/>
        <w:ind w:left="1260"/>
        <w:rPr>
          <w:rFonts w:ascii="微软雅黑" w:hAnsi="微软雅黑" w:cs="微软雅黑"/>
        </w:rPr>
      </w:pPr>
      <w:r>
        <w:rPr>
          <w:rFonts w:ascii="微软雅黑" w:hAnsi="微软雅黑" w:cs="微软雅黑"/>
        </w:rPr>
      </w:r>
      <w:r/>
    </w:p>
    <w:p>
      <w:r/>
      <w:r/>
    </w:p>
    <w:p>
      <w:pPr>
        <w:pStyle w:val="1274"/>
        <w:numPr>
          <w:ilvl w:val="3"/>
          <w:numId w:val="19"/>
        </w:numPr>
        <w:ind w:left="426" w:hanging="426"/>
        <w:jc w:val="center"/>
        <w:rPr>
          <w:rFonts w:ascii="微软雅黑" w:hAnsi="微软雅黑" w:cs="微软雅黑"/>
          <w:b w:val="0"/>
          <w:bCs w:val="0"/>
          <w:sz w:val="28"/>
          <w:szCs w:val="28"/>
        </w:rPr>
      </w:pPr>
      <w:r/>
      <w:bookmarkStart w:id="367" w:name="_Toc7701"/>
      <w:r/>
      <w:bookmarkStart w:id="368" w:name="_Toc6511"/>
      <w:r>
        <w:rPr>
          <w:rFonts w:hint="eastAsia" w:ascii="微软雅黑" w:hAnsi="微软雅黑" w:cs="微软雅黑"/>
          <w:b w:val="0"/>
          <w:bCs w:val="0"/>
          <w:sz w:val="24"/>
          <w:szCs w:val="24"/>
        </w:rPr>
        <w:br w:type="page" w:clear="all"/>
      </w:r>
      <w:bookmarkEnd w:id="365"/>
      <w:r/>
      <w:bookmarkEnd w:id="366"/>
      <w:r/>
      <w:bookmarkEnd w:id="367"/>
      <w:r/>
      <w:bookmarkEnd w:id="368"/>
      <w:r/>
      <w:bookmarkStart w:id="369" w:name="_Toc22170"/>
      <w:r/>
      <w:bookmarkStart w:id="370" w:name="_Toc23055"/>
      <w:r/>
      <w:bookmarkStart w:id="371" w:name="_Toc10005"/>
      <w:r/>
      <w:bookmarkStart w:id="372" w:name="_Toc13125"/>
      <w:r/>
      <w:bookmarkStart w:id="373" w:name="_Toc3300"/>
      <w:r>
        <w:rPr>
          <w:rFonts w:hint="eastAsia" w:ascii="微软雅黑" w:hAnsi="微软雅黑" w:cs="微软雅黑"/>
          <w:b w:val="0"/>
          <w:bCs w:val="0"/>
          <w:sz w:val="28"/>
          <w:szCs w:val="28"/>
        </w:rPr>
        <w:t xml:space="preserve">服务方案</w:t>
      </w:r>
      <w:bookmarkEnd w:id="369"/>
      <w:r/>
      <w:bookmarkEnd w:id="370"/>
      <w:r/>
      <w:bookmarkEnd w:id="371"/>
      <w:r/>
      <w:bookmarkEnd w:id="372"/>
      <w:r/>
      <w:bookmarkEnd w:id="373"/>
      <w:r/>
      <w:bookmarkStart w:id="374" w:name="_Toc27939"/>
      <w:r/>
      <w:bookmarkStart w:id="375" w:name="_Toc30482"/>
      <w:r/>
      <w:r/>
    </w:p>
    <w:p>
      <w:pPr>
        <w:pStyle w:val="1324"/>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rPr>
          <w:rFonts w:ascii="微软雅黑" w:hAnsi="微软雅黑" w:cs="微软雅黑"/>
          <w:sz w:val="28"/>
          <w:szCs w:val="28"/>
        </w:rPr>
      </w:pPr>
      <w:r>
        <w:rPr>
          <w:rFonts w:ascii="微软雅黑" w:hAnsi="微软雅黑" w:cs="微软雅黑"/>
          <w:sz w:val="28"/>
          <w:szCs w:val="28"/>
        </w:rPr>
      </w:r>
      <w:r/>
    </w:p>
    <w:p>
      <w:pPr>
        <w:pStyle w:val="1292"/>
      </w:pPr>
      <w:r/>
      <w:r/>
    </w:p>
    <w:p>
      <w:pPr>
        <w:rPr>
          <w:rFonts w:ascii="微软雅黑" w:hAnsi="微软雅黑" w:cs="微软雅黑"/>
          <w:sz w:val="28"/>
          <w:szCs w:val="28"/>
        </w:rPr>
      </w:pPr>
      <w:r>
        <w:rPr>
          <w:rFonts w:ascii="微软雅黑" w:hAnsi="微软雅黑" w:cs="微软雅黑"/>
          <w:sz w:val="28"/>
          <w:szCs w:val="28"/>
        </w:rPr>
      </w:r>
      <w:r/>
    </w:p>
    <w:p>
      <w:pPr>
        <w:pStyle w:val="1324"/>
        <w:ind w:firstLine="560"/>
        <w:rPr>
          <w:rFonts w:ascii="微软雅黑" w:hAnsi="微软雅黑" w:eastAsia="微软雅黑" w:cs="微软雅黑"/>
          <w:sz w:val="28"/>
          <w:szCs w:val="28"/>
        </w:rPr>
      </w:pPr>
      <w:r>
        <w:rPr>
          <w:rFonts w:ascii="微软雅黑" w:hAnsi="微软雅黑" w:eastAsia="微软雅黑" w:cs="微软雅黑"/>
          <w:sz w:val="28"/>
          <w:szCs w:val="28"/>
        </w:rPr>
      </w:r>
      <w:r/>
    </w:p>
    <w:p>
      <w:r/>
      <w:r/>
    </w:p>
    <w:p>
      <w:pPr>
        <w:pStyle w:val="1274"/>
        <w:numPr>
          <w:ilvl w:val="3"/>
          <w:numId w:val="19"/>
        </w:numPr>
        <w:ind w:left="426" w:hanging="426"/>
        <w:jc w:val="center"/>
        <w:rPr>
          <w:rFonts w:ascii="微软雅黑" w:hAnsi="微软雅黑" w:cs="微软雅黑"/>
          <w:b w:val="0"/>
          <w:bCs w:val="0"/>
          <w:sz w:val="28"/>
          <w:szCs w:val="28"/>
        </w:rPr>
      </w:pPr>
      <w:r/>
      <w:bookmarkStart w:id="376" w:name="_Toc22094"/>
      <w:r/>
      <w:bookmarkStart w:id="377" w:name="_Toc26105"/>
      <w:r/>
      <w:bookmarkStart w:id="378" w:name="_Toc1037"/>
      <w:r/>
      <w:bookmarkStart w:id="379" w:name="_Toc31056"/>
      <w:r/>
      <w:bookmarkStart w:id="380" w:name="_Toc22278"/>
      <w:r>
        <w:rPr>
          <w:rFonts w:hint="eastAsia" w:ascii="微软雅黑" w:hAnsi="微软雅黑" w:cs="微软雅黑"/>
          <w:b w:val="0"/>
          <w:bCs w:val="0"/>
          <w:sz w:val="28"/>
          <w:szCs w:val="28"/>
        </w:rPr>
        <w:t xml:space="preserve">经营业绩（提供合同复印件）</w:t>
      </w:r>
      <w:bookmarkEnd w:id="374"/>
      <w:r/>
      <w:bookmarkEnd w:id="375"/>
      <w:r/>
      <w:bookmarkEnd w:id="376"/>
      <w:r/>
      <w:bookmarkEnd w:id="377"/>
      <w:r/>
      <w:bookmarkEnd w:id="378"/>
      <w:r/>
      <w:bookmarkEnd w:id="379"/>
      <w:r/>
      <w:bookmarkEnd w:id="380"/>
      <w:r/>
      <w:r/>
    </w:p>
    <w:tbl>
      <w:tblPr>
        <w:tblStyle w:val="1104"/>
        <w:tblW w:w="4998" w:type="pct"/>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053"/>
        <w:gridCol w:w="1788"/>
        <w:gridCol w:w="1139"/>
        <w:gridCol w:w="1156"/>
        <w:gridCol w:w="1718"/>
      </w:tblGrid>
      <w:tr>
        <w:trPr>
          <w:trHeight w:val="421"/>
        </w:trPr>
        <w:tc>
          <w:tcPr>
            <w:tcW w:w="36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dxa"/>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bl>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p>
    <w:p>
      <w:pPr>
        <w:ind w:firstLine="360"/>
        <w:spacing w:line="42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投标供应商所提供的经营业绩列入上表中。评委将依据每个经营业绩所附证明材料的有效性判断该业绩有效性。</w:t>
      </w:r>
      <w:r/>
    </w:p>
    <w:p>
      <w:pPr>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spacing w:before="19" w:line="420" w:lineRule="exact"/>
        <w:widowControl/>
        <w:rPr>
          <w:rFonts w:ascii="微软雅黑" w:hAnsi="微软雅黑" w:cs="微软雅黑"/>
          <w:b/>
          <w:szCs w:val="21"/>
        </w:rPr>
      </w:pPr>
      <w:r>
        <w:rPr>
          <w:rFonts w:hint="eastAsia" w:ascii="微软雅黑" w:hAnsi="微软雅黑" w:cs="微软雅黑"/>
          <w:b/>
          <w:i/>
          <w:iCs/>
          <w:sz w:val="24"/>
          <w:szCs w:val="24"/>
          <w:u w:val="single"/>
        </w:rPr>
        <w:t xml:space="preserve">注：1－5项为必须提供的内容，未提供或未按要求提供将不能通过符合性审查。</w:t>
      </w:r>
      <w:r/>
    </w:p>
    <w:p>
      <w:pPr>
        <w:pStyle w:val="1273"/>
        <w:numPr>
          <w:ilvl w:val="0"/>
          <w:numId w:val="20"/>
        </w:numPr>
        <w:rPr>
          <w:rFonts w:ascii="微软雅黑" w:hAnsi="微软雅黑" w:cs="微软雅黑"/>
        </w:rPr>
      </w:pPr>
      <w:r/>
      <w:bookmarkStart w:id="381" w:name="__x000F_二、资格证明文件"/>
      <w:r>
        <w:rPr>
          <w:rFonts w:hint="eastAsia" w:ascii="微软雅黑" w:hAnsi="微软雅黑" w:cs="微软雅黑"/>
        </w:rPr>
        <w:br w:type="page" w:clear="all"/>
      </w:r>
      <w:bookmarkEnd w:id="381"/>
      <w:r/>
      <w:bookmarkStart w:id="382" w:name="_Toc27299"/>
      <w:r/>
      <w:bookmarkStart w:id="383" w:name="_Toc16148"/>
      <w:r/>
      <w:bookmarkStart w:id="384" w:name="_Toc7939"/>
      <w:r/>
      <w:bookmarkStart w:id="385" w:name="_Toc11768"/>
      <w:r/>
      <w:bookmarkStart w:id="386" w:name="_Toc27927"/>
      <w:r/>
      <w:bookmarkStart w:id="387" w:name="_Toc19873"/>
      <w:r/>
      <w:bookmarkStart w:id="388" w:name="_Toc19940"/>
      <w:r>
        <w:rPr>
          <w:rFonts w:hint="eastAsia" w:ascii="微软雅黑" w:hAnsi="微软雅黑" w:cs="微软雅黑"/>
        </w:rPr>
        <w:t xml:space="preserve">资格证明文件格式</w:t>
      </w:r>
      <w:bookmarkEnd w:id="382"/>
      <w:r/>
      <w:bookmarkEnd w:id="383"/>
      <w:r/>
      <w:bookmarkEnd w:id="384"/>
      <w:r/>
      <w:bookmarkEnd w:id="385"/>
      <w:r/>
      <w:bookmarkEnd w:id="386"/>
      <w:r/>
      <w:bookmarkEnd w:id="387"/>
      <w:r/>
      <w:bookmarkEnd w:id="388"/>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1.4有依法缴纳税收的良好记录（提供2025年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至投标截止时间前任一月份依法缴纳税收的凭据（企业代缴的个人所得税除外）。依法免税的投标供应商，应提供相应文件证明）；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有依法缴纳社会保障资金的良好记录（提供2025年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至投标截止时间前任一月份依法缴纳社会保险的凭据（专用收据或社会保险的凭据）。依法不需要缴纳社会保障资金的投标供应商，应提供相应文件证明）；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9"/>
        <w:rPr>
          <w:rFonts w:ascii="微软雅黑" w:hAnsi="微软雅黑" w:cs="微软雅黑"/>
          <w:b/>
          <w:bCs/>
          <w:sz w:val="24"/>
          <w:szCs w:val="24"/>
        </w:rPr>
      </w:pPr>
      <w:r>
        <w:rPr>
          <w:rFonts w:hint="eastAsia" w:ascii="微软雅黑" w:hAnsi="微软雅黑" w:cs="微软雅黑"/>
          <w:b/>
          <w:bCs/>
          <w:sz w:val="24"/>
          <w:szCs w:val="24"/>
        </w:rPr>
        <w:t xml:space="preserve">声明</w:t>
      </w:r>
      <w:r/>
    </w:p>
    <w:p>
      <w:pPr>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ascii="微软雅黑" w:hAnsi="微软雅黑" w:cs="微软雅黑"/>
          <w:sz w:val="24"/>
          <w:szCs w:val="24"/>
        </w:rPr>
      </w:pPr>
      <w:r>
        <w:rPr>
          <w:rFonts w:ascii="微软雅黑" w:hAnsi="微软雅黑" w:cs="微软雅黑"/>
          <w:sz w:val="24"/>
          <w:szCs w:val="24"/>
        </w:rPr>
      </w:r>
      <w:r/>
    </w:p>
    <w:p>
      <w:pPr>
        <w:spacing w:line="360" w:lineRule="auto"/>
        <w:rPr>
          <w:rFonts w:ascii="微软雅黑" w:hAnsi="微软雅黑" w:cs="微软雅黑"/>
          <w:sz w:val="24"/>
          <w:szCs w:val="24"/>
        </w:rPr>
      </w:pPr>
      <w:r>
        <w:rPr>
          <w:rFonts w:ascii="微软雅黑" w:hAnsi="微软雅黑" w:cs="微软雅黑"/>
          <w:sz w:val="24"/>
          <w:szCs w:val="24"/>
        </w:rPr>
      </w:r>
      <w:r/>
    </w:p>
    <w:p>
      <w:pPr>
        <w:pStyle w:val="1297"/>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360" w:lineRule="auto"/>
        <w:rPr>
          <w:rFonts w:ascii="微软雅黑" w:hAnsi="微软雅黑" w:cs="微软雅黑"/>
          <w:szCs w:val="21"/>
        </w:rPr>
      </w:pPr>
      <w:r>
        <w:rPr>
          <w:rFonts w:hint="eastAsia" w:ascii="微软雅黑" w:hAnsi="微软雅黑" w:cs="微软雅黑"/>
          <w:szCs w:val="21"/>
        </w:rPr>
        <w:t xml:space="preserve">供应商全称（公章）：</w:t>
      </w:r>
      <w:r/>
    </w:p>
    <w:p>
      <w:pPr>
        <w:spacing w:line="360" w:lineRule="auto"/>
        <w:rPr>
          <w:rFonts w:ascii="微软雅黑" w:hAnsi="微软雅黑" w:cs="微软雅黑"/>
          <w:szCs w:val="21"/>
        </w:rPr>
      </w:pPr>
      <w:r>
        <w:rPr>
          <w:rFonts w:hint="eastAsia" w:ascii="微软雅黑" w:hAnsi="微软雅黑" w:cs="微软雅黑"/>
          <w:szCs w:val="21"/>
        </w:rPr>
        <w:t xml:space="preserve">法定代表人（或授权代表）签章/签字：</w:t>
      </w:r>
      <w:r/>
    </w:p>
    <w:p>
      <w:pPr>
        <w:spacing w:line="360" w:lineRule="auto"/>
        <w:rPr>
          <w:rFonts w:ascii="微软雅黑" w:hAnsi="微软雅黑" w:cs="微软雅黑"/>
          <w:szCs w:val="21"/>
        </w:rPr>
      </w:pPr>
      <w:r>
        <w:rPr>
          <w:rFonts w:hint="eastAsia" w:ascii="微软雅黑" w:hAnsi="微软雅黑" w:cs="微软雅黑"/>
          <w:szCs w:val="21"/>
        </w:rPr>
        <w:t xml:space="preserve">日期：</w:t>
      </w:r>
      <w:r/>
    </w:p>
    <w:p>
      <w:pPr>
        <w:pStyle w:val="1297"/>
        <w:ind w:left="0"/>
        <w:rPr>
          <w:rFonts w:ascii="微软雅黑" w:hAnsi="微软雅黑" w:cs="微软雅黑"/>
          <w:szCs w:val="21"/>
        </w:rPr>
      </w:pPr>
      <w:r>
        <w:rPr>
          <w:rFonts w:ascii="微软雅黑" w:hAnsi="微软雅黑" w:cs="微软雅黑"/>
          <w:szCs w:val="21"/>
        </w:rPr>
      </w:r>
      <w:r/>
    </w:p>
    <w:p>
      <w:pPr>
        <w:pStyle w:val="1297"/>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p>
    <w:p>
      <w:pPr>
        <w:pStyle w:val="1297"/>
        <w:numPr>
          <w:ilvl w:val="0"/>
          <w:numId w:val="21"/>
        </w:numPr>
        <w:spacing w:line="400" w:lineRule="exact"/>
        <w:rPr>
          <w:rFonts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是指供应商因违法经营受到刑事处罚或者责令停产停业、吊销许可证或者执照、较大数额罚款等行政处罚。</w:t>
      </w:r>
      <w:r/>
    </w:p>
    <w:p>
      <w:pPr>
        <w:pStyle w:val="1297"/>
        <w:ind w:left="0"/>
        <w:spacing w:line="400" w:lineRule="exact"/>
        <w:rPr>
          <w:rFonts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r/>
      <w:r/>
    </w:p>
    <w:p>
      <w:pPr>
        <w:pStyle w:val="1274"/>
        <w:jc w:val="center"/>
        <w:rPr>
          <w:rFonts w:ascii="微软雅黑" w:hAnsi="微软雅黑" w:cs="微软雅黑"/>
          <w:b w:val="0"/>
          <w:bCs w:val="0"/>
          <w:sz w:val="28"/>
          <w:szCs w:val="28"/>
        </w:rPr>
      </w:pPr>
      <w:r/>
      <w:bookmarkStart w:id="389" w:name="_Toc15819"/>
      <w:r/>
      <w:bookmarkStart w:id="390" w:name="_Toc7458"/>
      <w:r/>
      <w:bookmarkStart w:id="391" w:name="_Toc8288"/>
      <w:r/>
      <w:bookmarkStart w:id="392" w:name="_Toc23461"/>
      <w:r/>
      <w:bookmarkStart w:id="393" w:name="_Toc26667"/>
      <w:r/>
      <w:bookmarkStart w:id="394" w:name="_Toc19968"/>
      <w:r/>
      <w:bookmarkStart w:id="395" w:name="_Toc21386"/>
      <w:r/>
      <w:bookmarkStart w:id="396" w:name="_Toc24739"/>
      <w:r/>
      <w:bookmarkStart w:id="397" w:name="_Toc24232"/>
      <w:r>
        <w:rPr>
          <w:rFonts w:hint="eastAsia" w:ascii="微软雅黑" w:hAnsi="微软雅黑" w:cs="微软雅黑"/>
          <w:b w:val="0"/>
          <w:bCs w:val="0"/>
          <w:sz w:val="28"/>
          <w:szCs w:val="28"/>
        </w:rPr>
        <w:t xml:space="preserve">法人授权委托书</w:t>
      </w:r>
      <w:bookmarkEnd w:id="389"/>
      <w:r/>
      <w:bookmarkEnd w:id="390"/>
      <w:r/>
      <w:bookmarkEnd w:id="391"/>
      <w:r/>
      <w:bookmarkEnd w:id="392"/>
      <w:r/>
      <w:bookmarkEnd w:id="393"/>
      <w:r/>
      <w:bookmarkEnd w:id="394"/>
      <w:r/>
      <w:bookmarkEnd w:id="395"/>
      <w:r/>
      <w:bookmarkEnd w:id="396"/>
      <w:r/>
      <w:bookmarkEnd w:id="397"/>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spacing w:line="440" w:lineRule="exact"/>
        <w:rPr>
          <w:rFonts w:ascii="微软雅黑" w:hAnsi="微软雅黑" w:cs="微软雅黑"/>
        </w:rPr>
      </w:pPr>
      <w:r>
        <w:rPr>
          <w:rFonts w:hint="eastAsia" w:ascii="微软雅黑" w:hAnsi="微软雅黑" w:cs="微软雅黑"/>
        </w:rPr>
        <w:t xml:space="preserve">本授权书宣告：</w:t>
      </w:r>
      <w:r/>
    </w:p>
    <w:p>
      <w:pPr>
        <w:ind w:firstLine="420"/>
        <w:spacing w:line="440" w:lineRule="exact"/>
        <w:rPr>
          <w:rFonts w:ascii="微软雅黑" w:hAnsi="微软雅黑" w:cs="微软雅黑"/>
        </w:rPr>
      </w:pPr>
      <w:r>
        <w:rPr>
          <w:rFonts w:hint="eastAsia" w:ascii="微软雅黑" w:hAnsi="微软雅黑" w:cs="微软雅黑"/>
        </w:rPr>
        <w:t xml:space="preserve">委托单位：</w:t>
      </w:r>
      <w:r/>
    </w:p>
    <w:p>
      <w:pPr>
        <w:ind w:firstLine="420"/>
        <w:spacing w:line="440" w:lineRule="exact"/>
        <w:rPr>
          <w:rFonts w:ascii="微软雅黑" w:hAnsi="微软雅黑" w:cs="微软雅黑"/>
        </w:rPr>
      </w:pPr>
      <w:r>
        <w:rPr>
          <w:rFonts w:hint="eastAsia" w:ascii="微软雅黑" w:hAnsi="微软雅黑" w:cs="微软雅黑"/>
        </w:rPr>
        <w:t xml:space="preserve">地址：法定代表人：</w:t>
      </w:r>
      <w:r/>
    </w:p>
    <w:p>
      <w:pPr>
        <w:ind w:firstLine="420"/>
        <w:spacing w:line="440" w:lineRule="exact"/>
        <w:rPr>
          <w:rFonts w:ascii="微软雅黑" w:hAnsi="微软雅黑" w:cs="微软雅黑"/>
          <w:u w:val="single"/>
        </w:rPr>
      </w:pPr>
      <w:r>
        <w:rPr>
          <w:rFonts w:hint="eastAsia" w:ascii="微软雅黑" w:hAnsi="微软雅黑" w:cs="微软雅黑"/>
        </w:rPr>
        <w:t xml:space="preserve">受托人：姓名性别：出生日期：</w:t>
      </w:r>
      <w:r>
        <w:rPr>
          <w:rFonts w:hint="eastAsia" w:ascii="微软雅黑" w:hAnsi="微软雅黑" w:cs="微软雅黑"/>
          <w:u w:val="single"/>
        </w:rPr>
        <w:t xml:space="preserve">年月日</w:t>
      </w:r>
      <w:r/>
    </w:p>
    <w:p>
      <w:pPr>
        <w:ind w:firstLine="420"/>
        <w:spacing w:line="440" w:lineRule="exact"/>
        <w:rPr>
          <w:rFonts w:ascii="微软雅黑" w:hAnsi="微软雅黑" w:cs="微软雅黑"/>
          <w:u w:val="single"/>
        </w:rPr>
      </w:pPr>
      <w:r>
        <w:rPr>
          <w:rFonts w:hint="eastAsia" w:ascii="微软雅黑" w:hAnsi="微软雅黑" w:cs="微软雅黑"/>
        </w:rPr>
        <w:t xml:space="preserve">所在单位：职务：</w:t>
      </w:r>
      <w:r/>
    </w:p>
    <w:p>
      <w:pPr>
        <w:ind w:firstLine="420"/>
        <w:spacing w:line="440" w:lineRule="exact"/>
        <w:rPr>
          <w:rFonts w:ascii="微软雅黑" w:hAnsi="微软雅黑" w:cs="微软雅黑"/>
          <w:u w:val="single"/>
        </w:rPr>
      </w:pPr>
      <w:r>
        <w:rPr>
          <w:rFonts w:hint="eastAsia" w:ascii="微软雅黑" w:hAnsi="微软雅黑" w:cs="微软雅黑"/>
        </w:rPr>
        <w:t xml:space="preserve">身份证：联系方式：</w:t>
      </w:r>
      <w:r/>
    </w:p>
    <w:p>
      <w:pPr>
        <w:ind w:firstLine="420"/>
        <w:spacing w:line="440" w:lineRule="exact"/>
        <w:rPr>
          <w:rFonts w:ascii="微软雅黑" w:hAnsi="微软雅黑" w:cs="微软雅黑"/>
        </w:rPr>
      </w:pPr>
      <w:r>
        <w:rPr>
          <w:rFonts w:hint="eastAsia" w:ascii="微软雅黑" w:hAnsi="微软雅黑" w:cs="微软雅黑"/>
        </w:rPr>
        <w:t xml:space="preserve">兹委托受托人合法地代表我单位参加江苏省华采招标有限公司组织的项目名称：（项目编号为：）的采购活动，受托人有权在该投标活动中，以我单位的名义签署投标书和投标文件，与招标代理机构协商、澄清、解释并执行一切与此有关的事项。</w:t>
      </w:r>
      <w:r/>
    </w:p>
    <w:p>
      <w:pPr>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p>
                            <w:r/>
                            <w:r/>
                          </w:p>
                        </w:txbxContent>
                      </wps:txbx>
                      <wps:bodyPr wrap="square" upright="1"/>
                    </wps:wsp>
                  </a:graphicData>
                </a:graphic>
              </wp:anchor>
            </w:drawing>
          </mc:Choice>
          <mc:Fallback>
            <w:pict>
              <v:shape id="shape 9" o:spid="_x0000_s9" o:spt="202" type="#_x0000_t202" style="position:absolute;z-index:251668480;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p>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jc w:val="center"/>
                              <w:spacing w:line="440" w:lineRule="exact"/>
                            </w:pPr>
                            <w:r>
                              <w:rPr>
                                <w:rFonts w:hint="eastAsia"/>
                              </w:rPr>
                              <w:t xml:space="preserve">法定代表人身份证复印件（正反面）</w:t>
                            </w:r>
                            <w:r/>
                          </w:p>
                          <w:p>
                            <w:r/>
                            <w:r/>
                          </w:p>
                          <w:p>
                            <w:r/>
                            <w:r/>
                          </w:p>
                        </w:txbxContent>
                      </wps:txbx>
                      <wps:bodyPr wrap="square" upright="1"/>
                    </wps:wsp>
                  </a:graphicData>
                </a:graphic>
              </wp:anchor>
            </w:drawing>
          </mc:Choice>
          <mc:Fallback>
            <w:pict>
              <v:shape id="shape 10" o:spid="_x0000_s10" o:spt="202" type="#_x0000_t202" style="position:absolute;z-index:251667456;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法定代表人身份证复印件（正反面）</w:t>
                      </w:r>
                      <w:r/>
                    </w:p>
                    <w:p>
                      <w:r/>
                      <w:r/>
                    </w:p>
                    <w:p>
                      <w:r/>
                      <w:r/>
                    </w:p>
                  </w:txbxContent>
                </v:textbox>
              </v:shape>
            </w:pict>
          </mc:Fallback>
        </mc:AlternateContent>
      </w:r>
      <w:r>
        <w:rPr>
          <w:rFonts w:hint="eastAsia" w:ascii="微软雅黑" w:hAnsi="微软雅黑" w:cs="微软雅黑"/>
        </w:rPr>
        <w:t xml:space="preserve">附：</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jc w:val="right"/>
        <w:spacing w:line="440" w:lineRule="exact"/>
        <w:rPr>
          <w:rFonts w:ascii="微软雅黑" w:hAnsi="微软雅黑" w:cs="微软雅黑"/>
        </w:rPr>
      </w:pPr>
      <w:r>
        <w:rPr>
          <w:rFonts w:hint="eastAsia" w:ascii="微软雅黑" w:hAnsi="微软雅黑" w:cs="微软雅黑"/>
        </w:rPr>
        <w:t xml:space="preserve">委托单位：（公章）</w:t>
      </w:r>
      <w:r/>
    </w:p>
    <w:p>
      <w:pPr>
        <w:jc w:val="right"/>
        <w:spacing w:line="440" w:lineRule="exact"/>
        <w:rPr>
          <w:rFonts w:ascii="微软雅黑" w:hAnsi="微软雅黑" w:cs="微软雅黑"/>
        </w:rPr>
      </w:pPr>
      <w:r>
        <w:rPr>
          <w:rFonts w:hint="eastAsia" w:ascii="微软雅黑" w:hAnsi="微软雅黑" w:cs="微软雅黑"/>
        </w:rPr>
        <w:t xml:space="preserve">法定代表人：（签字/盖章）</w:t>
      </w:r>
      <w:r/>
    </w:p>
    <w:p>
      <w:pPr>
        <w:jc w:val="right"/>
        <w:spacing w:line="440" w:lineRule="exact"/>
        <w:rPr>
          <w:rFonts w:ascii="微软雅黑" w:hAnsi="微软雅黑" w:cs="微软雅黑"/>
        </w:rPr>
      </w:pPr>
      <w:r>
        <w:rPr>
          <w:rFonts w:hint="eastAsia" w:ascii="微软雅黑" w:hAnsi="微软雅黑" w:cs="微软雅黑"/>
        </w:rPr>
        <w:t xml:space="preserve">授权代表：（签字/盖章）</w:t>
      </w:r>
      <w:r/>
    </w:p>
    <w:p>
      <w:pPr>
        <w:jc w:val="right"/>
        <w:spacing w:line="440" w:lineRule="exact"/>
        <w:rPr>
          <w:rFonts w:ascii="微软雅黑" w:hAnsi="微软雅黑" w:cs="微软雅黑"/>
        </w:rPr>
      </w:pPr>
      <w:r>
        <w:rPr>
          <w:rFonts w:hint="eastAsia" w:ascii="微软雅黑" w:hAnsi="微软雅黑" w:cs="微软雅黑"/>
        </w:rPr>
        <w:t xml:space="preserve">年月日</w:t>
      </w:r>
      <w:r/>
    </w:p>
    <w:p>
      <w:pPr>
        <w:spacing w:line="420" w:lineRule="exact"/>
        <w:rPr>
          <w:rFonts w:ascii="微软雅黑" w:hAnsi="微软雅黑" w:cs="微软雅黑"/>
          <w:sz w:val="18"/>
          <w:szCs w:val="18"/>
        </w:rPr>
      </w:pPr>
      <w:r>
        <w:rPr>
          <w:rFonts w:ascii="微软雅黑" w:hAnsi="微软雅黑" w:cs="微软雅黑"/>
          <w:sz w:val="18"/>
          <w:szCs w:val="18"/>
        </w:rPr>
      </w:r>
      <w:r/>
    </w:p>
    <w:p>
      <w:pPr>
        <w:numPr>
          <w:ilvl w:val="0"/>
          <w:numId w:val="22"/>
        </w:numPr>
        <w:spacing w:line="420" w:lineRule="exact"/>
        <w:rPr>
          <w:rFonts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p>
    <w:p>
      <w:pPr>
        <w:spacing w:line="360" w:lineRule="auto"/>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b/>
          <w:bCs/>
          <w:szCs w:val="21"/>
        </w:rPr>
      </w:pPr>
      <w:r>
        <w:rPr>
          <w:rFonts w:ascii="微软雅黑" w:hAnsi="微软雅黑" w:cs="微软雅黑"/>
          <w:b/>
          <w:bCs/>
          <w:szCs w:val="21"/>
        </w:rPr>
      </w:r>
      <w:r/>
    </w:p>
    <w:p>
      <w:pPr>
        <w:spacing w:line="420" w:lineRule="exact"/>
        <w:rPr>
          <w:rFonts w:ascii="微软雅黑" w:hAnsi="微软雅黑" w:cs="微软雅黑"/>
          <w:b/>
          <w:bCs/>
          <w:szCs w:val="21"/>
        </w:rPr>
      </w:pPr>
      <w:r>
        <w:rPr>
          <w:rFonts w:ascii="微软雅黑" w:hAnsi="微软雅黑" w:cs="微软雅黑"/>
          <w:b/>
          <w:bCs/>
          <w:szCs w:val="21"/>
        </w:rPr>
      </w:r>
      <w:r/>
    </w:p>
    <w:p>
      <w:pPr>
        <w:spacing w:line="420" w:lineRule="exact"/>
        <w:rPr>
          <w:rFonts w:ascii="微软雅黑" w:hAnsi="微软雅黑" w:cs="微软雅黑"/>
          <w:b/>
          <w:bCs/>
          <w:szCs w:val="21"/>
        </w:rPr>
      </w:pPr>
      <w:r>
        <w:rPr>
          <w:rFonts w:hint="eastAsia" w:ascii="微软雅黑" w:hAnsi="微软雅黑" w:cs="微软雅黑"/>
          <w:szCs w:val="21"/>
        </w:rPr>
        <w:t xml:space="preserve">1.7</w:t>
      </w:r>
      <w:r>
        <w:rPr>
          <w:rFonts w:hint="eastAsia" w:ascii="微软雅黑" w:hAnsi="微软雅黑" w:cs="微软雅黑"/>
          <w:b/>
          <w:bCs/>
          <w:szCs w:val="21"/>
        </w:rPr>
        <w:t xml:space="preserve">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spacing w:line="420" w:lineRule="exact"/>
        <w:rPr>
          <w:rFonts w:ascii="微软雅黑" w:hAnsi="微软雅黑" w:cs="微软雅黑"/>
          <w:b/>
          <w:bCs/>
          <w:szCs w:val="21"/>
        </w:rPr>
      </w:pPr>
      <w:r>
        <w:rPr>
          <w:rFonts w:ascii="微软雅黑" w:hAnsi="微软雅黑" w:cs="微软雅黑"/>
          <w:b/>
          <w:bCs/>
          <w:szCs w:val="21"/>
        </w:rPr>
      </w:r>
      <w:r/>
    </w:p>
    <w:p>
      <w:r/>
      <w:bookmarkStart w:id="398" w:name="_Toc3245"/>
      <w:r/>
      <w:bookmarkStart w:id="399" w:name="_Toc1121"/>
      <w:r/>
      <w:bookmarkStart w:id="400" w:name="_Toc487098617"/>
      <w:r/>
      <w:bookmarkStart w:id="401" w:name="_Toc403725583"/>
      <w:r>
        <w:rPr>
          <w:rFonts w:hint="eastAsia"/>
        </w:rPr>
        <w:br w:type="page" w:clear="all"/>
      </w:r>
      <w:r/>
    </w:p>
    <w:p>
      <w:pPr>
        <w:pStyle w:val="1273"/>
      </w:pPr>
      <w:r/>
      <w:bookmarkStart w:id="402" w:name="_Toc17711"/>
      <w:r/>
      <w:bookmarkStart w:id="403" w:name="_Toc32166"/>
      <w:r/>
      <w:bookmarkStart w:id="404" w:name="_Toc25198"/>
      <w:r>
        <w:rPr>
          <w:rFonts w:hint="eastAsia"/>
        </w:rPr>
        <w:t xml:space="preserve">三、其他相关附表格式</w:t>
      </w:r>
      <w:bookmarkEnd w:id="398"/>
      <w:r/>
      <w:bookmarkEnd w:id="399"/>
      <w:r/>
      <w:bookmarkEnd w:id="402"/>
      <w:r/>
      <w:bookmarkEnd w:id="403"/>
      <w:r/>
      <w:bookmarkEnd w:id="404"/>
      <w:r/>
      <w:bookmarkStart w:id="405" w:name="_Toc11531"/>
      <w:r/>
      <w:bookmarkStart w:id="406" w:name="_Toc1448"/>
      <w:r/>
      <w:bookmarkEnd w:id="405"/>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承诺</w:t>
      </w:r>
      <w:r/>
    </w:p>
    <w:p>
      <w:pPr>
        <w:spacing w:line="440" w:lineRule="exact"/>
        <w:rPr>
          <w:rFonts w:ascii="微软雅黑" w:hAnsi="微软雅黑" w:cs="微软雅黑"/>
          <w:szCs w:val="21"/>
        </w:rPr>
      </w:pPr>
      <w:r>
        <w:rPr>
          <w:rFonts w:hint="eastAsia" w:ascii="微软雅黑" w:hAnsi="微软雅黑" w:cs="微软雅黑"/>
          <w:szCs w:val="21"/>
        </w:rPr>
        <w:t xml:space="preserve">我公司承诺：</w:t>
      </w:r>
      <w:r/>
    </w:p>
    <w:p>
      <w:pPr>
        <w:numPr>
          <w:ilvl w:val="0"/>
          <w:numId w:val="23"/>
        </w:numPr>
        <w:spacing w:line="440" w:lineRule="exact"/>
        <w:rPr>
          <w:rFonts w:ascii="微软雅黑" w:hAnsi="微软雅黑" w:cs="微软雅黑"/>
          <w:szCs w:val="21"/>
        </w:rPr>
      </w:pPr>
      <w:r>
        <w:rPr>
          <w:rFonts w:hint="eastAsia" w:ascii="微软雅黑" w:hAnsi="微软雅黑" w:cs="微软雅黑"/>
          <w:szCs w:val="21"/>
        </w:rPr>
        <w:t xml:space="preserve">我单位未组成联合体投标，中标后不进行分包、转包。</w:t>
      </w:r>
      <w:r/>
    </w:p>
    <w:p>
      <w:pPr>
        <w:numPr>
          <w:ilvl w:val="0"/>
          <w:numId w:val="23"/>
        </w:numPr>
        <w:spacing w:line="440" w:lineRule="exact"/>
        <w:rPr>
          <w:rFonts w:ascii="微软雅黑" w:hAnsi="微软雅黑" w:cs="微软雅黑"/>
          <w:szCs w:val="21"/>
        </w:rPr>
      </w:pPr>
      <w:r>
        <w:rPr>
          <w:rFonts w:hint="eastAsia" w:ascii="微软雅黑" w:hAnsi="微软雅黑" w:cs="微软雅黑"/>
          <w:szCs w:val="21"/>
        </w:rPr>
        <w:t xml:space="preserve">我单位负责人（负责人姓名、身份证号），与我单位存在直接控股、管理关系的单位为（单位名称），不存在与我单位负责人为同一人或者存在直接控股、管理关系的不同供应商同时参加本项目同一包投标的情形。</w:t>
      </w:r>
      <w:r/>
    </w:p>
    <w:p>
      <w:pPr>
        <w:numPr>
          <w:ilvl w:val="0"/>
          <w:numId w:val="23"/>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ascii="微软雅黑" w:hAnsi="微软雅黑" w:cs="微软雅黑"/>
          <w:szCs w:val="21"/>
        </w:rPr>
      </w:pPr>
      <w:r>
        <w:rPr>
          <w:rFonts w:hint="eastAsia" w:ascii="微软雅黑" w:hAnsi="微软雅黑" w:cs="微软雅黑"/>
          <w:szCs w:val="21"/>
        </w:rPr>
        <w:t xml:space="preserve">特此承诺。</w:t>
      </w:r>
      <w:r/>
    </w:p>
    <w:p>
      <w:pPr>
        <w:rPr>
          <w:rFonts w:ascii="微软雅黑" w:hAnsi="微软雅黑" w:cs="微软雅黑"/>
          <w:bCs/>
          <w:szCs w:val="21"/>
        </w:rPr>
      </w:pPr>
      <w:r>
        <w:rPr>
          <w:rFonts w:ascii="微软雅黑" w:hAnsi="微软雅黑" w:cs="微软雅黑"/>
          <w:bCs/>
          <w:szCs w:val="21"/>
        </w:rPr>
      </w:r>
      <w:r/>
    </w:p>
    <w:p>
      <w:pPr>
        <w:pStyle w:val="1292"/>
        <w:rPr>
          <w:rFonts w:ascii="微软雅黑" w:hAnsi="微软雅黑" w:eastAsia="微软雅黑" w:cs="微软雅黑"/>
          <w:sz w:val="21"/>
          <w:szCs w:val="21"/>
        </w:rPr>
      </w:pPr>
      <w:r>
        <w:rPr>
          <w:rFonts w:ascii="微软雅黑" w:hAnsi="微软雅黑" w:eastAsia="微软雅黑" w:cs="微软雅黑"/>
          <w:sz w:val="21"/>
          <w:szCs w:val="21"/>
        </w:rPr>
      </w:r>
      <w:r/>
    </w:p>
    <w:p>
      <w:pPr>
        <w:pStyle w:val="1292"/>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292"/>
        <w:rPr>
          <w:rFonts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法定代表人（或授权代表）签章/签字：</w:t>
      </w:r>
      <w:r/>
    </w:p>
    <w:p>
      <w:pPr>
        <w:pStyle w:val="1292"/>
        <w:rPr>
          <w:rFonts w:ascii="微软雅黑" w:hAnsi="微软雅黑" w:eastAsia="微软雅黑" w:cs="微软雅黑"/>
          <w:sz w:val="21"/>
          <w:szCs w:val="21"/>
        </w:rPr>
      </w:pPr>
      <w:r>
        <w:rPr>
          <w:rFonts w:hint="eastAsia" w:ascii="微软雅黑" w:hAnsi="微软雅黑" w:eastAsia="微软雅黑" w:cs="微软雅黑"/>
          <w:sz w:val="21"/>
          <w:szCs w:val="21"/>
        </w:rPr>
        <w:t xml:space="preserve">日期：</w:t>
      </w:r>
      <w:bookmarkEnd w:id="400"/>
      <w:r/>
      <w:bookmarkEnd w:id="401"/>
      <w:r/>
      <w:bookmarkEnd w:id="406"/>
      <w:r/>
      <w:r/>
    </w:p>
    <w:p>
      <w:pPr>
        <w:pStyle w:val="1297"/>
        <w:ind w:left="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pStyle w:val="1274"/>
        <w:spacing w:line="420" w:lineRule="exact"/>
        <w:rPr>
          <w:rFonts w:ascii="微软雅黑" w:hAnsi="微软雅黑" w:cs="微软雅黑"/>
          <w:bCs w:val="0"/>
          <w:sz w:val="24"/>
          <w:szCs w:val="24"/>
        </w:rPr>
      </w:pPr>
      <w:r/>
      <w:bookmarkStart w:id="407" w:name="_Toc5764"/>
      <w:r/>
      <w:bookmarkStart w:id="408" w:name="_Toc6848"/>
      <w:r/>
      <w:bookmarkStart w:id="409" w:name="_Toc22700"/>
      <w:r/>
      <w:bookmarkStart w:id="410" w:name="_Toc19015"/>
      <w:r/>
      <w:bookmarkStart w:id="411" w:name="_Toc30941"/>
      <w:r/>
      <w:bookmarkStart w:id="412" w:name="_Toc5882"/>
      <w:r/>
      <w:bookmarkStart w:id="413" w:name="_Toc15294"/>
      <w:r>
        <w:rPr>
          <w:rFonts w:hint="eastAsia" w:ascii="微软雅黑" w:hAnsi="微软雅黑" w:cs="微软雅黑"/>
          <w:bCs w:val="0"/>
          <w:sz w:val="24"/>
          <w:szCs w:val="24"/>
        </w:rPr>
        <w:t xml:space="preserve">中小企业声明函</w:t>
      </w:r>
      <w:bookmarkEnd w:id="407"/>
      <w:r/>
      <w:bookmarkEnd w:id="408"/>
      <w:r/>
      <w:bookmarkEnd w:id="409"/>
      <w:r/>
      <w:bookmarkEnd w:id="410"/>
      <w:r/>
      <w:bookmarkEnd w:id="411"/>
      <w:r/>
      <w:bookmarkEnd w:id="412"/>
      <w:r/>
      <w:bookmarkEnd w:id="413"/>
      <w:r/>
      <w:r/>
    </w:p>
    <w:p>
      <w:pPr>
        <w:rPr>
          <w:b/>
          <w:bCs/>
          <w:sz w:val="28"/>
          <w:szCs w:val="28"/>
        </w:rPr>
      </w:pPr>
      <w:r>
        <w:rPr>
          <w:rFonts w:hint="eastAsia"/>
          <w:b/>
          <w:bCs/>
          <w:sz w:val="28"/>
          <w:szCs w:val="28"/>
        </w:rPr>
        <w:t xml:space="preserve">（如不属于中小企业，则无需提供此声明函）</w:t>
      </w:r>
      <w:r/>
    </w:p>
    <w:p>
      <w:pPr>
        <w:jc w:val="center"/>
        <w:spacing w:line="420" w:lineRule="exact"/>
        <w:rPr>
          <w:rFonts w:ascii="微软雅黑" w:hAnsi="微软雅黑" w:cs="微软雅黑"/>
          <w:b/>
          <w:bCs/>
        </w:rPr>
      </w:pPr>
      <w:r/>
      <w:bookmarkStart w:id="414" w:name="_Toc10812"/>
      <w:r/>
      <w:bookmarkEnd w:id="414"/>
      <w:r/>
      <w:r/>
    </w:p>
    <w:p>
      <w:pPr>
        <w:jc w:val="center"/>
        <w:spacing w:line="420" w:lineRule="exact"/>
        <w:rPr>
          <w:rFonts w:ascii="微软雅黑" w:hAnsi="微软雅黑" w:cs="微软雅黑"/>
          <w:b/>
          <w:bCs/>
        </w:rPr>
      </w:pPr>
      <w:r>
        <w:rPr>
          <w:rFonts w:hint="eastAsia" w:ascii="微软雅黑" w:hAnsi="微软雅黑" w:cs="微软雅黑"/>
          <w:b/>
          <w:bCs/>
        </w:rPr>
        <w:t xml:space="preserve">中小企业声明函（货物）</w:t>
      </w:r>
      <w:r/>
    </w:p>
    <w:p>
      <w:pPr>
        <w:ind w:firstLine="420"/>
        <w:jc w:val="left"/>
        <w:keepLines/>
        <w:keepNext/>
        <w:spacing w:line="400" w:lineRule="exact"/>
        <w:rPr>
          <w:rFonts w:ascii="微软雅黑" w:hAnsi="微软雅黑" w:cs="微软雅黑"/>
        </w:rPr>
      </w:pPr>
      <w:r/>
      <w:bookmarkStart w:id="415"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415"/>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16"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16"/>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17" w:name="_Toc15690"/>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17"/>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18" w:name="_Toc3885"/>
      <w:r>
        <w:rPr>
          <w:rFonts w:hint="eastAsia" w:ascii="微软雅黑" w:hAnsi="微软雅黑" w:cs="微软雅黑"/>
        </w:rPr>
        <w:t xml:space="preserve">……</w:t>
      </w:r>
      <w:bookmarkEnd w:id="418"/>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19"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419"/>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20" w:name="_Toc4666"/>
      <w:r>
        <w:rPr>
          <w:rFonts w:hint="eastAsia" w:ascii="微软雅黑" w:hAnsi="微软雅黑" w:cs="微软雅黑"/>
        </w:rPr>
        <w:t xml:space="preserve">本企业对上述声明内容的真实性负责。如有虚假，将依法承担相应责任。</w:t>
      </w:r>
      <w:bookmarkEnd w:id="420"/>
      <w:r>
        <w:rPr>
          <w:rFonts w:hint="eastAsia" w:ascii="微软雅黑" w:hAnsi="微软雅黑" w:cs="微软雅黑"/>
        </w:rPr>
        <w:t xml:space="preserve"> </w:t>
      </w:r>
      <w:r/>
    </w:p>
    <w:p>
      <w:pPr>
        <w:ind w:firstLine="420"/>
        <w:spacing w:line="420" w:lineRule="exact"/>
        <w:rPr>
          <w:rFonts w:ascii="微软雅黑" w:hAnsi="微软雅黑" w:cs="微软雅黑"/>
        </w:rPr>
      </w:pPr>
      <w:r>
        <w:rPr>
          <w:rFonts w:ascii="微软雅黑" w:hAnsi="微软雅黑" w:cs="微软雅黑"/>
        </w:rPr>
      </w:r>
      <w:r/>
    </w:p>
    <w:p>
      <w:pPr>
        <w:ind w:firstLine="420"/>
        <w:jc w:val="right"/>
        <w:spacing w:line="420" w:lineRule="exact"/>
        <w:rPr>
          <w:rFonts w:ascii="微软雅黑" w:hAnsi="微软雅黑" w:cs="微软雅黑"/>
        </w:rPr>
      </w:pPr>
      <w:r/>
      <w:bookmarkStart w:id="421" w:name="_Toc7691"/>
      <w:r>
        <w:rPr>
          <w:rFonts w:hint="eastAsia" w:ascii="微软雅黑" w:hAnsi="微软雅黑" w:cs="微软雅黑"/>
        </w:rPr>
        <w:t xml:space="preserve">企业名称（盖章）：</w:t>
      </w:r>
      <w:bookmarkEnd w:id="421"/>
      <w:r>
        <w:rPr>
          <w:rFonts w:hint="eastAsia" w:ascii="微软雅黑" w:hAnsi="微软雅黑" w:cs="微软雅黑"/>
        </w:rPr>
        <w:t xml:space="preserve"> </w:t>
      </w:r>
      <w:r/>
    </w:p>
    <w:p>
      <w:pPr>
        <w:jc w:val="right"/>
        <w:spacing w:line="420" w:lineRule="exact"/>
        <w:rPr>
          <w:rFonts w:ascii="微软雅黑" w:hAnsi="微软雅黑" w:cs="微软雅黑"/>
          <w:sz w:val="28"/>
          <w:szCs w:val="28"/>
        </w:rPr>
      </w:pPr>
      <w:r/>
      <w:bookmarkStart w:id="422" w:name="_Toc8519"/>
      <w:r>
        <w:rPr>
          <w:rFonts w:hint="eastAsia" w:ascii="微软雅黑" w:hAnsi="微软雅黑" w:cs="微软雅黑"/>
        </w:rPr>
        <w:t xml:space="preserve">日 期：</w:t>
      </w:r>
      <w:bookmarkEnd w:id="422"/>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423" w:name="_Toc17448"/>
      <w:r/>
      <w:bookmarkStart w:id="424" w:name="_Toc25461"/>
      <w:r/>
      <w:bookmarkStart w:id="425"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423"/>
      <w:r/>
      <w:r/>
    </w:p>
    <w:p>
      <w:pPr>
        <w:pStyle w:val="1292"/>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1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行业名称</w:t>
            </w:r>
            <w:r/>
          </w:p>
        </w:tc>
        <w:tc>
          <w:tcPr>
            <w:tcW w:w="1707"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指标名称</w:t>
            </w:r>
            <w:r/>
          </w:p>
        </w:tc>
        <w:tc>
          <w:tcPr>
            <w:tcW w:w="1027" w:type="dxa"/>
            <w:textDirection w:val="lrTb"/>
            <w:noWrap w:val="false"/>
          </w:tcPr>
          <w:p>
            <w:pPr>
              <w:spacing w:line="360" w:lineRule="exact"/>
              <w:rPr>
                <w:rFonts w:ascii="微软雅黑" w:hAnsi="微软雅黑" w:cs="微软雅黑"/>
                <w:b/>
                <w:bCs/>
                <w:szCs w:val="21"/>
              </w:rPr>
            </w:pPr>
            <w:r>
              <w:rPr>
                <w:rFonts w:hint="eastAsia" w:ascii="微软雅黑" w:hAnsi="微软雅黑" w:cs="微软雅黑"/>
                <w:b/>
                <w:bCs/>
                <w:szCs w:val="21"/>
              </w:rPr>
              <w:t xml:space="preserve">计量单位</w:t>
            </w:r>
            <w:r/>
          </w:p>
        </w:tc>
        <w:tc>
          <w:tcPr>
            <w:tcW w:w="1866"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中型</w:t>
            </w:r>
            <w:r/>
          </w:p>
        </w:tc>
        <w:tc>
          <w:tcPr>
            <w:tcW w:w="1680"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小型</w:t>
            </w:r>
            <w:r/>
          </w:p>
        </w:tc>
        <w:tc>
          <w:tcPr>
            <w:tcW w:w="1147"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W w:w="1683" w:type="dxa"/>
            <w:vAlign w:val="center"/>
            <w:textDirection w:val="lrTb"/>
            <w:noWrap w:val="false"/>
          </w:tcPr>
          <w:p>
            <w:pPr>
              <w:pStyle w:val="1425"/>
              <w:jc w:val="left"/>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W w:w="1707" w:type="dxa"/>
            <w:textDirection w:val="lrTb"/>
            <w:noWrap w:val="false"/>
          </w:tcPr>
          <w:p>
            <w:pPr>
              <w:pStyle w:val="1425"/>
              <w:jc w:val="left"/>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50≤Y＜500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20≤X＜200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5≤X＜20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b/>
                <w:bCs/>
                <w:szCs w:val="21"/>
              </w:rPr>
            </w:pPr>
            <w:r>
              <w:rPr>
                <w:rFonts w:ascii="微软雅黑" w:hAnsi="微软雅黑" w:eastAsia="微软雅黑" w:cs="微软雅黑"/>
                <w:b/>
                <w:bCs/>
                <w:szCs w:val="21"/>
              </w:rPr>
            </w:r>
            <w:r/>
          </w:p>
          <w:p>
            <w:pPr>
              <w:pStyle w:val="1425"/>
              <w:jc w:val="center"/>
              <w:spacing w:line="360" w:lineRule="exact"/>
              <w:rPr>
                <w:rFonts w:ascii="微软雅黑" w:hAnsi="微软雅黑" w:eastAsia="微软雅黑" w:cs="微软雅黑"/>
                <w:b/>
                <w:bCs/>
                <w:szCs w:val="21"/>
              </w:rPr>
            </w:pPr>
            <w:r>
              <w:rPr>
                <w:rFonts w:hint="eastAsia" w:ascii="微软雅黑" w:hAnsi="微软雅黑" w:eastAsia="微软雅黑" w:cs="微软雅黑"/>
                <w:b/>
                <w:bCs/>
                <w:szCs w:val="21"/>
              </w:rPr>
              <w:t xml:space="preserve">零售业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10≤X＜50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bCs/>
                <w:szCs w:val="21"/>
              </w:rPr>
            </w:pPr>
            <w:r>
              <w:rPr>
                <w:rFonts w:ascii="微软雅黑" w:hAnsi="微软雅黑" w:cs="微软雅黑"/>
                <w:b/>
                <w:bCs/>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100≤Y＜500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W w:w="1683" w:type="dxa"/>
            <w:vAlign w:val="center"/>
            <w:vMerge w:val="restart"/>
            <w:textDirection w:val="lrTb"/>
            <w:noWrap w:val="false"/>
          </w:tcPr>
          <w:p>
            <w:pPr>
              <w:pStyle w:val="1425"/>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W w:w="1683" w:type="dxa"/>
            <w:vAlign w:val="center"/>
            <w:textDirection w:val="lrTb"/>
            <w:noWrap w:val="false"/>
          </w:tcPr>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275"/>
        <w:ind w:firstLine="376"/>
        <w:spacing w:line="400" w:lineRule="exact"/>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p>
    <w:p>
      <w:pPr>
        <w:pStyle w:val="1274"/>
        <w:spacing w:line="420" w:lineRule="exact"/>
        <w:rPr>
          <w:rFonts w:ascii="微软雅黑" w:hAnsi="微软雅黑" w:cs="微软雅黑"/>
          <w:bCs w:val="0"/>
          <w:sz w:val="24"/>
          <w:szCs w:val="24"/>
        </w:rPr>
      </w:pPr>
      <w:r/>
      <w:bookmarkStart w:id="426" w:name="_Toc9330"/>
      <w:r/>
      <w:bookmarkStart w:id="427" w:name="_Toc9672"/>
      <w:r/>
      <w:bookmarkStart w:id="428" w:name="_Toc5276"/>
      <w:r/>
      <w:bookmarkStart w:id="429" w:name="_Toc19464"/>
      <w:r/>
      <w:bookmarkStart w:id="430" w:name="_Toc24200"/>
      <w:r/>
      <w:bookmarkStart w:id="431" w:name="_Toc22380"/>
      <w:r/>
      <w:bookmarkStart w:id="432" w:name="_Toc5720"/>
      <w:r>
        <w:rPr>
          <w:rFonts w:hint="eastAsia" w:ascii="微软雅黑" w:hAnsi="微软雅黑" w:cs="微软雅黑"/>
          <w:bCs w:val="0"/>
          <w:sz w:val="24"/>
          <w:szCs w:val="24"/>
        </w:rPr>
        <w:t xml:space="preserve">残疾人福利性单位声明函</w:t>
      </w:r>
      <w:bookmarkEnd w:id="424"/>
      <w:r/>
      <w:bookmarkEnd w:id="425"/>
      <w:r/>
      <w:bookmarkEnd w:id="426"/>
      <w:r/>
      <w:bookmarkEnd w:id="427"/>
      <w:r/>
      <w:bookmarkEnd w:id="428"/>
      <w:r/>
      <w:bookmarkEnd w:id="429"/>
      <w:r/>
      <w:bookmarkEnd w:id="430"/>
      <w:r/>
      <w:bookmarkEnd w:id="431"/>
      <w:r/>
      <w:bookmarkEnd w:id="432"/>
      <w:r/>
      <w:r/>
    </w:p>
    <w:p>
      <w:pPr>
        <w:rPr>
          <w:b/>
          <w:bCs/>
          <w:sz w:val="28"/>
          <w:szCs w:val="28"/>
        </w:rPr>
      </w:pPr>
      <w:r>
        <w:rPr>
          <w:rFonts w:hint="eastAsia"/>
          <w:b/>
          <w:bCs/>
          <w:sz w:val="28"/>
          <w:szCs w:val="28"/>
        </w:rPr>
        <w:t xml:space="preserve">（如不属于残疾人福利性单位，则无需提供此声明函）</w:t>
      </w:r>
      <w:r/>
    </w:p>
    <w:p>
      <w:r/>
      <w:r/>
    </w:p>
    <w:p>
      <w:pPr>
        <w:pStyle w:val="1320"/>
        <w:ind w:firstLine="420"/>
        <w:jc w:val="center"/>
        <w:spacing w:before="106" w:beforeAutospacing="0" w:after="106" w:afterAutospacing="0" w:line="30" w:lineRule="atLeast"/>
        <w:rPr>
          <w:rFonts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320"/>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320"/>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320"/>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rPr>
          <w:rFonts w:ascii="微软雅黑" w:hAnsi="微软雅黑" w:cs="微软雅黑"/>
          <w:szCs w:val="21"/>
        </w:rPr>
      </w:pPr>
      <w:r>
        <w:rPr>
          <w:rFonts w:hint="eastAsia" w:ascii="微软雅黑" w:hAnsi="微软雅黑" w:cs="微软雅黑"/>
          <w:szCs w:val="21"/>
        </w:rPr>
        <w:t xml:space="preserve">                                                                                                   日期：</w:t>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274"/>
        <w:jc w:val="center"/>
        <w:spacing w:line="420" w:lineRule="exact"/>
        <w:rPr>
          <w:rFonts w:ascii="微软雅黑" w:hAnsi="微软雅黑" w:cs="微软雅黑"/>
          <w:bCs w:val="0"/>
          <w:sz w:val="24"/>
          <w:szCs w:val="24"/>
        </w:rPr>
      </w:pPr>
      <w:r/>
      <w:bookmarkStart w:id="433" w:name="_Toc8114"/>
      <w:r/>
      <w:bookmarkStart w:id="434" w:name="_Toc20212"/>
      <w:r/>
      <w:bookmarkStart w:id="435" w:name="_Toc26530"/>
      <w:r/>
      <w:bookmarkStart w:id="436" w:name="_Toc8025"/>
      <w:r>
        <w:rPr>
          <w:rFonts w:hint="eastAsia" w:ascii="微软雅黑" w:hAnsi="微软雅黑" w:cs="微软雅黑"/>
          <w:bCs w:val="0"/>
          <w:sz w:val="24"/>
          <w:szCs w:val="24"/>
        </w:rPr>
        <w:t xml:space="preserve">关于符合本国产品标准的声明函</w:t>
      </w:r>
      <w:bookmarkEnd w:id="433"/>
      <w:r/>
      <w:bookmarkEnd w:id="434"/>
      <w:r/>
      <w:bookmarkEnd w:id="435"/>
      <w:r/>
      <w:bookmarkEnd w:id="436"/>
      <w:r/>
      <w:r/>
    </w:p>
    <w:p>
      <w:pPr>
        <w:pStyle w:val="1125"/>
        <w:ind w:firstLine="420"/>
        <w:spacing w:before="0" w:beforeAutospacing="0" w:after="0" w:afterAutospacing="0" w:line="0" w:lineRule="atLeast"/>
        <w:rPr>
          <w:rFonts w:ascii="微软雅黑" w:hAnsi="微软雅黑" w:eastAsia="微软雅黑" w:cs="微软雅黑"/>
        </w:rPr>
      </w:pPr>
      <w:r>
        <w:rPr>
          <w:rFonts w:ascii="微软雅黑" w:hAnsi="微软雅黑" w:eastAsia="微软雅黑" w:cs="微软雅黑"/>
        </w:rPr>
      </w:r>
      <w:r/>
    </w:p>
    <w:p>
      <w:pPr>
        <w:pStyle w:val="1125"/>
        <w:ind w:firstLine="420"/>
        <w:spacing w:before="0" w:beforeAutospacing="0" w:after="0" w:afterAutospacing="0" w:line="0" w:lineRule="atLeast"/>
        <w:rPr>
          <w:rFonts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8076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13"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974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14"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872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5" name="自选图形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667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8"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9"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shd w:val="clear" w:color="auto" w:fill="ffffff"/>
        </w:rPr>
        <w:t xml:space="preserve">1.</w:t>
      </w:r>
      <w:r>
        <w:rPr>
          <w:rStyle w:val="1131"/>
          <w:rFonts w:hint="eastAsia" w:ascii="微软雅黑" w:hAnsi="微软雅黑" w:eastAsia="微软雅黑" w:cs="微软雅黑"/>
          <w:i w:val="0"/>
          <w:u w:val="single"/>
          <w:shd w:val="clear" w:color="auto" w:fill="ffffff"/>
        </w:rPr>
        <w:t xml:space="preserve">（产品名称1）</w:t>
      </w:r>
      <w:r>
        <w:rPr>
          <w:rStyle w:val="1131"/>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131"/>
          <w:rFonts w:hint="eastAsia" w:ascii="微软雅黑" w:hAnsi="微软雅黑" w:eastAsia="微软雅黑" w:cs="微软雅黑"/>
          <w:i w:val="0"/>
          <w:u w:val="single"/>
          <w:shd w:val="clear" w:color="auto" w:fill="ffffff"/>
        </w:rPr>
        <w:t xml:space="preserve">（厂名）</w:t>
      </w:r>
      <w:r>
        <w:rPr>
          <w:rStyle w:val="1131"/>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131"/>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131"/>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131"/>
          <w:rFonts w:hint="eastAsia" w:ascii="微软雅黑" w:hAnsi="微软雅黑" w:eastAsia="微软雅黑" w:cs="微软雅黑"/>
          <w:i w:val="0"/>
          <w:u w:val="single"/>
          <w:shd w:val="clear" w:color="auto" w:fill="ffffff"/>
        </w:rPr>
        <w:t xml:space="preserve">（规定比例）</w:t>
      </w:r>
      <w:r>
        <w:rPr>
          <w:rStyle w:val="1131"/>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131"/>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（关键组件）</w:t>
      </w:r>
      <w:r>
        <w:rPr>
          <w:rStyle w:val="1131"/>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131"/>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（关键工序）</w:t>
      </w:r>
      <w:r>
        <w:rPr>
          <w:rStyle w:val="1131"/>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1667510</wp:posOffset>
                </wp:positionH>
                <wp:positionV relativeFrom="paragraph">
                  <wp:posOffset>506095</wp:posOffset>
                </wp:positionV>
                <wp:extent cx="908685" cy="140970"/>
                <wp:effectExtent l="635" t="4445" r="5080" b="6985"/>
                <wp:wrapNone/>
                <wp:docPr id="20"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4624;o:allowoverlap:true;o:allowincell:true;mso-position-horizontal-relative:text;margin-left:131.3pt;mso-position-horizontal:absolute;mso-position-vertical-relative:text;margin-top:3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21"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8384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22" name="自选图形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848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23" name="自选图形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8281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2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8179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5"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564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6"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7"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257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shd w:val="clear" w:color="auto" w:fill="ffffff"/>
        </w:rPr>
        <w:t xml:space="preserve">2.</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，生产厂为</w:t>
      </w:r>
      <w:r>
        <w:rPr>
          <w:rStyle w:val="1131"/>
          <w:rFonts w:hint="eastAsia" w:ascii="微软雅黑" w:hAnsi="微软雅黑" w:eastAsia="微软雅黑" w:cs="微软雅黑"/>
          <w:i w:val="0"/>
          <w:u w:val="single"/>
          <w:shd w:val="clear" w:color="auto" w:fill="ffffff"/>
        </w:rPr>
        <w:t xml:space="preserve">（厂名）</w:t>
      </w:r>
      <w:r>
        <w:rPr>
          <w:rFonts w:hint="eastAsia" w:ascii="微软雅黑" w:hAnsi="微软雅黑" w:eastAsia="微软雅黑" w:cs="微软雅黑"/>
          <w:shd w:val="clear" w:color="auto" w:fill="ffffff"/>
        </w:rPr>
        <w:t xml:space="preserve">，厂址为</w:t>
      </w:r>
      <w:r>
        <w:rPr>
          <w:rStyle w:val="1131"/>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的中国境内生产的组件成本占比≥</w:t>
      </w:r>
      <w:r>
        <w:rPr>
          <w:rStyle w:val="1131"/>
          <w:rFonts w:hint="eastAsia" w:ascii="微软雅黑" w:hAnsi="微软雅黑" w:eastAsia="微软雅黑" w:cs="微软雅黑"/>
          <w:i w:val="0"/>
          <w:u w:val="single"/>
          <w:shd w:val="clear" w:color="auto" w:fill="ffffff"/>
        </w:rPr>
        <w:t xml:space="preserve">（规定比例）</w:t>
      </w:r>
      <w:r>
        <w:rPr>
          <w:rFonts w:hint="eastAsia" w:ascii="微软雅黑" w:hAnsi="微软雅黑" w:eastAsia="微软雅黑" w:cs="微软雅黑"/>
          <w:shd w:val="clear" w:color="auto" w:fill="ffffff"/>
        </w:rPr>
        <w:t xml:space="preserve">。</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（关键组件）</w:t>
      </w:r>
      <w:r>
        <w:rPr>
          <w:rFonts w:hint="eastAsia" w:ascii="微软雅黑" w:hAnsi="微软雅黑" w:eastAsia="微软雅黑" w:cs="微软雅黑"/>
          <w:shd w:val="clear" w:color="auto" w:fill="ffffff"/>
        </w:rPr>
        <w:t xml:space="preserve">在中国境内生产。</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（关键工序）</w:t>
      </w:r>
      <w:r>
        <w:rPr>
          <w:rFonts w:hint="eastAsia" w:ascii="微软雅黑" w:hAnsi="微软雅黑" w:eastAsia="微软雅黑" w:cs="微软雅黑"/>
          <w:shd w:val="clear" w:color="auto" w:fill="ffffff"/>
        </w:rPr>
        <w:t xml:space="preserve">在中国境内完成。</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p>
    <w:p>
      <w:pPr>
        <w:pStyle w:val="1125"/>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w:r>
      <w:r/>
    </w:p>
    <w:p>
      <w:pPr>
        <w:pStyle w:val="1125"/>
        <w:ind w:right="480" w:firstLine="37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p>
    <w:p>
      <w:pPr>
        <w:pStyle w:val="1125"/>
        <w:jc w:val="center"/>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p>
    <w:p>
      <w:pPr>
        <w:pStyle w:val="1125"/>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p>
    <w:p>
      <w:pPr>
        <w:pStyle w:val="1125"/>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p>
    <w:p>
      <w:pPr>
        <w:pStyle w:val="1125"/>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宋体_GB2312">
    <w:panose1 w:val="02010600030101010101"/>
  </w:font>
  <w:font w:name="仿宋_GB2312">
    <w:panose1 w:val="02010609060101010101"/>
  </w:font>
  <w:font w:name="Verdana">
    <w:panose1 w:val="020B0604030504040204"/>
  </w:font>
  <w:font w:name="黑体">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29285" cy="14795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29285" cy="14795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111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txbxContent>
                    </wps:txbx>
                    <wps:bodyPr wrap="none" lIns="0" tIns="0" rIns="0" bIns="0">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txbxContent>
              </v:textbox>
            </v:shape>
          </w:pict>
        </mc:Fallback>
      </mc:AlternateContent>
    </w:r>
    <w:r/>
  </w:p>
  <w:p>
    <w:pPr>
      <w:pStyle w:val="1115"/>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ind w:firstLine="360"/>
                            <w:jc w:val="center"/>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ind w:firstLine="360"/>
                      <w:jc w:val="center"/>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p>
    <w:pPr>
      <w:pStyle w:val="1115"/>
      <w:ind w:firstLine="360"/>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6385" cy="196850"/>
              <wp:effectExtent l="0" t="0" r="0" b="0"/>
              <wp:wrapNone/>
              <wp:docPr id="8" name="文本框 25"/>
              <wp:cNvGraphicFramePr/>
              <a:graphic xmlns:a="http://schemas.openxmlformats.org/drawingml/2006/main">
                <a:graphicData uri="http://schemas.microsoft.com/office/word/2010/wordprocessingShape">
                  <wps:wsp>
                    <wps:cNvPr id="0" name=""/>
                    <wps:cNvSpPr txBox="1"/>
                    <wps:spPr bwMode="auto">
                      <a:xfrm>
                        <a:off x="0" y="0"/>
                        <a:ext cx="286385" cy="196850"/>
                      </a:xfrm>
                      <a:prstGeom prst="rect">
                        <a:avLst/>
                      </a:prstGeom>
                      <a:noFill/>
                      <a:ln w="6350">
                        <a:noFill/>
                      </a:ln>
                    </wps:spPr>
                    <wps:txbx>
                      <w:txbxContent>
                        <w:p>
                          <w:pPr>
                            <w:pStyle w:val="1115"/>
                            <w:ind w:firstLine="3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22.5pt;height:15.5pt;mso-wrap-distance-left:9.0pt;mso-wrap-distance-top:0.0pt;mso-wrap-distance-right:9.0pt;mso-wrap-distance-bottom:0.0pt;visibility:visible;" filled="f" stroked="f" strokeweight="0.50pt">
              <v:textbox inset="0,0,0,0">
                <w:txbxContent>
                  <w:p>
                    <w:pPr>
                      <w:pStyle w:val="1115"/>
                      <w:ind w:firstLine="3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15035" cy="147955"/>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13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微软雅黑" w:hAnsi="微软雅黑" w:eastAsia="宋体"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eastAsia="宋体" w:cs="微软雅黑"/>
        <w:u w:val="single"/>
      </w:rPr>
      <w:t xml:space="preserve">JSHC-2026040214B1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rPr>
        <w:rFonts w:ascii="仿宋" w:hAnsi="仿宋" w:eastAsia="仿宋" w:cs="仿宋"/>
      </w:rPr>
      <w:pBdr>
        <w:bottom w:val="single" w:color="auto" w:sz="4" w:space="1"/>
      </w:pBdr>
    </w:pPr>
    <w:r>
      <w:rPr>
        <w:rFonts w:hint="eastAsia" w:ascii="仿宋" w:hAnsi="仿宋" w:eastAsia="仿宋" w:cs="仿宋"/>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54" w:hanging="454"/>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5">
    <w:multiLevelType w:val="hybridMultilevel"/>
    <w:lvl w:ilvl="0">
      <w:start w:val="1"/>
      <w:numFmt w:val="decimal"/>
      <w:pStyle w:val="143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18"/>
      <w:isLgl w:val="false"/>
      <w:suff w:val="tab"/>
      <w:lvlText w:val="%1."/>
      <w:lvlJc w:val="left"/>
      <w:pPr>
        <w:tabs>
          <w:tab w:val="left" w:pos="360" w:leader="none"/>
        </w:tabs>
      </w:pPr>
      <w:rPr>
        <w:rFonts w:hint="eastAsia"/>
      </w:rPr>
    </w:lvl>
    <w:lvl w:ilvl="1">
      <w:start w:val="1"/>
      <w:numFmt w:val="decimal"/>
      <w:pStyle w:val="1423"/>
      <w:isLgl w:val="false"/>
      <w:suff w:val="tab"/>
      <w:lvlText w:val="%1.%2"/>
      <w:lvlJc w:val="left"/>
      <w:pPr>
        <w:tabs>
          <w:tab w:val="left" w:pos="720" w:leader="none"/>
        </w:tabs>
      </w:pPr>
      <w:rPr>
        <w:rFonts w:hint="eastAsia"/>
        <w:b w:val="0"/>
        <w:bCs w:val="0"/>
        <w:i w:val="0"/>
        <w:iCs w:val="0"/>
      </w:rPr>
    </w:lvl>
    <w:lvl w:ilvl="2">
      <w:start w:val="1"/>
      <w:numFmt w:val="decimal"/>
      <w:pStyle w:val="143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287"/>
      <w:isLgl w:val="false"/>
      <w:suff w:val="tab"/>
      <w:lvlText w:val="%1)"/>
      <w:lvlJc w:val="left"/>
      <w:pPr>
        <w:ind w:left="990" w:hanging="360"/>
        <w:tabs>
          <w:tab w:val="left" w:pos="990" w:leader="none"/>
        </w:tabs>
      </w:pPr>
      <w:rPr>
        <w:rFonts w:hint="eastAsia"/>
      </w:rPr>
    </w:lvl>
    <w:lvl w:ilvl="1">
      <w:start w:val="1"/>
      <w:numFmt w:val="lowerLetter"/>
      <w:pStyle w:val="1416"/>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japaneseCounting"/>
      <w:pStyle w:val="146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42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19"/>
  </w:num>
  <w:num w:numId="4">
    <w:abstractNumId w:val="5"/>
  </w:num>
  <w:num w:numId="5">
    <w:abstractNumId w:val="4"/>
  </w:num>
  <w:num w:numId="6">
    <w:abstractNumId w:val="12"/>
  </w:num>
  <w:num w:numId="7">
    <w:abstractNumId w:val="14"/>
  </w:num>
  <w:num w:numId="8">
    <w:abstractNumId w:val="21"/>
  </w:num>
  <w:num w:numId="9">
    <w:abstractNumId w:val="11"/>
  </w:num>
  <w:num w:numId="10">
    <w:abstractNumId w:val="0"/>
  </w:num>
  <w:num w:numId="11">
    <w:abstractNumId w:val="8"/>
  </w:num>
  <w:num w:numId="12">
    <w:abstractNumId w:val="9"/>
  </w:num>
  <w:num w:numId="13">
    <w:abstractNumId w:val="2"/>
  </w:num>
  <w:num w:numId="14">
    <w:abstractNumId w:val="18"/>
  </w:num>
  <w:num w:numId="15">
    <w:abstractNumId w:val="15"/>
  </w:num>
  <w:num w:numId="16">
    <w:abstractNumId w:val="7"/>
  </w:num>
  <w:num w:numId="17">
    <w:abstractNumId w:val="1"/>
  </w:num>
  <w:num w:numId="18">
    <w:abstractNumId w:val="17"/>
  </w:num>
  <w:num w:numId="19">
    <w:abstractNumId w:val="20"/>
  </w:num>
  <w:num w:numId="20">
    <w:abstractNumId w:val="13"/>
  </w:num>
  <w:num w:numId="21">
    <w:abstractNumId w:val="16"/>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3">
    <w:name w:val="Heading 6 Char"/>
    <w:basedOn w:val="1103"/>
    <w:link w:val="1099"/>
    <w:uiPriority w:val="9"/>
    <w:rPr>
      <w:rFonts w:ascii="Arial" w:hAnsi="Arial" w:eastAsia="Arial" w:cs="Arial"/>
      <w:b/>
      <w:bCs/>
      <w:sz w:val="22"/>
      <w:szCs w:val="22"/>
    </w:rPr>
  </w:style>
  <w:style w:type="character" w:styleId="1064">
    <w:name w:val="Heading 7 Char"/>
    <w:basedOn w:val="1103"/>
    <w:link w:val="1100"/>
    <w:uiPriority w:val="9"/>
    <w:rPr>
      <w:rFonts w:ascii="Arial" w:hAnsi="Arial" w:eastAsia="Arial" w:cs="Arial"/>
      <w:b/>
      <w:bCs/>
      <w:i/>
      <w:iCs/>
      <w:sz w:val="22"/>
      <w:szCs w:val="22"/>
    </w:rPr>
  </w:style>
  <w:style w:type="character" w:styleId="1065">
    <w:name w:val="Heading 8 Char"/>
    <w:basedOn w:val="1103"/>
    <w:link w:val="1101"/>
    <w:uiPriority w:val="9"/>
    <w:rPr>
      <w:rFonts w:ascii="Arial" w:hAnsi="Arial" w:eastAsia="Arial" w:cs="Arial"/>
      <w:i/>
      <w:iCs/>
      <w:sz w:val="22"/>
      <w:szCs w:val="22"/>
    </w:rPr>
  </w:style>
  <w:style w:type="character" w:styleId="1066">
    <w:name w:val="Heading 9 Char"/>
    <w:basedOn w:val="1103"/>
    <w:link w:val="1102"/>
    <w:uiPriority w:val="9"/>
    <w:rPr>
      <w:rFonts w:ascii="Arial" w:hAnsi="Arial" w:eastAsia="Arial" w:cs="Arial"/>
      <w:i/>
      <w:iCs/>
      <w:sz w:val="21"/>
      <w:szCs w:val="21"/>
    </w:rPr>
  </w:style>
  <w:style w:type="character" w:styleId="1067">
    <w:name w:val="Title Char"/>
    <w:basedOn w:val="1103"/>
    <w:link w:val="1126"/>
    <w:uiPriority w:val="10"/>
    <w:rPr>
      <w:sz w:val="48"/>
      <w:szCs w:val="48"/>
    </w:rPr>
  </w:style>
  <w:style w:type="character" w:styleId="1068">
    <w:name w:val="Subtitle Char"/>
    <w:basedOn w:val="1103"/>
    <w:link w:val="1119"/>
    <w:uiPriority w:val="11"/>
    <w:rPr>
      <w:sz w:val="24"/>
      <w:szCs w:val="24"/>
    </w:rPr>
  </w:style>
  <w:style w:type="character" w:styleId="1069">
    <w:name w:val="Quote Char"/>
    <w:link w:val="1141"/>
    <w:uiPriority w:val="29"/>
    <w:rPr>
      <w:i/>
    </w:rPr>
  </w:style>
  <w:style w:type="character" w:styleId="1070">
    <w:name w:val="Caption Char"/>
    <w:basedOn w:val="1107"/>
    <w:link w:val="1115"/>
    <w:uiPriority w:val="99"/>
  </w:style>
  <w:style w:type="table" w:styleId="1071">
    <w:name w:val="Plain Table 1"/>
    <w:basedOn w:val="11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2">
    <w:name w:val="Plain Table 2"/>
    <w:basedOn w:val="11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3"/>
    <w:basedOn w:val="11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4">
    <w:name w:val="Plain Table 4"/>
    <w:basedOn w:val="11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5">
    <w:name w:val="Plain Table 5"/>
    <w:basedOn w:val="11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6">
    <w:name w:val="Grid Table 1 Light"/>
    <w:basedOn w:val="11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7">
    <w:name w:val="Grid Table 2"/>
    <w:basedOn w:val="11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8">
    <w:name w:val="Grid Table 3"/>
    <w:basedOn w:val="11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4"/>
    <w:basedOn w:val="11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name w:val="Grid Table 5 Dark"/>
    <w:basedOn w:val="11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1">
    <w:name w:val="Grid Table 6 Colorful"/>
    <w:basedOn w:val="11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2">
    <w:name w:val="Grid Table 7 Colorful"/>
    <w:basedOn w:val="11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3">
    <w:name w:val="List Table 1 Light"/>
    <w:basedOn w:val="11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4">
    <w:name w:val="List Table 2"/>
    <w:basedOn w:val="11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5">
    <w:name w:val="List Table 3"/>
    <w:basedOn w:val="11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4"/>
    <w:basedOn w:val="11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7">
    <w:name w:val="List Table 5 Dark"/>
    <w:basedOn w:val="11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6 Colorful"/>
    <w:basedOn w:val="11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9">
    <w:name w:val="List Table 7 Colorful"/>
    <w:basedOn w:val="11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90">
    <w:name w:val="Footnote Text Char"/>
    <w:link w:val="1120"/>
    <w:uiPriority w:val="99"/>
    <w:rPr>
      <w:sz w:val="18"/>
    </w:rPr>
  </w:style>
  <w:style w:type="character" w:styleId="1091">
    <w:name w:val="Endnote Text Char"/>
    <w:link w:val="1113"/>
    <w:uiPriority w:val="99"/>
    <w:rPr>
      <w:sz w:val="20"/>
    </w:rPr>
  </w:style>
  <w:style w:type="paragraph" w:styleId="1092">
    <w:name w:val="TOC Heading"/>
    <w:uiPriority w:val="39"/>
    <w:unhideWhenUsed/>
  </w:style>
  <w:style w:type="paragraph" w:styleId="1093" w:default="1">
    <w:name w:val="Normal"/>
    <w:next w:val="1105"/>
    <w:uiPriority w:val="0"/>
    <w:qFormat/>
    <w:pPr>
      <w:jc w:val="both"/>
      <w:widowControl w:val="off"/>
    </w:pPr>
    <w:rPr>
      <w:rFonts w:ascii="Times New Roman" w:hAnsi="Times New Roman" w:eastAsia="微软雅黑" w:cs="Times New Roman"/>
      <w:sz w:val="21"/>
      <w:szCs w:val="22"/>
      <w:lang w:val="en-US" w:eastAsia="zh-CN" w:bidi="ar-SA"/>
    </w:rPr>
  </w:style>
  <w:style w:type="paragraph" w:styleId="1094">
    <w:name w:val="Heading 1"/>
    <w:basedOn w:val="1093"/>
    <w:next w:val="1093"/>
    <w:uiPriority w:val="9"/>
    <w:qFormat/>
    <w:pPr>
      <w:keepLines/>
      <w:keepNext/>
      <w:spacing w:before="480" w:after="200"/>
      <w:outlineLvl w:val="0"/>
    </w:pPr>
    <w:rPr>
      <w:rFonts w:ascii="Arial" w:hAnsi="Arial" w:eastAsia="Arial" w:cs="Arial"/>
      <w:sz w:val="40"/>
      <w:szCs w:val="40"/>
    </w:rPr>
  </w:style>
  <w:style w:type="paragraph" w:styleId="1095">
    <w:name w:val="Heading 2"/>
    <w:basedOn w:val="1094"/>
    <w:next w:val="1105"/>
    <w:uiPriority w:val="9"/>
    <w:unhideWhenUsed/>
    <w:qFormat/>
    <w:pPr>
      <w:spacing w:before="360"/>
      <w:outlineLvl w:val="1"/>
    </w:pPr>
    <w:rPr>
      <w:sz w:val="34"/>
    </w:rPr>
  </w:style>
  <w:style w:type="paragraph" w:styleId="1096">
    <w:name w:val="Heading 3"/>
    <w:basedOn w:val="1093"/>
    <w:next w:val="1105"/>
    <w:uiPriority w:val="9"/>
    <w:unhideWhenUsed/>
    <w:qFormat/>
    <w:pPr>
      <w:keepLines/>
      <w:keepNext/>
      <w:spacing w:before="320" w:after="200"/>
      <w:outlineLvl w:val="2"/>
    </w:pPr>
    <w:rPr>
      <w:rFonts w:ascii="Arial" w:hAnsi="Arial" w:eastAsia="Arial" w:cs="Arial"/>
      <w:sz w:val="30"/>
      <w:szCs w:val="30"/>
    </w:rPr>
  </w:style>
  <w:style w:type="paragraph" w:styleId="1097">
    <w:name w:val="Heading 4"/>
    <w:basedOn w:val="1093"/>
    <w:next w:val="1093"/>
    <w:uiPriority w:val="9"/>
    <w:unhideWhenUsed/>
    <w:qFormat/>
    <w:pPr>
      <w:keepLines/>
      <w:keepNext/>
      <w:spacing w:before="320" w:after="200"/>
      <w:outlineLvl w:val="3"/>
    </w:pPr>
    <w:rPr>
      <w:rFonts w:ascii="Arial" w:hAnsi="Arial" w:eastAsia="Arial" w:cs="Arial"/>
      <w:b/>
      <w:bCs/>
      <w:sz w:val="26"/>
      <w:szCs w:val="26"/>
    </w:rPr>
  </w:style>
  <w:style w:type="paragraph" w:styleId="1098">
    <w:name w:val="Heading 5"/>
    <w:basedOn w:val="1093"/>
    <w:next w:val="1093"/>
    <w:uiPriority w:val="9"/>
    <w:unhideWhenUsed/>
    <w:qFormat/>
    <w:pPr>
      <w:keepLines/>
      <w:keepNext/>
      <w:spacing w:before="320" w:after="200"/>
      <w:outlineLvl w:val="4"/>
    </w:pPr>
    <w:rPr>
      <w:rFonts w:ascii="Arial" w:hAnsi="Arial" w:eastAsia="Arial" w:cs="Arial"/>
      <w:b/>
      <w:bCs/>
      <w:sz w:val="24"/>
      <w:szCs w:val="24"/>
    </w:rPr>
  </w:style>
  <w:style w:type="paragraph" w:styleId="1099">
    <w:name w:val="Heading 6"/>
    <w:basedOn w:val="1093"/>
    <w:next w:val="1093"/>
    <w:link w:val="1135"/>
    <w:uiPriority w:val="9"/>
    <w:unhideWhenUsed/>
    <w:qFormat/>
    <w:pPr>
      <w:keepLines/>
      <w:keepNext/>
      <w:spacing w:before="320" w:after="200"/>
      <w:outlineLvl w:val="5"/>
    </w:pPr>
    <w:rPr>
      <w:rFonts w:ascii="Arial" w:hAnsi="Arial" w:eastAsia="Arial" w:cs="Arial"/>
      <w:b/>
      <w:bCs/>
      <w:sz w:val="22"/>
    </w:rPr>
  </w:style>
  <w:style w:type="paragraph" w:styleId="1100">
    <w:name w:val="Heading 7"/>
    <w:basedOn w:val="1093"/>
    <w:next w:val="1093"/>
    <w:link w:val="1136"/>
    <w:uiPriority w:val="9"/>
    <w:unhideWhenUsed/>
    <w:qFormat/>
    <w:pPr>
      <w:keepLines/>
      <w:keepNext/>
      <w:spacing w:before="320" w:after="200"/>
      <w:outlineLvl w:val="6"/>
    </w:pPr>
    <w:rPr>
      <w:rFonts w:ascii="Arial" w:hAnsi="Arial" w:eastAsia="Arial" w:cs="Arial"/>
      <w:b/>
      <w:bCs/>
      <w:i/>
      <w:iCs/>
      <w:sz w:val="22"/>
    </w:rPr>
  </w:style>
  <w:style w:type="paragraph" w:styleId="1101">
    <w:name w:val="Heading 8"/>
    <w:basedOn w:val="1093"/>
    <w:next w:val="1093"/>
    <w:link w:val="1137"/>
    <w:uiPriority w:val="9"/>
    <w:unhideWhenUsed/>
    <w:qFormat/>
    <w:pPr>
      <w:keepLines/>
      <w:keepNext/>
      <w:spacing w:before="320" w:after="200"/>
      <w:outlineLvl w:val="7"/>
    </w:pPr>
    <w:rPr>
      <w:rFonts w:ascii="Arial" w:hAnsi="Arial" w:eastAsia="Arial" w:cs="Arial"/>
      <w:i/>
      <w:iCs/>
      <w:sz w:val="22"/>
    </w:rPr>
  </w:style>
  <w:style w:type="paragraph" w:styleId="1102">
    <w:name w:val="Heading 9"/>
    <w:basedOn w:val="1093"/>
    <w:next w:val="1093"/>
    <w:link w:val="1138"/>
    <w:uiPriority w:val="9"/>
    <w:unhideWhenUsed/>
    <w:qFormat/>
    <w:pPr>
      <w:keepLines/>
      <w:keepNext/>
      <w:spacing w:before="320" w:after="200"/>
      <w:outlineLvl w:val="8"/>
    </w:pPr>
    <w:rPr>
      <w:rFonts w:ascii="Arial" w:hAnsi="Arial" w:eastAsia="Arial" w:cs="Arial"/>
      <w:i/>
      <w:iCs/>
      <w:szCs w:val="21"/>
    </w:rPr>
  </w:style>
  <w:style w:type="character" w:styleId="1103" w:default="1">
    <w:name w:val="Default Paragraph Font"/>
    <w:uiPriority w:val="1"/>
    <w:semiHidden/>
    <w:unhideWhenUsed/>
    <w:qFormat/>
  </w:style>
  <w:style w:type="table" w:styleId="1104" w:default="1">
    <w:name w:val="Normal Table"/>
    <w:uiPriority w:val="99"/>
    <w:semiHidden/>
    <w:unhideWhenUsed/>
    <w:qFormat/>
    <w:tblPr>
      <w:tblCellMar>
        <w:left w:w="108" w:type="dxa"/>
        <w:top w:w="0" w:type="dxa"/>
        <w:right w:w="108" w:type="dxa"/>
        <w:bottom w:w="0" w:type="dxa"/>
      </w:tblCellMar>
    </w:tblPr>
  </w:style>
  <w:style w:type="paragraph" w:styleId="1105">
    <w:name w:val="Normal Indent"/>
    <w:basedOn w:val="1093"/>
    <w:uiPriority w:val="0"/>
    <w:qFormat/>
    <w:pPr>
      <w:ind w:firstLine="420"/>
    </w:pPr>
    <w:rPr>
      <w:rFonts w:asciiTheme="minorHAnsi" w:hAnsiTheme="minorHAnsi"/>
      <w:szCs w:val="21"/>
    </w:rPr>
  </w:style>
  <w:style w:type="paragraph" w:styleId="1106">
    <w:name w:val="toc 7"/>
    <w:basedOn w:val="1093"/>
    <w:next w:val="1093"/>
    <w:uiPriority w:val="39"/>
    <w:unhideWhenUsed/>
    <w:qFormat/>
    <w:pPr>
      <w:ind w:left="1701"/>
      <w:spacing w:after="57"/>
    </w:pPr>
  </w:style>
  <w:style w:type="paragraph" w:styleId="1107">
    <w:name w:val="Caption"/>
    <w:basedOn w:val="1093"/>
    <w:next w:val="10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8">
    <w:name w:val="annotation text"/>
    <w:basedOn w:val="1093"/>
    <w:link w:val="1478"/>
    <w:uiPriority w:val="99"/>
    <w:semiHidden/>
    <w:unhideWhenUsed/>
    <w:qFormat/>
    <w:pPr>
      <w:jc w:val="left"/>
    </w:pPr>
  </w:style>
  <w:style w:type="paragraph" w:styleId="1109">
    <w:name w:val="toc 5"/>
    <w:basedOn w:val="1093"/>
    <w:next w:val="1093"/>
    <w:uiPriority w:val="39"/>
    <w:unhideWhenUsed/>
    <w:qFormat/>
    <w:pPr>
      <w:ind w:left="1134"/>
      <w:spacing w:after="57"/>
    </w:pPr>
  </w:style>
  <w:style w:type="paragraph" w:styleId="1110">
    <w:name w:val="toc 3"/>
    <w:basedOn w:val="1093"/>
    <w:next w:val="1093"/>
    <w:uiPriority w:val="39"/>
    <w:unhideWhenUsed/>
    <w:qFormat/>
    <w:pPr>
      <w:ind w:left="567"/>
      <w:spacing w:after="57"/>
    </w:pPr>
  </w:style>
  <w:style w:type="paragraph" w:styleId="1111">
    <w:name w:val="Plain Text"/>
    <w:basedOn w:val="1093"/>
    <w:uiPriority w:val="99"/>
    <w:qFormat/>
    <w:pPr>
      <w:ind w:firstLine="200"/>
      <w:spacing w:line="360" w:lineRule="auto"/>
    </w:pPr>
    <w:rPr>
      <w:rFonts w:ascii="宋体" w:hAnsi="Courier New" w:cs="宋体"/>
      <w:sz w:val="24"/>
      <w:szCs w:val="24"/>
    </w:rPr>
  </w:style>
  <w:style w:type="paragraph" w:styleId="1112">
    <w:name w:val="toc 8"/>
    <w:basedOn w:val="1093"/>
    <w:next w:val="1093"/>
    <w:uiPriority w:val="39"/>
    <w:unhideWhenUsed/>
    <w:qFormat/>
    <w:pPr>
      <w:ind w:left="1984"/>
      <w:spacing w:after="57"/>
    </w:pPr>
  </w:style>
  <w:style w:type="paragraph" w:styleId="1113">
    <w:name w:val="endnote text"/>
    <w:basedOn w:val="1093"/>
    <w:link w:val="1271"/>
    <w:uiPriority w:val="99"/>
    <w:semiHidden/>
    <w:unhideWhenUsed/>
    <w:qFormat/>
    <w:rPr>
      <w:sz w:val="20"/>
    </w:rPr>
  </w:style>
  <w:style w:type="paragraph" w:styleId="1114">
    <w:name w:val="Balloon Text"/>
    <w:basedOn w:val="1093"/>
    <w:link w:val="1477"/>
    <w:uiPriority w:val="99"/>
    <w:semiHidden/>
    <w:unhideWhenUsed/>
    <w:qFormat/>
    <w:rPr>
      <w:sz w:val="18"/>
      <w:szCs w:val="18"/>
    </w:rPr>
  </w:style>
  <w:style w:type="paragraph" w:styleId="1115">
    <w:name w:val="Footer"/>
    <w:basedOn w:val="1093"/>
    <w:link w:val="1144"/>
    <w:uiPriority w:val="99"/>
    <w:unhideWhenUsed/>
    <w:qFormat/>
    <w:pPr>
      <w:tabs>
        <w:tab w:val="center" w:pos="7143" w:leader="none"/>
        <w:tab w:val="right" w:pos="14287" w:leader="none"/>
      </w:tabs>
    </w:pPr>
  </w:style>
  <w:style w:type="paragraph" w:styleId="1116">
    <w:name w:val="Header"/>
    <w:basedOn w:val="1093"/>
    <w:uiPriority w:val="99"/>
    <w:unhideWhenUsed/>
    <w:qFormat/>
    <w:pPr>
      <w:tabs>
        <w:tab w:val="center" w:pos="7143" w:leader="none"/>
        <w:tab w:val="right" w:pos="14287" w:leader="none"/>
      </w:tabs>
    </w:pPr>
  </w:style>
  <w:style w:type="paragraph" w:styleId="1117">
    <w:name w:val="toc 1"/>
    <w:basedOn w:val="1093"/>
    <w:next w:val="1093"/>
    <w:uiPriority w:val="39"/>
    <w:unhideWhenUsed/>
    <w:qFormat/>
    <w:pPr>
      <w:spacing w:after="57"/>
    </w:pPr>
  </w:style>
  <w:style w:type="paragraph" w:styleId="1118">
    <w:name w:val="toc 4"/>
    <w:basedOn w:val="1093"/>
    <w:next w:val="1093"/>
    <w:uiPriority w:val="39"/>
    <w:unhideWhenUsed/>
    <w:qFormat/>
    <w:pPr>
      <w:ind w:left="850"/>
      <w:spacing w:after="57"/>
    </w:pPr>
  </w:style>
  <w:style w:type="paragraph" w:styleId="1119">
    <w:name w:val="Subtitle"/>
    <w:basedOn w:val="1093"/>
    <w:next w:val="1093"/>
    <w:link w:val="1140"/>
    <w:uiPriority w:val="11"/>
    <w:qFormat/>
    <w:pPr>
      <w:spacing w:before="200" w:after="200"/>
    </w:pPr>
    <w:rPr>
      <w:sz w:val="24"/>
      <w:szCs w:val="24"/>
    </w:rPr>
  </w:style>
  <w:style w:type="paragraph" w:styleId="1120">
    <w:name w:val="footnote text"/>
    <w:basedOn w:val="1093"/>
    <w:link w:val="1270"/>
    <w:uiPriority w:val="99"/>
    <w:semiHidden/>
    <w:unhideWhenUsed/>
    <w:qFormat/>
    <w:pPr>
      <w:spacing w:after="40"/>
    </w:pPr>
    <w:rPr>
      <w:sz w:val="18"/>
    </w:rPr>
  </w:style>
  <w:style w:type="paragraph" w:styleId="1121">
    <w:name w:val="toc 6"/>
    <w:basedOn w:val="1093"/>
    <w:next w:val="1093"/>
    <w:uiPriority w:val="39"/>
    <w:unhideWhenUsed/>
    <w:qFormat/>
    <w:pPr>
      <w:ind w:left="1417"/>
      <w:spacing w:after="57"/>
    </w:pPr>
  </w:style>
  <w:style w:type="paragraph" w:styleId="1122">
    <w:name w:val="table of figures"/>
    <w:basedOn w:val="1093"/>
    <w:next w:val="1093"/>
    <w:uiPriority w:val="99"/>
    <w:unhideWhenUsed/>
    <w:qFormat/>
  </w:style>
  <w:style w:type="paragraph" w:styleId="1123">
    <w:name w:val="toc 2"/>
    <w:basedOn w:val="1093"/>
    <w:next w:val="1093"/>
    <w:uiPriority w:val="39"/>
    <w:unhideWhenUsed/>
    <w:qFormat/>
    <w:pPr>
      <w:ind w:left="283"/>
      <w:spacing w:after="57"/>
    </w:pPr>
  </w:style>
  <w:style w:type="paragraph" w:styleId="1124">
    <w:name w:val="toc 9"/>
    <w:basedOn w:val="1093"/>
    <w:next w:val="1093"/>
    <w:uiPriority w:val="39"/>
    <w:unhideWhenUsed/>
    <w:qFormat/>
    <w:pPr>
      <w:ind w:left="2268"/>
      <w:spacing w:after="57"/>
    </w:pPr>
  </w:style>
  <w:style w:type="paragraph" w:styleId="1125">
    <w:name w:val="Normal (Web)"/>
    <w:basedOn w:val="1093"/>
    <w:uiPriority w:val="99"/>
    <w:qFormat/>
    <w:pPr>
      <w:jc w:val="left"/>
      <w:spacing w:before="100" w:beforeAutospacing="1" w:after="100" w:afterAutospacing="1"/>
      <w:widowControl/>
    </w:pPr>
    <w:rPr>
      <w:rFonts w:ascii="宋体" w:hAnsi="宋体" w:eastAsia="宋体" w:cs="宋体"/>
      <w:sz w:val="24"/>
      <w:szCs w:val="24"/>
    </w:rPr>
  </w:style>
  <w:style w:type="paragraph" w:styleId="1126">
    <w:name w:val="Title"/>
    <w:basedOn w:val="1093"/>
    <w:next w:val="1093"/>
    <w:link w:val="1139"/>
    <w:uiPriority w:val="10"/>
    <w:qFormat/>
    <w:pPr>
      <w:contextualSpacing/>
      <w:spacing w:before="300" w:after="200"/>
    </w:pPr>
    <w:rPr>
      <w:sz w:val="48"/>
      <w:szCs w:val="48"/>
    </w:rPr>
  </w:style>
  <w:style w:type="paragraph" w:styleId="1127">
    <w:name w:val="annotation subject"/>
    <w:basedOn w:val="1108"/>
    <w:next w:val="1108"/>
    <w:link w:val="1479"/>
    <w:uiPriority w:val="99"/>
    <w:semiHidden/>
    <w:unhideWhenUsed/>
    <w:qFormat/>
    <w:rPr>
      <w:b/>
      <w:bCs/>
    </w:rPr>
  </w:style>
  <w:style w:type="table" w:styleId="11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9">
    <w:name w:val="Strong"/>
    <w:basedOn w:val="1103"/>
    <w:uiPriority w:val="22"/>
    <w:qFormat/>
    <w:rPr>
      <w:b/>
    </w:rPr>
  </w:style>
  <w:style w:type="character" w:styleId="1130">
    <w:name w:val="endnote reference"/>
    <w:uiPriority w:val="99"/>
    <w:semiHidden/>
    <w:unhideWhenUsed/>
    <w:qFormat/>
    <w:rPr>
      <w:vertAlign w:val="superscript"/>
    </w:rPr>
  </w:style>
  <w:style w:type="character" w:styleId="1131">
    <w:name w:val="Emphasis"/>
    <w:uiPriority w:val="0"/>
    <w:qFormat/>
    <w:rPr>
      <w:i/>
    </w:rPr>
  </w:style>
  <w:style w:type="character" w:styleId="1132">
    <w:name w:val="Hyperlink"/>
    <w:uiPriority w:val="99"/>
    <w:unhideWhenUsed/>
    <w:qFormat/>
    <w:rPr>
      <w:color w:val="0000ff" w:themeColor="hyperlink"/>
      <w:u w:val="single"/>
      <w14:textFill>
        <w14:solidFill>
          <w14:schemeClr w14:val="hlink"/>
        </w14:solidFill>
      </w14:textFill>
    </w:rPr>
  </w:style>
  <w:style w:type="character" w:styleId="1133">
    <w:name w:val="annotation reference"/>
    <w:basedOn w:val="1103"/>
    <w:uiPriority w:val="99"/>
    <w:semiHidden/>
    <w:unhideWhenUsed/>
    <w:qFormat/>
    <w:rPr>
      <w:sz w:val="21"/>
      <w:szCs w:val="21"/>
    </w:rPr>
  </w:style>
  <w:style w:type="character" w:styleId="1134">
    <w:name w:val="footnote reference"/>
    <w:uiPriority w:val="99"/>
    <w:unhideWhenUsed/>
    <w:qFormat/>
    <w:rPr>
      <w:vertAlign w:val="superscript"/>
    </w:rPr>
  </w:style>
  <w:style w:type="character" w:styleId="1135" w:customStyle="1">
    <w:name w:val="标题 6 Char"/>
    <w:link w:val="1099"/>
    <w:uiPriority w:val="9"/>
    <w:qFormat/>
    <w:rPr>
      <w:rFonts w:ascii="Arial" w:hAnsi="Arial" w:eastAsia="Arial" w:cs="Arial"/>
      <w:b/>
      <w:bCs/>
      <w:sz w:val="22"/>
      <w:szCs w:val="22"/>
    </w:rPr>
  </w:style>
  <w:style w:type="character" w:styleId="1136" w:customStyle="1">
    <w:name w:val="标题 7 Char"/>
    <w:link w:val="1100"/>
    <w:uiPriority w:val="9"/>
    <w:qFormat/>
    <w:rPr>
      <w:rFonts w:ascii="Arial" w:hAnsi="Arial" w:eastAsia="Arial" w:cs="Arial"/>
      <w:b/>
      <w:bCs/>
      <w:i/>
      <w:iCs/>
      <w:sz w:val="22"/>
      <w:szCs w:val="22"/>
    </w:rPr>
  </w:style>
  <w:style w:type="character" w:styleId="1137" w:customStyle="1">
    <w:name w:val="标题 8 Char"/>
    <w:link w:val="1101"/>
    <w:uiPriority w:val="9"/>
    <w:qFormat/>
    <w:rPr>
      <w:rFonts w:ascii="Arial" w:hAnsi="Arial" w:eastAsia="Arial" w:cs="Arial"/>
      <w:i/>
      <w:iCs/>
      <w:sz w:val="22"/>
      <w:szCs w:val="22"/>
    </w:rPr>
  </w:style>
  <w:style w:type="character" w:styleId="1138" w:customStyle="1">
    <w:name w:val="标题 9 Char"/>
    <w:link w:val="1102"/>
    <w:uiPriority w:val="9"/>
    <w:qFormat/>
    <w:rPr>
      <w:rFonts w:ascii="Arial" w:hAnsi="Arial" w:eastAsia="Arial" w:cs="Arial"/>
      <w:i/>
      <w:iCs/>
      <w:sz w:val="21"/>
      <w:szCs w:val="21"/>
    </w:rPr>
  </w:style>
  <w:style w:type="character" w:styleId="1139" w:customStyle="1">
    <w:name w:val="标题 Char"/>
    <w:link w:val="1126"/>
    <w:uiPriority w:val="10"/>
    <w:qFormat/>
    <w:rPr>
      <w:sz w:val="48"/>
      <w:szCs w:val="48"/>
    </w:rPr>
  </w:style>
  <w:style w:type="character" w:styleId="1140" w:customStyle="1">
    <w:name w:val="副标题 Char"/>
    <w:link w:val="1119"/>
    <w:uiPriority w:val="11"/>
    <w:qFormat/>
    <w:rPr>
      <w:sz w:val="24"/>
      <w:szCs w:val="24"/>
    </w:rPr>
  </w:style>
  <w:style w:type="paragraph" w:styleId="1141">
    <w:name w:val="Quote"/>
    <w:basedOn w:val="1093"/>
    <w:next w:val="1093"/>
    <w:link w:val="1142"/>
    <w:uiPriority w:val="29"/>
    <w:qFormat/>
    <w:pPr>
      <w:ind w:left="720" w:right="720"/>
    </w:pPr>
    <w:rPr>
      <w:i/>
    </w:rPr>
  </w:style>
  <w:style w:type="character" w:styleId="1142" w:customStyle="1">
    <w:name w:val="引用 Char"/>
    <w:link w:val="1141"/>
    <w:uiPriority w:val="29"/>
    <w:qFormat/>
    <w:rPr>
      <w:i/>
    </w:rPr>
  </w:style>
  <w:style w:type="character" w:styleId="1143" w:customStyle="1">
    <w:name w:val="Intense Quote Char"/>
    <w:uiPriority w:val="30"/>
    <w:qFormat/>
    <w:rPr>
      <w:i/>
    </w:rPr>
  </w:style>
  <w:style w:type="character" w:styleId="1144" w:customStyle="1">
    <w:name w:val="页脚 Char"/>
    <w:link w:val="1115"/>
    <w:uiPriority w:val="99"/>
    <w:qFormat/>
  </w:style>
  <w:style w:type="table" w:styleId="11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0" w:customStyle="1">
    <w:name w:val="脚注文本 Char"/>
    <w:link w:val="1120"/>
    <w:uiPriority w:val="99"/>
    <w:qFormat/>
    <w:rPr>
      <w:sz w:val="18"/>
    </w:rPr>
  </w:style>
  <w:style w:type="character" w:styleId="1271" w:customStyle="1">
    <w:name w:val="尾注文本 Char"/>
    <w:link w:val="1113"/>
    <w:uiPriority w:val="99"/>
    <w:qFormat/>
    <w:rPr>
      <w:sz w:val="20"/>
    </w:rPr>
  </w:style>
  <w:style w:type="paragraph" w:styleId="1272" w:customStyle="1">
    <w:name w:val="标题 11"/>
    <w:basedOn w:val="1093"/>
    <w:next w:val="1093"/>
    <w:link w:val="1280"/>
    <w:uiPriority w:val="0"/>
    <w:qFormat/>
    <w:pPr>
      <w:jc w:val="center"/>
      <w:keepLines/>
      <w:keepNext/>
      <w:spacing w:before="340" w:after="330"/>
      <w:outlineLvl w:val="0"/>
    </w:pPr>
    <w:rPr>
      <w:rFonts w:ascii="Calibri" w:hAnsi="Calibri"/>
      <w:b/>
      <w:bCs/>
      <w:sz w:val="32"/>
      <w:szCs w:val="44"/>
    </w:rPr>
  </w:style>
  <w:style w:type="paragraph" w:styleId="1273" w:customStyle="1">
    <w:name w:val="标题 21"/>
    <w:basedOn w:val="1093"/>
    <w:next w:val="1093"/>
    <w:link w:val="1281"/>
    <w:uiPriority w:val="0"/>
    <w:qFormat/>
    <w:pPr>
      <w:jc w:val="center"/>
      <w:keepLines/>
      <w:keepNext/>
      <w:spacing w:before="260" w:after="260"/>
      <w:outlineLvl w:val="1"/>
    </w:pPr>
    <w:rPr>
      <w:rFonts w:ascii="Cambria" w:hAnsi="Cambria"/>
      <w:b/>
      <w:bCs/>
      <w:sz w:val="28"/>
      <w:szCs w:val="32"/>
    </w:rPr>
  </w:style>
  <w:style w:type="paragraph" w:styleId="1274" w:customStyle="1">
    <w:name w:val="标题 31"/>
    <w:basedOn w:val="1093"/>
    <w:next w:val="1275"/>
    <w:link w:val="1282"/>
    <w:uiPriority w:val="0"/>
    <w:qFormat/>
    <w:pPr>
      <w:jc w:val="left"/>
      <w:keepLines/>
      <w:keepNext/>
      <w:spacing w:line="440" w:lineRule="exact"/>
      <w:outlineLvl w:val="2"/>
    </w:pPr>
    <w:rPr>
      <w:b/>
      <w:bCs/>
      <w:szCs w:val="32"/>
    </w:rPr>
  </w:style>
  <w:style w:type="paragraph" w:styleId="1275" w:customStyle="1">
    <w:name w:val="正文缩进1"/>
    <w:basedOn w:val="1093"/>
    <w:uiPriority w:val="0"/>
    <w:qFormat/>
    <w:pPr>
      <w:ind w:firstLine="420"/>
      <w:jc w:val="left"/>
      <w:spacing w:line="360" w:lineRule="atLeast"/>
    </w:pPr>
    <w:rPr>
      <w:rFonts w:eastAsia="宋体"/>
      <w:szCs w:val="21"/>
    </w:rPr>
  </w:style>
  <w:style w:type="paragraph" w:styleId="1276" w:customStyle="1">
    <w:name w:val="标题 41"/>
    <w:basedOn w:val="1093"/>
    <w:next w:val="1093"/>
    <w:link w:val="1283"/>
    <w:uiPriority w:val="0"/>
    <w:qFormat/>
    <w:pPr>
      <w:keepLines/>
      <w:keepNext/>
      <w:spacing w:line="360" w:lineRule="auto"/>
      <w:outlineLvl w:val="3"/>
    </w:pPr>
    <w:rPr>
      <w:rFonts w:ascii="Arial" w:hAnsi="Arial" w:eastAsia="宋体"/>
      <w:b/>
      <w:bCs/>
      <w:sz w:val="24"/>
      <w:szCs w:val="28"/>
    </w:rPr>
  </w:style>
  <w:style w:type="paragraph" w:styleId="1277" w:customStyle="1">
    <w:name w:val="标题 51"/>
    <w:basedOn w:val="1093"/>
    <w:next w:val="1093"/>
    <w:link w:val="1284"/>
    <w:uiPriority w:val="0"/>
    <w:qFormat/>
    <w:pPr>
      <w:keepLines/>
      <w:keepNext/>
      <w:spacing w:before="280" w:after="290" w:line="376" w:lineRule="auto"/>
      <w:outlineLvl w:val="4"/>
    </w:pPr>
    <w:rPr>
      <w:rFonts w:ascii="Calibri" w:hAnsi="Calibri" w:eastAsia="宋体"/>
      <w:b/>
      <w:bCs/>
      <w:sz w:val="28"/>
      <w:szCs w:val="28"/>
    </w:rPr>
  </w:style>
  <w:style w:type="character" w:styleId="1278" w:customStyle="1">
    <w:name w:val="默认段落字体1"/>
    <w:uiPriority w:val="1"/>
    <w:unhideWhenUsed/>
    <w:qFormat/>
  </w:style>
  <w:style w:type="table" w:styleId="1279" w:customStyle="1">
    <w:name w:val="普通表格1"/>
    <w:uiPriority w:val="99"/>
    <w:unhideWhenUsed/>
    <w:qFormat/>
    <w:tblPr>
      <w:tblCellMar>
        <w:left w:w="0" w:type="dxa"/>
        <w:top w:w="0" w:type="dxa"/>
        <w:right w:w="0" w:type="dxa"/>
        <w:bottom w:w="0" w:type="dxa"/>
      </w:tblCellMar>
    </w:tblPr>
  </w:style>
  <w:style w:type="character" w:styleId="1280" w:customStyle="1">
    <w:name w:val="Heading 1 Char"/>
    <w:link w:val="1272"/>
    <w:uiPriority w:val="0"/>
    <w:qFormat/>
    <w:rPr>
      <w:rFonts w:ascii="Calibri" w:hAnsi="Calibri" w:eastAsia="微软雅黑"/>
      <w:b/>
      <w:bCs/>
      <w:sz w:val="32"/>
      <w:szCs w:val="44"/>
    </w:rPr>
  </w:style>
  <w:style w:type="character" w:styleId="1281" w:customStyle="1">
    <w:name w:val="Heading 2 Char"/>
    <w:link w:val="1273"/>
    <w:uiPriority w:val="0"/>
    <w:qFormat/>
    <w:rPr>
      <w:rFonts w:ascii="Cambria" w:hAnsi="Cambria" w:eastAsia="微软雅黑" w:cs="Times New Roman"/>
      <w:b/>
      <w:bCs/>
      <w:sz w:val="28"/>
      <w:szCs w:val="32"/>
    </w:rPr>
  </w:style>
  <w:style w:type="character" w:styleId="1282" w:customStyle="1">
    <w:name w:val="Heading 3 Char"/>
    <w:link w:val="1274"/>
    <w:uiPriority w:val="0"/>
    <w:qFormat/>
    <w:rPr>
      <w:rFonts w:ascii="Times New Roman" w:hAnsi="Times New Roman" w:eastAsia="微软雅黑" w:cs="Times New Roman"/>
      <w:b/>
      <w:bCs/>
      <w:sz w:val="21"/>
      <w:szCs w:val="32"/>
    </w:rPr>
  </w:style>
  <w:style w:type="character" w:styleId="1283" w:customStyle="1">
    <w:name w:val="Heading 4 Char"/>
    <w:link w:val="1276"/>
    <w:uiPriority w:val="0"/>
    <w:qFormat/>
    <w:rPr>
      <w:rFonts w:ascii="Arial" w:hAnsi="Arial"/>
      <w:b/>
      <w:bCs/>
      <w:sz w:val="24"/>
      <w:szCs w:val="28"/>
    </w:rPr>
  </w:style>
  <w:style w:type="character" w:styleId="1284" w:customStyle="1">
    <w:name w:val="Heading 5 Char"/>
    <w:link w:val="1277"/>
    <w:uiPriority w:val="0"/>
    <w:qFormat/>
    <w:rPr>
      <w:rFonts w:ascii="Calibri" w:hAnsi="Calibri"/>
      <w:b/>
      <w:bCs/>
      <w:sz w:val="28"/>
      <w:szCs w:val="28"/>
    </w:rPr>
  </w:style>
  <w:style w:type="paragraph" w:styleId="1285" w:customStyle="1">
    <w:name w:val="目录 71"/>
    <w:basedOn w:val="1093"/>
    <w:next w:val="1093"/>
    <w:uiPriority w:val="39"/>
    <w:qFormat/>
    <w:pPr>
      <w:ind w:left="2520"/>
    </w:pPr>
    <w:rPr>
      <w:szCs w:val="24"/>
    </w:rPr>
  </w:style>
  <w:style w:type="paragraph" w:styleId="1286" w:customStyle="1">
    <w:name w:val="题注1"/>
    <w:basedOn w:val="1093"/>
    <w:next w:val="1093"/>
    <w:uiPriority w:val="35"/>
    <w:qFormat/>
    <w:rPr>
      <w:rFonts w:ascii="Cambria" w:hAnsi="Cambria" w:eastAsia="黑体"/>
      <w:sz w:val="20"/>
      <w:szCs w:val="20"/>
    </w:rPr>
  </w:style>
  <w:style w:type="paragraph" w:styleId="1287" w:customStyle="1">
    <w:name w:val="列表项目符号1"/>
    <w:basedOn w:val="1093"/>
    <w:uiPriority w:val="0"/>
    <w:qFormat/>
    <w:pPr>
      <w:numPr>
        <w:ilvl w:val="0"/>
        <w:numId w:val="1"/>
      </w:numPr>
      <w:spacing w:line="360" w:lineRule="atLeast"/>
      <w:tabs>
        <w:tab w:val="left" w:pos="360" w:leader="none"/>
      </w:tabs>
    </w:pPr>
    <w:rPr>
      <w:rFonts w:ascii="Arial" w:hAnsi="Arial"/>
      <w:szCs w:val="21"/>
    </w:rPr>
  </w:style>
  <w:style w:type="paragraph" w:styleId="1288" w:customStyle="1">
    <w:name w:val="文档结构图1"/>
    <w:basedOn w:val="1093"/>
    <w:link w:val="1289"/>
    <w:uiPriority w:val="0"/>
    <w:qFormat/>
    <w:rPr>
      <w:rFonts w:ascii="宋体" w:eastAsia="宋体"/>
      <w:sz w:val="18"/>
      <w:szCs w:val="18"/>
    </w:rPr>
  </w:style>
  <w:style w:type="character" w:styleId="1289" w:customStyle="1">
    <w:name w:val="Document Map Char"/>
    <w:link w:val="1288"/>
    <w:uiPriority w:val="0"/>
    <w:qFormat/>
    <w:rPr>
      <w:rFonts w:ascii="宋体"/>
      <w:sz w:val="18"/>
      <w:szCs w:val="18"/>
    </w:rPr>
  </w:style>
  <w:style w:type="paragraph" w:styleId="1290" w:customStyle="1">
    <w:name w:val="批注文字1"/>
    <w:basedOn w:val="1093"/>
    <w:link w:val="1291"/>
    <w:uiPriority w:val="0"/>
    <w:semiHidden/>
    <w:qFormat/>
    <w:pPr>
      <w:jc w:val="left"/>
    </w:pPr>
    <w:rPr>
      <w:rFonts w:eastAsia="宋体"/>
      <w:sz w:val="20"/>
      <w:szCs w:val="21"/>
    </w:rPr>
  </w:style>
  <w:style w:type="character" w:styleId="1291" w:customStyle="1">
    <w:name w:val="Comment Text Char"/>
    <w:link w:val="1290"/>
    <w:uiPriority w:val="0"/>
    <w:semiHidden/>
    <w:qFormat/>
    <w:rPr>
      <w:rFonts w:ascii="Times New Roman" w:hAnsi="Times New Roman" w:eastAsia="宋体" w:cs="Times New Roman"/>
      <w:szCs w:val="21"/>
    </w:rPr>
  </w:style>
  <w:style w:type="paragraph" w:styleId="1292" w:customStyle="1">
    <w:name w:val="正文文本1"/>
    <w:basedOn w:val="1093"/>
    <w:next w:val="1093"/>
    <w:link w:val="1293"/>
    <w:uiPriority w:val="0"/>
    <w:qFormat/>
    <w:rPr>
      <w:rFonts w:ascii="仿宋_GB2312" w:hAnsi="宋体" w:eastAsia="仿宋_GB2312"/>
      <w:sz w:val="24"/>
      <w:szCs w:val="24"/>
    </w:rPr>
  </w:style>
  <w:style w:type="character" w:styleId="1293" w:customStyle="1">
    <w:name w:val="Body Text Char"/>
    <w:link w:val="1292"/>
    <w:uiPriority w:val="0"/>
    <w:qFormat/>
    <w:rPr>
      <w:rFonts w:ascii="仿宋_GB2312" w:hAnsi="宋体" w:eastAsia="仿宋_GB2312" w:cs="仿宋_GB2312"/>
      <w:sz w:val="24"/>
      <w:szCs w:val="24"/>
    </w:rPr>
  </w:style>
  <w:style w:type="paragraph" w:styleId="1294" w:customStyle="1">
    <w:name w:val="正文文本缩进1"/>
    <w:basedOn w:val="1093"/>
    <w:link w:val="1295"/>
    <w:uiPriority w:val="0"/>
    <w:qFormat/>
    <w:pPr>
      <w:ind w:firstLine="403"/>
      <w:spacing w:line="440" w:lineRule="exact"/>
    </w:pPr>
    <w:rPr>
      <w:rFonts w:ascii="宋体" w:hAnsi="宋体" w:eastAsia="宋体"/>
      <w:sz w:val="20"/>
      <w:szCs w:val="21"/>
    </w:rPr>
  </w:style>
  <w:style w:type="character" w:styleId="1295" w:customStyle="1">
    <w:name w:val="Body Text Indent Char"/>
    <w:link w:val="1294"/>
    <w:uiPriority w:val="0"/>
    <w:qFormat/>
    <w:rPr>
      <w:rFonts w:ascii="宋体" w:hAnsi="宋体" w:eastAsia="宋体" w:cs="宋体"/>
      <w:szCs w:val="21"/>
    </w:rPr>
  </w:style>
  <w:style w:type="paragraph" w:styleId="1296" w:customStyle="1">
    <w:name w:val="文本块1"/>
    <w:basedOn w:val="1093"/>
    <w:next w:val="1093"/>
    <w:uiPriority w:val="99"/>
    <w:unhideWhenUsed/>
    <w:qFormat/>
    <w:pPr>
      <w:ind w:left="1440" w:right="1440"/>
      <w:spacing w:after="120"/>
    </w:pPr>
  </w:style>
  <w:style w:type="paragraph" w:styleId="1297" w:customStyle="1">
    <w:name w:val="索引 411"/>
    <w:basedOn w:val="1093"/>
    <w:next w:val="1093"/>
    <w:uiPriority w:val="99"/>
    <w:unhideWhenUsed/>
    <w:qFormat/>
    <w:pPr>
      <w:ind w:left="600"/>
    </w:pPr>
    <w:rPr>
      <w:rFonts w:ascii="Verdana" w:hAnsi="Verdana"/>
      <w:szCs w:val="20"/>
    </w:rPr>
  </w:style>
  <w:style w:type="paragraph" w:styleId="1298" w:customStyle="1">
    <w:name w:val="目录 51"/>
    <w:basedOn w:val="1093"/>
    <w:next w:val="1093"/>
    <w:uiPriority w:val="39"/>
    <w:qFormat/>
    <w:pPr>
      <w:ind w:left="1680"/>
    </w:pPr>
    <w:rPr>
      <w:szCs w:val="24"/>
    </w:rPr>
  </w:style>
  <w:style w:type="paragraph" w:styleId="1299" w:customStyle="1">
    <w:name w:val="目录 31"/>
    <w:basedOn w:val="1093"/>
    <w:next w:val="1093"/>
    <w:uiPriority w:val="39"/>
    <w:unhideWhenUsed/>
    <w:qFormat/>
    <w:pPr>
      <w:ind w:left="840"/>
      <w:spacing w:line="340" w:lineRule="exact"/>
    </w:pPr>
    <w:rPr>
      <w:rFonts w:ascii="Calibri" w:hAnsi="Calibri"/>
    </w:rPr>
  </w:style>
  <w:style w:type="paragraph" w:styleId="1300" w:customStyle="1">
    <w:name w:val="纯文本1"/>
    <w:basedOn w:val="1093"/>
    <w:link w:val="1301"/>
    <w:uiPriority w:val="0"/>
    <w:qFormat/>
    <w:rPr>
      <w:rFonts w:ascii="宋体" w:hAnsi="Courier New" w:eastAsia="宋体"/>
      <w:sz w:val="28"/>
      <w:szCs w:val="28"/>
    </w:rPr>
  </w:style>
  <w:style w:type="character" w:styleId="1301" w:customStyle="1">
    <w:name w:val="Plain Text Char"/>
    <w:link w:val="1300"/>
    <w:uiPriority w:val="0"/>
    <w:qFormat/>
    <w:rPr>
      <w:rFonts w:ascii="宋体" w:hAnsi="Courier New" w:eastAsia="宋体" w:cs="宋体"/>
      <w:sz w:val="28"/>
      <w:szCs w:val="28"/>
    </w:rPr>
  </w:style>
  <w:style w:type="paragraph" w:styleId="1302" w:customStyle="1">
    <w:name w:val="目录 81"/>
    <w:basedOn w:val="1093"/>
    <w:next w:val="1093"/>
    <w:uiPriority w:val="39"/>
    <w:qFormat/>
    <w:pPr>
      <w:ind w:left="2940"/>
    </w:pPr>
    <w:rPr>
      <w:szCs w:val="24"/>
    </w:rPr>
  </w:style>
  <w:style w:type="paragraph" w:styleId="1303" w:customStyle="1">
    <w:name w:val="日期1"/>
    <w:basedOn w:val="1093"/>
    <w:next w:val="1093"/>
    <w:link w:val="1304"/>
    <w:uiPriority w:val="0"/>
    <w:qFormat/>
    <w:pPr>
      <w:ind w:left="100"/>
    </w:pPr>
    <w:rPr>
      <w:rFonts w:eastAsia="宋体"/>
      <w:sz w:val="20"/>
      <w:szCs w:val="21"/>
    </w:rPr>
  </w:style>
  <w:style w:type="character" w:styleId="1304" w:customStyle="1">
    <w:name w:val="Date Char"/>
    <w:link w:val="1303"/>
    <w:uiPriority w:val="0"/>
    <w:qFormat/>
    <w:rPr>
      <w:rFonts w:ascii="Times New Roman" w:hAnsi="Times New Roman" w:eastAsia="宋体" w:cs="Times New Roman"/>
      <w:szCs w:val="21"/>
    </w:rPr>
  </w:style>
  <w:style w:type="paragraph" w:styleId="1305" w:customStyle="1">
    <w:name w:val="正文文本缩进 21"/>
    <w:basedOn w:val="1093"/>
    <w:link w:val="1306"/>
    <w:uiPriority w:val="0"/>
    <w:qFormat/>
    <w:pPr>
      <w:ind w:firstLine="420"/>
      <w:spacing w:line="440" w:lineRule="exact"/>
    </w:pPr>
    <w:rPr>
      <w:rFonts w:ascii="宋体" w:hAnsi="宋体" w:eastAsia="宋体"/>
      <w:sz w:val="20"/>
      <w:szCs w:val="21"/>
    </w:rPr>
  </w:style>
  <w:style w:type="character" w:styleId="1306" w:customStyle="1">
    <w:name w:val="Body Text Indent 2 Char"/>
    <w:link w:val="1305"/>
    <w:uiPriority w:val="0"/>
    <w:qFormat/>
    <w:rPr>
      <w:rFonts w:ascii="宋体" w:hAnsi="宋体" w:eastAsia="宋体" w:cs="宋体"/>
      <w:szCs w:val="21"/>
    </w:rPr>
  </w:style>
  <w:style w:type="paragraph" w:styleId="1307" w:customStyle="1">
    <w:name w:val="批注框文本1"/>
    <w:basedOn w:val="1093"/>
    <w:link w:val="1308"/>
    <w:uiPriority w:val="0"/>
    <w:semiHidden/>
    <w:qFormat/>
    <w:rPr>
      <w:rFonts w:eastAsia="宋体"/>
      <w:sz w:val="18"/>
      <w:szCs w:val="18"/>
    </w:rPr>
  </w:style>
  <w:style w:type="character" w:styleId="1308" w:customStyle="1">
    <w:name w:val="Balloon Text Char"/>
    <w:link w:val="1307"/>
    <w:uiPriority w:val="0"/>
    <w:semiHidden/>
    <w:qFormat/>
    <w:rPr>
      <w:rFonts w:ascii="Times New Roman" w:hAnsi="Times New Roman" w:eastAsia="宋体" w:cs="Times New Roman"/>
      <w:sz w:val="18"/>
      <w:szCs w:val="18"/>
    </w:rPr>
  </w:style>
  <w:style w:type="paragraph" w:styleId="1309" w:customStyle="1">
    <w:name w:val="页脚1"/>
    <w:basedOn w:val="1093"/>
    <w:link w:val="1310"/>
    <w:uiPriority w:val="0"/>
    <w:unhideWhenUsed/>
    <w:qFormat/>
    <w:pPr>
      <w:jc w:val="left"/>
      <w:tabs>
        <w:tab w:val="center" w:pos="4153" w:leader="none"/>
        <w:tab w:val="right" w:pos="8306" w:leader="none"/>
      </w:tabs>
    </w:pPr>
    <w:rPr>
      <w:rFonts w:ascii="宋体" w:eastAsia="宋体"/>
      <w:sz w:val="18"/>
      <w:szCs w:val="18"/>
    </w:rPr>
  </w:style>
  <w:style w:type="character" w:styleId="1310" w:customStyle="1">
    <w:name w:val="Footer Char"/>
    <w:link w:val="1309"/>
    <w:uiPriority w:val="0"/>
    <w:qFormat/>
    <w:rPr>
      <w:rFonts w:ascii="宋体" w:hAnsi="Times New Roman" w:eastAsia="宋体" w:cs="Times New Roman"/>
      <w:sz w:val="18"/>
      <w:szCs w:val="18"/>
    </w:rPr>
  </w:style>
  <w:style w:type="paragraph" w:styleId="1311" w:customStyle="1">
    <w:name w:val="寄信人地址1"/>
    <w:basedOn w:val="1093"/>
    <w:uiPriority w:val="0"/>
    <w:qFormat/>
    <w:rPr>
      <w:rFonts w:ascii="Arial" w:hAnsi="Arial" w:eastAsia="宋体"/>
    </w:rPr>
  </w:style>
  <w:style w:type="paragraph" w:styleId="1312" w:customStyle="1">
    <w:name w:val="页眉1"/>
    <w:basedOn w:val="1093"/>
    <w:link w:val="1313"/>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13" w:customStyle="1">
    <w:name w:val="Header Char"/>
    <w:link w:val="1312"/>
    <w:uiPriority w:val="0"/>
    <w:qFormat/>
    <w:rPr>
      <w:rFonts w:ascii="宋体" w:hAnsi="Times New Roman" w:eastAsia="宋体" w:cs="Times New Roman"/>
      <w:sz w:val="18"/>
      <w:szCs w:val="18"/>
    </w:rPr>
  </w:style>
  <w:style w:type="paragraph" w:styleId="1314" w:customStyle="1">
    <w:name w:val="目录 11"/>
    <w:basedOn w:val="1093"/>
    <w:next w:val="1093"/>
    <w:uiPriority w:val="39"/>
    <w:unhideWhenUsed/>
    <w:qFormat/>
    <w:pPr>
      <w:spacing w:line="360" w:lineRule="exact"/>
    </w:pPr>
    <w:rPr>
      <w:rFonts w:ascii="Calibri" w:hAnsi="Calibri"/>
      <w:b/>
    </w:rPr>
  </w:style>
  <w:style w:type="paragraph" w:styleId="1315" w:customStyle="1">
    <w:name w:val="目录 41"/>
    <w:basedOn w:val="1093"/>
    <w:next w:val="1093"/>
    <w:uiPriority w:val="39"/>
    <w:qFormat/>
    <w:pPr>
      <w:ind w:left="1260"/>
    </w:pPr>
    <w:rPr>
      <w:szCs w:val="24"/>
    </w:rPr>
  </w:style>
  <w:style w:type="paragraph" w:styleId="1316" w:customStyle="1">
    <w:name w:val="目录 61"/>
    <w:basedOn w:val="1093"/>
    <w:next w:val="1093"/>
    <w:uiPriority w:val="39"/>
    <w:qFormat/>
    <w:pPr>
      <w:ind w:left="2100"/>
    </w:pPr>
    <w:rPr>
      <w:szCs w:val="24"/>
    </w:rPr>
  </w:style>
  <w:style w:type="paragraph" w:styleId="1317" w:customStyle="1">
    <w:name w:val="目录 21"/>
    <w:basedOn w:val="1093"/>
    <w:next w:val="1093"/>
    <w:uiPriority w:val="39"/>
    <w:unhideWhenUsed/>
    <w:qFormat/>
    <w:pPr>
      <w:ind w:left="420"/>
      <w:spacing w:line="360" w:lineRule="exact"/>
    </w:pPr>
    <w:rPr>
      <w:rFonts w:ascii="Calibri" w:hAnsi="Calibri"/>
    </w:rPr>
  </w:style>
  <w:style w:type="paragraph" w:styleId="1318" w:customStyle="1">
    <w:name w:val="目录 91"/>
    <w:basedOn w:val="1093"/>
    <w:next w:val="1093"/>
    <w:uiPriority w:val="39"/>
    <w:qFormat/>
    <w:pPr>
      <w:ind w:left="3360"/>
    </w:pPr>
    <w:rPr>
      <w:szCs w:val="24"/>
    </w:rPr>
  </w:style>
  <w:style w:type="paragraph" w:styleId="1319" w:customStyle="1">
    <w:name w:val="正文文本 21"/>
    <w:basedOn w:val="1093"/>
    <w:uiPriority w:val="0"/>
    <w:qFormat/>
    <w:rPr>
      <w:rFonts w:ascii="华文细黑" w:hAnsi="华文细黑" w:eastAsia="华文细黑"/>
      <w:b/>
      <w:bCs/>
      <w:sz w:val="24"/>
      <w:szCs w:val="20"/>
    </w:rPr>
  </w:style>
  <w:style w:type="paragraph" w:styleId="1320" w:customStyle="1">
    <w:name w:val="普通(网站)1"/>
    <w:basedOn w:val="1093"/>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21" w:customStyle="1">
    <w:name w:val="批注主题1"/>
    <w:basedOn w:val="1290"/>
    <w:next w:val="1290"/>
    <w:link w:val="1322"/>
    <w:uiPriority w:val="99"/>
    <w:unhideWhenUsed/>
    <w:qFormat/>
    <w:rPr>
      <w:b/>
      <w:bCs/>
      <w:sz w:val="21"/>
      <w:szCs w:val="22"/>
    </w:rPr>
  </w:style>
  <w:style w:type="character" w:styleId="1322" w:customStyle="1">
    <w:name w:val="Comment Subject Char"/>
    <w:link w:val="1321"/>
    <w:uiPriority w:val="99"/>
    <w:semiHidden/>
    <w:qFormat/>
    <w:rPr>
      <w:rFonts w:ascii="Times New Roman" w:hAnsi="Times New Roman" w:eastAsia="宋体" w:cs="Times New Roman"/>
      <w:b/>
      <w:bCs/>
      <w:sz w:val="21"/>
      <w:szCs w:val="22"/>
    </w:rPr>
  </w:style>
  <w:style w:type="paragraph" w:styleId="1323" w:customStyle="1">
    <w:name w:val="正文首行缩进1"/>
    <w:basedOn w:val="1292"/>
    <w:uiPriority w:val="0"/>
    <w:qFormat/>
    <w:pPr>
      <w:ind w:firstLine="420"/>
    </w:pPr>
  </w:style>
  <w:style w:type="paragraph" w:styleId="1324" w:customStyle="1">
    <w:name w:val="正文首行缩进 21"/>
    <w:basedOn w:val="1294"/>
    <w:next w:val="1093"/>
    <w:uiPriority w:val="99"/>
    <w:qFormat/>
    <w:pPr>
      <w:ind w:firstLine="420"/>
      <w:spacing w:after="200"/>
    </w:pPr>
    <w:rPr>
      <w:rFonts w:ascii="Calibri" w:hAnsi="Calibri" w:cs="Calibri"/>
      <w:sz w:val="21"/>
    </w:rPr>
  </w:style>
  <w:style w:type="table" w:styleId="1325" w:customStyle="1">
    <w:name w:val="网格型1"/>
    <w:basedOn w:val="1279"/>
    <w:uiPriority w:val="0"/>
    <w:qFormat/>
    <w:tblPr>
      <w:tblCellMar>
        <w:left w:w="0" w:type="dxa"/>
        <w:top w:w="0" w:type="dxa"/>
        <w:right w:w="0" w:type="dxa"/>
        <w:bottom w:w="0" w:type="dxa"/>
      </w:tblCellMar>
    </w:tblPr>
  </w:style>
  <w:style w:type="character" w:styleId="1326" w:customStyle="1">
    <w:name w:val="要点1"/>
    <w:uiPriority w:val="0"/>
    <w:qFormat/>
    <w:rPr>
      <w:b/>
      <w:bCs/>
    </w:rPr>
  </w:style>
  <w:style w:type="character" w:styleId="1327" w:customStyle="1">
    <w:name w:val="页码1"/>
    <w:uiPriority w:val="0"/>
    <w:qFormat/>
  </w:style>
  <w:style w:type="character" w:styleId="1328" w:customStyle="1">
    <w:name w:val="已访问的超链接1"/>
    <w:uiPriority w:val="99"/>
    <w:qFormat/>
    <w:rPr>
      <w:color w:val="000000"/>
      <w:sz w:val="18"/>
      <w:szCs w:val="18"/>
      <w:u w:val="none"/>
    </w:rPr>
  </w:style>
  <w:style w:type="character" w:styleId="1329" w:customStyle="1">
    <w:name w:val="强调1"/>
    <w:uiPriority w:val="20"/>
    <w:qFormat/>
    <w:rPr>
      <w:i/>
      <w:iCs/>
    </w:rPr>
  </w:style>
  <w:style w:type="character" w:styleId="1330" w:customStyle="1">
    <w:name w:val="超链接1"/>
    <w:uiPriority w:val="99"/>
    <w:qFormat/>
    <w:rPr>
      <w:color w:val="000000"/>
      <w:sz w:val="18"/>
      <w:szCs w:val="18"/>
      <w:u w:val="none"/>
    </w:rPr>
  </w:style>
  <w:style w:type="character" w:styleId="1331" w:customStyle="1">
    <w:name w:val="批注引用1"/>
    <w:uiPriority w:val="0"/>
    <w:semiHidden/>
    <w:qFormat/>
    <w:rPr>
      <w:sz w:val="21"/>
      <w:szCs w:val="21"/>
    </w:rPr>
  </w:style>
  <w:style w:type="paragraph" w:styleId="1332" w:customStyle="1">
    <w:name w:val="Default"/>
    <w:next w:val="1333"/>
    <w:uiPriority w:val="0"/>
    <w:qFormat/>
    <w:pPr>
      <w:widowControl w:val="off"/>
    </w:pPr>
    <w:rPr>
      <w:rFonts w:ascii="宋体" w:hAnsi="Times New Roman" w:eastAsia="宋体" w:cs="宋体"/>
      <w:color w:val="000000"/>
      <w:sz w:val="24"/>
      <w:szCs w:val="24"/>
      <w:lang w:val="en-US" w:eastAsia="zh-CN" w:bidi="ar-SA"/>
    </w:rPr>
  </w:style>
  <w:style w:type="paragraph" w:styleId="1333">
    <w:name w:val="Intense Quote"/>
    <w:basedOn w:val="1093"/>
    <w:next w:val="1093"/>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334" w:customStyle="1">
    <w:name w:val="首行缩进"/>
    <w:basedOn w:val="1093"/>
    <w:uiPriority w:val="0"/>
    <w:qFormat/>
    <w:pPr>
      <w:ind w:firstLine="420"/>
      <w:spacing w:line="360" w:lineRule="auto"/>
    </w:pPr>
  </w:style>
  <w:style w:type="character" w:styleId="1335" w:customStyle="1">
    <w:name w:val="displayarti"/>
    <w:uiPriority w:val="0"/>
    <w:qFormat/>
    <w:rPr>
      <w:color w:val="ffffff"/>
      <w:shd w:val="clear" w:color="auto" w:fill="a00000"/>
    </w:rPr>
  </w:style>
  <w:style w:type="character" w:styleId="1336" w:customStyle="1">
    <w:name w:val="layui-laypage-curr"/>
    <w:uiPriority w:val="0"/>
    <w:qFormat/>
  </w:style>
  <w:style w:type="character" w:styleId="1337" w:customStyle="1">
    <w:name w:val="gpa"/>
    <w:uiPriority w:val="0"/>
    <w:qFormat/>
    <w:rPr>
      <w:rFonts w:ascii="Arial" w:hAnsi="Arial" w:cs="Arial"/>
      <w:sz w:val="15"/>
      <w:szCs w:val="15"/>
    </w:rPr>
  </w:style>
  <w:style w:type="character" w:styleId="1338" w:customStyle="1">
    <w:name w:val="font71"/>
    <w:uiPriority w:val="0"/>
    <w:qFormat/>
    <w:rPr>
      <w:rFonts w:hint="eastAsia" w:ascii="宋体" w:hAnsi="宋体" w:eastAsia="宋体" w:cs="宋体"/>
      <w:color w:val="ff0000"/>
      <w:sz w:val="24"/>
      <w:szCs w:val="24"/>
      <w:u w:val="none"/>
    </w:rPr>
  </w:style>
  <w:style w:type="character" w:styleId="1339" w:customStyle="1">
    <w:name w:val="1page sec3 Char"/>
    <w:uiPriority w:val="0"/>
    <w:qFormat/>
    <w:rPr>
      <w:rFonts w:eastAsia="宋体"/>
      <w:sz w:val="18"/>
      <w:szCs w:val="18"/>
      <w:lang w:val="en-US" w:eastAsia="zh-CN" w:bidi="ar-SA"/>
    </w:rPr>
  </w:style>
  <w:style w:type="character" w:styleId="1340" w:customStyle="1">
    <w:name w:val="z-Top of Form Char"/>
    <w:link w:val="1341"/>
    <w:uiPriority w:val="99"/>
    <w:semiHidden/>
    <w:qFormat/>
    <w:rPr>
      <w:rFonts w:ascii="Arial" w:hAnsi="Arial" w:eastAsia="宋体" w:cs="Arial"/>
      <w:vanish/>
      <w:sz w:val="16"/>
      <w:szCs w:val="16"/>
    </w:rPr>
  </w:style>
  <w:style w:type="paragraph" w:styleId="1341" w:customStyle="1">
    <w:name w:val="z-Top of Form"/>
    <w:basedOn w:val="1093"/>
    <w:next w:val="1093"/>
    <w:link w:val="1340"/>
    <w:uiPriority w:val="99"/>
    <w:unhideWhenUsed/>
    <w:qFormat/>
    <w:pPr>
      <w:jc w:val="center"/>
      <w:widowControl/>
      <w:pBdr>
        <w:bottom w:val="single" w:color="000000" w:sz="6" w:space="1"/>
      </w:pBdr>
    </w:pPr>
    <w:rPr>
      <w:rFonts w:ascii="Arial" w:hAnsi="Arial" w:eastAsia="宋体"/>
      <w:vanish/>
      <w:sz w:val="16"/>
      <w:szCs w:val="16"/>
    </w:rPr>
  </w:style>
  <w:style w:type="character" w:styleId="1342" w:customStyle="1">
    <w:name w:val="z-Bottom of Form Char"/>
    <w:link w:val="1343"/>
    <w:uiPriority w:val="99"/>
    <w:semiHidden/>
    <w:qFormat/>
    <w:rPr>
      <w:rFonts w:ascii="Arial" w:hAnsi="Arial" w:eastAsia="宋体" w:cs="Arial"/>
      <w:vanish/>
      <w:sz w:val="16"/>
      <w:szCs w:val="16"/>
    </w:rPr>
  </w:style>
  <w:style w:type="paragraph" w:styleId="1343" w:customStyle="1">
    <w:name w:val="z-Bottom of Form"/>
    <w:basedOn w:val="1093"/>
    <w:next w:val="1093"/>
    <w:link w:val="1342"/>
    <w:uiPriority w:val="99"/>
    <w:unhideWhenUsed/>
    <w:qFormat/>
    <w:pPr>
      <w:jc w:val="center"/>
      <w:widowControl/>
      <w:pBdr>
        <w:top w:val="single" w:color="000000" w:sz="6" w:space="1"/>
      </w:pBdr>
    </w:pPr>
    <w:rPr>
      <w:rFonts w:ascii="Arial" w:hAnsi="Arial" w:eastAsia="宋体"/>
      <w:vanish/>
      <w:sz w:val="16"/>
      <w:szCs w:val="16"/>
    </w:rPr>
  </w:style>
  <w:style w:type="character" w:styleId="1344" w:customStyle="1">
    <w:name w:val="正文文字 Char Char"/>
    <w:uiPriority w:val="0"/>
    <w:qFormat/>
    <w:rPr>
      <w:rFonts w:ascii="仿宋_GB2312" w:hAnsi="宋体" w:eastAsia="仿宋_GB2312" w:cs="仿宋_GB2312"/>
      <w:sz w:val="24"/>
      <w:szCs w:val="24"/>
    </w:rPr>
  </w:style>
  <w:style w:type="character" w:styleId="1345" w:customStyle="1">
    <w:name w:val="apple-style-span"/>
    <w:uiPriority w:val="0"/>
    <w:qFormat/>
  </w:style>
  <w:style w:type="character" w:styleId="1346" w:customStyle="1">
    <w:name w:val="label"/>
    <w:uiPriority w:val="0"/>
    <w:qFormat/>
    <w:rPr>
      <w:color w:val="999999"/>
    </w:rPr>
  </w:style>
  <w:style w:type="character" w:styleId="1347" w:customStyle="1">
    <w:name w:val="Char Char13"/>
    <w:uiPriority w:val="0"/>
    <w:qFormat/>
    <w:rPr>
      <w:b/>
      <w:bCs/>
      <w:sz w:val="44"/>
      <w:szCs w:val="44"/>
    </w:rPr>
  </w:style>
  <w:style w:type="character" w:styleId="1348" w:customStyle="1">
    <w:name w:val="font91"/>
    <w:uiPriority w:val="0"/>
    <w:qFormat/>
    <w:rPr>
      <w:rFonts w:hint="eastAsia" w:ascii="宋体" w:hAnsi="宋体" w:eastAsia="宋体" w:cs="宋体"/>
      <w:b/>
      <w:color w:val="000000"/>
      <w:sz w:val="20"/>
      <w:szCs w:val="20"/>
      <w:u w:val="none"/>
    </w:rPr>
  </w:style>
  <w:style w:type="character" w:styleId="1349" w:customStyle="1">
    <w:name w:val="font51"/>
    <w:uiPriority w:val="0"/>
    <w:qFormat/>
    <w:rPr>
      <w:rFonts w:hint="eastAsia" w:ascii="宋体" w:hAnsi="宋体" w:eastAsia="宋体" w:cs="宋体"/>
      <w:color w:val="000000"/>
      <w:sz w:val="21"/>
      <w:szCs w:val="21"/>
      <w:u w:val="none"/>
    </w:rPr>
  </w:style>
  <w:style w:type="character" w:styleId="1350" w:customStyle="1">
    <w:name w:val="不明显强调1"/>
    <w:uiPriority w:val="19"/>
    <w:qFormat/>
    <w:rPr>
      <w:i/>
      <w:iCs/>
      <w:color w:val="808080"/>
    </w:rPr>
  </w:style>
  <w:style w:type="character" w:styleId="1351" w:customStyle="1">
    <w:name w:val="hover12"/>
    <w:uiPriority w:val="0"/>
    <w:qFormat/>
  </w:style>
  <w:style w:type="character" w:styleId="1352" w:customStyle="1">
    <w:name w:val="_Style 6"/>
    <w:uiPriority w:val="19"/>
    <w:qFormat/>
    <w:rPr>
      <w:i/>
      <w:iCs/>
      <w:color w:val="808080"/>
    </w:rPr>
  </w:style>
  <w:style w:type="character" w:styleId="1353" w:customStyle="1">
    <w:name w:val="font31"/>
    <w:uiPriority w:val="0"/>
    <w:qFormat/>
    <w:rPr>
      <w:rFonts w:hint="eastAsia" w:ascii="宋体" w:hAnsi="宋体" w:eastAsia="宋体" w:cs="宋体"/>
      <w:b/>
      <w:color w:val="000000"/>
      <w:sz w:val="24"/>
      <w:szCs w:val="24"/>
      <w:u w:val="none"/>
    </w:rPr>
  </w:style>
  <w:style w:type="character" w:styleId="1354" w:customStyle="1">
    <w:name w:val="纯文本 Char2"/>
    <w:uiPriority w:val="0"/>
    <w:qFormat/>
    <w:rPr>
      <w:rFonts w:ascii="宋体" w:hAnsi="Courier New" w:eastAsia="宋体"/>
      <w:sz w:val="24"/>
      <w:lang w:val="en-US" w:eastAsia="zh-CN" w:bidi="ar-SA"/>
    </w:rPr>
  </w:style>
  <w:style w:type="character" w:styleId="1355" w:customStyle="1">
    <w:name w:val="selected"/>
    <w:uiPriority w:val="0"/>
    <w:qFormat/>
    <w:rPr>
      <w:shd w:val="clear" w:color="auto" w:fill="b00006"/>
    </w:rPr>
  </w:style>
  <w:style w:type="character" w:styleId="1356" w:customStyle="1">
    <w:name w:val="文档结构图 Char1"/>
    <w:uiPriority w:val="99"/>
    <w:semiHidden/>
    <w:qFormat/>
    <w:rPr>
      <w:rFonts w:ascii="宋体"/>
      <w:sz w:val="18"/>
      <w:szCs w:val="18"/>
    </w:rPr>
  </w:style>
  <w:style w:type="character" w:styleId="1357" w:customStyle="1">
    <w:name w:val="Char Char5"/>
    <w:uiPriority w:val="0"/>
    <w:qFormat/>
    <w:rPr>
      <w:rFonts w:ascii="宋体" w:hAnsi="Courier New" w:eastAsia="宋体" w:cs="宋体"/>
      <w:sz w:val="28"/>
      <w:szCs w:val="28"/>
      <w:lang w:val="en-US" w:eastAsia="zh-CN"/>
    </w:rPr>
  </w:style>
  <w:style w:type="character" w:styleId="1358" w:customStyle="1">
    <w:name w:val="font101"/>
    <w:uiPriority w:val="0"/>
    <w:qFormat/>
    <w:rPr>
      <w:rFonts w:hint="eastAsia" w:ascii="宋体" w:hAnsi="宋体" w:eastAsia="宋体" w:cs="宋体"/>
      <w:color w:val="000000"/>
      <w:sz w:val="24"/>
      <w:szCs w:val="24"/>
      <w:u w:val="none"/>
    </w:rPr>
  </w:style>
  <w:style w:type="character" w:styleId="1359" w:customStyle="1">
    <w:name w:val="font01"/>
    <w:uiPriority w:val="0"/>
    <w:qFormat/>
    <w:rPr>
      <w:rFonts w:ascii="Calibri" w:hAnsi="Calibri" w:cs="Calibri"/>
      <w:color w:val="000000"/>
      <w:sz w:val="21"/>
      <w:szCs w:val="21"/>
      <w:u w:val="none"/>
    </w:rPr>
  </w:style>
  <w:style w:type="character" w:styleId="1360" w:customStyle="1">
    <w:name w:val="font41"/>
    <w:uiPriority w:val="0"/>
    <w:qFormat/>
    <w:rPr>
      <w:rFonts w:hint="eastAsia" w:ascii="宋体" w:hAnsi="宋体" w:eastAsia="宋体" w:cs="宋体"/>
      <w:color w:val="000000"/>
      <w:sz w:val="24"/>
      <w:szCs w:val="24"/>
      <w:u w:val="none"/>
    </w:rPr>
  </w:style>
  <w:style w:type="character" w:styleId="1361" w:customStyle="1">
    <w:name w:val="font112"/>
    <w:uiPriority w:val="0"/>
    <w:qFormat/>
    <w:rPr>
      <w:rFonts w:hint="eastAsia" w:ascii="宋体" w:hAnsi="宋体" w:eastAsia="宋体" w:cs="宋体"/>
      <w:color w:val="000000"/>
      <w:sz w:val="20"/>
      <w:szCs w:val="20"/>
      <w:u w:val="none"/>
    </w:rPr>
  </w:style>
  <w:style w:type="paragraph" w:styleId="1362" w:customStyle="1">
    <w:name w:val="xl74"/>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63" w:customStyle="1">
    <w:name w:val="四级条标题"/>
    <w:basedOn w:val="1364"/>
    <w:next w:val="1093"/>
    <w:uiPriority w:val="0"/>
    <w:qFormat/>
    <w:pPr>
      <w:outlineLvl w:val="5"/>
    </w:pPr>
  </w:style>
  <w:style w:type="paragraph" w:styleId="1364" w:customStyle="1">
    <w:name w:val="三级条标题"/>
    <w:basedOn w:val="1365"/>
    <w:next w:val="1093"/>
    <w:uiPriority w:val="0"/>
    <w:qFormat/>
    <w:pPr>
      <w:outlineLvl w:val="4"/>
    </w:pPr>
  </w:style>
  <w:style w:type="paragraph" w:styleId="1365" w:customStyle="1">
    <w:name w:val="二级条标题"/>
    <w:basedOn w:val="1366"/>
    <w:next w:val="1093"/>
    <w:uiPriority w:val="0"/>
    <w:qFormat/>
    <w:pPr>
      <w:outlineLvl w:val="3"/>
    </w:pPr>
  </w:style>
  <w:style w:type="paragraph" w:styleId="1366" w:customStyle="1">
    <w:name w:val="一级条标题"/>
    <w:next w:val="1093"/>
    <w:uiPriority w:val="0"/>
    <w:qFormat/>
    <w:pPr>
      <w:outlineLvl w:val="2"/>
    </w:pPr>
    <w:rPr>
      <w:rFonts w:ascii="Times New Roman" w:hAnsi="Times New Roman" w:eastAsia="黑体" w:cs="Times New Roman"/>
      <w:sz w:val="21"/>
      <w:szCs w:val="21"/>
      <w:lang w:val="en-US" w:eastAsia="zh-CN" w:bidi="ar-SA"/>
    </w:rPr>
  </w:style>
  <w:style w:type="paragraph" w:styleId="1367" w:customStyle="1">
    <w:name w:val="标准称谓"/>
    <w:next w:val="1093"/>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368" w:customStyle="1">
    <w:name w:val="xl67"/>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69" w:customStyle="1">
    <w:name w:val="xl98"/>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70" w:customStyle="1">
    <w:name w:val="彩色列表1"/>
    <w:basedOn w:val="1093"/>
    <w:uiPriority w:val="0"/>
    <w:qFormat/>
    <w:pPr>
      <w:ind w:firstLine="420"/>
    </w:pPr>
    <w:rPr>
      <w:szCs w:val="24"/>
    </w:rPr>
  </w:style>
  <w:style w:type="paragraph" w:styleId="1371" w:customStyle="1">
    <w:name w:val="xl76"/>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72" w:customStyle="1">
    <w:name w:val="EnvelopeReturn1"/>
    <w:basedOn w:val="1093"/>
    <w:uiPriority w:val="0"/>
    <w:qFormat/>
    <w:rPr>
      <w:rFonts w:ascii="Arial" w:hAnsi="Arial"/>
    </w:rPr>
  </w:style>
  <w:style w:type="paragraph" w:styleId="1373">
    <w:name w:val="List Paragraph"/>
    <w:basedOn w:val="1093"/>
    <w:uiPriority w:val="0"/>
    <w:qFormat/>
    <w:pPr>
      <w:ind w:firstLine="420"/>
    </w:pPr>
    <w:rPr>
      <w:szCs w:val="24"/>
    </w:rPr>
  </w:style>
  <w:style w:type="paragraph" w:styleId="1374" w:customStyle="1">
    <w:name w:val="tc"/>
    <w:basedOn w:val="1093"/>
    <w:uiPriority w:val="0"/>
    <w:qFormat/>
    <w:pPr>
      <w:jc w:val="center"/>
    </w:pPr>
    <w:rPr>
      <w:szCs w:val="24"/>
    </w:rPr>
  </w:style>
  <w:style w:type="paragraph" w:styleId="1375" w:customStyle="1">
    <w:name w:val="正文宋体4"/>
    <w:basedOn w:val="1093"/>
    <w:uiPriority w:val="0"/>
    <w:qFormat/>
    <w:pPr>
      <w:ind w:firstLine="359"/>
      <w:tabs>
        <w:tab w:val="left" w:pos="0" w:leader="none"/>
      </w:tabs>
    </w:pPr>
    <w:rPr>
      <w:rFonts w:ascii="仿宋_GB2312" w:eastAsia="仿宋_GB2312"/>
      <w:b/>
      <w:color w:val="000000"/>
      <w:sz w:val="24"/>
      <w:szCs w:val="24"/>
    </w:rPr>
  </w:style>
  <w:style w:type="paragraph" w:styleId="1376" w:customStyle="1">
    <w:name w:val="Char Char"/>
    <w:basedOn w:val="1093"/>
    <w:uiPriority w:val="0"/>
    <w:qFormat/>
    <w:pPr>
      <w:tabs>
        <w:tab w:val="left" w:pos="360" w:leader="none"/>
      </w:tabs>
    </w:pPr>
    <w:rPr>
      <w:sz w:val="24"/>
      <w:szCs w:val="24"/>
    </w:rPr>
  </w:style>
  <w:style w:type="paragraph" w:styleId="1377" w:customStyle="1">
    <w:name w:val="xl70"/>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78" w:customStyle="1">
    <w:name w:val="BodyTextIndent1"/>
    <w:basedOn w:val="1093"/>
    <w:next w:val="1372"/>
    <w:uiPriority w:val="0"/>
    <w:qFormat/>
    <w:pPr>
      <w:ind w:firstLine="403"/>
      <w:spacing w:line="440" w:lineRule="exact"/>
    </w:pPr>
    <w:rPr>
      <w:rFonts w:ascii="宋体" w:hAnsi="宋体" w:eastAsia="宋体"/>
      <w:szCs w:val="21"/>
    </w:rPr>
  </w:style>
  <w:style w:type="paragraph" w:styleId="1379" w:customStyle="1">
    <w:name w:val="！正文"/>
    <w:basedOn w:val="1093"/>
    <w:uiPriority w:val="0"/>
    <w:qFormat/>
    <w:pPr>
      <w:ind w:firstLine="200"/>
      <w:spacing w:line="480" w:lineRule="exact"/>
    </w:pPr>
    <w:rPr>
      <w:rFonts w:ascii="宋体" w:hAnsi="宋体"/>
      <w:lang w:val="zh-CN"/>
    </w:rPr>
  </w:style>
  <w:style w:type="paragraph" w:styleId="1380" w:customStyle="1">
    <w:name w:val="_Style 2"/>
    <w:basedOn w:val="1093"/>
    <w:uiPriority w:val="0"/>
    <w:qFormat/>
    <w:pPr>
      <w:ind w:firstLine="420"/>
    </w:pPr>
    <w:rPr>
      <w:rFonts w:ascii="Calibri" w:hAnsi="Calibri"/>
    </w:rPr>
  </w:style>
  <w:style w:type="paragraph" w:styleId="1381" w:customStyle="1">
    <w:name w:val="xl111"/>
    <w:basedOn w:val="1093"/>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82" w:customStyle="1">
    <w:name w:val="xl92"/>
    <w:basedOn w:val="10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83" w:customStyle="1">
    <w:name w:val="font5"/>
    <w:basedOn w:val="1093"/>
    <w:uiPriority w:val="0"/>
    <w:qFormat/>
    <w:pPr>
      <w:jc w:val="left"/>
      <w:spacing w:before="100" w:beforeAutospacing="1" w:after="100" w:afterAutospacing="1"/>
      <w:widowControl/>
    </w:pPr>
    <w:rPr>
      <w:color w:val="000000"/>
      <w:sz w:val="20"/>
      <w:szCs w:val="20"/>
    </w:rPr>
  </w:style>
  <w:style w:type="paragraph" w:styleId="1384" w:customStyle="1">
    <w:name w:val="font6"/>
    <w:basedOn w:val="1093"/>
    <w:uiPriority w:val="0"/>
    <w:qFormat/>
    <w:pPr>
      <w:jc w:val="left"/>
      <w:spacing w:before="100" w:beforeAutospacing="1" w:after="100" w:afterAutospacing="1"/>
      <w:widowControl/>
    </w:pPr>
    <w:rPr>
      <w:color w:val="000000"/>
      <w:szCs w:val="21"/>
    </w:rPr>
  </w:style>
  <w:style w:type="paragraph" w:styleId="1385" w:customStyle="1">
    <w:name w:val="xl78"/>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6" w:customStyle="1">
    <w:name w:val="xl112"/>
    <w:basedOn w:val="1093"/>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87" w:customStyle="1">
    <w:name w:val="正文1"/>
    <w:basedOn w:val="1093"/>
    <w:uiPriority w:val="0"/>
    <w:qFormat/>
    <w:pPr>
      <w:ind w:firstLine="490"/>
      <w:spacing w:line="360" w:lineRule="auto"/>
    </w:pPr>
    <w:rPr>
      <w:rFonts w:ascii="宋体" w:hAnsi="宋体" w:eastAsia="宋体"/>
      <w:sz w:val="24"/>
      <w:szCs w:val="28"/>
    </w:rPr>
  </w:style>
  <w:style w:type="paragraph" w:styleId="1388" w:customStyle="1">
    <w:name w:val="xl86"/>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89" w:customStyle="1">
    <w:name w:val="xl108"/>
    <w:basedOn w:val="10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0" w:customStyle="1">
    <w:name w:val="font14"/>
    <w:basedOn w:val="1093"/>
    <w:uiPriority w:val="0"/>
    <w:qFormat/>
    <w:pPr>
      <w:jc w:val="left"/>
      <w:spacing w:before="100" w:beforeAutospacing="1" w:after="100" w:afterAutospacing="1"/>
      <w:widowControl/>
    </w:pPr>
    <w:rPr>
      <w:rFonts w:ascii="宋体" w:hAnsi="宋体" w:cs="宋体"/>
      <w:color w:val="000000"/>
      <w:szCs w:val="21"/>
    </w:rPr>
  </w:style>
  <w:style w:type="paragraph" w:styleId="1391" w:customStyle="1">
    <w:name w:val="font9"/>
    <w:basedOn w:val="1093"/>
    <w:uiPriority w:val="0"/>
    <w:qFormat/>
    <w:pPr>
      <w:jc w:val="left"/>
      <w:spacing w:before="100" w:beforeAutospacing="1" w:after="100" w:afterAutospacing="1"/>
      <w:widowControl/>
    </w:pPr>
    <w:rPr>
      <w:rFonts w:ascii="宋体" w:hAnsi="宋体" w:cs="宋体"/>
      <w:color w:val="000000"/>
      <w:szCs w:val="21"/>
    </w:rPr>
  </w:style>
  <w:style w:type="paragraph" w:styleId="1392" w:customStyle="1">
    <w:name w:val="xl99"/>
    <w:basedOn w:val="10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93" w:customStyle="1">
    <w:name w:val="xl105"/>
    <w:basedOn w:val="1093"/>
    <w:uiPriority w:val="0"/>
    <w:qFormat/>
    <w:pPr>
      <w:jc w:val="left"/>
      <w:spacing w:before="100" w:beforeAutospacing="1" w:after="100" w:afterAutospacing="1"/>
      <w:widowControl/>
    </w:pPr>
    <w:rPr>
      <w:rFonts w:ascii="宋体" w:hAnsi="宋体" w:cs="宋体"/>
      <w:sz w:val="20"/>
      <w:szCs w:val="20"/>
    </w:rPr>
  </w:style>
  <w:style w:type="paragraph" w:styleId="1394" w:customStyle="1">
    <w:name w:val="xl79"/>
    <w:basedOn w:val="10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95" w:customStyle="1">
    <w:name w:val="xl80"/>
    <w:basedOn w:val="10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96" w:customStyle="1">
    <w:name w:val="Char1"/>
    <w:basedOn w:val="1093"/>
    <w:uiPriority w:val="0"/>
    <w:qFormat/>
    <w:pPr>
      <w:jc w:val="left"/>
      <w:spacing w:after="160" w:line="240" w:lineRule="exact"/>
      <w:widowControl/>
    </w:pPr>
    <w:rPr>
      <w:rFonts w:ascii="Verdana" w:hAnsi="Verdana" w:eastAsia="宋体" w:cs="Verdana"/>
      <w:sz w:val="18"/>
      <w:szCs w:val="18"/>
      <w:lang w:eastAsia="en-US"/>
    </w:rPr>
  </w:style>
  <w:style w:type="paragraph" w:styleId="1397" w:customStyle="1">
    <w:name w:val="xl87"/>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398" w:customStyle="1">
    <w:name w:val="xl94"/>
    <w:basedOn w:val="1093"/>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99" w:customStyle="1">
    <w:name w:val="xl97"/>
    <w:basedOn w:val="1093"/>
    <w:uiPriority w:val="0"/>
    <w:qFormat/>
    <w:pPr>
      <w:jc w:val="left"/>
      <w:spacing w:before="100" w:beforeAutospacing="1" w:after="100" w:afterAutospacing="1"/>
      <w:widowControl/>
    </w:pPr>
    <w:rPr>
      <w:rFonts w:ascii="宋体" w:hAnsi="宋体" w:cs="宋体"/>
      <w:szCs w:val="21"/>
    </w:rPr>
  </w:style>
  <w:style w:type="paragraph" w:styleId="1400" w:customStyle="1">
    <w:name w:val="TOC 标题1"/>
    <w:basedOn w:val="1272"/>
    <w:next w:val="1093"/>
    <w:uiPriority w:val="39"/>
    <w:qFormat/>
    <w:pPr>
      <w:jc w:val="left"/>
      <w:spacing w:before="480" w:after="0" w:line="276" w:lineRule="auto"/>
      <w:widowControl/>
      <w:outlineLvl w:val="9"/>
    </w:pPr>
    <w:rPr>
      <w:rFonts w:ascii="Cambria" w:hAnsi="Cambria"/>
      <w:color w:val="365f91"/>
      <w:sz w:val="28"/>
      <w:szCs w:val="28"/>
    </w:rPr>
  </w:style>
  <w:style w:type="paragraph" w:styleId="1401" w:customStyle="1">
    <w:name w:val="font7"/>
    <w:basedOn w:val="1093"/>
    <w:uiPriority w:val="0"/>
    <w:qFormat/>
    <w:pPr>
      <w:jc w:val="left"/>
      <w:spacing w:before="100" w:beforeAutospacing="1" w:after="100" w:afterAutospacing="1"/>
      <w:widowControl/>
    </w:pPr>
    <w:rPr>
      <w:b/>
      <w:bCs/>
      <w:color w:val="000000"/>
      <w:szCs w:val="21"/>
    </w:rPr>
  </w:style>
  <w:style w:type="paragraph" w:styleId="1402" w:customStyle="1">
    <w:name w:val="xl66"/>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03" w:customStyle="1">
    <w:name w:val="xl100"/>
    <w:basedOn w:val="10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04" w:customStyle="1">
    <w:name w:val="xl106"/>
    <w:basedOn w:val="1093"/>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05" w:customStyle="1">
    <w:name w:val="List Paragraph3"/>
    <w:basedOn w:val="1093"/>
    <w:uiPriority w:val="34"/>
    <w:qFormat/>
    <w:pPr>
      <w:ind w:firstLine="420"/>
    </w:pPr>
    <w:rPr>
      <w:rFonts w:ascii="Calibri" w:hAnsi="Calibri"/>
    </w:rPr>
  </w:style>
  <w:style w:type="paragraph" w:styleId="1406" w:customStyle="1">
    <w:name w:val="段"/>
    <w:uiPriority w:val="0"/>
    <w:qFormat/>
    <w:pPr>
      <w:ind w:firstLine="200"/>
      <w:jc w:val="both"/>
    </w:pPr>
    <w:rPr>
      <w:rFonts w:ascii="宋体" w:hAnsi="Times New Roman" w:eastAsia="宋体" w:cs="宋体"/>
      <w:sz w:val="21"/>
      <w:szCs w:val="21"/>
      <w:lang w:val="en-US" w:eastAsia="zh-CN" w:bidi="ar-SA"/>
    </w:rPr>
  </w:style>
  <w:style w:type="paragraph" w:styleId="1407" w:customStyle="1">
    <w:name w:val="font11"/>
    <w:basedOn w:val="1093"/>
    <w:uiPriority w:val="0"/>
    <w:qFormat/>
    <w:pPr>
      <w:jc w:val="left"/>
      <w:spacing w:before="100" w:beforeAutospacing="1" w:after="100" w:afterAutospacing="1"/>
      <w:widowControl/>
    </w:pPr>
    <w:rPr>
      <w:rFonts w:ascii="宋体" w:hAnsi="宋体" w:cs="宋体"/>
      <w:color w:val="000000"/>
      <w:sz w:val="18"/>
      <w:szCs w:val="18"/>
    </w:rPr>
  </w:style>
  <w:style w:type="paragraph" w:styleId="1408" w:customStyle="1">
    <w:name w:val="xl75"/>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09" w:customStyle="1">
    <w:name w:val="xl77"/>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0" w:customStyle="1">
    <w:name w:val="列出段落3"/>
    <w:basedOn w:val="1093"/>
    <w:uiPriority w:val="34"/>
    <w:qFormat/>
    <w:pPr>
      <w:ind w:firstLine="200"/>
      <w:spacing w:line="360" w:lineRule="auto"/>
      <w:widowControl/>
    </w:pPr>
    <w:rPr>
      <w:rFonts w:ascii="Calibri" w:hAnsi="Calibri"/>
      <w:sz w:val="24"/>
    </w:rPr>
  </w:style>
  <w:style w:type="paragraph" w:styleId="1411" w:customStyle="1">
    <w:name w:val="前言、引言标题"/>
    <w:next w:val="1093"/>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12" w:customStyle="1">
    <w:name w:val="xl95"/>
    <w:basedOn w:val="10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13" w:customStyle="1">
    <w:name w:val="xl84"/>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14" w:customStyle="1">
    <w:name w:val="font8"/>
    <w:basedOn w:val="1093"/>
    <w:uiPriority w:val="0"/>
    <w:qFormat/>
    <w:pPr>
      <w:jc w:val="left"/>
      <w:spacing w:before="100" w:beforeAutospacing="1" w:after="100" w:afterAutospacing="1"/>
      <w:widowControl/>
    </w:pPr>
    <w:rPr>
      <w:rFonts w:ascii="宋体" w:hAnsi="宋体" w:cs="宋体"/>
      <w:b/>
      <w:bCs/>
      <w:color w:val="000000"/>
      <w:szCs w:val="21"/>
    </w:rPr>
  </w:style>
  <w:style w:type="paragraph" w:styleId="1415" w:customStyle="1">
    <w:name w:val="List Paragraph1"/>
    <w:basedOn w:val="1093"/>
    <w:uiPriority w:val="34"/>
    <w:qFormat/>
    <w:pPr>
      <w:ind w:firstLine="420"/>
    </w:pPr>
    <w:rPr>
      <w:rFonts w:ascii="Calibri" w:hAnsi="Calibri" w:eastAsia="宋体"/>
    </w:rPr>
  </w:style>
  <w:style w:type="paragraph" w:styleId="1416"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17" w:customStyle="1">
    <w:name w:val="xl104"/>
    <w:basedOn w:val="10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18" w:customStyle="1">
    <w:name w:val="程序1"/>
    <w:next w:val="1093"/>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19"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20" w:customStyle="1">
    <w:name w:val="正文 A"/>
    <w:next w:val="1421"/>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21" w:customStyle="1">
    <w:name w:val="索引 41"/>
    <w:next w:val="1420"/>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22" w:customStyle="1">
    <w:name w:val="xl68"/>
    <w:basedOn w:val="10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23"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24" w:customStyle="1">
    <w:name w:val="xl91"/>
    <w:basedOn w:val="109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25" w:customStyle="1">
    <w:name w:val="Table Paragraph"/>
    <w:basedOn w:val="1093"/>
    <w:uiPriority w:val="1"/>
    <w:qFormat/>
    <w:rPr>
      <w:rFonts w:ascii="宋体" w:hAnsi="宋体" w:eastAsia="宋体" w:cs="宋体"/>
      <w:lang w:val="zh-CN" w:bidi="zh-CN"/>
    </w:rPr>
  </w:style>
  <w:style w:type="paragraph" w:styleId="1426" w:customStyle="1">
    <w:name w:val="xl96"/>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27" w:customStyle="1">
    <w:name w:val="xl88"/>
    <w:basedOn w:val="1093"/>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28" w:customStyle="1">
    <w:name w:val="xl85"/>
    <w:basedOn w:val="109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29"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430"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431" w:customStyle="1">
    <w:name w:val="注："/>
    <w:next w:val="1093"/>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432" w:customStyle="1">
    <w:name w:val="xl89"/>
    <w:basedOn w:val="10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33" w:customStyle="1">
    <w:name w:val="reader-word-layer"/>
    <w:basedOn w:val="1093"/>
    <w:uiPriority w:val="0"/>
    <w:qFormat/>
    <w:pPr>
      <w:jc w:val="left"/>
      <w:spacing w:before="100" w:beforeAutospacing="1" w:after="100" w:afterAutospacing="1"/>
      <w:widowControl/>
    </w:pPr>
    <w:rPr>
      <w:rFonts w:ascii="宋体" w:hAnsi="宋体" w:cs="宋体"/>
      <w:sz w:val="24"/>
      <w:szCs w:val="24"/>
    </w:rPr>
  </w:style>
  <w:style w:type="paragraph" w:styleId="1434" w:customStyle="1">
    <w:name w:val="Char11"/>
    <w:basedOn w:val="1093"/>
    <w:uiPriority w:val="0"/>
    <w:qFormat/>
    <w:rPr>
      <w:rFonts w:ascii="仿宋_GB2312" w:eastAsia="仿宋_GB2312"/>
      <w:b/>
      <w:sz w:val="32"/>
      <w:szCs w:val="32"/>
    </w:rPr>
  </w:style>
  <w:style w:type="paragraph" w:styleId="1435" w:customStyle="1">
    <w:name w:val="xl83"/>
    <w:basedOn w:val="109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36" w:customStyle="1">
    <w:name w:val="_Style 191"/>
    <w:basedOn w:val="1093"/>
    <w:next w:val="1373"/>
    <w:uiPriority w:val="34"/>
    <w:qFormat/>
    <w:pPr>
      <w:ind w:firstLine="420"/>
      <w:jc w:val="left"/>
      <w:spacing w:after="200"/>
      <w:widowControl/>
    </w:pPr>
    <w:rPr>
      <w:rFonts w:ascii="Tahoma" w:hAnsi="Tahoma"/>
      <w:sz w:val="22"/>
    </w:rPr>
  </w:style>
  <w:style w:type="paragraph" w:styleId="1437" w:customStyle="1">
    <w:name w:val="xl71"/>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38" w:customStyle="1">
    <w:name w:val="列出段落1"/>
    <w:basedOn w:val="1093"/>
    <w:uiPriority w:val="34"/>
    <w:qFormat/>
    <w:pPr>
      <w:ind w:firstLine="420"/>
      <w:spacing w:before="156" w:after="156" w:line="360" w:lineRule="auto"/>
    </w:pPr>
    <w:rPr>
      <w:rFonts w:ascii="Calibri" w:hAnsi="Calibri" w:cs="Calibri"/>
      <w:lang w:eastAsia="ar-SA"/>
    </w:rPr>
  </w:style>
  <w:style w:type="paragraph" w:styleId="1439" w:customStyle="1">
    <w:name w:val="章标题"/>
    <w:next w:val="1093"/>
    <w:uiPriority w:val="0"/>
    <w:qFormat/>
    <w:pPr>
      <w:jc w:val="both"/>
      <w:outlineLvl w:val="1"/>
    </w:pPr>
    <w:rPr>
      <w:rFonts w:ascii="黑体" w:hAnsi="Times New Roman" w:eastAsia="黑体" w:cs="黑体"/>
      <w:sz w:val="21"/>
      <w:szCs w:val="21"/>
      <w:lang w:val="en-US" w:eastAsia="zh-CN" w:bidi="ar-SA"/>
    </w:rPr>
  </w:style>
  <w:style w:type="paragraph" w:styleId="1440" w:customStyle="1">
    <w:name w:val="xl82"/>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41" w:customStyle="1">
    <w:name w:val="xl72"/>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2" w:customStyle="1">
    <w:name w:val="font12"/>
    <w:basedOn w:val="1093"/>
    <w:uiPriority w:val="0"/>
    <w:qFormat/>
    <w:pPr>
      <w:jc w:val="left"/>
      <w:spacing w:before="100" w:beforeAutospacing="1" w:after="100" w:afterAutospacing="1"/>
      <w:widowControl/>
    </w:pPr>
    <w:rPr>
      <w:rFonts w:ascii="宋体" w:hAnsi="宋体" w:cs="宋体"/>
      <w:color w:val="000000"/>
      <w:sz w:val="20"/>
      <w:szCs w:val="20"/>
    </w:rPr>
  </w:style>
  <w:style w:type="paragraph" w:styleId="1443" w:customStyle="1">
    <w:name w:val="Char"/>
    <w:basedOn w:val="1093"/>
    <w:uiPriority w:val="0"/>
    <w:qFormat/>
    <w:pPr>
      <w:jc w:val="left"/>
      <w:spacing w:after="160" w:line="240" w:lineRule="exact"/>
      <w:widowControl/>
    </w:pPr>
    <w:rPr>
      <w:rFonts w:ascii="Verdana" w:hAnsi="Verdana" w:eastAsia="宋体" w:cs="Verdana"/>
      <w:sz w:val="18"/>
      <w:szCs w:val="18"/>
      <w:lang w:eastAsia="en-US"/>
    </w:rPr>
  </w:style>
  <w:style w:type="paragraph" w:styleId="1444" w:customStyle="1">
    <w:name w:val="font10"/>
    <w:basedOn w:val="1093"/>
    <w:uiPriority w:val="0"/>
    <w:qFormat/>
    <w:pPr>
      <w:jc w:val="left"/>
      <w:spacing w:before="100" w:beforeAutospacing="1" w:after="100" w:afterAutospacing="1"/>
      <w:widowControl/>
    </w:pPr>
    <w:rPr>
      <w:rFonts w:ascii="宋体" w:hAnsi="宋体" w:cs="宋体"/>
      <w:color w:val="000000"/>
      <w:sz w:val="22"/>
    </w:rPr>
  </w:style>
  <w:style w:type="paragraph" w:styleId="1445" w:customStyle="1">
    <w:name w:val="xl109"/>
    <w:basedOn w:val="1093"/>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46" w:customStyle="1">
    <w:name w:val="xl103"/>
    <w:basedOn w:val="10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47" w:customStyle="1">
    <w:name w:val="xl102"/>
    <w:basedOn w:val="10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48" w:customStyle="1">
    <w:name w:val="xl65"/>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49" w:customStyle="1">
    <w:name w:val="xl93"/>
    <w:basedOn w:val="10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50" w:customStyle="1">
    <w:name w:val="BodyText1I21"/>
    <w:basedOn w:val="1378"/>
    <w:next w:val="1093"/>
    <w:uiPriority w:val="0"/>
    <w:qFormat/>
    <w:pPr>
      <w:ind w:firstLine="420"/>
    </w:pPr>
    <w:rPr>
      <w:rFonts w:ascii="Calibri" w:hAnsi="Calibri"/>
    </w:rPr>
  </w:style>
  <w:style w:type="paragraph" w:styleId="1451"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452" w:customStyle="1">
    <w:name w:val="xl107"/>
    <w:basedOn w:val="1093"/>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53" w:customStyle="1">
    <w:name w:val="xl73"/>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4">
    <w:name w:val="No Spacing"/>
    <w:uiPriority w:val="1"/>
    <w:qFormat/>
    <w:pPr>
      <w:jc w:val="both"/>
      <w:widowControl w:val="off"/>
    </w:pPr>
    <w:rPr>
      <w:rFonts w:ascii="Calibri" w:hAnsi="Calibri" w:eastAsia="宋体" w:cs="Times New Roman"/>
      <w:sz w:val="21"/>
      <w:szCs w:val="22"/>
      <w:lang w:val="en-US" w:eastAsia="zh-CN" w:bidi="ar-SA"/>
    </w:rPr>
  </w:style>
  <w:style w:type="paragraph" w:styleId="1455" w:customStyle="1">
    <w:name w:val="xl90"/>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56" w:customStyle="1">
    <w:name w:val="font13"/>
    <w:basedOn w:val="1093"/>
    <w:uiPriority w:val="0"/>
    <w:qFormat/>
    <w:pPr>
      <w:jc w:val="left"/>
      <w:spacing w:before="100" w:beforeAutospacing="1" w:after="100" w:afterAutospacing="1"/>
      <w:widowControl/>
    </w:pPr>
    <w:rPr>
      <w:rFonts w:ascii="宋体" w:hAnsi="宋体" w:cs="宋体"/>
      <w:sz w:val="18"/>
      <w:szCs w:val="18"/>
    </w:rPr>
  </w:style>
  <w:style w:type="paragraph" w:styleId="1457" w:customStyle="1">
    <w:name w:val="xl81"/>
    <w:basedOn w:val="1093"/>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458" w:customStyle="1">
    <w:name w:val="xl69"/>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9" w:customStyle="1">
    <w:name w:val="五级条标题"/>
    <w:basedOn w:val="1363"/>
    <w:next w:val="1093"/>
    <w:uiPriority w:val="0"/>
    <w:qFormat/>
    <w:pPr>
      <w:outlineLvl w:val="6"/>
    </w:pPr>
  </w:style>
  <w:style w:type="paragraph" w:styleId="1460" w:customStyle="1">
    <w:name w:val="xl110"/>
    <w:basedOn w:val="109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61" w:customStyle="1">
    <w:name w:val="xl101"/>
    <w:basedOn w:val="10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462" w:customStyle="1">
    <w:name w:val="Table Normal1"/>
    <w:uiPriority w:val="0"/>
    <w:unhideWhenUsed/>
    <w:qFormat/>
    <w:rPr>
      <w:rFonts w:ascii="Arial" w:hAnsi="Arial" w:cs="Arial"/>
    </w:rPr>
    <w:tblPr>
      <w:tblCellMar>
        <w:left w:w="0" w:type="dxa"/>
        <w:top w:w="0" w:type="dxa"/>
        <w:right w:w="0" w:type="dxa"/>
        <w:bottom w:w="0" w:type="dxa"/>
      </w:tblCellMar>
    </w:tblPr>
  </w:style>
  <w:style w:type="character" w:styleId="1463" w:customStyle="1">
    <w:name w:val="未处理的提及"/>
    <w:uiPriority w:val="99"/>
    <w:unhideWhenUsed/>
    <w:qFormat/>
    <w:rPr>
      <w:color w:val="605e5c"/>
      <w:shd w:val="clear" w:color="auto" w:fill="e1dfdd"/>
    </w:rPr>
  </w:style>
  <w:style w:type="paragraph" w:styleId="1464" w:customStyle="1">
    <w:name w:val="样式5"/>
    <w:basedOn w:val="1292"/>
    <w:uiPriority w:val="1"/>
    <w:qFormat/>
    <w:pPr>
      <w:numPr>
        <w:ilvl w:val="0"/>
        <w:numId w:val="5"/>
      </w:numPr>
      <w:ind w:firstLine="0"/>
      <w:jc w:val="left"/>
      <w:spacing w:line="360" w:lineRule="auto"/>
    </w:pPr>
    <w:rPr>
      <w:rFonts w:ascii="Arial" w:hAnsi="Arial" w:eastAsia="宋体"/>
      <w:szCs w:val="22"/>
    </w:rPr>
  </w:style>
  <w:style w:type="paragraph" w:styleId="1465" w:customStyle="1">
    <w:name w:val="样式2"/>
    <w:basedOn w:val="1093"/>
    <w:uiPriority w:val="0"/>
    <w:qFormat/>
    <w:pPr>
      <w:spacing w:line="410" w:lineRule="atLeast"/>
    </w:pPr>
    <w:rPr>
      <w:szCs w:val="20"/>
    </w:rPr>
  </w:style>
  <w:style w:type="paragraph" w:styleId="1466" w:customStyle="1">
    <w:name w:val="样式3"/>
    <w:basedOn w:val="1300"/>
    <w:uiPriority w:val="0"/>
    <w:qFormat/>
    <w:rPr>
      <w:rFonts w:hAnsi="宋体" w:cs="宋体"/>
      <w:szCs w:val="21"/>
    </w:rPr>
  </w:style>
  <w:style w:type="paragraph" w:styleId="1467" w:customStyle="1">
    <w:name w:val="样式6"/>
    <w:basedOn w:val="1292"/>
    <w:uiPriority w:val="1"/>
    <w:qFormat/>
    <w:pPr>
      <w:ind w:left="500" w:right="100"/>
      <w:jc w:val="left"/>
      <w:spacing w:line="360" w:lineRule="auto"/>
    </w:pPr>
    <w:rPr>
      <w:rFonts w:ascii="Arial" w:hAnsi="Arial" w:eastAsia="宋体"/>
      <w:szCs w:val="22"/>
    </w:rPr>
  </w:style>
  <w:style w:type="character" w:styleId="1468" w:customStyle="1">
    <w:name w:val="样式1 Char"/>
    <w:link w:val="1469"/>
    <w:uiPriority w:val="0"/>
    <w:qFormat/>
    <w:rPr>
      <w:rFonts w:ascii="宋体" w:hAnsi="宋体"/>
      <w:szCs w:val="21"/>
    </w:rPr>
  </w:style>
  <w:style w:type="paragraph" w:styleId="1469" w:customStyle="1">
    <w:name w:val="样式1"/>
    <w:basedOn w:val="1093"/>
    <w:link w:val="1468"/>
    <w:uiPriority w:val="0"/>
    <w:qFormat/>
    <w:pPr>
      <w:numPr>
        <w:ilvl w:val="0"/>
        <w:numId w:val="6"/>
      </w:numPr>
    </w:pPr>
    <w:rPr>
      <w:rFonts w:ascii="宋体" w:hAnsi="宋体"/>
      <w:szCs w:val="21"/>
    </w:rPr>
  </w:style>
  <w:style w:type="paragraph" w:styleId="1470" w:customStyle="1">
    <w:name w:val="List Paragraph2"/>
    <w:basedOn w:val="1093"/>
    <w:uiPriority w:val="0"/>
    <w:qFormat/>
    <w:pPr>
      <w:ind w:firstLine="420"/>
    </w:pPr>
    <w:rPr>
      <w:szCs w:val="20"/>
    </w:rPr>
  </w:style>
  <w:style w:type="paragraph" w:styleId="1471" w:customStyle="1">
    <w:name w:val="一级目录"/>
    <w:next w:val="1093"/>
    <w:uiPriority w:val="99"/>
    <w:qFormat/>
    <w:pPr>
      <w:jc w:val="center"/>
      <w:outlineLvl w:val="0"/>
    </w:pPr>
    <w:rPr>
      <w:rFonts w:ascii="黑体" w:hAnsi="Times New Roman" w:eastAsia="黑体" w:cs="Times New Roman"/>
      <w:b/>
      <w:sz w:val="44"/>
      <w:szCs w:val="22"/>
      <w:lang w:val="en-US" w:eastAsia="zh-CN" w:bidi="ar-SA"/>
    </w:rPr>
  </w:style>
  <w:style w:type="paragraph" w:styleId="1472" w:customStyle="1">
    <w:name w:val="标准文本"/>
    <w:basedOn w:val="1093"/>
    <w:uiPriority w:val="0"/>
    <w:qFormat/>
    <w:pPr>
      <w:ind w:firstLine="480"/>
      <w:spacing w:line="360" w:lineRule="auto"/>
    </w:pPr>
    <w:rPr>
      <w:rFonts w:eastAsia="Calibri" w:cs="宋体"/>
      <w:sz w:val="24"/>
      <w:lang w:val="zh-CN"/>
    </w:rPr>
  </w:style>
  <w:style w:type="paragraph" w:styleId="1473" w:customStyle="1">
    <w:name w:val="msolistparagraph"/>
    <w:basedOn w:val="1093"/>
    <w:uiPriority w:val="0"/>
    <w:qFormat/>
    <w:pPr>
      <w:ind w:firstLine="420"/>
    </w:pPr>
  </w:style>
  <w:style w:type="paragraph" w:styleId="1474" w:customStyle="1">
    <w:name w:val="样式 样式 首行缩进:  2 字符 + 行距: 1.5 倍行距"/>
    <w:basedOn w:val="1093"/>
    <w:uiPriority w:val="0"/>
    <w:qFormat/>
    <w:pPr>
      <w:ind w:firstLine="470"/>
      <w:spacing w:line="360" w:lineRule="auto"/>
    </w:pPr>
    <w:rPr>
      <w:rFonts w:eastAsia="Calibri" w:cs="宋体"/>
      <w:sz w:val="24"/>
      <w:szCs w:val="20"/>
      <w:lang w:val="zh-CN"/>
    </w:rPr>
  </w:style>
  <w:style w:type="paragraph" w:styleId="1475" w:customStyle="1">
    <w:name w:val="招标"/>
    <w:basedOn w:val="1093"/>
    <w:uiPriority w:val="0"/>
    <w:qFormat/>
    <w:pPr>
      <w:ind w:firstLine="420"/>
      <w:jc w:val="left"/>
      <w:spacing w:line="400" w:lineRule="exact"/>
    </w:pPr>
    <w:rPr>
      <w:rFonts w:ascii="宋体" w:hAnsi="宋体"/>
    </w:rPr>
  </w:style>
  <w:style w:type="character" w:styleId="1476" w:customStyle="1">
    <w:name w:val="16"/>
    <w:uiPriority w:val="0"/>
    <w:qFormat/>
    <w:rPr>
      <w:rFonts w:ascii="Calibri" w:hAnsi="Calibri" w:cs="Calibri"/>
    </w:rPr>
  </w:style>
  <w:style w:type="character" w:styleId="1477" w:customStyle="1">
    <w:name w:val="批注框文本 Char"/>
    <w:basedOn w:val="1103"/>
    <w:link w:val="1114"/>
    <w:uiPriority w:val="99"/>
    <w:semiHidden/>
    <w:qFormat/>
    <w:rPr>
      <w:rFonts w:eastAsia="微软雅黑"/>
      <w:sz w:val="18"/>
      <w:szCs w:val="18"/>
    </w:rPr>
  </w:style>
  <w:style w:type="character" w:styleId="1478" w:customStyle="1">
    <w:name w:val="批注文字 Char"/>
    <w:basedOn w:val="1103"/>
    <w:link w:val="1108"/>
    <w:uiPriority w:val="99"/>
    <w:semiHidden/>
    <w:qFormat/>
    <w:rPr>
      <w:rFonts w:eastAsia="微软雅黑"/>
      <w:sz w:val="21"/>
      <w:szCs w:val="22"/>
    </w:rPr>
  </w:style>
  <w:style w:type="character" w:styleId="1479" w:customStyle="1">
    <w:name w:val="批注主题 Char"/>
    <w:basedOn w:val="1478"/>
    <w:link w:val="1127"/>
    <w:uiPriority w:val="99"/>
    <w:semiHidden/>
    <w:qFormat/>
    <w:rPr>
      <w:rFonts w:eastAsia="微软雅黑"/>
      <w:b/>
      <w:bCs/>
      <w:sz w:val="21"/>
      <w:szCs w:val="22"/>
    </w:rPr>
  </w:style>
  <w:style w:type="numbering" w:styleId="14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A536C5-A745-4A24-9EC0-B84F47F094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UQi.me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dc:creator>
  <cp:lastModifiedBy>刘洁</cp:lastModifiedBy>
  <cp:revision>7</cp:revision>
  <dcterms:created xsi:type="dcterms:W3CDTF">2026-05-07T15:39:00Z</dcterms:created>
  <dcterms:modified xsi:type="dcterms:W3CDTF">2026-06-18T08:53:49Z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eyJoZGlkIjoiNGFmMTBhM2VmYTk2YThiMzE3Yjk5YzUyNGM4NDBkNTYiLCJ1c2VySWQiOiI0NTI1MjQ5MTEifQ==</vt:lpwstr>
  </property>
  <property fmtid="{D5CDD505-2E9C-101B-9397-08002B2CF9AE}" pid="3" name="KSOProductBuildVer">
    <vt:lpwstr>2052-12.1.0.26895</vt:lpwstr>
  </property>
  <property fmtid="{D5CDD505-2E9C-101B-9397-08002B2CF9AE}" pid="4" name="ICV">
    <vt:lpwstr>EB28DCC2465F46698CBD9C63A2DFF5CB_13</vt:lpwstr>
  </property>
</Properties>
</file>