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spacing w:line="360" w:lineRule="auto"/>
        <w:tabs>
          <w:tab w:val="left" w:pos="630" w:leader="none"/>
        </w:tabs>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1055"/>
        <w:jc w:val="center"/>
        <w:spacing w:line="360" w:lineRule="auto"/>
        <w:rPr>
          <w:rFonts w:ascii="Arial" w:hAnsi="Arial" w:cs="Arial"/>
          <w:color w:val="000000"/>
          <w:sz w:val="36"/>
          <w:szCs w:val="36"/>
          <w:highlight w:val="none"/>
        </w:rPr>
      </w:pPr>
      <w:r>
        <w:rPr>
          <w:rFonts w:hint="eastAsia" w:ascii="Arial" w:hAnsi="Arial" w:eastAsia="黑体" w:cs="Arial"/>
          <w:b/>
          <w:bCs/>
          <w:color w:val="000000"/>
          <w:sz w:val="44"/>
          <w:szCs w:val="44"/>
          <w:highlight w:val="none"/>
          <w:lang w:eastAsia="zh-CN"/>
        </w:rPr>
        <w:t xml:space="preserve">湖南路道路市政设施恢复工程既有地下空间结构影响专项监测项目</w:t>
      </w:r>
      <w:r>
        <w:rPr>
          <w:rFonts w:ascii="Arial" w:hAnsi="Arial" w:cs="Arial"/>
          <w:color w:val="000000"/>
          <w:sz w:val="36"/>
          <w:szCs w:val="36"/>
          <w:highlight w:val="none"/>
        </w:rPr>
      </w:r>
      <w:r/>
    </w:p>
    <w:p>
      <w:pPr>
        <w:pStyle w:val="1055"/>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1147"/>
        <w:rPr>
          <w:rFonts w:ascii="Arial" w:hAnsi="Arial" w:cs="Arial"/>
          <w:color w:val="000000"/>
          <w:sz w:val="36"/>
          <w:szCs w:val="36"/>
          <w:highlight w:val="none"/>
        </w:rPr>
      </w:pPr>
      <w:r>
        <w:rPr>
          <w:rFonts w:ascii="Arial" w:hAnsi="Arial" w:cs="Arial"/>
          <w:color w:val="000000"/>
          <w:sz w:val="36"/>
          <w:szCs w:val="36"/>
          <w:highlight w:val="none"/>
        </w:rPr>
      </w:r>
      <w:r/>
    </w:p>
    <w:p>
      <w:pPr>
        <w:pStyle w:val="1055"/>
        <w:rPr>
          <w:color w:val="000000"/>
          <w:highlight w:val="none"/>
        </w:rPr>
      </w:pPr>
      <w:r>
        <w:rPr>
          <w:color w:val="000000"/>
          <w:highlight w:val="none"/>
        </w:rPr>
      </w:r>
      <w:r/>
    </w:p>
    <w:p>
      <w:pPr>
        <w:pStyle w:val="1059"/>
        <w:rPr>
          <w:color w:val="000000"/>
          <w:highlight w:val="none"/>
        </w:rPr>
      </w:pPr>
      <w:r>
        <w:rPr>
          <w:color w:val="000000"/>
          <w:highlight w:val="none"/>
        </w:rPr>
      </w:r>
      <w:r/>
    </w:p>
    <w:p>
      <w:pPr>
        <w:pStyle w:val="1147"/>
        <w:rPr>
          <w:color w:val="000000"/>
          <w:highlight w:val="none"/>
        </w:rPr>
      </w:pPr>
      <w:r>
        <w:rPr>
          <w:color w:val="000000"/>
          <w:highlight w:val="none"/>
        </w:rPr>
      </w:r>
      <w:r/>
    </w:p>
    <w:p>
      <w:pPr>
        <w:pStyle w:val="1055"/>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1055"/>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1055"/>
        <w:jc w:val="center"/>
        <w:spacing w:line="360" w:lineRule="auto"/>
        <w:rPr>
          <w:rFonts w:hint="eastAsia" w:ascii="Arial" w:hAnsi="宋体" w:eastAsia="宋体" w:cs="Arial"/>
          <w:b/>
          <w:bCs/>
          <w:color w:val="000000"/>
          <w:sz w:val="40"/>
          <w:szCs w:val="40"/>
          <w:highlight w:val="none"/>
          <w:lang w:eastAsia="zh-CN"/>
        </w:rPr>
      </w:pPr>
      <w:r>
        <w:rPr>
          <w:rFonts w:ascii="Arial" w:hAnsi="宋体" w:cs="Arial"/>
          <w:b/>
          <w:bCs/>
          <w:color w:val="000000"/>
          <w:sz w:val="40"/>
          <w:szCs w:val="40"/>
          <w:highlight w:val="none"/>
        </w:rPr>
        <w:t xml:space="preserve">项目编</w:t>
      </w:r>
      <w:r>
        <w:rPr>
          <w:rFonts w:ascii="Arial" w:hAnsi="宋体" w:eastAsia="宋体" w:cs="Arial"/>
          <w:b/>
          <w:bCs/>
          <w:color w:val="000000"/>
          <w:sz w:val="40"/>
          <w:szCs w:val="40"/>
          <w:highlight w:val="none"/>
        </w:rPr>
        <w:t xml:space="preserve">号：</w:t>
      </w:r>
      <w:r>
        <w:rPr>
          <w:rFonts w:hint="eastAsia" w:ascii="Arial" w:hAnsi="宋体" w:eastAsia="宋体" w:cs="Arial"/>
          <w:b/>
          <w:bCs/>
          <w:color w:val="000000"/>
          <w:sz w:val="40"/>
          <w:szCs w:val="40"/>
          <w:highlight w:val="none"/>
        </w:rPr>
        <w:t xml:space="preserve">JSZC-320106-JCEC-C2026-0247</w:t>
      </w:r>
      <w:r>
        <w:rPr>
          <w:rFonts w:hint="eastAsia" w:ascii="Arial" w:hAnsi="宋体" w:eastAsia="宋体" w:cs="Arial"/>
          <w:b/>
          <w:bCs/>
          <w:color w:val="000000"/>
          <w:sz w:val="40"/>
          <w:szCs w:val="40"/>
          <w:highlight w:val="none"/>
          <w:lang w:eastAsia="zh-CN"/>
        </w:rPr>
      </w:r>
      <w:r/>
    </w:p>
    <w:p>
      <w:pPr>
        <w:pStyle w:val="1055"/>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055"/>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055"/>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147"/>
        <w:rPr>
          <w:color w:val="000000"/>
          <w:highlight w:val="none"/>
        </w:rPr>
      </w:pPr>
      <w:r>
        <w:rPr>
          <w:color w:val="000000"/>
          <w:highlight w:val="none"/>
        </w:rPr>
      </w:r>
      <w:r/>
    </w:p>
    <w:p>
      <w:pPr>
        <w:pStyle w:val="1055"/>
        <w:rPr>
          <w:color w:val="000000"/>
          <w:highlight w:val="none"/>
        </w:rPr>
      </w:pPr>
      <w:r>
        <w:rPr>
          <w:color w:val="000000"/>
          <w:highlight w:val="none"/>
        </w:rPr>
      </w:r>
      <w:r/>
    </w:p>
    <w:p>
      <w:pPr>
        <w:pStyle w:val="1059"/>
        <w:rPr>
          <w:color w:val="000000"/>
          <w:highlight w:val="none"/>
        </w:rPr>
      </w:pPr>
      <w:r>
        <w:rPr>
          <w:color w:val="000000"/>
          <w:highlight w:val="none"/>
        </w:rPr>
      </w:r>
      <w:r/>
    </w:p>
    <w:p>
      <w:pPr>
        <w:pStyle w:val="1055"/>
        <w:rPr>
          <w:color w:val="000000"/>
          <w:highlight w:val="none"/>
        </w:rPr>
      </w:pPr>
      <w:r>
        <w:rPr>
          <w:color w:val="000000"/>
          <w:highlight w:val="none"/>
        </w:rPr>
      </w:r>
      <w:r/>
    </w:p>
    <w:p>
      <w:pPr>
        <w:pStyle w:val="1055"/>
        <w:jc w:val="center"/>
        <w:spacing w:line="360" w:lineRule="auto"/>
        <w:rPr>
          <w:rFonts w:ascii="Arial" w:hAnsi="Arial" w:cs="Arial"/>
          <w:b/>
          <w:color w:val="000000"/>
          <w:sz w:val="32"/>
          <w:szCs w:val="32"/>
          <w:highlight w:val="none"/>
        </w:rPr>
      </w:pPr>
      <w:r>
        <w:rPr>
          <w:rFonts w:ascii="Arial" w:hAnsi="宋体" w:cs="Arial"/>
          <w:b/>
          <w:color w:val="000000"/>
          <w:sz w:val="32"/>
          <w:szCs w:val="32"/>
          <w:highlight w:val="none"/>
        </w:rPr>
        <w:t xml:space="preserve">江苏省设备成套股份有限公司</w:t>
      </w:r>
      <w:r>
        <w:rPr>
          <w:rFonts w:ascii="Arial" w:hAnsi="Arial" w:cs="Arial"/>
          <w:b/>
          <w:color w:val="000000"/>
          <w:sz w:val="32"/>
          <w:szCs w:val="32"/>
          <w:highlight w:val="none"/>
        </w:rPr>
      </w:r>
      <w:r/>
    </w:p>
    <w:p>
      <w:pPr>
        <w:pStyle w:val="1055"/>
        <w:jc w:val="center"/>
        <w:spacing w:line="360" w:lineRule="auto"/>
        <w:rPr>
          <w:rFonts w:ascii="Arial" w:hAnsi="Arial" w:eastAsia="宋体" w:cs="Arial"/>
          <w:b/>
          <w:color w:val="000000"/>
          <w:sz w:val="32"/>
          <w:szCs w:val="32"/>
          <w:highlight w:val="none"/>
          <w:lang w:val="en-US" w:eastAsia="zh-CN"/>
        </w:rPr>
      </w:pPr>
      <w:r>
        <w:rPr>
          <w:rFonts w:hint="eastAsia" w:ascii="Arial" w:hAnsi="宋体" w:cs="Arial"/>
          <w:b/>
          <w:color w:val="000000"/>
          <w:sz w:val="32"/>
          <w:szCs w:val="32"/>
          <w:highlight w:val="none"/>
          <w:lang w:val="en-US" w:eastAsia="zh-CN"/>
        </w:rPr>
        <w:t xml:space="preserve">2026</w:t>
      </w:r>
      <w:r>
        <w:rPr>
          <w:rFonts w:ascii="Arial" w:hAnsi="宋体"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w:t>
      </w:r>
      <w:r>
        <w:rPr>
          <w:rFonts w:hint="eastAsia" w:ascii="Arial" w:hAnsi="Arial" w:cs="Arial"/>
          <w:b/>
          <w:color w:val="000000"/>
          <w:sz w:val="32"/>
          <w:szCs w:val="32"/>
          <w:highlight w:val="none"/>
          <w:lang w:val="en-US" w:eastAsia="zh-CN"/>
        </w:rPr>
        <w:t xml:space="preserve">7</w:t>
      </w:r>
      <w:r>
        <w:rPr>
          <w:rFonts w:ascii="Arial" w:hAnsi="宋体" w:cs="Arial"/>
          <w:b/>
          <w:color w:val="000000"/>
          <w:sz w:val="32"/>
          <w:szCs w:val="32"/>
          <w:highlight w:val="none"/>
        </w:rPr>
        <w:t xml:space="preserve">月</w:t>
      </w:r>
      <w:r>
        <w:rPr>
          <w:rFonts w:hint="eastAsia" w:ascii="Arial" w:hAnsi="宋体" w:cs="Arial"/>
          <w:b/>
          <w:color w:val="000000"/>
          <w:sz w:val="32"/>
          <w:szCs w:val="32"/>
          <w:highlight w:val="none"/>
          <w:lang w:val="en-US" w:eastAsia="zh-CN"/>
        </w:rPr>
        <w:t xml:space="preserve">10日</w:t>
      </w:r>
      <w:r>
        <w:rPr>
          <w:rFonts w:ascii="Arial" w:hAnsi="Arial" w:eastAsia="宋体" w:cs="Arial"/>
          <w:b/>
          <w:color w:val="000000"/>
          <w:sz w:val="32"/>
          <w:szCs w:val="32"/>
          <w:highlight w:val="none"/>
          <w:lang w:val="en-US" w:eastAsia="zh-CN"/>
        </w:rPr>
      </w:r>
      <w:r/>
    </w:p>
    <w:p>
      <w:pPr>
        <w:pStyle w:val="1186"/>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Pr>
          <w:rFonts w:ascii="Arial" w:hAnsi="宋体" w:cs="Arial"/>
          <w:color w:val="000000"/>
          <w:sz w:val="36"/>
          <w:highlight w:val="none"/>
          <w:lang w:val="zh-CN"/>
        </w:rPr>
      </w:r>
      <w:r/>
    </w:p>
    <w:p>
      <w:pPr>
        <w:pStyle w:val="1186"/>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Pr>
          <w:rFonts w:ascii="Arial" w:hAnsi="Arial" w:cs="Arial"/>
          <w:color w:val="000000"/>
          <w:sz w:val="36"/>
          <w:highlight w:val="none"/>
          <w:lang w:val="zh-CN"/>
        </w:rPr>
      </w:r>
      <w:r/>
    </w:p>
    <w:p>
      <w:pPr>
        <w:pStyle w:val="1116"/>
        <w:keepLines w:val="0"/>
        <w:keepNext w:val="0"/>
        <w:pageBreakBefore w:val="0"/>
        <w:spacing w:before="0" w:after="0" w:line="480" w:lineRule="auto"/>
        <w:widowControl w:val="off"/>
        <w:tabs>
          <w:tab w:val="right" w:pos="8306" w:leader="dot"/>
        </w:tabs>
        <w:rPr>
          <w:rFonts w:ascii="Arial" w:hAnsi="Arial" w:eastAsia="宋体" w:cs="Arial"/>
          <w:b w:val="0"/>
          <w:color w:val="000000"/>
          <w:sz w:val="24"/>
          <w:szCs w:val="24"/>
          <w:highlight w:val="none"/>
        </w:rPr>
      </w:pPr>
      <w:r>
        <w:rPr>
          <w:rFonts w:ascii="Arial" w:hAnsi="Arial" w:eastAsia="宋体" w:cs="Arial"/>
          <w:b w:val="0"/>
          <w:color w:val="000000"/>
          <w:sz w:val="24"/>
          <w:szCs w:val="24"/>
          <w:highlight w:val="none"/>
        </w:rPr>
      </w:r>
      <w:r/>
    </w:p>
    <w:p>
      <w:pPr>
        <w:pStyle w:val="1116"/>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TOC \o "1-3" \h \z \u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_Toc22476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第一章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竞争性磋商公告</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_Toc22476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2</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1116"/>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_Toc349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第二章  竞争性磋商须知</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_Toc349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6</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1116"/>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_Toc614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第三章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评标标准</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_Toc614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16</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1116"/>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_Toc7631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en-US" w:eastAsia="zh-CN"/>
        </w:rPr>
        <w:t xml:space="preserve">第四章  </w:t>
      </w:r>
      <w:r>
        <w:rPr>
          <w:rFonts w:ascii="Arial" w:hAnsi="Arial" w:eastAsia="宋体" w:cs="Arial"/>
          <w:b w:val="0"/>
          <w:bCs w:val="0"/>
          <w:color w:val="000000"/>
          <w:sz w:val="24"/>
          <w:szCs w:val="24"/>
          <w:highlight w:val="none"/>
          <w:lang w:val="zh-CN" w:eastAsia="zh-CN"/>
        </w:rPr>
        <w:t xml:space="preserve">采购需求</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_Toc7631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18</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1116"/>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_Toc13426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第五章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合同主要条款</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_Toc13426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19</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1116"/>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_Toc10404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第六章  </w:t>
      </w:r>
      <w:r>
        <w:rPr>
          <w:rFonts w:ascii="Arial" w:hAnsi="Arial" w:eastAsia="宋体" w:cs="Arial"/>
          <w:b w:val="0"/>
          <w:bCs w:val="0"/>
          <w:color w:val="000000"/>
          <w:sz w:val="24"/>
          <w:szCs w:val="24"/>
          <w:highlight w:val="none"/>
          <w:lang w:val="en-US" w:eastAsia="zh-CN"/>
        </w:rPr>
        <w:t xml:space="preserve">磋商响应文件格式及附件</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_Toc10404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38</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1055"/>
        <w:jc w:val="center"/>
        <w:keepLines w:val="0"/>
        <w:keepNext w:val="0"/>
        <w:pageBreakBefore w:val="0"/>
        <w:spacing w:line="480" w:lineRule="auto"/>
        <w:widowControl w:val="off"/>
        <w:rPr>
          <w:rFonts w:ascii="Arial" w:hAnsi="Arial" w:cs="Arial"/>
          <w:b/>
          <w:bCs/>
          <w:color w:val="000000"/>
          <w:sz w:val="72"/>
          <w:szCs w:val="30"/>
          <w:highlight w:val="none"/>
          <w:lang w:val="zh-CN"/>
        </w:rPr>
      </w:pPr>
      <w:r>
        <w:rPr>
          <w:rFonts w:ascii="Arial" w:hAnsi="Arial" w:eastAsia="宋体" w:cs="Arial"/>
          <w:b w:val="0"/>
          <w:bCs w:val="0"/>
          <w:color w:val="000000"/>
          <w:sz w:val="24"/>
          <w:szCs w:val="24"/>
          <w:highlight w:val="none"/>
          <w:lang w:val="zh-CN"/>
        </w:rPr>
        <w:fldChar w:fldCharType="end"/>
      </w:r>
      <w:r>
        <w:rPr>
          <w:rFonts w:ascii="Arial" w:hAnsi="Arial" w:cs="Arial"/>
          <w:b/>
          <w:bCs/>
          <w:color w:val="000000"/>
          <w:sz w:val="72"/>
          <w:szCs w:val="30"/>
          <w:highlight w:val="none"/>
          <w:lang w:val="zh-CN"/>
        </w:rPr>
      </w:r>
      <w:r/>
    </w:p>
    <w:p>
      <w:pPr>
        <w:pStyle w:val="1055"/>
        <w:jc w:val="center"/>
        <w:spacing w:line="360" w:lineRule="auto"/>
        <w:rPr>
          <w:rFonts w:ascii="Arial" w:hAnsi="Arial" w:cs="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1134"/>
        <w:rPr>
          <w:rFonts w:ascii="Arial" w:cs="Arial"/>
          <w:color w:val="000000"/>
          <w:highlight w:val="none"/>
          <w:lang w:val="zh-CN"/>
        </w:rPr>
        <w:sectPr>
          <w:footnotePr/>
          <w:endnotePr/>
          <w:type w:val="continuous"/>
          <w:pgSz w:w="11906" w:h="16838" w:orient="portrait"/>
          <w:pgMar w:top="1440" w:right="1800" w:bottom="1440" w:left="1600" w:header="851" w:footer="992" w:gutter="0"/>
          <w:pgNumType w:start="1"/>
          <w:cols w:num="1" w:sep="0" w:space="1701" w:equalWidth="1"/>
          <w:docGrid w:linePitch="360"/>
          <w:titlePg/>
        </w:sectPr>
      </w:pPr>
      <w:r/>
      <w:bookmarkStart w:id="1" w:name="_Toc22476"/>
      <w:r>
        <w:rPr>
          <w:rFonts w:ascii="Arial" w:cs="Arial"/>
          <w:color w:val="000000"/>
          <w:highlight w:val="none"/>
          <w:lang w:val="zh-CN"/>
        </w:rPr>
        <w:br w:type="page" w:clear="all"/>
      </w:r>
      <w:r/>
    </w:p>
    <w:p>
      <w:pPr>
        <w:pStyle w:val="1134"/>
        <w:rPr>
          <w:rFonts w:ascii="Arial" w:hAnsi="Arial" w:cs="Arial"/>
          <w:color w:val="000000"/>
          <w:highlight w:val="none"/>
        </w:rPr>
      </w:pPr>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1"/>
      <w:r>
        <w:rPr>
          <w:rFonts w:ascii="Arial" w:hAnsi="Arial" w:cs="Arial"/>
          <w:color w:val="000000"/>
          <w:highlight w:val="none"/>
        </w:rPr>
      </w:r>
      <w:r/>
    </w:p>
    <w:p>
      <w:pPr>
        <w:pStyle w:val="1055"/>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1055"/>
        <w:ind w:firstLine="360"/>
        <w:spacing w:line="360" w:lineRule="auto"/>
        <w:shd w:val="clear" w:color="auto" w:fill="ffffff"/>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rPr>
      </w:r>
      <w:r/>
    </w:p>
    <w:p>
      <w:pPr>
        <w:pStyle w:val="1055"/>
        <w:ind w:firstLine="452"/>
        <w:jc w:val="left"/>
        <w:spacing w:line="240" w:lineRule="auto"/>
        <w:shd w:val="clear" w:color="auto" w:fill="ffffff"/>
        <w:widowControl/>
        <w:rPr>
          <w:rFonts w:ascii="Arial" w:hAnsi="Arial" w:cs="Arial"/>
          <w:color w:val="000000"/>
          <w:szCs w:val="21"/>
          <w:highlight w:val="none"/>
        </w:rPr>
      </w:pPr>
      <w:r>
        <w:rPr>
          <w:rFonts w:hint="eastAsia" w:ascii="Arial" w:hAnsi="Arial" w:cs="Arial"/>
          <w:color w:val="000000"/>
          <w:spacing w:val="8"/>
          <w:szCs w:val="21"/>
          <w:highlight w:val="none"/>
          <w:u w:val="none"/>
          <w:lang w:eastAsia="zh-CN"/>
        </w:rPr>
        <w:t xml:space="preserve">湖南路道路市政设施恢复工程既有地下空间结构影响专项监测项目</w:t>
      </w:r>
      <w:r>
        <w:rPr>
          <w:rFonts w:ascii="Arial" w:hAnsi="Arial" w:cs="Arial"/>
          <w:color w:val="000000"/>
          <w:szCs w:val="21"/>
          <w:highlight w:val="none"/>
          <w:u w:val="none"/>
        </w:rPr>
        <w:t xml:space="preserve">的潜在供应商应在江苏政府采购网获取采</w:t>
      </w:r>
      <w:r>
        <w:rPr>
          <w:rFonts w:ascii="Arial" w:hAnsi="Arial" w:cs="Arial"/>
          <w:color w:val="000000"/>
          <w:szCs w:val="21"/>
          <w:highlight w:val="none"/>
        </w:rPr>
        <w:t xml:space="preserve">购文件，并于</w:t>
      </w:r>
      <w:r>
        <w:rPr>
          <w:rFonts w:hint="eastAsia" w:ascii="Arial" w:hAnsi="Arial" w:cs="Arial"/>
          <w:iCs/>
          <w:color w:val="000000"/>
          <w:spacing w:val="8"/>
          <w:szCs w:val="21"/>
          <w:highlight w:val="none"/>
          <w:lang w:val="en-US" w:eastAsia="zh-CN"/>
        </w:rPr>
        <w:t xml:space="preserve">2026年7月2</w:t>
      </w:r>
      <w:r>
        <w:rPr>
          <w:rFonts w:hint="eastAsia" w:ascii="Arial" w:hAnsi="Arial" w:cs="Arial"/>
          <w:iCs/>
          <w:color w:val="000000"/>
          <w:spacing w:val="8"/>
          <w:szCs w:val="21"/>
          <w:highlight w:val="none"/>
          <w:lang w:val="en-US" w:eastAsia="zh-CN"/>
        </w:rPr>
        <w:t xml:space="preserve">1</w:t>
      </w:r>
      <w:r>
        <w:rPr>
          <w:rFonts w:hint="eastAsia" w:ascii="Arial" w:hAnsi="Arial" w:cs="Arial"/>
          <w:iCs/>
          <w:color w:val="000000"/>
          <w:spacing w:val="8"/>
          <w:szCs w:val="21"/>
          <w:highlight w:val="none"/>
          <w:lang w:val="en-US" w:eastAsia="zh-CN"/>
        </w:rPr>
        <w:t xml:space="preserve">日0</w:t>
      </w:r>
      <w:r>
        <w:rPr>
          <w:rFonts w:hint="eastAsia" w:ascii="Arial" w:hAnsi="Arial" w:cs="Arial"/>
          <w:iCs/>
          <w:color w:val="000000"/>
          <w:spacing w:val="8"/>
          <w:szCs w:val="21"/>
          <w:highlight w:val="none"/>
          <w:lang w:val="en-US" w:eastAsia="zh-CN"/>
        </w:rPr>
        <w:t xml:space="preserve">9</w:t>
      </w:r>
      <w:r>
        <w:rPr>
          <w:rFonts w:hint="eastAsia" w:ascii="Arial" w:hAnsi="Arial" w:cs="Arial"/>
          <w:iCs/>
          <w:color w:val="000000"/>
          <w:spacing w:val="8"/>
          <w:szCs w:val="21"/>
          <w:highlight w:val="none"/>
          <w:lang w:val="en-US" w:eastAsia="zh-CN"/>
        </w:rPr>
        <w:t xml:space="preserve">点00分</w:t>
      </w:r>
      <w:r>
        <w:rPr>
          <w:rFonts w:ascii="Arial" w:hAnsi="Arial" w:cs="Arial"/>
          <w:bCs/>
          <w:color w:val="000000"/>
          <w:szCs w:val="21"/>
          <w:highlight w:val="none"/>
        </w:rPr>
        <w:t xml:space="preserve">（北京时间）前提交响应文件</w:t>
      </w:r>
      <w:r>
        <w:rPr>
          <w:rFonts w:ascii="Arial" w:hAnsi="Arial" w:cs="Arial"/>
          <w:color w:val="000000"/>
          <w:szCs w:val="21"/>
          <w:highlight w:val="none"/>
        </w:rPr>
        <w:t xml:space="preserve">。</w:t>
      </w:r>
      <w:r>
        <w:rPr>
          <w:rFonts w:ascii="Arial" w:hAnsi="Arial" w:cs="Arial"/>
          <w:color w:val="000000"/>
          <w:szCs w:val="21"/>
          <w:highlight w:val="none"/>
        </w:rPr>
      </w:r>
      <w:r/>
    </w:p>
    <w:p>
      <w:pPr>
        <w:pStyle w:val="1055"/>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1055"/>
        <w:spacing w:line="360" w:lineRule="auto"/>
        <w:shd w:val="clear" w:color="auto" w:fill="ffffff"/>
        <w:widowControl/>
        <w:rPr>
          <w:rFonts w:ascii="Arial" w:hAnsi="Arial" w:cs="Arial"/>
          <w:b/>
          <w:color w:val="000000"/>
          <w:spacing w:val="8"/>
          <w:sz w:val="24"/>
          <w:highlight w:val="none"/>
        </w:rPr>
        <w:outlineLvl w:val="1"/>
      </w:pPr>
      <w:r/>
      <w:bookmarkStart w:id="2" w:name="_Toc19084"/>
      <w:r/>
      <w:bookmarkStart w:id="3" w:name="_Toc1270"/>
      <w:r>
        <w:rPr>
          <w:rFonts w:ascii="Arial" w:hAnsi="Arial" w:cs="Arial"/>
          <w:b/>
          <w:color w:val="000000"/>
          <w:spacing w:val="8"/>
          <w:sz w:val="24"/>
          <w:highlight w:val="none"/>
        </w:rPr>
        <w:t xml:space="preserve">一、项目基本情况</w:t>
      </w:r>
      <w:bookmarkEnd w:id="2"/>
      <w:r/>
      <w:bookmarkEnd w:id="3"/>
      <w:r>
        <w:rPr>
          <w:rFonts w:ascii="Arial" w:hAnsi="Arial" w:cs="Arial"/>
          <w:b/>
          <w:color w:val="000000"/>
          <w:spacing w:val="8"/>
          <w:sz w:val="24"/>
          <w:highlight w:val="none"/>
        </w:rPr>
      </w:r>
      <w:r/>
    </w:p>
    <w:p>
      <w:pPr>
        <w:pStyle w:val="1055"/>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w:t>
      </w:r>
      <w:r>
        <w:rPr>
          <w:rFonts w:ascii="Arial" w:hAnsi="Arial" w:cs="Arial"/>
          <w:color w:val="000000"/>
          <w:spacing w:val="8"/>
          <w:szCs w:val="21"/>
          <w:highlight w:val="none"/>
        </w:rPr>
        <w:t xml:space="preserve">1项目编号：</w:t>
      </w:r>
      <w:r>
        <w:rPr>
          <w:rFonts w:hint="eastAsia" w:ascii="Arial" w:hAnsi="Arial" w:cs="Arial"/>
          <w:color w:val="000000"/>
          <w:spacing w:val="8"/>
          <w:szCs w:val="21"/>
          <w:highlight w:val="none"/>
        </w:rPr>
        <w:t xml:space="preserve">JSZC-320106-JCEC-C2026-0247</w:t>
      </w:r>
      <w:r>
        <w:rPr>
          <w:rFonts w:hint="eastAsia" w:ascii="Segoe UI" w:hAnsi="Segoe UI" w:eastAsia="宋体" w:cs="Segoe UI"/>
          <w:i w:val="0"/>
          <w:iCs w:val="0"/>
          <w:caps w:val="0"/>
          <w:color w:val="000000"/>
          <w:spacing w:val="0"/>
          <w:sz w:val="21"/>
          <w:szCs w:val="21"/>
          <w:highlight w:val="none"/>
          <w:shd w:val="clear" w:color="auto" w:fill="ffffff"/>
          <w:lang w:val="en-US" w:eastAsia="zh-CN"/>
        </w:rPr>
        <w:t xml:space="preserve"> </w:t>
      </w:r>
      <w:r>
        <w:rPr>
          <w:rFonts w:ascii="Arial" w:hAnsi="Arial" w:eastAsia="宋体" w:cs="Arial"/>
          <w:color w:val="000000"/>
          <w:spacing w:val="8"/>
          <w:szCs w:val="21"/>
          <w:highlight w:val="none"/>
          <w:lang w:val="en-US" w:eastAsia="zh-CN"/>
        </w:rPr>
      </w:r>
      <w:r/>
    </w:p>
    <w:p>
      <w:pPr>
        <w:pStyle w:val="1055"/>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ascii="Arial" w:hAnsi="Arial" w:cs="Arial"/>
          <w:color w:val="000000"/>
          <w:spacing w:val="8"/>
          <w:szCs w:val="21"/>
          <w:highlight w:val="none"/>
          <w:u w:val="none"/>
        </w:rPr>
        <w:t xml:space="preserve">1.2项目名称：</w:t>
      </w:r>
      <w:r>
        <w:rPr>
          <w:rFonts w:hint="eastAsia" w:ascii="Arial" w:hAnsi="Arial" w:cs="Arial"/>
          <w:color w:val="000000"/>
          <w:spacing w:val="8"/>
          <w:szCs w:val="21"/>
          <w:highlight w:val="none"/>
          <w:u w:val="none"/>
          <w:lang w:eastAsia="zh-CN"/>
        </w:rPr>
        <w:t xml:space="preserve">湖南路道路市政设施恢复工程既有地下空间结构影响专项监测项目</w:t>
      </w:r>
      <w:r>
        <w:rPr>
          <w:rFonts w:hint="eastAsia" w:ascii="Arial" w:hAnsi="Arial" w:eastAsia="宋体" w:cs="Arial"/>
          <w:color w:val="000000"/>
          <w:spacing w:val="8"/>
          <w:szCs w:val="21"/>
          <w:highlight w:val="none"/>
          <w:u w:val="none"/>
          <w:lang w:eastAsia="zh-CN"/>
        </w:rPr>
      </w:r>
      <w:r/>
    </w:p>
    <w:p>
      <w:pPr>
        <w:pStyle w:val="1055"/>
        <w:ind w:firstLine="370"/>
        <w:spacing w:line="360" w:lineRule="auto"/>
        <w:shd w:val="clear" w:color="auto" w:fill="ffffff"/>
        <w:widowControl/>
        <w:rPr>
          <w:rFonts w:ascii="Arial" w:hAnsi="Arial" w:eastAsia="宋体" w:cs="Arial"/>
          <w:color w:val="000000"/>
          <w:spacing w:val="8"/>
          <w:szCs w:val="21"/>
          <w:highlight w:val="none"/>
          <w:u w:val="none"/>
          <w:lang w:val="en-US" w:eastAsia="zh-CN"/>
        </w:rPr>
      </w:pPr>
      <w:r>
        <w:rPr>
          <w:rFonts w:ascii="Arial" w:hAnsi="Arial" w:cs="Arial"/>
          <w:color w:val="000000"/>
          <w:spacing w:val="8"/>
          <w:szCs w:val="21"/>
          <w:highlight w:val="none"/>
          <w:u w:val="none"/>
        </w:rPr>
        <w:t xml:space="preserve">1.</w:t>
      </w:r>
      <w:r>
        <w:rPr>
          <w:rFonts w:hint="eastAsia" w:ascii="Arial" w:hAnsi="Arial" w:cs="Arial"/>
          <w:color w:val="000000"/>
          <w:spacing w:val="8"/>
          <w:szCs w:val="21"/>
          <w:highlight w:val="none"/>
          <w:u w:val="none"/>
          <w:lang w:val="en-US" w:eastAsia="zh-CN"/>
        </w:rPr>
        <w:t xml:space="preserve">3</w:t>
      </w:r>
      <w:r>
        <w:rPr>
          <w:rFonts w:ascii="Arial" w:hAnsi="Arial" w:cs="Arial"/>
          <w:color w:val="000000"/>
          <w:spacing w:val="8"/>
          <w:szCs w:val="21"/>
          <w:highlight w:val="none"/>
          <w:u w:val="none"/>
        </w:rPr>
        <w:t xml:space="preserve">预算金额：</w:t>
      </w:r>
      <w:r>
        <w:rPr>
          <w:rFonts w:hint="eastAsia" w:ascii="宋体" w:hAnsi="宋体" w:cs="宋体"/>
          <w:color w:val="000000"/>
          <w:spacing w:val="8"/>
          <w:sz w:val="22"/>
          <w:szCs w:val="22"/>
          <w:highlight w:val="none"/>
        </w:rPr>
        <w:t xml:space="preserve">280</w:t>
      </w:r>
      <w:r>
        <w:rPr>
          <w:rFonts w:hint="eastAsia" w:ascii="Arial" w:hAnsi="Arial" w:eastAsia="宋体" w:cs="Arial"/>
          <w:color w:val="000000"/>
          <w:spacing w:val="8"/>
          <w:szCs w:val="21"/>
          <w:highlight w:val="none"/>
          <w:u w:val="none"/>
          <w:lang w:val="en-US" w:eastAsia="zh-CN"/>
        </w:rPr>
        <w:t xml:space="preserve">万元</w:t>
      </w:r>
      <w:r>
        <w:rPr>
          <w:rFonts w:ascii="Arial" w:hAnsi="Arial" w:eastAsia="宋体" w:cs="Arial"/>
          <w:color w:val="000000"/>
          <w:spacing w:val="8"/>
          <w:szCs w:val="21"/>
          <w:highlight w:val="none"/>
          <w:u w:val="none"/>
          <w:lang w:val="en-US" w:eastAsia="zh-CN"/>
        </w:rPr>
      </w:r>
      <w:r/>
    </w:p>
    <w:p>
      <w:pPr>
        <w:pStyle w:val="1055"/>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hint="eastAsia" w:ascii="Arial" w:hAnsi="Arial" w:eastAsia="宋体" w:cs="Arial"/>
          <w:color w:val="000000"/>
          <w:spacing w:val="8"/>
          <w:szCs w:val="21"/>
          <w:highlight w:val="none"/>
          <w:u w:val="none"/>
          <w:lang w:eastAsia="zh-CN"/>
        </w:rPr>
        <w:t xml:space="preserve">1.</w:t>
      </w:r>
      <w:r>
        <w:rPr>
          <w:rFonts w:hint="eastAsia" w:ascii="Arial" w:hAnsi="Arial" w:eastAsia="宋体" w:cs="Arial"/>
          <w:color w:val="000000"/>
          <w:spacing w:val="8"/>
          <w:szCs w:val="21"/>
          <w:highlight w:val="none"/>
          <w:u w:val="none"/>
          <w:lang w:val="en-US" w:eastAsia="zh-CN"/>
        </w:rPr>
        <w:t xml:space="preserve">4</w:t>
      </w:r>
      <w:r>
        <w:rPr>
          <w:rFonts w:hint="eastAsia" w:ascii="Arial" w:hAnsi="Arial" w:eastAsia="宋体" w:cs="Arial"/>
          <w:color w:val="000000"/>
          <w:spacing w:val="8"/>
          <w:szCs w:val="21"/>
          <w:highlight w:val="none"/>
          <w:u w:val="none"/>
          <w:lang w:eastAsia="zh-CN"/>
        </w:rPr>
        <w:t xml:space="preserve">最高限价：</w:t>
      </w:r>
      <w:r>
        <w:rPr>
          <w:rFonts w:hint="eastAsia" w:ascii="宋体" w:hAnsi="宋体" w:cs="宋体"/>
          <w:color w:val="000000"/>
          <w:spacing w:val="8"/>
          <w:sz w:val="22"/>
          <w:szCs w:val="22"/>
          <w:highlight w:val="none"/>
        </w:rPr>
        <w:t xml:space="preserve">275.8077</w:t>
      </w:r>
      <w:r>
        <w:rPr>
          <w:rFonts w:hint="eastAsia" w:ascii="Arial" w:hAnsi="Arial" w:eastAsia="宋体" w:cs="Arial"/>
          <w:color w:val="000000"/>
          <w:spacing w:val="8"/>
          <w:szCs w:val="21"/>
          <w:highlight w:val="none"/>
          <w:u w:val="none"/>
          <w:lang w:val="en-US" w:eastAsia="zh-CN"/>
        </w:rPr>
        <w:t xml:space="preserve">万元</w:t>
      </w:r>
      <w:r>
        <w:rPr>
          <w:rFonts w:hint="eastAsia" w:ascii="Arial" w:hAnsi="Arial" w:eastAsia="宋体" w:cs="Arial"/>
          <w:color w:val="000000"/>
          <w:spacing w:val="8"/>
          <w:szCs w:val="21"/>
          <w:highlight w:val="none"/>
          <w:u w:val="none"/>
          <w:lang w:eastAsia="zh-CN"/>
        </w:rPr>
      </w:r>
      <w:r/>
    </w:p>
    <w:p>
      <w:pPr>
        <w:pStyle w:val="1055"/>
        <w:ind w:firstLine="370"/>
        <w:spacing w:line="360" w:lineRule="auto"/>
        <w:shd w:val="clear" w:color="auto" w:fill="ffffff"/>
        <w:widowControl/>
        <w:rPr>
          <w:rFonts w:ascii="Arial" w:hAnsi="Arial" w:cs="Arial"/>
          <w:color w:val="000000"/>
          <w:spacing w:val="8"/>
          <w:szCs w:val="21"/>
          <w:highlight w:val="none"/>
          <w:u w:val="none"/>
        </w:rPr>
      </w:pPr>
      <w:r>
        <w:rPr>
          <w:rFonts w:ascii="Arial" w:hAnsi="Arial" w:cs="Arial"/>
          <w:color w:val="000000"/>
          <w:spacing w:val="8"/>
          <w:szCs w:val="21"/>
          <w:highlight w:val="none"/>
          <w:u w:val="none"/>
        </w:rPr>
        <w:t xml:space="preserve">1.</w:t>
      </w:r>
      <w:r>
        <w:rPr>
          <w:rFonts w:hint="eastAsia" w:ascii="Arial" w:hAnsi="Arial" w:cs="Arial"/>
          <w:color w:val="000000"/>
          <w:spacing w:val="8"/>
          <w:szCs w:val="21"/>
          <w:highlight w:val="none"/>
          <w:u w:val="none"/>
          <w:lang w:val="en-US" w:eastAsia="zh-CN"/>
        </w:rPr>
        <w:t xml:space="preserve">5</w:t>
      </w:r>
      <w:r>
        <w:rPr>
          <w:rFonts w:ascii="Arial" w:hAnsi="Arial" w:cs="Arial"/>
          <w:color w:val="000000"/>
          <w:spacing w:val="8"/>
          <w:szCs w:val="21"/>
          <w:highlight w:val="none"/>
          <w:u w:val="none"/>
        </w:rPr>
        <w:t xml:space="preserve">采购需求：</w:t>
      </w:r>
      <w:r>
        <w:rPr>
          <w:rFonts w:hint="eastAsia" w:ascii="Arial" w:hAnsi="Arial" w:eastAsia="宋体" w:cs="Arial"/>
          <w:color w:val="000000"/>
          <w:spacing w:val="8"/>
          <w:szCs w:val="21"/>
          <w:highlight w:val="none"/>
          <w:u w:val="none"/>
          <w:lang w:eastAsia="zh-CN"/>
        </w:rPr>
        <w:t xml:space="preserve">监测湖南路沿线地下空间结构、道路地表、管线及周边建（构）筑物，具体要求详见</w:t>
      </w:r>
      <w:r>
        <w:rPr>
          <w:rFonts w:hint="eastAsia" w:ascii="Arial" w:hAnsi="Arial" w:eastAsia="宋体" w:cs="Arial"/>
          <w:color w:val="000000"/>
          <w:spacing w:val="8"/>
          <w:szCs w:val="21"/>
          <w:highlight w:val="none"/>
          <w:u w:val="none"/>
          <w:lang w:val="en-US" w:eastAsia="zh-CN"/>
        </w:rPr>
        <w:t xml:space="preserve">磋商</w:t>
      </w:r>
      <w:r>
        <w:rPr>
          <w:rFonts w:hint="eastAsia" w:ascii="Arial" w:hAnsi="Arial" w:eastAsia="宋体" w:cs="Arial"/>
          <w:color w:val="000000"/>
          <w:spacing w:val="8"/>
          <w:szCs w:val="21"/>
          <w:highlight w:val="none"/>
          <w:u w:val="none"/>
          <w:lang w:eastAsia="zh-CN"/>
        </w:rPr>
        <w:t xml:space="preserve">文件。</w:t>
      </w:r>
      <w:r>
        <w:rPr>
          <w:rFonts w:ascii="Arial" w:hAnsi="Arial" w:cs="Arial"/>
          <w:color w:val="000000"/>
          <w:spacing w:val="8"/>
          <w:szCs w:val="21"/>
          <w:highlight w:val="none"/>
          <w:u w:val="none"/>
        </w:rPr>
      </w:r>
      <w:r/>
    </w:p>
    <w:p>
      <w:pPr>
        <w:pStyle w:val="1055"/>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6</w:t>
      </w:r>
      <w:r>
        <w:rPr>
          <w:rFonts w:ascii="Arial" w:hAnsi="Arial" w:cs="Arial"/>
          <w:color w:val="000000"/>
          <w:spacing w:val="8"/>
          <w:szCs w:val="21"/>
          <w:highlight w:val="none"/>
        </w:rPr>
        <w:t xml:space="preserve">合同履行期限：</w:t>
      </w:r>
      <w:r>
        <w:rPr>
          <w:rFonts w:hint="eastAsia" w:ascii="宋体" w:hAnsi="宋体" w:cs="宋体"/>
          <w:color w:val="000000"/>
          <w:spacing w:val="8"/>
          <w:sz w:val="22"/>
          <w:szCs w:val="22"/>
          <w:highlight w:val="none"/>
        </w:rPr>
        <w:t xml:space="preserve">湖南路道路市政设施恢复工程</w:t>
      </w:r>
      <w:r>
        <w:rPr>
          <w:rFonts w:hint="eastAsia" w:ascii="Arial" w:hAnsi="Arial" w:cs="Arial"/>
          <w:color w:val="000000"/>
          <w:spacing w:val="8"/>
          <w:szCs w:val="21"/>
          <w:highlight w:val="none"/>
          <w:lang w:val="zh-CN"/>
        </w:rPr>
        <w:t xml:space="preserve">竣工验收后两年。</w:t>
      </w:r>
      <w:r>
        <w:rPr>
          <w:rFonts w:ascii="Arial" w:hAnsi="Arial" w:eastAsia="宋体" w:cs="Arial"/>
          <w:color w:val="000000"/>
          <w:spacing w:val="8"/>
          <w:szCs w:val="21"/>
          <w:highlight w:val="none"/>
          <w:lang w:val="en-US" w:eastAsia="zh-CN"/>
        </w:rPr>
      </w:r>
      <w:r/>
    </w:p>
    <w:p>
      <w:pPr>
        <w:pStyle w:val="1055"/>
        <w:ind w:firstLine="369"/>
        <w:spacing w:line="360" w:lineRule="auto"/>
        <w:shd w:val="clear" w:color="auto" w:fill="ffffff"/>
        <w:widowControl/>
        <w:tabs>
          <w:tab w:val="center" w:pos="4253" w:leader="none"/>
        </w:tabs>
        <w:rPr>
          <w:rFonts w:ascii="Arial" w:hAnsi="Arial"/>
          <w:color w:val="000000"/>
          <w:spacing w:val="8"/>
          <w:szCs w:val="21"/>
          <w:highlight w:val="none"/>
        </w:rPr>
      </w:pPr>
      <w:r>
        <w:rPr>
          <w:rFonts w:hint="eastAsia" w:ascii="Arial" w:hAnsi="Arial"/>
          <w:color w:val="000000"/>
          <w:spacing w:val="8"/>
          <w:szCs w:val="21"/>
          <w:highlight w:val="none"/>
        </w:rPr>
        <w:t xml:space="preserve">1.7行业划分：</w:t>
      </w:r>
      <w:r>
        <w:rPr>
          <w:rFonts w:hint="eastAsia" w:ascii="宋体" w:hAnsi="宋体" w:cs="宋体"/>
          <w:color w:val="000000"/>
          <w:spacing w:val="8"/>
          <w:sz w:val="22"/>
          <w:szCs w:val="22"/>
          <w:highlight w:val="none"/>
        </w:rPr>
        <w:t xml:space="preserve">其他未列明行业。</w:t>
      </w:r>
      <w:r>
        <w:rPr>
          <w:color w:val="000000"/>
          <w:highlight w:val="none"/>
        </w:rPr>
        <w:tab/>
      </w:r>
      <w:r>
        <w:rPr>
          <w:rFonts w:ascii="Arial" w:hAnsi="Arial"/>
          <w:color w:val="000000"/>
          <w:spacing w:val="8"/>
          <w:szCs w:val="21"/>
          <w:highlight w:val="none"/>
        </w:rPr>
      </w:r>
      <w:r/>
    </w:p>
    <w:p>
      <w:pPr>
        <w:pStyle w:val="1055"/>
        <w:ind w:firstLine="369"/>
        <w:spacing w:line="360" w:lineRule="auto"/>
        <w:shd w:val="clear" w:color="auto" w:fill="ffffff"/>
        <w:widowControl/>
        <w:rPr>
          <w:rFonts w:ascii="Arial" w:hAnsi="Arial" w:eastAsia="宋体" w:cs="Arial"/>
          <w:color w:val="000000"/>
          <w:spacing w:val="8"/>
          <w:szCs w:val="21"/>
          <w:highlight w:val="none"/>
          <w:lang w:val="en-US" w:eastAsia="zh-CN"/>
        </w:rPr>
      </w:pPr>
      <w:r>
        <w:rPr>
          <w:rFonts w:hint="eastAsia" w:ascii="Arial" w:hAnsi="Arial"/>
          <w:color w:val="000000"/>
          <w:spacing w:val="8"/>
          <w:szCs w:val="21"/>
          <w:highlight w:val="none"/>
        </w:rPr>
        <w:t xml:space="preserve">1.8</w:t>
      </w:r>
      <w:r>
        <w:rPr>
          <w:rFonts w:hint="eastAsia" w:ascii="宋体" w:hAnsi="宋体" w:cs="宋体"/>
          <w:color w:val="000000"/>
          <w:spacing w:val="8"/>
          <w:sz w:val="22"/>
          <w:szCs w:val="22"/>
          <w:highlight w:val="none"/>
        </w:rPr>
        <w:t xml:space="preserve">本项目非专门面向中小企业（或监狱企业或残疾人福利性单位）采购。</w:t>
      </w:r>
      <w:r>
        <w:rPr>
          <w:rFonts w:ascii="Arial" w:hAnsi="Arial" w:eastAsia="宋体" w:cs="Arial"/>
          <w:color w:val="000000"/>
          <w:spacing w:val="8"/>
          <w:szCs w:val="21"/>
          <w:highlight w:val="none"/>
          <w:lang w:val="en-US" w:eastAsia="zh-CN"/>
        </w:rPr>
      </w:r>
      <w:r/>
    </w:p>
    <w:p>
      <w:pPr>
        <w:pStyle w:val="1055"/>
        <w:ind w:firstLine="370"/>
        <w:spacing w:line="360" w:lineRule="auto"/>
        <w:shd w:val="clear" w:color="auto" w:fill="ffffff"/>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t xml:space="preserve">1.</w:t>
      </w:r>
      <w:r>
        <w:rPr>
          <w:rFonts w:hint="eastAsia" w:ascii="Arial" w:hAnsi="Arial" w:eastAsia="宋体" w:cs="Arial"/>
          <w:color w:val="000000"/>
          <w:spacing w:val="8"/>
          <w:szCs w:val="21"/>
          <w:highlight w:val="none"/>
          <w:lang w:val="en-US" w:eastAsia="zh-CN"/>
        </w:rPr>
        <w:t xml:space="preserve">9</w:t>
      </w:r>
      <w:r>
        <w:rPr>
          <w:rFonts w:ascii="Arial" w:hAnsi="Arial" w:eastAsia="宋体" w:cs="Arial"/>
          <w:color w:val="000000"/>
          <w:spacing w:val="8"/>
          <w:szCs w:val="21"/>
          <w:highlight w:val="none"/>
        </w:rPr>
        <w:t xml:space="preserve">本项目不接受联合体</w:t>
      </w:r>
      <w:r>
        <w:rPr>
          <w:rFonts w:hint="eastAsia" w:ascii="Arial" w:hAnsi="Arial" w:eastAsia="宋体" w:cs="Arial"/>
          <w:color w:val="000000"/>
          <w:spacing w:val="8"/>
          <w:szCs w:val="21"/>
          <w:highlight w:val="none"/>
          <w:lang w:val="en-US" w:eastAsia="zh-CN"/>
        </w:rPr>
        <w:t xml:space="preserve">响应</w:t>
      </w:r>
      <w:r>
        <w:rPr>
          <w:rFonts w:ascii="Arial" w:hAnsi="Arial" w:eastAsia="宋体" w:cs="Arial"/>
          <w:color w:val="000000"/>
          <w:spacing w:val="8"/>
          <w:szCs w:val="21"/>
          <w:highlight w:val="none"/>
        </w:rPr>
        <w:t xml:space="preserve">。</w:t>
      </w:r>
      <w:r>
        <w:rPr>
          <w:rFonts w:ascii="Arial" w:hAnsi="Arial" w:eastAsia="宋体" w:cs="Arial"/>
          <w:color w:val="000000"/>
          <w:spacing w:val="8"/>
          <w:szCs w:val="21"/>
          <w:highlight w:val="none"/>
        </w:rPr>
      </w:r>
      <w:r/>
    </w:p>
    <w:p>
      <w:pPr>
        <w:pStyle w:val="1055"/>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1055"/>
        <w:spacing w:line="360" w:lineRule="auto"/>
        <w:shd w:val="clear" w:color="auto" w:fill="ffffff"/>
        <w:widowControl/>
        <w:rPr>
          <w:rFonts w:ascii="Arial" w:hAnsi="Arial" w:cs="Arial"/>
          <w:b/>
          <w:color w:val="000000"/>
          <w:spacing w:val="8"/>
          <w:sz w:val="24"/>
          <w:highlight w:val="none"/>
        </w:rPr>
        <w:outlineLvl w:val="1"/>
      </w:pPr>
      <w:r/>
      <w:bookmarkStart w:id="4" w:name="_Toc26468"/>
      <w:r/>
      <w:bookmarkStart w:id="5" w:name="_Toc1756"/>
      <w:r>
        <w:rPr>
          <w:rFonts w:ascii="Arial" w:hAnsi="Arial" w:cs="Arial"/>
          <w:b/>
          <w:color w:val="000000"/>
          <w:spacing w:val="8"/>
          <w:sz w:val="24"/>
          <w:highlight w:val="none"/>
        </w:rPr>
        <w:t xml:space="preserve">二、申请人的资格要求：</w:t>
      </w:r>
      <w:bookmarkEnd w:id="4"/>
      <w:r/>
      <w:bookmarkEnd w:id="5"/>
      <w:r>
        <w:rPr>
          <w:rFonts w:ascii="Arial" w:hAnsi="Arial" w:cs="Arial"/>
          <w:b/>
          <w:color w:val="000000"/>
          <w:spacing w:val="8"/>
          <w:sz w:val="24"/>
          <w:highlight w:val="none"/>
        </w:rPr>
      </w:r>
      <w:r/>
    </w:p>
    <w:p>
      <w:pPr>
        <w:pStyle w:val="1055"/>
        <w:ind w:firstLine="370"/>
        <w:spacing w:line="360" w:lineRule="auto"/>
        <w:shd w:val="clear" w:color="auto" w:fill="ffffff"/>
        <w:widowControl/>
        <w:rPr>
          <w:rFonts w:hint="eastAsia" w:ascii="宋体" w:hAnsi="宋体" w:cs="宋体"/>
          <w:b/>
          <w:color w:val="000000"/>
          <w:spacing w:val="8"/>
          <w:sz w:val="22"/>
          <w:szCs w:val="22"/>
          <w:highlight w:val="none"/>
        </w:rPr>
      </w:pPr>
      <w:r>
        <w:rPr>
          <w:rFonts w:hint="eastAsia" w:ascii="宋体" w:hAnsi="宋体" w:cs="宋体"/>
          <w:b/>
          <w:color w:val="000000"/>
          <w:spacing w:val="8"/>
          <w:sz w:val="22"/>
          <w:szCs w:val="22"/>
          <w:highlight w:val="none"/>
        </w:rPr>
        <w:t xml:space="preserve">2.1满足《中华人民共和国政府采购法》第二十二条规定；</w:t>
      </w:r>
      <w:r>
        <w:rPr>
          <w:rFonts w:hint="eastAsia" w:ascii="宋体" w:hAnsi="宋体" w:cs="宋体"/>
          <w:b/>
          <w:color w:val="000000"/>
          <w:spacing w:val="8"/>
          <w:sz w:val="22"/>
          <w:szCs w:val="22"/>
          <w:highlight w:val="none"/>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（1）具有独立承担民事责任的能力（提供法人或者其他组织的营业执照等；供应商为自然人的，提供其身份证）； </w:t>
      </w:r>
      <w:r>
        <w:rPr>
          <w:rFonts w:hint="eastAsia" w:ascii="宋体" w:hAnsi="宋体" w:cs="宋体"/>
          <w:color w:val="000000"/>
          <w:spacing w:val="8"/>
          <w:sz w:val="22"/>
          <w:szCs w:val="22"/>
          <w:highlight w:val="none"/>
          <w:lang w:val="zh-CN"/>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（2）具有良好的商业信誉和健全的财务会计制度（提供距</w:t>
      </w:r>
      <w:r>
        <w:rPr>
          <w:rFonts w:hint="eastAsia" w:ascii="宋体" w:hAnsi="宋体" w:cs="宋体"/>
          <w:color w:val="000000"/>
          <w:spacing w:val="8"/>
          <w:sz w:val="22"/>
          <w:szCs w:val="22"/>
          <w:highlight w:val="none"/>
        </w:rPr>
        <w:t xml:space="preserve">采购</w:t>
      </w:r>
      <w:r>
        <w:rPr>
          <w:rFonts w:hint="eastAsia" w:ascii="宋体" w:hAnsi="宋体" w:cs="宋体"/>
          <w:color w:val="000000"/>
          <w:spacing w:val="8"/>
          <w:sz w:val="22"/>
          <w:szCs w:val="22"/>
          <w:highlight w:val="none"/>
          <w:lang w:val="zh-CN"/>
        </w:rPr>
        <w:t xml:space="preserve">时间六个月内任意一月份的财务状况报告（至少包括资产负债和利润表）（成立未满三个月法人或成立未满三个月其他组织的可以不提供），或</w:t>
      </w:r>
      <w:r>
        <w:rPr>
          <w:rFonts w:hint="eastAsia" w:ascii="宋体" w:hAnsi="宋体" w:cs="宋体"/>
          <w:color w:val="000000"/>
          <w:spacing w:val="8"/>
          <w:sz w:val="22"/>
          <w:szCs w:val="22"/>
          <w:highlight w:val="none"/>
        </w:rPr>
        <w:t xml:space="preserve">采购</w:t>
      </w:r>
      <w:r>
        <w:rPr>
          <w:rFonts w:hint="eastAsia" w:ascii="宋体" w:hAnsi="宋体" w:cs="宋体"/>
          <w:color w:val="000000"/>
          <w:spacing w:val="8"/>
          <w:sz w:val="22"/>
          <w:szCs w:val="22"/>
          <w:highlight w:val="none"/>
          <w:lang w:val="zh-CN"/>
        </w:rPr>
        <w:t xml:space="preserve">截止时间前六个月内银行出具的资信证明，或2024年度或2025年度的财务报告）；</w:t>
      </w:r>
      <w:r>
        <w:rPr>
          <w:rFonts w:hint="eastAsia" w:ascii="宋体" w:hAnsi="宋体" w:cs="宋体"/>
          <w:color w:val="000000"/>
          <w:spacing w:val="8"/>
          <w:sz w:val="22"/>
          <w:szCs w:val="22"/>
          <w:highlight w:val="none"/>
          <w:lang w:val="zh-CN"/>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color w:val="000000"/>
          <w:spacing w:val="8"/>
          <w:sz w:val="22"/>
          <w:szCs w:val="22"/>
          <w:highlight w:val="none"/>
          <w:lang w:val="zh-CN"/>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（4）有依法缴纳税收和社会保障资金的良好记录（提供参加本次政府采购活动前半年内至少一个月：</w:t>
      </w:r>
      <w:r>
        <w:rPr>
          <w:rFonts w:hint="eastAsia" w:ascii="宋体" w:hAnsi="宋体" w:cs="宋体"/>
          <w:color w:val="000000"/>
          <w:spacing w:val="8"/>
          <w:sz w:val="22"/>
          <w:szCs w:val="22"/>
          <w:highlight w:val="none"/>
          <w:lang w:val="zh-CN"/>
        </w:rPr>
        <w:fldChar w:fldCharType="begin"/>
      </w:r>
      <w:r>
        <w:rPr>
          <w:rFonts w:hint="eastAsia" w:ascii="宋体" w:hAnsi="宋体" w:cs="宋体"/>
          <w:color w:val="000000"/>
          <w:spacing w:val="8"/>
          <w:sz w:val="22"/>
          <w:szCs w:val="22"/>
          <w:highlight w:val="none"/>
          <w:lang w:val="zh-CN"/>
        </w:rPr>
        <w:instrText xml:space="preserve"> EQ \o\ac(</w:instrText>
      </w:r>
      <w:r>
        <w:rPr>
          <w:rFonts w:hint="eastAsia" w:ascii="宋体" w:hAnsi="宋体" w:cs="宋体"/>
          <w:color w:val="000000"/>
          <w:spacing w:val="8"/>
          <w:position w:val="-4"/>
          <w:sz w:val="33"/>
          <w:szCs w:val="22"/>
          <w:highlight w:val="none"/>
          <w:lang w:val="zh-CN"/>
        </w:rPr>
        <w:instrText xml:space="preserve">○</w:instrText>
      </w:r>
      <w:r>
        <w:rPr>
          <w:rFonts w:hint="eastAsia" w:ascii="宋体" w:hAnsi="宋体" w:cs="宋体"/>
          <w:color w:val="000000"/>
          <w:spacing w:val="8"/>
          <w:sz w:val="22"/>
          <w:szCs w:val="22"/>
          <w:highlight w:val="none"/>
          <w:lang w:val="zh-CN"/>
        </w:rPr>
        <w:instrText xml:space="preserve">,1)</w:instrText>
      </w:r>
      <w:r>
        <w:rPr>
          <w:rFonts w:hint="eastAsia" w:ascii="宋体" w:hAnsi="宋体" w:cs="宋体"/>
          <w:color w:val="000000"/>
          <w:spacing w:val="8"/>
          <w:sz w:val="22"/>
          <w:szCs w:val="22"/>
          <w:highlight w:val="none"/>
          <w:lang w:val="zh-CN"/>
        </w:rPr>
        <w:fldChar w:fldCharType="end"/>
      </w:r>
      <w:r>
        <w:rPr>
          <w:rFonts w:hint="eastAsia" w:ascii="宋体" w:hAnsi="宋体" w:cs="宋体"/>
          <w:color w:val="000000"/>
          <w:spacing w:val="8"/>
          <w:sz w:val="22"/>
          <w:szCs w:val="22"/>
          <w:highlight w:val="none"/>
        </w:rPr>
        <w:t xml:space="preserve">提供缴纳税收的凭证</w:t>
      </w:r>
      <w:r>
        <w:rPr>
          <w:rFonts w:hint="eastAsia" w:ascii="宋体" w:hAnsi="宋体" w:cs="宋体"/>
          <w:color w:val="000000"/>
          <w:spacing w:val="8"/>
          <w:sz w:val="22"/>
          <w:szCs w:val="22"/>
          <w:highlight w:val="none"/>
          <w:lang w:val="zh-CN"/>
        </w:rPr>
        <w:t xml:space="preserve">；</w:t>
      </w:r>
      <w:r>
        <w:rPr>
          <w:rFonts w:hint="eastAsia" w:ascii="宋体" w:hAnsi="宋体" w:cs="宋体"/>
          <w:color w:val="000000"/>
          <w:spacing w:val="8"/>
          <w:sz w:val="22"/>
          <w:szCs w:val="22"/>
          <w:highlight w:val="none"/>
          <w:lang w:val="zh-CN"/>
        </w:rPr>
        <w:fldChar w:fldCharType="begin"/>
      </w:r>
      <w:r>
        <w:rPr>
          <w:rFonts w:hint="eastAsia" w:ascii="宋体" w:hAnsi="宋体" w:cs="宋体"/>
          <w:color w:val="000000"/>
          <w:spacing w:val="8"/>
          <w:sz w:val="22"/>
          <w:szCs w:val="22"/>
          <w:highlight w:val="none"/>
          <w:lang w:val="zh-CN"/>
        </w:rPr>
        <w:instrText xml:space="preserve"> EQ \o\ac(</w:instrText>
      </w:r>
      <w:r>
        <w:rPr>
          <w:rFonts w:hint="eastAsia" w:ascii="宋体" w:hAnsi="宋体" w:cs="宋体"/>
          <w:color w:val="000000"/>
          <w:spacing w:val="8"/>
          <w:position w:val="-4"/>
          <w:sz w:val="33"/>
          <w:szCs w:val="22"/>
          <w:highlight w:val="none"/>
          <w:lang w:val="zh-CN"/>
        </w:rPr>
        <w:instrText xml:space="preserve">○</w:instrText>
      </w:r>
      <w:r>
        <w:rPr>
          <w:rFonts w:hint="eastAsia" w:ascii="宋体" w:hAnsi="宋体" w:cs="宋体"/>
          <w:color w:val="000000"/>
          <w:spacing w:val="8"/>
          <w:sz w:val="22"/>
          <w:szCs w:val="22"/>
          <w:highlight w:val="none"/>
          <w:lang w:val="zh-CN"/>
        </w:rPr>
        <w:instrText xml:space="preserve">,2)</w:instrText>
      </w:r>
      <w:r>
        <w:rPr>
          <w:rFonts w:hint="eastAsia" w:ascii="宋体" w:hAnsi="宋体" w:cs="宋体"/>
          <w:color w:val="000000"/>
          <w:spacing w:val="8"/>
          <w:sz w:val="22"/>
          <w:szCs w:val="22"/>
          <w:highlight w:val="none"/>
          <w:lang w:val="zh-CN"/>
        </w:rPr>
        <w:fldChar w:fldCharType="end"/>
      </w:r>
      <w:r>
        <w:rPr>
          <w:rFonts w:hint="eastAsia" w:ascii="宋体" w:hAnsi="宋体" w:cs="宋体"/>
          <w:color w:val="000000"/>
          <w:spacing w:val="8"/>
          <w:sz w:val="22"/>
          <w:szCs w:val="22"/>
          <w:highlight w:val="none"/>
          <w:lang w:val="zh-CN"/>
        </w:rPr>
        <w:t xml:space="preserve">提供缴纳社会保险的凭据，依法享受免缴、缓缴的，提供证明材料）；</w:t>
      </w:r>
      <w:r>
        <w:rPr>
          <w:rFonts w:hint="eastAsia" w:ascii="宋体" w:hAnsi="宋体" w:cs="宋体"/>
          <w:color w:val="000000"/>
          <w:spacing w:val="8"/>
          <w:sz w:val="22"/>
          <w:szCs w:val="22"/>
          <w:highlight w:val="none"/>
          <w:lang w:val="zh-CN"/>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w:t>
      </w:r>
      <w:r>
        <w:rPr>
          <w:rFonts w:hint="eastAsia" w:ascii="宋体" w:hAnsi="宋体" w:cs="宋体"/>
          <w:color w:val="000000"/>
          <w:spacing w:val="8"/>
          <w:sz w:val="22"/>
          <w:szCs w:val="22"/>
          <w:highlight w:val="none"/>
        </w:rPr>
        <w:t xml:space="preserve">5</w:t>
      </w:r>
      <w:r>
        <w:rPr>
          <w:rFonts w:hint="eastAsia" w:ascii="宋体" w:hAnsi="宋体" w:cs="宋体"/>
          <w:color w:val="000000"/>
          <w:spacing w:val="8"/>
          <w:sz w:val="22"/>
          <w:szCs w:val="22"/>
          <w:highlight w:val="none"/>
          <w:lang w:val="zh-CN"/>
        </w:rPr>
        <w:t xml:space="preserve">）参加政府采购活动前三年内，在经营活动中没有重大违法记录（提供承诺书）；</w:t>
      </w:r>
      <w:r>
        <w:rPr>
          <w:rFonts w:hint="eastAsia" w:ascii="宋体" w:hAnsi="宋体" w:cs="宋体"/>
          <w:color w:val="000000"/>
          <w:spacing w:val="8"/>
          <w:sz w:val="22"/>
          <w:szCs w:val="22"/>
          <w:highlight w:val="none"/>
          <w:lang w:val="zh-CN"/>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lang w:val="zh-CN"/>
        </w:rPr>
        <w:t xml:space="preserve">（</w:t>
      </w:r>
      <w:r>
        <w:rPr>
          <w:rFonts w:hint="eastAsia" w:ascii="宋体" w:hAnsi="宋体" w:cs="宋体"/>
          <w:color w:val="000000"/>
          <w:spacing w:val="8"/>
          <w:sz w:val="22"/>
          <w:szCs w:val="22"/>
          <w:highlight w:val="none"/>
        </w:rPr>
        <w:t xml:space="preserve">6</w:t>
      </w:r>
      <w:r>
        <w:rPr>
          <w:rFonts w:hint="eastAsia" w:ascii="宋体" w:hAnsi="宋体" w:cs="宋体"/>
          <w:color w:val="000000"/>
          <w:spacing w:val="8"/>
          <w:sz w:val="22"/>
          <w:szCs w:val="22"/>
          <w:highlight w:val="none"/>
          <w:lang w:val="zh-CN"/>
        </w:rPr>
        <w:t xml:space="preserve">）法律、行政法规规定的其他条件：提供《南京市政府采购供应商信用记录表暨信用承诺书》</w:t>
      </w:r>
      <w:r>
        <w:rPr>
          <w:rFonts w:hint="eastAsia" w:ascii="宋体" w:hAnsi="宋体" w:cs="宋体"/>
          <w:color w:val="000000"/>
          <w:spacing w:val="8"/>
          <w:sz w:val="22"/>
          <w:szCs w:val="22"/>
          <w:highlight w:val="none"/>
        </w:rPr>
        <w:t xml:space="preserve">。</w:t>
      </w:r>
      <w:r>
        <w:rPr>
          <w:rFonts w:hint="eastAsia" w:ascii="宋体" w:hAnsi="宋体" w:cs="宋体"/>
          <w:color w:val="000000"/>
          <w:spacing w:val="8"/>
          <w:sz w:val="22"/>
          <w:szCs w:val="22"/>
          <w:highlight w:val="none"/>
        </w:rPr>
      </w:r>
      <w:r/>
    </w:p>
    <w:p>
      <w:pPr>
        <w:pStyle w:val="1055"/>
        <w:ind w:firstLine="370"/>
        <w:jc w:val="left"/>
        <w:spacing w:line="360" w:lineRule="auto"/>
        <w:shd w:val="clear" w:color="auto" w:fill="ffffff"/>
        <w:widowControl/>
        <w:rPr>
          <w:rFonts w:hint="eastAsia" w:ascii="宋体" w:hAnsi="宋体" w:cs="宋体"/>
          <w:color w:val="000000"/>
          <w:spacing w:val="8"/>
          <w:szCs w:val="21"/>
          <w:highlight w:val="none"/>
        </w:rPr>
      </w:pPr>
      <w:r>
        <w:rPr>
          <w:rFonts w:hint="eastAsia" w:ascii="宋体" w:hAnsi="宋体" w:cs="宋体"/>
          <w:color w:val="000000"/>
          <w:spacing w:val="8"/>
          <w:sz w:val="22"/>
          <w:szCs w:val="22"/>
          <w:highlight w:val="none"/>
          <w:lang w:val="zh-CN"/>
        </w:rPr>
        <w:t xml:space="preserve">2.2 落实政府采购政策需满足的资格要求：</w:t>
      </w:r>
      <w:r>
        <w:rPr>
          <w:rFonts w:hint="eastAsia" w:ascii="宋体" w:hAnsi="宋体" w:cs="宋体"/>
          <w:color w:val="000000"/>
          <w:spacing w:val="8"/>
          <w:sz w:val="22"/>
          <w:szCs w:val="22"/>
          <w:highlight w:val="none"/>
        </w:rPr>
        <w:t xml:space="preserve">无</w:t>
      </w:r>
      <w:r>
        <w:rPr>
          <w:rFonts w:hint="eastAsia" w:ascii="宋体" w:hAnsi="宋体" w:cs="宋体"/>
          <w:color w:val="000000"/>
          <w:spacing w:val="8"/>
          <w:szCs w:val="21"/>
          <w:highlight w:val="none"/>
        </w:rPr>
        <w:t xml:space="preserve">。</w:t>
      </w:r>
      <w:r>
        <w:rPr>
          <w:rFonts w:hint="eastAsia" w:ascii="宋体" w:hAnsi="宋体" w:cs="宋体"/>
          <w:color w:val="000000"/>
          <w:spacing w:val="8"/>
          <w:szCs w:val="21"/>
          <w:highlight w:val="none"/>
        </w:rPr>
      </w:r>
      <w:r/>
    </w:p>
    <w:p>
      <w:pPr>
        <w:pStyle w:val="1055"/>
        <w:ind w:firstLine="370"/>
        <w:jc w:val="left"/>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lang w:val="zh-CN"/>
        </w:rPr>
        <w:t xml:space="preserve">2.3 采购人根据采购项目的特殊要求规定的特定条件，并提供符合特殊要求的证明材料或者情况说明：</w:t>
      </w:r>
      <w:r>
        <w:rPr>
          <w:rFonts w:hint="eastAsia" w:ascii="宋体" w:hAnsi="宋体" w:cs="宋体"/>
          <w:color w:val="000000"/>
          <w:spacing w:val="8"/>
          <w:sz w:val="22"/>
          <w:szCs w:val="22"/>
          <w:highlight w:val="none"/>
        </w:rPr>
        <w:t xml:space="preserve">供应商</w:t>
      </w:r>
      <w:r>
        <w:rPr>
          <w:rFonts w:hint="eastAsia" w:ascii="宋体" w:hAnsi="宋体" w:cs="宋体"/>
          <w:color w:val="000000"/>
          <w:spacing w:val="8"/>
          <w:sz w:val="22"/>
          <w:szCs w:val="22"/>
          <w:highlight w:val="none"/>
          <w:lang w:val="zh-CN"/>
        </w:rPr>
        <w:t xml:space="preserve">须具备工程勘察综合甲级资质或工程勘察专业（含工程测量及岩土工程）甲级资质或工程勘察专业（含岩土工程）甲级资质且</w:t>
      </w:r>
      <w:r>
        <w:rPr>
          <w:rFonts w:hint="eastAsia" w:ascii="宋体" w:hAnsi="宋体" w:cs="宋体"/>
          <w:color w:val="000000"/>
          <w:spacing w:val="8"/>
          <w:sz w:val="22"/>
          <w:szCs w:val="22"/>
          <w:highlight w:val="none"/>
        </w:rPr>
        <w:t xml:space="preserve">同时</w:t>
      </w:r>
      <w:r>
        <w:rPr>
          <w:rFonts w:hint="eastAsia" w:ascii="宋体" w:hAnsi="宋体" w:cs="宋体"/>
          <w:color w:val="000000"/>
          <w:spacing w:val="8"/>
          <w:sz w:val="22"/>
          <w:szCs w:val="22"/>
          <w:highlight w:val="none"/>
          <w:lang w:val="zh-CN"/>
        </w:rPr>
        <w:t xml:space="preserve">具备测绘甲级资质（含工程测量）</w:t>
      </w:r>
      <w:r>
        <w:rPr>
          <w:rFonts w:hint="eastAsia" w:ascii="宋体" w:hAnsi="宋体" w:cs="宋体"/>
          <w:color w:val="000000"/>
          <w:spacing w:val="8"/>
          <w:sz w:val="22"/>
          <w:szCs w:val="22"/>
          <w:highlight w:val="none"/>
        </w:rPr>
        <w:t xml:space="preserve">。（证书原件扫描上传至电子投标文件中）</w:t>
      </w:r>
      <w:r>
        <w:rPr>
          <w:rFonts w:hint="eastAsia" w:ascii="宋体" w:hAnsi="宋体" w:cs="宋体"/>
          <w:color w:val="000000"/>
          <w:spacing w:val="8"/>
          <w:sz w:val="22"/>
          <w:szCs w:val="22"/>
          <w:highlight w:val="none"/>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2.</w:t>
      </w:r>
      <w:r>
        <w:rPr>
          <w:rFonts w:hint="eastAsia" w:ascii="宋体" w:hAnsi="宋体" w:cs="宋体"/>
          <w:color w:val="000000"/>
          <w:spacing w:val="8"/>
          <w:sz w:val="22"/>
          <w:szCs w:val="22"/>
          <w:highlight w:val="none"/>
        </w:rPr>
        <w:t xml:space="preserve">4</w:t>
      </w:r>
      <w:r>
        <w:rPr>
          <w:rFonts w:hint="eastAsia" w:ascii="宋体" w:hAnsi="宋体" w:cs="宋体"/>
          <w:color w:val="000000"/>
          <w:spacing w:val="8"/>
          <w:sz w:val="22"/>
          <w:szCs w:val="22"/>
          <w:highlight w:val="none"/>
          <w:lang w:val="zh-CN"/>
        </w:rPr>
        <w:t xml:space="preserve">拒绝下述供应商参加本次招标活动：</w:t>
      </w:r>
      <w:r>
        <w:rPr>
          <w:rFonts w:hint="eastAsia" w:ascii="宋体" w:hAnsi="宋体" w:cs="宋体"/>
          <w:color w:val="000000"/>
          <w:spacing w:val="8"/>
          <w:sz w:val="22"/>
          <w:szCs w:val="22"/>
          <w:highlight w:val="none"/>
          <w:lang w:val="zh-CN"/>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（1）单位负责人为同一人或者存在直接控股、管理关系的不同供应商，不得参加同一合同项下的政府采购活动。</w:t>
      </w:r>
      <w:r>
        <w:rPr>
          <w:rFonts w:hint="eastAsia" w:ascii="宋体" w:hAnsi="宋体" w:cs="宋体"/>
          <w:color w:val="000000"/>
          <w:spacing w:val="8"/>
          <w:sz w:val="22"/>
          <w:szCs w:val="22"/>
          <w:highlight w:val="none"/>
          <w:lang w:val="zh-CN"/>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（2）为采购项目提供整体设计、规范编制或者项目管理、监理、检测等服务的供应商，不得参加本项目的采购活动。</w:t>
      </w:r>
      <w:r>
        <w:rPr>
          <w:rFonts w:hint="eastAsia" w:ascii="宋体" w:hAnsi="宋体" w:cs="宋体"/>
          <w:color w:val="000000"/>
          <w:spacing w:val="8"/>
          <w:sz w:val="22"/>
          <w:szCs w:val="22"/>
          <w:highlight w:val="none"/>
          <w:lang w:val="zh-CN"/>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lang w:val="zh-CN"/>
        </w:rPr>
      </w:pPr>
      <w:r>
        <w:rPr>
          <w:rFonts w:hint="eastAsia" w:ascii="宋体" w:hAnsi="宋体" w:cs="宋体"/>
          <w:color w:val="000000"/>
          <w:spacing w:val="8"/>
          <w:sz w:val="22"/>
          <w:szCs w:val="22"/>
          <w:highlight w:val="none"/>
          <w:lang w:val="zh-CN"/>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color w:val="000000"/>
          <w:spacing w:val="8"/>
          <w:sz w:val="22"/>
          <w:szCs w:val="22"/>
          <w:highlight w:val="none"/>
          <w:lang w:val="zh-CN"/>
        </w:rPr>
      </w:r>
      <w:r/>
    </w:p>
    <w:p>
      <w:pPr>
        <w:pStyle w:val="1055"/>
        <w:ind w:firstLine="422"/>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55"/>
        <w:spacing w:line="360" w:lineRule="auto"/>
        <w:shd w:val="clear" w:color="auto" w:fill="ffffff"/>
        <w:widowControl/>
        <w:rPr>
          <w:rFonts w:ascii="Arial" w:hAnsi="Arial" w:cs="Arial"/>
          <w:b/>
          <w:color w:val="000000"/>
          <w:spacing w:val="8"/>
          <w:sz w:val="24"/>
          <w:highlight w:val="none"/>
        </w:rPr>
        <w:outlineLvl w:val="1"/>
      </w:pPr>
      <w:r/>
      <w:bookmarkStart w:id="6" w:name="_Toc5823"/>
      <w:r/>
      <w:bookmarkStart w:id="7" w:name="_Toc24617"/>
      <w:r>
        <w:rPr>
          <w:rFonts w:ascii="Arial" w:hAnsi="Arial" w:cs="Arial"/>
          <w:b/>
          <w:color w:val="000000"/>
          <w:spacing w:val="8"/>
          <w:sz w:val="24"/>
          <w:highlight w:val="none"/>
        </w:rPr>
        <w:t xml:space="preserve">三、获取采购文件</w:t>
      </w:r>
      <w:bookmarkEnd w:id="6"/>
      <w:r/>
      <w:bookmarkEnd w:id="7"/>
      <w:r>
        <w:rPr>
          <w:rFonts w:ascii="Arial" w:hAnsi="Arial" w:cs="Arial"/>
          <w:b/>
          <w:color w:val="000000"/>
          <w:spacing w:val="8"/>
          <w:sz w:val="24"/>
          <w:highlight w:val="none"/>
        </w:rPr>
      </w:r>
      <w:r/>
    </w:p>
    <w:p>
      <w:pPr>
        <w:pStyle w:val="1055"/>
        <w:ind w:firstLine="360"/>
        <w:spacing w:line="240" w:lineRule="auto"/>
        <w:shd w:val="clear" w:color="auto" w:fill="ffffff"/>
        <w:widowControl/>
        <w:rPr>
          <w:rFonts w:hint="eastAsia" w:ascii="Arial" w:hAnsi="Arial" w:eastAsia="宋体" w:cs="Arial"/>
          <w:color w:val="000000"/>
          <w:spacing w:val="8"/>
          <w:sz w:val="21"/>
          <w:szCs w:val="21"/>
          <w:highlight w:val="none"/>
          <w:lang w:val="en-US" w:eastAsia="zh-CN"/>
        </w:rPr>
      </w:pPr>
      <w:r>
        <w:rPr>
          <w:rFonts w:hint="eastAsia" w:ascii="Arial" w:hAnsi="Arial" w:cs="Arial"/>
          <w:color w:val="000000"/>
          <w:spacing w:val="8"/>
          <w:szCs w:val="21"/>
          <w:highlight w:val="none"/>
          <w:lang w:val="en-US" w:eastAsia="zh-CN"/>
        </w:rPr>
        <w:t xml:space="preserve">1.</w:t>
      </w:r>
      <w:r>
        <w:rPr>
          <w:rFonts w:ascii="Arial" w:hAnsi="Arial" w:cs="Arial"/>
          <w:color w:val="000000"/>
          <w:spacing w:val="8"/>
          <w:szCs w:val="21"/>
          <w:highlight w:val="none"/>
        </w:rPr>
        <w:t xml:space="preserve">时间：</w:t>
      </w:r>
      <w:r>
        <w:rPr>
          <w:rFonts w:hint="eastAsia" w:ascii="Arial" w:hAnsi="Arial" w:cs="Arial"/>
          <w:color w:val="000000"/>
          <w:spacing w:val="8"/>
          <w:sz w:val="21"/>
          <w:szCs w:val="21"/>
          <w:highlight w:val="none"/>
          <w:lang w:val="en-US" w:eastAsia="zh-CN"/>
        </w:rPr>
        <w:t xml:space="preserve">自竞争性磋商公告发布之日起</w:t>
      </w:r>
      <w:r>
        <w:rPr>
          <w:rFonts w:hint="eastAsia"/>
          <w:color w:val="000000"/>
          <w:spacing w:val="8"/>
          <w:szCs w:val="21"/>
          <w:highlight w:val="none"/>
        </w:rPr>
        <w:t xml:space="preserve">5个工作日</w:t>
      </w:r>
      <w:r>
        <w:rPr>
          <w:rFonts w:hint="eastAsia" w:ascii="Arial" w:hAnsi="Arial" w:eastAsia="宋体" w:cs="Arial"/>
          <w:color w:val="000000"/>
          <w:spacing w:val="8"/>
          <w:sz w:val="21"/>
          <w:szCs w:val="21"/>
          <w:highlight w:val="none"/>
          <w:lang w:val="en-US" w:eastAsia="zh-CN"/>
        </w:rPr>
      </w:r>
      <w:r/>
    </w:p>
    <w:p>
      <w:pPr>
        <w:pStyle w:val="1055"/>
        <w:ind w:firstLine="360"/>
        <w:spacing w:line="360" w:lineRule="auto"/>
        <w:shd w:val="clear" w:color="auto" w:fill="ffffff"/>
        <w:widowControl/>
        <w:rPr>
          <w:rFonts w:ascii="Arial" w:hAnsi="Arial" w:eastAsia="宋体" w:cs="Arial"/>
          <w:color w:val="000000"/>
          <w:spacing w:val="8"/>
          <w:szCs w:val="21"/>
          <w:highlight w:val="none"/>
          <w:lang w:val="en-US" w:eastAsia="zh-CN"/>
        </w:rPr>
      </w:pPr>
      <w:r/>
      <w:bookmarkStart w:id="8" w:name="_Toc1456"/>
      <w:r/>
      <w:bookmarkStart w:id="9" w:name="_Toc21817"/>
      <w:r>
        <w:rPr>
          <w:rFonts w:hint="eastAsia" w:ascii="Arial" w:hAnsi="Arial" w:eastAsia="宋体" w:cs="Arial"/>
          <w:color w:val="000000"/>
          <w:spacing w:val="8"/>
          <w:szCs w:val="21"/>
          <w:highlight w:val="none"/>
          <w:lang w:val="en-US" w:eastAsia="zh-CN"/>
        </w:rPr>
        <w:t xml:space="preserve">2.地点：江苏政府采购网</w:t>
      </w:r>
      <w:r>
        <w:rPr>
          <w:rFonts w:ascii="Arial" w:hAnsi="Arial" w:eastAsia="宋体" w:cs="Arial"/>
          <w:color w:val="000000"/>
          <w:spacing w:val="8"/>
          <w:szCs w:val="21"/>
          <w:highlight w:val="none"/>
          <w:lang w:val="en-US" w:eastAsia="zh-CN"/>
        </w:rPr>
      </w:r>
      <w:r/>
    </w:p>
    <w:p>
      <w:pPr>
        <w:pStyle w:val="1055"/>
        <w:ind w:firstLine="360"/>
        <w:spacing w:line="360" w:lineRule="auto"/>
        <w:shd w:val="clear" w:color="auto" w:fill="ffffff"/>
        <w:widowControl/>
        <w:rPr>
          <w:rFonts w:hint="eastAsia"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lang w:val="en-US" w:eastAsia="zh-CN"/>
        </w:rPr>
        <w:t xml:space="preserve">3.</w:t>
      </w:r>
      <w:r>
        <w:rPr>
          <w:rFonts w:hint="eastAsia" w:ascii="Arial" w:hAnsi="Arial" w:cs="Arial"/>
          <w:color w:val="000000"/>
          <w:szCs w:val="21"/>
          <w:highlight w:val="none"/>
          <w:lang w:val="en-US" w:eastAsia="zh-CN"/>
        </w:rPr>
        <w:t xml:space="preserve">获取方式：网上下载</w:t>
      </w:r>
      <w:r>
        <w:rPr>
          <w:rFonts w:hint="eastAsia" w:ascii="Arial" w:hAnsi="Arial" w:cs="Arial"/>
          <w:color w:val="000000"/>
          <w:szCs w:val="21"/>
          <w:highlight w:val="none"/>
        </w:rPr>
        <w:t xml:space="preserve"> </w:t>
      </w:r>
      <w:r>
        <w:rPr>
          <w:rFonts w:hint="eastAsia" w:ascii="Arial" w:hAnsi="Arial" w:eastAsia="宋体" w:cs="Arial"/>
          <w:color w:val="000000"/>
          <w:spacing w:val="8"/>
          <w:szCs w:val="21"/>
          <w:highlight w:val="none"/>
          <w:lang w:val="en-US" w:eastAsia="zh-CN"/>
        </w:rPr>
      </w:r>
      <w:r/>
    </w:p>
    <w:p>
      <w:pPr>
        <w:pStyle w:val="1055"/>
        <w:spacing w:line="360" w:lineRule="auto"/>
        <w:shd w:val="clear" w:color="auto" w:fill="ffffff"/>
        <w:widowControl/>
        <w:rPr>
          <w:rFonts w:ascii="Arial" w:hAnsi="Arial" w:cs="Arial"/>
          <w:b/>
          <w:color w:val="000000"/>
          <w:spacing w:val="8"/>
          <w:sz w:val="24"/>
          <w:highlight w:val="none"/>
        </w:rPr>
        <w:outlineLvl w:val="1"/>
      </w:pPr>
      <w:r>
        <w:rPr>
          <w:rFonts w:ascii="Arial" w:hAnsi="Arial" w:cs="Arial"/>
          <w:b/>
          <w:color w:val="000000"/>
          <w:spacing w:val="8"/>
          <w:sz w:val="24"/>
          <w:highlight w:val="none"/>
        </w:rPr>
      </w:r>
      <w:r/>
    </w:p>
    <w:p>
      <w:pPr>
        <w:pStyle w:val="1055"/>
        <w:spacing w:line="360" w:lineRule="auto"/>
        <w:shd w:val="clear" w:color="auto" w:fill="ffffff"/>
        <w:widowControl/>
        <w:rPr>
          <w:rFonts w:ascii="Arial" w:hAnsi="Arial" w:cs="Arial"/>
          <w:b/>
          <w:color w:val="000000"/>
          <w:spacing w:val="8"/>
          <w:sz w:val="24"/>
          <w:highlight w:val="none"/>
        </w:rPr>
        <w:outlineLvl w:val="1"/>
      </w:pPr>
      <w:r>
        <w:rPr>
          <w:rFonts w:ascii="Arial" w:hAnsi="Arial" w:cs="Arial"/>
          <w:b/>
          <w:color w:val="000000"/>
          <w:spacing w:val="8"/>
          <w:sz w:val="24"/>
          <w:highlight w:val="none"/>
        </w:rPr>
        <w:t xml:space="preserve">四、响应文件提交</w:t>
      </w:r>
      <w:bookmarkEnd w:id="8"/>
      <w:r/>
      <w:bookmarkEnd w:id="9"/>
      <w:r>
        <w:rPr>
          <w:rFonts w:ascii="Arial" w:hAnsi="Arial" w:cs="Arial"/>
          <w:b/>
          <w:color w:val="000000"/>
          <w:spacing w:val="8"/>
          <w:sz w:val="24"/>
          <w:highlight w:val="none"/>
        </w:rPr>
      </w:r>
      <w:r/>
    </w:p>
    <w:p>
      <w:pPr>
        <w:pStyle w:val="1055"/>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4.1 截止时间：</w:t>
      </w:r>
      <w:r>
        <w:rPr>
          <w:rFonts w:hint="eastAsia" w:ascii="Arial" w:hAnsi="Arial" w:cs="Arial"/>
          <w:iCs/>
          <w:color w:val="000000"/>
          <w:spacing w:val="8"/>
          <w:szCs w:val="21"/>
          <w:highlight w:val="none"/>
          <w:lang w:val="en-US" w:eastAsia="zh-CN"/>
        </w:rPr>
        <w:t xml:space="preserve">2026年7月21日</w:t>
      </w:r>
      <w:r>
        <w:rPr>
          <w:rFonts w:hint="eastAsia" w:ascii="Arial" w:hAnsi="Arial" w:cs="Arial"/>
          <w:iCs/>
          <w:color w:val="000000"/>
          <w:spacing w:val="8"/>
          <w:szCs w:val="21"/>
          <w:highlight w:val="none"/>
          <w:lang w:val="en-US" w:eastAsia="zh-CN"/>
        </w:rPr>
        <w:t xml:space="preserve">09点00分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1055"/>
        <w:ind w:firstLine="420"/>
        <w:spacing w:line="360" w:lineRule="auto"/>
        <w:rPr>
          <w:rFonts w:hint="eastAsia" w:ascii="Arial" w:hAnsi="Arial" w:eastAsia="宋体" w:cs="Arial"/>
          <w:color w:val="000000"/>
          <w:spacing w:val="8"/>
          <w:szCs w:val="21"/>
          <w:highlight w:val="none"/>
          <w:lang w:val="en-US" w:eastAsia="zh-CN"/>
        </w:rPr>
      </w:pPr>
      <w:r>
        <w:rPr>
          <w:rFonts w:ascii="Arial" w:hAnsi="Arial" w:cs="Arial"/>
          <w:color w:val="000000"/>
          <w:szCs w:val="21"/>
          <w:highlight w:val="none"/>
        </w:rPr>
        <w:t xml:space="preserve">4.2 地点：</w:t>
      </w:r>
      <w:r>
        <w:rPr>
          <w:rFonts w:hint="eastAsia" w:ascii="Arial" w:hAnsi="Arial" w:cs="Arial"/>
          <w:color w:val="000000"/>
          <w:szCs w:val="21"/>
          <w:highlight w:val="none"/>
          <w:lang w:val="en-US" w:eastAsia="zh-CN"/>
        </w:rPr>
        <w:t xml:space="preserve">江苏省政府采购管理交易系统</w:t>
      </w:r>
      <w:r>
        <w:rPr>
          <w:rFonts w:hint="eastAsia" w:ascii="Arial" w:hAnsi="Arial"/>
          <w:color w:val="000000"/>
          <w:spacing w:val="8"/>
          <w:szCs w:val="21"/>
          <w:highlight w:val="none"/>
          <w:lang w:eastAsia="zh-CN"/>
        </w:rPr>
        <w:t xml:space="preserve">（</w:t>
      </w:r>
      <w:r>
        <w:rPr>
          <w:rFonts w:hint="eastAsia" w:ascii="Arial" w:hAnsi="Arial"/>
          <w:color w:val="000000"/>
          <w:spacing w:val="8"/>
          <w:szCs w:val="21"/>
          <w:highlight w:val="none"/>
        </w:rPr>
        <w:t xml:space="preserve">苏采云</w:t>
      </w:r>
      <w:r>
        <w:rPr>
          <w:rFonts w:hint="eastAsia" w:ascii="Arial" w:hAnsi="Arial"/>
          <w:color w:val="000000"/>
          <w:spacing w:val="8"/>
          <w:szCs w:val="21"/>
          <w:highlight w:val="none"/>
          <w:lang w:eastAsia="zh-CN"/>
        </w:rPr>
        <w:t xml:space="preserve">）</w:t>
      </w:r>
      <w:r>
        <w:rPr>
          <w:rFonts w:hint="eastAsia" w:ascii="Arial" w:hAnsi="Arial" w:eastAsia="宋体" w:cs="Arial"/>
          <w:color w:val="000000"/>
          <w:spacing w:val="8"/>
          <w:szCs w:val="21"/>
          <w:highlight w:val="none"/>
          <w:lang w:val="en-US" w:eastAsia="zh-CN"/>
        </w:rPr>
      </w:r>
      <w:r/>
    </w:p>
    <w:p>
      <w:pPr>
        <w:pStyle w:val="1055"/>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pStyle w:val="1055"/>
        <w:spacing w:line="360" w:lineRule="auto"/>
        <w:shd w:val="clear" w:color="auto" w:fill="ffffff"/>
        <w:widowControl/>
        <w:rPr>
          <w:rFonts w:ascii="Arial" w:hAnsi="Arial" w:cs="Arial"/>
          <w:b/>
          <w:color w:val="000000"/>
          <w:spacing w:val="8"/>
          <w:sz w:val="24"/>
          <w:highlight w:val="none"/>
        </w:rPr>
        <w:outlineLvl w:val="1"/>
      </w:pPr>
      <w:r/>
      <w:bookmarkStart w:id="10" w:name="_Toc22940"/>
      <w:r/>
      <w:bookmarkStart w:id="11" w:name="_Toc21891"/>
      <w:r>
        <w:rPr>
          <w:rFonts w:ascii="Arial" w:hAnsi="Arial" w:cs="Arial"/>
          <w:b/>
          <w:color w:val="000000"/>
          <w:spacing w:val="8"/>
          <w:sz w:val="24"/>
          <w:highlight w:val="none"/>
        </w:rPr>
        <w:t xml:space="preserve">五、开启</w:t>
      </w:r>
      <w:bookmarkEnd w:id="10"/>
      <w:r/>
      <w:bookmarkEnd w:id="11"/>
      <w:r>
        <w:rPr>
          <w:rFonts w:ascii="Arial" w:hAnsi="Arial" w:cs="Arial"/>
          <w:b/>
          <w:color w:val="000000"/>
          <w:spacing w:val="8"/>
          <w:sz w:val="24"/>
          <w:highlight w:val="none"/>
        </w:rPr>
      </w:r>
      <w:r/>
    </w:p>
    <w:p>
      <w:pPr>
        <w:pStyle w:val="1055"/>
        <w:ind w:firstLine="420"/>
        <w:spacing w:line="240" w:lineRule="auto"/>
        <w:rPr>
          <w:rFonts w:ascii="Arial" w:hAnsi="Arial" w:cs="Arial"/>
          <w:color w:val="000000"/>
          <w:spacing w:val="8"/>
          <w:szCs w:val="21"/>
          <w:highlight w:val="none"/>
        </w:rPr>
      </w:pPr>
      <w:r>
        <w:rPr>
          <w:rFonts w:ascii="Arial" w:hAnsi="Arial" w:cs="Arial"/>
          <w:color w:val="000000"/>
          <w:szCs w:val="21"/>
          <w:highlight w:val="none"/>
        </w:rPr>
        <w:t xml:space="preserve">5.1 时间</w:t>
      </w:r>
      <w:r>
        <w:rPr>
          <w:rFonts w:ascii="Arial" w:hAnsi="Arial" w:cs="Arial"/>
          <w:color w:val="000000"/>
          <w:szCs w:val="21"/>
          <w:highlight w:val="none"/>
        </w:rPr>
        <w:t xml:space="preserve">：</w:t>
      </w:r>
      <w:r>
        <w:rPr>
          <w:rFonts w:hint="eastAsia" w:ascii="Arial" w:hAnsi="Arial" w:cs="Arial"/>
          <w:iCs/>
          <w:color w:val="000000"/>
          <w:spacing w:val="8"/>
          <w:szCs w:val="21"/>
          <w:highlight w:val="none"/>
          <w:lang w:val="en-US" w:eastAsia="zh-CN"/>
        </w:rPr>
        <w:t xml:space="preserve">2026年7月21日</w:t>
      </w:r>
      <w:r>
        <w:rPr>
          <w:rFonts w:hint="eastAsia" w:ascii="Arial" w:hAnsi="Arial" w:cs="Arial"/>
          <w:iCs/>
          <w:color w:val="000000"/>
          <w:spacing w:val="8"/>
          <w:szCs w:val="21"/>
          <w:highlight w:val="none"/>
          <w:lang w:val="en-US" w:eastAsia="zh-CN"/>
        </w:rPr>
        <w:t xml:space="preserve">09点00分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1055"/>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5.2 地点：</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lang w:val="en-US" w:eastAsia="zh-CN"/>
        </w:rPr>
        <w:t xml:space="preserve">苏采云</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网上开标大厅</w:t>
      </w:r>
      <w:r>
        <w:rPr>
          <w:rFonts w:ascii="Arial" w:hAnsi="Arial" w:cs="Arial"/>
          <w:color w:val="000000"/>
          <w:spacing w:val="8"/>
          <w:szCs w:val="21"/>
          <w:highlight w:val="none"/>
        </w:rPr>
      </w:r>
      <w:r/>
    </w:p>
    <w:p>
      <w:pPr>
        <w:pStyle w:val="1055"/>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pStyle w:val="1055"/>
        <w:spacing w:line="360" w:lineRule="auto"/>
        <w:shd w:val="clear" w:color="auto" w:fill="ffffff"/>
        <w:widowControl/>
        <w:rPr>
          <w:rFonts w:ascii="Arial" w:hAnsi="Arial" w:eastAsia="宋体" w:cs="Arial"/>
          <w:b/>
          <w:color w:val="000000"/>
          <w:spacing w:val="8"/>
          <w:sz w:val="24"/>
          <w:highlight w:val="none"/>
          <w:lang w:val="en-US" w:eastAsia="zh-CN"/>
        </w:rPr>
        <w:outlineLvl w:val="1"/>
      </w:pPr>
      <w:r/>
      <w:bookmarkStart w:id="12" w:name="_Toc26308"/>
      <w:r/>
      <w:bookmarkStart w:id="13" w:name="_Toc23729"/>
      <w:r>
        <w:rPr>
          <w:rFonts w:ascii="Arial" w:hAnsi="Arial" w:cs="Arial"/>
          <w:b/>
          <w:color w:val="000000"/>
          <w:spacing w:val="8"/>
          <w:sz w:val="24"/>
          <w:highlight w:val="none"/>
        </w:rPr>
        <w:t xml:space="preserve">六、公告期限</w:t>
      </w:r>
      <w:bookmarkEnd w:id="12"/>
      <w:r/>
      <w:bookmarkEnd w:id="13"/>
      <w:r>
        <w:rPr>
          <w:rFonts w:hint="eastAsia" w:ascii="Arial" w:hAnsi="Arial" w:cs="Arial"/>
          <w:b/>
          <w:color w:val="000000"/>
          <w:spacing w:val="8"/>
          <w:sz w:val="24"/>
          <w:highlight w:val="none"/>
          <w:lang w:val="en-US" w:eastAsia="zh-CN"/>
        </w:rPr>
        <w:t xml:space="preserve">  </w:t>
      </w:r>
      <w:r>
        <w:rPr>
          <w:rFonts w:ascii="Arial" w:hAnsi="Arial" w:eastAsia="宋体" w:cs="Arial"/>
          <w:b/>
          <w:color w:val="000000"/>
          <w:spacing w:val="8"/>
          <w:sz w:val="24"/>
          <w:highlight w:val="none"/>
          <w:lang w:val="en-US" w:eastAsia="zh-CN"/>
        </w:rPr>
      </w:r>
      <w:r/>
    </w:p>
    <w:p>
      <w:pPr>
        <w:pStyle w:val="1055"/>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自本公告发布之日起3个工作日。</w:t>
      </w:r>
      <w:r>
        <w:rPr>
          <w:rFonts w:ascii="Arial" w:hAnsi="Arial" w:cs="Arial"/>
          <w:color w:val="000000"/>
          <w:spacing w:val="8"/>
          <w:szCs w:val="21"/>
          <w:highlight w:val="none"/>
        </w:rPr>
      </w:r>
      <w:r/>
    </w:p>
    <w:p>
      <w:pPr>
        <w:pStyle w:val="1055"/>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1055"/>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14" w:name="_Toc29605"/>
      <w:r/>
      <w:bookmarkStart w:id="15" w:name="_Toc11013"/>
      <w:r>
        <w:rPr>
          <w:rFonts w:ascii="Arial" w:hAnsi="Arial" w:cs="Arial"/>
          <w:b/>
          <w:color w:val="000000"/>
          <w:spacing w:val="8"/>
          <w:sz w:val="24"/>
          <w:highlight w:val="none"/>
        </w:rPr>
        <w:t xml:space="preserve">七、其他补充事宜</w:t>
      </w:r>
      <w:bookmarkEnd w:id="14"/>
      <w:r/>
      <w:bookmarkEnd w:id="15"/>
      <w:r>
        <w:rPr>
          <w:rFonts w:ascii="Arial" w:hAnsi="Arial" w:cs="Arial"/>
          <w:b/>
          <w:color w:val="000000"/>
          <w:spacing w:val="8"/>
          <w:sz w:val="24"/>
          <w:highlight w:val="none"/>
        </w:rPr>
      </w:r>
      <w:r/>
    </w:p>
    <w:p>
      <w:pPr>
        <w:pStyle w:val="105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1.本项目在</w:t>
      </w:r>
      <w:r>
        <w:rPr>
          <w:rFonts w:hint="eastAsia" w:ascii="宋体" w:hAnsi="宋体" w:eastAsia="宋体" w:cs="宋体"/>
          <w:color w:val="000000"/>
          <w:sz w:val="21"/>
          <w:szCs w:val="21"/>
          <w:highlight w:val="none"/>
          <w:lang w:val="zh-CN" w:eastAsia="zh-CN"/>
        </w:rPr>
        <w:t xml:space="preserve">南京公共采购信息网</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江苏政府采购网、</w:t>
      </w:r>
      <w:r>
        <w:rPr>
          <w:rFonts w:hint="eastAsia" w:ascii="宋体" w:hAnsi="宋体" w:eastAsia="宋体" w:cs="宋体"/>
          <w:color w:val="000000"/>
          <w:sz w:val="21"/>
          <w:szCs w:val="21"/>
          <w:highlight w:val="none"/>
          <w:lang w:val="en-US" w:eastAsia="zh-CN"/>
        </w:rPr>
        <w:t xml:space="preserve">中国政府采购网网站发布公告。</w:t>
      </w:r>
      <w:r>
        <w:rPr>
          <w:rFonts w:hint="eastAsia" w:ascii="宋体" w:hAnsi="宋体" w:eastAsia="宋体" w:cs="宋体"/>
          <w:color w:val="000000"/>
          <w:sz w:val="21"/>
          <w:szCs w:val="21"/>
          <w:highlight w:val="none"/>
          <w:lang w:val="en-US" w:eastAsia="zh-CN"/>
        </w:rPr>
      </w:r>
      <w:r/>
    </w:p>
    <w:p>
      <w:pPr>
        <w:pStyle w:val="105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 勘察现场或答疑：不集中组织。</w:t>
      </w:r>
      <w:r>
        <w:rPr>
          <w:rFonts w:hint="eastAsia" w:ascii="宋体" w:hAnsi="宋体" w:eastAsia="宋体" w:cs="宋体"/>
          <w:color w:val="000000"/>
          <w:sz w:val="21"/>
          <w:szCs w:val="21"/>
          <w:highlight w:val="none"/>
          <w:lang w:val="en-US" w:eastAsia="zh-CN"/>
        </w:rPr>
      </w:r>
      <w:r/>
    </w:p>
    <w:p>
      <w:pPr>
        <w:pStyle w:val="105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操作手册下载地址：http://www.ccgp-jiangsu.gov.cn/jiangsu/zlxz/ee/ee3a4bc5a3454aa2b0d9312230633ce9.html</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首次登录“苏采云”系统的新用户，登录网址后，点击“用户注册”--“新CA办理指南”--获取CA后绑定、登录系统--采购项目参与--下载采购文件（文件后缀名为“.kedt”）。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“苏采云”南京地区客服热线025-83633744、025-83633743。</w:t>
      </w:r>
      <w:r>
        <w:rPr>
          <w:rFonts w:hint="eastAsia" w:ascii="宋体" w:hAnsi="宋体" w:eastAsia="宋体" w:cs="宋体"/>
          <w:color w:val="000000"/>
          <w:sz w:val="21"/>
          <w:szCs w:val="21"/>
          <w:highlight w:val="none"/>
          <w:lang w:val="en-US" w:eastAsia="zh-CN"/>
        </w:rPr>
      </w:r>
      <w:r/>
    </w:p>
    <w:p>
      <w:pPr>
        <w:pStyle w:val="1055"/>
        <w:ind w:firstLine="420"/>
        <w:spacing w:line="440" w:lineRule="exact"/>
        <w:rPr>
          <w:rFonts w:ascii="Arial" w:hAnsi="Arial"/>
          <w:bCs/>
          <w:color w:val="000000"/>
          <w:szCs w:val="21"/>
          <w:highlight w:val="none"/>
        </w:rPr>
      </w:pP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4. 政府采购信用承诺</w:t>
      </w:r>
      <w:r>
        <w:rPr>
          <w:rFonts w:ascii="Arial" w:hAnsi="Arial"/>
          <w:bCs/>
          <w:color w:val="000000"/>
          <w:szCs w:val="21"/>
          <w:highlight w:val="none"/>
        </w:rPr>
      </w:r>
      <w:r/>
    </w:p>
    <w:p>
      <w:pPr>
        <w:pStyle w:val="1055"/>
        <w:ind w:firstLine="420"/>
        <w:jc w:val="left"/>
        <w:spacing w:line="440" w:lineRule="exact"/>
        <w:rPr>
          <w:rFonts w:ascii="Arial" w:hAnsi="Arial"/>
          <w:bCs/>
          <w:color w:val="000000"/>
          <w:szCs w:val="21"/>
          <w:highlight w:val="none"/>
        </w:rPr>
      </w:pPr>
      <w:r>
        <w:rPr>
          <w:rFonts w:ascii="Arial" w:hAnsi="Arial"/>
          <w:bCs/>
          <w:color w:val="000000"/>
          <w:szCs w:val="21"/>
          <w:highlight w:val="none"/>
        </w:rPr>
        <w:t xml:space="preserve">根</w:t>
      </w:r>
      <w:r>
        <w:rPr>
          <w:rFonts w:hint="eastAsia" w:ascii="Arial" w:hAnsi="Arial"/>
          <w:bCs/>
          <w:color w:val="000000"/>
          <w:szCs w:val="21"/>
          <w:highlight w:val="none"/>
        </w:rPr>
        <w:t xml:space="preserve">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Arial" w:hAnsi="Arial"/>
          <w:bCs/>
          <w:color w:val="000000"/>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在政府采购资格审查环节，供应商只需提供书面《南京市政府采购供应商信用记录表暨信用承诺书》，即可替代以下证明材料：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（1）符合国家相关规定的财务状况报告；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（2）依法缴纳税收的证明材料；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（3）依法缴纳社会保障资金的证明材料；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（4）具备履行政府采购合同所必需的设备和专业技术能力的证明材料；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（5）参加政府采购活动前三年内在经营活动中没有重大违法记录的证明材料；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（6）未被列入失信被执行人、重大税收违法失信主体、政府采购严重违法失信行为记录名单的证明材料。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供应商涉及以下情形的，不适用信用承诺：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（1）供应商被列入严重失信主体名单；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（2）被相关监管部门作出行政处罚且尚在处罚有效期内； </w:t>
      </w:r>
      <w:r>
        <w:rPr>
          <w:rFonts w:ascii="Arial" w:hAnsi="Arial"/>
          <w:bCs/>
          <w:color w:val="000000"/>
          <w:szCs w:val="21"/>
          <w:highlight w:val="none"/>
        </w:rPr>
      </w:r>
      <w:r/>
    </w:p>
    <w:p>
      <w:pPr>
        <w:pStyle w:val="1055"/>
        <w:ind w:firstLine="420"/>
        <w:spacing w:line="440" w:lineRule="exact"/>
        <w:rPr>
          <w:rFonts w:ascii="Arial" w:hAnsi="Arial"/>
          <w:bCs/>
          <w:color w:val="000000"/>
          <w:szCs w:val="21"/>
          <w:highlight w:val="none"/>
        </w:rPr>
      </w:pPr>
      <w:r>
        <w:rPr>
          <w:rFonts w:hint="eastAsia" w:ascii="Arial" w:hAnsi="Arial"/>
          <w:bCs/>
          <w:color w:val="000000"/>
          <w:szCs w:val="21"/>
          <w:highlight w:val="none"/>
        </w:rPr>
        <w:t xml:space="preserve">（3）其他法律、行政法规规定的不适用信用承诺的情形。 </w:t>
      </w:r>
      <w:r>
        <w:rPr>
          <w:rFonts w:ascii="Arial" w:hAnsi="Arial"/>
          <w:bCs/>
          <w:color w:val="000000"/>
          <w:szCs w:val="21"/>
          <w:highlight w:val="none"/>
        </w:rPr>
      </w:r>
      <w:r/>
    </w:p>
    <w:p>
      <w:pPr>
        <w:pStyle w:val="1055"/>
        <w:ind w:firstLine="424"/>
        <w:spacing w:line="360" w:lineRule="auto"/>
        <w:rPr>
          <w:rFonts w:ascii="Arial" w:hAnsi="Arial"/>
          <w:bCs/>
          <w:color w:val="000000"/>
          <w:szCs w:val="21"/>
          <w:highlight w:val="none"/>
        </w:rPr>
      </w:pPr>
      <w:r>
        <w:rPr>
          <w:rFonts w:hint="eastAsia" w:ascii="Arial" w:hAnsi="Arial"/>
          <w:bCs/>
          <w:color w:val="000000"/>
          <w:szCs w:val="21"/>
          <w:highlight w:val="none"/>
        </w:rPr>
        <w:t xml:space="preserve">供应商对信用承诺内容的真实性、合法性、有效性负责。如作出虚假信用承诺，视同为“提供虚假材料谋取中标、成交”的违法行为。</w:t>
      </w:r>
      <w:r>
        <w:rPr>
          <w:rFonts w:ascii="Arial" w:hAnsi="Arial"/>
          <w:bCs/>
          <w:color w:val="000000"/>
          <w:szCs w:val="21"/>
          <w:highlight w:val="none"/>
        </w:rPr>
      </w:r>
      <w:r/>
    </w:p>
    <w:p>
      <w:pPr>
        <w:pStyle w:val="1146"/>
        <w:rPr>
          <w:color w:val="000000"/>
          <w:highlight w:val="none"/>
        </w:rPr>
      </w:pPr>
      <w:r>
        <w:rPr>
          <w:color w:val="000000"/>
          <w:highlight w:val="none"/>
        </w:rPr>
      </w:r>
      <w:r/>
    </w:p>
    <w:p>
      <w:pPr>
        <w:pStyle w:val="1055"/>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16" w:name="_Toc18338"/>
      <w:r/>
      <w:bookmarkStart w:id="17" w:name="_Toc7011"/>
      <w:r>
        <w:rPr>
          <w:rFonts w:ascii="Arial" w:hAnsi="Arial" w:cs="Arial"/>
          <w:b/>
          <w:color w:val="000000"/>
          <w:spacing w:val="8"/>
          <w:sz w:val="24"/>
          <w:highlight w:val="none"/>
        </w:rPr>
        <w:t xml:space="preserve">八、对本次采购提出询问，请按以下方式联系。</w:t>
      </w:r>
      <w:bookmarkEnd w:id="16"/>
      <w:r/>
      <w:bookmarkEnd w:id="17"/>
      <w:r>
        <w:rPr>
          <w:rFonts w:ascii="Arial" w:hAnsi="Arial" w:cs="Arial"/>
          <w:b/>
          <w:color w:val="000000"/>
          <w:spacing w:val="8"/>
          <w:sz w:val="24"/>
          <w:highlight w:val="none"/>
        </w:rPr>
      </w:r>
      <w:r/>
    </w:p>
    <w:p>
      <w:pPr>
        <w:pStyle w:val="1055"/>
        <w:ind w:firstLine="452"/>
        <w:spacing w:line="360" w:lineRule="auto"/>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8.1采购人信息</w:t>
      </w:r>
      <w:r>
        <w:rPr>
          <w:rFonts w:hint="eastAsia" w:ascii="宋体" w:hAnsi="宋体" w:cs="宋体"/>
          <w:color w:val="000000"/>
          <w:spacing w:val="8"/>
          <w:sz w:val="22"/>
          <w:szCs w:val="22"/>
          <w:highlight w:val="none"/>
        </w:rPr>
      </w:r>
      <w:r/>
    </w:p>
    <w:p>
      <w:pPr>
        <w:pStyle w:val="1055"/>
        <w:ind w:firstLine="420"/>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名称：南京湖南路山西路地区管理委员会</w:t>
      </w:r>
      <w:r>
        <w:rPr>
          <w:rFonts w:hint="eastAsia" w:ascii="宋体" w:hAnsi="宋体" w:cs="宋体"/>
          <w:color w:val="000000"/>
          <w:spacing w:val="8"/>
          <w:sz w:val="22"/>
          <w:szCs w:val="22"/>
          <w:highlight w:val="none"/>
        </w:rPr>
      </w:r>
      <w:r/>
    </w:p>
    <w:p>
      <w:pPr>
        <w:pStyle w:val="1055"/>
        <w:ind w:firstLine="420"/>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地址：南京市鼓楼区湖北路90号</w:t>
      </w:r>
      <w:r>
        <w:rPr>
          <w:rFonts w:hint="eastAsia" w:ascii="宋体" w:hAnsi="宋体" w:cs="宋体"/>
          <w:color w:val="000000"/>
          <w:spacing w:val="8"/>
          <w:sz w:val="22"/>
          <w:szCs w:val="22"/>
          <w:highlight w:val="none"/>
        </w:rPr>
      </w:r>
      <w:r/>
    </w:p>
    <w:p>
      <w:pPr>
        <w:pStyle w:val="1055"/>
        <w:ind w:firstLine="420"/>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联系方式</w:t>
      </w:r>
      <w:r>
        <w:rPr>
          <w:rFonts w:hint="eastAsia" w:ascii="宋体" w:hAnsi="宋体" w:eastAsia="宋体" w:cs="宋体"/>
          <w:color w:val="000000"/>
          <w:spacing w:val="8"/>
          <w:sz w:val="22"/>
          <w:szCs w:val="22"/>
          <w:highlight w:val="none"/>
        </w:rPr>
        <w:t xml:space="preserve">：熊科  025-</w:t>
      </w:r>
      <w:r>
        <w:rPr>
          <w:rFonts w:hint="eastAsia" w:ascii="宋体" w:hAnsi="宋体" w:eastAsia="宋体" w:cs="宋体"/>
          <w:color w:val="000000"/>
          <w:spacing w:val="8"/>
          <w:sz w:val="22"/>
          <w:szCs w:val="22"/>
          <w:highlight w:val="none"/>
          <w:lang w:val="en-US" w:eastAsia="zh-CN"/>
        </w:rPr>
        <w:t xml:space="preserve">83130990</w:t>
      </w:r>
      <w:r>
        <w:rPr>
          <w:rFonts w:hint="eastAsia" w:ascii="宋体" w:hAnsi="宋体" w:eastAsia="宋体" w:cs="宋体"/>
          <w:color w:val="000000"/>
          <w:spacing w:val="8"/>
          <w:sz w:val="22"/>
          <w:szCs w:val="22"/>
          <w:highlight w:val="none"/>
        </w:rPr>
        <w:t xml:space="preserve"> </w:t>
      </w:r>
      <w:r>
        <w:rPr>
          <w:rFonts w:hint="eastAsia" w:ascii="宋体" w:hAnsi="宋体" w:cs="宋体"/>
          <w:color w:val="000000"/>
          <w:spacing w:val="8"/>
          <w:sz w:val="22"/>
          <w:szCs w:val="22"/>
          <w:highlight w:val="none"/>
        </w:rPr>
      </w:r>
      <w:r/>
    </w:p>
    <w:p>
      <w:pPr>
        <w:pStyle w:val="1055"/>
        <w:ind w:firstLine="452"/>
        <w:jc w:val="left"/>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8.2采购代理机构信息</w:t>
      </w:r>
      <w:r>
        <w:rPr>
          <w:rFonts w:hint="eastAsia" w:ascii="宋体" w:hAnsi="宋体" w:cs="宋体"/>
          <w:color w:val="000000"/>
          <w:spacing w:val="8"/>
          <w:sz w:val="22"/>
          <w:szCs w:val="22"/>
          <w:highlight w:val="none"/>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名称：江苏省设备成套股份有限公司 </w:t>
      </w:r>
      <w:r>
        <w:rPr>
          <w:rFonts w:hint="eastAsia" w:ascii="宋体" w:hAnsi="宋体" w:cs="宋体"/>
          <w:color w:val="000000"/>
          <w:spacing w:val="8"/>
          <w:sz w:val="22"/>
          <w:szCs w:val="22"/>
          <w:highlight w:val="none"/>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地址：南京市鼓楼区清江南路18号鼓楼创新广场D栋10楼1003室</w:t>
      </w:r>
      <w:r>
        <w:rPr>
          <w:rFonts w:hint="eastAsia" w:ascii="宋体" w:hAnsi="宋体" w:cs="宋体"/>
          <w:color w:val="000000"/>
          <w:spacing w:val="8"/>
          <w:sz w:val="22"/>
          <w:szCs w:val="22"/>
          <w:highlight w:val="none"/>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联系方式：何悦  徐鑫磊 025-86639951  13913931305</w:t>
      </w:r>
      <w:r>
        <w:rPr>
          <w:rFonts w:hint="eastAsia" w:ascii="宋体" w:hAnsi="宋体" w:cs="宋体"/>
          <w:color w:val="000000"/>
          <w:spacing w:val="8"/>
          <w:sz w:val="22"/>
          <w:szCs w:val="22"/>
          <w:highlight w:val="none"/>
        </w:rPr>
      </w:r>
      <w:r/>
    </w:p>
    <w:p>
      <w:pPr>
        <w:pStyle w:val="1055"/>
        <w:ind w:firstLine="452"/>
        <w:jc w:val="left"/>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8.3项目联系方式</w:t>
      </w:r>
      <w:r>
        <w:rPr>
          <w:rFonts w:hint="eastAsia" w:ascii="宋体" w:hAnsi="宋体" w:cs="宋体"/>
          <w:color w:val="000000"/>
          <w:spacing w:val="8"/>
          <w:sz w:val="22"/>
          <w:szCs w:val="22"/>
          <w:highlight w:val="none"/>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项目联系人：何悦  徐鑫磊</w:t>
      </w:r>
      <w:r>
        <w:rPr>
          <w:rFonts w:hint="eastAsia" w:ascii="宋体" w:hAnsi="宋体" w:cs="宋体"/>
          <w:color w:val="000000"/>
          <w:spacing w:val="8"/>
          <w:sz w:val="22"/>
          <w:szCs w:val="22"/>
          <w:highlight w:val="none"/>
        </w:rPr>
      </w:r>
      <w:r/>
    </w:p>
    <w:p>
      <w:pPr>
        <w:pStyle w:val="1055"/>
        <w:ind w:firstLine="452"/>
        <w:spacing w:line="360" w:lineRule="auto"/>
        <w:shd w:val="clear" w:color="auto" w:fill="ffffff"/>
        <w:widowControl/>
        <w:rPr>
          <w:rFonts w:hint="eastAsia" w:ascii="宋体" w:hAnsi="宋体" w:cs="宋体"/>
          <w:color w:val="000000"/>
          <w:spacing w:val="8"/>
          <w:sz w:val="22"/>
          <w:szCs w:val="22"/>
          <w:highlight w:val="none"/>
        </w:rPr>
      </w:pPr>
      <w:r>
        <w:rPr>
          <w:rFonts w:hint="eastAsia" w:ascii="宋体" w:hAnsi="宋体" w:cs="宋体"/>
          <w:color w:val="000000"/>
          <w:spacing w:val="8"/>
          <w:sz w:val="22"/>
          <w:szCs w:val="22"/>
          <w:highlight w:val="none"/>
        </w:rPr>
        <w:t xml:space="preserve">电话：025-86639951 13913931305</w:t>
      </w:r>
      <w:r>
        <w:rPr>
          <w:rFonts w:hint="eastAsia" w:ascii="宋体" w:hAnsi="宋体" w:cs="宋体"/>
          <w:color w:val="000000"/>
          <w:spacing w:val="8"/>
          <w:sz w:val="22"/>
          <w:szCs w:val="22"/>
          <w:highlight w:val="none"/>
        </w:rPr>
      </w:r>
      <w:r/>
    </w:p>
    <w:p>
      <w:pPr>
        <w:pStyle w:val="1055"/>
        <w:ind w:firstLine="452"/>
        <w:jc w:val="right"/>
        <w:spacing w:line="360" w:lineRule="auto"/>
        <w:shd w:val="clear" w:color="auto" w:fill="ffffff"/>
        <w:widowControl/>
        <w:rPr>
          <w:rFonts w:hint="eastAsia" w:ascii="宋体" w:hAnsi="宋体" w:eastAsia="宋体" w:cs="宋体"/>
          <w:color w:val="000000"/>
          <w:spacing w:val="8"/>
          <w:szCs w:val="20"/>
          <w:highlight w:val="none"/>
        </w:rPr>
      </w:pPr>
      <w:r>
        <w:rPr>
          <w:rFonts w:hint="eastAsia" w:ascii="宋体" w:hAnsi="宋体" w:eastAsia="宋体" w:cs="宋体"/>
          <w:color w:val="000000"/>
          <w:spacing w:val="8"/>
          <w:szCs w:val="20"/>
          <w:highlight w:val="none"/>
        </w:rPr>
      </w:r>
      <w:r/>
    </w:p>
    <w:p>
      <w:pPr>
        <w:pStyle w:val="1055"/>
        <w:ind w:firstLine="452"/>
        <w:jc w:val="right"/>
        <w:spacing w:line="360" w:lineRule="auto"/>
        <w:shd w:val="clear" w:color="auto" w:fill="ffffff"/>
        <w:widowControl/>
        <w:rPr>
          <w:rFonts w:hint="eastAsia" w:ascii="宋体" w:hAnsi="宋体" w:eastAsia="宋体" w:cs="宋体"/>
          <w:color w:val="000000"/>
          <w:spacing w:val="8"/>
          <w:szCs w:val="20"/>
          <w:highlight w:val="none"/>
        </w:rPr>
      </w:pPr>
      <w:r>
        <w:rPr>
          <w:rFonts w:hint="eastAsia" w:ascii="宋体" w:hAnsi="宋体" w:eastAsia="宋体" w:cs="宋体"/>
          <w:color w:val="000000"/>
          <w:spacing w:val="8"/>
          <w:szCs w:val="20"/>
          <w:highlight w:val="none"/>
        </w:rPr>
      </w:r>
      <w:r/>
    </w:p>
    <w:p>
      <w:pPr>
        <w:pStyle w:val="1146"/>
        <w:rPr>
          <w:rFonts w:hint="eastAsia" w:ascii="宋体" w:hAnsi="宋体" w:eastAsia="宋体" w:cs="宋体"/>
          <w:color w:val="000000"/>
          <w:spacing w:val="8"/>
          <w:szCs w:val="20"/>
          <w:highlight w:val="none"/>
        </w:rPr>
        <w:sectPr>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pacing w:val="8"/>
          <w:szCs w:val="20"/>
          <w:highlight w:val="none"/>
        </w:rPr>
      </w:r>
      <w:r/>
    </w:p>
    <w:p>
      <w:pPr>
        <w:pStyle w:val="1134"/>
        <w:jc w:val="center"/>
        <w:rPr>
          <w:rFonts w:ascii="Arial" w:hAnsi="Arial" w:cs="Arial"/>
          <w:color w:val="000000"/>
          <w:highlight w:val="none"/>
          <w:lang w:val="zh-CN"/>
        </w:rPr>
      </w:pPr>
      <w:r>
        <w:rPr>
          <w:rFonts w:ascii="Arial" w:hAnsi="Arial" w:cs="Arial"/>
          <w:color w:val="000000"/>
          <w:highlight w:val="none"/>
          <w:lang w:val="zh-CN"/>
        </w:rPr>
        <w:br w:type="page" w:clear="all"/>
      </w:r>
      <w:bookmarkStart w:id="18" w:name="_Toc349"/>
      <w:r>
        <w:rPr>
          <w:rFonts w:ascii="Arial" w:hAnsi="Arial" w:cs="Arial"/>
          <w:color w:val="000000"/>
          <w:highlight w:val="none"/>
          <w:lang w:val="zh-CN"/>
        </w:rPr>
        <w:t xml:space="preserve">第二章  竞争性磋商须知</w:t>
      </w:r>
      <w:bookmarkEnd w:id="18"/>
      <w:r>
        <w:rPr>
          <w:rFonts w:ascii="Arial" w:hAnsi="Arial" w:cs="Arial"/>
          <w:color w:val="000000"/>
          <w:highlight w:val="none"/>
          <w:lang w:val="zh-CN"/>
        </w:rPr>
      </w:r>
      <w:r/>
    </w:p>
    <w:p>
      <w:pPr>
        <w:pStyle w:val="1055"/>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1055"/>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1055"/>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1055"/>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105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105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1055"/>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1055"/>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指本采购文件中所述产品及相关服务。</w:t>
      </w:r>
      <w:r>
        <w:rPr>
          <w:rFonts w:ascii="Arial" w:hAnsi="Arial" w:eastAsia="宋体" w:cs="Arial"/>
          <w:color w:val="000000"/>
          <w:szCs w:val="21"/>
          <w:highlight w:val="none"/>
        </w:rPr>
      </w:r>
      <w:r/>
    </w:p>
    <w:p>
      <w:pPr>
        <w:pStyle w:val="1055"/>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2.4</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是指使用服务的单位。</w:t>
      </w:r>
      <w:r>
        <w:rPr>
          <w:rFonts w:ascii="Arial" w:hAnsi="Arial" w:eastAsia="宋体" w:cs="Arial"/>
          <w:color w:val="000000"/>
          <w:szCs w:val="21"/>
          <w:highlight w:val="none"/>
        </w:rPr>
      </w:r>
      <w:r/>
    </w:p>
    <w:p>
      <w:pPr>
        <w:pStyle w:val="1055"/>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rPr>
          <w:rFonts w:ascii="Arial" w:hAnsi="Arial" w:cs="Arial"/>
          <w:b/>
          <w:color w:val="000000"/>
          <w:szCs w:val="21"/>
          <w:highlight w:val="none"/>
          <w:lang w:val="zh-CN"/>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eastAsia="宋体" w:cs="Arial"/>
          <w:color w:val="000000"/>
          <w:szCs w:val="21"/>
          <w:highlight w:val="none"/>
          <w:lang w:val="en-US" w:eastAsia="zh-CN"/>
        </w:rPr>
        <w:t xml:space="preserve">第六章</w:t>
      </w:r>
      <w:r>
        <w:rPr>
          <w:rFonts w:ascii="Arial" w:hAnsi="Arial" w:eastAsia="宋体" w:cs="Arial"/>
          <w:color w:val="000000"/>
          <w:szCs w:val="21"/>
          <w:highlight w:val="none"/>
        </w:rPr>
        <w:t xml:space="preserve">），否则不得享受相关中小企业扶持政策。（</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中小企业划型标准</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3.6进口产品政策</w:t>
      </w:r>
      <w:r>
        <w:rPr>
          <w:rFonts w:ascii="Arial" w:hAnsi="Arial" w:eastAsia="宋体" w:cs="Arial"/>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rPr>
          <w:rFonts w:ascii="Arial" w:hAnsi="Arial" w:eastAsia="宋体" w:cs="Arial"/>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rPr>
          <w:rFonts w:ascii="Arial" w:hAnsi="Arial" w:eastAsia="宋体" w:cs="Arial"/>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3.7未按要求提供相关材料的，不享受相关政策。</w:t>
      </w:r>
      <w:r>
        <w:rPr>
          <w:rFonts w:ascii="Arial" w:hAnsi="Arial" w:eastAsia="宋体" w:cs="Arial"/>
          <w:color w:val="000000"/>
          <w:szCs w:val="21"/>
          <w:highlight w:val="none"/>
        </w:rPr>
      </w:r>
      <w:r/>
    </w:p>
    <w:p>
      <w:pPr>
        <w:pStyle w:val="1055"/>
        <w:numPr>
          <w:ilvl w:val="0"/>
          <w:numId w:val="7"/>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rPr>
          <w:rFonts w:hint="eastAsia" w:ascii="Arial" w:hAnsi="Arial" w:eastAsia="宋体" w:cs="Arial"/>
          <w:b/>
          <w:color w:val="000000"/>
          <w:szCs w:val="21"/>
          <w:highlight w:val="none"/>
          <w:lang w:val="en-US" w:eastAsia="zh-CN"/>
        </w:rPr>
      </w:r>
      <w:r/>
    </w:p>
    <w:p>
      <w:pPr>
        <w:pStyle w:val="1055"/>
        <w:numPr>
          <w:ilvl w:val="0"/>
          <w:numId w:val="8"/>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rPr>
          <w:rFonts w:hint="eastAsia" w:ascii="Arial" w:hAnsi="Arial" w:cs="Arial"/>
          <w:b/>
          <w:bCs/>
          <w:color w:val="000000"/>
          <w:szCs w:val="21"/>
          <w:highlight w:val="none"/>
          <w:lang w:val="en-US" w:eastAsia="zh-CN"/>
        </w:rPr>
      </w:r>
      <w:r/>
    </w:p>
    <w:p>
      <w:pPr>
        <w:pStyle w:val="1055"/>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1055"/>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rPr>
          <w:rFonts w:ascii="Arial" w:hAnsi="宋体" w:eastAsia="宋体" w:cs="Arial"/>
          <w:color w:val="000000"/>
          <w:szCs w:val="21"/>
          <w:highlight w:val="none"/>
        </w:rPr>
      </w:r>
      <w:r/>
    </w:p>
    <w:p>
      <w:pPr>
        <w:pStyle w:val="105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105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评标标准</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105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采购需求</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105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105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1055"/>
        <w:numPr>
          <w:ilvl w:val="0"/>
          <w:numId w:val="8"/>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rPr>
          <w:rFonts w:hint="eastAsia" w:ascii="Arial" w:hAnsi="Arial" w:eastAsia="宋体" w:cs="Arial"/>
          <w:b/>
          <w:bCs/>
          <w:color w:val="000000"/>
          <w:szCs w:val="21"/>
          <w:highlight w:val="none"/>
          <w:lang w:val="zh-CN" w:eastAsia="zh-CN"/>
        </w:rPr>
      </w:r>
      <w:r/>
    </w:p>
    <w:p>
      <w:pPr>
        <w:pStyle w:val="105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1055"/>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lang w:val="en-US" w:eastAsia="zh-CN"/>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1055"/>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1055"/>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ascii="Arial" w:hAnsi="Arial" w:cs="Arial"/>
          <w:color w:val="000000"/>
          <w:szCs w:val="21"/>
          <w:highlight w:val="none"/>
          <w:lang w:val="zh-CN"/>
        </w:rPr>
      </w:r>
      <w:r/>
    </w:p>
    <w:p>
      <w:pPr>
        <w:pStyle w:val="1055"/>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w:t>
      </w:r>
      <w:r>
        <w:rPr>
          <w:rFonts w:hint="eastAsia"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hint="eastAsia"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hint="eastAsia"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rPr>
          <w:rFonts w:hint="eastAsia" w:ascii="Arial" w:hAnsi="Arial" w:cs="Arial"/>
          <w:color w:val="000000"/>
          <w:szCs w:val="21"/>
          <w:highlight w:val="none"/>
          <w:lang w:val="en-US" w:eastAsia="zh-CN"/>
        </w:rPr>
      </w:r>
      <w:r/>
    </w:p>
    <w:p>
      <w:pPr>
        <w:pStyle w:val="105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6.5</w:t>
      </w:r>
      <w:r>
        <w:rPr>
          <w:rFonts w:ascii="Arial" w:hAnsi="Arial" w:cs="Arial"/>
          <w:color w:val="000000"/>
          <w:szCs w:val="21"/>
          <w:highlight w:val="none"/>
          <w:lang w:val="zh-CN"/>
        </w:rPr>
        <w:t xml:space="preserve"> 供应商应在磋商响应文件中写清相应的项目编号、项目名称、供应商全称、地址、电话、传真等。</w:t>
      </w:r>
      <w:r>
        <w:rPr>
          <w:rFonts w:ascii="Arial" w:hAnsi="Arial" w:cs="Arial"/>
          <w:color w:val="000000"/>
          <w:szCs w:val="21"/>
          <w:highlight w:val="none"/>
          <w:lang w:val="zh-CN"/>
        </w:rPr>
      </w:r>
      <w:r/>
    </w:p>
    <w:p>
      <w:pPr>
        <w:pStyle w:val="1055"/>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1055"/>
        <w:ind w:firstLine="420"/>
        <w:jc w:val="left"/>
        <w:spacing w:line="360" w:lineRule="auto"/>
        <w:shd w:val="clear" w:color="auto" w:fill="ffffff"/>
        <w:widowControl/>
        <w:rPr>
          <w:rFonts w:hint="eastAsia" w:ascii="Arial" w:hAnsi="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lang w:val="en-US" w:eastAsia="zh-CN"/>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lang w:val="en-US" w:eastAsia="zh-CN"/>
        </w:rPr>
        <w:t xml:space="preserve">编制。</w:t>
      </w:r>
      <w:r>
        <w:rPr>
          <w:rFonts w:hint="eastAsia" w:ascii="Arial" w:hAnsi="宋体" w:cs="Arial"/>
          <w:color w:val="000000"/>
          <w:szCs w:val="21"/>
          <w:highlight w:val="none"/>
          <w:lang w:val="en-US" w:eastAsia="zh-CN"/>
        </w:rPr>
      </w:r>
      <w:r/>
    </w:p>
    <w:p>
      <w:pPr>
        <w:pStyle w:val="1055"/>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1055"/>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1055"/>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1055"/>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en-US" w:eastAsia="zh-CN"/>
        </w:rPr>
        <w:t xml:space="preserve">法人授权书</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1055"/>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1055"/>
        <w:ind w:firstLine="84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hint="eastAsia" w:ascii="Arial" w:hAnsi="Arial" w:cs="Arial"/>
          <w:color w:val="000000"/>
          <w:szCs w:val="21"/>
          <w:highlight w:val="none"/>
        </w:rPr>
      </w:r>
      <w:r/>
    </w:p>
    <w:p>
      <w:pPr>
        <w:pStyle w:val="1055"/>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color w:val="000000"/>
          <w:szCs w:val="21"/>
          <w:highlight w:val="none"/>
        </w:rPr>
      </w:r>
      <w:r/>
    </w:p>
    <w:p>
      <w:pPr>
        <w:pStyle w:val="1055"/>
        <w:ind w:left="0" w:firstLine="659"/>
        <w:jc w:val="left"/>
        <w:spacing w:line="360" w:lineRule="auto"/>
        <w:widowControl/>
        <w:rPr>
          <w:rFonts w:hint="eastAsia" w:ascii="Arial" w:hAnsi="Arial" w:eastAsia="宋体" w:cs="Arial"/>
          <w:color w:val="000000"/>
          <w:szCs w:val="21"/>
          <w:highlight w:val="none"/>
        </w:rPr>
      </w:pPr>
      <w:r>
        <w:rPr>
          <w:rFonts w:hint="eastAsia" w:ascii="Arial" w:hAnsi="Arial" w:eastAsia="宋体" w:cs="Arial"/>
          <w:color w:val="000000"/>
          <w:szCs w:val="21"/>
          <w:highlight w:val="none"/>
        </w:rPr>
        <w:t xml:space="preserve">3）</w:t>
      </w:r>
      <w:r>
        <w:rPr>
          <w:rFonts w:hint="eastAsia" w:ascii="Arial" w:hAnsi="Arial" w:eastAsia="宋体" w:cs="Arial"/>
          <w:color w:val="000000"/>
          <w:szCs w:val="21"/>
          <w:highlight w:val="none"/>
          <w:lang w:val="en-US" w:eastAsia="zh-CN"/>
        </w:rPr>
        <w:t xml:space="preserve"> </w:t>
      </w:r>
      <w:r>
        <w:rPr>
          <w:rFonts w:hint="eastAsia" w:ascii="Arial" w:hAnsi="Arial" w:eastAsia="宋体" w:cs="Arial"/>
          <w:color w:val="000000"/>
          <w:szCs w:val="21"/>
          <w:highlight w:val="none"/>
        </w:rPr>
        <w:t xml:space="preserve">第一章竞争性磋商公告中 2.3 采购人根据采购项目的特殊要求规定的特定条件证明文件；</w:t>
      </w:r>
      <w:r>
        <w:rPr>
          <w:rFonts w:hint="eastAsia" w:ascii="Arial" w:hAnsi="Arial" w:eastAsia="宋体" w:cs="Arial"/>
          <w:color w:val="000000"/>
          <w:szCs w:val="21"/>
          <w:highlight w:val="none"/>
        </w:rPr>
      </w:r>
      <w:r/>
    </w:p>
    <w:p>
      <w:pPr>
        <w:pStyle w:val="1055"/>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1055"/>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r>
      <w:r/>
    </w:p>
    <w:p>
      <w:pPr>
        <w:pStyle w:val="1055"/>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1055"/>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1055"/>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ascii="Arial" w:hAnsi="Arial" w:cs="Arial"/>
          <w:color w:val="000000"/>
          <w:szCs w:val="21"/>
          <w:highlight w:val="none"/>
          <w:lang w:val="zh-CN"/>
        </w:rPr>
        <w:t xml:space="preserve">项目技术方案或服务说明； </w:t>
      </w:r>
      <w:r>
        <w:rPr>
          <w:rFonts w:ascii="Arial" w:hAnsi="Arial" w:cs="Arial"/>
          <w:color w:val="000000"/>
          <w:szCs w:val="21"/>
          <w:highlight w:val="none"/>
          <w:lang w:val="zh-CN"/>
        </w:rPr>
      </w:r>
      <w:r/>
    </w:p>
    <w:p>
      <w:pPr>
        <w:pStyle w:val="1055"/>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ascii="Arial" w:hAnsi="Arial" w:cs="Arial"/>
          <w:color w:val="000000"/>
          <w:szCs w:val="21"/>
          <w:highlight w:val="none"/>
        </w:rPr>
        <w:t xml:space="preserve">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1055"/>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1055"/>
        <w:numPr>
          <w:ilvl w:val="0"/>
          <w:numId w:val="9"/>
        </w:num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价格部分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是对</w:t>
      </w:r>
      <w:r>
        <w:rPr>
          <w:rFonts w:hint="eastAsia" w:ascii="Arial" w:hAnsi="Arial" w:cs="Arial"/>
          <w:color w:val="000000"/>
          <w:szCs w:val="21"/>
          <w:highlight w:val="none"/>
          <w:lang w:val="en-US" w:eastAsia="zh-CN"/>
        </w:rPr>
        <w:t xml:space="preserve">标的</w:t>
      </w:r>
      <w:r>
        <w:rPr>
          <w:rFonts w:ascii="Arial" w:hAnsi="Arial" w:cs="Arial"/>
          <w:color w:val="000000"/>
          <w:szCs w:val="21"/>
          <w:highlight w:val="none"/>
          <w:lang w:val="zh-CN"/>
        </w:rPr>
        <w:t xml:space="preserve">价格构成的说明，磋商文件如没有特别说明的话，仅接受一个价格。</w:t>
      </w:r>
      <w:r>
        <w:rPr>
          <w:rFonts w:ascii="Arial" w:hAnsi="Arial" w:cs="Arial"/>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ascii="Arial" w:hAnsi="宋体" w:cs="Arial"/>
          <w:color w:val="000000"/>
          <w:szCs w:val="21"/>
          <w:highlight w:val="none"/>
        </w:rPr>
        <w:t xml:space="preserve">报价应</w:t>
      </w:r>
      <w:r>
        <w:rPr>
          <w:rFonts w:hint="eastAsia" w:ascii="Arial" w:hAnsi="宋体" w:cs="Arial"/>
          <w:color w:val="000000"/>
          <w:szCs w:val="21"/>
          <w:highlight w:val="none"/>
          <w:lang w:val="en-US" w:eastAsia="zh-CN"/>
        </w:rPr>
        <w:t xml:space="preserve">包含为履行本项目合同项下所有义务的全部</w:t>
      </w:r>
      <w:r>
        <w:rPr>
          <w:rFonts w:ascii="Arial" w:hAnsi="宋体" w:cs="Arial"/>
          <w:color w:val="000000"/>
          <w:szCs w:val="21"/>
          <w:highlight w:val="none"/>
        </w:rPr>
        <w:t xml:space="preserve">费用</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包括但不限于</w:t>
      </w:r>
      <w:r>
        <w:rPr>
          <w:rFonts w:hint="eastAsia" w:ascii="宋体" w:hAnsi="宋体" w:eastAsia="宋体" w:cs="宋体"/>
          <w:color w:val="000000"/>
          <w:sz w:val="21"/>
          <w:szCs w:val="21"/>
          <w:highlight w:val="none"/>
          <w:lang w:val="en-US" w:eastAsia="zh-CN"/>
        </w:rPr>
        <w:t xml:space="preserve">技术资料</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设计成果、</w:t>
      </w:r>
      <w:r>
        <w:rPr>
          <w:rFonts w:ascii="宋体" w:hAnsi="宋体" w:eastAsia="宋体" w:cs="宋体"/>
          <w:color w:val="000000"/>
          <w:sz w:val="21"/>
          <w:szCs w:val="21"/>
          <w:highlight w:val="none"/>
        </w:rPr>
        <w:t xml:space="preserve">人员培训</w:t>
      </w:r>
      <w:r>
        <w:rPr>
          <w:rFonts w:hint="eastAsia" w:ascii="宋体" w:hAnsi="宋体" w:eastAsia="宋体" w:cs="宋体"/>
          <w:color w:val="000000"/>
          <w:sz w:val="21"/>
          <w:szCs w:val="21"/>
          <w:highlight w:val="none"/>
          <w:lang w:val="en-US" w:eastAsia="zh-CN"/>
        </w:rPr>
        <w:t xml:space="preserve">等</w:t>
      </w:r>
      <w:r>
        <w:rPr>
          <w:rFonts w:ascii="宋体" w:hAnsi="宋体" w:eastAsia="宋体" w:cs="宋体"/>
          <w:color w:val="000000"/>
          <w:sz w:val="21"/>
          <w:szCs w:val="21"/>
          <w:highlight w:val="none"/>
        </w:rPr>
        <w:t xml:space="preserve">发生的所有含税费用、支付给员工的工资和国家强制缴纳的各种社会保障资金</w:t>
      </w:r>
      <w:r>
        <w:rPr>
          <w:rFonts w:hint="eastAsia" w:ascii="Arial" w:hAnsi="宋体" w:cs="Arial"/>
          <w:color w:val="000000"/>
          <w:szCs w:val="21"/>
          <w:highlight w:val="none"/>
          <w:lang w:eastAsia="zh-CN"/>
        </w:rPr>
        <w:t xml:space="preserve">）</w:t>
      </w:r>
      <w:r>
        <w:rPr>
          <w:rFonts w:ascii="Arial" w:hAnsi="宋体" w:cs="Arial"/>
          <w:color w:val="000000"/>
          <w:szCs w:val="21"/>
          <w:highlight w:val="none"/>
          <w:lang w:val="zh-CN"/>
        </w:rPr>
        <w:t xml:space="preserve">，</w:t>
      </w:r>
      <w:r>
        <w:rPr>
          <w:rFonts w:ascii="Arial" w:hAnsi="宋体" w:cs="Arial"/>
          <w:bCs/>
          <w:color w:val="000000"/>
          <w:szCs w:val="21"/>
          <w:highlight w:val="none"/>
        </w:rPr>
        <w:t xml:space="preserve">以</w:t>
      </w:r>
      <w:r>
        <w:rPr>
          <w:rFonts w:ascii="Arial" w:hAnsi="宋体" w:cs="Arial"/>
          <w:color w:val="000000"/>
          <w:szCs w:val="21"/>
          <w:highlight w:val="none"/>
        </w:rPr>
        <w:t xml:space="preserve">及</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认为需要的其他费用等</w:t>
      </w:r>
      <w:r>
        <w:rPr>
          <w:rFonts w:ascii="Arial" w:hAnsi="宋体" w:cs="Arial"/>
          <w:b/>
          <w:color w:val="000000"/>
          <w:szCs w:val="21"/>
          <w:highlight w:val="none"/>
        </w:rPr>
        <w:t xml:space="preserve">。</w:t>
      </w:r>
      <w:r>
        <w:rPr>
          <w:rFonts w:ascii="Arial" w:hAnsi="Arial" w:cs="Arial"/>
          <w:color w:val="000000"/>
          <w:szCs w:val="21"/>
          <w:highlight w:val="none"/>
          <w:lang w:val="zh-CN"/>
        </w:rPr>
      </w:r>
      <w:r/>
    </w:p>
    <w:p>
      <w:pPr>
        <w:pStyle w:val="1055"/>
        <w:numPr>
          <w:ilvl w:val="0"/>
          <w:numId w:val="0"/>
        </w:numPr>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（3）供应商应按“工程量清单”的要求填写相应表格。</w:t>
      </w:r>
      <w:r>
        <w:rPr>
          <w:rFonts w:hint="eastAsia" w:ascii="Arial" w:hAnsi="Arial" w:eastAsia="宋体" w:cs="Arial"/>
          <w:color w:val="000000"/>
          <w:szCs w:val="21"/>
          <w:highlight w:val="none"/>
          <w:lang w:val="en-US" w:eastAsia="zh-CN"/>
        </w:rPr>
      </w:r>
      <w:r/>
    </w:p>
    <w:p>
      <w:pPr>
        <w:pStyle w:val="1055"/>
        <w:numPr>
          <w:ilvl w:val="0"/>
          <w:numId w:val="0"/>
        </w:numPr>
        <w:ind w:firstLine="422"/>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bCs/>
          <w:color w:val="000000"/>
          <w:szCs w:val="21"/>
          <w:highlight w:val="none"/>
          <w:lang w:val="en-US" w:eastAsia="zh-CN"/>
        </w:rPr>
        <w:t xml:space="preserve">（4）响应报价应当明确且唯一，超过预算或最高限价的、无报价以及报价中包含的专业工程暂估价或材料(工程设备)暂估单价或暂列金额与磋商文件中给定的不一致的，响应无效。</w:t>
      </w:r>
      <w:r>
        <w:rPr>
          <w:rFonts w:hint="eastAsia" w:ascii="Arial" w:hAnsi="Arial" w:eastAsia="宋体" w:cs="Arial"/>
          <w:b/>
          <w:bCs/>
          <w:color w:val="000000"/>
          <w:szCs w:val="21"/>
          <w:highlight w:val="none"/>
          <w:lang w:val="en-US" w:eastAsia="zh-CN"/>
        </w:rPr>
      </w:r>
      <w:r/>
    </w:p>
    <w:p>
      <w:pPr>
        <w:pStyle w:val="1055"/>
        <w:numPr>
          <w:ilvl w:val="0"/>
          <w:numId w:val="0"/>
        </w:numPr>
        <w:ind w:firstLine="422"/>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bCs/>
          <w:color w:val="000000"/>
          <w:szCs w:val="21"/>
          <w:highlight w:val="none"/>
          <w:lang w:val="en-US" w:eastAsia="zh-CN"/>
        </w:rPr>
        <w:t xml:space="preserve">（5）已标价工程量清单与采购文件提供的工程量清单中的项目编码、项目名称、项目特征、计量单位、工程量不一致的（措施项目增项除外），响应无效。</w:t>
      </w:r>
      <w:r>
        <w:rPr>
          <w:rFonts w:hint="eastAsia" w:ascii="Arial" w:hAnsi="Arial" w:eastAsia="宋体" w:cs="Arial"/>
          <w:b/>
          <w:bCs/>
          <w:color w:val="000000"/>
          <w:szCs w:val="21"/>
          <w:highlight w:val="none"/>
          <w:lang w:val="en-US" w:eastAsia="zh-CN"/>
        </w:rPr>
      </w:r>
      <w:r/>
    </w:p>
    <w:p>
      <w:pPr>
        <w:pStyle w:val="1055"/>
        <w:numPr>
          <w:ilvl w:val="0"/>
          <w:numId w:val="0"/>
        </w:numPr>
        <w:ind w:firstLine="422"/>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bCs/>
          <w:color w:val="000000"/>
          <w:szCs w:val="21"/>
          <w:highlight w:val="none"/>
          <w:lang w:val="en-US" w:eastAsia="zh-CN"/>
        </w:rPr>
        <w:t xml:space="preserve">（6）已标价工程量清单与采购文件明确列出的不可竞争费用项目或费率或计算基础不一致的，响应无效。</w:t>
      </w:r>
      <w:r>
        <w:rPr>
          <w:rFonts w:hint="eastAsia" w:ascii="Arial" w:hAnsi="Arial" w:eastAsia="宋体" w:cs="Arial"/>
          <w:b/>
          <w:bCs/>
          <w:color w:val="000000"/>
          <w:szCs w:val="21"/>
          <w:highlight w:val="none"/>
          <w:lang w:val="en-US" w:eastAsia="zh-CN"/>
        </w:rPr>
      </w:r>
      <w:r/>
    </w:p>
    <w:p>
      <w:pPr>
        <w:pStyle w:val="1055"/>
        <w:numPr>
          <w:ilvl w:val="0"/>
          <w:numId w:val="0"/>
        </w:numPr>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（7）供应商在响应截止时间前修改响应函中的响应总报价，应同时修改“工程量清单”中的相应报价。</w:t>
      </w:r>
      <w:r>
        <w:rPr>
          <w:rFonts w:hint="eastAsia" w:ascii="Arial" w:hAnsi="Arial" w:eastAsia="宋体" w:cs="Arial"/>
          <w:color w:val="000000"/>
          <w:szCs w:val="21"/>
          <w:highlight w:val="none"/>
          <w:lang w:val="en-US" w:eastAsia="zh-CN"/>
        </w:rPr>
      </w:r>
      <w:r/>
    </w:p>
    <w:p>
      <w:pPr>
        <w:pStyle w:val="105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）经磋商后，如果成交价低于供应商</w:t>
      </w:r>
      <w:r>
        <w:rPr>
          <w:rFonts w:hint="eastAsia" w:ascii="Arial" w:hAnsi="Arial" w:cs="Arial"/>
          <w:color w:val="000000"/>
          <w:szCs w:val="21"/>
          <w:highlight w:val="none"/>
          <w:lang w:val="en-US" w:eastAsia="zh-CN"/>
        </w:rPr>
        <w:t xml:space="preserve">首次</w:t>
      </w:r>
      <w:r>
        <w:rPr>
          <w:rFonts w:ascii="Arial" w:hAnsi="Arial" w:cs="Arial"/>
          <w:color w:val="000000"/>
          <w:szCs w:val="21"/>
          <w:highlight w:val="none"/>
          <w:lang w:val="zh-CN"/>
        </w:rPr>
        <w:t xml:space="preserve">响应报价的话，除特别注明外，分项报价同比例调整。</w:t>
      </w:r>
      <w:r>
        <w:rPr>
          <w:rFonts w:ascii="Arial" w:hAnsi="Arial" w:cs="Arial"/>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1147"/>
        <w:rPr>
          <w:color w:val="000000"/>
          <w:highlight w:val="none"/>
          <w:lang w:val="zh-CN"/>
        </w:rPr>
      </w:pPr>
      <w:r>
        <w:rPr>
          <w:rFonts w:ascii="Arial" w:hAnsi="Arial" w:eastAsia="宋体" w:cs="Arial"/>
          <w:color w:val="000000"/>
          <w:sz w:val="21"/>
          <w:szCs w:val="21"/>
          <w:highlight w:val="none"/>
          <w:lang w:val="en-US" w:eastAsia="zh-CN"/>
        </w:rPr>
        <w:t xml:space="preserve">7.8</w:t>
      </w:r>
      <w:r>
        <w:rPr>
          <w:rFonts w:ascii="Arial" w:hAnsi="Arial" w:eastAsia="宋体" w:cs="Arial"/>
          <w:color w:val="000000"/>
          <w:sz w:val="21"/>
          <w:szCs w:val="21"/>
          <w:highlight w:val="none"/>
          <w:lang w:val="zh-CN" w:eastAsia="zh-CN"/>
        </w:rPr>
        <w:t xml:space="preserve">如标书制作工具中格式和内容与“南京公共采购信息网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江苏政府采购网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中国政府采购网”发布的磋商文件不一致</w:t>
      </w:r>
      <w:r>
        <w:rPr>
          <w:rFonts w:hint="eastAsia"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发布的磋商文件为准。</w:t>
      </w:r>
      <w:r>
        <w:rPr>
          <w:color w:val="000000"/>
          <w:highlight w:val="none"/>
          <w:lang w:val="zh-CN"/>
        </w:rPr>
      </w:r>
      <w:r/>
    </w:p>
    <w:p>
      <w:pPr>
        <w:pStyle w:val="1055"/>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ascii="Arial" w:hAnsi="Arial" w:cs="Arial"/>
          <w:b/>
          <w:bCs/>
          <w:color w:val="000000"/>
          <w:szCs w:val="21"/>
          <w:highlight w:val="none"/>
          <w:lang w:val="zh-CN"/>
        </w:rPr>
      </w:r>
      <w:r/>
    </w:p>
    <w:p>
      <w:pPr>
        <w:pStyle w:val="1055"/>
        <w:ind w:left="0" w:firstLine="422"/>
        <w:spacing w:line="360" w:lineRule="auto"/>
        <w:rPr>
          <w:rFonts w:ascii="Arial" w:hAnsi="Arial" w:eastAsia="宋体" w:cs="Arial"/>
          <w:i w:val="0"/>
          <w:caps w:val="0"/>
          <w:color w:val="000000"/>
          <w:spacing w:val="0"/>
          <w:sz w:val="21"/>
          <w:szCs w:val="21"/>
          <w:highlight w:val="none"/>
          <w:shd w:val="clear" w:color="auto" w:fill="ffffff"/>
        </w:rPr>
      </w:pPr>
      <w:r>
        <w:rPr>
          <w:rFonts w:hint="eastAsia" w:ascii="Arial" w:hAnsi="Arial" w:cs="Arial"/>
          <w:b/>
          <w:bCs/>
          <w:color w:val="000000"/>
          <w:szCs w:val="21"/>
          <w:highlight w:val="none"/>
          <w:lang w:val="en-US" w:eastAsia="zh-CN"/>
        </w:rPr>
        <w:t xml:space="preserve">无</w:t>
      </w:r>
      <w:r>
        <w:rPr>
          <w:rFonts w:ascii="Arial" w:hAnsi="Arial" w:eastAsia="宋体" w:cs="Arial"/>
          <w:i w:val="0"/>
          <w:caps w:val="0"/>
          <w:color w:val="000000"/>
          <w:spacing w:val="0"/>
          <w:sz w:val="21"/>
          <w:szCs w:val="21"/>
          <w:highlight w:val="none"/>
          <w:shd w:val="clear" w:color="auto" w:fill="ffffff"/>
        </w:rPr>
      </w:r>
      <w:r/>
    </w:p>
    <w:p>
      <w:pPr>
        <w:pStyle w:val="1055"/>
        <w:ind w:left="0" w:firstLine="482"/>
        <w:spacing w:line="360" w:lineRule="auto"/>
        <w:rPr>
          <w:rFonts w:ascii="Arial" w:hAnsi="Arial" w:eastAsia="宋体" w:cs="Arial"/>
          <w:b/>
          <w:color w:val="000000"/>
          <w:sz w:val="24"/>
          <w:szCs w:val="24"/>
          <w:highlight w:val="none"/>
          <w:lang w:val="en-US" w:eastAsia="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hint="eastAsia" w:ascii="Arial" w:hAnsi="Arial" w:cs="Arial"/>
          <w:b/>
          <w:color w:val="000000"/>
          <w:sz w:val="24"/>
          <w:szCs w:val="24"/>
          <w:highlight w:val="none"/>
          <w:lang w:val="en-US" w:eastAsia="zh-CN"/>
        </w:rPr>
        <w:t xml:space="preserve">与解密</w:t>
      </w:r>
      <w:r>
        <w:rPr>
          <w:rFonts w:ascii="Arial" w:hAnsi="Arial" w:eastAsia="宋体" w:cs="Arial"/>
          <w:b/>
          <w:color w:val="000000"/>
          <w:sz w:val="24"/>
          <w:szCs w:val="24"/>
          <w:highlight w:val="none"/>
          <w:lang w:val="en-US" w:eastAsia="zh-CN"/>
        </w:rPr>
      </w:r>
      <w:r/>
    </w:p>
    <w:p>
      <w:pPr>
        <w:pStyle w:val="1055"/>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.1</w:t>
      </w:r>
      <w:r>
        <w:rPr>
          <w:rFonts w:hint="eastAsia" w:ascii="Arial" w:hAnsi="Arial" w:eastAsia="宋体" w:cs="Arial"/>
          <w:color w:val="000000"/>
          <w:sz w:val="21"/>
          <w:szCs w:val="21"/>
          <w:highlight w:val="none"/>
          <w:lang w:val="zh-CN" w:eastAsia="zh-CN"/>
        </w:rPr>
        <w:t xml:space="preserve">供应商应当按照《操作手册》</w:t>
      </w:r>
      <w:r>
        <w:rPr>
          <w:rFonts w:hint="eastAsia" w:ascii="Arial" w:hAnsi="Arial" w:eastAsia="宋体" w:cs="Arial"/>
          <w:color w:val="000000"/>
          <w:sz w:val="21"/>
          <w:szCs w:val="21"/>
          <w:highlight w:val="none"/>
          <w:lang w:val="en-US" w:eastAsia="zh-CN"/>
        </w:rPr>
        <w:t xml:space="preserve">的</w:t>
      </w:r>
      <w:r>
        <w:rPr>
          <w:rFonts w:hint="eastAsia" w:ascii="Arial" w:hAnsi="Arial" w:eastAsia="宋体" w:cs="Arial"/>
          <w:color w:val="000000"/>
          <w:sz w:val="21"/>
          <w:szCs w:val="21"/>
          <w:highlight w:val="none"/>
          <w:lang w:val="zh-CN" w:eastAsia="zh-CN"/>
        </w:rPr>
        <w:t xml:space="preserve">规定递交电子响应文件，在磋商响应截止时间前制作并上传电子响应文件。招标代理机构拒绝接收提交响应文件截止时间后上传的任何电子响应文件。</w:t>
      </w:r>
      <w:r>
        <w:rPr>
          <w:rFonts w:hint="eastAsia" w:ascii="Arial" w:hAnsi="Arial" w:eastAsia="宋体" w:cs="Arial"/>
          <w:color w:val="000000"/>
          <w:sz w:val="21"/>
          <w:szCs w:val="21"/>
          <w:highlight w:val="none"/>
          <w:lang w:val="zh-CN" w:eastAsia="zh-CN"/>
        </w:rPr>
      </w:r>
      <w:r/>
    </w:p>
    <w:p>
      <w:pPr>
        <w:pStyle w:val="1055"/>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w:t>
      </w:r>
      <w:r>
        <w:rPr>
          <w:rFonts w:hint="eastAsia" w:ascii="Arial" w:hAnsi="Arial" w:cs="Arial"/>
          <w:color w:val="000000"/>
          <w:sz w:val="21"/>
          <w:szCs w:val="21"/>
          <w:highlight w:val="none"/>
          <w:lang w:val="en-US" w:eastAsia="zh-CN"/>
        </w:rPr>
        <w:t xml:space="preserve">2</w:t>
      </w:r>
      <w:r>
        <w:rPr>
          <w:rFonts w:ascii="Arial" w:hAnsi="Arial" w:eastAsia="宋体" w:cs="Arial"/>
          <w:color w:val="000000"/>
          <w:sz w:val="21"/>
          <w:szCs w:val="21"/>
          <w:highlight w:val="none"/>
          <w:lang w:val="zh-CN" w:eastAsia="zh-CN"/>
        </w:rPr>
        <w:t xml:space="preserve"> </w:t>
      </w:r>
      <w:r>
        <w:rPr>
          <w:rFonts w:hint="eastAsia" w:ascii="Arial" w:hAnsi="Arial" w:eastAsia="宋体" w:cs="Arial"/>
          <w:color w:val="000000"/>
          <w:sz w:val="21"/>
          <w:szCs w:val="21"/>
          <w:highlight w:val="none"/>
          <w:lang w:val="zh-CN" w:eastAsia="zh-CN"/>
        </w:rPr>
        <w:t xml:space="preserve">供应商应当按照《操作手册》规定，在</w:t>
      </w:r>
      <w:r>
        <w:rPr>
          <w:rFonts w:hint="eastAsia" w:ascii="Arial" w:hAnsi="Arial"/>
          <w:color w:val="000000"/>
          <w:szCs w:val="21"/>
          <w:highlight w:val="none"/>
          <w:lang w:val="zh-CN"/>
        </w:rPr>
        <w:t xml:space="preserve">“苏采云”</w:t>
      </w:r>
      <w:r>
        <w:rPr>
          <w:rFonts w:hint="eastAsia" w:ascii="Arial" w:hAnsi="Arial" w:eastAsia="宋体" w:cs="Arial"/>
          <w:color w:val="000000"/>
          <w:sz w:val="21"/>
          <w:szCs w:val="21"/>
          <w:highlight w:val="none"/>
          <w:lang w:val="zh-CN" w:eastAsia="zh-CN"/>
        </w:rPr>
        <w:t xml:space="preserve">系统规定的时间内对响应文件进行解密。</w:t>
      </w:r>
      <w:r>
        <w:rPr>
          <w:rFonts w:hint="eastAsia" w:ascii="Arial" w:hAnsi="Arial" w:eastAsia="宋体" w:cs="Arial"/>
          <w:color w:val="000000"/>
          <w:sz w:val="21"/>
          <w:szCs w:val="21"/>
          <w:highlight w:val="none"/>
          <w:lang w:val="zh-CN" w:eastAsia="zh-CN"/>
        </w:rPr>
      </w:r>
      <w:r/>
    </w:p>
    <w:p>
      <w:pPr>
        <w:pStyle w:val="1055"/>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en-US" w:eastAsia="zh-CN"/>
        </w:rPr>
        <w:t xml:space="preserve">9.</w:t>
      </w:r>
      <w:r>
        <w:rPr>
          <w:rFonts w:hint="eastAsia" w:ascii="Arial" w:hAnsi="Arial" w:cs="Arial"/>
          <w:color w:val="000000"/>
          <w:sz w:val="21"/>
          <w:szCs w:val="21"/>
          <w:highlight w:val="none"/>
          <w:lang w:val="en-US" w:eastAsia="zh-CN"/>
        </w:rPr>
        <w:t xml:space="preserve">3</w:t>
      </w:r>
      <w:r>
        <w:rPr>
          <w:rFonts w:hint="eastAsia" w:ascii="Arial" w:hAnsi="Arial" w:eastAsia="宋体" w:cs="Arial"/>
          <w:color w:val="000000"/>
          <w:sz w:val="21"/>
          <w:szCs w:val="21"/>
          <w:highlight w:val="none"/>
          <w:lang w:val="en-US" w:eastAsia="zh-CN"/>
        </w:rPr>
        <w:t xml:space="preserve"> </w:t>
      </w:r>
      <w:r>
        <w:rPr>
          <w:rFonts w:hint="eastAsia" w:ascii="Arial" w:hAnsi="Arial" w:eastAsia="宋体" w:cs="Arial"/>
          <w:color w:val="000000"/>
          <w:sz w:val="21"/>
          <w:szCs w:val="21"/>
          <w:highlight w:val="none"/>
          <w:lang w:val="zh-CN" w:eastAsia="zh-CN"/>
        </w:rPr>
        <w:t xml:space="preserve">供应商应充分考虑到网络环境、网络带宽等风险因素，如因供应商自身原因造成电子响应文件</w:t>
      </w:r>
      <w:r>
        <w:rPr>
          <w:rFonts w:hint="eastAsia" w:ascii="Arial" w:hAnsi="Arial" w:cs="Arial"/>
          <w:color w:val="000000"/>
          <w:sz w:val="21"/>
          <w:szCs w:val="21"/>
          <w:highlight w:val="none"/>
          <w:lang w:val="en-US" w:eastAsia="zh-CN"/>
        </w:rPr>
        <w:t xml:space="preserve">未</w:t>
      </w:r>
      <w:r>
        <w:rPr>
          <w:rFonts w:hint="eastAsia" w:ascii="Arial" w:hAnsi="Arial"/>
          <w:color w:val="000000"/>
          <w:szCs w:val="21"/>
          <w:highlight w:val="none"/>
          <w:lang w:val="zh-CN"/>
        </w:rPr>
        <w:t xml:space="preserve">在“苏采云”系统规定的时间内成功解密</w:t>
      </w:r>
      <w:r>
        <w:rPr>
          <w:rFonts w:hint="eastAsia" w:ascii="Arial" w:hAnsi="Arial"/>
          <w:color w:val="000000"/>
          <w:szCs w:val="21"/>
          <w:highlight w:val="none"/>
          <w:lang w:val="en-US" w:eastAsia="zh-CN"/>
        </w:rPr>
        <w:t xml:space="preserve">的</w:t>
      </w:r>
      <w:r>
        <w:rPr>
          <w:rFonts w:hint="eastAsia" w:ascii="Arial" w:hAnsi="Arial" w:eastAsia="宋体" w:cs="Arial"/>
          <w:color w:val="000000"/>
          <w:sz w:val="21"/>
          <w:szCs w:val="21"/>
          <w:highlight w:val="none"/>
          <w:lang w:val="en-US" w:eastAsia="zh-CN"/>
        </w:rPr>
        <w:t xml:space="preserve">，</w:t>
      </w:r>
      <w:r>
        <w:rPr>
          <w:rFonts w:hint="eastAsia" w:ascii="Arial" w:hAnsi="Arial" w:eastAsia="宋体" w:cs="Arial"/>
          <w:color w:val="000000"/>
          <w:sz w:val="21"/>
          <w:szCs w:val="21"/>
          <w:highlight w:val="none"/>
          <w:lang w:val="zh-CN" w:eastAsia="zh-CN"/>
        </w:rPr>
        <w:t xml:space="preserve">按照本磋商文件规定做无效响应处理。</w:t>
      </w:r>
      <w:r>
        <w:rPr>
          <w:rFonts w:hint="eastAsia" w:ascii="Arial" w:hAnsi="Arial" w:eastAsia="宋体" w:cs="Arial"/>
          <w:color w:val="000000"/>
          <w:sz w:val="21"/>
          <w:szCs w:val="21"/>
          <w:highlight w:val="none"/>
          <w:lang w:val="zh-CN" w:eastAsia="zh-CN"/>
        </w:rPr>
      </w:r>
      <w:r/>
    </w:p>
    <w:p>
      <w:pPr>
        <w:pStyle w:val="1055"/>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lang w:val="en-US" w:eastAsia="zh-CN"/>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1055"/>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1055"/>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1055"/>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1055"/>
        <w:ind w:firstLine="420"/>
        <w:spacing w:line="360" w:lineRule="auto"/>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ascii="Arial" w:hAnsi="Arial" w:cs="Arial"/>
          <w:bCs/>
          <w:color w:val="000000"/>
          <w:szCs w:val="21"/>
          <w:highlight w:val="none"/>
        </w:rPr>
      </w:r>
      <w:r/>
    </w:p>
    <w:p>
      <w:pPr>
        <w:pStyle w:val="1055"/>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1055"/>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105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1055"/>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highlight w:val="none"/>
          <w:lang w:val="zh-CN"/>
        </w:rPr>
      </w:r>
      <w:r/>
    </w:p>
    <w:p>
      <w:pPr>
        <w:pStyle w:val="1055"/>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105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.1 磋商小组审阅供应商所递交的响应文件，凡不具备资格条件的供应商不得进入磋商程序。</w:t>
      </w:r>
      <w:r>
        <w:rPr>
          <w:rFonts w:ascii="Arial" w:hAnsi="Arial"/>
          <w:color w:val="000000"/>
          <w:szCs w:val="21"/>
          <w:highlight w:val="none"/>
          <w:lang w:val="zh-CN"/>
        </w:rPr>
      </w:r>
      <w:r/>
    </w:p>
    <w:p>
      <w:pPr>
        <w:pStyle w:val="1055"/>
        <w:ind w:firstLine="420"/>
        <w:spacing w:line="360" w:lineRule="auto"/>
        <w:rPr>
          <w:rFonts w:hint="eastAsia"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.2 </w:t>
      </w:r>
      <w:r>
        <w:rPr>
          <w:rFonts w:hint="eastAsia" w:ascii="Arial" w:hAnsi="Arial"/>
          <w:color w:val="000000"/>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Arial" w:hAnsi="Arial"/>
          <w:color w:val="000000"/>
          <w:szCs w:val="21"/>
          <w:highlight w:val="none"/>
          <w:lang w:val="zh-CN"/>
        </w:rPr>
      </w:r>
      <w:r/>
    </w:p>
    <w:p>
      <w:pPr>
        <w:pStyle w:val="105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olor w:val="000000"/>
          <w:szCs w:val="21"/>
          <w:highlight w:val="none"/>
          <w:lang w:val="zh-CN"/>
        </w:rPr>
      </w:r>
      <w:r/>
    </w:p>
    <w:p>
      <w:pPr>
        <w:pStyle w:val="105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olor w:val="000000"/>
          <w:szCs w:val="21"/>
          <w:highlight w:val="none"/>
          <w:lang w:val="zh-CN"/>
        </w:rPr>
      </w:r>
      <w:r/>
    </w:p>
    <w:p>
      <w:pPr>
        <w:pStyle w:val="105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.4 如磋商文件有实质性变动的，</w:t>
      </w:r>
      <w:r>
        <w:rPr>
          <w:rFonts w:hint="eastAsia" w:ascii="Arial" w:hAnsi="Arial"/>
          <w:color w:val="000000"/>
          <w:szCs w:val="21"/>
          <w:highlight w:val="none"/>
          <w:lang w:val="zh-CN"/>
        </w:rPr>
        <w:t xml:space="preserve">供应商应当按照磋商文件的变动情况和磋商小组的要求在苏采云系统中重新提交响应文件，并加盖电子公章</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1055"/>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13.5 </w:t>
      </w:r>
      <w:r>
        <w:rPr>
          <w:rFonts w:hint="eastAsia" w:ascii="Arial" w:hAnsi="Arial"/>
          <w:color w:val="000000"/>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000000"/>
          <w:szCs w:val="21"/>
          <w:highlight w:val="none"/>
        </w:rPr>
        <w:t xml:space="preserve">提交最后报价的供应商不得少于3家</w:t>
      </w:r>
      <w:r>
        <w:rPr>
          <w:rFonts w:hint="eastAsia" w:ascii="Arial" w:hAnsi="Arial"/>
          <w:color w:val="000000"/>
          <w:szCs w:val="21"/>
          <w:highlight w:val="none"/>
          <w:lang w:val="zh-CN"/>
        </w:rPr>
        <w:t xml:space="preserve">。最后报价是供应商响应文件的有效组成部分，</w:t>
      </w:r>
      <w:r>
        <w:rPr>
          <w:rFonts w:hint="eastAsia" w:ascii="Arial" w:hAnsi="Arial"/>
          <w:b/>
          <w:bCs/>
          <w:color w:val="000000"/>
          <w:szCs w:val="21"/>
          <w:highlight w:val="none"/>
        </w:rPr>
        <w:t xml:space="preserve">除项目扩大了供货范围，增加了采购内容、提高了技术要求外，原则上不得高于上一轮报价</w:t>
      </w:r>
      <w:r>
        <w:rPr>
          <w:rFonts w:hint="eastAsia" w:ascii="Arial" w:hAnsi="Arial"/>
          <w:b/>
          <w:bCs/>
          <w:color w:val="000000"/>
          <w:szCs w:val="21"/>
          <w:highlight w:val="none"/>
          <w:lang w:val="zh-CN"/>
        </w:rPr>
        <w:t xml:space="preserve">。</w:t>
      </w:r>
      <w:r>
        <w:rPr>
          <w:rFonts w:hint="eastAsia" w:ascii="Arial" w:hAnsi="Arial"/>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color w:val="000000"/>
          <w:szCs w:val="21"/>
          <w:highlight w:val="none"/>
        </w:rPr>
      </w:r>
      <w:r/>
    </w:p>
    <w:p>
      <w:pPr>
        <w:pStyle w:val="1055"/>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13.6 供应商未在磋商小组规定的时间内在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系统中提交加盖电子公章的《退出磋商函》</w:t>
      </w:r>
      <w:r>
        <w:rPr>
          <w:rFonts w:hint="eastAsia" w:ascii="Arial" w:hAnsi="Arial"/>
          <w:color w:val="000000"/>
          <w:szCs w:val="21"/>
          <w:highlight w:val="none"/>
          <w:lang w:eastAsia="zh-CN"/>
        </w:rPr>
        <w:t xml:space="preserve">。</w:t>
      </w:r>
      <w:r>
        <w:rPr>
          <w:rFonts w:hint="eastAsia" w:ascii="Arial" w:hAnsi="Arial"/>
          <w:color w:val="000000"/>
          <w:szCs w:val="21"/>
          <w:highlight w:val="none"/>
        </w:rPr>
      </w:r>
      <w:r/>
    </w:p>
    <w:p>
      <w:pPr>
        <w:pStyle w:val="1055"/>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w:t>
      </w:r>
      <w:r>
        <w:rPr>
          <w:rFonts w:ascii="Arial" w:hAnsi="Arial"/>
          <w:b/>
          <w:color w:val="000000"/>
          <w:szCs w:val="21"/>
          <w:highlight w:val="none"/>
        </w:rPr>
        <w:t xml:space="preserve">7</w:t>
      </w:r>
      <w:r>
        <w:rPr>
          <w:rFonts w:ascii="Arial" w:hAnsi="Arial"/>
          <w:b/>
          <w:color w:val="000000"/>
          <w:szCs w:val="21"/>
          <w:highlight w:val="none"/>
          <w:lang w:val="zh-CN"/>
        </w:rPr>
        <w:t xml:space="preserve"> 出现下列情形之一的响应文件按照无效处理：</w:t>
      </w:r>
      <w:r>
        <w:rPr>
          <w:rFonts w:ascii="Arial" w:hAnsi="Arial"/>
          <w:b/>
          <w:color w:val="000000"/>
          <w:szCs w:val="21"/>
          <w:highlight w:val="none"/>
          <w:lang w:val="zh-CN"/>
        </w:rPr>
      </w:r>
      <w:r/>
    </w:p>
    <w:p>
      <w:pPr>
        <w:pStyle w:val="1055"/>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1</w:t>
      </w:r>
      <w:r>
        <w:rPr>
          <w:rFonts w:ascii="Arial" w:hAnsi="Arial"/>
          <w:color w:val="000000"/>
          <w:szCs w:val="21"/>
          <w:highlight w:val="none"/>
        </w:rPr>
        <w:t xml:space="preserve">）不满足“第一章竞争性磋商公告</w:t>
      </w:r>
      <w:r>
        <w:rPr>
          <w:rFonts w:hint="eastAsia" w:ascii="Arial" w:hAnsi="Arial"/>
          <w:color w:val="000000"/>
          <w:szCs w:val="21"/>
          <w:highlight w:val="none"/>
        </w:rPr>
        <w:t xml:space="preserve"> 二</w:t>
      </w:r>
      <w:r>
        <w:rPr>
          <w:rFonts w:ascii="Arial" w:hAnsi="Arial"/>
          <w:color w:val="000000"/>
          <w:szCs w:val="21"/>
          <w:highlight w:val="none"/>
        </w:rPr>
        <w:t xml:space="preserve">、</w:t>
      </w:r>
      <w:r>
        <w:rPr>
          <w:rFonts w:hint="eastAsia" w:ascii="Arial" w:hAnsi="Arial"/>
          <w:color w:val="000000"/>
          <w:szCs w:val="21"/>
          <w:highlight w:val="none"/>
        </w:rPr>
        <w:t xml:space="preserve">申请</w:t>
      </w:r>
      <w:r>
        <w:rPr>
          <w:rFonts w:ascii="Arial" w:hAnsi="Arial"/>
          <w:color w:val="000000"/>
          <w:szCs w:val="21"/>
          <w:highlight w:val="none"/>
        </w:rPr>
        <w:t xml:space="preserve">人资格要求”的规定的； </w:t>
      </w:r>
      <w:r>
        <w:rPr>
          <w:rFonts w:ascii="Arial" w:hAnsi="Arial"/>
          <w:color w:val="000000"/>
          <w:szCs w:val="21"/>
          <w:highlight w:val="none"/>
        </w:rPr>
      </w:r>
      <w:r/>
    </w:p>
    <w:p>
      <w:pPr>
        <w:pStyle w:val="1055"/>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2</w:t>
      </w:r>
      <w:r>
        <w:rPr>
          <w:rFonts w:ascii="Arial" w:hAnsi="Arial"/>
          <w:color w:val="000000"/>
          <w:szCs w:val="21"/>
          <w:highlight w:val="none"/>
        </w:rPr>
        <w:t xml:space="preserve">）未实质性响应</w:t>
      </w:r>
      <w:r>
        <w:rPr>
          <w:rFonts w:hint="eastAsia" w:ascii="Arial" w:hAnsi="Arial"/>
          <w:color w:val="000000"/>
          <w:szCs w:val="21"/>
          <w:highlight w:val="none"/>
        </w:rPr>
        <w:t xml:space="preserve">磋商</w:t>
      </w:r>
      <w:r>
        <w:rPr>
          <w:rFonts w:ascii="Arial" w:hAnsi="Arial"/>
          <w:color w:val="000000"/>
          <w:szCs w:val="21"/>
          <w:highlight w:val="none"/>
        </w:rPr>
        <w:t xml:space="preserve">文件要求的；</w:t>
      </w:r>
      <w:r>
        <w:rPr>
          <w:rFonts w:hint="eastAsia" w:ascii="Arial" w:hAnsi="Arial"/>
          <w:b/>
          <w:color w:val="000000"/>
          <w:szCs w:val="21"/>
          <w:highlight w:val="none"/>
          <w:lang w:val="zh-CN"/>
        </w:rPr>
        <w:t xml:space="preserve">（</w:t>
      </w:r>
      <w:r>
        <w:rPr>
          <w:rFonts w:ascii="Arial" w:hAnsi="Arial"/>
          <w:b/>
          <w:bCs/>
          <w:color w:val="000000"/>
          <w:szCs w:val="21"/>
          <w:highlight w:val="none"/>
        </w:rPr>
        <w:t xml:space="preserve">实质性要求是指本磋商文件中用带星号（“</w:t>
      </w:r>
      <w:r>
        <w:rPr>
          <w:rFonts w:hint="eastAsia" w:ascii="Arial" w:hAnsi="Arial"/>
          <w:b/>
          <w:bCs/>
          <w:color w:val="000000"/>
          <w:highlight w:val="none"/>
          <w:lang w:eastAsia="zh-CN"/>
        </w:rPr>
        <w:t xml:space="preserve">★</w:t>
      </w:r>
      <w:r>
        <w:rPr>
          <w:rFonts w:ascii="Arial" w:hAnsi="Arial"/>
          <w:b/>
          <w:bCs/>
          <w:color w:val="000000"/>
          <w:szCs w:val="21"/>
          <w:highlight w:val="none"/>
        </w:rPr>
        <w:t xml:space="preserve">”）的商务和技术要求。</w:t>
      </w:r>
      <w:r>
        <w:rPr>
          <w:rFonts w:hint="eastAsia" w:ascii="Arial" w:hAnsi="Arial"/>
          <w:b/>
          <w:color w:val="000000"/>
          <w:szCs w:val="21"/>
          <w:highlight w:val="none"/>
          <w:lang w:val="zh-CN"/>
        </w:rPr>
        <w:t xml:space="preserve">）</w:t>
      </w:r>
      <w:r>
        <w:rPr>
          <w:rFonts w:ascii="Arial" w:hAnsi="Arial"/>
          <w:color w:val="000000"/>
          <w:szCs w:val="21"/>
          <w:highlight w:val="none"/>
        </w:rPr>
      </w:r>
      <w:r/>
    </w:p>
    <w:p>
      <w:pPr>
        <w:pStyle w:val="1055"/>
        <w:ind w:firstLine="420"/>
        <w:spacing w:line="360" w:lineRule="auto"/>
        <w:rPr>
          <w:rFonts w:hint="eastAsia" w:ascii="Arial" w:hAnsi="Arial"/>
          <w:color w:val="000000"/>
          <w:szCs w:val="21"/>
          <w:highlight w:val="none"/>
          <w:lang w:val="zh-CN"/>
        </w:rPr>
      </w:pPr>
      <w:r>
        <w:rPr>
          <w:rFonts w:ascii="Arial" w:hAnsi="Arial"/>
          <w:color w:val="000000"/>
          <w:szCs w:val="21"/>
          <w:highlight w:val="none"/>
        </w:rPr>
        <w:t xml:space="preserve">（</w:t>
      </w:r>
      <w:r>
        <w:rPr>
          <w:rFonts w:hint="eastAsia" w:ascii="Arial" w:hAnsi="Arial"/>
          <w:color w:val="000000"/>
          <w:szCs w:val="21"/>
          <w:highlight w:val="none"/>
        </w:rPr>
        <w:t xml:space="preserve">3</w:t>
      </w:r>
      <w:r>
        <w:rPr>
          <w:rFonts w:ascii="Arial" w:hAnsi="Arial"/>
          <w:color w:val="000000"/>
          <w:szCs w:val="21"/>
          <w:highlight w:val="none"/>
        </w:rPr>
        <w:t xml:space="preserve">）</w:t>
      </w:r>
      <w:r>
        <w:rPr>
          <w:rFonts w:ascii="Arial" w:hAnsi="Arial"/>
          <w:color w:val="000000"/>
          <w:szCs w:val="21"/>
          <w:highlight w:val="none"/>
          <w:lang w:val="zh-CN"/>
        </w:rPr>
        <w:t xml:space="preserve">不符合法律、法规和磋商文件规定的其他实质性要求的</w:t>
      </w:r>
      <w:r>
        <w:rPr>
          <w:rFonts w:hint="eastAsia" w:ascii="Arial" w:hAnsi="Arial"/>
          <w:color w:val="000000"/>
          <w:szCs w:val="21"/>
          <w:highlight w:val="none"/>
          <w:lang w:val="zh-CN"/>
        </w:rPr>
        <w:t xml:space="preserve">；</w:t>
      </w:r>
      <w:r>
        <w:rPr>
          <w:rFonts w:hint="eastAsia" w:ascii="Arial" w:hAnsi="Arial"/>
          <w:color w:val="000000"/>
          <w:szCs w:val="21"/>
          <w:highlight w:val="none"/>
          <w:lang w:val="zh-CN"/>
        </w:rPr>
      </w:r>
      <w:r/>
    </w:p>
    <w:p>
      <w:pPr>
        <w:pStyle w:val="1055"/>
        <w:ind w:firstLine="420"/>
        <w:spacing w:line="360" w:lineRule="auto"/>
        <w:rPr>
          <w:rFonts w:hint="eastAsia"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4</w:t>
      </w:r>
      <w:r>
        <w:rPr>
          <w:rFonts w:hint="eastAsia" w:ascii="Arial" w:hAnsi="Arial"/>
          <w:color w:val="000000"/>
          <w:szCs w:val="21"/>
          <w:highlight w:val="none"/>
          <w:lang w:val="zh-CN"/>
        </w:rPr>
        <w:t xml:space="preserve">）供应商在“苏采云”系统规定的时间内未成功解密电子响应文件；</w:t>
      </w:r>
      <w:r>
        <w:rPr>
          <w:rFonts w:hint="eastAsia" w:ascii="Arial" w:hAnsi="Arial"/>
          <w:color w:val="000000"/>
          <w:szCs w:val="21"/>
          <w:highlight w:val="none"/>
          <w:lang w:val="zh-CN"/>
        </w:rPr>
      </w:r>
      <w:r/>
    </w:p>
    <w:p>
      <w:pPr>
        <w:pStyle w:val="1055"/>
        <w:ind w:firstLine="420"/>
        <w:spacing w:line="360" w:lineRule="auto"/>
        <w:rPr>
          <w:rFonts w:hint="eastAsia"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5</w:t>
      </w:r>
      <w:r>
        <w:rPr>
          <w:rFonts w:hint="eastAsia" w:ascii="Arial" w:hAnsi="Arial"/>
          <w:color w:val="000000"/>
          <w:szCs w:val="21"/>
          <w:highlight w:val="none"/>
          <w:lang w:val="zh-CN"/>
        </w:rPr>
        <w:t xml:space="preserve">）供应商未按照磋商文件要求上传电子响应文件；</w:t>
      </w:r>
      <w:r>
        <w:rPr>
          <w:rFonts w:hint="eastAsia" w:ascii="Arial" w:hAnsi="Arial"/>
          <w:color w:val="000000"/>
          <w:szCs w:val="21"/>
          <w:highlight w:val="none"/>
          <w:lang w:val="zh-CN"/>
        </w:rPr>
      </w:r>
      <w:r/>
    </w:p>
    <w:p>
      <w:pPr>
        <w:pStyle w:val="1055"/>
        <w:ind w:firstLine="420"/>
        <w:spacing w:line="360" w:lineRule="auto"/>
        <w:rPr>
          <w:rFonts w:hint="eastAsia" w:ascii="Arial" w:hAnsi="Arial" w:eastAsia="宋体" w:cs="Times New Roman"/>
          <w:color w:val="000000"/>
          <w:szCs w:val="21"/>
          <w:highlight w:val="none"/>
          <w:lang w:val="en-US" w:eastAsia="zh-CN"/>
        </w:rPr>
      </w:pPr>
      <w:r>
        <w:rPr>
          <w:rFonts w:hint="eastAsia" w:ascii="Arial" w:hAnsi="Arial" w:eastAsia="宋体" w:cs="Times New Roman"/>
          <w:color w:val="000000"/>
          <w:szCs w:val="21"/>
          <w:highlight w:val="none"/>
          <w:lang w:val="en-US" w:eastAsia="zh-CN"/>
        </w:rPr>
        <w:t xml:space="preserve">（6）响应报价超过预算或最高限价的、无报价以及报价中包含的专业工程暂估价或材料(工程设备)暂估单价或暂列金额与磋商文件中给定的不一致的</w:t>
      </w:r>
      <w:r>
        <w:rPr>
          <w:rFonts w:hint="eastAsia" w:ascii="Arial" w:hAnsi="Arial"/>
          <w:color w:val="000000"/>
          <w:szCs w:val="21"/>
          <w:highlight w:val="none"/>
          <w:lang w:val="zh-CN"/>
        </w:rPr>
        <w:t xml:space="preserve">；</w:t>
      </w:r>
      <w:r>
        <w:rPr>
          <w:rFonts w:hint="eastAsia" w:ascii="Arial" w:hAnsi="Arial" w:eastAsia="宋体" w:cs="Times New Roman"/>
          <w:color w:val="000000"/>
          <w:szCs w:val="21"/>
          <w:highlight w:val="none"/>
          <w:lang w:val="en-US" w:eastAsia="zh-CN"/>
        </w:rPr>
      </w:r>
      <w:r/>
    </w:p>
    <w:p>
      <w:pPr>
        <w:pStyle w:val="1055"/>
        <w:ind w:firstLine="420"/>
        <w:spacing w:line="360" w:lineRule="auto"/>
        <w:rPr>
          <w:rFonts w:hint="eastAsia" w:ascii="Arial" w:hAnsi="Arial" w:eastAsia="宋体" w:cs="Times New Roman"/>
          <w:color w:val="000000"/>
          <w:szCs w:val="21"/>
          <w:highlight w:val="none"/>
          <w:lang w:val="en-US" w:eastAsia="zh-CN"/>
        </w:rPr>
      </w:pPr>
      <w:r>
        <w:rPr>
          <w:rFonts w:hint="eastAsia" w:ascii="Arial" w:hAnsi="Arial" w:eastAsia="宋体" w:cs="Times New Roman"/>
          <w:color w:val="000000"/>
          <w:szCs w:val="21"/>
          <w:highlight w:val="none"/>
          <w:lang w:val="en-US" w:eastAsia="zh-CN"/>
        </w:rPr>
        <w:t xml:space="preserve">（7）已标价工程量清单与采购文件提供的工程量清单中的项目编码、项目名称、项目特征、计量单位、工程量不一致的（措施项目增项除外）</w:t>
      </w:r>
      <w:r>
        <w:rPr>
          <w:rFonts w:hint="eastAsia" w:ascii="Arial" w:hAnsi="Arial"/>
          <w:color w:val="000000"/>
          <w:szCs w:val="21"/>
          <w:highlight w:val="none"/>
          <w:lang w:val="zh-CN"/>
        </w:rPr>
        <w:t xml:space="preserve">；</w:t>
      </w:r>
      <w:r>
        <w:rPr>
          <w:rFonts w:hint="eastAsia" w:ascii="Arial" w:hAnsi="Arial" w:eastAsia="宋体" w:cs="Times New Roman"/>
          <w:color w:val="000000"/>
          <w:szCs w:val="21"/>
          <w:highlight w:val="none"/>
          <w:lang w:val="en-US" w:eastAsia="zh-CN"/>
        </w:rPr>
      </w:r>
      <w:r/>
    </w:p>
    <w:p>
      <w:pPr>
        <w:pStyle w:val="1055"/>
        <w:ind w:firstLine="420"/>
        <w:spacing w:line="360" w:lineRule="auto"/>
        <w:rPr>
          <w:color w:val="000000"/>
          <w:highlight w:val="none"/>
        </w:rPr>
      </w:pPr>
      <w:r>
        <w:rPr>
          <w:rFonts w:hint="eastAsia" w:ascii="Arial" w:hAnsi="Arial" w:eastAsia="宋体" w:cs="Times New Roman"/>
          <w:color w:val="000000"/>
          <w:szCs w:val="21"/>
          <w:highlight w:val="none"/>
          <w:lang w:val="en-US" w:eastAsia="zh-CN"/>
        </w:rPr>
        <w:t xml:space="preserve">（8）已标价工程量清单与采购文件明确列出的不可竞争费用项目或费率或计算基础不一致的。</w:t>
      </w:r>
      <w:r>
        <w:rPr>
          <w:color w:val="000000"/>
          <w:highlight w:val="none"/>
        </w:rPr>
      </w:r>
      <w:r/>
    </w:p>
    <w:p>
      <w:pPr>
        <w:pStyle w:val="1055"/>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.8</w:t>
      </w:r>
      <w:r>
        <w:rPr>
          <w:rFonts w:ascii="Arial" w:hAnsi="Arial"/>
          <w:b/>
          <w:bCs/>
          <w:color w:val="000000"/>
          <w:szCs w:val="21"/>
          <w:highlight w:val="none"/>
          <w:lang w:val="zh-CN"/>
        </w:rPr>
        <w:t xml:space="preserve">出现下列情形之一的磋商终止：</w:t>
      </w:r>
      <w:r>
        <w:rPr>
          <w:rFonts w:ascii="Arial" w:hAnsi="Arial"/>
          <w:b/>
          <w:color w:val="000000"/>
          <w:szCs w:val="21"/>
          <w:highlight w:val="none"/>
          <w:lang w:val="zh-CN"/>
        </w:rPr>
      </w:r>
      <w:r/>
    </w:p>
    <w:p>
      <w:pPr>
        <w:pStyle w:val="105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（1）因情况变化，不再符合规定的竞争性磋商采购方式适用情形的；</w:t>
      </w:r>
      <w:r>
        <w:rPr>
          <w:rFonts w:ascii="Arial" w:hAnsi="Arial"/>
          <w:color w:val="000000"/>
          <w:szCs w:val="21"/>
          <w:highlight w:val="none"/>
          <w:lang w:val="zh-CN"/>
        </w:rPr>
      </w:r>
      <w:r/>
    </w:p>
    <w:p>
      <w:pPr>
        <w:pStyle w:val="105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（2）出现影响采购公正的违法、违规行为的；</w:t>
      </w:r>
      <w:r>
        <w:rPr>
          <w:rFonts w:ascii="Arial" w:hAnsi="Arial"/>
          <w:color w:val="000000"/>
          <w:szCs w:val="21"/>
          <w:highlight w:val="none"/>
          <w:lang w:val="zh-CN"/>
        </w:rPr>
      </w:r>
      <w:r/>
    </w:p>
    <w:p>
      <w:pPr>
        <w:pStyle w:val="1055"/>
        <w:ind w:firstLine="420"/>
        <w:spacing w:line="360" w:lineRule="auto"/>
        <w:rPr>
          <w:rFonts w:hint="eastAsia" w:ascii="宋体" w:hAnsi="宋体"/>
          <w:color w:val="000000"/>
          <w:szCs w:val="21"/>
          <w:highlight w:val="none"/>
          <w:lang w:val="zh-CN"/>
        </w:rPr>
      </w:pPr>
      <w:r>
        <w:rPr>
          <w:rFonts w:ascii="Arial" w:hAnsi="Arial"/>
          <w:color w:val="000000"/>
          <w:szCs w:val="21"/>
          <w:highlight w:val="none"/>
          <w:lang w:val="zh-CN"/>
        </w:rPr>
        <w:t xml:space="preserve">（3）</w:t>
      </w:r>
      <w:r>
        <w:rPr>
          <w:rFonts w:hint="eastAsia" w:ascii="宋体" w:hAnsi="宋体"/>
          <w:color w:val="000000"/>
          <w:szCs w:val="21"/>
          <w:highlight w:val="none"/>
          <w:lang w:val="zh-CN"/>
        </w:rPr>
        <w:t xml:space="preserve">除</w:t>
      </w:r>
      <w:r>
        <w:rPr>
          <w:rFonts w:hint="eastAsia" w:ascii="Arial" w:hAnsi="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olor w:val="000000"/>
          <w:szCs w:val="21"/>
          <w:highlight w:val="none"/>
          <w:lang w:val="zh-CN"/>
        </w:rPr>
        <w:t xml:space="preserve">外，在采购过程中符合要求的供应商或者报价未超过采购预算的供应商不足3家的；</w:t>
      </w:r>
      <w:r>
        <w:rPr>
          <w:rFonts w:hint="eastAsia" w:ascii="宋体" w:hAnsi="宋体"/>
          <w:color w:val="000000"/>
          <w:szCs w:val="21"/>
          <w:highlight w:val="none"/>
          <w:lang w:val="zh-CN"/>
        </w:rPr>
      </w:r>
      <w:r/>
    </w:p>
    <w:p>
      <w:pPr>
        <w:pStyle w:val="1055"/>
        <w:ind w:firstLine="420"/>
        <w:spacing w:line="360" w:lineRule="auto"/>
        <w:rPr>
          <w:rFonts w:hint="eastAsia" w:ascii="宋体" w:hAnsi="宋体"/>
          <w:color w:val="000000"/>
          <w:szCs w:val="21"/>
          <w:highlight w:val="none"/>
          <w:lang w:val="zh-CN"/>
        </w:rPr>
      </w:pPr>
      <w:r>
        <w:rPr>
          <w:rFonts w:hint="eastAsia" w:ascii="宋体" w:hAnsi="宋体"/>
          <w:b w:val="0"/>
          <w:bCs w:val="0"/>
          <w:color w:val="000000"/>
          <w:szCs w:val="21"/>
          <w:highlight w:val="none"/>
          <w:lang w:val="zh-CN"/>
        </w:rPr>
        <w:t xml:space="preserve">（</w:t>
      </w:r>
      <w:r>
        <w:rPr>
          <w:rFonts w:hint="eastAsia" w:ascii="宋体" w:hAnsi="宋体"/>
          <w:b w:val="0"/>
          <w:bCs w:val="0"/>
          <w:color w:val="000000"/>
          <w:szCs w:val="21"/>
          <w:highlight w:val="none"/>
          <w:lang w:val="en-US" w:eastAsia="zh-CN"/>
        </w:rPr>
        <w:t xml:space="preserve">4</w:t>
      </w:r>
      <w:r>
        <w:rPr>
          <w:rFonts w:hint="eastAsia" w:ascii="宋体" w:hAnsi="宋体"/>
          <w:b w:val="0"/>
          <w:bCs w:val="0"/>
          <w:color w:val="000000"/>
          <w:szCs w:val="21"/>
          <w:highlight w:val="none"/>
          <w:lang w:val="zh-CN"/>
        </w:rPr>
        <w:t xml:space="preserve">）</w:t>
      </w:r>
      <w:r>
        <w:rPr>
          <w:rFonts w:hint="eastAsia" w:ascii="宋体" w:hAnsi="宋体"/>
          <w:color w:val="000000"/>
          <w:szCs w:val="21"/>
          <w:highlight w:val="none"/>
          <w:lang w:val="zh-CN"/>
        </w:rPr>
        <w:t xml:space="preserve">在“苏采云”系统规定时间内成功解密电子响应文件的供应商不足3家</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1055"/>
        <w:ind w:firstLine="422"/>
        <w:spacing w:line="360" w:lineRule="auto"/>
        <w:rPr>
          <w:rFonts w:hint="eastAsia" w:ascii="Arial" w:hAnsi="Arial" w:eastAsia="宋体" w:cs="Times New Roman"/>
          <w:b/>
          <w:bCs/>
          <w:color w:val="000000"/>
          <w:szCs w:val="21"/>
          <w:highlight w:val="none"/>
          <w:lang w:val="zh-CN" w:eastAsia="zh-CN"/>
        </w:rPr>
      </w:pPr>
      <w:r>
        <w:rPr>
          <w:rFonts w:ascii="Arial" w:hAnsi="Arial" w:eastAsia="宋体" w:cs="Times New Roman"/>
          <w:b/>
          <w:bCs/>
          <w:color w:val="000000"/>
          <w:szCs w:val="21"/>
          <w:highlight w:val="none"/>
          <w:lang w:val="zh-CN" w:eastAsia="zh-CN"/>
        </w:rPr>
        <w:t xml:space="preserve">13.9</w:t>
      </w:r>
      <w:r>
        <w:rPr>
          <w:rFonts w:hint="eastAsia" w:ascii="Arial" w:hAnsi="Arial" w:eastAsia="宋体" w:cs="Times New Roman"/>
          <w:b/>
          <w:bCs/>
          <w:color w:val="000000"/>
          <w:szCs w:val="21"/>
          <w:highlight w:val="none"/>
          <w:lang w:val="en-US" w:eastAsia="zh-CN"/>
        </w:rPr>
        <w:t xml:space="preserve"> </w:t>
      </w:r>
      <w:r>
        <w:rPr>
          <w:rFonts w:ascii="Arial" w:hAnsi="Arial" w:eastAsia="宋体" w:cs="Times New Roman"/>
          <w:b/>
          <w:bCs/>
          <w:color w:val="000000"/>
          <w:szCs w:val="21"/>
          <w:highlight w:val="none"/>
          <w:lang w:val="en-US" w:eastAsia="zh-CN"/>
        </w:rPr>
        <w:t xml:space="preserve">磋商小组</w:t>
      </w:r>
      <w:r>
        <w:rPr>
          <w:rFonts w:ascii="Arial" w:hAnsi="Arial" w:eastAsia="宋体" w:cs="Times New Roman"/>
          <w:b/>
          <w:bCs/>
          <w:color w:val="000000"/>
          <w:szCs w:val="21"/>
          <w:highlight w:val="none"/>
          <w:lang w:val="zh-CN"/>
        </w:rPr>
        <w:t xml:space="preserve">启动异常低价</w:t>
      </w:r>
      <w:r>
        <w:rPr>
          <w:rFonts w:ascii="Arial" w:hAnsi="Arial" w:eastAsia="宋体" w:cs="Times New Roman"/>
          <w:b/>
          <w:bCs/>
          <w:color w:val="000000"/>
          <w:szCs w:val="21"/>
          <w:highlight w:val="none"/>
          <w:lang w:val="en-US" w:eastAsia="zh-CN"/>
        </w:rPr>
        <w:t xml:space="preserve">响应</w:t>
      </w:r>
      <w:r>
        <w:rPr>
          <w:rFonts w:ascii="Arial" w:hAnsi="Arial" w:eastAsia="宋体" w:cs="Times New Roman"/>
          <w:b/>
          <w:bCs/>
          <w:color w:val="000000"/>
          <w:szCs w:val="21"/>
          <w:highlight w:val="none"/>
          <w:lang w:val="zh-CN"/>
        </w:rPr>
        <w:t xml:space="preserve">审查的情形和具体要求</w:t>
      </w:r>
      <w:r>
        <w:rPr>
          <w:rFonts w:hint="eastAsia" w:ascii="Arial" w:hAnsi="Arial" w:eastAsia="宋体" w:cs="Times New Roman"/>
          <w:b/>
          <w:bCs/>
          <w:color w:val="000000"/>
          <w:szCs w:val="21"/>
          <w:highlight w:val="none"/>
          <w:lang w:val="zh-CN" w:eastAsia="zh-CN"/>
        </w:rPr>
        <w:t xml:space="preserve">：</w:t>
      </w:r>
      <w:r>
        <w:rPr>
          <w:rFonts w:hint="eastAsia" w:ascii="Arial" w:hAnsi="Arial" w:eastAsia="宋体" w:cs="Times New Roman"/>
          <w:b/>
          <w:bCs/>
          <w:color w:val="000000"/>
          <w:szCs w:val="21"/>
          <w:highlight w:val="none"/>
          <w:lang w:val="zh-CN" w:eastAsia="zh-CN"/>
        </w:rPr>
      </w:r>
      <w:r/>
    </w:p>
    <w:p>
      <w:pPr>
        <w:pStyle w:val="1055"/>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en-US" w:eastAsia="zh-CN"/>
        </w:rPr>
        <w:t xml:space="preserve">13.9</w:t>
      </w:r>
      <w:r>
        <w:rPr>
          <w:rFonts w:hint="eastAsia" w:ascii="Arial" w:hAnsi="Arial" w:eastAsia="宋体" w:cs="Times New Roman"/>
          <w:color w:val="000000"/>
          <w:szCs w:val="21"/>
          <w:highlight w:val="none"/>
          <w:lang w:val="zh-CN"/>
        </w:rPr>
        <w:t xml:space="preserve">.1 评审过程中出现下列情形之一的，磋商小组应当启动异常低价响应审查程序： </w:t>
      </w:r>
      <w:r>
        <w:rPr>
          <w:rFonts w:hint="eastAsia" w:ascii="Arial" w:hAnsi="Arial" w:eastAsia="宋体" w:cs="Times New Roman"/>
          <w:color w:val="000000"/>
          <w:szCs w:val="21"/>
          <w:highlight w:val="none"/>
          <w:lang w:val="zh-CN"/>
        </w:rPr>
      </w:r>
      <w:r/>
    </w:p>
    <w:p>
      <w:pPr>
        <w:pStyle w:val="1055"/>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zh-CN"/>
        </w:rPr>
        <w:t xml:space="preserve">（1）响应报价低于全部通过符合性审查供应商响应报价平均值50%的，即响应报价&lt;全部通过符合性审查供应商响应报价平均值×50%；</w:t>
      </w:r>
      <w:r>
        <w:rPr>
          <w:rFonts w:hint="eastAsia" w:ascii="Arial" w:hAnsi="Arial" w:eastAsia="宋体" w:cs="Times New Roman"/>
          <w:color w:val="000000"/>
          <w:szCs w:val="21"/>
          <w:highlight w:val="none"/>
          <w:lang w:val="zh-CN"/>
        </w:rPr>
      </w:r>
      <w:r/>
    </w:p>
    <w:p>
      <w:pPr>
        <w:pStyle w:val="1055"/>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zh-CN"/>
        </w:rPr>
        <w:t xml:space="preserve">（2）响应报价低于通过符合性审查的次低报价供应商响应报价50%的，即响应报价&lt;通过符合性审查的次低报价供应商响应报价×50%；</w:t>
      </w:r>
      <w:r>
        <w:rPr>
          <w:rFonts w:hint="eastAsia" w:ascii="Arial" w:hAnsi="Arial" w:eastAsia="宋体" w:cs="Times New Roman"/>
          <w:color w:val="000000"/>
          <w:szCs w:val="21"/>
          <w:highlight w:val="none"/>
          <w:lang w:val="zh-CN"/>
        </w:rPr>
      </w:r>
      <w:r/>
    </w:p>
    <w:p>
      <w:pPr>
        <w:pStyle w:val="1055"/>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zh-CN"/>
        </w:rPr>
        <w:t xml:space="preserve">（3）响应报价低于本项目最高限价45%的，即响应报价&lt;本项目最高限价×45%；</w:t>
      </w:r>
      <w:r>
        <w:rPr>
          <w:rFonts w:hint="eastAsia" w:ascii="Arial" w:hAnsi="Arial" w:eastAsia="宋体" w:cs="Times New Roman"/>
          <w:color w:val="000000"/>
          <w:szCs w:val="21"/>
          <w:highlight w:val="none"/>
          <w:lang w:val="zh-CN"/>
        </w:rPr>
      </w:r>
      <w:r/>
    </w:p>
    <w:p>
      <w:pPr>
        <w:pStyle w:val="1055"/>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zh-CN"/>
        </w:rPr>
        <w:t xml:space="preserve">（4）评审委员会基于专业判断，认为供应商报价过低，有可能影响产品质量或者不能诚信履约的其他情形。</w:t>
      </w:r>
      <w:r>
        <w:rPr>
          <w:rFonts w:hint="eastAsia" w:ascii="Arial" w:hAnsi="Arial" w:eastAsia="宋体" w:cs="Times New Roman"/>
          <w:color w:val="000000"/>
          <w:szCs w:val="21"/>
          <w:highlight w:val="none"/>
          <w:lang w:val="zh-CN"/>
        </w:rPr>
      </w:r>
      <w:r/>
    </w:p>
    <w:p>
      <w:pPr>
        <w:pStyle w:val="1055"/>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en-US" w:eastAsia="zh-CN"/>
        </w:rPr>
        <w:t xml:space="preserve">13.9</w:t>
      </w:r>
      <w:r>
        <w:rPr>
          <w:rFonts w:hint="eastAsia" w:ascii="Arial" w:hAnsi="Arial" w:eastAsia="宋体" w:cs="Times New Roman"/>
          <w:color w:val="000000"/>
          <w:szCs w:val="21"/>
          <w:highlight w:val="none"/>
          <w:lang w:val="zh-CN"/>
        </w:rPr>
        <w:t xml:space="preserve">.2 磋商小组启动异常低价响应审查后，属于22.4.1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22.4.1条第（3）项情形的，供应商已随响应文件一并提交相关书面说明及必要的证明材料的，在评审现场可不再重复提交。</w:t>
      </w:r>
      <w:r>
        <w:rPr>
          <w:rFonts w:hint="eastAsia" w:ascii="Arial" w:hAnsi="Arial" w:eastAsia="宋体" w:cs="Times New Roman"/>
          <w:color w:val="000000"/>
          <w:szCs w:val="21"/>
          <w:highlight w:val="none"/>
          <w:lang w:val="zh-CN"/>
        </w:rPr>
      </w:r>
      <w:r/>
    </w:p>
    <w:p>
      <w:pPr>
        <w:pStyle w:val="1055"/>
        <w:ind w:firstLine="420"/>
        <w:spacing w:line="360" w:lineRule="auto"/>
        <w:rPr>
          <w:rFonts w:hint="eastAsia" w:ascii="宋体" w:hAnsi="宋体" w:cs="宋体"/>
          <w:color w:val="000000"/>
          <w:sz w:val="22"/>
          <w:szCs w:val="22"/>
          <w:highlight w:val="none"/>
        </w:rPr>
      </w:pPr>
      <w:r>
        <w:rPr>
          <w:rFonts w:hint="eastAsia" w:ascii="Arial" w:hAnsi="Arial" w:eastAsia="宋体" w:cs="Times New Roman"/>
          <w:color w:val="000000"/>
          <w:szCs w:val="21"/>
          <w:highlight w:val="none"/>
          <w:lang w:val="en-US" w:eastAsia="zh-CN"/>
        </w:rPr>
        <w:t xml:space="preserve">13.9</w:t>
      </w:r>
      <w:r>
        <w:rPr>
          <w:rFonts w:hint="eastAsia" w:ascii="Arial" w:hAnsi="Arial" w:eastAsia="宋体" w:cs="Times New Roman"/>
          <w:color w:val="000000"/>
          <w:szCs w:val="21"/>
          <w:highlight w:val="none"/>
          <w:lang w:val="zh-CN"/>
        </w:rPr>
        <w:t xml:space="preserve">.3磋商小组会依据专业经验，参考同类项目成交价格、类似产品市场价格水平、行业人工费用标准、国家有关部门指导行业协会发布的行业平均成本等情况，对报价合理性进行判断。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bCs/>
          <w:color w:val="000000"/>
          <w:sz w:val="22"/>
          <w:szCs w:val="22"/>
          <w:highlight w:val="none"/>
        </w:rPr>
        <w:t xml:space="preserve">供应商不能提供书面说明、证明材料，或者提供的书面说明、证明材料不能证明其报价合理性的，磋商小组应当将其作为无效响应处理。</w:t>
      </w:r>
      <w:r>
        <w:rPr>
          <w:rFonts w:hint="eastAsia" w:ascii="宋体" w:hAnsi="宋体" w:cs="宋体"/>
          <w:color w:val="000000"/>
          <w:sz w:val="22"/>
          <w:szCs w:val="22"/>
          <w:highlight w:val="none"/>
        </w:rPr>
      </w:r>
      <w:r/>
    </w:p>
    <w:p>
      <w:pPr>
        <w:pStyle w:val="1055"/>
        <w:ind w:firstLine="420"/>
        <w:spacing w:line="360" w:lineRule="auto"/>
        <w:rPr>
          <w:rFonts w:hint="eastAsia" w:ascii="Arial" w:hAnsi="Arial" w:eastAsia="宋体" w:cs="Times New Roman"/>
          <w:color w:val="000000"/>
          <w:szCs w:val="21"/>
          <w:highlight w:val="none"/>
          <w:lang w:val="zh-CN"/>
        </w:rPr>
      </w:pPr>
      <w:r>
        <w:rPr>
          <w:rFonts w:hint="eastAsia" w:ascii="Arial" w:hAnsi="Arial" w:eastAsia="宋体" w:cs="Times New Roman"/>
          <w:color w:val="000000"/>
          <w:szCs w:val="21"/>
          <w:highlight w:val="none"/>
          <w:lang w:val="en-US" w:eastAsia="zh-CN"/>
        </w:rPr>
        <w:t xml:space="preserve">13.9</w:t>
      </w:r>
      <w:r>
        <w:rPr>
          <w:rFonts w:hint="eastAsia" w:ascii="Arial" w:hAnsi="Arial" w:eastAsia="宋体" w:cs="Times New Roman"/>
          <w:color w:val="000000"/>
          <w:szCs w:val="21"/>
          <w:highlight w:val="none"/>
          <w:lang w:val="zh-CN"/>
        </w:rPr>
        <w:t xml:space="preserve">.4异常低价响应审查的启动原因、审查意见和审查结果应当在评审报告中记录，并随供应商提供的相关书面说明及证明材料，以及磋商小组有关互联网浏览、查询历史一并归档。</w:t>
      </w:r>
      <w:r>
        <w:rPr>
          <w:rFonts w:hint="eastAsia" w:ascii="Arial" w:hAnsi="Arial" w:eastAsia="宋体" w:cs="Times New Roman"/>
          <w:color w:val="000000"/>
          <w:szCs w:val="21"/>
          <w:highlight w:val="none"/>
          <w:lang w:val="zh-CN"/>
        </w:rPr>
      </w:r>
      <w:r/>
    </w:p>
    <w:p>
      <w:pPr>
        <w:pStyle w:val="1055"/>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1055"/>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1055"/>
        <w:spacing w:line="360" w:lineRule="auto"/>
        <w:rPr>
          <w:rFonts w:ascii="Arial" w:hAnsi="Arial" w:cs="Arial"/>
          <w:color w:val="000000"/>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105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1055"/>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rFonts w:ascii="Arial" w:hAnsi="Arial" w:cs="Arial"/>
          <w:color w:val="000000"/>
          <w:szCs w:val="21"/>
          <w:highlight w:val="none"/>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rPr>
        <w:t xml:space="preserve">.</w:t>
      </w:r>
      <w:r>
        <w:rPr>
          <w:rFonts w:hint="eastAsia" w:ascii="Arial" w:hAnsi="Arial" w:eastAsia="宋体" w:cs="Arial"/>
          <w:color w:val="000000"/>
          <w:szCs w:val="21"/>
          <w:highlight w:val="none"/>
          <w:lang w:val="en-US" w:eastAsia="zh-CN"/>
        </w:rPr>
        <w:t xml:space="preserve">2</w:t>
      </w:r>
      <w:r>
        <w:rPr>
          <w:rFonts w:ascii="Arial" w:hAnsi="Arial" w:eastAsia="宋体" w:cs="Arial"/>
          <w:color w:val="000000"/>
          <w:szCs w:val="21"/>
          <w:highlight w:val="none"/>
        </w:rPr>
        <w:t xml:space="preserve"> 磋商小组根据磋商过程和结果编写磋商（评审）报告。</w:t>
      </w:r>
      <w:r>
        <w:rPr>
          <w:rFonts w:ascii="Arial" w:hAnsi="Arial" w:eastAsia="宋体" w:cs="Arial"/>
          <w:color w:val="000000"/>
          <w:szCs w:val="21"/>
          <w:highlight w:val="none"/>
        </w:rPr>
      </w:r>
      <w:r/>
    </w:p>
    <w:p>
      <w:pPr>
        <w:pStyle w:val="1055"/>
        <w:ind w:firstLine="420"/>
        <w:spacing w:line="360" w:lineRule="auto"/>
        <w:shd w:val="clear" w:color="auto" w:fill="ffffff"/>
        <w:widowControl/>
        <w:rPr>
          <w:rFonts w:hint="eastAsia" w:ascii="Arial" w:hAnsi="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ascii="Arial" w:hAnsi="Arial"/>
          <w:color w:val="000000"/>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000000"/>
          <w:szCs w:val="21"/>
          <w:highlight w:val="none"/>
          <w:lang w:val="zh-CN"/>
        </w:rPr>
        <w:t xml:space="preserve">代理机构将向成交供应商发出《成交通知书》。成交供应商可在成交结果公告届满之日起三十日内，登录“苏采云”系统下载。    </w:t>
      </w:r>
      <w:r>
        <w:rPr>
          <w:rFonts w:hint="eastAsia" w:ascii="Arial" w:hAnsi="Arial"/>
          <w:color w:val="000000"/>
          <w:szCs w:val="21"/>
          <w:highlight w:val="none"/>
          <w:lang w:val="zh-CN"/>
        </w:rPr>
      </w:r>
      <w:r/>
    </w:p>
    <w:p>
      <w:pPr>
        <w:pStyle w:val="1055"/>
        <w:ind w:firstLine="420"/>
        <w:spacing w:line="360" w:lineRule="auto"/>
        <w:shd w:val="clear" w:color="auto" w:fill="ffffff"/>
        <w:widowControl/>
        <w:rPr>
          <w:rFonts w:ascii="Arial" w:hAnsi="Arial"/>
          <w:color w:val="000000"/>
          <w:szCs w:val="21"/>
          <w:highlight w:val="none"/>
          <w:lang w:val="zh-CN"/>
        </w:rPr>
      </w:pPr>
      <w:r>
        <w:rPr>
          <w:rFonts w:hint="eastAsia" w:ascii="Arial" w:hAnsi="Arial"/>
          <w:color w:val="000000"/>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color w:val="000000"/>
          <w:szCs w:val="21"/>
          <w:highlight w:val="none"/>
          <w:lang w:val="zh-CN"/>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4</w:t>
      </w:r>
      <w:r>
        <w:rPr>
          <w:rFonts w:ascii="Arial" w:hAnsi="Arial" w:eastAsia="宋体" w:cs="Arial"/>
          <w:color w:val="000000"/>
          <w:szCs w:val="21"/>
          <w:highlight w:val="none"/>
          <w:lang w:val="zh-CN"/>
        </w:rPr>
        <w:t xml:space="preserve"> 成交通知书对采购人和成交供应商具有同等法律效力。</w:t>
      </w:r>
      <w:r>
        <w:rPr>
          <w:rFonts w:ascii="Arial" w:hAnsi="Arial" w:eastAsia="宋体" w:cs="Arial"/>
          <w:color w:val="000000"/>
          <w:szCs w:val="21"/>
          <w:highlight w:val="none"/>
          <w:lang w:val="zh-CN"/>
        </w:rPr>
      </w:r>
      <w:r/>
    </w:p>
    <w:p>
      <w:pPr>
        <w:pStyle w:val="1055"/>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color w:val="000000"/>
          <w:szCs w:val="21"/>
          <w:highlight w:val="none"/>
          <w:lang w:val="zh-CN"/>
        </w:rPr>
      </w:r>
      <w:r/>
    </w:p>
    <w:p>
      <w:pPr>
        <w:pStyle w:val="1055"/>
        <w:ind w:firstLine="420"/>
        <w:keepLines w:val="0"/>
        <w:keepNext w:val="0"/>
        <w:pageBreakBefore w:val="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rPr>
          <w:rFonts w:ascii="Arial" w:hAnsi="Arial" w:cs="Arial"/>
          <w:b/>
          <w:color w:val="000000"/>
          <w:szCs w:val="21"/>
          <w:highlight w:val="none"/>
        </w:rPr>
      </w:r>
      <w:r/>
    </w:p>
    <w:p>
      <w:pPr>
        <w:pStyle w:val="1055"/>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1055"/>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1055"/>
        <w:ind w:firstLine="420"/>
        <w:spacing w:line="360" w:lineRule="auto"/>
        <w:rPr>
          <w:rFonts w:ascii="Arial" w:hAnsi="Arial" w:cs="Arial"/>
          <w:b/>
          <w:bCs/>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.3 </w:t>
      </w:r>
      <w:r>
        <w:rPr>
          <w:rFonts w:ascii="Arial" w:hAnsi="Arial" w:cs="Arial"/>
          <w:color w:val="000000"/>
          <w:szCs w:val="21"/>
          <w:highlight w:val="none"/>
          <w:lang w:val="zh-CN"/>
        </w:rPr>
        <w:t xml:space="preserve">成交供应商因不可抗力或者自身原因不能履行合同的，</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eastAsia="宋体" w:cs="Arial"/>
          <w:b/>
          <w:bCs/>
          <w:i w:val="0"/>
          <w:caps w:val="0"/>
          <w:color w:val="000000"/>
          <w:spacing w:val="0"/>
          <w:sz w:val="21"/>
          <w:szCs w:val="21"/>
          <w:highlight w:val="none"/>
          <w:shd w:val="clear" w:color="auto" w:fill="ffffff"/>
          <w:lang w:val="en-US" w:eastAsia="zh-CN"/>
        </w:rPr>
        <w:t xml:space="preserve">放弃或</w:t>
      </w:r>
      <w:r>
        <w:rPr>
          <w:rFonts w:ascii="Arial" w:hAnsi="Arial" w:eastAsia="宋体" w:cs="Arial"/>
          <w:b/>
          <w:bCs/>
          <w:i w:val="0"/>
          <w:caps w:val="0"/>
          <w:color w:val="000000"/>
          <w:spacing w:val="0"/>
          <w:sz w:val="21"/>
          <w:szCs w:val="21"/>
          <w:highlight w:val="none"/>
          <w:shd w:val="clear" w:color="auto" w:fill="ffffff"/>
          <w:lang w:val="zh-CN"/>
        </w:rPr>
        <w:t xml:space="preserve">拒绝签订政府采购合同的成交供应商不得参加对该项目重新开展的采购活动</w:t>
      </w:r>
      <w:r>
        <w:rPr>
          <w:rFonts w:hint="eastAsia" w:ascii="Arial" w:hAnsi="Arial" w:eastAsia="宋体" w:cs="Arial"/>
          <w:b/>
          <w:bCs/>
          <w:i w:val="0"/>
          <w:caps w:val="0"/>
          <w:color w:val="000000"/>
          <w:spacing w:val="0"/>
          <w:sz w:val="21"/>
          <w:szCs w:val="21"/>
          <w:highlight w:val="none"/>
          <w:shd w:val="clear" w:color="auto" w:fill="ffffff"/>
          <w:lang w:val="zh-CN"/>
        </w:rPr>
        <w:t xml:space="preserve">，</w:t>
      </w:r>
      <w:r>
        <w:rPr>
          <w:rFonts w:ascii="Arial" w:hAnsi="Arial" w:cs="Arial"/>
          <w:b/>
          <w:bCs/>
          <w:color w:val="000000"/>
          <w:szCs w:val="21"/>
          <w:highlight w:val="none"/>
        </w:rPr>
        <w:t xml:space="preserve">磋商保证金不予退还</w:t>
      </w:r>
      <w:r>
        <w:rPr>
          <w:rFonts w:hint="eastAsia" w:ascii="Arial" w:hAnsi="Arial" w:cs="Arial"/>
          <w:b/>
          <w:bCs/>
          <w:color w:val="000000"/>
          <w:szCs w:val="21"/>
          <w:highlight w:val="none"/>
          <w:lang w:val="en-US" w:eastAsia="zh-CN"/>
        </w:rPr>
        <w:t xml:space="preserve">，不收取磋商保证金的项目，成交供应商</w:t>
      </w:r>
      <w:r>
        <w:rPr>
          <w:rFonts w:ascii="Arial" w:hAnsi="Arial" w:cs="Arial"/>
          <w:b/>
          <w:bCs/>
          <w:color w:val="000000"/>
          <w:szCs w:val="21"/>
          <w:highlight w:val="none"/>
        </w:rPr>
        <w:t xml:space="preserve">应向</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所发生的有关费用</w:t>
      </w:r>
      <w:r>
        <w:rPr>
          <w:rFonts w:hint="eastAsia" w:ascii="Arial" w:hAnsi="Arial" w:cs="Arial"/>
          <w:b/>
          <w:bCs/>
          <w:color w:val="000000"/>
          <w:szCs w:val="21"/>
          <w:highlight w:val="none"/>
          <w:lang w:eastAsia="zh-CN"/>
        </w:rPr>
        <w:t xml:space="preserve">。</w:t>
      </w:r>
      <w:r>
        <w:rPr>
          <w:rFonts w:ascii="Arial" w:hAnsi="Arial" w:cs="Arial"/>
          <w:b/>
          <w:bCs/>
          <w:color w:val="000000"/>
          <w:szCs w:val="21"/>
          <w:highlight w:val="none"/>
        </w:rPr>
        <w:t xml:space="preserve">情节严重的提请财政部门将其列入不良行为名单，在一至三年内不得参加政府采购活动，并予以通报。</w:t>
      </w:r>
      <w:r>
        <w:rPr>
          <w:rFonts w:ascii="Arial" w:hAnsi="Arial" w:cs="Arial"/>
          <w:b/>
          <w:bCs/>
          <w:color w:val="000000"/>
          <w:szCs w:val="21"/>
          <w:highlight w:val="none"/>
        </w:rPr>
      </w:r>
      <w:r/>
    </w:p>
    <w:p>
      <w:pPr>
        <w:pStyle w:val="1055"/>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 </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lang w:val="en-US" w:eastAsia="zh-CN"/>
        </w:rPr>
        <w:t xml:space="preserve">拒绝签订政府采购合同的</w:t>
      </w:r>
      <w:r>
        <w:rPr>
          <w:rFonts w:ascii="Arial" w:hAnsi="Arial" w:cs="Arial"/>
          <w:color w:val="000000"/>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1055"/>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1055"/>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供应商认为磋商文件、磋商过程和中标、成交结果使自己的权益受到损害的，可以在知道或者应知其权益受到损害之日起七个工作日内，以书面形式向</w:t>
      </w:r>
      <w:r>
        <w:rPr>
          <w:rFonts w:hint="eastAsia" w:ascii="Arial" w:hAnsi="Arial" w:cs="Arial"/>
          <w:color w:val="000000"/>
          <w:szCs w:val="21"/>
          <w:highlight w:val="none"/>
          <w:lang w:val="en-US" w:eastAsia="zh-CN"/>
        </w:rPr>
        <w:t xml:space="preserve">采购人或</w:t>
      </w:r>
      <w:r>
        <w:rPr>
          <w:rFonts w:ascii="Arial" w:hAnsi="Arial" w:cs="Arial"/>
          <w:color w:val="000000"/>
          <w:szCs w:val="21"/>
          <w:highlight w:val="none"/>
          <w:lang w:val="zh-CN"/>
        </w:rPr>
        <w:t xml:space="preserve">采购代理机构提出质疑。</w:t>
      </w:r>
      <w:r>
        <w:rPr>
          <w:rFonts w:ascii="Arial" w:hAnsi="Arial" w:cs="Arial"/>
          <w:color w:val="000000"/>
          <w:szCs w:val="21"/>
          <w:highlight w:val="none"/>
          <w:lang w:val="zh-CN"/>
        </w:rPr>
      </w:r>
      <w:r/>
    </w:p>
    <w:p>
      <w:pPr>
        <w:pStyle w:val="1055"/>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1055"/>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105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1055"/>
        <w:ind w:firstLine="424"/>
        <w:spacing w:line="360" w:lineRule="auto"/>
        <w:rPr>
          <w:rFonts w:hint="eastAsia"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.6 任何单位和个人对采购代理机构在采购活动中的违法行为，有权控告和检举，联系电话：025-</w:t>
      </w:r>
      <w:r>
        <w:rPr>
          <w:rFonts w:ascii="Arial" w:hAnsi="Arial" w:cs="Arial"/>
          <w:color w:val="000000"/>
          <w:szCs w:val="21"/>
          <w:highlight w:val="none"/>
        </w:rPr>
        <w:t xml:space="preserve">86636139</w:t>
      </w:r>
      <w:r>
        <w:rPr>
          <w:rFonts w:ascii="Arial" w:hAnsi="Arial" w:cs="Arial"/>
          <w:color w:val="000000"/>
          <w:szCs w:val="21"/>
          <w:highlight w:val="none"/>
          <w:lang w:val="zh-CN"/>
        </w:rPr>
        <w:t xml:space="preserve">（招标采购代理机构质量管理部门）、025-866368</w:t>
      </w:r>
      <w:r>
        <w:rPr>
          <w:rFonts w:hint="eastAsia" w:ascii="Arial" w:hAnsi="Arial" w:cs="Arial"/>
          <w:color w:val="000000"/>
          <w:szCs w:val="21"/>
          <w:highlight w:val="none"/>
          <w:lang w:val="en-US" w:eastAsia="zh-CN"/>
        </w:rPr>
        <w:t xml:space="preserve">53</w:t>
      </w:r>
      <w:r>
        <w:rPr>
          <w:rFonts w:ascii="Arial" w:hAnsi="Arial" w:cs="Arial"/>
          <w:color w:val="000000"/>
          <w:szCs w:val="21"/>
          <w:highlight w:val="none"/>
          <w:lang w:val="zh-CN"/>
        </w:rPr>
        <w:t xml:space="preserve">（招标采购代理机构纪检监察部门）</w:t>
      </w:r>
      <w:r>
        <w:rPr>
          <w:rFonts w:hint="eastAsia" w:ascii="Arial" w:hAnsi="Arial" w:cs="Arial"/>
          <w:color w:val="000000"/>
          <w:szCs w:val="21"/>
          <w:highlight w:val="none"/>
          <w:lang w:val="zh-CN"/>
        </w:rPr>
      </w:r>
      <w:r/>
    </w:p>
    <w:p>
      <w:pPr>
        <w:pStyle w:val="1055"/>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1055"/>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color w:val="000000"/>
          <w:szCs w:val="21"/>
          <w:highlight w:val="none"/>
        </w:rPr>
      </w:r>
      <w:r/>
    </w:p>
    <w:p>
      <w:pPr>
        <w:pStyle w:val="105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1055"/>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105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color w:val="000000"/>
          <w:szCs w:val="21"/>
          <w:highlight w:val="none"/>
          <w:lang w:val="zh-CN"/>
        </w:rPr>
      </w:r>
      <w:r/>
    </w:p>
    <w:p>
      <w:pPr>
        <w:pStyle w:val="1055"/>
        <w:ind w:firstLine="420"/>
        <w:spacing w:line="360" w:lineRule="auto"/>
        <w:rPr>
          <w:rFonts w:ascii="Arial" w:hAnsi="宋体" w:cs="Arial"/>
          <w:b/>
          <w:color w:val="000000"/>
          <w:szCs w:val="21"/>
          <w:highlight w:val="none"/>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w:t>
      </w:r>
      <w:r>
        <w:rPr>
          <w:rFonts w:hint="eastAsia" w:ascii="Arial" w:hAnsi="Arial" w:cs="Arial"/>
          <w:color w:val="000000"/>
          <w:szCs w:val="21"/>
          <w:highlight w:val="none"/>
          <w:lang w:val="zh-CN"/>
        </w:rPr>
        <w:t xml:space="preserve">本次采购，</w:t>
      </w:r>
      <w:r>
        <w:rPr>
          <w:rFonts w:hint="eastAsia" w:ascii="Arial" w:hAnsi="Arial" w:eastAsia="宋体" w:cs="Arial"/>
          <w:color w:val="000000"/>
          <w:szCs w:val="21"/>
          <w:highlight w:val="none"/>
          <w:lang w:val="en-US" w:eastAsia="zh-CN"/>
        </w:rPr>
        <w:t xml:space="preserve">成交</w:t>
      </w:r>
      <w:r>
        <w:rPr>
          <w:rFonts w:hint="eastAsia" w:ascii="Arial" w:hAnsi="Arial" w:eastAsia="宋体" w:cs="Arial"/>
          <w:color w:val="000000"/>
          <w:szCs w:val="21"/>
          <w:highlight w:val="none"/>
          <w:lang w:val="zh-CN"/>
        </w:rPr>
        <w:t xml:space="preserve">供应商按《江苏省招标代理服务收费的指导意见》的通知-苏招协[2022]002号代理服务招标收费基准的60%计算在领取</w:t>
      </w:r>
      <w:r>
        <w:rPr>
          <w:rFonts w:hint="eastAsia" w:ascii="Arial" w:hAnsi="Arial" w:eastAsia="宋体" w:cs="Arial"/>
          <w:color w:val="000000"/>
          <w:szCs w:val="21"/>
          <w:highlight w:val="none"/>
          <w:lang w:val="en-US" w:eastAsia="zh-CN"/>
        </w:rPr>
        <w:t xml:space="preserve">成交</w:t>
      </w:r>
      <w:r>
        <w:rPr>
          <w:rFonts w:hint="eastAsia" w:ascii="Arial" w:hAnsi="Arial" w:eastAsia="宋体" w:cs="Arial"/>
          <w:color w:val="000000"/>
          <w:szCs w:val="21"/>
          <w:highlight w:val="none"/>
          <w:lang w:val="zh-CN"/>
        </w:rPr>
        <w:t xml:space="preserve">通知书前向采购代理机构支付</w:t>
      </w:r>
      <w:r>
        <w:rPr>
          <w:rFonts w:hint="eastAsia" w:ascii="Arial" w:hAnsi="Arial" w:eastAsia="宋体" w:cs="Arial"/>
          <w:color w:val="000000"/>
          <w:szCs w:val="21"/>
          <w:highlight w:val="none"/>
          <w:lang w:val="en-US" w:eastAsia="zh-CN"/>
        </w:rPr>
        <w:t xml:space="preserve">代理</w:t>
      </w:r>
      <w:r>
        <w:rPr>
          <w:rFonts w:hint="eastAsia" w:ascii="Arial" w:hAnsi="Arial" w:eastAsia="宋体" w:cs="Arial"/>
          <w:color w:val="000000"/>
          <w:szCs w:val="21"/>
          <w:highlight w:val="none"/>
          <w:lang w:val="zh-CN"/>
        </w:rPr>
        <w:t xml:space="preserve">服务费。</w:t>
      </w:r>
      <w:r>
        <w:rPr>
          <w:rFonts w:ascii="Arial" w:hAnsi="宋体" w:cs="Arial"/>
          <w:b/>
          <w:color w:val="000000"/>
          <w:szCs w:val="21"/>
          <w:highlight w:val="none"/>
        </w:rPr>
      </w:r>
      <w:r/>
    </w:p>
    <w:p>
      <w:pPr>
        <w:pStyle w:val="1055"/>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rPr>
          <w:rFonts w:hint="eastAsia" w:ascii="Arial" w:hAnsi="Arial" w:cs="Arial"/>
          <w:b/>
          <w:color w:val="000000"/>
          <w:szCs w:val="21"/>
          <w:highlight w:val="none"/>
          <w:lang w:val="en-US" w:eastAsia="zh-CN"/>
        </w:rPr>
      </w:r>
      <w:r/>
    </w:p>
    <w:p>
      <w:pPr>
        <w:pStyle w:val="1146"/>
        <w:numPr>
          <w:ilvl w:val="0"/>
          <w:numId w:val="0"/>
        </w:numPr>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rPr>
          <w:color w:val="000000"/>
          <w:highlight w:val="none"/>
          <w:lang w:val="en-US" w:eastAsia="zh-CN"/>
        </w:rPr>
      </w:r>
      <w:r/>
    </w:p>
    <w:p>
      <w:pPr>
        <w:pStyle w:val="1146"/>
        <w:rPr>
          <w:rFonts w:ascii="Arial" w:hAnsi="宋体" w:cs="Arial"/>
          <w:b/>
          <w:color w:val="000000"/>
          <w:szCs w:val="21"/>
          <w:highlight w:val="none"/>
        </w:rPr>
        <w:sectPr>
          <w:footnotePr/>
          <w:endnotePr/>
          <w:type w:val="continuous"/>
          <w:pgSz w:w="11906" w:h="16838" w:orient="portrait"/>
          <w:pgMar w:top="1440" w:right="1800" w:bottom="1440" w:left="1600" w:header="851" w:footer="992" w:gutter="0"/>
          <w:pgNumType w:start="1"/>
          <w:cols w:num="1" w:sep="0" w:space="1701" w:equalWidth="1"/>
          <w:docGrid w:linePitch="360"/>
          <w:titlePg/>
        </w:sectPr>
      </w:pPr>
      <w:r>
        <w:rPr>
          <w:rFonts w:ascii="Arial" w:hAnsi="宋体" w:cs="Arial"/>
          <w:b/>
          <w:color w:val="000000"/>
          <w:szCs w:val="21"/>
          <w:highlight w:val="none"/>
        </w:rPr>
        <w:br w:type="page" w:clear="all"/>
      </w:r>
      <w:r/>
    </w:p>
    <w:p>
      <w:pPr>
        <w:pStyle w:val="1146"/>
        <w:rPr>
          <w:rFonts w:ascii="Arial" w:hAnsi="宋体" w:cs="Arial"/>
          <w:b/>
          <w:color w:val="000000"/>
          <w:szCs w:val="21"/>
          <w:highlight w:val="none"/>
          <w:lang w:val="zh-CN"/>
        </w:rPr>
      </w:pPr>
      <w:r>
        <w:rPr>
          <w:rFonts w:ascii="Arial" w:hAnsi="宋体" w:cs="Arial"/>
          <w:b/>
          <w:color w:val="000000"/>
          <w:szCs w:val="21"/>
          <w:highlight w:val="none"/>
          <w:lang w:val="zh-CN"/>
        </w:rPr>
      </w:r>
      <w:r/>
    </w:p>
    <w:p>
      <w:pPr>
        <w:pStyle w:val="1134"/>
        <w:rPr>
          <w:rFonts w:ascii="Arial" w:hAnsi="Arial" w:cs="Arial"/>
          <w:color w:val="000000"/>
          <w:highlight w:val="none"/>
          <w:lang w:val="zh-CN"/>
        </w:rPr>
      </w:pPr>
      <w:r>
        <w:rPr>
          <w:rFonts w:ascii="Arial" w:hAnsi="Arial" w:cs="Arial"/>
          <w:color w:val="000000"/>
          <w:sz w:val="24"/>
          <w:szCs w:val="24"/>
          <w:highlight w:val="none"/>
          <w:lang w:val="zh-CN"/>
        </w:rPr>
        <w:br w:type="page" w:clear="all"/>
      </w:r>
      <w:bookmarkStart w:id="19" w:name="_Toc614"/>
      <w:r>
        <w:rPr>
          <w:rFonts w:ascii="Arial" w:hAnsi="Arial" w:cs="Arial"/>
          <w:color w:val="000000"/>
          <w:highlight w:val="none"/>
          <w:lang w:val="zh-CN"/>
        </w:rPr>
        <w:t xml:space="preserve">第三章 评标标准</w:t>
      </w:r>
      <w:bookmarkEnd w:id="19"/>
      <w:r>
        <w:rPr>
          <w:rFonts w:ascii="Arial" w:hAnsi="Arial" w:cs="Arial"/>
          <w:color w:val="000000"/>
          <w:highlight w:val="none"/>
          <w:lang w:val="zh-CN"/>
        </w:rPr>
      </w:r>
      <w:r/>
    </w:p>
    <w:p>
      <w:pPr>
        <w:pStyle w:val="1132"/>
        <w:ind w:firstLine="425"/>
        <w:jc w:val="left"/>
        <w:spacing w:before="0" w:beforeAutospacing="0" w:after="0" w:afterAutospacing="0" w:line="360" w:lineRule="auto"/>
        <w:widowControl w:val="off"/>
        <w:rPr>
          <w:rFonts w:ascii="Arial" w:hAnsi="Arial" w:eastAsia="宋体" w:cs="Arial"/>
          <w:color w:val="000000"/>
          <w:sz w:val="21"/>
          <w:szCs w:val="20"/>
          <w:highlight w:val="none"/>
          <w:lang w:val="en-US" w:eastAsia="zh-CN" w:bidi="ar-SA"/>
        </w:rPr>
      </w:pPr>
      <w:r>
        <w:rPr>
          <w:rFonts w:ascii="Arial" w:hAnsi="Arial" w:eastAsia="宋体" w:cs="Arial"/>
          <w:color w:val="000000"/>
          <w:sz w:val="21"/>
          <w:szCs w:val="20"/>
          <w:highlight w:val="none"/>
          <w:lang w:val="en-US" w:eastAsia="zh-CN" w:bidi="ar-SA"/>
        </w:rPr>
        <w:t xml:space="preserve">本项目采用综合评分法，评分统计方法采用百分制（满分100分）。按评审后得分由高到低顺序排列，得分相同的，按报价由低到高顺序排列，得分且报价相同的，按</w:t>
      </w:r>
      <w:r>
        <w:rPr>
          <w:rFonts w:hint="eastAsia" w:ascii="Arial" w:hAnsi="Arial" w:eastAsia="宋体" w:cs="Arial"/>
          <w:color w:val="000000"/>
          <w:sz w:val="21"/>
          <w:szCs w:val="20"/>
          <w:highlight w:val="none"/>
          <w:lang w:val="en-US" w:eastAsia="zh-CN" w:bidi="ar-SA"/>
        </w:rPr>
        <w:t xml:space="preserve">供应商业绩</w:t>
      </w:r>
      <w:r>
        <w:rPr>
          <w:rFonts w:ascii="Arial" w:hAnsi="Arial" w:eastAsia="宋体" w:cs="Arial"/>
          <w:color w:val="000000"/>
          <w:sz w:val="21"/>
          <w:szCs w:val="20"/>
          <w:highlight w:val="none"/>
          <w:lang w:val="en-US" w:eastAsia="zh-CN" w:bidi="ar-SA"/>
        </w:rPr>
        <w:t xml:space="preserve">得分由高到低顺序排列。</w:t>
      </w:r>
      <w:r>
        <w:rPr>
          <w:rFonts w:ascii="Arial" w:hAnsi="Arial" w:eastAsia="宋体" w:cs="Arial"/>
          <w:color w:val="000000"/>
          <w:sz w:val="21"/>
          <w:szCs w:val="20"/>
          <w:highlight w:val="none"/>
          <w:lang w:val="en-US" w:eastAsia="zh-CN" w:bidi="ar-SA"/>
        </w:rPr>
      </w:r>
      <w:r/>
    </w:p>
    <w:tbl>
      <w:tblPr>
        <w:tblW w:w="942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77"/>
        <w:gridCol w:w="6527"/>
        <w:gridCol w:w="578"/>
        <w:gridCol w:w="720"/>
      </w:tblGrid>
      <w:tr>
        <w:trPr>
          <w:trHeight w:val="793"/>
        </w:trPr>
        <w:tc>
          <w:tcPr>
            <w:tcW w:w="519" w:type="dxa"/>
            <w:vAlign w:val="center"/>
            <w:textDirection w:val="lrTb"/>
            <w:noWrap w:val="false"/>
          </w:tcPr>
          <w:p>
            <w:pPr>
              <w:pStyle w:val="1055"/>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hint="eastAsia" w:ascii="宋体" w:hAnsi="宋体" w:cs="宋体"/>
                <w:b/>
                <w:bCs/>
                <w:color w:val="000000"/>
                <w:sz w:val="22"/>
                <w:szCs w:val="22"/>
                <w:highlight w:val="none"/>
              </w:rPr>
            </w:r>
            <w:r/>
          </w:p>
        </w:tc>
        <w:tc>
          <w:tcPr>
            <w:tcW w:w="1077" w:type="dxa"/>
            <w:vAlign w:val="center"/>
            <w:textDirection w:val="lrTb"/>
            <w:noWrap w:val="false"/>
          </w:tcPr>
          <w:p>
            <w:pPr>
              <w:pStyle w:val="1055"/>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评审因素</w:t>
            </w:r>
            <w:r>
              <w:rPr>
                <w:rFonts w:hint="eastAsia" w:ascii="宋体" w:hAnsi="宋体" w:cs="宋体"/>
                <w:b/>
                <w:bCs/>
                <w:color w:val="000000"/>
                <w:sz w:val="22"/>
                <w:szCs w:val="22"/>
                <w:highlight w:val="none"/>
              </w:rPr>
            </w:r>
            <w:r/>
          </w:p>
        </w:tc>
        <w:tc>
          <w:tcPr>
            <w:tcW w:w="6527" w:type="dxa"/>
            <w:vAlign w:val="center"/>
            <w:textDirection w:val="lrTb"/>
            <w:noWrap w:val="false"/>
          </w:tcPr>
          <w:p>
            <w:pPr>
              <w:pStyle w:val="1055"/>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评审细则</w:t>
            </w:r>
            <w:r>
              <w:rPr>
                <w:rFonts w:hint="eastAsia" w:ascii="宋体" w:hAnsi="宋体" w:cs="宋体"/>
                <w:b/>
                <w:bCs/>
                <w:color w:val="000000"/>
                <w:sz w:val="22"/>
                <w:szCs w:val="22"/>
                <w:highlight w:val="none"/>
              </w:rPr>
            </w:r>
            <w:r/>
          </w:p>
        </w:tc>
        <w:tc>
          <w:tcPr>
            <w:tcW w:w="578" w:type="dxa"/>
            <w:vAlign w:val="center"/>
            <w:textDirection w:val="lrTb"/>
            <w:noWrap w:val="false"/>
          </w:tcPr>
          <w:p>
            <w:pPr>
              <w:pStyle w:val="1055"/>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分值</w:t>
            </w:r>
            <w:r>
              <w:rPr>
                <w:rFonts w:hint="eastAsia" w:ascii="宋体" w:hAnsi="宋体" w:cs="宋体"/>
                <w:b/>
                <w:bCs/>
                <w:color w:val="000000"/>
                <w:sz w:val="22"/>
                <w:szCs w:val="22"/>
                <w:highlight w:val="none"/>
              </w:rPr>
            </w:r>
            <w:r/>
          </w:p>
        </w:tc>
        <w:tc>
          <w:tcPr>
            <w:tcW w:w="720" w:type="dxa"/>
            <w:vAlign w:val="center"/>
            <w:textDirection w:val="lrTb"/>
            <w:noWrap w:val="false"/>
          </w:tcPr>
          <w:p>
            <w:pPr>
              <w:pStyle w:val="1055"/>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类型</w:t>
            </w:r>
            <w:r>
              <w:rPr>
                <w:rFonts w:hint="eastAsia" w:ascii="宋体" w:hAnsi="宋体" w:cs="宋体"/>
                <w:b/>
                <w:bCs/>
                <w:color w:val="000000"/>
                <w:sz w:val="22"/>
                <w:szCs w:val="22"/>
                <w:highlight w:val="none"/>
              </w:rPr>
            </w:r>
            <w:r/>
          </w:p>
        </w:tc>
      </w:tr>
      <w:tr>
        <w:trPr>
          <w:trHeight w:val="460"/>
        </w:trPr>
        <w:tc>
          <w:tcPr>
            <w:gridSpan w:val="5"/>
            <w:tcW w:w="9421" w:type="dxa"/>
            <w:vAlign w:val="center"/>
            <w:textDirection w:val="lrTb"/>
            <w:noWrap w:val="false"/>
          </w:tcPr>
          <w:p>
            <w:pPr>
              <w:pStyle w:val="1055"/>
              <w:ind w:left="42" w:right="42"/>
              <w:widowControl/>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1价格</w:t>
            </w:r>
            <w:r>
              <w:rPr>
                <w:rFonts w:hint="eastAsia" w:ascii="宋体" w:hAnsi="宋体" w:cs="宋体"/>
                <w:color w:val="000000"/>
                <w:sz w:val="22"/>
                <w:szCs w:val="22"/>
                <w:highlight w:val="none"/>
              </w:rPr>
            </w:r>
            <w:r/>
          </w:p>
        </w:tc>
      </w:tr>
      <w:tr>
        <w:trPr>
          <w:trHeight w:val="90"/>
        </w:trPr>
        <w:tc>
          <w:tcPr>
            <w:tcW w:w="519"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077"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价格分</w:t>
            </w:r>
            <w:r>
              <w:rPr>
                <w:rFonts w:hint="eastAsia" w:ascii="宋体" w:hAnsi="宋体" w:cs="宋体"/>
                <w:color w:val="000000"/>
                <w:sz w:val="22"/>
                <w:szCs w:val="22"/>
                <w:highlight w:val="none"/>
              </w:rPr>
            </w:r>
            <w:r/>
          </w:p>
        </w:tc>
        <w:tc>
          <w:tcPr>
            <w:tcW w:w="6527" w:type="dxa"/>
            <w:vAlign w:val="center"/>
            <w:textDirection w:val="lrTb"/>
            <w:noWrap w:val="false"/>
          </w:tcPr>
          <w:p>
            <w:pPr>
              <w:pStyle w:val="1055"/>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采用低价优先法计算，即满足招标文件要求且报价最低的供应商报价为评标基准价，其价格分为满分。其他供应商的价格分统一按照下列公式计算：报价得分=(评标基准价/投标报价)×11（小数点保留两位）</w:t>
            </w:r>
            <w:r>
              <w:rPr>
                <w:rFonts w:hint="eastAsia" w:ascii="宋体" w:hAnsi="宋体" w:cs="宋体"/>
                <w:color w:val="000000"/>
                <w:sz w:val="22"/>
                <w:szCs w:val="22"/>
                <w:highlight w:val="none"/>
              </w:rPr>
            </w:r>
            <w:r/>
          </w:p>
        </w:tc>
        <w:tc>
          <w:tcPr>
            <w:tcW w:w="578" w:type="dxa"/>
            <w:vAlign w:val="center"/>
            <w:textDirection w:val="lrTb"/>
            <w:noWrap w:val="false"/>
          </w:tcPr>
          <w:p>
            <w:pPr>
              <w:pStyle w:val="105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ascii="宋体" w:hAnsi="宋体" w:cs="宋体"/>
                <w:color w:val="000000"/>
                <w:sz w:val="22"/>
                <w:szCs w:val="22"/>
                <w:highlight w:val="none"/>
              </w:rPr>
            </w:r>
            <w:r/>
          </w:p>
        </w:tc>
        <w:tc>
          <w:tcPr>
            <w:tcW w:w="720"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价格分</w:t>
            </w:r>
            <w:r>
              <w:rPr>
                <w:rFonts w:hint="eastAsia" w:ascii="宋体" w:hAnsi="宋体" w:cs="宋体"/>
                <w:color w:val="000000"/>
                <w:sz w:val="22"/>
                <w:szCs w:val="22"/>
                <w:highlight w:val="none"/>
              </w:rPr>
            </w:r>
            <w:r/>
          </w:p>
        </w:tc>
      </w:tr>
      <w:tr>
        <w:trPr>
          <w:trHeight w:val="460"/>
        </w:trPr>
        <w:tc>
          <w:tcPr>
            <w:gridSpan w:val="5"/>
            <w:tcW w:w="9421" w:type="dxa"/>
            <w:vAlign w:val="center"/>
            <w:textDirection w:val="lrTb"/>
            <w:noWrap w:val="false"/>
          </w:tcPr>
          <w:p>
            <w:pPr>
              <w:pStyle w:val="1055"/>
              <w:ind w:left="42" w:right="42"/>
              <w:widowControl/>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2技术方案</w:t>
            </w:r>
            <w:r>
              <w:rPr>
                <w:rFonts w:hint="eastAsia" w:ascii="宋体" w:hAnsi="宋体" w:cs="宋体"/>
                <w:color w:val="000000"/>
                <w:sz w:val="22"/>
                <w:szCs w:val="22"/>
                <w:highlight w:val="none"/>
              </w:rPr>
            </w:r>
            <w:r/>
          </w:p>
        </w:tc>
      </w:tr>
      <w:tr>
        <w:trPr>
          <w:trHeight w:val="567"/>
        </w:trPr>
        <w:tc>
          <w:tcPr>
            <w:tcW w:w="519" w:type="dxa"/>
            <w:vAlign w:val="center"/>
            <w:vMerge w:val="restart"/>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077" w:type="dxa"/>
            <w:vAlign w:val="center"/>
            <w:vMerge w:val="restart"/>
            <w:textDirection w:val="lrTb"/>
            <w:noWrap w:val="false"/>
          </w:tcPr>
          <w:p>
            <w:pPr>
              <w:pStyle w:val="1055"/>
              <w:jc w:val="center"/>
              <w:widowControl/>
              <w:rPr>
                <w:rFonts w:hint="eastAsia" w:ascii="宋体" w:hAnsi="宋体" w:cs="宋体"/>
                <w:color w:val="000000"/>
                <w:sz w:val="22"/>
                <w:szCs w:val="22"/>
                <w:highlight w:val="none"/>
                <w:lang w:bidi="zh-CN"/>
              </w:rPr>
            </w:pPr>
            <w:r>
              <w:rPr>
                <w:rFonts w:hint="eastAsia" w:ascii="宋体" w:hAnsi="宋体" w:cs="宋体"/>
                <w:color w:val="000000"/>
                <w:sz w:val="22"/>
                <w:szCs w:val="22"/>
                <w:highlight w:val="none"/>
                <w:lang w:bidi="zh-CN"/>
              </w:rPr>
              <w:t xml:space="preserve">服务方案</w:t>
            </w:r>
            <w:r>
              <w:rPr>
                <w:rFonts w:hint="eastAsia" w:ascii="宋体" w:hAnsi="宋体" w:cs="宋体"/>
                <w:color w:val="000000"/>
                <w:sz w:val="22"/>
                <w:szCs w:val="22"/>
                <w:highlight w:val="none"/>
                <w:lang w:bidi="zh-CN"/>
              </w:rPr>
            </w:r>
            <w:r/>
          </w:p>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527" w:type="dxa"/>
            <w:vAlign w:val="center"/>
            <w:textDirection w:val="lrTb"/>
            <w:noWrap w:val="false"/>
          </w:tcPr>
          <w:p>
            <w:pPr>
              <w:pStyle w:val="1055"/>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报告技术路线及评估内容：由评标委员会成员根据供应商提供的技术路线和主要评估内容情况进行综合评分。技术路线清晰合理，评估内容细致全面的得10分；技术路线较为完整，评估内容较为全面的得7分；技术路线及评估内容满足基本需求的得4分；技术路线粗略，评估内容不符实际的得1分；未提供技术路线及评估内容或不满足基本需求的得0分。</w:t>
            </w:r>
            <w:r>
              <w:rPr>
                <w:rFonts w:hint="eastAsia" w:ascii="宋体" w:hAnsi="宋体" w:cs="宋体"/>
                <w:color w:val="000000"/>
                <w:sz w:val="22"/>
                <w:szCs w:val="22"/>
                <w:highlight w:val="none"/>
              </w:rPr>
            </w:r>
            <w:r/>
          </w:p>
        </w:tc>
        <w:tc>
          <w:tcPr>
            <w:tcW w:w="578"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720"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主观分</w:t>
            </w:r>
            <w:r>
              <w:rPr>
                <w:rFonts w:hint="eastAsia" w:ascii="宋体" w:hAnsi="宋体" w:cs="宋体"/>
                <w:color w:val="000000"/>
                <w:sz w:val="22"/>
                <w:szCs w:val="22"/>
                <w:highlight w:val="none"/>
              </w:rPr>
            </w:r>
            <w:r/>
          </w:p>
        </w:tc>
      </w:tr>
      <w:tr>
        <w:trPr>
          <w:trHeight w:val="567"/>
        </w:trPr>
        <w:tc>
          <w:tcPr>
            <w:tcW w:w="519" w:type="dxa"/>
            <w:vAlign w:val="center"/>
            <w:vMerge w:val="continue"/>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077" w:type="dxa"/>
            <w:vAlign w:val="center"/>
            <w:vMerge w:val="continue"/>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527" w:type="dxa"/>
            <w:vAlign w:val="center"/>
            <w:textDirection w:val="lrTb"/>
            <w:noWrap w:val="false"/>
          </w:tcPr>
          <w:p>
            <w:pPr>
              <w:pStyle w:val="1055"/>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实施计划与建议：实施计划与建议的完整性、合理性、可行性强的得10分；实施计划与建议的完整性、合理性、可行性较强得7分；实施计划与建议的完整性、合理性、可行性一般的得4分；实施计划与建议的完整性、合理性、可行性较差的得1分；未提供者得0分。</w:t>
            </w:r>
            <w:r>
              <w:rPr>
                <w:rFonts w:hint="eastAsia" w:ascii="宋体" w:hAnsi="宋体" w:cs="宋体"/>
                <w:color w:val="000000"/>
                <w:sz w:val="22"/>
                <w:szCs w:val="22"/>
                <w:highlight w:val="none"/>
              </w:rPr>
            </w:r>
            <w:r/>
          </w:p>
        </w:tc>
        <w:tc>
          <w:tcPr>
            <w:tcW w:w="578"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720"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主观分</w:t>
            </w:r>
            <w:r>
              <w:rPr>
                <w:rFonts w:hint="eastAsia" w:ascii="宋体" w:hAnsi="宋体" w:cs="宋体"/>
                <w:color w:val="000000"/>
                <w:sz w:val="22"/>
                <w:szCs w:val="22"/>
                <w:highlight w:val="none"/>
              </w:rPr>
            </w:r>
            <w:r/>
          </w:p>
        </w:tc>
      </w:tr>
      <w:tr>
        <w:trPr>
          <w:trHeight w:val="567"/>
        </w:trPr>
        <w:tc>
          <w:tcPr>
            <w:tcW w:w="519" w:type="dxa"/>
            <w:vAlign w:val="center"/>
            <w:vMerge w:val="continue"/>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077" w:type="dxa"/>
            <w:vAlign w:val="center"/>
            <w:vMerge w:val="continue"/>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527" w:type="dxa"/>
            <w:vAlign w:val="center"/>
            <w:textDirection w:val="lrTb"/>
            <w:noWrap w:val="false"/>
          </w:tcPr>
          <w:p>
            <w:pPr>
              <w:pStyle w:val="1055"/>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资料收集及保障措施：由评标委员会成员根据供应商提供的资料收集及保障措施内容进行综合评分。资料详实及保障措施合理得10分；资料收集及保障措施内容较合理得7分；资料收集及保障措施内容合理性一般得4分；资料收集及保障措施内容较差得1分；未提供者得0分。</w:t>
            </w:r>
            <w:r>
              <w:rPr>
                <w:rFonts w:hint="eastAsia" w:ascii="宋体" w:hAnsi="宋体" w:cs="宋体"/>
                <w:color w:val="000000"/>
                <w:sz w:val="22"/>
                <w:szCs w:val="22"/>
                <w:highlight w:val="none"/>
              </w:rPr>
            </w:r>
            <w:r/>
          </w:p>
        </w:tc>
        <w:tc>
          <w:tcPr>
            <w:tcW w:w="578"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720"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主观分</w:t>
            </w:r>
            <w:r>
              <w:rPr>
                <w:rFonts w:hint="eastAsia" w:ascii="宋体" w:hAnsi="宋体" w:cs="宋体"/>
                <w:color w:val="000000"/>
                <w:sz w:val="22"/>
                <w:szCs w:val="22"/>
                <w:highlight w:val="none"/>
              </w:rPr>
            </w:r>
            <w:r/>
          </w:p>
        </w:tc>
      </w:tr>
      <w:tr>
        <w:trPr>
          <w:trHeight w:val="567"/>
        </w:trPr>
        <w:tc>
          <w:tcPr>
            <w:tcW w:w="519" w:type="dxa"/>
            <w:vAlign w:val="center"/>
            <w:vMerge w:val="continue"/>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077" w:type="dxa"/>
            <w:vAlign w:val="center"/>
            <w:vMerge w:val="continue"/>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527" w:type="dxa"/>
            <w:vAlign w:val="center"/>
            <w:textDirection w:val="lrTb"/>
            <w:noWrap w:val="false"/>
          </w:tcPr>
          <w:p>
            <w:pPr>
              <w:pStyle w:val="1055"/>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质量保证体系：由评标委员会成员根据供应商提供质量保证体系进行综合评分。质量保证体系详细，可操作性强得10分，质量保证体系较详细，可操作性较强得7分，质量保证体系可操作性一般得4分；质量保证体系粗略内容较差得1分；未提供者得0分。</w:t>
            </w:r>
            <w:r>
              <w:rPr>
                <w:rFonts w:hint="eastAsia" w:ascii="宋体" w:hAnsi="宋体" w:cs="宋体"/>
                <w:color w:val="000000"/>
                <w:sz w:val="22"/>
                <w:szCs w:val="22"/>
                <w:highlight w:val="none"/>
              </w:rPr>
            </w:r>
            <w:r/>
          </w:p>
        </w:tc>
        <w:tc>
          <w:tcPr>
            <w:tcW w:w="578"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720"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主观分</w:t>
            </w:r>
            <w:r>
              <w:rPr>
                <w:rFonts w:hint="eastAsia" w:ascii="宋体" w:hAnsi="宋体" w:cs="宋体"/>
                <w:color w:val="000000"/>
                <w:sz w:val="22"/>
                <w:szCs w:val="22"/>
                <w:highlight w:val="none"/>
              </w:rPr>
            </w:r>
            <w:r/>
          </w:p>
        </w:tc>
      </w:tr>
      <w:tr>
        <w:trPr>
          <w:trHeight w:val="567"/>
        </w:trPr>
        <w:tc>
          <w:tcPr>
            <w:tcW w:w="519" w:type="dxa"/>
            <w:vAlign w:val="center"/>
            <w:vMerge w:val="continue"/>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077" w:type="dxa"/>
            <w:vAlign w:val="center"/>
            <w:vMerge w:val="continue"/>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527" w:type="dxa"/>
            <w:vAlign w:val="center"/>
            <w:textDirection w:val="lrTb"/>
            <w:noWrap w:val="false"/>
          </w:tcPr>
          <w:p>
            <w:pPr>
              <w:pStyle w:val="1055"/>
              <w:ind w:left="42" w:right="42"/>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重点难点分析及措施方案：由评标委员会成员根据供应商提供的针对本项目的重点难点分析及措施方案进行综合评分。分析及措施方案合理的得10分；较合理的得7分；分析及措施方案合理性一般的得4分；分析及措施方案较差得1分；未提供的得0分。</w:t>
            </w:r>
            <w:r>
              <w:rPr>
                <w:rFonts w:hint="eastAsia" w:ascii="宋体" w:hAnsi="宋体" w:cs="宋体"/>
                <w:color w:val="000000"/>
                <w:sz w:val="22"/>
                <w:szCs w:val="22"/>
                <w:highlight w:val="none"/>
              </w:rPr>
            </w:r>
            <w:r/>
          </w:p>
        </w:tc>
        <w:tc>
          <w:tcPr>
            <w:tcW w:w="578"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720"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主观分</w:t>
            </w:r>
            <w:r>
              <w:rPr>
                <w:rFonts w:hint="eastAsia" w:ascii="宋体" w:hAnsi="宋体" w:cs="宋体"/>
                <w:color w:val="000000"/>
                <w:sz w:val="22"/>
                <w:szCs w:val="22"/>
                <w:highlight w:val="none"/>
              </w:rPr>
            </w:r>
            <w:r/>
          </w:p>
        </w:tc>
      </w:tr>
      <w:tr>
        <w:trPr>
          <w:trHeight w:val="567"/>
        </w:trPr>
        <w:tc>
          <w:tcPr>
            <w:gridSpan w:val="5"/>
            <w:tcW w:w="9421" w:type="dxa"/>
            <w:vAlign w:val="center"/>
            <w:textDirection w:val="lrTb"/>
            <w:noWrap w:val="false"/>
          </w:tcPr>
          <w:p>
            <w:pPr>
              <w:pStyle w:val="1055"/>
              <w:widowControl/>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3 拟投入本项目人员情况</w:t>
            </w:r>
            <w:r>
              <w:rPr>
                <w:rFonts w:hint="eastAsia" w:ascii="宋体" w:hAnsi="宋体" w:cs="宋体"/>
                <w:color w:val="000000"/>
                <w:sz w:val="22"/>
                <w:szCs w:val="22"/>
                <w:highlight w:val="none"/>
              </w:rPr>
            </w:r>
            <w:r/>
          </w:p>
        </w:tc>
      </w:tr>
      <w:tr>
        <w:trPr>
          <w:trHeight w:val="5456"/>
        </w:trPr>
        <w:tc>
          <w:tcPr>
            <w:tcW w:w="519"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w:t>
            </w:r>
            <w:r>
              <w:rPr>
                <w:rFonts w:hint="eastAsia" w:ascii="宋体" w:hAnsi="宋体" w:cs="宋体"/>
                <w:color w:val="000000"/>
                <w:sz w:val="22"/>
                <w:szCs w:val="22"/>
                <w:highlight w:val="none"/>
              </w:rPr>
            </w:r>
            <w:r/>
          </w:p>
        </w:tc>
        <w:tc>
          <w:tcPr>
            <w:tcW w:w="1077"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投入本项目人员</w:t>
            </w:r>
            <w:r>
              <w:rPr>
                <w:rFonts w:hint="eastAsia" w:ascii="宋体" w:hAnsi="宋体" w:cs="宋体"/>
                <w:color w:val="000000"/>
                <w:sz w:val="22"/>
                <w:szCs w:val="22"/>
                <w:highlight w:val="none"/>
              </w:rPr>
            </w:r>
            <w:r/>
          </w:p>
        </w:tc>
        <w:tc>
          <w:tcPr>
            <w:tcW w:w="6527" w:type="dxa"/>
            <w:vAlign w:val="center"/>
            <w:textDirection w:val="lrTb"/>
            <w:noWrap w:val="false"/>
          </w:tcPr>
          <w:p>
            <w:pPr>
              <w:pStyle w:val="1085"/>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1、项目负责人：具有国家注册测绘师资格证书的得2分；且同时具有高级及以上工程师职称的加2分，具有中级工程师职称的加1分，其余不得分。（满分4分）</w:t>
            </w:r>
            <w:r>
              <w:rPr>
                <w:rFonts w:hint="eastAsia" w:ascii="宋体" w:hAnsi="宋体" w:cs="宋体"/>
                <w:color w:val="000000"/>
                <w:sz w:val="22"/>
                <w:szCs w:val="22"/>
                <w:highlight w:val="none"/>
                <w:lang w:val="en-US" w:eastAsia="zh-CN"/>
              </w:rPr>
            </w:r>
            <w:r/>
          </w:p>
          <w:p>
            <w:pPr>
              <w:pStyle w:val="1085"/>
              <w:rPr>
                <w:rFonts w:hint="eastAsia" w:ascii="宋体" w:hAnsi="宋体" w:cs="宋体"/>
                <w:color w:val="000000"/>
                <w:sz w:val="22"/>
                <w:szCs w:val="22"/>
                <w:highlight w:val="none"/>
                <w:lang w:val="en-US" w:eastAsia="zh-CN"/>
              </w:rPr>
            </w:pPr>
            <w:r/>
            <w:bookmarkStart w:id="20" w:name="OLE_LINK47"/>
            <w:r/>
            <w:bookmarkStart w:id="21" w:name="OLE_LINK46"/>
            <w:r>
              <w:rPr>
                <w:rFonts w:hint="eastAsia" w:ascii="宋体" w:hAnsi="宋体" w:cs="宋体"/>
                <w:color w:val="000000"/>
                <w:sz w:val="22"/>
                <w:szCs w:val="22"/>
                <w:highlight w:val="none"/>
                <w:lang w:val="en-US" w:eastAsia="zh-CN"/>
              </w:rPr>
              <w:t xml:space="preserve">2、技术负责人：具有国家注册土木工程师（岩土）执业资格证书的得2分；且同时具有高级及以上工程师职称的加2分，具有中级工程师职称的加1分，其余不得分。</w:t>
            </w:r>
            <w:bookmarkStart w:id="22" w:name="OLE_LINK38"/>
            <w:r/>
            <w:bookmarkStart w:id="23" w:name="OLE_LINK37"/>
            <w:r/>
            <w:bookmarkStart w:id="24" w:name="OLE_LINK35"/>
            <w:r/>
            <w:bookmarkStart w:id="25" w:name="OLE_LINK36"/>
            <w:r>
              <w:rPr>
                <w:rFonts w:hint="eastAsia" w:ascii="宋体" w:hAnsi="宋体" w:cs="宋体"/>
                <w:color w:val="000000"/>
                <w:sz w:val="22"/>
                <w:szCs w:val="22"/>
                <w:highlight w:val="none"/>
                <w:lang w:val="en-US" w:eastAsia="zh-CN"/>
              </w:rPr>
              <w:t xml:space="preserve">（满分4分）</w:t>
            </w:r>
            <w:bookmarkEnd w:id="20"/>
            <w:r/>
            <w:bookmarkEnd w:id="21"/>
            <w:r/>
            <w:bookmarkEnd w:id="22"/>
            <w:r/>
            <w:bookmarkEnd w:id="23"/>
            <w:r/>
            <w:bookmarkEnd w:id="24"/>
            <w:r/>
            <w:bookmarkEnd w:id="25"/>
            <w:r>
              <w:rPr>
                <w:rFonts w:hint="eastAsia" w:ascii="宋体" w:hAnsi="宋体" w:cs="宋体"/>
                <w:color w:val="000000"/>
                <w:sz w:val="22"/>
                <w:szCs w:val="22"/>
                <w:highlight w:val="none"/>
                <w:lang w:val="en-US" w:eastAsia="zh-CN"/>
              </w:rPr>
            </w:r>
            <w:r/>
          </w:p>
          <w:p>
            <w:pPr>
              <w:pStyle w:val="1085"/>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3、质量负责人：具有国家注册测绘师资格证书的得2分；且同时具有高级及以上工程师职称的加2分，具有中级工程师职称的加1分，其余不得分。（满分4分）</w:t>
            </w:r>
            <w:r>
              <w:rPr>
                <w:rFonts w:hint="eastAsia" w:ascii="宋体" w:hAnsi="宋体" w:cs="宋体"/>
                <w:color w:val="000000"/>
                <w:sz w:val="22"/>
                <w:szCs w:val="22"/>
                <w:highlight w:val="none"/>
                <w:lang w:val="en-US" w:eastAsia="zh-CN"/>
              </w:rPr>
            </w:r>
            <w:r/>
          </w:p>
          <w:p>
            <w:pPr>
              <w:pStyle w:val="1085"/>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4、项目组成员（不含项目负责人、技术负责人、质量负责人）：</w:t>
            </w:r>
            <w:r>
              <w:rPr>
                <w:rFonts w:hint="eastAsia" w:ascii="宋体" w:hAnsi="宋体" w:cs="宋体"/>
                <w:color w:val="000000"/>
                <w:sz w:val="22"/>
                <w:szCs w:val="22"/>
                <w:highlight w:val="none"/>
                <w:lang w:val="en-US" w:eastAsia="zh-CN"/>
              </w:rPr>
            </w:r>
            <w:r/>
          </w:p>
          <w:p>
            <w:pPr>
              <w:pStyle w:val="1085"/>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4.1、</w:t>
            </w:r>
            <w:bookmarkStart w:id="26" w:name="OLE_LINK1"/>
            <w:r/>
            <w:bookmarkStart w:id="27" w:name="OLE_LINK2"/>
            <w:r>
              <w:rPr>
                <w:rFonts w:hint="eastAsia" w:ascii="宋体" w:hAnsi="宋体" w:cs="宋体"/>
                <w:color w:val="000000"/>
                <w:sz w:val="22"/>
                <w:szCs w:val="22"/>
                <w:highlight w:val="none"/>
                <w:lang w:val="en-US" w:eastAsia="zh-CN"/>
              </w:rPr>
              <w:t xml:space="preserve">同时具有国家注册测绘师资格证书和高级工程师及以上的，加3分/人；同时具有国家注册测绘师资格证书和中级工程师的，加2分/人。（限评2人，满分6分）</w:t>
            </w:r>
            <w:bookmarkEnd w:id="26"/>
            <w:r/>
            <w:bookmarkEnd w:id="27"/>
            <w:r>
              <w:rPr>
                <w:rFonts w:hint="eastAsia" w:ascii="宋体" w:hAnsi="宋体" w:cs="宋体"/>
                <w:color w:val="000000"/>
                <w:sz w:val="22"/>
                <w:szCs w:val="22"/>
                <w:highlight w:val="none"/>
                <w:lang w:val="en-US" w:eastAsia="zh-CN"/>
              </w:rPr>
            </w:r>
            <w:r/>
          </w:p>
          <w:p>
            <w:pPr>
              <w:pStyle w:val="1085"/>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4.2、同时</w:t>
            </w:r>
            <w:r>
              <w:rPr>
                <w:rFonts w:hint="eastAsia" w:ascii="宋体" w:hAnsi="宋体" w:cs="宋体"/>
                <w:color w:val="000000"/>
                <w:sz w:val="22"/>
                <w:szCs w:val="22"/>
                <w:highlight w:val="none"/>
                <w:lang w:val="en-US" w:eastAsia="zh-CN"/>
              </w:rPr>
              <w:t xml:space="preserve">具有</w:t>
            </w:r>
            <w:r>
              <w:rPr>
                <w:rFonts w:hint="eastAsia" w:ascii="宋体" w:hAnsi="宋体" w:cs="宋体"/>
                <w:color w:val="000000"/>
                <w:sz w:val="22"/>
                <w:szCs w:val="22"/>
                <w:highlight w:val="none"/>
                <w:lang w:val="en-US" w:eastAsia="zh-CN"/>
              </w:rPr>
              <w:t xml:space="preserve">国家注册土木工程师（岩土）执业资格证书和高级工程师及以上的，加3分/人；同时</w:t>
            </w:r>
            <w:r>
              <w:rPr>
                <w:rFonts w:hint="eastAsia" w:ascii="宋体" w:hAnsi="宋体" w:cs="宋体"/>
                <w:color w:val="000000"/>
                <w:sz w:val="22"/>
                <w:szCs w:val="22"/>
                <w:highlight w:val="none"/>
                <w:lang w:val="en-US" w:eastAsia="zh-CN"/>
              </w:rPr>
              <w:t xml:space="preserve">具有</w:t>
            </w:r>
            <w:r>
              <w:rPr>
                <w:rFonts w:hint="eastAsia" w:ascii="宋体" w:hAnsi="宋体" w:cs="宋体"/>
                <w:color w:val="000000"/>
                <w:sz w:val="22"/>
                <w:szCs w:val="22"/>
                <w:highlight w:val="none"/>
                <w:lang w:val="en-US" w:eastAsia="zh-CN"/>
              </w:rPr>
              <w:t xml:space="preserve">国家注册土木工程师（岩土）执业资格证书和中级工程师的，加2分/人。（限评2人，满分6分）</w:t>
            </w:r>
            <w:r>
              <w:rPr>
                <w:rFonts w:hint="eastAsia" w:ascii="宋体" w:hAnsi="宋体" w:cs="宋体"/>
                <w:color w:val="000000"/>
                <w:sz w:val="22"/>
                <w:szCs w:val="22"/>
                <w:highlight w:val="none"/>
                <w:lang w:val="en-US" w:eastAsia="zh-CN"/>
              </w:rPr>
            </w:r>
            <w:r/>
          </w:p>
          <w:p>
            <w:pPr>
              <w:pStyle w:val="1085"/>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4.3、同时</w:t>
            </w:r>
            <w:r>
              <w:rPr>
                <w:rFonts w:hint="eastAsia" w:ascii="宋体" w:hAnsi="宋体" w:cs="宋体"/>
                <w:color w:val="000000"/>
                <w:sz w:val="22"/>
                <w:szCs w:val="22"/>
                <w:highlight w:val="none"/>
                <w:lang w:val="en-US" w:eastAsia="zh-CN"/>
              </w:rPr>
              <w:t xml:space="preserve">具有</w:t>
            </w:r>
            <w:r>
              <w:rPr>
                <w:rFonts w:hint="eastAsia" w:ascii="宋体" w:hAnsi="宋体" w:cs="宋体"/>
                <w:color w:val="000000"/>
                <w:sz w:val="22"/>
                <w:szCs w:val="22"/>
                <w:highlight w:val="none"/>
                <w:lang w:val="en-US" w:eastAsia="zh-CN"/>
              </w:rPr>
              <w:t xml:space="preserve">国家注册安全工程师证书和高级工程师及以上的，加3分/人；同时</w:t>
            </w:r>
            <w:r>
              <w:rPr>
                <w:rFonts w:hint="eastAsia" w:ascii="宋体" w:hAnsi="宋体" w:cs="宋体"/>
                <w:color w:val="000000"/>
                <w:sz w:val="22"/>
                <w:szCs w:val="22"/>
                <w:highlight w:val="none"/>
                <w:lang w:val="en-US" w:eastAsia="zh-CN"/>
              </w:rPr>
              <w:t xml:space="preserve">具有</w:t>
            </w:r>
            <w:r>
              <w:rPr>
                <w:rFonts w:hint="eastAsia" w:ascii="宋体" w:hAnsi="宋体" w:cs="宋体"/>
                <w:color w:val="000000"/>
                <w:sz w:val="22"/>
                <w:szCs w:val="22"/>
                <w:highlight w:val="none"/>
                <w:lang w:val="en-US" w:eastAsia="zh-CN"/>
              </w:rPr>
              <w:t xml:space="preserve">国家注册安全工程师证书和中级工程师的，加2分/人。（限评2人，满分6分）</w:t>
            </w:r>
            <w:r>
              <w:rPr>
                <w:rFonts w:hint="eastAsia" w:ascii="宋体" w:hAnsi="宋体" w:cs="宋体"/>
                <w:color w:val="000000"/>
                <w:sz w:val="22"/>
                <w:szCs w:val="22"/>
                <w:highlight w:val="none"/>
                <w:lang w:val="en-US" w:eastAsia="zh-CN"/>
              </w:rPr>
            </w:r>
            <w:r/>
          </w:p>
          <w:p>
            <w:pPr>
              <w:pStyle w:val="1085"/>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bidi="ar"/>
              </w:rPr>
              <w:t xml:space="preserve">以上人员须提供相关证书复印件加盖公章、本单位自2026年1月以来任意一个月为其缴纳社保的证明复印件加盖公章，未按要求提供不得分</w:t>
            </w:r>
            <w:r>
              <w:rPr>
                <w:rFonts w:hint="eastAsia" w:ascii="宋体" w:hAnsi="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r>
            <w:r/>
          </w:p>
        </w:tc>
        <w:tc>
          <w:tcPr>
            <w:tcW w:w="578" w:type="dxa"/>
            <w:vAlign w:val="center"/>
            <w:textDirection w:val="lrTb"/>
            <w:noWrap w:val="false"/>
          </w:tcPr>
          <w:p>
            <w:pPr>
              <w:pStyle w:val="1055"/>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w:t>
            </w:r>
            <w:r>
              <w:rPr>
                <w:rFonts w:ascii="宋体" w:hAnsi="宋体" w:cs="宋体"/>
                <w:color w:val="000000"/>
                <w:sz w:val="22"/>
                <w:szCs w:val="22"/>
                <w:highlight w:val="none"/>
              </w:rPr>
            </w:r>
            <w:r/>
          </w:p>
        </w:tc>
        <w:tc>
          <w:tcPr>
            <w:tcW w:w="720"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客观分</w:t>
            </w:r>
            <w:r>
              <w:rPr>
                <w:rFonts w:hint="eastAsia" w:ascii="宋体" w:hAnsi="宋体" w:cs="宋体"/>
                <w:color w:val="000000"/>
                <w:sz w:val="22"/>
                <w:szCs w:val="22"/>
                <w:highlight w:val="none"/>
              </w:rPr>
            </w:r>
            <w:r/>
          </w:p>
        </w:tc>
      </w:tr>
      <w:tr>
        <w:trPr>
          <w:trHeight w:val="455"/>
        </w:trPr>
        <w:tc>
          <w:tcPr>
            <w:gridSpan w:val="5"/>
            <w:tcW w:w="9421" w:type="dxa"/>
            <w:vAlign w:val="center"/>
            <w:textDirection w:val="lrTb"/>
            <w:noWrap w:val="false"/>
          </w:tcPr>
          <w:p>
            <w:pPr>
              <w:pStyle w:val="1055"/>
              <w:ind w:left="42" w:right="42"/>
              <w:widowControl/>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4业绩</w:t>
            </w:r>
            <w:r>
              <w:rPr>
                <w:rFonts w:hint="eastAsia" w:ascii="宋体" w:hAnsi="宋体" w:cs="宋体"/>
                <w:color w:val="000000"/>
                <w:sz w:val="22"/>
                <w:szCs w:val="22"/>
                <w:highlight w:val="none"/>
              </w:rPr>
            </w:r>
            <w:r/>
          </w:p>
        </w:tc>
      </w:tr>
      <w:tr>
        <w:trPr>
          <w:trHeight w:val="918"/>
        </w:trPr>
        <w:tc>
          <w:tcPr>
            <w:tcW w:w="519"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w:t>
            </w:r>
            <w:r>
              <w:rPr>
                <w:rFonts w:hint="eastAsia" w:ascii="宋体" w:hAnsi="宋体" w:cs="宋体"/>
                <w:color w:val="000000"/>
                <w:sz w:val="22"/>
                <w:szCs w:val="22"/>
                <w:highlight w:val="none"/>
              </w:rPr>
            </w:r>
            <w:r/>
          </w:p>
        </w:tc>
        <w:tc>
          <w:tcPr>
            <w:tcW w:w="1077"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供应商类似业绩</w:t>
            </w:r>
            <w:r>
              <w:rPr>
                <w:rFonts w:hint="eastAsia" w:ascii="宋体" w:hAnsi="宋体" w:cs="宋体"/>
                <w:color w:val="000000"/>
                <w:sz w:val="22"/>
                <w:szCs w:val="22"/>
                <w:highlight w:val="none"/>
              </w:rPr>
            </w:r>
            <w:r/>
          </w:p>
        </w:tc>
        <w:tc>
          <w:tcPr>
            <w:tcW w:w="6527" w:type="dxa"/>
            <w:vAlign w:val="center"/>
            <w:textDirection w:val="lrTb"/>
            <w:noWrap w:val="false"/>
          </w:tcPr>
          <w:p>
            <w:pPr>
              <w:pStyle w:val="1067"/>
              <w:ind w:firstLine="0"/>
              <w:rPr>
                <w:rFonts w:hint="eastAsia" w:ascii="宋体" w:hAnsi="宋体" w:eastAsia="宋体" w:cs="宋体"/>
                <w:color w:val="000000"/>
                <w:sz w:val="22"/>
                <w:szCs w:val="22"/>
                <w:highlight w:val="none"/>
              </w:rPr>
            </w:pPr>
            <w:r/>
            <w:bookmarkStart w:id="28" w:name="OLE_LINK4"/>
            <w:r>
              <w:rPr>
                <w:rFonts w:hint="eastAsia" w:ascii="宋体" w:hAnsi="宋体" w:eastAsia="宋体" w:cs="宋体"/>
                <w:color w:val="000000"/>
                <w:sz w:val="22"/>
                <w:szCs w:val="22"/>
                <w:highlight w:val="none"/>
              </w:rPr>
              <w:t xml:space="preserve">1、供应商自2023年1月1日</w:t>
            </w:r>
            <w:bookmarkStart w:id="29" w:name="OLE_LINK8"/>
            <w:r>
              <w:rPr>
                <w:rFonts w:hint="eastAsia" w:ascii="宋体" w:hAnsi="宋体" w:eastAsia="宋体" w:cs="宋体"/>
                <w:color w:val="000000"/>
                <w:sz w:val="22"/>
                <w:szCs w:val="22"/>
                <w:highlight w:val="none"/>
              </w:rPr>
              <w:t xml:space="preserve">（含）</w:t>
            </w:r>
            <w:bookmarkEnd w:id="29"/>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合同签订时间为准</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以来承担过市政道路工程基坑监测</w:t>
            </w:r>
            <w:r>
              <w:rPr>
                <w:rFonts w:hint="eastAsia" w:ascii="宋体" w:hAnsi="宋体" w:eastAsia="宋体" w:cs="宋体"/>
                <w:color w:val="000000"/>
                <w:sz w:val="22"/>
                <w:szCs w:val="22"/>
                <w:highlight w:val="none"/>
                <w:lang w:val="zh-CN"/>
              </w:rPr>
              <w:t xml:space="preserve">业绩</w:t>
            </w:r>
            <w:r>
              <w:rPr>
                <w:rFonts w:hint="eastAsia" w:ascii="宋体" w:hAnsi="宋体" w:eastAsia="宋体" w:cs="宋体"/>
                <w:color w:val="000000"/>
                <w:sz w:val="22"/>
                <w:szCs w:val="22"/>
                <w:highlight w:val="none"/>
              </w:rPr>
              <w:t xml:space="preserve">的得3分，没有不得分。（须提供合同。若提供的证明材料不能反映该业绩的相关数据和内容的，该业绩不予可。）</w:t>
            </w:r>
            <w:bookmarkEnd w:id="28"/>
            <w:r>
              <w:rPr>
                <w:rFonts w:hint="eastAsia" w:ascii="宋体" w:hAnsi="宋体" w:eastAsia="宋体" w:cs="宋体"/>
                <w:color w:val="000000"/>
                <w:sz w:val="22"/>
                <w:szCs w:val="22"/>
                <w:highlight w:val="none"/>
              </w:rPr>
            </w:r>
            <w:r/>
          </w:p>
          <w:p>
            <w:pPr>
              <w:pStyle w:val="1067"/>
              <w:ind w:firstLine="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2、供应商自2023年1月1日（含）</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合同签订时间为准</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以来承担过地下结构监测</w:t>
            </w:r>
            <w:r>
              <w:rPr>
                <w:rFonts w:hint="eastAsia" w:ascii="宋体" w:hAnsi="宋体" w:eastAsia="宋体" w:cs="宋体"/>
                <w:color w:val="000000"/>
                <w:sz w:val="22"/>
                <w:szCs w:val="22"/>
                <w:highlight w:val="none"/>
                <w:lang w:val="zh-CN"/>
              </w:rPr>
              <w:t xml:space="preserve">业绩</w:t>
            </w:r>
            <w:r>
              <w:rPr>
                <w:rFonts w:hint="eastAsia" w:ascii="宋体" w:hAnsi="宋体" w:eastAsia="宋体" w:cs="宋体"/>
                <w:color w:val="000000"/>
                <w:sz w:val="22"/>
                <w:szCs w:val="22"/>
                <w:highlight w:val="none"/>
              </w:rPr>
              <w:t xml:space="preserve">的得3分，没有不得分。（须提供合同。若提供的证明材料不能反映该业绩的相关数据和内容的，该业绩不予可。）</w:t>
            </w:r>
            <w:r>
              <w:rPr>
                <w:rFonts w:hint="eastAsia" w:ascii="宋体" w:hAnsi="宋体" w:eastAsia="宋体" w:cs="宋体"/>
                <w:color w:val="000000"/>
                <w:sz w:val="22"/>
                <w:szCs w:val="22"/>
                <w:highlight w:val="none"/>
              </w:rPr>
            </w:r>
            <w:r/>
          </w:p>
          <w:p>
            <w:pPr>
              <w:pStyle w:val="1067"/>
              <w:ind w:firstLine="0"/>
              <w:rPr>
                <w:rFonts w:hint="eastAsia" w:ascii="宋体" w:hAnsi="宋体"/>
                <w:color w:val="000000"/>
                <w:highlight w:val="none"/>
              </w:rPr>
            </w:pPr>
            <w:r>
              <w:rPr>
                <w:rFonts w:hint="eastAsia" w:ascii="宋体" w:hAnsi="宋体" w:eastAsia="宋体" w:cs="宋体"/>
                <w:color w:val="000000"/>
                <w:sz w:val="22"/>
                <w:szCs w:val="22"/>
                <w:highlight w:val="none"/>
              </w:rPr>
              <w:t xml:space="preserve">3、供应商自2023年1月1日（含）</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合同签订时间为准</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以来承担过承担过</w:t>
            </w:r>
            <w:bookmarkStart w:id="30" w:name="_Hlk231387555"/>
            <w:r/>
            <w:bookmarkStart w:id="31" w:name="OLE_LINK44"/>
            <w:r/>
            <w:bookmarkStart w:id="32" w:name="OLE_LINK43"/>
            <w:r>
              <w:rPr>
                <w:rFonts w:hint="eastAsia" w:ascii="宋体" w:hAnsi="宋体" w:eastAsia="宋体" w:cs="宋体"/>
                <w:color w:val="000000"/>
                <w:sz w:val="22"/>
                <w:szCs w:val="22"/>
                <w:highlight w:val="none"/>
              </w:rPr>
              <w:t xml:space="preserve">微震</w:t>
            </w:r>
            <w:bookmarkEnd w:id="30"/>
            <w:r>
              <w:rPr>
                <w:rFonts w:hint="eastAsia" w:ascii="宋体" w:hAnsi="宋体" w:eastAsia="宋体" w:cs="宋体"/>
                <w:color w:val="000000"/>
                <w:sz w:val="22"/>
                <w:szCs w:val="22"/>
                <w:highlight w:val="none"/>
              </w:rPr>
              <w:t xml:space="preserve">检测服务</w:t>
            </w:r>
            <w:bookmarkEnd w:id="31"/>
            <w:r/>
            <w:bookmarkEnd w:id="32"/>
            <w:r>
              <w:rPr>
                <w:rFonts w:hint="eastAsia" w:ascii="宋体" w:hAnsi="宋体" w:eastAsia="宋体" w:cs="宋体"/>
                <w:color w:val="000000"/>
                <w:sz w:val="22"/>
                <w:szCs w:val="22"/>
                <w:highlight w:val="none"/>
              </w:rPr>
              <w:t xml:space="preserve">的得3分，没有不得分。（须提供合同和微震检测报告。若提供的证明材料不能反映该业绩的相关数据和内容的，该业绩不予可。）</w:t>
            </w:r>
            <w:r>
              <w:rPr>
                <w:rFonts w:hint="eastAsia" w:ascii="宋体" w:hAnsi="宋体"/>
                <w:color w:val="000000"/>
                <w:highlight w:val="none"/>
              </w:rPr>
            </w:r>
            <w:r/>
          </w:p>
        </w:tc>
        <w:tc>
          <w:tcPr>
            <w:tcW w:w="578"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720"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客观分</w:t>
            </w:r>
            <w:r>
              <w:rPr>
                <w:rFonts w:hint="eastAsia" w:ascii="宋体" w:hAnsi="宋体" w:cs="宋体"/>
                <w:color w:val="000000"/>
                <w:sz w:val="22"/>
                <w:szCs w:val="22"/>
                <w:highlight w:val="none"/>
              </w:rPr>
            </w:r>
            <w:r/>
          </w:p>
        </w:tc>
      </w:tr>
      <w:tr>
        <w:trPr>
          <w:trHeight w:val="464"/>
        </w:trPr>
        <w:tc>
          <w:tcPr>
            <w:tcW w:w="519"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合计</w:t>
            </w:r>
            <w:r>
              <w:rPr>
                <w:rFonts w:hint="eastAsia" w:ascii="宋体" w:hAnsi="宋体" w:cs="宋体"/>
                <w:color w:val="000000"/>
                <w:sz w:val="22"/>
                <w:szCs w:val="22"/>
                <w:highlight w:val="none"/>
              </w:rPr>
            </w:r>
            <w:r/>
          </w:p>
        </w:tc>
        <w:tc>
          <w:tcPr>
            <w:gridSpan w:val="2"/>
            <w:tcW w:w="7604"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gridSpan w:val="2"/>
            <w:tcW w:w="1298" w:type="dxa"/>
            <w:vAlign w:val="center"/>
            <w:textDirection w:val="lrTb"/>
            <w:noWrap w:val="false"/>
          </w:tcPr>
          <w:p>
            <w:pPr>
              <w:pStyle w:val="1055"/>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100分</w:t>
            </w:r>
            <w:r>
              <w:rPr>
                <w:rFonts w:hint="eastAsia" w:ascii="宋体" w:hAnsi="宋体" w:cs="宋体"/>
                <w:color w:val="000000"/>
                <w:sz w:val="22"/>
                <w:szCs w:val="22"/>
                <w:highlight w:val="none"/>
              </w:rPr>
            </w:r>
            <w:r/>
          </w:p>
        </w:tc>
      </w:tr>
    </w:tbl>
    <w:p>
      <w:pPr>
        <w:pStyle w:val="1055"/>
        <w:ind w:firstLine="420"/>
        <w:spacing w:line="85" w:lineRule="atLeast"/>
        <w:shd w:val="clear" w:color="ffffff" w:fill="ffff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注：以上要求提供的材料，供应商未提供或虽提供但资料不完整、无法辨识的不得分</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说明：</w:t>
      </w:r>
      <w:r>
        <w:rPr>
          <w:rFonts w:hint="eastAsia" w:ascii="宋体" w:hAnsi="宋体" w:cs="宋体"/>
          <w:bCs/>
          <w:color w:val="000000"/>
          <w:sz w:val="22"/>
          <w:szCs w:val="22"/>
          <w:highlight w:val="none"/>
        </w:rPr>
      </w:r>
      <w:r/>
    </w:p>
    <w:p>
      <w:pPr>
        <w:pStyle w:val="1055"/>
        <w:ind w:firstLine="440"/>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1.所有认证、证明和业绩均以有效清晰的证明文件的复印件为依据。</w:t>
      </w:r>
      <w:r>
        <w:rPr>
          <w:rFonts w:hint="eastAsia" w:ascii="宋体" w:hAnsi="宋体" w:cs="宋体"/>
          <w:bCs/>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2.小微企业价格扣除</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3.监狱和戒毒企业的价格扣除</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 本项目对监狱和戒毒企业，给予10%的价格扣除，用扣除后的价格参与评审。</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 监狱企业需提供由省级以上监狱管理局、戒毒管理局（含新疆生产建设兵团）出具的属于监狱企业的证明文件。</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 监狱企业标准请参照《关于政府采购支持监狱企业发展有关问题的通知》（财库〔2014〕68号）。</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4.残疾人福利性单位的价格扣除</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 本项目对残疾人福利性单位，给予10%的价格扣除，用扣除后的价格参与评审。</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4.2 残疾人福利性单位需提供《残疾人福利性单位声明函》。</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4.3 残疾人福利性单位标准请参照《关于促进残疾人就业政府采购政策的通知》（财库〔2017〕141号）。</w:t>
      </w:r>
      <w:r>
        <w:rPr>
          <w:rFonts w:hint="eastAsia" w:ascii="宋体" w:hAnsi="宋体" w:cs="宋体"/>
          <w:color w:val="000000"/>
          <w:sz w:val="22"/>
          <w:szCs w:val="22"/>
          <w:highlight w:val="none"/>
        </w:rPr>
      </w:r>
      <w:r/>
    </w:p>
    <w:p>
      <w:pPr>
        <w:pStyle w:val="1055"/>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 监狱企业、残疾人福利性单位属于小型、微型企业的，不重复享受政策。</w:t>
      </w:r>
      <w:r>
        <w:rPr>
          <w:rFonts w:hint="eastAsia" w:ascii="宋体" w:hAnsi="宋体" w:cs="宋体"/>
          <w:color w:val="000000"/>
          <w:sz w:val="22"/>
          <w:szCs w:val="22"/>
          <w:highlight w:val="none"/>
        </w:rPr>
      </w:r>
      <w:r/>
    </w:p>
    <w:p>
      <w:pPr>
        <w:pStyle w:val="1055"/>
        <w:spacing w:line="360" w:lineRule="auto"/>
        <w:rPr>
          <w:rFonts w:hint="eastAsia" w:hAnsi="宋体"/>
          <w:b/>
          <w:bCs/>
          <w:color w:val="000000"/>
          <w:highlight w:val="none"/>
        </w:rPr>
      </w:pPr>
      <w:r>
        <w:rPr>
          <w:rFonts w:hint="eastAsia" w:hAnsi="宋体"/>
          <w:b/>
          <w:bCs/>
          <w:color w:val="000000"/>
          <w:highlight w:val="none"/>
        </w:rPr>
      </w:r>
      <w:r/>
    </w:p>
    <w:p>
      <w:pPr>
        <w:pStyle w:val="1055"/>
        <w:rPr>
          <w:color w:val="000000"/>
          <w:highlight w:val="none"/>
        </w:rPr>
      </w:pPr>
      <w:r>
        <w:rPr>
          <w:color w:val="000000"/>
          <w:highlight w:val="none"/>
        </w:rPr>
      </w:r>
      <w:r/>
    </w:p>
    <w:p>
      <w:pPr>
        <w:pStyle w:val="1055"/>
        <w:spacing w:line="360" w:lineRule="auto"/>
        <w:rPr>
          <w:rFonts w:hint="eastAsia" w:ascii="Arial" w:hAnsi="Arial" w:cs="Arial"/>
          <w:b w:val="0"/>
          <w:bCs/>
          <w:color w:val="000000"/>
          <w:highlight w:val="none"/>
        </w:rPr>
      </w:pPr>
      <w:r>
        <w:rPr>
          <w:rFonts w:hint="eastAsia" w:ascii="Arial" w:hAnsi="Arial" w:cs="Arial"/>
          <w:b w:val="0"/>
          <w:bCs/>
          <w:color w:val="000000"/>
          <w:highlight w:val="none"/>
        </w:rPr>
      </w:r>
      <w:r/>
    </w:p>
    <w:p>
      <w:pPr>
        <w:pStyle w:val="1146"/>
        <w:rPr>
          <w:rFonts w:hint="eastAsia"/>
          <w:color w:val="000000"/>
          <w:highlight w:val="none"/>
        </w:rPr>
        <w:sectPr>
          <w:footnotePr/>
          <w:endnotePr/>
          <w:type w:val="continuous"/>
          <w:pgSz w:w="11906" w:h="16838" w:orient="portrait"/>
          <w:pgMar w:top="1440" w:right="1080" w:bottom="1440" w:left="1080" w:header="851" w:footer="992" w:gutter="0"/>
          <w:pgNumType w:start="1"/>
          <w:cols w:num="1" w:sep="0" w:space="1701" w:equalWidth="1"/>
          <w:docGrid w:linePitch="360"/>
          <w:titlePg/>
        </w:sectPr>
      </w:pPr>
      <w:r>
        <w:rPr>
          <w:rFonts w:hint="eastAsia"/>
          <w:color w:val="000000"/>
          <w:highlight w:val="none"/>
        </w:rPr>
        <w:br w:type="page" w:clear="all"/>
      </w:r>
      <w:r/>
    </w:p>
    <w:p>
      <w:pPr>
        <w:pStyle w:val="1134"/>
        <w:jc w:val="center"/>
        <w:rPr>
          <w:color w:val="000000"/>
          <w:highlight w:val="none"/>
          <w:lang w:val="zh-CN"/>
        </w:rPr>
      </w:pPr>
      <w:r/>
      <w:bookmarkStart w:id="33" w:name="_Toc7631"/>
      <w:r>
        <w:rPr>
          <w:rFonts w:hint="eastAsia" w:ascii="Arial" w:hAnsi="Arial" w:eastAsia="宋体" w:cs="Arial"/>
          <w:b/>
          <w:bCs/>
          <w:color w:val="000000"/>
          <w:highlight w:val="none"/>
          <w:lang w:val="en-US" w:eastAsia="zh-CN"/>
        </w:rPr>
        <w:br w:type="page" w:clear="all"/>
      </w:r>
      <w:bookmarkEnd w:id="33"/>
      <w:r>
        <w:rPr>
          <w:rFonts w:hint="eastAsia" w:ascii="Arial" w:hAnsi="Arial" w:eastAsia="宋体" w:cs="Arial"/>
          <w:b/>
          <w:bCs/>
          <w:color w:val="000000"/>
          <w:highlight w:val="none"/>
          <w:lang w:val="en-US" w:eastAsia="zh-CN"/>
        </w:rPr>
        <w:t xml:space="preserve">第四章 </w:t>
      </w:r>
      <w:r>
        <w:rPr>
          <w:rFonts w:hint="eastAsia" w:ascii="Arial" w:hAnsi="Arial" w:eastAsia="宋体" w:cs="Arial"/>
          <w:b/>
          <w:bCs/>
          <w:color w:val="000000"/>
          <w:highlight w:val="none"/>
          <w:lang w:val="zh-CN" w:eastAsia="zh-CN"/>
        </w:rPr>
        <w:t xml:space="preserve">采购需求</w:t>
      </w:r>
      <w:bookmarkStart w:id="34" w:name="_Toc13426"/>
      <w:r>
        <w:rPr>
          <w:color w:val="000000"/>
          <w:highlight w:val="none"/>
          <w:lang w:val="zh-CN"/>
        </w:rPr>
      </w:r>
      <w:r/>
    </w:p>
    <w:p>
      <w:pPr>
        <w:pStyle w:val="1055"/>
        <w:rPr>
          <w:color w:val="000000"/>
          <w:highlight w:val="none"/>
        </w:rPr>
      </w:pPr>
      <w:r>
        <w:rPr>
          <w:color w:val="000000"/>
          <w:highlight w:val="none"/>
        </w:rPr>
      </w:r>
      <w:r/>
    </w:p>
    <w:p>
      <w:pPr>
        <w:pStyle w:val="1055"/>
        <w:ind w:firstLine="442"/>
        <w:jc w:val="left"/>
        <w:spacing w:line="360" w:lineRule="auto"/>
        <w:rPr>
          <w:rFonts w:hint="eastAsia" w:ascii="宋体" w:hAnsi="宋体" w:cs="宋体"/>
          <w:color w:val="000000"/>
          <w:sz w:val="22"/>
          <w:szCs w:val="22"/>
          <w:highlight w:val="none"/>
          <w:lang w:val="zh-CN"/>
        </w:rPr>
      </w:pPr>
      <w:r>
        <w:rPr>
          <w:rFonts w:hint="eastAsia" w:ascii="宋体" w:hAnsi="宋体" w:cs="宋体"/>
          <w:b/>
          <w:bCs/>
          <w:color w:val="000000"/>
          <w:sz w:val="22"/>
          <w:szCs w:val="22"/>
          <w:highlight w:val="none"/>
        </w:rPr>
        <w:t xml:space="preserve">一、</w:t>
      </w:r>
      <w:r>
        <w:rPr>
          <w:rFonts w:hint="eastAsia" w:ascii="宋体" w:hAnsi="宋体" w:cs="宋体"/>
          <w:b/>
          <w:bCs/>
          <w:color w:val="000000"/>
          <w:sz w:val="22"/>
          <w:szCs w:val="22"/>
          <w:highlight w:val="none"/>
          <w:lang w:val="zh-CN"/>
        </w:rPr>
        <w:t xml:space="preserve">项目名称：</w:t>
      </w:r>
      <w:r>
        <w:rPr>
          <w:rFonts w:hint="eastAsia" w:ascii="宋体" w:hAnsi="宋体" w:cs="宋体"/>
          <w:color w:val="000000"/>
          <w:sz w:val="22"/>
          <w:szCs w:val="22"/>
          <w:highlight w:val="none"/>
          <w:lang w:val="zh-CN"/>
        </w:rPr>
        <w:t xml:space="preserve">湖南路道路市政设施恢复工程既有地下空间结构影响专项监测。</w:t>
      </w:r>
      <w:r>
        <w:rPr>
          <w:rFonts w:hint="eastAsia" w:ascii="宋体" w:hAnsi="宋体" w:cs="宋体"/>
          <w:color w:val="000000"/>
          <w:sz w:val="22"/>
          <w:szCs w:val="22"/>
          <w:highlight w:val="none"/>
          <w:lang w:val="zh-CN"/>
        </w:rPr>
      </w:r>
      <w:r/>
    </w:p>
    <w:p>
      <w:pPr>
        <w:pStyle w:val="1055"/>
        <w:ind w:firstLine="442"/>
        <w:jc w:val="left"/>
        <w:spacing w:line="360" w:lineRule="auto"/>
        <w:rPr>
          <w:rFonts w:hint="eastAsia" w:ascii="宋体" w:hAnsi="宋体" w:cs="宋体"/>
          <w:color w:val="000000"/>
          <w:sz w:val="22"/>
          <w:szCs w:val="22"/>
          <w:highlight w:val="none"/>
          <w:lang w:val="zh-CN"/>
        </w:rPr>
      </w:pPr>
      <w:r>
        <w:rPr>
          <w:rFonts w:hint="eastAsia" w:ascii="宋体" w:hAnsi="宋体" w:cs="宋体"/>
          <w:b/>
          <w:bCs/>
          <w:color w:val="000000"/>
          <w:sz w:val="22"/>
          <w:szCs w:val="22"/>
          <w:highlight w:val="none"/>
        </w:rPr>
        <w:t xml:space="preserve">二、</w:t>
      </w:r>
      <w:r>
        <w:rPr>
          <w:rFonts w:hint="eastAsia" w:ascii="宋体" w:hAnsi="宋体" w:cs="宋体"/>
          <w:b/>
          <w:bCs/>
          <w:color w:val="000000"/>
          <w:sz w:val="22"/>
          <w:szCs w:val="22"/>
          <w:highlight w:val="none"/>
          <w:lang w:val="zh-CN"/>
        </w:rPr>
        <w:t xml:space="preserve">建设期：</w:t>
      </w:r>
      <w:r>
        <w:rPr>
          <w:rFonts w:hint="eastAsia" w:ascii="宋体" w:hAnsi="宋体" w:cs="宋体"/>
          <w:color w:val="000000"/>
          <w:sz w:val="22"/>
          <w:szCs w:val="22"/>
          <w:highlight w:val="none"/>
          <w:lang w:val="zh-CN"/>
        </w:rPr>
        <w:t xml:space="preserve">项目施工工期约为9个月。</w:t>
      </w:r>
      <w:r>
        <w:rPr>
          <w:rFonts w:hint="eastAsia" w:ascii="宋体" w:hAnsi="宋体" w:cs="宋体"/>
          <w:color w:val="000000"/>
          <w:sz w:val="22"/>
          <w:szCs w:val="22"/>
          <w:highlight w:val="none"/>
          <w:lang w:val="zh-CN"/>
        </w:rPr>
      </w:r>
      <w:r/>
    </w:p>
    <w:p>
      <w:pPr>
        <w:pStyle w:val="1235"/>
        <w:ind w:firstLine="442"/>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rPr>
        <w:t xml:space="preserve">三、</w:t>
      </w:r>
      <w:r>
        <w:rPr>
          <w:rFonts w:hint="eastAsia" w:ascii="宋体" w:hAnsi="宋体" w:cs="宋体"/>
          <w:b/>
          <w:bCs/>
          <w:color w:val="000000"/>
          <w:sz w:val="22"/>
          <w:szCs w:val="22"/>
          <w:highlight w:val="none"/>
          <w:lang w:val="zh-CN"/>
        </w:rPr>
        <w:t xml:space="preserve">服务及工作内容：</w:t>
      </w:r>
      <w:r>
        <w:rPr>
          <w:rFonts w:hint="eastAsia" w:ascii="宋体" w:hAnsi="宋体" w:cs="宋体"/>
          <w:b/>
          <w:bCs/>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1、服务内容：</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按国家及地方现行法规规范、建设主管部门及监管部门相关规定及要求，满足本项目设计及图纸要求，且满足施工安全及周边环境要求，完成基坑监测点位布设及监测、沉降观测等内容。包括但不限于以下内容：</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3.1.1、</w:t>
      </w:r>
      <w:r>
        <w:rPr>
          <w:rFonts w:hint="eastAsia" w:ascii="宋体" w:hAnsi="宋体" w:cs="宋体"/>
          <w:color w:val="000000"/>
          <w:sz w:val="22"/>
          <w:szCs w:val="22"/>
          <w:highlight w:val="none"/>
          <w:lang w:val="zh-CN"/>
        </w:rPr>
        <w:t xml:space="preserve">施工过程中，对湖南路地下商业街(B、C、D区)结构、周围可能影响的建筑（构）物、管线、道路、进行监测。</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3.1.2</w:t>
      </w:r>
      <w:r>
        <w:rPr>
          <w:rFonts w:hint="eastAsia" w:ascii="宋体" w:hAnsi="宋体" w:cs="宋体"/>
          <w:color w:val="000000"/>
          <w:sz w:val="22"/>
          <w:szCs w:val="22"/>
          <w:highlight w:val="none"/>
          <w:lang w:val="zh-CN"/>
        </w:rPr>
        <w:t xml:space="preserve">施工结束后，按要求跟踪监测2年。</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3.1.3</w:t>
      </w:r>
      <w:r>
        <w:rPr>
          <w:rFonts w:hint="eastAsia" w:ascii="宋体" w:hAnsi="宋体" w:cs="宋体"/>
          <w:color w:val="000000"/>
          <w:sz w:val="22"/>
          <w:szCs w:val="22"/>
          <w:highlight w:val="none"/>
          <w:lang w:val="zh-CN"/>
        </w:rPr>
        <w:t xml:space="preserve">监测过程中，完成满足监测所需的排水及照明工程。</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3.1.4</w:t>
      </w:r>
      <w:r>
        <w:rPr>
          <w:rFonts w:hint="eastAsia" w:ascii="宋体" w:hAnsi="宋体" w:cs="宋体"/>
          <w:color w:val="000000"/>
          <w:sz w:val="22"/>
          <w:szCs w:val="22"/>
          <w:highlight w:val="none"/>
          <w:lang w:val="zh-CN"/>
        </w:rPr>
        <w:t xml:space="preserve">向采购人及时提供符合法规及规范要求的、相关建设行政主管部门和监督部门认可的、以及法律诉讼所需要的监测数据和文件。</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3.1.5</w:t>
      </w:r>
      <w:r>
        <w:rPr>
          <w:rFonts w:hint="eastAsia" w:ascii="宋体" w:hAnsi="宋体" w:cs="宋体"/>
          <w:color w:val="000000"/>
          <w:sz w:val="22"/>
          <w:szCs w:val="22"/>
          <w:highlight w:val="none"/>
          <w:lang w:val="zh-CN"/>
        </w:rPr>
        <w:t xml:space="preserve">采购人根据项目建设需要确定的其它监测项目。</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3.1.6</w:t>
      </w:r>
      <w:r>
        <w:rPr>
          <w:rFonts w:hint="eastAsia" w:ascii="宋体" w:hAnsi="宋体" w:cs="宋体"/>
          <w:color w:val="000000"/>
          <w:sz w:val="22"/>
          <w:szCs w:val="22"/>
          <w:highlight w:val="none"/>
          <w:lang w:val="zh-CN"/>
        </w:rPr>
        <w:t xml:space="preserve">在进行监测任务的过程中与该工程相关的总承包施工单位、分包单位、监理单位、设计单位、造价咨询单位、建设主管部门等相关单位的协调工作。（该部分工作的费用已经包含在本合同价款中）</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3.1.7</w:t>
      </w:r>
      <w:r>
        <w:rPr>
          <w:rFonts w:hint="eastAsia" w:ascii="宋体" w:hAnsi="宋体" w:cs="宋体"/>
          <w:color w:val="000000"/>
          <w:sz w:val="22"/>
          <w:szCs w:val="22"/>
          <w:highlight w:val="none"/>
          <w:lang w:val="zh-CN"/>
        </w:rPr>
        <w:t xml:space="preserve">由于设计变更，需要变更监测方法时，若供应商 资质范围不能覆盖所需的监测方法，由采购人将不具备相应资质部分的监测工作发包给具备相应资质的监测单位，此部分监测工作的费用在合同款项中扣除，供应商 应无条件服从。</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3.1.8</w:t>
      </w:r>
      <w:r>
        <w:rPr>
          <w:rFonts w:hint="eastAsia" w:ascii="宋体" w:hAnsi="宋体" w:cs="宋体"/>
          <w:color w:val="000000"/>
          <w:sz w:val="22"/>
          <w:szCs w:val="22"/>
          <w:highlight w:val="none"/>
          <w:lang w:val="zh-CN"/>
        </w:rPr>
        <w:t xml:space="preserve">供应商 需将工程监测数据的有关信息通过连接系统进行传输报送，确保不因传输报送工作影响本工程项目的建设进度和竣工验收。</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2、除第</w:t>
      </w:r>
      <w:r>
        <w:rPr>
          <w:rFonts w:hint="eastAsia" w:ascii="宋体" w:hAnsi="宋体" w:cs="宋体"/>
          <w:color w:val="000000"/>
          <w:sz w:val="22"/>
          <w:szCs w:val="22"/>
          <w:highlight w:val="none"/>
        </w:rPr>
        <w:t xml:space="preserve">3.1</w:t>
      </w:r>
      <w:r>
        <w:rPr>
          <w:rFonts w:hint="eastAsia" w:ascii="宋体" w:hAnsi="宋体" w:cs="宋体"/>
          <w:color w:val="000000"/>
          <w:sz w:val="22"/>
          <w:szCs w:val="22"/>
          <w:highlight w:val="none"/>
          <w:lang w:val="zh-CN"/>
        </w:rPr>
        <w:t xml:space="preserve">条约定外，服务范围还包括：与工程所在地行政区域的相关建设工程主管部门和监管部门进行检测工作的协调，申报监测、观测技术成果的审批。保证技术成果能够通过相关部门的认可，确保不因监测、观测工作影响本工程项目的建设进度及竣工验收。</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3.3、</w:t>
      </w:r>
      <w:r>
        <w:rPr>
          <w:rFonts w:hint="eastAsia" w:ascii="宋体" w:hAnsi="宋体" w:cs="宋体"/>
          <w:color w:val="000000"/>
          <w:sz w:val="22"/>
          <w:szCs w:val="22"/>
          <w:highlight w:val="none"/>
          <w:lang w:val="zh-CN"/>
        </w:rPr>
        <w:t xml:space="preserve">承包方式：包工、包料、包质量、包工期、包监测和观测满足质量监督部门验收要求、包安全、包文明施工的组织实施工作、资料整理和备案。符合国家和行业现行规定验收标准，确保监测项目及数量能满足建设行政主管部门的施工质量的验收和备案要求。</w:t>
      </w:r>
      <w:r>
        <w:rPr>
          <w:rFonts w:hint="eastAsia" w:ascii="宋体" w:hAnsi="宋体" w:cs="宋体"/>
          <w:color w:val="000000"/>
          <w:sz w:val="22"/>
          <w:szCs w:val="22"/>
          <w:highlight w:val="none"/>
          <w:lang w:val="zh-CN"/>
        </w:rPr>
      </w:r>
      <w:r/>
    </w:p>
    <w:p>
      <w:pPr>
        <w:pStyle w:val="1055"/>
        <w:ind w:firstLine="442"/>
        <w:jc w:val="left"/>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四、监测服务的依据和标准：</w:t>
      </w:r>
      <w:r>
        <w:rPr>
          <w:rFonts w:hint="eastAsia" w:ascii="宋体" w:hAnsi="宋体" w:cs="宋体"/>
          <w:b/>
          <w:bCs/>
          <w:color w:val="000000"/>
          <w:sz w:val="22"/>
          <w:szCs w:val="22"/>
          <w:highlight w:val="none"/>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本项目监测须满足国家和地方现行规范、法规、监测方案、招标文件、合同文件要求，其中包括但不限于以下规范与法规：</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《建筑地基基础设计规范》GB50007-2011</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《建筑与市政地基基础通用规范》GB55003-2021</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《建筑深基坑工程施工安全技术规范》JGJ311-2013</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《建筑基坑工程监测技术标准》GB50497-2019</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《建筑变形测量规范》（JGJ 8-2016）</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《建筑基坑支护技术规程》（JGJ 120-2012）</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《南京地区建筑基坑工程监测技术规程》(DGJ32/J189-2015)</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《工程测量规范》（GB50026-2016）</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《精密水准测量规程》（GB/T15314-94）</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《城市测量规范》（CJ8-2011）</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《岩土工程试验监测守册》</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基坑周边构筑物、道路、地下管线等环境条件及使用状况，行政主管部门对管线及构筑物的具体要求。</w:t>
      </w:r>
      <w:r>
        <w:rPr>
          <w:rFonts w:hint="eastAsia" w:ascii="宋体" w:hAnsi="宋体" w:cs="宋体"/>
          <w:color w:val="000000"/>
          <w:sz w:val="22"/>
          <w:szCs w:val="22"/>
          <w:highlight w:val="none"/>
          <w:lang w:val="zh-CN"/>
        </w:rPr>
      </w:r>
      <w:r/>
    </w:p>
    <w:p>
      <w:pPr>
        <w:pStyle w:val="1055"/>
        <w:numPr>
          <w:ilvl w:val="0"/>
          <w:numId w:val="10"/>
        </w:numPr>
        <w:ind w:firstLine="442"/>
        <w:jc w:val="left"/>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服务期、履行地点和方式：</w:t>
      </w:r>
      <w:r>
        <w:rPr>
          <w:rFonts w:hint="eastAsia" w:ascii="宋体" w:hAnsi="宋体" w:cs="宋体"/>
          <w:b/>
          <w:bCs/>
          <w:color w:val="000000"/>
          <w:sz w:val="22"/>
          <w:szCs w:val="22"/>
          <w:highlight w:val="none"/>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1、服务期：</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服务期从服务单位进场至所有监测、观测服务项目完成</w:t>
      </w:r>
      <w:r>
        <w:rPr>
          <w:rFonts w:hint="eastAsia" w:ascii="宋体" w:hAnsi="宋体" w:cs="宋体"/>
          <w:color w:val="000000"/>
          <w:sz w:val="22"/>
          <w:szCs w:val="22"/>
          <w:highlight w:val="none"/>
        </w:rPr>
        <w:t xml:space="preserve">湖南路道路市政设施恢复工程竣工验收后两年</w:t>
      </w:r>
      <w:r>
        <w:rPr>
          <w:rFonts w:hint="eastAsia" w:ascii="宋体" w:hAnsi="宋体" w:cs="宋体"/>
          <w:color w:val="000000"/>
          <w:sz w:val="22"/>
          <w:szCs w:val="22"/>
          <w:highlight w:val="none"/>
          <w:lang w:val="zh-CN"/>
        </w:rPr>
        <w:t xml:space="preserve">为止，确保监测、观测工作满足项目进度需求，具体开工日期以采购人通知为准。如需配合现场工期进度，服务期需按采购人要求。实际工期根据项目实际施工进度进行调整。服务期必须满足实际施工要求。</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在本合同签订后，实际情况发生变化，或由于采购人、施工单位的原因使工作受到阻碍或延误，以致延长服务期，则供应商 应当将此情况与可能产生的影响及时通知采购人；经采购人审核同意后，服务期相应延长，但费用不作调整。</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2、履行地点：湖南路道路市政设施恢复工程现场。</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3、第一次进场时间由采购人确定，并提前2个日历日通知供应商 。</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4、工程监测、观测工作根据采购人的安排，供应商 应按其投标承诺及本合同约定，派出进行本合同约定项目监测、观测工作所需要的技术人员和投入有关设备。</w:t>
      </w:r>
      <w:r>
        <w:rPr>
          <w:rFonts w:hint="eastAsia" w:ascii="宋体" w:hAnsi="宋体" w:cs="宋体"/>
          <w:color w:val="000000"/>
          <w:sz w:val="22"/>
          <w:szCs w:val="22"/>
          <w:highlight w:val="none"/>
          <w:lang w:val="zh-CN"/>
        </w:rPr>
      </w:r>
      <w:r/>
    </w:p>
    <w:p>
      <w:pPr>
        <w:pStyle w:val="1055"/>
        <w:numPr>
          <w:ilvl w:val="0"/>
          <w:numId w:val="10"/>
        </w:numPr>
        <w:ind w:firstLine="442"/>
        <w:jc w:val="left"/>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成果报告文件的提交：</w:t>
      </w:r>
      <w:r>
        <w:rPr>
          <w:rFonts w:hint="eastAsia" w:ascii="宋体" w:hAnsi="宋体" w:cs="宋体"/>
          <w:b/>
          <w:bCs/>
          <w:color w:val="000000"/>
          <w:sz w:val="22"/>
          <w:szCs w:val="22"/>
          <w:highlight w:val="none"/>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1、根据采购人要求提交相应的监测、观测成果报告，成果文件应在接到采购人要求后</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CN"/>
        </w:rPr>
        <w:t xml:space="preserve">天内提交，一式四份，提供的监测成果包括但不限于日报表及总结报告。报表应按时报送，报表中监测成果用表格和变化曲线或图形反映，以便于分析工程实际情况，达到信息化施工；项目竣工验收时，供应商 根据采购人要求或监管部门要求，7天内提供监测技术工作总结报告</w:t>
      </w:r>
      <w:bookmarkStart w:id="35" w:name="OLE_LINK23"/>
      <w:r/>
      <w:bookmarkStart w:id="36" w:name="OLE_LINK24"/>
      <w:r>
        <w:rPr>
          <w:rFonts w:hint="eastAsia" w:ascii="宋体" w:hAnsi="宋体" w:cs="宋体"/>
          <w:color w:val="000000"/>
          <w:sz w:val="22"/>
          <w:szCs w:val="22"/>
          <w:highlight w:val="none"/>
          <w:lang w:val="zh-CN"/>
        </w:rPr>
        <w:t xml:space="preserve">（包括但不限于监测点布置图、监测总成果表、数值曲线图、监测分析报告）</w:t>
      </w:r>
      <w:bookmarkEnd w:id="35"/>
      <w:r/>
      <w:bookmarkEnd w:id="36"/>
      <w:r>
        <w:rPr>
          <w:rFonts w:hint="eastAsia" w:ascii="宋体" w:hAnsi="宋体" w:cs="宋体"/>
          <w:color w:val="000000"/>
          <w:sz w:val="22"/>
          <w:szCs w:val="22"/>
          <w:highlight w:val="none"/>
          <w:lang w:val="zh-CN"/>
        </w:rPr>
        <w:t xml:space="preserve">，一式肆份。</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2、所有报告必须符合国家和地方现行的规范、标准。</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3、相关行政主管部门对监测结果提出异议时，供应商 应无条件配合复检，由此产生的相关费用由供应商 承担。</w:t>
      </w:r>
      <w:r>
        <w:rPr>
          <w:rFonts w:hint="eastAsia" w:ascii="宋体" w:hAnsi="宋体" w:cs="宋体"/>
          <w:color w:val="000000"/>
          <w:sz w:val="22"/>
          <w:szCs w:val="22"/>
          <w:highlight w:val="none"/>
          <w:lang w:val="zh-CN"/>
        </w:rPr>
      </w:r>
      <w:r/>
    </w:p>
    <w:p>
      <w:pPr>
        <w:pStyle w:val="1055"/>
        <w:numPr>
          <w:ilvl w:val="0"/>
          <w:numId w:val="10"/>
        </w:numPr>
        <w:ind w:firstLine="442"/>
        <w:jc w:val="left"/>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质量、进度目标：</w:t>
      </w:r>
      <w:r>
        <w:rPr>
          <w:rFonts w:hint="eastAsia" w:ascii="宋体" w:hAnsi="宋体" w:cs="宋体"/>
          <w:b/>
          <w:bCs/>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CN"/>
        </w:rPr>
        <w:t xml:space="preserve">1、质量控制目标：符合国家、省、市有关监督抽检、监测标准、工程监测、观测技术规范；</w:t>
      </w:r>
      <w:r>
        <w:rPr>
          <w:rFonts w:hint="eastAsia" w:ascii="宋体" w:hAnsi="宋体" w:cs="宋体"/>
          <w:color w:val="000000"/>
          <w:sz w:val="22"/>
          <w:szCs w:val="22"/>
          <w:highlight w:val="none"/>
          <w:lang w:val="zh-CN"/>
        </w:rPr>
      </w:r>
      <w:r/>
    </w:p>
    <w:p>
      <w:pPr>
        <w:pStyle w:val="1055"/>
        <w:ind w:firstLine="440"/>
        <w:jc w:val="left"/>
        <w:spacing w:line="360"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CN"/>
        </w:rPr>
        <w:t xml:space="preserve">2、进度控制目标：</w:t>
      </w:r>
      <w:bookmarkStart w:id="37" w:name="OLE_LINK77"/>
      <w:r/>
      <w:bookmarkStart w:id="38" w:name="OLE_LINK78"/>
      <w:r>
        <w:rPr>
          <w:rFonts w:hint="eastAsia" w:ascii="宋体" w:hAnsi="宋体" w:cs="宋体"/>
          <w:color w:val="000000"/>
          <w:sz w:val="22"/>
          <w:szCs w:val="22"/>
          <w:highlight w:val="none"/>
          <w:lang w:val="zh-CN"/>
        </w:rPr>
        <w:t xml:space="preserve">监测、观测工作需满足施工实际进度要求</w:t>
      </w:r>
      <w:bookmarkEnd w:id="37"/>
      <w:r/>
      <w:bookmarkEnd w:id="38"/>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1067"/>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八、工作量：</w:t>
      </w:r>
      <w:r>
        <w:rPr>
          <w:rFonts w:hint="eastAsia" w:ascii="宋体" w:hAnsi="宋体" w:cs="宋体"/>
          <w:b/>
          <w:bCs/>
          <w:color w:val="000000"/>
          <w:sz w:val="22"/>
          <w:szCs w:val="22"/>
          <w:highlight w:val="none"/>
        </w:rPr>
      </w:r>
      <w:r/>
    </w:p>
    <w:p>
      <w:pPr>
        <w:pStyle w:val="1067"/>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一、湖南路道路市政设施恢复工程地下商业街及周边建筑物监测（施工期）</w:t>
      </w:r>
      <w:r>
        <w:rPr>
          <w:rFonts w:hint="eastAsia" w:ascii="宋体" w:hAnsi="宋体" w:cs="宋体"/>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3106"/>
        <w:gridCol w:w="982"/>
        <w:gridCol w:w="783"/>
        <w:gridCol w:w="1015"/>
        <w:gridCol w:w="1984"/>
      </w:tblGrid>
      <w:tr>
        <w:trPr>
          <w:trHeight w:val="510"/>
        </w:trPr>
        <w:tc>
          <w:tcPr>
            <w:tcW w:w="364"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hint="eastAsia" w:ascii="宋体" w:hAnsi="宋体" w:cs="宋体"/>
                <w:b/>
                <w:bCs/>
                <w:color w:val="000000"/>
                <w:sz w:val="22"/>
                <w:szCs w:val="22"/>
                <w:highlight w:val="none"/>
              </w:rPr>
            </w:r>
            <w:r/>
          </w:p>
        </w:tc>
        <w:tc>
          <w:tcPr>
            <w:tcW w:w="1829"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监测内容</w:t>
            </w:r>
            <w:r>
              <w:rPr>
                <w:rFonts w:hint="eastAsia" w:ascii="宋体" w:hAnsi="宋体" w:cs="宋体"/>
                <w:b/>
                <w:bCs/>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rPr>
                <w:rFonts w:hint="eastAsia" w:ascii="宋体" w:hAnsi="宋体" w:cs="宋体"/>
                <w:b/>
                <w:bCs/>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hint="eastAsia" w:ascii="宋体" w:hAnsi="宋体" w:cs="宋体"/>
                <w:b/>
                <w:bCs/>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次数</w:t>
            </w:r>
            <w:r>
              <w:rPr>
                <w:rFonts w:hint="eastAsia" w:ascii="宋体" w:hAnsi="宋体" w:cs="宋体"/>
                <w:b/>
                <w:bCs/>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合计工作量</w:t>
            </w:r>
            <w:r>
              <w:rPr>
                <w:rFonts w:hint="eastAsia" w:ascii="宋体" w:hAnsi="宋体" w:cs="宋体"/>
                <w:b/>
                <w:bCs/>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w:t>
            </w:r>
            <w:r>
              <w:rPr>
                <w:rFonts w:hint="eastAsia" w:ascii="宋体" w:hAnsi="宋体" w:cs="宋体"/>
                <w:color w:val="000000"/>
                <w:sz w:val="22"/>
                <w:szCs w:val="22"/>
                <w:highlight w:val="none"/>
              </w:rPr>
            </w:r>
            <w:r/>
          </w:p>
        </w:tc>
        <w:tc>
          <w:tcPr>
            <w:tcW w:w="1829"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材料费加埋设</w:t>
            </w:r>
            <w:r>
              <w:rPr>
                <w:rFonts w:hint="eastAsia" w:ascii="宋体" w:hAnsi="宋体" w:cs="宋体"/>
                <w:b/>
                <w:bCs/>
                <w:color w:val="000000"/>
                <w:sz w:val="22"/>
                <w:szCs w:val="22"/>
                <w:highlight w:val="none"/>
              </w:rPr>
            </w:r>
            <w:r/>
          </w:p>
        </w:tc>
        <w:tc>
          <w:tcPr>
            <w:tcW w:w="566" w:type="dxa"/>
            <w:vAlign w:val="center"/>
            <w:textDirection w:val="lrTb"/>
            <w:noWrap/>
          </w:tcPr>
          <w:p>
            <w:pPr>
              <w:pStyle w:val="1055"/>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侧墙偏移</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场地微振动</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面</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r>
      <w:tr>
        <w:trPr>
          <w:trHeight w:val="72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r>
      <w:tr>
        <w:trPr>
          <w:trHeight w:val="45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eastAsia="宋体" w:cs="宋体"/>
                <w:b/>
                <w:bCs/>
                <w:color w:val="000000"/>
                <w:sz w:val="22"/>
                <w:szCs w:val="22"/>
                <w:highlight w:val="none"/>
                <w:lang w:eastAsia="zh-CN"/>
              </w:rPr>
            </w:pPr>
            <w:r>
              <w:rPr>
                <w:rFonts w:hint="eastAsia" w:ascii="宋体" w:hAnsi="宋体" w:cs="宋体"/>
                <w:b/>
                <w:bCs/>
                <w:color w:val="000000"/>
                <w:sz w:val="22"/>
                <w:szCs w:val="22"/>
                <w:highlight w:val="none"/>
              </w:rPr>
              <w:t xml:space="preserve">二</w:t>
            </w:r>
            <w:r>
              <w:rPr>
                <w:rFonts w:hint="eastAsia" w:ascii="宋体" w:hAnsi="宋体" w:eastAsia="宋体" w:cs="宋体"/>
                <w:b/>
                <w:bCs/>
                <w:color w:val="000000"/>
                <w:sz w:val="22"/>
                <w:szCs w:val="22"/>
                <w:highlight w:val="none"/>
                <w:lang w:eastAsia="zh-CN"/>
              </w:rPr>
            </w:r>
            <w:r/>
          </w:p>
        </w:tc>
        <w:tc>
          <w:tcPr>
            <w:tcW w:w="1829"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现场监测</w:t>
            </w:r>
            <w:r>
              <w:rPr>
                <w:rFonts w:hint="eastAsia" w:ascii="宋体" w:hAnsi="宋体" w:cs="宋体"/>
                <w:b/>
                <w:bCs/>
                <w:color w:val="000000"/>
                <w:sz w:val="22"/>
                <w:szCs w:val="22"/>
                <w:highlight w:val="none"/>
              </w:rPr>
            </w:r>
            <w:r/>
          </w:p>
        </w:tc>
        <w:tc>
          <w:tcPr>
            <w:tcW w:w="566"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13068</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13068</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8712</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侧墙倾斜</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836</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2508</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2508</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场地微振动</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面.次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4752</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6600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18480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1292</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2640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15048</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6600</w:t>
            </w:r>
            <w:r>
              <w:rPr>
                <w:rFonts w:hint="eastAsia" w:ascii="宋体" w:hAnsi="宋体" w:cs="宋体"/>
                <w:color w:val="000000"/>
                <w:sz w:val="22"/>
                <w:szCs w:val="22"/>
                <w:highlight w:val="none"/>
              </w:rPr>
            </w:r>
            <w:r/>
          </w:p>
        </w:tc>
      </w:tr>
      <w:tr>
        <w:trPr>
          <w:trHeight w:val="360"/>
        </w:trPr>
        <w:tc>
          <w:tcPr>
            <w:tcW w:w="36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w:t>
            </w:r>
            <w:r>
              <w:rPr>
                <w:rFonts w:hint="eastAsia" w:ascii="宋体" w:hAnsi="宋体" w:cs="宋体"/>
                <w:color w:val="000000"/>
                <w:sz w:val="22"/>
                <w:szCs w:val="22"/>
                <w:highlight w:val="none"/>
              </w:rPr>
            </w:r>
            <w:r/>
          </w:p>
        </w:tc>
        <w:tc>
          <w:tcPr>
            <w:tcW w:w="1829"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W w:w="9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46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60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1171"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1848</w:t>
            </w:r>
            <w:r>
              <w:rPr>
                <w:rFonts w:hint="eastAsia" w:ascii="宋体" w:hAnsi="宋体" w:cs="宋体"/>
                <w:color w:val="000000"/>
                <w:sz w:val="22"/>
                <w:szCs w:val="22"/>
                <w:highlight w:val="none"/>
              </w:rPr>
            </w:r>
            <w:r/>
          </w:p>
        </w:tc>
      </w:tr>
    </w:tbl>
    <w:p>
      <w:pPr>
        <w:pStyle w:val="1067"/>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二、湖南路道路市政设施恢复工程地下商业街及周边建筑物监测（跟踪期）</w:t>
      </w:r>
      <w:r>
        <w:rPr>
          <w:rFonts w:hint="eastAsia" w:ascii="宋体" w:hAnsi="宋体" w:cs="宋体"/>
          <w:color w:val="000000"/>
          <w:sz w:val="22"/>
          <w:szCs w:val="22"/>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52"/>
        <w:gridCol w:w="3136"/>
        <w:gridCol w:w="938"/>
        <w:gridCol w:w="774"/>
        <w:gridCol w:w="1044"/>
        <w:gridCol w:w="1984"/>
      </w:tblGrid>
      <w:tr>
        <w:trPr>
          <w:trHeight w:val="510"/>
        </w:trPr>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1055"/>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83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监测内容</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50"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次数</w:t>
            </w:r>
            <w:r>
              <w:rPr>
                <w:rFonts w:hint="eastAsia" w:ascii="宋体" w:hAnsi="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合计工作量</w:t>
            </w:r>
            <w:r>
              <w:rPr>
                <w:rFonts w:hint="eastAsia" w:ascii="宋体" w:hAnsi="宋体" w:cs="宋体"/>
                <w:b/>
                <w:bCs/>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一</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83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现场监测</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50"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792</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792</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528</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侧墙倾斜</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176</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528</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528</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288</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272</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912</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12"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400</w:t>
            </w:r>
            <w:r>
              <w:rPr>
                <w:rFonts w:hint="eastAsia" w:ascii="宋体" w:hAnsi="宋体" w:cs="宋体"/>
                <w:color w:val="000000"/>
                <w:sz w:val="22"/>
                <w:szCs w:val="22"/>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8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12" w:space="0"/>
              <w:right w:val="single" w:color="000000" w:sz="8" w:space="0"/>
            </w:tcBorders>
            <w:tcW w:w="183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Borders>
              <w:top w:val="none" w:color="000000" w:sz="4" w:space="0"/>
              <w:left w:val="single" w:color="000000" w:sz="4" w:space="0"/>
              <w:bottom w:val="single" w:color="000000" w:sz="4" w:space="0"/>
              <w:right w:val="single" w:color="000000" w:sz="4" w:space="0"/>
            </w:tcBorders>
            <w:tcW w:w="959"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t xml:space="preserve">.次 </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612"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w:t>
            </w:r>
            <w:r>
              <w:rPr>
                <w:rFonts w:hint="eastAsia" w:ascii="宋体" w:hAnsi="宋体" w:cs="宋体"/>
                <w:color w:val="000000"/>
                <w:sz w:val="22"/>
                <w:szCs w:val="22"/>
                <w:highlight w:val="none"/>
              </w:rPr>
            </w:r>
            <w:r/>
          </w:p>
        </w:tc>
      </w:tr>
    </w:tbl>
    <w:p>
      <w:pPr>
        <w:pStyle w:val="1055"/>
        <w:ind w:firstLine="56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注：本表格仅供参考，具体基坑监测、沉降观测等所涵盖的范围、内容、监测点位布置、数量、频率及精度等要求，由监测单位按照相关图纸、规范要求提交监测方案，经各方批准后执行。本项目所有监测工作及相关费用均已包含在投标报价中，结算时不作调整。</w:t>
      </w:r>
      <w:r>
        <w:rPr>
          <w:rFonts w:hint="eastAsia" w:ascii="宋体" w:hAnsi="宋体" w:cs="宋体"/>
          <w:color w:val="000000"/>
          <w:sz w:val="22"/>
          <w:szCs w:val="22"/>
          <w:highlight w:val="none"/>
        </w:rPr>
      </w:r>
      <w:r/>
    </w:p>
    <w:p>
      <w:pPr>
        <w:pStyle w:val="1055"/>
        <w:ind w:firstLine="56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为确保管线、周边地面建筑物、道路和其它设施的安全及正常使用，建设单位应委托具备相应能力的第三方对基坑工程实施现场监测，做到信息化施工。</w:t>
      </w:r>
      <w:r>
        <w:rPr>
          <w:rFonts w:hint="eastAsia" w:ascii="宋体" w:hAnsi="宋体" w:cs="宋体"/>
          <w:color w:val="000000"/>
          <w:sz w:val="22"/>
          <w:szCs w:val="22"/>
          <w:highlight w:val="none"/>
        </w:rPr>
      </w:r>
      <w:r/>
    </w:p>
    <w:p>
      <w:pPr>
        <w:pStyle w:val="1055"/>
        <w:ind w:firstLine="425"/>
        <w:rPr>
          <w:color w:val="000000"/>
          <w:highlight w:val="none"/>
          <w:lang w:val="zh-CN"/>
        </w:rPr>
      </w:pPr>
      <w:r>
        <w:rPr>
          <w:rFonts w:hint="eastAsia" w:ascii="宋体" w:hAnsi="宋体" w:cs="宋体"/>
          <w:b/>
          <w:bCs/>
          <w:color w:val="000000"/>
          <w:sz w:val="22"/>
          <w:szCs w:val="22"/>
          <w:highlight w:val="none"/>
        </w:rPr>
        <w:t xml:space="preserve">九、报价要求：</w:t>
      </w:r>
      <w:r>
        <w:rPr>
          <w:rFonts w:hint="eastAsia" w:ascii="宋体" w:hAnsi="宋体" w:cs="宋体"/>
          <w:color w:val="000000"/>
          <w:sz w:val="22"/>
          <w:szCs w:val="22"/>
          <w:highlight w:val="none"/>
        </w:rPr>
        <w:t xml:space="preserve">应包括完成本项目所需的一切费用【包含现场勘查、人工费、材料费、专家评审费（专家评审所需的交通、差旅、会议等一切费用）、报告编制费、利润、税金等一切费用】。</w:t>
      </w:r>
      <w:r>
        <w:rPr>
          <w:color w:val="000000"/>
          <w:highlight w:val="none"/>
          <w:lang w:val="zh-CN"/>
        </w:rPr>
      </w:r>
      <w:r/>
    </w:p>
    <w:p>
      <w:pPr>
        <w:pStyle w:val="1134"/>
        <w:jc w:val="center"/>
        <w:rPr>
          <w:rFonts w:ascii="Arial" w:hAnsi="Arial" w:cs="Arial"/>
          <w:color w:val="000000"/>
          <w:highlight w:val="none"/>
          <w:lang w:val="zh-CN"/>
        </w:rPr>
      </w:pPr>
      <w:r>
        <w:rPr>
          <w:rFonts w:ascii="Arial" w:hAnsi="Arial" w:cs="Arial"/>
          <w:color w:val="000000"/>
          <w:highlight w:val="none"/>
          <w:lang w:val="zh-CN"/>
        </w:rPr>
        <w:br w:type="page" w:clear="all"/>
      </w:r>
      <w:r>
        <w:rPr>
          <w:rFonts w:ascii="Arial" w:hAnsi="Arial" w:cs="Arial"/>
          <w:color w:val="000000"/>
          <w:highlight w:val="none"/>
          <w:lang w:val="zh-CN"/>
        </w:rPr>
        <w:t xml:space="preserve">第五章 合同主要条款</w:t>
      </w:r>
      <w:bookmarkEnd w:id="34"/>
      <w:r/>
      <w:bookmarkStart w:id="39" w:name="_Toc16938559"/>
      <w:r/>
      <w:bookmarkStart w:id="40" w:name="_Toc513029243"/>
      <w:r/>
      <w:bookmarkStart w:id="41" w:name="_Toc20823315"/>
      <w:r>
        <w:rPr>
          <w:rFonts w:ascii="Arial" w:hAnsi="Arial" w:cs="Arial"/>
          <w:color w:val="000000"/>
          <w:highlight w:val="none"/>
          <w:lang w:val="zh-CN"/>
        </w:rPr>
      </w:r>
      <w:r/>
    </w:p>
    <w:p>
      <w:pPr>
        <w:pStyle w:val="1055"/>
        <w:jc w:val="center"/>
        <w:spacing w:before="240" w:after="240"/>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建设工程监测技术服务合同</w:t>
      </w:r>
      <w:r>
        <w:rPr>
          <w:rFonts w:hint="eastAsia" w:ascii="宋体" w:hAnsi="宋体" w:cs="宋体"/>
          <w:bCs/>
          <w:color w:val="000000"/>
          <w:sz w:val="72"/>
          <w:szCs w:val="72"/>
          <w:highlight w:val="none"/>
        </w:rPr>
      </w:r>
      <w:r/>
    </w:p>
    <w:p>
      <w:pPr>
        <w:pStyle w:val="1055"/>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项目名称：湖南路道路市政设施恢复工程既有地下空间结构影响专项监测</w:t>
      </w:r>
      <w:r>
        <w:rPr>
          <w:rFonts w:hint="eastAsia" w:ascii="宋体" w:hAnsi="宋体" w:cs="宋体"/>
          <w:color w:val="000000"/>
          <w:sz w:val="32"/>
          <w:szCs w:val="32"/>
          <w:highlight w:val="none"/>
        </w:rPr>
      </w:r>
      <w:r/>
    </w:p>
    <w:p>
      <w:pPr>
        <w:pStyle w:val="1055"/>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合同编号：</w:t>
      </w:r>
      <w:r>
        <w:rPr>
          <w:rFonts w:hint="eastAsia" w:ascii="宋体" w:hAnsi="宋体" w:cs="宋体"/>
          <w:color w:val="000000"/>
          <w:sz w:val="32"/>
          <w:szCs w:val="32"/>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055"/>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签订日期：2026年 月</w:t>
      </w:r>
      <w:r>
        <w:rPr>
          <w:rFonts w:hint="eastAsia" w:ascii="宋体" w:hAnsi="宋体" w:cs="宋体"/>
          <w:color w:val="000000"/>
          <w:sz w:val="32"/>
          <w:szCs w:val="32"/>
          <w:highlight w:val="none"/>
        </w:rPr>
      </w:r>
      <w:r/>
    </w:p>
    <w:p>
      <w:pPr>
        <w:pStyle w:val="1055"/>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签约地点：南京市鼓楼区</w:t>
      </w:r>
      <w:r>
        <w:rPr>
          <w:rFonts w:hint="eastAsia" w:ascii="宋体" w:hAnsi="宋体" w:cs="宋体"/>
          <w:color w:val="000000"/>
          <w:sz w:val="32"/>
          <w:szCs w:val="32"/>
          <w:highlight w:val="none"/>
        </w:rPr>
      </w:r>
      <w:r/>
    </w:p>
    <w:p>
      <w:pPr>
        <w:pStyle w:val="1067"/>
        <w:rPr>
          <w:rFonts w:hint="eastAsia" w:ascii="宋体" w:hAnsi="宋体" w:cs="宋体"/>
          <w:color w:val="000000"/>
          <w:highlight w:val="none"/>
        </w:rPr>
      </w:pPr>
      <w:r>
        <w:rPr>
          <w:rFonts w:hint="eastAsia" w:ascii="宋体" w:hAnsi="宋体" w:cs="宋体"/>
          <w:color w:val="000000"/>
          <w:highlight w:val="none"/>
        </w:rPr>
      </w:r>
      <w:r/>
    </w:p>
    <w:p>
      <w:pPr>
        <w:pStyle w:val="1236"/>
        <w:rPr>
          <w:rFonts w:hint="eastAsia" w:ascii="宋体" w:hAnsi="宋体" w:cs="宋体"/>
          <w:color w:val="000000"/>
          <w:highlight w:val="none"/>
        </w:rPr>
      </w:pPr>
      <w:r>
        <w:rPr>
          <w:rFonts w:hint="eastAsia" w:ascii="宋体" w:hAnsi="宋体" w:cs="宋体"/>
          <w:color w:val="000000"/>
          <w:highlight w:val="none"/>
        </w:rPr>
      </w:r>
      <w:r/>
    </w:p>
    <w:p>
      <w:pPr>
        <w:pStyle w:val="1055"/>
        <w:ind w:firstLine="561"/>
        <w:rPr>
          <w:rFonts w:hint="eastAsia" w:ascii="宋体" w:hAnsi="宋体" w:cs="宋体"/>
          <w:b/>
          <w:color w:val="000000"/>
          <w:sz w:val="22"/>
          <w:szCs w:val="22"/>
          <w:highlight w:val="none"/>
        </w:rPr>
      </w:pPr>
      <w:r/>
      <w:bookmarkStart w:id="42" w:name="OLE_LINK87"/>
      <w:r/>
      <w:bookmarkStart w:id="43" w:name="OLE_LINK88"/>
      <w:r>
        <w:rPr>
          <w:rFonts w:hint="eastAsia" w:ascii="宋体" w:hAnsi="宋体" w:cs="宋体"/>
          <w:b/>
          <w:color w:val="000000"/>
          <w:sz w:val="22"/>
          <w:szCs w:val="22"/>
          <w:highlight w:val="none"/>
        </w:rPr>
        <w:br w:type="page" w:clear="all"/>
      </w:r>
      <w:r>
        <w:rPr>
          <w:rFonts w:hint="eastAsia" w:ascii="宋体" w:hAnsi="宋体" w:cs="宋体"/>
          <w:b/>
          <w:color w:val="000000"/>
          <w:sz w:val="22"/>
          <w:szCs w:val="22"/>
          <w:highlight w:val="none"/>
        </w:rPr>
        <w:t xml:space="preserve">委托人（委托人）：</w:t>
      </w:r>
      <w:r>
        <w:rPr>
          <w:rFonts w:hint="eastAsia" w:ascii="宋体" w:hAnsi="宋体" w:cs="宋体"/>
          <w:b/>
          <w:color w:val="000000"/>
          <w:sz w:val="22"/>
          <w:szCs w:val="22"/>
          <w:highlight w:val="none"/>
          <w:u w:val="single"/>
        </w:rPr>
        <w:t xml:space="preserve">南京湖南路山西路地区管理委员会</w:t>
      </w:r>
      <w:r>
        <w:rPr>
          <w:rFonts w:hint="eastAsia" w:ascii="宋体" w:hAnsi="宋体" w:cs="宋体"/>
          <w:b/>
          <w:color w:val="000000"/>
          <w:sz w:val="22"/>
          <w:szCs w:val="22"/>
          <w:highlight w:val="none"/>
        </w:rPr>
      </w:r>
      <w:r/>
    </w:p>
    <w:p>
      <w:pPr>
        <w:pStyle w:val="1055"/>
        <w:ind w:firstLine="561"/>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受托人（受托人）：</w:t>
      </w:r>
      <w:r>
        <w:rPr>
          <w:rFonts w:hint="eastAsia" w:ascii="宋体" w:hAnsi="宋体" w:cs="宋体"/>
          <w:b/>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依照《中华人民共和国民法典》、《中华人民共和国建筑法》及其他有关法律法规，遵循平等、自愿、公平和诚实信用的原则，合同双方当事人就</w:t>
      </w:r>
      <w:r>
        <w:rPr>
          <w:rFonts w:hint="eastAsia" w:ascii="宋体" w:hAnsi="宋体" w:cs="宋体"/>
          <w:color w:val="000000"/>
          <w:sz w:val="22"/>
          <w:szCs w:val="22"/>
          <w:highlight w:val="none"/>
          <w:u w:val="single"/>
        </w:rPr>
        <w:t xml:space="preserve">湖南路道路市政设施恢复工程既有地下空间结构影响专项监测</w:t>
      </w:r>
      <w:r>
        <w:rPr>
          <w:rFonts w:hint="eastAsia" w:ascii="宋体" w:hAnsi="宋体" w:cs="宋体"/>
          <w:color w:val="000000"/>
          <w:sz w:val="22"/>
          <w:szCs w:val="22"/>
          <w:highlight w:val="none"/>
        </w:rPr>
        <w:t xml:space="preserve">有关事项达成一致意见，订立本协议书。</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一、工程概况</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1.工程名称：湖南路道路市政设施恢复工程既有地下空间结构影响专项监测；</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2.工程地点：南京市鼓楼区；</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color w:val="000000"/>
          <w:sz w:val="22"/>
          <w:szCs w:val="22"/>
          <w:highlight w:val="none"/>
        </w:rPr>
        <w:outlineLvl w:val="1"/>
      </w:pPr>
      <w:r>
        <w:rPr>
          <w:rFonts w:hint="eastAsia" w:ascii="宋体" w:hAnsi="宋体" w:cs="宋体"/>
          <w:color w:val="000000"/>
          <w:sz w:val="22"/>
          <w:szCs w:val="22"/>
          <w:highlight w:val="none"/>
        </w:rPr>
        <w:t xml:space="preserve">3.工程规模：该项目西起中山北路，东至中央路，全长约1073米，规划红线宽32米，道路等级为城市次干路;</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二、合同组成文件及解释顺序</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下列组成本合同的文件是一个合同整体，彼此应当能相互解释，互为说明。当出现相互矛盾时，组成本合同文件的优先解释顺序如下：</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（1）合同实施期间双方签订的合同补充协议或修正文件；</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（2）本合同书；</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（3）成交通知书；</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（4）委托人针对本工程建设管理制定的各项制度、规定和管理办法；</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（5）招标文件及其附件(含补遗书、招标文件澄清、答疑会议纪要、工程量清单等);</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(6)投标文件及其附件(含投标文件澄清等);(若投标文件承诺标准或条件高于招标文件的，按照投标文件);</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（7）标准、规范及有关技术文件；</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（8）施工图纸（施工图纸要求或标准高于招标文件或工程量清单要求的，按照施工方案）；</w:t>
      </w:r>
      <w:r>
        <w:rPr>
          <w:rFonts w:hint="eastAsia" w:ascii="宋体" w:hAnsi="宋体" w:cs="宋体"/>
          <w:color w:val="000000"/>
          <w:sz w:val="22"/>
          <w:szCs w:val="22"/>
          <w:highlight w:val="none"/>
        </w:rPr>
      </w:r>
      <w:r/>
    </w:p>
    <w:p>
      <w:pPr>
        <w:pStyle w:val="1055"/>
        <w:ind w:firstLine="480"/>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（9）组成合同的其他文件。</w:t>
      </w:r>
      <w:r>
        <w:rPr>
          <w:rFonts w:hint="eastAsia" w:ascii="宋体" w:hAnsi="宋体" w:cs="宋体"/>
          <w:bCs/>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三、服务内容、方式、承包方式</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3.1服务内容：</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根据基坑支护规范、变形测量规范及监测方案要求，本监测工程范围包括：顶板沉降、底板沉降、结构柱沉降、侧墙偏移、净空收敛、结构裂缝宽度、施工缝 / 变形缝张开度、结构错台、净空高度变化、场地微振动、地下水位变化、管线沉降、建筑物沉降、建筑物倾斜、建筑物裂缝宽度、地表沉降、建筑物沉降（中央路地下过街通道）、接缝差异沉降（中央路地下过街通道）等，具体按方案要求进行监测及出具监测报告等。包括：</w:t>
      </w:r>
      <w:r>
        <w:rPr>
          <w:rFonts w:hint="eastAsia" w:ascii="宋体" w:hAnsi="宋体" w:cs="宋体"/>
          <w:color w:val="000000"/>
          <w:sz w:val="22"/>
          <w:szCs w:val="22"/>
          <w:highlight w:val="none"/>
        </w:rPr>
      </w:r>
      <w:r/>
    </w:p>
    <w:p>
      <w:pPr>
        <w:pStyle w:val="1055"/>
        <w:ind w:firstLine="480"/>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（1）本合同附件二（注：投标文件报价清单）、附件三所列的</w:t>
      </w:r>
      <w:r>
        <w:rPr>
          <w:rFonts w:hint="eastAsia" w:ascii="宋体" w:hAnsi="宋体" w:cs="宋体"/>
          <w:bCs/>
          <w:color w:val="000000"/>
          <w:sz w:val="22"/>
          <w:szCs w:val="22"/>
          <w:highlight w:val="none"/>
        </w:rPr>
        <w:t xml:space="preserve">监测项目。</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（2）委托人根据项目建设需要确定的其它监测项目。</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（3）除以上工作外，还包括：</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1）在进行监测任务的过程中与该工程相关的总承包施工单位、分包单位、监理单位、设计单位、造价咨询单位、建设主管部门等相关单位的协调工作。（该部分工作的费用已经包含在本合同价款中）</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由于设计变更，需要变更监测方法时，若受托人资质范围不能覆盖所需的监测方法，由委托人将不具备相应资质部分的监测工作发包给具备相应资质的监测单位，此部分监测工作的费用在合同款项中扣除，受托人应无条件服从。</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3）受托人需将工程监测数据的有关信息通过连接系统进行传输报送，确保不因传输报送工作影响本工程项目的建设进度和竣工验收。</w:t>
      </w:r>
      <w:r>
        <w:rPr>
          <w:rFonts w:hint="eastAsia" w:ascii="宋体" w:hAnsi="宋体" w:cs="宋体"/>
          <w:color w:val="000000"/>
          <w:sz w:val="22"/>
          <w:szCs w:val="22"/>
          <w:highlight w:val="none"/>
        </w:rPr>
      </w:r>
      <w:r/>
    </w:p>
    <w:p>
      <w:pPr>
        <w:pStyle w:val="1067"/>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完工日期为2027年   月  日前，施工期监测周期约9个月，施工完成后，跟踪监测2年。</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 除3.1条约定外，服务范围还包括：与工程所在行政区域的相关建设行政主管部门和监督部门进行监测、观测工作的协调，申报监测、观测技术成果的审批。保证技术成果能够通过相关部门认可，确保不因监测、观测工作影响本工程项目的建设进度和竣工验收；必须保证本项目竣工验收和在城建档案馆备案（如有需要）。</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承包方式：包工、包料、包质量、包工期、包监测和观测满足质量监督部门验收要求、包安全、包文明施工的组织实施工作、资料整理和备案。符合国家和行业现行规定验收标准，确保监测项目及数量能满足建设行政主管部门的施工质量的验收和备案要求。</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四、监测服务的依据和标准</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4.1监测服务依据</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本项目监测须满足国家和地方现行规范、法规、监测方案、招标文件、合同文件要求，其中包括但不限于以下规范与法规：</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《建筑基坑支护技术规程》（JGJ120-2012）</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《建筑基坑工程监测技术标准》（GB50497-2019）</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《工程测量标准》（GB 50026-2020）</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《建筑变形测量规范》（JGJ 8-2016）</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《建筑地基基础设计规范》（GB50007-2011）</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《精密工程测量规范》GB/T15314-94</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《深基坑工程的监测要求》</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《岩土工程试验监测手册》</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《建筑变形测量规范》(JGJ8-2016)</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基坑周边构筑物、道路、地下管线等环境条件及使用状况；</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本项目设计方案的相关规范及要求；</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行政主管部门对管线及构筑物的具体要求。</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4.2监测服务标准</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工程监测标准参照现行有关规范及委托方提供的相关技术资料（设计方案等）中的有关条款进行。</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如以上标准有关规定不统一的，以国家标准为准。如国家、省、市有关行政主管部门对以上标准重新颁布或修正的，以重新颁布或修正的标准为准。</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五、合同价款及其计价 </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5.1合同总价人民币（</w:t>
      </w:r>
      <w:bookmarkStart w:id="44" w:name="OLE_LINK56"/>
      <w:r/>
      <w:bookmarkStart w:id="45" w:name="OLE_LINK55"/>
      <w:r>
        <w:rPr>
          <w:rFonts w:hint="eastAsia" w:ascii="宋体" w:hAnsi="宋体" w:cs="宋体"/>
          <w:color w:val="000000"/>
          <w:sz w:val="22"/>
          <w:szCs w:val="22"/>
          <w:highlight w:val="none"/>
        </w:rPr>
        <w:t xml:space="preserve">大写）</w:t>
      </w:r>
      <w:r>
        <w:rPr>
          <w:rFonts w:hint="eastAsia" w:ascii="宋体" w:hAnsi="宋体" w:cs="宋体"/>
          <w:color w:val="000000"/>
          <w:sz w:val="22"/>
          <w:szCs w:val="22"/>
          <w:highlight w:val="none"/>
          <w:u w:val="single"/>
        </w:rPr>
        <w:t xml:space="preserve">   （小写¥    元）（含税6%）</w:t>
      </w:r>
      <w:bookmarkEnd w:id="44"/>
      <w:r/>
      <w:bookmarkEnd w:id="45"/>
      <w:r>
        <w:rPr>
          <w:rFonts w:hint="eastAsia" w:ascii="宋体" w:hAnsi="宋体" w:cs="宋体"/>
          <w:color w:val="000000"/>
          <w:sz w:val="22"/>
          <w:szCs w:val="22"/>
          <w:highlight w:val="none"/>
          <w:u w:val="single"/>
        </w:rPr>
        <w:t xml:space="preserve">；除</w:t>
      </w:r>
      <w:r>
        <w:rPr>
          <w:rFonts w:hint="eastAsia" w:ascii="宋体" w:hAnsi="宋体" w:cs="宋体"/>
          <w:color w:val="000000"/>
          <w:sz w:val="22"/>
          <w:szCs w:val="22"/>
          <w:highlight w:val="none"/>
        </w:rPr>
        <w:t xml:space="preserve">税合同价：人民币（大写）</w:t>
      </w:r>
      <w:r>
        <w:rPr>
          <w:rFonts w:hint="eastAsia" w:ascii="宋体" w:hAnsi="宋体" w:cs="宋体"/>
          <w:color w:val="000000"/>
          <w:sz w:val="22"/>
          <w:szCs w:val="22"/>
          <w:highlight w:val="none"/>
          <w:u w:val="single"/>
        </w:rPr>
        <w:t xml:space="preserve">   （小写¥     元）；</w:t>
      </w:r>
      <w:r>
        <w:rPr>
          <w:rFonts w:hint="eastAsia" w:ascii="宋体" w:hAnsi="宋体" w:cs="宋体"/>
          <w:color w:val="000000"/>
          <w:sz w:val="22"/>
          <w:szCs w:val="22"/>
          <w:highlight w:val="none"/>
        </w:rPr>
        <w:t xml:space="preserve">税金：人民币（大写）</w:t>
      </w:r>
      <w:r>
        <w:rPr>
          <w:rFonts w:hint="eastAsia" w:ascii="宋体" w:hAnsi="宋体" w:cs="宋体"/>
          <w:color w:val="000000"/>
          <w:sz w:val="22"/>
          <w:szCs w:val="22"/>
          <w:highlight w:val="none"/>
          <w:u w:val="single"/>
        </w:rPr>
        <w:t xml:space="preserve">     （小写¥       元）。</w:t>
      </w:r>
      <w:r>
        <w:rPr>
          <w:rFonts w:hint="eastAsia" w:ascii="宋体" w:hAnsi="宋体" w:cs="宋体"/>
          <w:color w:val="000000"/>
          <w:sz w:val="22"/>
          <w:szCs w:val="22"/>
          <w:highlight w:val="none"/>
          <w:u w:val="single"/>
        </w:rPr>
      </w:r>
      <w:r/>
    </w:p>
    <w:p>
      <w:pPr>
        <w:pStyle w:val="1067"/>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  其中施工期监测合同总价人民币（大写）</w:t>
      </w:r>
      <w:r>
        <w:rPr>
          <w:rFonts w:hint="eastAsia" w:ascii="宋体" w:hAnsi="宋体" w:cs="宋体"/>
          <w:color w:val="000000"/>
          <w:sz w:val="22"/>
          <w:szCs w:val="22"/>
          <w:highlight w:val="none"/>
          <w:u w:val="single"/>
        </w:rPr>
        <w:t xml:space="preserve">   （小写¥    元）（含税6%）</w:t>
      </w:r>
      <w:r>
        <w:rPr>
          <w:rFonts w:hint="eastAsia" w:ascii="宋体" w:hAnsi="宋体" w:cs="宋体"/>
          <w:color w:val="000000"/>
          <w:sz w:val="22"/>
          <w:szCs w:val="22"/>
          <w:highlight w:val="none"/>
        </w:rPr>
        <w:t xml:space="preserve">，跟踪期监测合同总价人民币</w:t>
      </w:r>
      <w:bookmarkStart w:id="46" w:name="OLE_LINK58"/>
      <w:r/>
      <w:bookmarkStart w:id="47" w:name="OLE_LINK57"/>
      <w:r>
        <w:rPr>
          <w:rFonts w:hint="eastAsia" w:ascii="宋体" w:hAnsi="宋体" w:cs="宋体"/>
          <w:color w:val="000000"/>
          <w:sz w:val="22"/>
          <w:szCs w:val="22"/>
          <w:highlight w:val="none"/>
        </w:rPr>
        <w:t xml:space="preserve">（大写）</w:t>
      </w:r>
      <w:r>
        <w:rPr>
          <w:rFonts w:hint="eastAsia" w:ascii="宋体" w:hAnsi="宋体" w:cs="宋体"/>
          <w:color w:val="000000"/>
          <w:sz w:val="22"/>
          <w:szCs w:val="22"/>
          <w:highlight w:val="none"/>
          <w:u w:val="single"/>
        </w:rPr>
        <w:t xml:space="preserve">   （小写¥    元）（含税6%）</w:t>
      </w:r>
      <w:bookmarkEnd w:id="46"/>
      <w:r/>
      <w:bookmarkEnd w:id="47"/>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1055"/>
        <w:ind w:firstLine="480"/>
        <w:rPr>
          <w:rFonts w:ascii="宋体" w:hAnsi="宋体" w:cs="宋体"/>
          <w:color w:val="000000"/>
          <w:sz w:val="22"/>
          <w:szCs w:val="22"/>
          <w:highlight w:val="none"/>
        </w:rPr>
      </w:pPr>
      <w:r>
        <w:rPr>
          <w:rFonts w:hint="eastAsia" w:ascii="宋体" w:hAnsi="宋体" w:cs="宋体"/>
          <w:color w:val="000000"/>
          <w:sz w:val="22"/>
          <w:szCs w:val="22"/>
          <w:highlight w:val="none"/>
        </w:rPr>
        <w:t xml:space="preserve">5.2本合同价款形式为</w:t>
      </w:r>
      <w:r>
        <w:rPr>
          <w:rFonts w:hint="eastAsia" w:ascii="宋体" w:hAnsi="宋体" w:cs="宋体"/>
          <w:color w:val="000000"/>
          <w:sz w:val="22"/>
          <w:szCs w:val="22"/>
          <w:highlight w:val="none"/>
          <w:u w:val="single"/>
        </w:rPr>
        <w:t xml:space="preserve">固定单价</w:t>
      </w:r>
      <w:r>
        <w:rPr>
          <w:rFonts w:hint="eastAsia" w:ascii="宋体" w:hAnsi="宋体" w:cs="宋体"/>
          <w:color w:val="000000"/>
          <w:sz w:val="22"/>
          <w:szCs w:val="22"/>
          <w:highlight w:val="none"/>
        </w:rPr>
        <w:t xml:space="preserve">，</w:t>
      </w:r>
      <w:bookmarkStart w:id="48" w:name="OLE_LINK64"/>
      <w:r/>
      <w:bookmarkStart w:id="49" w:name="OLE_LINK63"/>
      <w:r>
        <w:rPr>
          <w:rFonts w:hint="eastAsia" w:ascii="宋体" w:hAnsi="宋体" w:cs="宋体"/>
          <w:color w:val="000000"/>
          <w:sz w:val="22"/>
          <w:szCs w:val="22"/>
          <w:highlight w:val="none"/>
        </w:rPr>
        <w:t xml:space="preserve">根监测点数按方案及规范要求布设，实际监测次数按实计量。</w:t>
      </w:r>
      <w:r>
        <w:rPr>
          <w:rFonts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bookmarkEnd w:id="48"/>
      <w:r/>
      <w:bookmarkEnd w:id="49"/>
      <w:r>
        <w:rPr>
          <w:rFonts w:hint="eastAsia" w:ascii="宋体" w:hAnsi="宋体" w:cs="宋体"/>
          <w:color w:val="000000"/>
          <w:sz w:val="22"/>
          <w:szCs w:val="22"/>
          <w:highlight w:val="none"/>
        </w:rPr>
        <w:t xml:space="preserve">5.2.1固定单价价性质，单价包括但不限于为实施和完成本项目全部监测工作所需的材料费、劳务（含技术人员）费、编制观（监）测实验报告、试验观（</w:t>
      </w:r>
      <w:r>
        <w:rPr>
          <w:rFonts w:hint="eastAsia" w:ascii="宋体" w:hAnsi="宋体" w:cs="宋体"/>
          <w:color w:val="000000"/>
          <w:sz w:val="22"/>
          <w:szCs w:val="22"/>
          <w:highlight w:val="none"/>
        </w:rPr>
        <w:t xml:space="preserve">监）测仪器设备使用费、机械进退场费、观（监）测所需的各项辅助工作费用、临时设施费、差旅交通费、就餐费、住宿费、交通费、措施费、管理费、利润、规费(按相关规定计取)、税金、保险费、编制观（监）测报告费、第三方监测费用（如需要）、相关协调费及其他实物和技术工作收费等全部相关费用，是为完成本项目观（监）测的所有服务费用，以及合同明示或暗示的所有责任、义务和风险，是对完成设计方案及工程量清单约定项目技术服务的全部偿付，与观（监）测工作相关的其它辅助工作，其相关费用已包含在相应的观（监）测项目的报价中，不再另行计费。</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5.2.2监测方案需经监理审核和委托人审批，并满足设计及相关政府主管部门的要求。方案一经委托人审批，不得变更，如有特殊原因必须变更的，需报委托人审批。</w:t>
      </w:r>
      <w:r>
        <w:rPr>
          <w:rFonts w:hint="eastAsia" w:ascii="宋体" w:hAnsi="宋体" w:cs="宋体"/>
          <w:color w:val="000000"/>
          <w:sz w:val="22"/>
          <w:szCs w:val="22"/>
          <w:highlight w:val="none"/>
        </w:rPr>
      </w:r>
      <w:r/>
    </w:p>
    <w:p>
      <w:pPr>
        <w:pStyle w:val="1055"/>
        <w:ind w:firstLine="480"/>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5.2.3</w:t>
      </w:r>
      <w:r>
        <w:rPr>
          <w:rFonts w:hint="eastAsia" w:ascii="宋体" w:hAnsi="宋体" w:cs="宋体"/>
          <w:bCs/>
          <w:color w:val="000000"/>
          <w:sz w:val="22"/>
          <w:szCs w:val="22"/>
          <w:highlight w:val="none"/>
        </w:rPr>
        <w:t xml:space="preserve">工程项目实施期间和结算时，招标文件中未列出的项目而由监理和委托人现场签证确认的工程项目或原设计没有而由委托人批准设计变更产生的工程项目，视为新增项目。</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新增项目，应维持投标时的报价水平，具体计算办法如下规定并依次计取：</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（1）投标报价清单中有相同的项目单价套用相应的项目单价；</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（2）投标报价清单中有相似的项目的单价采用经委托人认可的换算方式套用；</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投标报价清单中没有相同也没有相似项目的，计价原则依据《工程勘察设计收费标准》（2002年修订本）等计费依据的规定下浮20%后再按投标下浮率（下浮率为中标人投标总报价相对于招标控制价的投标下浮率）确定。新增项目无相应收费依据的，采用市场价（报监理人、跟踪审计、委托人审核同意后的价格）并按投标下浮率（下浮率为中标人投标总报价相对于招标控制价的投标下浮率）结算。以上费用已包含了税费和为完成所有要求而可能产生的不可预见的费用。</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新增项目的计费，在受托人的最终结算申请书中一并体现，过程之中不再另行支付。</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5.2.4</w:t>
      </w:r>
      <w:r>
        <w:rPr>
          <w:rFonts w:hint="eastAsia" w:ascii="宋体" w:hAnsi="宋体" w:cs="宋体"/>
          <w:bCs/>
          <w:color w:val="000000"/>
          <w:sz w:val="22"/>
          <w:szCs w:val="22"/>
          <w:highlight w:val="none"/>
        </w:rPr>
        <w:t xml:space="preserve">本合同最终结算价款以委托人审核确认的金额为准。</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六、合同支付</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bookmarkStart w:id="50" w:name="OLE_LINK89"/>
      <w:r/>
      <w:bookmarkStart w:id="51" w:name="OLE_LINK90"/>
      <w:r>
        <w:rPr>
          <w:rFonts w:hint="eastAsia" w:ascii="宋体" w:hAnsi="宋体" w:cs="宋体"/>
          <w:color w:val="000000"/>
          <w:sz w:val="22"/>
          <w:szCs w:val="22"/>
          <w:highlight w:val="none"/>
        </w:rPr>
        <w:t xml:space="preserve">6.1费用的支付：</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bookmarkStart w:id="52" w:name="OLE_LINK66"/>
      <w:r/>
      <w:bookmarkStart w:id="53" w:name="OLE_LINK65"/>
      <w:r>
        <w:rPr>
          <w:rFonts w:hint="eastAsia" w:ascii="宋体" w:hAnsi="宋体" w:cs="宋体"/>
          <w:color w:val="000000"/>
          <w:sz w:val="22"/>
          <w:szCs w:val="22"/>
          <w:highlight w:val="none"/>
        </w:rPr>
        <w:t xml:space="preserve">6.1.1 施工期监测：</w:t>
      </w:r>
      <w:bookmarkEnd w:id="52"/>
      <w:r/>
      <w:bookmarkEnd w:id="53"/>
      <w:r>
        <w:rPr>
          <w:rFonts w:hint="eastAsia" w:ascii="宋体" w:hAnsi="宋体" w:cs="宋体"/>
          <w:color w:val="000000"/>
          <w:sz w:val="22"/>
          <w:szCs w:val="22"/>
          <w:highlight w:val="none"/>
        </w:rPr>
      </w:r>
      <w:r/>
    </w:p>
    <w:p>
      <w:pPr>
        <w:pStyle w:val="1055"/>
        <w:numPr>
          <w:ilvl w:val="0"/>
          <w:numId w:val="11"/>
        </w:numPr>
        <w:ind w:firstLine="480"/>
        <w:rPr>
          <w:rFonts w:hint="eastAsia" w:ascii="宋体" w:hAnsi="宋体" w:cs="宋体"/>
          <w:color w:val="000000"/>
          <w:sz w:val="22"/>
          <w:szCs w:val="22"/>
          <w:highlight w:val="none"/>
        </w:rPr>
      </w:pPr>
      <w:r/>
      <w:bookmarkStart w:id="54" w:name="OLE_LINK81"/>
      <w:r/>
      <w:bookmarkStart w:id="55" w:name="OLE_LINK82"/>
      <w:r>
        <w:rPr>
          <w:rFonts w:hint="eastAsia" w:ascii="宋体" w:hAnsi="宋体" w:cs="宋体"/>
          <w:color w:val="000000"/>
          <w:sz w:val="22"/>
          <w:szCs w:val="22"/>
          <w:highlight w:val="none"/>
        </w:rPr>
        <w:t xml:space="preserve">每季度支付一次进度款，支付实际完成工作量费用的90%；</w:t>
      </w:r>
      <w:r>
        <w:rPr>
          <w:rFonts w:hint="eastAsia" w:ascii="宋体" w:hAnsi="宋体" w:cs="宋体"/>
          <w:color w:val="000000"/>
          <w:sz w:val="22"/>
          <w:szCs w:val="22"/>
          <w:highlight w:val="none"/>
        </w:rPr>
      </w:r>
      <w:r/>
    </w:p>
    <w:p>
      <w:pPr>
        <w:pStyle w:val="1055"/>
        <w:numPr>
          <w:ilvl w:val="0"/>
          <w:numId w:val="11"/>
        </w:num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现场施工结束 , 乙方按要求提交相关监测成果报告，并提交施工期工作量统计及费用清单，甲方支付至施工期合同总价的100%。</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bookmarkEnd w:id="54"/>
      <w:r/>
      <w:bookmarkEnd w:id="55"/>
      <w:r>
        <w:rPr>
          <w:rFonts w:hint="eastAsia" w:ascii="宋体" w:hAnsi="宋体" w:cs="宋体"/>
          <w:color w:val="000000"/>
          <w:sz w:val="22"/>
          <w:szCs w:val="22"/>
          <w:highlight w:val="none"/>
        </w:rPr>
        <w:t xml:space="preserve">6.1.2 跟踪期监测：</w:t>
      </w:r>
      <w:r>
        <w:rPr>
          <w:rFonts w:hint="eastAsia" w:ascii="宋体" w:hAnsi="宋体" w:cs="宋体"/>
          <w:color w:val="000000"/>
          <w:sz w:val="22"/>
          <w:szCs w:val="22"/>
          <w:highlight w:val="none"/>
        </w:rPr>
      </w:r>
      <w:r/>
    </w:p>
    <w:p>
      <w:pPr>
        <w:pStyle w:val="1055"/>
        <w:numPr>
          <w:ilvl w:val="0"/>
          <w:numId w:val="12"/>
        </w:numPr>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每季度支付一次进度款，支付实际完成工作量费用的90%；</w:t>
      </w:r>
      <w:r>
        <w:rPr>
          <w:rFonts w:hint="eastAsia" w:ascii="宋体" w:hAnsi="宋体" w:cs="宋体"/>
          <w:color w:val="000000"/>
          <w:sz w:val="22"/>
          <w:szCs w:val="22"/>
          <w:highlight w:val="none"/>
        </w:rPr>
      </w:r>
      <w:r/>
    </w:p>
    <w:p>
      <w:pPr>
        <w:pStyle w:val="1055"/>
        <w:numPr>
          <w:ilvl w:val="0"/>
          <w:numId w:val="12"/>
        </w:numPr>
        <w:ind w:firstLine="480"/>
        <w:rPr>
          <w:rFonts w:hint="eastAsia" w:ascii="宋体" w:hAnsi="宋体" w:cs="宋体"/>
          <w:color w:val="000000"/>
          <w:sz w:val="22"/>
          <w:szCs w:val="22"/>
          <w:highlight w:val="none"/>
        </w:rPr>
      </w:pPr>
      <w:r/>
      <w:bookmarkStart w:id="56" w:name="OLE_LINK85"/>
      <w:r/>
      <w:bookmarkStart w:id="57" w:name="OLE_LINK86"/>
      <w:r>
        <w:rPr>
          <w:rFonts w:hint="eastAsia" w:ascii="宋体" w:hAnsi="宋体" w:cs="宋体"/>
          <w:color w:val="000000"/>
          <w:sz w:val="22"/>
          <w:szCs w:val="22"/>
          <w:highlight w:val="none"/>
        </w:rPr>
        <w:t xml:space="preserve">跟踪期结束后</w:t>
      </w:r>
      <w:bookmarkEnd w:id="56"/>
      <w:r/>
      <w:bookmarkEnd w:id="57"/>
      <w:r>
        <w:rPr>
          <w:rFonts w:hint="eastAsia" w:ascii="宋体" w:hAnsi="宋体" w:cs="宋体"/>
          <w:color w:val="000000"/>
          <w:sz w:val="22"/>
          <w:szCs w:val="22"/>
          <w:highlight w:val="none"/>
        </w:rPr>
        <w:t xml:space="preserve"> ,</w:t>
      </w:r>
      <w:bookmarkStart w:id="58" w:name="OLE_LINK69"/>
      <w:r/>
      <w:bookmarkStart w:id="59" w:name="OLE_LINK70"/>
      <w:r>
        <w:rPr>
          <w:rFonts w:hint="eastAsia" w:ascii="宋体" w:hAnsi="宋体" w:cs="宋体"/>
          <w:color w:val="000000"/>
          <w:sz w:val="22"/>
          <w:szCs w:val="22"/>
          <w:highlight w:val="none"/>
        </w:rPr>
        <w:t xml:space="preserve">乙方按要求提交相关监测成果报告</w:t>
      </w:r>
      <w:bookmarkEnd w:id="58"/>
      <w:r/>
      <w:bookmarkEnd w:id="59"/>
      <w:r>
        <w:rPr>
          <w:rFonts w:hint="eastAsia" w:ascii="宋体" w:hAnsi="宋体" w:cs="宋体"/>
          <w:color w:val="000000"/>
          <w:sz w:val="22"/>
          <w:szCs w:val="22"/>
          <w:highlight w:val="none"/>
        </w:rPr>
        <w:t xml:space="preserve">，并提交跟踪期工作量统计及费用清单，甲方支付至施工期合同总价的100%。</w:t>
      </w:r>
      <w:r>
        <w:rPr>
          <w:rFonts w:hint="eastAsia" w:ascii="宋体" w:hAnsi="宋体" w:cs="宋体"/>
          <w:color w:val="000000"/>
          <w:sz w:val="22"/>
          <w:szCs w:val="22"/>
          <w:highlight w:val="none"/>
        </w:rPr>
      </w:r>
      <w:r/>
    </w:p>
    <w:p>
      <w:pPr>
        <w:pStyle w:val="1067"/>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委托人需提供税务认可的合规的增值税专用发票，作为支付申请书的附件。</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bookmarkEnd w:id="50"/>
      <w:r/>
      <w:bookmarkEnd w:id="51"/>
      <w:r>
        <w:rPr>
          <w:rFonts w:hint="eastAsia" w:ascii="宋体" w:hAnsi="宋体" w:cs="宋体"/>
          <w:color w:val="000000"/>
          <w:sz w:val="22"/>
          <w:szCs w:val="22"/>
          <w:highlight w:val="none"/>
        </w:rPr>
        <w:t xml:space="preserve">6.2如委托人发现受托人存在违约行为，可在发现当期的支付节点直接扣除受托人应支付的违约金或损失赔偿金。</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七、服务期、履行地点和方式</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7.1服务期： </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服务期从服务单位进场至所有监测、观测服务项目完成为止，确保监测、观测工作满足项目进度需求，具体开工日期以委托人通知为准。如需配合现场工期进度，服务期需按委托人要求。实际工期根据项目实际施工进度进行调整。服务期必须满足实际施工要求。</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本合同签订后，实际情况发生变化，或由于委托人、施工单位的原因使工作受到阻碍或延误，以致延长服务期，则受托人应当将此情况与可能产生的影响及时通知委托人；经委托人审核同意后，服务期相应延长，但费用不作调整。</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7.2履行地点：</w:t>
      </w:r>
      <w:r>
        <w:rPr>
          <w:rFonts w:hint="eastAsia" w:ascii="宋体" w:hAnsi="宋体" w:cs="宋体"/>
          <w:color w:val="000000"/>
          <w:sz w:val="22"/>
          <w:szCs w:val="22"/>
          <w:highlight w:val="none"/>
          <w:u w:val="single"/>
        </w:rPr>
        <w:t xml:space="preserve"> 项目现场 </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7.3第一次进场时间由委托人确定，并提前2天书面通知受托人。</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7.4工程监测、观测工作根据委托人的安排，受托人应按其投标承诺及本合同约定，派出进行本合同约定项目监测、观测工作所需要的技术人员和投入有关设备。</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八、成果报告文件的提交</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8.1根据委托人要求提交相应的监测、观测成果报告，成果文件应在接到委托人要求后 2 天内提交，一式四份，提供的监测成果包括但不限于日报表及总结报告。报表应按时报送，报表中监测成果用表格和变化曲线或图形反映，以便于分析工程实际情况，达到信息化施工；项目竣工验收时，受托人根据委托人要求或监管部门要求，7天内提供监测技术工作总结报告（包括但不限于监测点布置图、监测总成果表、数值曲线图、监测分析报告），一式肆份。</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8.2所有报告必须符合国家和地方现行的规范、标准。</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8.3相关行政主管部门对监测结果提出异议时，受托人应无条件配合复检，由此产生的相关费用由受托人承担。</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九、服务目标</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9.1质量控制目标：</w:t>
      </w:r>
      <w:r>
        <w:rPr>
          <w:rFonts w:hint="eastAsia" w:ascii="宋体" w:hAnsi="宋体" w:cs="宋体"/>
          <w:color w:val="000000"/>
          <w:sz w:val="22"/>
          <w:szCs w:val="22"/>
          <w:highlight w:val="none"/>
          <w:u w:val="single"/>
        </w:rPr>
        <w:t xml:space="preserve">符合国家、省、市有关监督抽检、监测标准、工程监测、观测技术规范</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u w:val="single"/>
        </w:rPr>
      </w:r>
      <w:r/>
    </w:p>
    <w:p>
      <w:pPr>
        <w:pStyle w:val="1055"/>
        <w:ind w:firstLine="480"/>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9.2进度控制目标：</w:t>
      </w:r>
      <w:r>
        <w:rPr>
          <w:rFonts w:hint="eastAsia" w:ascii="宋体" w:hAnsi="宋体" w:cs="宋体"/>
          <w:color w:val="000000"/>
          <w:sz w:val="22"/>
          <w:szCs w:val="22"/>
          <w:highlight w:val="none"/>
          <w:u w:val="single"/>
        </w:rPr>
        <w:t xml:space="preserve">监测、观测工作需满足施工实际进度要求。</w:t>
      </w:r>
      <w:r>
        <w:rPr>
          <w:rFonts w:hint="eastAsia" w:ascii="宋体" w:hAnsi="宋体" w:cs="宋体"/>
          <w:color w:val="000000"/>
          <w:sz w:val="22"/>
          <w:szCs w:val="22"/>
          <w:highlight w:val="none"/>
          <w:u w:val="singl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十、守约保证</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10.1委托人和受托人保证严格遵守本合同的各项规定，享有并承担本合同的各项权利和义务。受托人保证遵守委托人所制定的各项工程管理办法和规定。</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10.2受托人承诺，不论发生任何事件，将完全遵守委托人颁发的关于工程建设管理的各项制度、规定和管理办法；按投标文件和本合同所承诺的各项条款落实做好各项工作；采取一切措施保证按合同文件约定完成本工程在质量、进度、安全、信息管理等各项目标，达到合同约定的各项标准。并保证不因此增加委托人的成本负担。</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十一、双方权利与义务</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11.1委托人权利</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11.1.1委托人有权对受托人编制的本项目监测实施方案进行审核和批准。</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11.1.2受托人监测人员不按合同履行工作职责的，委托人有权要求受托人更换人员，如受托人不更换或更换后的人员仍不按本合同履行监测职责，委托人有权单方面解除本合同并要求受托人承担相应的赔偿责任。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11.1.3本合同约定项目技术服务成果的知识产权归属委托人所有，非经委托人许可，受托人不得以任何方式复制、备份、转让和利用；否则，受托人应赔偿由此给委托人造成的一切损失。</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11.1.4委托人委托监理人负责对受托人的现场监测作旁站式监督。</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11.1.5变更、签证须取得委托人书面同意。</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11.1.6委托人享有本合同项下受托人提交的监测报告的著作权。</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11.2委托人的义务</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11.2.1向受托人提供开展本项目工作所必须的设计文件、工程资料、技术资料等；</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11.2.2 委托人应在收到受托人书面提交并要求做出决定事宜的相关文件之日起3个工作日内做出书面答复；</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11.2.3委托人应协调受托人与现场各方关系，负责提供监测的场地；告知监理人、施工单位监测部位及位置并做好前期准备工作；</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11.2.4选定监测部位。当已选定的监测点无法满足现场监测条件要求时，委托人应负责重新选择监测点；</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11.2.5负责提供以下的现场工作条件：</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1）平整道路；</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2）提供电源、水源接驳点各一个供受托人使用（水电使用费及其他相关费用由受托人承担）；</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11.2.6组织本项目监测方案的审批及成果文件的审查和验收；</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11.2.7对于受托人提供的监测文字、方案、数据等资料以及属于受托人的测绘成果，委托人有义务保密，不得向第三方提供或用于本合同以外的项目；</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11.2.8委托人应按本合同约定支付服务报酬；</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11.2.9本合同或补充协议中约定应由委托人履行的其他义务。</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11.3受托人的权利</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11.3.1有权按照保质量、保工期和降低成本的原则，向委托人提供切实可行的监测实施方案。</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11.3.2有权对涉及监测相关工程设计中的技术问题，按照安全和优化的原则，向委托人提出建议。</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11.3.3有权按照本合同的约定进行监测，出具客观、准确、公正的成果报告，不受委托人干涉。</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11.3.4有权按本合同约定获得服务报酬。</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11.4受托人的义务</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受托人应在收到中标通知书之日起3日内向委托人提交本合同约定项目的监测实施方案，经并经委托人、设计、施工、监理和安全监督单位会审后，按审核确定的方案实施，并按照有关规定送质量监督部门备案，委托人以此具体考核受托人的检（监）测工作。如委托人要求受托人对监测实施方案等进行合理修改调整，受托人必须在收到委托人修改调整意见之日起2日内，按委托人要求完成修改调整并报委托人审核。</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11.4.2受托人必须在委托人发出进场通知之日起24小时内，按委托人具体的要求进场，并立即开始履行本合同约定的义务。受托人必须按照其投标文件和监测实施方案的承诺，足额、按时派出工作人员和投入设备。当委托人的现场配合条件不能满足技术服务要求时，受托人可向委托人提出推迟进场申请，经委托人书面同意后方可推迟进场。</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11.4.3受托人应自行完成本合同约定项目的监测技术服务工作，不得转包和分包。</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11.4.4受托人应科学、严谨地工作，按时提交各阶段的监测报告并对报告中数据的真实性、可靠性负责。</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11.4.5监测过程中，发现施工单位违反有关法律、法规、规范和工程建设强制性标准的行为，应及时向委托人报告。</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11.4.6受托人协调委托人、施工单位、监理单位以及设计单位的工作关系并组织本项目的监测工作，按照其投标文件和监测实施方案的承诺必要时安排工作人员常驻现场。</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11.4.7受托人应自行解决现场项目组的办公和生活用房、设施、配套水电，以及交通、通讯费等，由此发生的费用已包含在投标报价中。</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11.4.8受托人应当配合工程设计和施工的需要提供相应的监测服务，并应按委托人要求，采取有效措施及时提供中间资料，以满足施工进度的需要。</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11.4.9监测过程中，如因场地条件、设计方案的变更，需增减监测工程量或改变监测手段的，受托人均应及时向委托人报告，并在委托人书面批准后方可实施。</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11.4.10对于委托人书面提交并要求作出决定的事宜，受托人应在收到之日起2个工作日内作出书面答复；对影响施工现场进度的事项应在24小时内作出具有明确处理意见的书面答复。</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11.4.11按时进行现场试验取样、提交监测报告，负责资料、报告的打印、复印、装订、装箱等工作。</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11.4.12向委托人提供非驻场式的技术咨询、支持服务，包括参加本项目相关会议、安排技术人员到现场解决相关问题。</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11.4.13应随时接受委托人、监理单位及质量安全监督部门的监督，为确保监测结果的正确，任何人不得干预监测结果。</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11.4.14受托人必须按照投标文件的承诺建立现场管理机构。项目负责人及现场管理机构主要部门负责人见合同附件《本项目机构人员一览表》。保证监测人员具备监测资格，保证持有的监测资质满足地方管理要求。</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11.4.15提供仪器设备，负责仪器设备安装及场内中转、进退场。保证计量器具在计量检定有效周期内。</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11.4.16保证监测工作的客观、独立、公正，不得与施工单位串通，将监测不合格的工程出具合格监测报告或修改监测结论，损害委托人的利益，否则应按照本合同条款第十二条的有关约定承担违约责任。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11.4.17 对监测过程中发现存在的质量问题，提出具体的处理意见和建议。</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11.4.18受托人须为其在本项目上的工作人员购买意外险，确保受托人工作人员在工作时间区域内如遭受意外伤害由商业保险进行理赔，不涉及至委托人；除此以外，受托人还应办理其认为必要的各种保险；同时应当为其全部驻场人员购买人身意外的相关险种。如未按相关规定购买保险，造成的所有责任由受托人承担，委托人不承担与此相关的任何费用及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11.4.19受托人应依据委托人指令和相应的方案对本工程进行检测或监测工作，在检测或者监测过程中发现检测结果不合格或者监测数据异常时必须第一时间通知委托人项目负责人。同时要求受托人立即向委托人公司联络人进行不合格检测项和监测异常情况报备，便于委托人及时开展相关检查和督促整改工作。</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不合格检测项或检测数据异常委托人公司联络人:                 。</w:t>
      </w:r>
      <w:r>
        <w:rPr>
          <w:rFonts w:hint="eastAsia" w:ascii="宋体" w:hAnsi="宋体" w:cs="宋体"/>
          <w:color w:val="000000"/>
          <w:sz w:val="22"/>
          <w:szCs w:val="22"/>
          <w:highlight w:val="none"/>
          <w:u w:val="singl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十二、违约责任</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12.1委托人违约</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在合同履行过程中发生下列情形，属于委托人违约：</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（1）因委托人原因未能按合同约定支付合同价款的；</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（2）因委托人违反合同约定造成受托人暂停服务的；</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（3）委托人明确表示不履行合同义务的；</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委托人发生上述的违约情况时，受托人可向委托人发出通知，要求委托人人采取有效措施纠正违约行为。委托人收到受托人通知后28天内仍不纠正违约行为的，受托人有权暂停相应服务，并通知监理人。</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委托人应承担因其违约给受托人增加的费用和（或）延误的工期，并支付受托人合理的利润。</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12.2受托人违约</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12.2.1工期延误方面的违约责任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（1）受托人违反本合同约定延期开工的，每延迟开工1天，应向委托人支付本合同项下监测费用1%的违约金；延迟开工超过10天的，委托人有权解除合同，将本项目另行发包，并不免除受托人的违约赔偿责任。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受托人未能按合同规定的日期提交监测成果，应当向委托人偿付拖期损失费，每天的拖期损失费按本合同费用的1%计算；延迟超过10天的，委托人有权解除合同，将本项目另行发包，并不免除受托人的违约赔偿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12.2.2监测成果方面的违约责任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受托人观测数据超过规范允许的误差，不能准确、全面地反映建筑物的变形特征， 不符合有关技术要求，受托人应无条件重新观测直至符合委托人要求和相关规范标准。若乙方三次观测均不能符合委托人要求和相关规范标准，受托人应承担严重违约责任一次。给委托人造成损失的还应赔偿委托人的全部损失，包括但不限于因受托人的原因导致观测成果误导了委托人采取相应措施使工程费用增加发的增加费用、律师费、调查费等所有费用。</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12.2.3安全方面的违约责任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由于受托人的工作不及时或测量资料不准确或分析、突发超限变形事故未能及时通知委托人、报告不及时而导致事故发生，给委托人造成损失的，除赔偿委托人损失外，受托人应承担严重违约责任一次。同时，委托人将视情况严重程度，将情况通报建设主管部门，取消其在委托人管理项目中进行投标的资格。情节严重的，依法追究法律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12.2.4分包、转包方面的违约责任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受托人擅自分包或者转包项目的，委托人有权单方部分解除合同或全部解除合同并要求受托人赔偿有关损失。</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12.2.5如受托人提交的技术成果报告不能满足国家和地方现行的规范、标准、合同约定及本合同项下工程建设需要的，受托人应自负费用继续完善，直到满足委托人需要时为止，并承担因此给委托人造成的损失。</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12.2.6发现受托人人员与施工单位串通，对不合格工程出具合格监测报告或结论，委托人有权解除合同，受托人应承担因此给委托人造成的损失。</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12.2.7其他违约责任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（1）受托人投入的人员与本合同附件一规定不符或未经委托人同意擅自更换的，每更换一次项目负责人或技术负责人，委托人有权扣减10%的监测费用作为人员违约金。</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因特殊情况需要，受托人确需更换项目负责人（技术负责人）或监测项目主要人员的，受托人应至少提前7天以书面形式向监理单位提出意向（附前任和后任人员的详细履历资料），经总监理工程师签署意见后向委托人提出申请，经委托人书面同意后方可更换。</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受托人必须保证后任人员的资质、资历、业绩、实际工作能力不低于前任人员的素质。人员更换后，后任继续行使合同文件约定的前任的职权，履行前任的义务。</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（2）受托人的项目负责人（技术负责人）必须参加监理单位或委托人主持的工程例会和其他要求的专题会议。除获得委托人批准外，每缺席1人次，受托人须承担一般违约责任1次。</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（3）现场项目组人员必须在委托人发出进场通知之日起24小时内全部到位，并接受委托人代表的查验。在委托人发出进场通知24小时后，上述人员仍未全部到位的，受托人承担严重违约责任1次。</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受托人违反本项目合同其他约定的，每发现一例，受托人必须按照委托人的指令积极采取措施限期改正，并承担一般违约责任一次；受托人未在委托人限定期限内改正的，应承担严重违约责任一次，情况严重的，委托人可以部分或全部解除合同。</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（5）对于委托人提供的方案、技术资料以及属于委托人的测量成果，受托人有义务保密，不得向第三方转让。否则，委托人有权对因此造成的损失追究责任。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（6）受托人未按本合同约定或法律规定单方面解除本合同，或受托人不履行本合同约定的义务，由受托人按合同价款的20%向委托人支付违约金。</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12.3受托人承担违约责任形式包括但不限于：</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12.3.1采取补救措施限期改正。受托人未履行或未按时履行或未按质履行义务时，必须在委托人限定的时间内履行义务，否则应承担一次一般违约责任。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12.3.2一般违约责任。受托人被委托人要求按本合同约定承担一般违约责任时，必须向委托人交纳本合同项下监测费用百分之一/次的违约金，但不得低于2000元。</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12.3.3严重违约责任。受托人违反本合同的约定须承担严重违约责任时，必须向委托人交纳本合同项下监测费用百分之二/次的违约金，但不得低于10000元。</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12.3.4赔偿损失。因受托人原因造成委托人经济损失的，受托人除承担违约责任外，还应赔偿违约金与委托人实际损失之间的差额。实际损失包括但不限于委托人采取相应措施而发生的工程费用、律师费、诉讼费、调查费等所有费用。</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12.3.5解除合同。当受托人违反本合同的约定符合解除合同的条件时，委托人有权向受托人发出</w:t>
      </w:r>
      <w:r>
        <w:rPr>
          <w:rFonts w:hint="eastAsia" w:ascii="宋体" w:hAnsi="宋体" w:cs="宋体"/>
          <w:color w:val="000000"/>
          <w:sz w:val="22"/>
          <w:szCs w:val="22"/>
          <w:highlight w:val="none"/>
        </w:rPr>
        <w:t xml:space="preserve">书面解除合同的通知，该通知在送达受托人时即生效。受托人应在该通知生效之日起五天内向委托人支付本合同项下监测费用20%的违约金，违约金不足以弥补委托人全部损失的，受托人还应按照12.3.4的约定予以赔偿。同时，受托人必须在通知生效之日起三天内停止全部工作，通知生效之日起五天内配合委托人完成现场工作和有关资料的交接，并于完成交接工作当天内离场。受托人应保证所移交的资料齐全完整且满足委托人要求，受托人未在规定期限内完成交接和离场或所移交的资料不完整的，引致委托人工期延误和其它方面的损失，委托人有权要求受托人赔偿。</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12.4本合同解除后，受托人已经完成的且经委托人认可接收的监测成果在双方进行结算后，成果全部归委托人所有。</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12.5因同一违约情形，被追究一般违约责任三次以上的，从第四次开始，对该违约行为每次均追究严重违约责任。出现严重违约责任二次以上的，从第四次开始委托人有权向有关机关进行通报批评。</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12.6在任何索赔和争议期间，不论索赔是否有据，均不能免除受托人按合同约定履行义务，受托人不得以此为借口，拒不履行或拖延合同的履行；否则，委托人有权终止合同，并要求受托人赔偿由此导致的委托人的实际损失。</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12.7受托人违约需向委托人支付违约金、赔偿金时，委托人书面通知受托人交纳，受托人必须在委托人规定的时间内支付；否则，委托人有权在应付合同价款中予以扣除。</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12.8其他违约责任由甲、乙双方在合同专用条款中约定。</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十三、双方代表及监理单位</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委托人代表：               联系电话： </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受托人代表：     联系电话：  </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监理单位： </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监理工程师代表： </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联系电话： </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十四、通知</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合同所需或所确定的所有通知、要求或其他通讯应以书面形式，通过亲自派送、邮政快递方式、传真方式、电子邮箱按下列的传真号码或地址传送。任何通知、要求或通讯若以传真方式或电子邮件传送，将视为立即送达，若以邮寄方式传送，到达对方时送达，如因一方拒收或其他原因导致无法送达，在寄出的七天后视为送达。一方若需变更通讯地址，应当及时通知对方。因接受方或其签收人原因导致接受方没有收到送达文件的，视为已送达。各方指定最初传真号码、联系电话、电子邮箱及地址如下：</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b/>
          <w:color w:val="000000"/>
          <w:sz w:val="22"/>
          <w:szCs w:val="22"/>
          <w:highlight w:val="none"/>
        </w:rPr>
        <w:t xml:space="preserve">委托方：</w:t>
      </w:r>
      <w:r>
        <w:rPr>
          <w:rFonts w:hint="eastAsia" w:ascii="宋体" w:hAnsi="宋体" w:cs="宋体"/>
          <w:color w:val="000000"/>
          <w:sz w:val="22"/>
          <w:szCs w:val="22"/>
          <w:highlight w:val="none"/>
        </w:rPr>
        <w:t xml:space="preserve">南京湖南路山西路地区管理委员会</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通讯地址： </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电子邮箱： </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联系电话：</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传真号码： </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收件人： </w:t>
      </w:r>
      <w:r>
        <w:rPr>
          <w:rFonts w:hint="eastAsia" w:ascii="宋体" w:hAnsi="宋体" w:cs="宋体"/>
          <w:color w:val="000000"/>
          <w:sz w:val="22"/>
          <w:szCs w:val="22"/>
          <w:highlight w:val="none"/>
        </w:rPr>
      </w:r>
      <w:r/>
    </w:p>
    <w:p>
      <w:pPr>
        <w:pStyle w:val="1055"/>
        <w:ind w:firstLine="480"/>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受托方：</w:t>
      </w:r>
      <w:r>
        <w:rPr>
          <w:rFonts w:hint="eastAsia" w:ascii="宋体" w:hAnsi="宋体" w:cs="宋体"/>
          <w:b/>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通讯地址：</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电子邮箱：</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联系电话：</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传真号码：</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收件人：</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十五、争议解决</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本合同发生争议，双方当事人应及时协商解决。也可由当地建设行政主管部门调解，协商调解不成时,任何一方可向工程所在地有管辖权的人民法院提出起诉。</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十六、合同的生效</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本合同自甲、乙双方签字盖章之日起生效。全部成果交接完毕和监测费用结算支付完成后，本合同终止。</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十七、合同的文本</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本合同一式</w:t>
      </w:r>
      <w:r>
        <w:rPr>
          <w:rFonts w:hint="eastAsia" w:ascii="宋体" w:hAnsi="宋体" w:cs="宋体"/>
          <w:color w:val="000000"/>
          <w:sz w:val="22"/>
          <w:szCs w:val="22"/>
          <w:highlight w:val="none"/>
          <w:u w:val="single"/>
        </w:rPr>
        <w:t xml:space="preserve">陆</w:t>
      </w:r>
      <w:r>
        <w:rPr>
          <w:rFonts w:hint="eastAsia" w:ascii="宋体" w:hAnsi="宋体" w:cs="宋体"/>
          <w:color w:val="000000"/>
          <w:sz w:val="22"/>
          <w:szCs w:val="22"/>
          <w:highlight w:val="none"/>
        </w:rPr>
        <w:t xml:space="preserve">份，委托人执</w:t>
      </w:r>
      <w:r>
        <w:rPr>
          <w:rFonts w:hint="eastAsia" w:ascii="宋体" w:hAnsi="宋体" w:cs="宋体"/>
          <w:color w:val="000000"/>
          <w:sz w:val="22"/>
          <w:szCs w:val="22"/>
          <w:highlight w:val="none"/>
          <w:u w:val="single"/>
        </w:rPr>
        <w:t xml:space="preserve">肆</w:t>
      </w:r>
      <w:r>
        <w:rPr>
          <w:rFonts w:hint="eastAsia" w:ascii="宋体" w:hAnsi="宋体" w:cs="宋体"/>
          <w:color w:val="000000"/>
          <w:sz w:val="22"/>
          <w:szCs w:val="22"/>
          <w:highlight w:val="none"/>
        </w:rPr>
        <w:t xml:space="preserve">份，受托人执</w:t>
      </w:r>
      <w:r>
        <w:rPr>
          <w:rFonts w:hint="eastAsia" w:ascii="宋体" w:hAnsi="宋体" w:cs="宋体"/>
          <w:color w:val="000000"/>
          <w:sz w:val="22"/>
          <w:szCs w:val="22"/>
          <w:highlight w:val="none"/>
          <w:u w:val="single"/>
        </w:rPr>
        <w:t xml:space="preserve">贰</w:t>
      </w:r>
      <w:r>
        <w:rPr>
          <w:rFonts w:hint="eastAsia" w:ascii="宋体" w:hAnsi="宋体" w:cs="宋体"/>
          <w:color w:val="000000"/>
          <w:sz w:val="22"/>
          <w:szCs w:val="22"/>
          <w:highlight w:val="none"/>
        </w:rPr>
        <w:t xml:space="preserve">份，均具有同等法律效力。</w:t>
      </w: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十八、附件</w:t>
      </w:r>
      <w:r>
        <w:rPr>
          <w:rFonts w:hint="eastAsia" w:ascii="宋体" w:hAnsi="宋体" w:cs="宋体"/>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附件一：人员一览表</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附件二：价格明细表</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附件三：监测、观测技术资料</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附件四：廉政协议书</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附件五：拟投入本项目主要监测及监测设备一览表</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附件六：安全文件协议</w:t>
      </w:r>
      <w:r>
        <w:rPr>
          <w:rFonts w:hint="eastAsia" w:ascii="宋体" w:hAnsi="宋体" w:cs="宋体"/>
          <w:color w:val="000000"/>
          <w:sz w:val="22"/>
          <w:szCs w:val="22"/>
          <w:highlight w:val="none"/>
        </w:rPr>
      </w:r>
      <w:r/>
    </w:p>
    <w:p>
      <w:pPr>
        <w:pStyle w:val="1055"/>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bl>
      <w:tblPr>
        <w:tblW w:w="917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678"/>
        <w:gridCol w:w="4496"/>
      </w:tblGrid>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委 托 人：（公章）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受 托 人：（公章）</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top"/>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住 所： </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top"/>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住 所：</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统一社会信用代码： </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统一社会信用代码：</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    话：</w:t>
            </w:r>
            <w:r>
              <w:rPr>
                <w:rFonts w:hint="eastAsia" w:ascii="宋体" w:hAnsi="宋体" w:cs="宋体"/>
                <w:bCs/>
                <w:color w:val="000000"/>
                <w:sz w:val="22"/>
                <w:szCs w:val="22"/>
                <w:highlight w:val="none"/>
              </w:rPr>
              <w:t xml:space="preserve"> </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    话：</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开户银行： </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top"/>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开户银行： </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账    号： </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账    号：</w:t>
            </w:r>
            <w:r>
              <w:rPr>
                <w:rFonts w:hint="eastAsia" w:ascii="宋体" w:hAnsi="宋体" w:cs="宋体"/>
                <w:color w:val="000000"/>
                <w:sz w:val="22"/>
                <w:szCs w:val="22"/>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4678"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期：2026年 月 日</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496" w:type="dxa"/>
            <w:vAlign w:val="center"/>
            <w:textDirection w:val="lrTb"/>
            <w:noWrap w:val="false"/>
          </w:tcPr>
          <w:p>
            <w:pPr>
              <w:pStyle w:val="1055"/>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期：2026年 月  日</w:t>
            </w:r>
            <w:r>
              <w:rPr>
                <w:rFonts w:hint="eastAsia" w:ascii="宋体" w:hAnsi="宋体" w:cs="宋体"/>
                <w:color w:val="000000"/>
                <w:sz w:val="22"/>
                <w:szCs w:val="22"/>
                <w:highlight w:val="none"/>
              </w:rPr>
            </w:r>
            <w:r/>
          </w:p>
        </w:tc>
      </w:tr>
    </w:tbl>
    <w:p>
      <w:pPr>
        <w:pStyle w:val="1055"/>
        <w:ind w:firstLine="480"/>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br w:type="page" w:clear="all"/>
      </w:r>
      <w:r>
        <w:rPr>
          <w:rFonts w:hint="eastAsia" w:ascii="宋体" w:hAnsi="宋体" w:cs="宋体"/>
          <w:bCs/>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bookmarkEnd w:id="42"/>
      <w:r/>
      <w:bookmarkEnd w:id="43"/>
      <w:r>
        <w:rPr>
          <w:rFonts w:hint="eastAsia" w:ascii="宋体" w:hAnsi="宋体" w:cs="宋体"/>
          <w:bCs/>
          <w:color w:val="000000"/>
          <w:sz w:val="22"/>
          <w:szCs w:val="22"/>
          <w:highlight w:val="none"/>
        </w:rPr>
        <w:t xml:space="preserve">附件一：人员一览表</w:t>
      </w:r>
      <w:r>
        <w:rPr>
          <w:rFonts w:hint="eastAsia" w:ascii="宋体" w:hAnsi="宋体" w:cs="宋体"/>
          <w:bCs/>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附件二：价格明细表</w:t>
      </w:r>
      <w:r>
        <w:rPr>
          <w:rFonts w:hint="eastAsia" w:ascii="宋体" w:hAnsi="宋体" w:cs="宋体"/>
          <w:bCs/>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附件三：监测、观测技术资料</w:t>
      </w:r>
      <w:r>
        <w:rPr>
          <w:rFonts w:hint="eastAsia" w:ascii="宋体" w:hAnsi="宋体" w:cs="宋体"/>
          <w:bCs/>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附件四：廉政责任书</w:t>
      </w:r>
      <w:r>
        <w:rPr>
          <w:rFonts w:hint="eastAsia" w:ascii="宋体" w:hAnsi="宋体" w:cs="宋体"/>
          <w:bCs/>
          <w:color w:val="000000"/>
          <w:sz w:val="22"/>
          <w:szCs w:val="22"/>
          <w:highlight w:val="none"/>
        </w:rPr>
      </w:r>
      <w:r/>
    </w:p>
    <w:p>
      <w:pPr>
        <w:pStyle w:val="1055"/>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廉政协议书</w:t>
      </w:r>
      <w:r>
        <w:rPr>
          <w:rFonts w:hint="eastAsia" w:ascii="宋体" w:hAnsi="宋体" w:cs="宋体"/>
          <w:color w:val="000000"/>
          <w:sz w:val="22"/>
          <w:szCs w:val="22"/>
          <w:highlight w:val="none"/>
        </w:rPr>
      </w:r>
      <w:r/>
    </w:p>
    <w:p>
      <w:pPr>
        <w:pStyle w:val="1055"/>
        <w:ind w:firstLine="480"/>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    方：</w:t>
      </w:r>
      <w:r>
        <w:rPr>
          <w:rFonts w:hint="eastAsia" w:ascii="宋体" w:hAnsi="宋体" w:cs="宋体"/>
          <w:color w:val="000000"/>
          <w:sz w:val="22"/>
          <w:szCs w:val="22"/>
          <w:highlight w:val="none"/>
          <w:u w:val="single"/>
        </w:rPr>
        <w:t xml:space="preserve">南京湖南路山西路地区管理委员会</w:t>
      </w:r>
      <w:r>
        <w:rPr>
          <w:rFonts w:hint="eastAsia" w:ascii="宋体" w:hAnsi="宋体" w:cs="宋体"/>
          <w:color w:val="000000"/>
          <w:sz w:val="22"/>
          <w:szCs w:val="22"/>
          <w:highlight w:val="none"/>
        </w:rPr>
      </w:r>
      <w:r/>
    </w:p>
    <w:p>
      <w:pPr>
        <w:pStyle w:val="1055"/>
        <w:ind w:firstLine="480"/>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    方：</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甲方和乙方在下文中单独称为“</w:t>
      </w:r>
      <w:r>
        <w:rPr>
          <w:rFonts w:hint="eastAsia" w:ascii="宋体" w:hAnsi="宋体" w:cs="宋体"/>
          <w:b/>
          <w:color w:val="000000"/>
          <w:sz w:val="22"/>
          <w:szCs w:val="22"/>
          <w:highlight w:val="none"/>
        </w:rPr>
        <w:t xml:space="preserve">一方</w:t>
      </w:r>
      <w:r>
        <w:rPr>
          <w:rFonts w:hint="eastAsia" w:ascii="宋体" w:hAnsi="宋体" w:cs="宋体"/>
          <w:color w:val="000000"/>
          <w:sz w:val="22"/>
          <w:szCs w:val="22"/>
          <w:highlight w:val="none"/>
        </w:rPr>
        <w:t xml:space="preserve">”，合称为“</w:t>
      </w:r>
      <w:r>
        <w:rPr>
          <w:rFonts w:hint="eastAsia" w:ascii="宋体" w:hAnsi="宋体" w:cs="宋体"/>
          <w:b/>
          <w:color w:val="000000"/>
          <w:sz w:val="22"/>
          <w:szCs w:val="22"/>
          <w:highlight w:val="none"/>
        </w:rPr>
        <w:t xml:space="preserve">双方</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1055"/>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甲乙双方为遵守法律法规和廉政合规要求，维护双方合法权益，本着平等互利的原则，经友好协商，达成以下条款，以兹共同遵照执行：</w:t>
      </w:r>
      <w:r>
        <w:rPr>
          <w:rFonts w:hint="eastAsia" w:ascii="宋体" w:hAnsi="宋体" w:cs="宋体"/>
          <w:b/>
          <w:color w:val="000000"/>
          <w:sz w:val="22"/>
          <w:szCs w:val="22"/>
          <w:highlight w:val="none"/>
        </w:rPr>
      </w:r>
      <w:r/>
    </w:p>
    <w:p>
      <w:pPr>
        <w:pStyle w:val="1055"/>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第一条 双方陈述并保证将严格遵守适用的法律法规和廉政合规要求，在与对方履行合作业务期间，双方保证不曾实施也不会实施直接或间接的贪污腐败（贿赂）、弄虚作假、威胁强迫或串通舞弊等行为（下称“</w:t>
      </w:r>
      <w:r>
        <w:rPr>
          <w:rFonts w:hint="eastAsia" w:ascii="宋体" w:hAnsi="宋体" w:cs="宋体"/>
          <w:b/>
          <w:color w:val="000000"/>
          <w:sz w:val="22"/>
          <w:szCs w:val="22"/>
          <w:highlight w:val="none"/>
        </w:rPr>
        <w:t xml:space="preserve">不当行为</w:t>
      </w:r>
      <w:r>
        <w:rPr>
          <w:rFonts w:hint="eastAsia" w:ascii="宋体" w:hAnsi="宋体" w:cs="宋体"/>
          <w:color w:val="000000"/>
          <w:sz w:val="22"/>
          <w:szCs w:val="22"/>
          <w:highlight w:val="none"/>
        </w:rPr>
        <w:t xml:space="preserve">”），并以此不正当影响他人（指任何单位或个人，包括双方员工）或谋取任何利益（包括但不限于获得或维持业务、任何潜在商业优势等）。前述“不当行为”，包括但不限于以下表现方式：</w:t>
      </w:r>
      <w:r>
        <w:rPr>
          <w:rFonts w:hint="eastAsia" w:ascii="宋体" w:hAnsi="宋体" w:cs="宋体"/>
          <w:b/>
          <w:color w:val="000000"/>
          <w:sz w:val="22"/>
          <w:szCs w:val="22"/>
          <w:highlight w:val="none"/>
        </w:rPr>
      </w:r>
      <w:r/>
    </w:p>
    <w:p>
      <w:pPr>
        <w:pStyle w:val="1055"/>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一、向他人提供、给予、允诺、索要，或接受他人提供、给予或允诺的不当好处或利益输出的，包括但不限于贵重礼品礼金、有价证券、支付凭证、好处费，过度的招待、休闲、娱乐、旅游、回扣或投资机会；</w:t>
      </w:r>
      <w:r>
        <w:rPr>
          <w:rFonts w:hint="eastAsia" w:ascii="宋体" w:hAnsi="宋体" w:cs="宋体"/>
          <w:color w:val="000000"/>
          <w:sz w:val="22"/>
          <w:szCs w:val="22"/>
          <w:highlight w:val="none"/>
        </w:rPr>
      </w:r>
      <w:r/>
    </w:p>
    <w:p>
      <w:pPr>
        <w:pStyle w:val="1055"/>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二、以虚构事实或隐瞒真相等方式弄虚作假，误导或试图误导他人的；</w:t>
      </w:r>
      <w:r>
        <w:rPr>
          <w:rFonts w:hint="eastAsia" w:ascii="宋体" w:hAnsi="宋体" w:cs="宋体"/>
          <w:color w:val="000000"/>
          <w:sz w:val="22"/>
          <w:szCs w:val="22"/>
          <w:highlight w:val="none"/>
        </w:rPr>
      </w:r>
      <w:r/>
    </w:p>
    <w:p>
      <w:pPr>
        <w:pStyle w:val="1055"/>
        <w:ind w:firstLine="44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三、授意、指使、强令或胁迫他人实施违法乱纪或不当行为的；</w:t>
      </w:r>
      <w:r>
        <w:rPr>
          <w:rFonts w:hint="eastAsia" w:ascii="宋体" w:hAnsi="宋体" w:cs="宋体"/>
          <w:color w:val="000000"/>
          <w:sz w:val="22"/>
          <w:szCs w:val="22"/>
          <w:highlight w:val="none"/>
        </w:rPr>
      </w:r>
      <w:r/>
    </w:p>
    <w:p>
      <w:pPr>
        <w:pStyle w:val="1055"/>
        <w:ind w:firstLine="48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四、与他人等恶意串通，不当影响他人或谋取利益的。</w:t>
      </w:r>
      <w:r>
        <w:rPr>
          <w:rFonts w:hint="eastAsia" w:ascii="宋体" w:hAnsi="宋体" w:cs="宋体"/>
          <w:color w:val="000000"/>
          <w:sz w:val="22"/>
          <w:szCs w:val="22"/>
          <w:highlight w:val="none"/>
        </w:rPr>
      </w:r>
      <w:r/>
    </w:p>
    <w:p>
      <w:pPr>
        <w:pStyle w:val="1055"/>
        <w:ind w:firstLine="480"/>
        <w:rPr>
          <w:rFonts w:hint="eastAsia" w:ascii="宋体" w:hAnsi="宋体" w:cs="宋体"/>
          <w:bCs/>
          <w:color w:val="000000"/>
          <w:sz w:val="22"/>
          <w:szCs w:val="22"/>
          <w:highlight w:val="none"/>
        </w:rPr>
      </w:pPr>
      <w:r>
        <w:rPr>
          <w:rFonts w:hint="eastAsia" w:ascii="宋体" w:hAnsi="宋体" w:cs="宋体"/>
          <w:color w:val="000000"/>
          <w:sz w:val="22"/>
          <w:szCs w:val="22"/>
          <w:highlight w:val="none"/>
        </w:rPr>
        <w:t xml:space="preserve">第二条</w:t>
      </w:r>
      <w:r>
        <w:rPr>
          <w:rFonts w:hint="eastAsia" w:ascii="宋体" w:hAnsi="宋体" w:cs="宋体"/>
          <w:bCs/>
          <w:color w:val="000000"/>
          <w:sz w:val="22"/>
          <w:szCs w:val="22"/>
          <w:highlight w:val="none"/>
        </w:rPr>
        <w:t xml:space="preserve">双方应及时向对方举报发现的潜在违法违规行为、与双方的合作业务相关或是违反廉政合规要求的不当行为。双方对任何被调查的不当行为或其他违规行为，可以要求对方作出说明，可以审阅对方与此工作相关的文件并保留进行独立调查的权利。</w:t>
      </w:r>
      <w:r>
        <w:rPr>
          <w:rFonts w:hint="eastAsia" w:ascii="宋体" w:hAnsi="宋体" w:cs="宋体"/>
          <w:bCs/>
          <w:color w:val="000000"/>
          <w:sz w:val="22"/>
          <w:szCs w:val="22"/>
          <w:highlight w:val="none"/>
        </w:rPr>
      </w:r>
      <w:r/>
    </w:p>
    <w:p>
      <w:pPr>
        <w:pStyle w:val="1055"/>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第三条</w:t>
      </w:r>
      <w:r>
        <w:rPr>
          <w:rFonts w:hint="eastAsia" w:ascii="宋体" w:hAnsi="宋体" w:cs="宋体"/>
          <w:bCs/>
          <w:color w:val="000000"/>
          <w:sz w:val="22"/>
          <w:szCs w:val="22"/>
          <w:highlight w:val="none"/>
        </w:rPr>
        <w:t xml:space="preserve">双方应保留其与本交易相关的合作方的记录，包括名称、协议和付款等信息</w:t>
      </w:r>
      <w:r>
        <w:rPr>
          <w:rFonts w:hint="eastAsia" w:ascii="宋体" w:hAnsi="宋体" w:cs="宋体"/>
          <w:b/>
          <w:color w:val="000000"/>
          <w:sz w:val="22"/>
          <w:szCs w:val="22"/>
          <w:highlight w:val="none"/>
        </w:rPr>
        <w:t xml:space="preserve">。</w:t>
      </w:r>
      <w:r>
        <w:rPr>
          <w:rFonts w:hint="eastAsia" w:ascii="宋体" w:hAnsi="宋体" w:cs="宋体"/>
          <w:b/>
          <w:color w:val="000000"/>
          <w:sz w:val="22"/>
          <w:szCs w:val="22"/>
          <w:highlight w:val="none"/>
        </w:rPr>
      </w:r>
      <w:r/>
    </w:p>
    <w:p>
      <w:pPr>
        <w:pStyle w:val="1055"/>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第四条 任何一方均应保证、保护另一方不因该方所实施的行为而遭受任何索赔、责任、罚金、罚款、损失或损害。</w:t>
      </w:r>
      <w:r>
        <w:rPr>
          <w:rFonts w:hint="eastAsia" w:ascii="宋体" w:hAnsi="宋体" w:cs="宋体"/>
          <w:b/>
          <w:color w:val="000000"/>
          <w:sz w:val="22"/>
          <w:szCs w:val="22"/>
          <w:highlight w:val="none"/>
        </w:rPr>
      </w:r>
      <w:r/>
    </w:p>
    <w:p>
      <w:pPr>
        <w:pStyle w:val="1055"/>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第五条 如一方违反本协议的，另一方有权向其主张违约责任，包括但不限于限期改正、消除影响、损害赔偿、合同解除等方式。</w:t>
      </w:r>
      <w:r>
        <w:rPr>
          <w:rFonts w:hint="eastAsia" w:ascii="宋体" w:hAnsi="宋体" w:cs="宋体"/>
          <w:b/>
          <w:color w:val="000000"/>
          <w:sz w:val="22"/>
          <w:szCs w:val="22"/>
          <w:highlight w:val="none"/>
        </w:rPr>
      </w:r>
      <w:r/>
    </w:p>
    <w:p>
      <w:pPr>
        <w:pStyle w:val="1055"/>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第六条有关本协议或由本协议所产生的一切争议, 双方均应通过友好协商的方法解决。如果该项争议在一方提出友好协商之后三十日内未能得以解决，任何一方均可将争议诉至人民法院。</w:t>
      </w:r>
      <w:r>
        <w:rPr>
          <w:rFonts w:hint="eastAsia" w:ascii="宋体" w:hAnsi="宋体" w:cs="宋体"/>
          <w:b/>
          <w:color w:val="000000"/>
          <w:sz w:val="22"/>
          <w:szCs w:val="22"/>
          <w:highlight w:val="none"/>
        </w:rPr>
      </w:r>
      <w:r/>
    </w:p>
    <w:p>
      <w:pPr>
        <w:pStyle w:val="1055"/>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第七条本协议一式陆份，甲方执肆份，乙方执贰份，具有同等法律效力。</w:t>
      </w:r>
      <w:r>
        <w:rPr>
          <w:rFonts w:hint="eastAsia" w:ascii="宋体" w:hAnsi="宋体" w:cs="宋体"/>
          <w:b/>
          <w:color w:val="000000"/>
          <w:sz w:val="22"/>
          <w:szCs w:val="22"/>
          <w:highlight w:val="none"/>
        </w:rPr>
      </w:r>
      <w:r/>
    </w:p>
    <w:p>
      <w:pPr>
        <w:pStyle w:val="1055"/>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第八条 本协议经双方签署即生效，□有效期与双方合作期限一致，并适用于双方合作期限内签署的所有合同及所有业务。</w:t>
      </w:r>
      <w:r>
        <w:rPr>
          <w:rFonts w:ascii="Wingdings 2" w:hAnsi="Wingdings 2" w:eastAsia="Wingdings 2" w:cs="Wingdings 2"/>
          <w:color w:val="000000"/>
          <w:sz w:val="22"/>
          <w:szCs w:val="22"/>
          <w:highlight w:val="none"/>
        </w:rPr>
        <w:t xml:space="preserve">R</w:t>
      </w:r>
      <w:r>
        <w:rPr>
          <w:rFonts w:hint="eastAsia" w:ascii="宋体" w:hAnsi="宋体" w:cs="宋体"/>
          <w:color w:val="000000"/>
          <w:sz w:val="22"/>
          <w:szCs w:val="22"/>
          <w:highlight w:val="none"/>
        </w:rPr>
        <w:t xml:space="preserve">有效期与双方签署的相关业务协议期限一致。</w:t>
      </w:r>
      <w:r>
        <w:rPr>
          <w:rFonts w:hint="eastAsia" w:ascii="宋体" w:hAnsi="宋体" w:cs="宋体"/>
          <w:b/>
          <w:color w:val="000000"/>
          <w:sz w:val="22"/>
          <w:szCs w:val="22"/>
          <w:highlight w:val="none"/>
        </w:rPr>
      </w:r>
      <w:r/>
    </w:p>
    <w:p>
      <w:pPr>
        <w:pStyle w:val="1055"/>
        <w:ind w:firstLine="480"/>
        <w:rPr>
          <w:rFonts w:hint="eastAsia" w:ascii="宋体" w:hAnsi="宋体" w:cs="宋体"/>
          <w:b/>
          <w:color w:val="000000"/>
          <w:sz w:val="22"/>
          <w:szCs w:val="22"/>
          <w:highlight w:val="none"/>
        </w:rPr>
      </w:pPr>
      <w:r>
        <w:rPr>
          <w:rFonts w:hint="eastAsia" w:ascii="宋体" w:hAnsi="宋体" w:cs="宋体"/>
          <w:color w:val="000000"/>
          <w:sz w:val="22"/>
          <w:szCs w:val="22"/>
          <w:highlight w:val="none"/>
        </w:rPr>
        <w:t xml:space="preserve">第九条 对本协议的任何变更、补充，需经甲乙双方书面同意方可生效。</w:t>
      </w:r>
      <w:r>
        <w:rPr>
          <w:rFonts w:hint="eastAsia" w:ascii="宋体" w:hAnsi="宋体" w:cs="宋体"/>
          <w:b/>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bl>
      <w:tblPr>
        <w:tblW w:w="1004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542"/>
        <w:gridCol w:w="5505"/>
      </w:tblGrid>
      <w:tr>
        <w:trPr>
          <w:trHeight w:val="562"/>
        </w:trPr>
        <w:tc>
          <w:tcPr>
            <w:tcBorders>
              <w:top w:val="none" w:color="000000" w:sz="0" w:space="0"/>
              <w:left w:val="none" w:color="000000" w:sz="0" w:space="0"/>
              <w:bottom w:val="none" w:color="000000" w:sz="0" w:space="0"/>
              <w:right w:val="none" w:color="000000" w:sz="0" w:space="0"/>
            </w:tcBorders>
            <w:tcW w:w="4542" w:type="dxa"/>
            <w:vAlign w:val="top"/>
            <w:textDirection w:val="lrTb"/>
            <w:noWrap w:val="false"/>
          </w:tcPr>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    方：（公章）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5505" w:type="dxa"/>
            <w:vAlign w:val="top"/>
            <w:textDirection w:val="lrTb"/>
            <w:noWrap w:val="false"/>
          </w:tcPr>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    方：（公章）</w:t>
            </w:r>
            <w:r>
              <w:rPr>
                <w:rFonts w:hint="eastAsia" w:ascii="宋体" w:hAnsi="宋体" w:cs="宋体"/>
                <w:color w:val="000000"/>
                <w:sz w:val="22"/>
                <w:szCs w:val="22"/>
                <w:highlight w:val="none"/>
              </w:rPr>
            </w:r>
            <w:r/>
          </w:p>
        </w:tc>
      </w:tr>
      <w:tr>
        <w:trPr>
          <w:trHeight w:val="562"/>
        </w:trPr>
        <w:tc>
          <w:tcPr>
            <w:tcBorders>
              <w:top w:val="none" w:color="000000" w:sz="0" w:space="0"/>
              <w:left w:val="none" w:color="000000" w:sz="0" w:space="0"/>
              <w:bottom w:val="none" w:color="000000" w:sz="0" w:space="0"/>
              <w:right w:val="none" w:color="000000" w:sz="0" w:space="0"/>
            </w:tcBorders>
            <w:tcW w:w="4542" w:type="dxa"/>
            <w:vAlign w:val="top"/>
            <w:textDirection w:val="lrTb"/>
            <w:noWrap w:val="false"/>
          </w:tcPr>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5505" w:type="dxa"/>
            <w:vAlign w:val="top"/>
            <w:textDirection w:val="lrTb"/>
            <w:noWrap w:val="false"/>
          </w:tcPr>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r>
      <w:tr>
        <w:trPr>
          <w:trHeight w:val="562"/>
        </w:trPr>
        <w:tc>
          <w:tcPr>
            <w:tcBorders>
              <w:top w:val="none" w:color="000000" w:sz="0" w:space="0"/>
              <w:left w:val="none" w:color="000000" w:sz="0" w:space="0"/>
              <w:bottom w:val="none" w:color="000000" w:sz="0" w:space="0"/>
              <w:right w:val="none" w:color="000000" w:sz="0" w:space="0"/>
            </w:tcBorders>
            <w:tcW w:w="4542" w:type="dxa"/>
            <w:vAlign w:val="top"/>
            <w:textDirection w:val="lrTb"/>
            <w:noWrap w:val="false"/>
          </w:tcPr>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期：年  月  日</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5505" w:type="dxa"/>
            <w:vAlign w:val="top"/>
            <w:textDirection w:val="lrTb"/>
            <w:noWrap w:val="false"/>
          </w:tcPr>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期：年  月  日</w:t>
            </w:r>
            <w:r>
              <w:rPr>
                <w:rFonts w:hint="eastAsia" w:ascii="宋体" w:hAnsi="宋体" w:cs="宋体"/>
                <w:color w:val="000000"/>
                <w:sz w:val="22"/>
                <w:szCs w:val="22"/>
                <w:highlight w:val="none"/>
              </w:rPr>
            </w:r>
            <w:r/>
          </w:p>
        </w:tc>
      </w:tr>
    </w:tbl>
    <w:p>
      <w:pPr>
        <w:pStyle w:val="1055"/>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附件五：拟投入本项目主要监测及监测设备一览表</w:t>
      </w:r>
      <w:r>
        <w:rPr>
          <w:rFonts w:hint="eastAsia" w:ascii="宋体" w:hAnsi="宋体" w:cs="宋体"/>
          <w:bCs/>
          <w:color w:val="000000"/>
          <w:sz w:val="22"/>
          <w:szCs w:val="22"/>
          <w:highlight w:val="none"/>
        </w:rPr>
      </w:r>
      <w:r/>
    </w:p>
    <w:p>
      <w:pPr>
        <w:pStyle w:val="1055"/>
        <w:jc w:val="left"/>
        <w:widowControl/>
        <w:rPr>
          <w:rFonts w:hint="eastAsia" w:ascii="宋体" w:hAnsi="宋体" w:cs="宋体"/>
          <w:bCs/>
          <w:color w:val="000000"/>
          <w:sz w:val="22"/>
          <w:szCs w:val="22"/>
          <w:highlight w:val="none"/>
        </w:rPr>
      </w:pPr>
      <w:r>
        <w:rPr>
          <w:rFonts w:hint="eastAsia" w:ascii="宋体" w:hAnsi="宋体" w:cs="宋体"/>
          <w:color w:val="000000"/>
          <w:sz w:val="22"/>
          <w:szCs w:val="22"/>
          <w:highlight w:val="none"/>
        </w:rPr>
        <w:br w:type="page" w:clear="all"/>
      </w:r>
      <w:r>
        <w:rPr>
          <w:rFonts w:hint="eastAsia" w:ascii="宋体" w:hAnsi="宋体" w:cs="宋体"/>
          <w:bCs/>
          <w:color w:val="000000"/>
          <w:sz w:val="22"/>
          <w:szCs w:val="22"/>
          <w:highlight w:val="none"/>
        </w:rPr>
      </w:r>
      <w:r/>
    </w:p>
    <w:p>
      <w:pPr>
        <w:pStyle w:val="1055"/>
        <w:ind w:firstLine="480"/>
        <w:keepLines/>
        <w:keepNext/>
        <w:spacing w:before="120" w:after="60"/>
        <w:rPr>
          <w:rFonts w:hint="eastAsia" w:ascii="宋体" w:hAnsi="宋体" w:cs="宋体"/>
          <w:bCs/>
          <w:color w:val="000000"/>
          <w:sz w:val="22"/>
          <w:szCs w:val="22"/>
          <w:highlight w:val="none"/>
        </w:rPr>
        <w:outlineLvl w:val="1"/>
      </w:pPr>
      <w:r>
        <w:rPr>
          <w:rFonts w:hint="eastAsia" w:ascii="宋体" w:hAnsi="宋体" w:cs="宋体"/>
          <w:bCs/>
          <w:color w:val="000000"/>
          <w:sz w:val="22"/>
          <w:szCs w:val="22"/>
          <w:highlight w:val="none"/>
        </w:rPr>
        <w:t xml:space="preserve">附件六：安全协议书</w:t>
      </w:r>
      <w:r>
        <w:rPr>
          <w:rFonts w:hint="eastAsia" w:ascii="宋体" w:hAnsi="宋体" w:cs="宋体"/>
          <w:bCs/>
          <w:color w:val="000000"/>
          <w:sz w:val="22"/>
          <w:szCs w:val="22"/>
          <w:highlight w:val="none"/>
        </w:rPr>
      </w:r>
      <w:r/>
    </w:p>
    <w:p>
      <w:pPr>
        <w:pStyle w:val="1055"/>
        <w:jc w:val="center"/>
        <w:spacing w:before="120" w:after="120" w:line="440" w:lineRule="exac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安全协议书</w:t>
      </w:r>
      <w:r>
        <w:rPr>
          <w:rFonts w:hint="eastAsia" w:ascii="宋体" w:hAnsi="宋体" w:cs="宋体"/>
          <w:b/>
          <w:bCs/>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甲方（全称）：江苏省公共工程建设中心有限公司</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乙方（全称）：</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为认真贯彻“安全第一，预防为主，综合治理”的方针，加强建设工程施工现场安全生产管理，依照《中华人民共和国安全生产法》、《中华人民共和国劳动法》、《建设工程安全生产管理条例》等有关规定，双方本着平等、自愿的原则，签订本协议。</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一、目标和任务</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统筹项目建设和安全，聚焦“查大问题、除大隐患、防大事故”，持续排查整治安全隐患，健全安全责任体系，夯实安全生产工作基础，杜绝重特大事故，遏制较大事故，集中整治突出问题隐患，全力压减一般事故。</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二、甲方权利义务</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w:t>
      </w:r>
      <w:r>
        <w:rPr>
          <w:rFonts w:hint="eastAsia" w:ascii="宋体" w:hAnsi="宋体" w:cs="宋体"/>
          <w:color w:val="000000"/>
          <w:sz w:val="22"/>
          <w:szCs w:val="22"/>
          <w:highlight w:val="none"/>
        </w:rPr>
        <w:tab/>
      </w:r>
      <w:r>
        <w:rPr>
          <w:rFonts w:hint="eastAsia" w:ascii="宋体" w:hAnsi="宋体" w:cs="宋体"/>
          <w:color w:val="000000"/>
          <w:sz w:val="22"/>
          <w:szCs w:val="22"/>
          <w:highlight w:val="none"/>
        </w:rPr>
        <w:t xml:space="preserve">严格遵守国家有关安全生产的法律法规，贯彻执行国家相关方针政策，依法履行本建设工程建设单位安全生产主体责任。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（二）甲方有权审查乙方施工资质及安全生产信誉度。</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甲方有权对乙方进行不定期的安全生产监督检查，包括委托第三方单位对乙方进行安全生产监督检查，对发现的问题和存在的隐患有权要求乙方限期整改和消除隐患；对逾期不整改或整改不到位不彻底的，甲方有权责令乙方暂停施工并限期整改到位，停工损失及工期延误由乙方承担。对拒不履行整改意见或再次逾期整改的，甲方有权单方面终止与乙方的工程合同，一切责任均由乙方承担。</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（四）甲方有义务对乙方进行安全生产职责告知。</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三、乙方权利义务</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（一）严格遵守国家安全生产的法律法规，贯彻执行国家相关方针政策及甲方各项安全管理制度，依法履行本建设工程安全生产主体责任。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加强施工现场职业健康管理（包括职业健康体检管理、职业病危害防治、宣传教育培训、职业危害防护设施、从业人员职业健康监护档案等），预防、控制、消除职业病危害，控制作业环境的职业危害因素，保护从业人员身体健康。</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（四）健全并落实施工现场事故隐患排查治理制度，排查检测、监测工作存在的安全隐患和安全管理中的微弱环节，采取针对性措施, 消除施工安全事故隐患。</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五）乙方参加检测的人员，必须接受安全技术教育，熟知和遵守本工种的各项安全技术操作规程，定期进行安全技术考核，合格者方准上岗操作。检测现场如出现特种作业无证操作现象时，项目负责人必须承担管理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（六）操作人员上岗，必须按规定穿戴防护用品。项目负责人和安全检查员应随时检查劳动防护用品的穿戴情况，不按规定穿戴防护用品的人员不得上岗。</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（七）所有检测设备均应定期检查，并有安全员的签字记录，保证其经常处于完好状态；不合格的设备和劳动保护用品严禁使用。</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（八）检测中采用新技术、新工艺、新设备、新材料时，必须制定相应的安全技术措施，检测现场必须具有相关的安全标记牌。</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（九）乙方负责检测的项目及设施在检测期间发生对第三方或甲方的人身财产损害的，由乙方承担一切赔偿责任。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（十）乙方须建立安全管理台帐，接受甲方及上级有关部门检查。</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（十一）做好安全生产法律法规规定的其他工作。</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四、违约责任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本协议所确定安全职责双方均应严格遵守和履行，对发生在各自职责范围内的安全事故由责任方承担全部责任，因此而给对方造成损失的，由责任方负责赔偿。乙方原因造成的安全事故给甲方名誉造成损失的，甲方将追究乙方的责任。</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五、法律效力</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本协议书作为附件，与《建设工程检测技术服务合同》或《建设工程监测技术服务合同》同时签署，且具有同等法律效力。</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对本协议所确定安全生产职责双方均应严格遵守和履行，对发生在各自职责范围内的安全生产事故由责任方承担全部责任，因此而给对方造成损失的，由责任方负责赔偿。</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六、本协议有效期为双方签署之日起至该检测或监测项目全部结算完毕时止。</w:t>
      </w:r>
      <w:r>
        <w:rPr>
          <w:rFonts w:hint="eastAsia" w:ascii="宋体" w:hAnsi="宋体" w:cs="宋体"/>
          <w:color w:val="000000"/>
          <w:sz w:val="22"/>
          <w:szCs w:val="22"/>
          <w:highlight w:val="none"/>
        </w:rPr>
      </w:r>
      <w:r/>
    </w:p>
    <w:p>
      <w:pPr>
        <w:pStyle w:val="1055"/>
        <w:ind w:firstLine="48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八、本协议一式陆份，甲方执肆份，乙方执贰份。</w:t>
      </w:r>
      <w:r>
        <w:rPr>
          <w:rFonts w:hint="eastAsia" w:ascii="宋体" w:hAnsi="宋体" w:cs="宋体"/>
          <w:color w:val="000000"/>
          <w:sz w:val="22"/>
          <w:szCs w:val="22"/>
          <w:highlight w:val="none"/>
        </w:rPr>
      </w:r>
      <w:r/>
    </w:p>
    <w:p>
      <w:pPr>
        <w:pStyle w:val="1055"/>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bl>
      <w:tblPr>
        <w:tblW w:w="9226" w:type="dxa"/>
        <w:tblInd w:w="-108" w:type="dxa"/>
        <w:tblLayout w:type="fixed"/>
        <w:tblCellMar>
          <w:left w:w="108" w:type="dxa"/>
          <w:top w:w="0" w:type="dxa"/>
          <w:right w:w="108" w:type="dxa"/>
          <w:bottom w:w="0" w:type="dxa"/>
        </w:tblCellMar>
        <w:tblLook w:val="04A0" w:firstRow="1" w:lastRow="0" w:firstColumn="1" w:lastColumn="0" w:noHBand="0" w:noVBand="1"/>
      </w:tblPr>
      <w:tblGrid>
        <w:gridCol w:w="4721"/>
        <w:gridCol w:w="4505"/>
      </w:tblGrid>
      <w:tr>
        <w:trPr>
          <w:trHeight w:val="567"/>
        </w:trPr>
        <w:tc>
          <w:tcPr>
            <w:tcBorders>
              <w:top w:val="none" w:color="000000" w:sz="0" w:space="0"/>
              <w:left w:val="none" w:color="000000" w:sz="0" w:space="0"/>
              <w:bottom w:val="none" w:color="000000" w:sz="0" w:space="0"/>
              <w:right w:val="none" w:color="000000" w:sz="0" w:space="0"/>
            </w:tcBorders>
            <w:tcW w:w="4721" w:type="dxa"/>
            <w:vAlign w:val="top"/>
            <w:textDirection w:val="lrTb"/>
            <w:noWrap w:val="false"/>
          </w:tcPr>
          <w:p>
            <w:pPr>
              <w:pStyle w:val="1055"/>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    方：（公章）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505" w:type="dxa"/>
            <w:vAlign w:val="top"/>
            <w:textDirection w:val="lrTb"/>
            <w:noWrap w:val="false"/>
          </w:tcPr>
          <w:p>
            <w:pPr>
              <w:pStyle w:val="1055"/>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    方：（公章）</w:t>
            </w:r>
            <w:r>
              <w:rPr>
                <w:rFonts w:hint="eastAsia" w:ascii="宋体" w:hAnsi="宋体" w:cs="宋体"/>
                <w:color w:val="000000"/>
                <w:sz w:val="22"/>
                <w:szCs w:val="22"/>
                <w:highlight w:val="none"/>
              </w:rPr>
            </w:r>
            <w:r/>
          </w:p>
        </w:tc>
      </w:tr>
      <w:tr>
        <w:trPr>
          <w:trHeight w:val="567"/>
        </w:trPr>
        <w:tc>
          <w:tcPr>
            <w:tcBorders>
              <w:top w:val="none" w:color="000000" w:sz="0" w:space="0"/>
              <w:left w:val="none" w:color="000000" w:sz="0" w:space="0"/>
              <w:bottom w:val="none" w:color="000000" w:sz="0" w:space="0"/>
              <w:right w:val="none" w:color="000000" w:sz="0" w:space="0"/>
            </w:tcBorders>
            <w:tcW w:w="4721" w:type="dxa"/>
            <w:vAlign w:val="top"/>
            <w:textDirection w:val="lrTb"/>
            <w:noWrap w:val="false"/>
          </w:tcPr>
          <w:p>
            <w:pPr>
              <w:pStyle w:val="1055"/>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505" w:type="dxa"/>
            <w:vAlign w:val="top"/>
            <w:textDirection w:val="lrTb"/>
            <w:noWrap w:val="false"/>
          </w:tcPr>
          <w:p>
            <w:pPr>
              <w:pStyle w:val="1055"/>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法定代表人：（签字或盖章）</w:t>
            </w:r>
            <w:r>
              <w:rPr>
                <w:rFonts w:hint="eastAsia" w:ascii="宋体" w:hAnsi="宋体" w:cs="宋体"/>
                <w:color w:val="000000"/>
                <w:sz w:val="22"/>
                <w:szCs w:val="22"/>
                <w:highlight w:val="none"/>
              </w:rPr>
            </w:r>
            <w:r/>
          </w:p>
        </w:tc>
      </w:tr>
      <w:tr>
        <w:trPr>
          <w:trHeight w:val="567"/>
        </w:trPr>
        <w:tc>
          <w:tcPr>
            <w:tcBorders>
              <w:top w:val="none" w:color="000000" w:sz="0" w:space="0"/>
              <w:left w:val="none" w:color="000000" w:sz="0" w:space="0"/>
              <w:bottom w:val="none" w:color="000000" w:sz="0" w:space="0"/>
              <w:right w:val="none" w:color="000000" w:sz="0" w:space="0"/>
            </w:tcBorders>
            <w:tcW w:w="4721" w:type="dxa"/>
            <w:vAlign w:val="top"/>
            <w:textDirection w:val="lrTb"/>
            <w:noWrap w:val="false"/>
          </w:tcPr>
          <w:p>
            <w:pPr>
              <w:pStyle w:val="1055"/>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期：年  月  日</w:t>
            </w:r>
            <w:r>
              <w:rPr>
                <w:rFonts w:hint="eastAsia" w:ascii="宋体" w:hAnsi="宋体" w:cs="宋体"/>
                <w:color w:val="000000"/>
                <w:sz w:val="22"/>
                <w:szCs w:val="22"/>
                <w:highlight w:val="none"/>
              </w:rPr>
            </w:r>
            <w:r/>
          </w:p>
        </w:tc>
        <w:tc>
          <w:tcPr>
            <w:tcBorders>
              <w:top w:val="none" w:color="000000" w:sz="0" w:space="0"/>
              <w:left w:val="none" w:color="000000" w:sz="0" w:space="0"/>
              <w:bottom w:val="none" w:color="000000" w:sz="0" w:space="0"/>
              <w:right w:val="none" w:color="000000" w:sz="0" w:space="0"/>
            </w:tcBorders>
            <w:tcW w:w="4505" w:type="dxa"/>
            <w:vAlign w:val="top"/>
            <w:textDirection w:val="lrTb"/>
            <w:noWrap w:val="false"/>
          </w:tcPr>
          <w:p>
            <w:pPr>
              <w:pStyle w:val="1055"/>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期：年  月  日</w:t>
            </w:r>
            <w:r>
              <w:rPr>
                <w:rFonts w:hint="eastAsia" w:ascii="宋体" w:hAnsi="宋体" w:cs="宋体"/>
                <w:color w:val="000000"/>
                <w:sz w:val="22"/>
                <w:szCs w:val="22"/>
                <w:highlight w:val="none"/>
              </w:rPr>
            </w:r>
            <w:r/>
          </w:p>
        </w:tc>
      </w:tr>
    </w:tbl>
    <w:p>
      <w:pPr>
        <w:pStyle w:val="1055"/>
        <w:spacing w:line="360" w:lineRule="auto"/>
        <w:tabs>
          <w:tab w:val="left" w:pos="720" w:leader="none"/>
          <w:tab w:val="left" w:pos="468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55"/>
        <w:numPr>
          <w:ilvl w:val="0"/>
          <w:numId w:val="0"/>
        </w:numPr>
        <w:ind w:firstLine="480"/>
        <w:keepLines w:val="0"/>
        <w:keepNext w:val="0"/>
        <w:pageBreakBefore w:val="0"/>
        <w:spacing w:line="240" w:lineRule="auto"/>
        <w:widowControl w:val="off"/>
        <w:rPr>
          <w:rFonts w:ascii="Arial" w:hAnsi="Arial" w:cs="Arial"/>
          <w:b w:val="0"/>
          <w:i w:val="0"/>
          <w:caps w:val="0"/>
          <w:color w:val="000000"/>
          <w:spacing w:val="0"/>
          <w:sz w:val="24"/>
          <w:szCs w:val="24"/>
          <w:highlight w:val="none"/>
          <w:shd w:val="clear" w:color="auto" w:fill="auto"/>
          <w:lang w:val="en-US" w:eastAsia="zh-CN"/>
        </w:rPr>
      </w:pPr>
      <w:r>
        <w:rPr>
          <w:rFonts w:ascii="Arial" w:hAnsi="Arial" w:cs="Arial"/>
          <w:b w:val="0"/>
          <w:i w:val="0"/>
          <w:caps w:val="0"/>
          <w:color w:val="000000"/>
          <w:spacing w:val="0"/>
          <w:sz w:val="24"/>
          <w:szCs w:val="24"/>
          <w:highlight w:val="none"/>
          <w:shd w:val="clear" w:color="auto" w:fill="auto"/>
          <w:lang w:val="en-US" w:eastAsia="zh-CN"/>
        </w:rPr>
      </w:r>
      <w:r/>
    </w:p>
    <w:p>
      <w:pPr>
        <w:pStyle w:val="1055"/>
        <w:keepLines w:val="0"/>
        <w:keepNext w:val="0"/>
        <w:pageBreakBefore w:val="0"/>
        <w:spacing w:line="240" w:lineRule="auto"/>
        <w:widowControl w:val="off"/>
        <w:rPr>
          <w:rFonts w:ascii="Arial" w:hAnsi="Arial" w:cs="Arial"/>
          <w:color w:val="000000"/>
          <w:highlight w:val="none"/>
          <w:lang w:val="en-US" w:eastAsia="zh-CN"/>
        </w:rPr>
        <w:sectPr>
          <w:footerReference w:type="default" r:id="rId15"/>
          <w:footnotePr/>
          <w:endnotePr/>
          <w:type w:val="continuous"/>
          <w:pgSz w:w="11906" w:h="16838" w:orient="portrait"/>
          <w:pgMar w:top="1440" w:right="1797" w:bottom="1440" w:left="1797" w:header="851" w:footer="794" w:gutter="0"/>
          <w:pgNumType w:start="1"/>
          <w:cols w:num="1" w:sep="0" w:space="1701" w:equalWidth="1"/>
          <w:docGrid w:linePitch="360"/>
        </w:sectPr>
      </w:pPr>
      <w:r>
        <w:rPr>
          <w:rFonts w:ascii="Arial" w:hAnsi="Arial" w:cs="Arial"/>
          <w:color w:val="000000"/>
          <w:highlight w:val="none"/>
          <w:lang w:val="en-US" w:eastAsia="zh-CN"/>
        </w:rPr>
        <w:br w:type="page" w:clear="all"/>
      </w:r>
      <w:r/>
    </w:p>
    <w:p>
      <w:pPr>
        <w:pStyle w:val="1134"/>
        <w:rPr>
          <w:rFonts w:ascii="Arial" w:hAnsi="Arial" w:cs="Arial"/>
          <w:color w:val="000000"/>
          <w:highlight w:val="none"/>
          <w:lang w:val="en-US"/>
        </w:rPr>
      </w:pPr>
      <w:r/>
      <w:bookmarkEnd w:id="39"/>
      <w:r/>
      <w:bookmarkEnd w:id="40"/>
      <w:r/>
      <w:bookmarkEnd w:id="41"/>
      <w:r/>
      <w:bookmarkStart w:id="60" w:name="_Toc534273675"/>
      <w:r/>
      <w:bookmarkStart w:id="61" w:name="_Toc504573082"/>
      <w:r/>
      <w:bookmarkStart w:id="62" w:name="_Toc534273798"/>
      <w:r>
        <w:rPr>
          <w:rFonts w:ascii="Arial" w:hAnsi="Arial" w:cs="Arial"/>
          <w:color w:val="000000"/>
          <w:highlight w:val="none"/>
          <w:lang w:val="zh-CN"/>
        </w:rPr>
        <w:t xml:space="preserve"> </w:t>
      </w:r>
      <w:bookmarkStart w:id="63" w:name="_Toc10404"/>
      <w:r>
        <w:rPr>
          <w:rFonts w:ascii="Arial" w:hAnsi="Arial" w:cs="Arial"/>
          <w:color w:val="000000"/>
          <w:highlight w:val="none"/>
          <w:lang w:val="zh-CN"/>
        </w:rPr>
        <w:t xml:space="preserve">第六章  </w:t>
      </w:r>
      <w:bookmarkEnd w:id="60"/>
      <w:r/>
      <w:bookmarkEnd w:id="61"/>
      <w:r/>
      <w:bookmarkEnd w:id="62"/>
      <w:r>
        <w:rPr>
          <w:rFonts w:hint="eastAsia" w:ascii="Arial" w:hAnsi="宋体" w:eastAsia="宋体" w:cs="Arial"/>
          <w:color w:val="000000"/>
          <w:szCs w:val="21"/>
          <w:highlight w:val="none"/>
          <w:lang w:val="en-US" w:eastAsia="zh-CN"/>
        </w:rPr>
        <w:t xml:space="preserve">磋商响应文件格式及附件</w:t>
      </w:r>
      <w:bookmarkEnd w:id="63"/>
      <w:r>
        <w:rPr>
          <w:rFonts w:ascii="Arial" w:hAnsi="Arial" w:cs="Arial"/>
          <w:color w:val="000000"/>
          <w:highlight w:val="none"/>
          <w:lang w:val="en-US"/>
        </w:rPr>
      </w:r>
      <w:r/>
    </w:p>
    <w:p>
      <w:pPr>
        <w:pStyle w:val="1055"/>
        <w:spacing w:line="440" w:lineRule="exact"/>
        <w:rPr>
          <w:rFonts w:ascii="Arial" w:hAnsi="Arial" w:cs="Arial"/>
          <w:color w:val="000000"/>
          <w:sz w:val="20"/>
          <w:highlight w:val="none"/>
        </w:rPr>
      </w:pPr>
      <w:r>
        <w:rPr>
          <w:rFonts w:ascii="Arial" w:hAnsi="Arial" w:cs="Arial"/>
          <w:color w:val="000000"/>
          <w:sz w:val="20"/>
          <w:highlight w:val="none"/>
        </w:rPr>
      </w:r>
      <w:r/>
    </w:p>
    <w:p>
      <w:pPr>
        <w:pStyle w:val="1055"/>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1055"/>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1055"/>
        <w:spacing w:line="440" w:lineRule="exact"/>
        <w:rPr>
          <w:rFonts w:ascii="Arial" w:hAnsi="Arial" w:cs="Arial"/>
          <w:color w:val="000000"/>
          <w:sz w:val="20"/>
          <w:highlight w:val="none"/>
        </w:rPr>
      </w:pPr>
      <w:r>
        <w:rPr>
          <w:rFonts w:ascii="Arial" w:hAnsi="Arial" w:cs="Arial"/>
          <w:color w:val="000000"/>
          <w:sz w:val="20"/>
          <w:highlight w:val="none"/>
        </w:rPr>
      </w:r>
      <w:r/>
    </w:p>
    <w:p>
      <w:pPr>
        <w:pStyle w:val="1055"/>
        <w:spacing w:line="440" w:lineRule="exact"/>
        <w:rPr>
          <w:rFonts w:ascii="Arial" w:hAnsi="Arial" w:cs="Arial"/>
          <w:color w:val="000000"/>
          <w:sz w:val="20"/>
          <w:highlight w:val="none"/>
        </w:rPr>
      </w:pPr>
      <w:r>
        <w:rPr>
          <w:rFonts w:ascii="Arial" w:hAnsi="Arial" w:cs="Arial"/>
          <w:color w:val="000000"/>
          <w:sz w:val="20"/>
          <w:highlight w:val="none"/>
        </w:rPr>
      </w:r>
      <w:r/>
    </w:p>
    <w:p>
      <w:pPr>
        <w:pStyle w:val="1055"/>
        <w:spacing w:line="440" w:lineRule="exact"/>
        <w:rPr>
          <w:rFonts w:ascii="Arial" w:hAnsi="Arial" w:cs="Arial"/>
          <w:color w:val="000000"/>
          <w:sz w:val="20"/>
          <w:highlight w:val="none"/>
        </w:rPr>
      </w:pPr>
      <w:r>
        <w:rPr>
          <w:rFonts w:ascii="Arial" w:hAnsi="Arial" w:cs="Arial"/>
          <w:color w:val="000000"/>
          <w:sz w:val="20"/>
          <w:highlight w:val="none"/>
        </w:rPr>
      </w:r>
      <w:r/>
    </w:p>
    <w:p>
      <w:pPr>
        <w:pStyle w:val="1055"/>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1055"/>
        <w:jc w:val="center"/>
        <w:rPr>
          <w:rFonts w:ascii="Arial" w:hAnsi="Arial" w:cs="Arial"/>
          <w:color w:val="000000"/>
          <w:sz w:val="20"/>
          <w:highlight w:val="none"/>
        </w:rPr>
      </w:pPr>
      <w:r>
        <w:rPr>
          <w:rFonts w:hint="eastAsia" w:ascii="Arial" w:hAnsi="Arial" w:eastAsia="黑体" w:cs="Arial"/>
          <w:b/>
          <w:bCs/>
          <w:color w:val="000000"/>
          <w:sz w:val="48"/>
          <w:szCs w:val="48"/>
          <w:highlight w:val="none"/>
          <w:lang w:eastAsia="zh-CN"/>
        </w:rPr>
        <w:t xml:space="preserve">湖南路道路市政设施恢复工程既有地下空间结构影响专项监测项目</w:t>
      </w:r>
      <w:r>
        <w:rPr>
          <w:rFonts w:ascii="Arial" w:hAnsi="Arial" w:cs="Arial"/>
          <w:color w:val="000000"/>
          <w:sz w:val="20"/>
          <w:highlight w:val="none"/>
        </w:rPr>
      </w:r>
      <w:r/>
    </w:p>
    <w:p>
      <w:pPr>
        <w:pStyle w:val="1055"/>
        <w:jc w:val="center"/>
        <w:rPr>
          <w:rFonts w:ascii="Arial" w:hAnsi="Arial" w:cs="Arial"/>
          <w:color w:val="000000"/>
          <w:sz w:val="20"/>
          <w:highlight w:val="none"/>
        </w:rPr>
      </w:pPr>
      <w:r>
        <w:rPr>
          <w:rFonts w:ascii="Arial" w:hAnsi="Arial" w:cs="Arial"/>
          <w:color w:val="000000"/>
          <w:sz w:val="20"/>
          <w:highlight w:val="none"/>
        </w:rPr>
      </w:r>
      <w:r/>
    </w:p>
    <w:p>
      <w:pPr>
        <w:pStyle w:val="1055"/>
        <w:jc w:val="center"/>
        <w:rPr>
          <w:rFonts w:ascii="Arial" w:hAnsi="Arial" w:cs="Arial"/>
          <w:color w:val="000000"/>
          <w:sz w:val="20"/>
          <w:highlight w:val="none"/>
        </w:rPr>
      </w:pPr>
      <w:r>
        <w:rPr>
          <w:rFonts w:ascii="Arial" w:hAnsi="Arial" w:cs="Arial"/>
          <w:color w:val="000000"/>
          <w:sz w:val="20"/>
          <w:highlight w:val="none"/>
        </w:rPr>
      </w:r>
      <w:r/>
    </w:p>
    <w:p>
      <w:pPr>
        <w:pStyle w:val="1055"/>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1055"/>
        <w:rPr>
          <w:rFonts w:ascii="Arial" w:hAnsi="Arial" w:cs="Arial"/>
          <w:color w:val="000000"/>
          <w:sz w:val="28"/>
          <w:szCs w:val="28"/>
          <w:highlight w:val="none"/>
        </w:rPr>
      </w:pPr>
      <w:r>
        <w:rPr>
          <w:rFonts w:ascii="Arial" w:hAnsi="Arial" w:cs="Arial"/>
          <w:color w:val="000000"/>
          <w:sz w:val="28"/>
          <w:szCs w:val="28"/>
          <w:highlight w:val="none"/>
        </w:rPr>
      </w:r>
      <w:r/>
    </w:p>
    <w:p>
      <w:pPr>
        <w:pStyle w:val="1055"/>
        <w:rPr>
          <w:rFonts w:ascii="Arial" w:hAnsi="Arial" w:cs="Arial"/>
          <w:color w:val="000000"/>
          <w:sz w:val="28"/>
          <w:szCs w:val="28"/>
          <w:highlight w:val="none"/>
        </w:rPr>
      </w:pPr>
      <w:r>
        <w:rPr>
          <w:rFonts w:ascii="Arial" w:hAnsi="Arial" w:cs="Arial"/>
          <w:color w:val="000000"/>
          <w:sz w:val="28"/>
          <w:szCs w:val="28"/>
          <w:highlight w:val="none"/>
        </w:rPr>
      </w:r>
      <w:r/>
    </w:p>
    <w:p>
      <w:pPr>
        <w:pStyle w:val="1055"/>
        <w:rPr>
          <w:rFonts w:ascii="Arial" w:hAnsi="Arial" w:cs="Arial"/>
          <w:color w:val="000000"/>
          <w:sz w:val="28"/>
          <w:szCs w:val="28"/>
          <w:highlight w:val="none"/>
        </w:rPr>
      </w:pPr>
      <w:r>
        <w:rPr>
          <w:rFonts w:ascii="Arial" w:hAnsi="Arial" w:cs="Arial"/>
          <w:color w:val="000000"/>
          <w:sz w:val="28"/>
          <w:szCs w:val="28"/>
          <w:highlight w:val="none"/>
        </w:rPr>
      </w:r>
      <w:r/>
    </w:p>
    <w:p>
      <w:pPr>
        <w:pStyle w:val="1055"/>
        <w:rPr>
          <w:rFonts w:ascii="Arial" w:hAnsi="Arial" w:cs="Arial"/>
          <w:color w:val="000000"/>
          <w:sz w:val="28"/>
          <w:szCs w:val="28"/>
          <w:highlight w:val="none"/>
        </w:rPr>
      </w:pPr>
      <w:r>
        <w:rPr>
          <w:rFonts w:ascii="Arial" w:hAnsi="Arial" w:cs="Arial"/>
          <w:color w:val="000000"/>
          <w:sz w:val="28"/>
          <w:szCs w:val="28"/>
          <w:highlight w:val="none"/>
        </w:rPr>
      </w:r>
      <w:r/>
    </w:p>
    <w:p>
      <w:pPr>
        <w:pStyle w:val="1055"/>
        <w:rPr>
          <w:rFonts w:ascii="Arial" w:hAnsi="Arial" w:cs="Arial"/>
          <w:color w:val="000000"/>
          <w:sz w:val="28"/>
          <w:szCs w:val="28"/>
          <w:highlight w:val="none"/>
        </w:rPr>
      </w:pPr>
      <w:r>
        <w:rPr>
          <w:rFonts w:ascii="Arial" w:hAnsi="Arial" w:cs="Arial"/>
          <w:color w:val="000000"/>
          <w:sz w:val="28"/>
          <w:szCs w:val="28"/>
          <w:highlight w:val="none"/>
        </w:rPr>
      </w:r>
      <w:r/>
    </w:p>
    <w:p>
      <w:pPr>
        <w:pStyle w:val="1055"/>
        <w:rPr>
          <w:rFonts w:ascii="Arial" w:hAnsi="Arial" w:cs="Arial"/>
          <w:color w:val="000000"/>
          <w:sz w:val="28"/>
          <w:szCs w:val="28"/>
          <w:highlight w:val="none"/>
        </w:rPr>
      </w:pPr>
      <w:r>
        <w:rPr>
          <w:rFonts w:ascii="Arial" w:hAnsi="Arial" w:cs="Arial"/>
          <w:color w:val="000000"/>
          <w:sz w:val="28"/>
          <w:szCs w:val="28"/>
          <w:highlight w:val="none"/>
        </w:rPr>
      </w:r>
      <w:r/>
    </w:p>
    <w:p>
      <w:pPr>
        <w:pStyle w:val="1055"/>
        <w:rPr>
          <w:rFonts w:ascii="Arial" w:hAnsi="Arial" w:cs="Arial"/>
          <w:color w:val="000000"/>
          <w:sz w:val="28"/>
          <w:szCs w:val="28"/>
          <w:highlight w:val="none"/>
        </w:rPr>
      </w:pPr>
      <w:r>
        <w:rPr>
          <w:rFonts w:ascii="Arial" w:hAnsi="Arial" w:cs="Arial"/>
          <w:color w:val="000000"/>
          <w:sz w:val="28"/>
          <w:szCs w:val="28"/>
          <w:highlight w:val="none"/>
        </w:rPr>
      </w:r>
      <w:r/>
    </w:p>
    <w:p>
      <w:pPr>
        <w:pStyle w:val="1055"/>
        <w:rPr>
          <w:rFonts w:ascii="Arial" w:hAnsi="Arial" w:cs="Arial"/>
          <w:color w:val="000000"/>
          <w:sz w:val="28"/>
          <w:szCs w:val="28"/>
          <w:highlight w:val="none"/>
        </w:rPr>
      </w:pPr>
      <w:r>
        <w:rPr>
          <w:rFonts w:ascii="Arial" w:hAnsi="Arial" w:cs="Arial"/>
          <w:color w:val="000000"/>
          <w:sz w:val="28"/>
          <w:szCs w:val="28"/>
          <w:highlight w:val="none"/>
        </w:rPr>
      </w:r>
      <w:r/>
    </w:p>
    <w:p>
      <w:pPr>
        <w:pStyle w:val="1055"/>
        <w:rPr>
          <w:rFonts w:ascii="Arial" w:hAnsi="Arial" w:cs="Arial"/>
          <w:color w:val="000000"/>
          <w:sz w:val="28"/>
          <w:szCs w:val="28"/>
          <w:highlight w:val="none"/>
        </w:rPr>
      </w:pPr>
      <w:r>
        <w:rPr>
          <w:rFonts w:ascii="Arial" w:hAnsi="Arial" w:cs="Arial"/>
          <w:color w:val="000000"/>
          <w:sz w:val="28"/>
          <w:szCs w:val="28"/>
          <w:highlight w:val="none"/>
        </w:rPr>
      </w:r>
      <w:r/>
    </w:p>
    <w:p>
      <w:pPr>
        <w:pStyle w:val="1055"/>
        <w:jc w:val="center"/>
        <w:rPr>
          <w:rFonts w:ascii="Arial" w:hAnsi="Arial" w:cs="Arial"/>
          <w:color w:val="000000"/>
          <w:sz w:val="28"/>
          <w:szCs w:val="28"/>
          <w:highlight w:val="none"/>
        </w:rPr>
      </w:pPr>
      <w:r>
        <w:rPr>
          <w:rFonts w:ascii="Arial" w:hAnsi="Arial" w:cs="Arial"/>
          <w:color w:val="000000"/>
          <w:sz w:val="28"/>
          <w:szCs w:val="28"/>
          <w:highlight w:val="none"/>
        </w:rPr>
        <w:t xml:space="preserve">供应商：（</w:t>
      </w:r>
      <w:r>
        <w:rPr>
          <w:rFonts w:hint="eastAsia" w:ascii="Arial" w:hAnsi="Arial" w:cs="Arial"/>
          <w:color w:val="000000"/>
          <w:sz w:val="28"/>
          <w:szCs w:val="28"/>
          <w:highlight w:val="none"/>
          <w:lang w:val="en-US" w:eastAsia="zh-CN"/>
        </w:rPr>
        <w:t xml:space="preserve">加盖电子公章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1055"/>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1055"/>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1055"/>
        <w:jc w:val="both"/>
        <w:rPr>
          <w:b/>
          <w:color w:val="000000"/>
          <w:highlight w:val="none"/>
        </w:rPr>
      </w:pPr>
      <w:r>
        <w:rPr>
          <w:rFonts w:ascii="Arial" w:hAnsi="Arial" w:cs="Arial"/>
          <w:b/>
          <w:bCs/>
          <w:color w:val="000000"/>
          <w:sz w:val="24"/>
          <w:highlight w:val="none"/>
        </w:rPr>
        <w:br w:type="page" w:clear="all"/>
      </w:r>
      <w:bookmarkStart w:id="64" w:name="_Toc490133028"/>
      <w:r/>
      <w:bookmarkStart w:id="65" w:name="_Toc534273677"/>
      <w:r/>
      <w:bookmarkStart w:id="66" w:name="_Toc504044380"/>
      <w:r/>
      <w:bookmarkStart w:id="67" w:name="_Toc504056868"/>
      <w:r/>
      <w:bookmarkStart w:id="68" w:name="_Toc504573083"/>
      <w:r/>
      <w:bookmarkStart w:id="69" w:name="_Toc534273800"/>
      <w:r>
        <w:rPr>
          <w:b/>
          <w:color w:val="000000"/>
          <w:highlight w:val="none"/>
        </w:rPr>
        <w:t xml:space="preserve">附件一、竞争性磋商申请及声明</w:t>
      </w:r>
      <w:bookmarkEnd w:id="64"/>
      <w:r/>
      <w:bookmarkEnd w:id="65"/>
      <w:r/>
      <w:bookmarkEnd w:id="66"/>
      <w:r/>
      <w:bookmarkEnd w:id="67"/>
      <w:r/>
      <w:bookmarkEnd w:id="68"/>
      <w:r/>
      <w:bookmarkEnd w:id="69"/>
      <w:r>
        <w:rPr>
          <w:b/>
          <w:color w:val="000000"/>
          <w:highlight w:val="none"/>
        </w:rPr>
      </w:r>
      <w:r/>
    </w:p>
    <w:p>
      <w:pPr>
        <w:pStyle w:val="1055"/>
        <w:rPr>
          <w:rFonts w:ascii="Arial" w:hAnsi="Arial" w:cs="Arial"/>
          <w:color w:val="000000"/>
          <w:szCs w:val="21"/>
          <w:highlight w:val="none"/>
          <w:lang w:val="zh-CN"/>
        </w:rPr>
      </w:pPr>
      <w:r>
        <w:rPr>
          <w:rFonts w:ascii="Arial" w:hAnsi="Arial" w:cs="Arial"/>
          <w:color w:val="000000"/>
          <w:szCs w:val="21"/>
          <w:highlight w:val="none"/>
          <w:lang w:val="zh-CN"/>
        </w:rPr>
      </w:r>
      <w:r/>
    </w:p>
    <w:p>
      <w:pPr>
        <w:pStyle w:val="1055"/>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1055"/>
        <w:jc w:val="center"/>
        <w:rPr>
          <w:rFonts w:ascii="Arial" w:hAnsi="Arial" w:cs="Arial"/>
          <w:color w:val="000000"/>
          <w:szCs w:val="21"/>
          <w:highlight w:val="none"/>
        </w:rPr>
      </w:pPr>
      <w:r>
        <w:rPr>
          <w:rFonts w:ascii="Arial" w:hAnsi="Arial" w:cs="Arial"/>
          <w:color w:val="000000"/>
          <w:szCs w:val="21"/>
          <w:highlight w:val="none"/>
        </w:rPr>
      </w:r>
      <w:r/>
    </w:p>
    <w:p>
      <w:pPr>
        <w:pStyle w:val="105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致：江苏省设备成套股份有限公司</w:t>
      </w:r>
      <w:r>
        <w:rPr>
          <w:rFonts w:ascii="Arial" w:hAnsi="Arial" w:cs="Arial"/>
          <w:color w:val="000000"/>
          <w:szCs w:val="21"/>
          <w:highlight w:val="none"/>
          <w:lang w:val="zh-CN"/>
        </w:rPr>
      </w:r>
      <w:r/>
    </w:p>
    <w:p>
      <w:pPr>
        <w:pStyle w:val="1055"/>
        <w:ind w:firstLine="420"/>
        <w:keepLines w:val="0"/>
        <w:keepNext w:val="0"/>
        <w:pageBreakBefore w:val="0"/>
        <w:spacing w:line="440" w:lineRule="exact"/>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rPr>
          <w:rFonts w:ascii="Arial" w:hAnsi="Arial" w:cs="Arial"/>
          <w:color w:val="000000"/>
          <w:szCs w:val="21"/>
          <w:highlight w:val="none"/>
          <w:lang w:val="zh-CN"/>
        </w:rPr>
      </w:r>
      <w:r/>
    </w:p>
    <w:p>
      <w:pPr>
        <w:pStyle w:val="105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1055"/>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1055"/>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2、按磋商文件要求，我们的总报价</w:t>
      </w:r>
      <w:r>
        <w:rPr>
          <w:rFonts w:hint="eastAsia" w:ascii="Arial" w:hAnsi="Arial" w:eastAsia="宋体" w:cs="Arial"/>
          <w:color w:val="000000"/>
          <w:szCs w:val="21"/>
          <w:highlight w:val="none"/>
          <w:u w:val="single"/>
          <w:lang w:val="en-US" w:eastAsia="zh-CN"/>
        </w:rPr>
        <w:t xml:space="preserve">详见报价一览表</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1055"/>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3、本项目工期为</w:t>
      </w:r>
      <w:r>
        <w:rPr>
          <w:rFonts w:hint="eastAsia" w:ascii="Arial" w:hAnsi="Arial" w:eastAsia="宋体" w:cs="Arial"/>
          <w:color w:val="000000"/>
          <w:szCs w:val="21"/>
          <w:highlight w:val="none"/>
          <w:u w:val="none"/>
          <w:lang w:val="en-US" w:eastAsia="zh-CN"/>
        </w:rPr>
        <w:t xml:space="preserve">：</w:t>
      </w:r>
      <w:r>
        <w:rPr>
          <w:rFonts w:hint="eastAsia" w:ascii="Arial" w:hAnsi="Arial" w:eastAsia="宋体" w:cs="Arial"/>
          <w:color w:val="000000"/>
          <w:szCs w:val="21"/>
          <w:highlight w:val="none"/>
          <w:u w:val="single"/>
          <w:lang w:val="en-US" w:eastAsia="zh-CN"/>
        </w:rPr>
        <w:t xml:space="preserve">满足磋商文件要求</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1055"/>
        <w:ind w:firstLine="420"/>
        <w:keepLines w:val="0"/>
        <w:keepNext w:val="0"/>
        <w:pageBreakBefore w:val="0"/>
        <w:spacing w:line="440" w:lineRule="exact"/>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1055"/>
        <w:ind w:firstLine="420"/>
        <w:keepLines w:val="0"/>
        <w:keepNext w:val="0"/>
        <w:pageBreakBefore w:val="0"/>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1055"/>
        <w:ind w:firstLine="420"/>
        <w:keepLines w:val="0"/>
        <w:keepNext w:val="0"/>
        <w:pageBreakBefore w:val="0"/>
        <w:spacing w:line="440" w:lineRule="exact"/>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105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7、我方正式通讯方式为：</w:t>
      </w:r>
      <w:r>
        <w:rPr>
          <w:rFonts w:ascii="Arial" w:hAnsi="Arial" w:cs="Arial"/>
          <w:color w:val="000000"/>
          <w:szCs w:val="21"/>
          <w:highlight w:val="none"/>
        </w:rPr>
      </w:r>
      <w:r/>
    </w:p>
    <w:p>
      <w:pPr>
        <w:pStyle w:val="1055"/>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1055"/>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1055"/>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105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8、我方正式开户银行和账号为：</w:t>
      </w:r>
      <w:r>
        <w:rPr>
          <w:rFonts w:ascii="Arial" w:hAnsi="Arial" w:cs="Arial"/>
          <w:color w:val="000000"/>
          <w:szCs w:val="21"/>
          <w:highlight w:val="none"/>
        </w:rPr>
      </w:r>
      <w:r/>
    </w:p>
    <w:p>
      <w:pPr>
        <w:pStyle w:val="1055"/>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105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105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Cs w:val="21"/>
          <w:highlight w:val="none"/>
        </w:rPr>
      </w:r>
      <w:r/>
    </w:p>
    <w:p>
      <w:pPr>
        <w:pStyle w:val="105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1055"/>
        <w:spacing w:before="240" w:after="240"/>
        <w:rPr>
          <w:b/>
          <w:color w:val="000000"/>
          <w:highlight w:val="none"/>
        </w:rPr>
      </w:pPr>
      <w:r>
        <w:rPr>
          <w:rFonts w:ascii="Arial" w:hAnsi="Arial" w:cs="Arial"/>
          <w:color w:val="000000"/>
          <w:szCs w:val="21"/>
          <w:highlight w:val="none"/>
          <w:lang w:val="zh-CN"/>
        </w:rPr>
        <w:br w:type="page" w:clear="all"/>
      </w:r>
      <w:bookmarkStart w:id="70" w:name="_Toc490133029"/>
      <w:r/>
      <w:bookmarkStart w:id="71" w:name="_Toc534273801"/>
      <w:r/>
      <w:bookmarkStart w:id="72" w:name="_Toc504573084"/>
      <w:r/>
      <w:bookmarkStart w:id="73" w:name="_Toc534273678"/>
      <w:r/>
      <w:bookmarkStart w:id="74" w:name="_Toc504056869"/>
      <w:r/>
      <w:bookmarkStart w:id="75" w:name="_Toc504044381"/>
      <w:r>
        <w:rPr>
          <w:b/>
          <w:color w:val="000000"/>
          <w:highlight w:val="none"/>
        </w:rPr>
        <w:t xml:space="preserve">附件二、法定代表人授权书格式</w:t>
      </w:r>
      <w:bookmarkEnd w:id="70"/>
      <w:r/>
      <w:bookmarkEnd w:id="71"/>
      <w:r/>
      <w:bookmarkEnd w:id="72"/>
      <w:r/>
      <w:bookmarkEnd w:id="73"/>
      <w:r/>
      <w:bookmarkEnd w:id="74"/>
      <w:r/>
      <w:bookmarkEnd w:id="75"/>
      <w:r>
        <w:rPr>
          <w:b/>
          <w:color w:val="000000"/>
          <w:highlight w:val="none"/>
        </w:rPr>
      </w:r>
      <w:r/>
    </w:p>
    <w:p>
      <w:pPr>
        <w:pStyle w:val="1055"/>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55"/>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0"/>
      </w:pPr>
      <w:r>
        <w:rPr>
          <w:rFonts w:hint="eastAsia"/>
          <w:b/>
          <w:color w:val="000000"/>
          <w:highlight w:val="none"/>
          <w:lang w:val="en-US" w:eastAsia="zh-CN"/>
        </w:rPr>
        <w:t xml:space="preserve"> </w:t>
      </w: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199"/>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19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119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119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199"/>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1199"/>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1199"/>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19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76" w:name="_Hlt26671380"/>
      <w:r/>
      <w:bookmarkEnd w:id="76"/>
      <w:r/>
      <w:bookmarkStart w:id="77" w:name="_Hlt26955070"/>
      <w:r/>
      <w:bookmarkEnd w:id="77"/>
      <w:r/>
      <w:bookmarkStart w:id="78" w:name="_格式3__银行出具的资信证明"/>
      <w:r/>
      <w:bookmarkEnd w:id="78"/>
      <w:r>
        <w:rPr>
          <w:rFonts w:hint="eastAsia"/>
          <w:color w:val="000000"/>
          <w:sz w:val="24"/>
          <w:szCs w:val="24"/>
          <w:highlight w:val="none"/>
        </w:rPr>
      </w:r>
      <w:r/>
    </w:p>
    <w:p>
      <w:pPr>
        <w:pStyle w:val="1055"/>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55"/>
        <w:spacing w:before="240" w:after="240"/>
        <w:rPr>
          <w:b/>
          <w:color w:val="000000"/>
          <w:highlight w:val="none"/>
        </w:rPr>
      </w:pPr>
      <w:r>
        <w:rPr>
          <w:color w:val="000000"/>
          <w:highlight w:val="none"/>
          <w:lang w:val="zh-CN"/>
        </w:rPr>
        <w:br w:type="page" w:clear="all"/>
      </w:r>
      <w:bookmarkStart w:id="79" w:name="_Toc490133030"/>
      <w:r/>
      <w:bookmarkStart w:id="80" w:name="_Toc504573085"/>
      <w:r/>
      <w:bookmarkStart w:id="81" w:name="_Toc534273802"/>
      <w:r/>
      <w:bookmarkStart w:id="82" w:name="_Toc504056870"/>
      <w:r/>
      <w:bookmarkStart w:id="83" w:name="_Toc504044382"/>
      <w:r/>
      <w:bookmarkStart w:id="84" w:name="_Toc534273679"/>
      <w:r>
        <w:rPr>
          <w:b/>
          <w:color w:val="000000"/>
          <w:highlight w:val="none"/>
        </w:rPr>
        <w:t xml:space="preserve">附件三、报价表</w:t>
      </w:r>
      <w:bookmarkEnd w:id="79"/>
      <w:r/>
      <w:bookmarkEnd w:id="80"/>
      <w:r/>
      <w:bookmarkEnd w:id="81"/>
      <w:r/>
      <w:bookmarkEnd w:id="82"/>
      <w:r/>
      <w:bookmarkEnd w:id="83"/>
      <w:r/>
      <w:bookmarkEnd w:id="84"/>
      <w:r>
        <w:rPr>
          <w:b/>
          <w:color w:val="000000"/>
          <w:highlight w:val="none"/>
        </w:rPr>
      </w:r>
      <w:r/>
    </w:p>
    <w:p>
      <w:pPr>
        <w:pStyle w:val="1055"/>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55"/>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lang w:val="en-US" w:eastAsia="zh-CN"/>
        </w:rPr>
        <w:t xml:space="preserve">一览</w:t>
      </w:r>
      <w:r>
        <w:rPr>
          <w:rFonts w:ascii="Arial" w:hAnsi="Arial" w:cs="Arial"/>
          <w:b/>
          <w:color w:val="000000"/>
          <w:sz w:val="36"/>
          <w:szCs w:val="36"/>
          <w:highlight w:val="none"/>
        </w:rPr>
        <w:t xml:space="preserve">表</w:t>
      </w:r>
      <w:r>
        <w:rPr>
          <w:rFonts w:ascii="Arial" w:hAnsi="Arial" w:cs="Arial"/>
          <w:b/>
          <w:color w:val="000000"/>
          <w:sz w:val="36"/>
          <w:szCs w:val="36"/>
          <w:highlight w:val="none"/>
        </w:rPr>
      </w:r>
      <w:r/>
    </w:p>
    <w:p>
      <w:pPr>
        <w:pStyle w:val="1055"/>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rPr>
          <w:rFonts w:ascii="Arial" w:hAnsi="Arial" w:cs="Arial"/>
          <w:color w:val="000000"/>
          <w:szCs w:val="21"/>
          <w:highlight w:val="none"/>
        </w:rPr>
      </w:r>
      <w:r/>
    </w:p>
    <w:p>
      <w:pPr>
        <w:pStyle w:val="1071"/>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6"/>
        <w:gridCol w:w="6505"/>
      </w:tblGrid>
      <w:tr>
        <w:trPr>
          <w:cantSplit/>
          <w:trHeight w:val="1198"/>
        </w:trPr>
        <w:tc>
          <w:tcPr>
            <w:tcW w:w="2166" w:type="dxa"/>
            <w:vAlign w:val="center"/>
            <w:textDirection w:val="lrTb"/>
            <w:noWrap w:val="false"/>
          </w:tcPr>
          <w:p>
            <w:pPr>
              <w:pStyle w:val="1071"/>
              <w:ind w:firstLine="0"/>
              <w:jc w:val="center"/>
              <w:spacing w:line="440" w:lineRule="exact"/>
              <w:rPr>
                <w:rFonts w:hint="eastAsia" w:ascii="宋体" w:hAnsi="宋体" w:cs="宋体"/>
                <w:color w:val="000000"/>
                <w:szCs w:val="21"/>
                <w:highlight w:val="none"/>
              </w:rPr>
            </w:pP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总价</w:t>
            </w:r>
            <w:r>
              <w:rPr>
                <w:rFonts w:hint="eastAsia" w:ascii="宋体" w:hAnsi="宋体" w:cs="宋体"/>
                <w:color w:val="000000"/>
                <w:szCs w:val="21"/>
                <w:highlight w:val="none"/>
              </w:rPr>
            </w:r>
            <w:r/>
          </w:p>
        </w:tc>
        <w:tc>
          <w:tcPr>
            <w:tcW w:w="6505" w:type="dxa"/>
            <w:vAlign w:val="center"/>
            <w:textDirection w:val="lrTb"/>
            <w:noWrap w:val="false"/>
          </w:tcPr>
          <w:p>
            <w:pPr>
              <w:pStyle w:val="1071"/>
              <w:ind w:firstLine="0"/>
              <w:spacing w:line="44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小写：人民币   万元                     </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71"/>
              <w:ind w:firstLine="54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ind w:firstLine="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大写：人民币   万元               </w:t>
            </w:r>
            <w:r>
              <w:rPr>
                <w:rFonts w:hint="eastAsia" w:ascii="宋体" w:hAnsi="宋体" w:cs="宋体"/>
                <w:color w:val="000000"/>
                <w:szCs w:val="21"/>
                <w:highlight w:val="none"/>
              </w:rPr>
            </w:r>
            <w:r/>
          </w:p>
        </w:tc>
      </w:tr>
      <w:tr>
        <w:trPr>
          <w:trHeight w:val="829"/>
        </w:trPr>
        <w:tc>
          <w:tcPr>
            <w:tcW w:w="2166" w:type="dxa"/>
            <w:vAlign w:val="center"/>
            <w:textDirection w:val="lrTb"/>
            <w:noWrap w:val="false"/>
          </w:tcPr>
          <w:p>
            <w:pPr>
              <w:pStyle w:val="1071"/>
              <w:ind w:firstLine="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服务时间</w:t>
            </w:r>
            <w:r>
              <w:rPr>
                <w:rFonts w:hint="eastAsia" w:ascii="宋体" w:hAnsi="宋体" w:cs="宋体"/>
                <w:color w:val="000000"/>
                <w:szCs w:val="21"/>
                <w:highlight w:val="none"/>
              </w:rPr>
            </w:r>
            <w:r/>
          </w:p>
        </w:tc>
        <w:tc>
          <w:tcPr>
            <w:tcW w:w="6505" w:type="dxa"/>
            <w:vAlign w:val="center"/>
            <w:textDirection w:val="lrTb"/>
            <w:noWrap w:val="false"/>
          </w:tcPr>
          <w:p>
            <w:pPr>
              <w:pStyle w:val="1071"/>
              <w:ind w:firstLine="542"/>
              <w:spacing w:line="440" w:lineRule="exact"/>
              <w:tabs>
                <w:tab w:val="left" w:pos="3624" w:leader="none"/>
              </w:tabs>
              <w:rPr>
                <w:rFonts w:hint="eastAsia" w:ascii="宋体" w:hAnsi="宋体" w:cs="宋体"/>
                <w:color w:val="000000"/>
                <w:szCs w:val="21"/>
                <w:highlight w:val="none"/>
                <w:u w:val="single"/>
              </w:rPr>
            </w:pPr>
            <w:r>
              <w:rPr>
                <w:rFonts w:ascii="Arial" w:hAnsi="Arial" w:cs="Arial"/>
                <w:color w:val="000000"/>
                <w:szCs w:val="21"/>
                <w:highlight w:val="none"/>
                <w:u w:val="single"/>
              </w:rPr>
              <w:t xml:space="preserve">满足磋商文件要求。</w:t>
            </w:r>
            <w:r>
              <w:rPr>
                <w:rFonts w:hint="eastAsia" w:ascii="宋体" w:hAnsi="宋体" w:cs="宋体"/>
                <w:color w:val="000000"/>
                <w:szCs w:val="21"/>
                <w:highlight w:val="none"/>
                <w:u w:val="single"/>
              </w:rPr>
            </w:r>
            <w:r/>
          </w:p>
        </w:tc>
      </w:tr>
      <w:tr>
        <w:trPr>
          <w:trHeight w:val="829"/>
        </w:trPr>
        <w:tc>
          <w:tcPr>
            <w:tcW w:w="2166" w:type="dxa"/>
            <w:vAlign w:val="center"/>
            <w:textDirection w:val="lrTb"/>
            <w:noWrap w:val="false"/>
          </w:tcPr>
          <w:p>
            <w:pPr>
              <w:pStyle w:val="1071"/>
              <w:ind w:firstLine="0"/>
              <w:jc w:val="center"/>
              <w:spacing w:line="440" w:lineRule="exact"/>
              <w:rPr>
                <w:rFonts w:ascii="宋体" w:hAnsi="宋体" w:cs="宋体"/>
                <w:color w:val="000000"/>
                <w:szCs w:val="21"/>
                <w:highlight w:val="none"/>
              </w:rPr>
            </w:pPr>
            <w:r>
              <w:rPr>
                <w:rFonts w:hint="eastAsia" w:ascii="宋体" w:hAnsi="宋体" w:cs="宋体"/>
                <w:color w:val="000000"/>
                <w:highlight w:val="none"/>
              </w:rPr>
              <w:t xml:space="preserve">项目负责人</w:t>
            </w:r>
            <w:r>
              <w:rPr>
                <w:rFonts w:ascii="宋体" w:hAnsi="宋体" w:cs="宋体"/>
                <w:color w:val="000000"/>
                <w:szCs w:val="21"/>
                <w:highlight w:val="none"/>
              </w:rPr>
            </w:r>
            <w:r/>
          </w:p>
        </w:tc>
        <w:tc>
          <w:tcPr>
            <w:tcW w:w="6505" w:type="dxa"/>
            <w:vAlign w:val="center"/>
            <w:textDirection w:val="lrTb"/>
            <w:noWrap w:val="false"/>
          </w:tcPr>
          <w:p>
            <w:pPr>
              <w:pStyle w:val="1071"/>
              <w:ind w:firstLine="542"/>
              <w:spacing w:line="440" w:lineRule="exact"/>
              <w:tabs>
                <w:tab w:val="left" w:pos="3624"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r>
      <w:tr>
        <w:trPr>
          <w:trHeight w:val="1206"/>
        </w:trPr>
        <w:tc>
          <w:tcPr>
            <w:tcW w:w="2166" w:type="dxa"/>
            <w:vAlign w:val="center"/>
            <w:textDirection w:val="lrTb"/>
            <w:noWrap w:val="false"/>
          </w:tcPr>
          <w:p>
            <w:pPr>
              <w:pStyle w:val="107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是否全部由小微企业（含视同小微企业）提供</w:t>
            </w:r>
            <w:r>
              <w:rPr>
                <w:rFonts w:hint="eastAsia" w:ascii="宋体" w:hAnsi="宋体" w:cs="宋体"/>
                <w:color w:val="000000"/>
                <w:szCs w:val="21"/>
                <w:highlight w:val="none"/>
              </w:rPr>
            </w:r>
            <w:r/>
          </w:p>
        </w:tc>
        <w:tc>
          <w:tcPr>
            <w:tcW w:w="6505" w:type="dxa"/>
            <w:vAlign w:val="center"/>
            <w:textDirection w:val="lrTb"/>
            <w:noWrap w:val="false"/>
          </w:tcPr>
          <w:p>
            <w:pPr>
              <w:pStyle w:val="1071"/>
              <w:ind w:firstLine="542"/>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填写“是”或“否</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tc>
      </w:tr>
      <w:tr>
        <w:trPr>
          <w:trHeight w:val="1206"/>
        </w:trPr>
        <w:tc>
          <w:tcPr>
            <w:tcW w:w="2166" w:type="dxa"/>
            <w:vAlign w:val="center"/>
            <w:textDirection w:val="lrTb"/>
            <w:noWrap w:val="false"/>
          </w:tcPr>
          <w:p>
            <w:pPr>
              <w:pStyle w:val="1071"/>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c>
          <w:tcPr>
            <w:tcW w:w="6505" w:type="dxa"/>
            <w:vAlign w:val="center"/>
            <w:textDirection w:val="lrTb"/>
            <w:noWrap w:val="false"/>
          </w:tcPr>
          <w:p>
            <w:pPr>
              <w:pStyle w:val="1071"/>
              <w:ind w:firstLine="542"/>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tc>
      </w:tr>
    </w:tbl>
    <w:p>
      <w:pPr>
        <w:pStyle w:val="1067"/>
        <w:rPr>
          <w:rFonts w:ascii="Arial" w:hAnsi="Arial" w:cs="Arial"/>
          <w:color w:val="000000"/>
          <w:szCs w:val="21"/>
          <w:highlight w:val="none"/>
        </w:rPr>
      </w:pPr>
      <w:r>
        <w:rPr>
          <w:rFonts w:ascii="Arial" w:hAnsi="Arial" w:cs="Arial"/>
          <w:color w:val="000000"/>
          <w:szCs w:val="21"/>
          <w:highlight w:val="none"/>
        </w:rPr>
      </w:r>
      <w:r/>
    </w:p>
    <w:p>
      <w:pPr>
        <w:pStyle w:val="1146"/>
        <w:rPr>
          <w:color w:val="000000"/>
          <w:highlight w:val="none"/>
        </w:rPr>
      </w:pPr>
      <w:r>
        <w:rPr>
          <w:color w:val="000000"/>
          <w:highlight w:val="none"/>
        </w:rPr>
      </w:r>
      <w:r/>
    </w:p>
    <w:p>
      <w:pPr>
        <w:pStyle w:val="105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1055"/>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1055"/>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55"/>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55"/>
        <w:ind w:firstLine="42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rPr>
        <w:br w:type="page" w:clear="all"/>
      </w: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1055"/>
        <w:ind w:firstLine="420"/>
        <w:spacing w:line="360" w:lineRule="auto"/>
        <w:tabs>
          <w:tab w:val="left" w:pos="1440" w:leader="none"/>
        </w:tabs>
        <w:rPr>
          <w:b/>
          <w:color w:val="000000"/>
          <w:highlight w:val="none"/>
        </w:rPr>
      </w:pPr>
      <w:r>
        <w:rPr>
          <w:b/>
          <w:color w:val="000000"/>
          <w:highlight w:val="none"/>
        </w:rPr>
      </w:r>
      <w:r/>
    </w:p>
    <w:p>
      <w:pPr>
        <w:pStyle w:val="1055"/>
        <w:ind w:firstLine="562"/>
        <w:jc w:val="center"/>
        <w:spacing w:line="360" w:lineRule="auto"/>
        <w:widowControl/>
        <w:rPr>
          <w:rFonts w:hint="eastAsia" w:ascii="宋体" w:hAnsi="宋体" w:cs="宋体"/>
          <w:b/>
          <w:color w:val="000000"/>
          <w:sz w:val="22"/>
          <w:szCs w:val="22"/>
          <w:highlight w:val="none"/>
        </w:rPr>
      </w:pPr>
      <w:r/>
      <w:bookmarkStart w:id="85" w:name="_Toc504044384"/>
      <w:r/>
      <w:bookmarkStart w:id="86" w:name="_Toc534273805"/>
      <w:r/>
      <w:bookmarkStart w:id="87" w:name="_Toc534273682"/>
      <w:r/>
      <w:bookmarkStart w:id="88" w:name="_Toc504573087"/>
      <w:r/>
      <w:bookmarkStart w:id="89" w:name="_Toc534273681"/>
      <w:r/>
      <w:bookmarkStart w:id="90" w:name="_Toc504056872"/>
      <w:r/>
      <w:bookmarkStart w:id="91" w:name="_Toc534273804"/>
      <w:r/>
      <w:bookmarkStart w:id="92" w:name="_Toc490133032"/>
      <w:r>
        <w:rPr>
          <w:rFonts w:hint="eastAsia" w:ascii="宋体" w:hAnsi="宋体" w:cs="宋体"/>
          <w:b/>
          <w:bCs/>
          <w:color w:val="000000"/>
          <w:sz w:val="22"/>
          <w:szCs w:val="22"/>
          <w:highlight w:val="none"/>
        </w:rPr>
        <w:t xml:space="preserve">一、湖南路道路市政设施恢复工程地下商业街及周边建筑物监测（施工期）</w:t>
      </w:r>
      <w:r>
        <w:rPr>
          <w:rFonts w:hint="eastAsia" w:ascii="宋体" w:hAnsi="宋体" w:cs="宋体"/>
          <w:b/>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784"/>
        <w:gridCol w:w="1321"/>
        <w:gridCol w:w="658"/>
        <w:gridCol w:w="1321"/>
        <w:gridCol w:w="658"/>
        <w:gridCol w:w="1321"/>
      </w:tblGrid>
      <w:tr>
        <w:trPr>
          <w:trHeight w:val="510"/>
        </w:trPr>
        <w:tc>
          <w:tcPr>
            <w:tcW w:w="378"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hint="eastAsia" w:ascii="宋体" w:hAnsi="宋体" w:cs="宋体"/>
                <w:b/>
                <w:bCs/>
                <w:color w:val="000000"/>
                <w:sz w:val="22"/>
                <w:szCs w:val="22"/>
                <w:highlight w:val="none"/>
              </w:rPr>
            </w:r>
            <w:r/>
          </w:p>
        </w:tc>
        <w:tc>
          <w:tcPr>
            <w:tcW w:w="1596"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监测内容</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rPr>
                <w:rFonts w:hint="eastAsia" w:ascii="宋体" w:hAnsi="宋体" w:cs="宋体"/>
                <w:b/>
                <w:bCs/>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单价（元）</w:t>
            </w:r>
            <w:r>
              <w:rPr>
                <w:rFonts w:hint="eastAsia" w:ascii="宋体" w:hAnsi="宋体" w:cs="宋体"/>
                <w:b/>
                <w:bCs/>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次数</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合价（元）</w:t>
            </w:r>
            <w:r>
              <w:rPr>
                <w:rFonts w:hint="eastAsia" w:ascii="宋体" w:hAnsi="宋体" w:cs="宋体"/>
                <w:b/>
                <w:bCs/>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w:t>
            </w:r>
            <w:r>
              <w:rPr>
                <w:rFonts w:hint="eastAsia" w:ascii="宋体" w:hAnsi="宋体" w:cs="宋体"/>
                <w:color w:val="000000"/>
                <w:sz w:val="22"/>
                <w:szCs w:val="22"/>
                <w:highlight w:val="none"/>
              </w:rPr>
            </w:r>
            <w:r/>
          </w:p>
        </w:tc>
        <w:tc>
          <w:tcPr>
            <w:tcW w:w="1596"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材料费加埋设费</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侧墙偏移</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场地微振动</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面</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2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5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处</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二</w:t>
            </w:r>
            <w:r>
              <w:rPr>
                <w:rFonts w:hint="eastAsia" w:ascii="宋体" w:hAnsi="宋体" w:cs="宋体"/>
                <w:b/>
                <w:bCs/>
                <w:color w:val="000000"/>
                <w:sz w:val="22"/>
                <w:szCs w:val="22"/>
                <w:highlight w:val="none"/>
              </w:rPr>
            </w:r>
            <w:r/>
          </w:p>
        </w:tc>
        <w:tc>
          <w:tcPr>
            <w:tcW w:w="1596"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现场监测费</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rPr>
                <w:rFonts w:hint="eastAsia" w:ascii="宋体" w:hAnsi="宋体" w:cs="宋体"/>
                <w:b/>
                <w:bCs/>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bookmarkStart w:id="93" w:name="OLE_LINK21"/>
            <w:r/>
            <w:bookmarkStart w:id="94" w:name="_Hlk232065701"/>
            <w:r/>
            <w:bookmarkStart w:id="95" w:name="OLE_LINK22"/>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bookmarkStart w:id="96" w:name="OLE_LINK15"/>
            <w:r/>
            <w:bookmarkStart w:id="97" w:name="OLE_LINK16"/>
            <w:r>
              <w:rPr>
                <w:rFonts w:hint="eastAsia" w:ascii="宋体" w:hAnsi="宋体" w:cs="宋体"/>
                <w:color w:val="000000"/>
                <w:sz w:val="22"/>
                <w:szCs w:val="22"/>
                <w:highlight w:val="none"/>
              </w:rPr>
              <w:t xml:space="preserve">点.次</w:t>
            </w:r>
            <w:bookmarkEnd w:id="96"/>
            <w:r/>
            <w:bookmarkEnd w:id="97"/>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bookmarkStart w:id="98" w:name="OLE_LINK19"/>
            <w:r/>
            <w:bookmarkStart w:id="99" w:name="_Hlk232065582"/>
            <w:r/>
            <w:bookmarkStart w:id="100" w:name="OLE_LINK20"/>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bookmarkEnd w:id="98"/>
            <w:r/>
            <w:bookmarkEnd w:id="99"/>
            <w:r/>
            <w:bookmarkEnd w:id="100"/>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侧墙倾斜</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bookmarkEnd w:id="93"/>
            <w:r/>
            <w:bookmarkEnd w:id="94"/>
            <w:r/>
            <w:bookmarkEnd w:id="95"/>
            <w:r/>
            <w:bookmarkStart w:id="101" w:name="OLE_LINK25"/>
            <w:r/>
            <w:bookmarkStart w:id="102" w:name="OLE_LINK26"/>
            <w:r/>
            <w:bookmarkStart w:id="103" w:name="_Hlk232065728"/>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bookmarkEnd w:id="101"/>
            <w:r/>
            <w:bookmarkEnd w:id="102"/>
            <w:r/>
            <w:bookmarkEnd w:id="103"/>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场地微振动</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面.次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bookmarkStart w:id="104" w:name="_Hlk232065756"/>
            <w:r/>
            <w:bookmarkStart w:id="105" w:name="OLE_LINK29"/>
            <w:r/>
            <w:bookmarkStart w:id="106" w:name="OLE_LINK30"/>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w:t>
            </w:r>
            <w:r>
              <w:rPr>
                <w:rFonts w:hint="eastAsia" w:ascii="宋体" w:hAnsi="宋体" w:cs="宋体"/>
                <w:color w:val="000000"/>
                <w:sz w:val="22"/>
                <w:szCs w:val="22"/>
                <w:highlight w:val="none"/>
              </w:rPr>
            </w:r>
            <w:r/>
          </w:p>
        </w:tc>
        <w:tc>
          <w:tcPr>
            <w:tcW w:w="1596"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bookmarkEnd w:id="104"/>
            <w:r/>
            <w:bookmarkEnd w:id="105"/>
            <w:r/>
            <w:bookmarkEnd w:id="106"/>
            <w:r>
              <w:rPr>
                <w:rFonts w:hint="eastAsia" w:ascii="宋体" w:hAnsi="宋体" w:cs="宋体"/>
                <w:color w:val="000000"/>
                <w:sz w:val="22"/>
                <w:szCs w:val="22"/>
                <w:highlight w:val="none"/>
              </w:rPr>
              <w:t xml:space="preserve">三</w:t>
            </w:r>
            <w:r>
              <w:rPr>
                <w:rFonts w:hint="eastAsia" w:ascii="宋体" w:hAnsi="宋体" w:cs="宋体"/>
                <w:color w:val="000000"/>
                <w:sz w:val="22"/>
                <w:szCs w:val="22"/>
                <w:highlight w:val="none"/>
              </w:rPr>
            </w:r>
            <w:r/>
          </w:p>
        </w:tc>
        <w:tc>
          <w:tcPr>
            <w:tcW w:w="1596"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税金（6%）</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0.06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78"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w:t>
            </w:r>
            <w:r>
              <w:rPr>
                <w:rFonts w:hint="eastAsia" w:ascii="宋体" w:hAnsi="宋体" w:cs="宋体"/>
                <w:color w:val="000000"/>
                <w:sz w:val="22"/>
                <w:szCs w:val="22"/>
                <w:highlight w:val="none"/>
              </w:rPr>
            </w:r>
            <w:r/>
          </w:p>
        </w:tc>
        <w:tc>
          <w:tcPr>
            <w:tcW w:w="1596"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总计</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bl>
    <w:p>
      <w:pPr>
        <w:pStyle w:val="1055"/>
        <w:ind w:left="6626" w:hanging="6626"/>
        <w:spacing w:line="360" w:lineRule="auto"/>
        <w:shd w:val="clear" w:color="auto" w:fill="ffffff"/>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r>
      <w:r/>
    </w:p>
    <w:p>
      <w:pPr>
        <w:pStyle w:val="1055"/>
        <w:ind w:firstLine="562"/>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二、湖南路道路市政设施恢复工程地下商业街及周边建筑物监测（跟踪期）</w:t>
      </w:r>
      <w:r>
        <w:rPr>
          <w:rFonts w:hint="eastAsia" w:ascii="宋体" w:hAnsi="宋体" w:cs="宋体"/>
          <w:b/>
          <w:bCs/>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2785"/>
        <w:gridCol w:w="1321"/>
        <w:gridCol w:w="658"/>
        <w:gridCol w:w="1321"/>
        <w:gridCol w:w="658"/>
        <w:gridCol w:w="1321"/>
      </w:tblGrid>
      <w:tr>
        <w:trPr>
          <w:trHeight w:val="510"/>
        </w:trPr>
        <w:tc>
          <w:tcPr>
            <w:tcW w:w="37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hint="eastAsia" w:ascii="宋体" w:hAnsi="宋体" w:cs="宋体"/>
                <w:b/>
                <w:bCs/>
                <w:color w:val="000000"/>
                <w:sz w:val="22"/>
                <w:szCs w:val="22"/>
                <w:highlight w:val="none"/>
              </w:rPr>
            </w:r>
            <w:r/>
          </w:p>
        </w:tc>
        <w:tc>
          <w:tcPr>
            <w:tcW w:w="159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监测内容</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　</w:t>
            </w:r>
            <w:r>
              <w:rPr>
                <w:rFonts w:hint="eastAsia" w:ascii="宋体" w:hAnsi="宋体" w:cs="宋体"/>
                <w:b/>
                <w:bCs/>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单价（元）</w:t>
            </w:r>
            <w:r>
              <w:rPr>
                <w:rFonts w:hint="eastAsia" w:ascii="宋体" w:hAnsi="宋体" w:cs="宋体"/>
                <w:b/>
                <w:bCs/>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次数</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合价（元）</w:t>
            </w:r>
            <w:r>
              <w:rPr>
                <w:rFonts w:hint="eastAsia" w:ascii="宋体" w:hAnsi="宋体" w:cs="宋体"/>
                <w:b/>
                <w:bCs/>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一</w:t>
            </w:r>
            <w:r>
              <w:rPr>
                <w:rFonts w:hint="eastAsia" w:ascii="宋体" w:hAnsi="宋体" w:cs="宋体"/>
                <w:b/>
                <w:bCs/>
                <w:color w:val="000000"/>
                <w:sz w:val="22"/>
                <w:szCs w:val="22"/>
                <w:highlight w:val="none"/>
              </w:rPr>
            </w:r>
            <w:r/>
          </w:p>
        </w:tc>
        <w:tc>
          <w:tcPr>
            <w:tcW w:w="159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现场监测费</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顶板沉降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底板沉降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99</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结构柱沉降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侧墙倾斜</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净空收敛</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结构裂缝宽度</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施工缝 / 变形缝张开度</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结构错台</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净空高度变化</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bookmarkStart w:id="107" w:name="OLE_LINK28"/>
            <w:r/>
            <w:bookmarkStart w:id="108" w:name="OLE_LINK27"/>
            <w:r>
              <w:rPr>
                <w:rFonts w:hint="eastAsia" w:ascii="宋体" w:hAnsi="宋体" w:cs="宋体"/>
                <w:color w:val="000000"/>
                <w:sz w:val="22"/>
                <w:szCs w:val="22"/>
                <w:highlight w:val="none"/>
              </w:rPr>
              <w:t xml:space="preserve">点.次</w:t>
            </w:r>
            <w:bookmarkEnd w:id="107"/>
            <w:r/>
            <w:bookmarkEnd w:id="108"/>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地下水位变化</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点.次</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管线沉降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建筑物倾斜</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建筑物裂缝宽度</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处.次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地表沉降</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114</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建筑物沉降（中央路地下过街通道）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rPr>
            </w:r>
            <w:r/>
          </w:p>
        </w:tc>
        <w:tc>
          <w:tcPr>
            <w:tcW w:w="1597" w:type="dxa"/>
            <w:vAlign w:val="center"/>
            <w:textDirection w:val="lrTb"/>
            <w:noWrap w:val="false"/>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接缝差异沉降（中央路地下过街通道）</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点.次 </w:t>
            </w:r>
            <w:r>
              <w:rPr>
                <w:rFonts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w:t>
            </w:r>
            <w:r>
              <w:rPr>
                <w:rFonts w:hint="eastAsia" w:ascii="宋体" w:hAnsi="宋体" w:cs="宋体"/>
                <w:color w:val="000000"/>
                <w:sz w:val="22"/>
                <w:szCs w:val="22"/>
                <w:highlight w:val="none"/>
              </w:rPr>
            </w:r>
            <w:r/>
          </w:p>
        </w:tc>
        <w:tc>
          <w:tcPr>
            <w:tcW w:w="159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税金（6%）</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0.06</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360"/>
        </w:trPr>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w:t>
            </w:r>
            <w:r>
              <w:rPr>
                <w:rFonts w:hint="eastAsia" w:ascii="宋体" w:hAnsi="宋体" w:cs="宋体"/>
                <w:color w:val="000000"/>
                <w:sz w:val="22"/>
                <w:szCs w:val="22"/>
                <w:highlight w:val="none"/>
              </w:rPr>
            </w:r>
            <w:r/>
          </w:p>
        </w:tc>
        <w:tc>
          <w:tcPr>
            <w:tcW w:w="159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总计</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tc>
        <w:tc>
          <w:tcPr>
            <w:tcW w:w="37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rPr>
            </w:r>
            <w:r/>
          </w:p>
        </w:tc>
        <w:tc>
          <w:tcPr>
            <w:tcW w:w="757" w:type="dxa"/>
            <w:vAlign w:val="center"/>
            <w:textDirection w:val="lrTb"/>
            <w:noWrap/>
          </w:tcPr>
          <w:p>
            <w:pPr>
              <w:pStyle w:val="1055"/>
              <w:jc w:val="center"/>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bl>
    <w:p>
      <w:pPr>
        <w:pStyle w:val="1055"/>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特别说明：</w:t>
      </w:r>
      <w:r>
        <w:rPr>
          <w:rFonts w:hint="eastAsia" w:ascii="宋体" w:hAnsi="宋体" w:cs="宋体"/>
          <w:b/>
          <w:bCs/>
          <w:color w:val="000000"/>
          <w:sz w:val="22"/>
          <w:szCs w:val="22"/>
          <w:highlight w:val="none"/>
        </w:rPr>
      </w:r>
      <w:r/>
    </w:p>
    <w:p>
      <w:pPr>
        <w:pStyle w:val="1055"/>
        <w:spacing w:line="360" w:lineRule="auto"/>
        <w:rPr>
          <w:rFonts w:hint="eastAsia" w:ascii="宋体" w:hAnsi="宋体" w:eastAsia="宋体" w:cs="宋体"/>
          <w:b/>
          <w:bCs/>
          <w:color w:val="000000"/>
          <w:sz w:val="22"/>
          <w:szCs w:val="22"/>
          <w:highlight w:val="none"/>
        </w:rPr>
      </w:pPr>
      <w:r>
        <w:rPr>
          <w:rFonts w:hint="eastAsia" w:ascii="宋体" w:hAnsi="宋体" w:cs="宋体"/>
          <w:b/>
          <w:bCs/>
          <w:color w:val="000000"/>
          <w:sz w:val="22"/>
          <w:szCs w:val="22"/>
          <w:highlight w:val="none"/>
        </w:rPr>
        <w:t xml:space="preserve">（1）本表格所列工作量仅供参考，具体基坑监测、沉降观测等所涵盖的范围、内容、监测点位布置、数量、频率、</w:t>
      </w:r>
      <w:r>
        <w:rPr>
          <w:rFonts w:hint="eastAsia" w:ascii="宋体" w:hAnsi="宋体" w:eastAsia="宋体" w:cs="宋体"/>
          <w:b/>
          <w:bCs/>
          <w:color w:val="000000"/>
          <w:sz w:val="22"/>
          <w:szCs w:val="22"/>
          <w:highlight w:val="none"/>
        </w:rPr>
        <w:t xml:space="preserve">精度及时间等要求，由供应商按照相关方案、规范要求提交监测方案，经各方批准后执行。</w:t>
      </w:r>
      <w:r>
        <w:rPr>
          <w:rFonts w:hint="eastAsia" w:ascii="宋体" w:hAnsi="宋体" w:eastAsia="宋体" w:cs="宋体"/>
          <w:b/>
          <w:bCs/>
          <w:color w:val="000000"/>
          <w:sz w:val="22"/>
          <w:szCs w:val="22"/>
          <w:highlight w:val="none"/>
        </w:rPr>
      </w:r>
      <w:r/>
    </w:p>
    <w:p>
      <w:pPr>
        <w:pStyle w:val="1055"/>
        <w:spacing w:line="360" w:lineRule="auto"/>
        <w:rPr>
          <w:rFonts w:hint="eastAsia" w:ascii="宋体" w:hAnsi="宋体" w:eastAsia="宋体" w:cs="宋体"/>
          <w:b/>
          <w:bCs/>
          <w:color w:val="000000"/>
          <w:sz w:val="22"/>
          <w:szCs w:val="22"/>
          <w:highlight w:val="none"/>
          <w:lang w:val="zh-CN"/>
        </w:rPr>
      </w:pPr>
      <w:r>
        <w:rPr>
          <w:rFonts w:hint="eastAsia" w:ascii="宋体" w:hAnsi="宋体" w:eastAsia="宋体" w:cs="宋体"/>
          <w:b/>
          <w:bCs/>
          <w:color w:val="000000"/>
          <w:sz w:val="22"/>
          <w:szCs w:val="22"/>
          <w:highlight w:val="none"/>
        </w:rPr>
        <w:t xml:space="preserve">（2）供应商依据</w:t>
      </w:r>
      <w:r>
        <w:rPr>
          <w:rFonts w:hint="eastAsia" w:ascii="宋体" w:hAnsi="宋体" w:eastAsia="宋体" w:cs="宋体"/>
          <w:b/>
          <w:bCs/>
          <w:color w:val="000000"/>
          <w:sz w:val="22"/>
          <w:szCs w:val="22"/>
          <w:highlight w:val="none"/>
          <w:lang w:val="en-US" w:eastAsia="zh-CN"/>
        </w:rPr>
        <w:t xml:space="preserve">磋商</w:t>
      </w:r>
      <w:r>
        <w:rPr>
          <w:rFonts w:hint="eastAsia" w:ascii="宋体" w:hAnsi="宋体" w:eastAsia="宋体" w:cs="宋体"/>
          <w:b/>
          <w:bCs/>
          <w:color w:val="000000"/>
          <w:sz w:val="22"/>
          <w:szCs w:val="22"/>
          <w:highlight w:val="none"/>
        </w:rPr>
        <w:t xml:space="preserve">文件及方案，结合自身情况自行报价，所报价格被视为供应商完成合同约定范围内所有内容的费用。结算时依据合同约定进行结算。</w:t>
      </w:r>
      <w:r>
        <w:rPr>
          <w:rFonts w:hint="eastAsia" w:ascii="宋体" w:hAnsi="宋体" w:eastAsia="宋体" w:cs="宋体"/>
          <w:b/>
          <w:bCs/>
          <w:color w:val="000000"/>
          <w:sz w:val="22"/>
          <w:szCs w:val="22"/>
          <w:highlight w:val="none"/>
          <w:lang w:val="zh-CN"/>
        </w:rPr>
      </w:r>
      <w:r/>
    </w:p>
    <w:p>
      <w:pPr>
        <w:pStyle w:val="1055"/>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r>
      <w:r/>
    </w:p>
    <w:p>
      <w:pPr>
        <w:pStyle w:val="1055"/>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5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1055"/>
        <w:spacing w:before="240" w:after="240"/>
        <w:rPr>
          <w:b/>
          <w:color w:val="000000"/>
          <w:highlight w:val="none"/>
        </w:rPr>
      </w:pPr>
      <w:r>
        <w:rPr>
          <w:rFonts w:ascii="Arial" w:hAnsi="Arial" w:cs="Arial"/>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商务条款偏离表</w:t>
      </w:r>
      <w:r>
        <w:rPr>
          <w:b/>
          <w:color w:val="000000"/>
          <w:highlight w:val="none"/>
        </w:rPr>
        <w:t xml:space="preserve">格式</w:t>
      </w:r>
      <w:r>
        <w:rPr>
          <w:b/>
          <w:color w:val="000000"/>
          <w:highlight w:val="none"/>
        </w:rPr>
      </w:r>
      <w:r/>
    </w:p>
    <w:p>
      <w:pPr>
        <w:pStyle w:val="1055"/>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1055"/>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商务条款偏离表</w:t>
      </w:r>
      <w:r>
        <w:rPr>
          <w:rFonts w:ascii="Arial" w:hAnsi="Arial" w:cs="Arial"/>
          <w:b/>
          <w:color w:val="000000"/>
          <w:sz w:val="36"/>
          <w:szCs w:val="36"/>
          <w:highlight w:val="none"/>
        </w:rPr>
      </w:r>
      <w:r/>
    </w:p>
    <w:p>
      <w:pPr>
        <w:pStyle w:val="1055"/>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1055"/>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1055"/>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55"/>
              <w:jc w:val="center"/>
              <w:rPr>
                <w:rFonts w:hint="eastAsia" w:ascii="Arial" w:hAnsi="Arial" w:eastAsia="宋体" w:cs="Arial"/>
                <w:color w:val="000000"/>
                <w:szCs w:val="21"/>
                <w:highlight w:val="none"/>
                <w:lang w:val="en-US" w:eastAsia="zh-CN"/>
              </w:rPr>
            </w:pPr>
            <w:r>
              <w:rPr>
                <w:rFonts w:ascii="Arial" w:hAnsi="Arial" w:cs="Arial"/>
                <w:color w:val="000000"/>
                <w:szCs w:val="21"/>
                <w:highlight w:val="none"/>
                <w:lang w:val="zh-CN"/>
              </w:rPr>
              <w:t xml:space="preserve">条款</w:t>
            </w:r>
            <w:r>
              <w:rPr>
                <w:rFonts w:hint="eastAsia" w:ascii="Arial" w:hAnsi="Arial" w:cs="Arial"/>
                <w:color w:val="000000"/>
                <w:szCs w:val="21"/>
                <w:highlight w:val="none"/>
                <w:lang w:val="en-US" w:eastAsia="zh-CN"/>
              </w:rPr>
              <w:t xml:space="preserve">内容</w:t>
            </w:r>
            <w:r>
              <w:rPr>
                <w:rFonts w:hint="eastAsia" w:ascii="Arial" w:hAnsi="Arial" w:eastAsia="宋体" w:cs="Arial"/>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55"/>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5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105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5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5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5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5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55"/>
        <w:jc w:val="left"/>
        <w:spacing w:line="360" w:lineRule="auto"/>
        <w:shd w:val="clear" w:color="auto" w:fill="ffffff"/>
        <w:widowControl/>
        <w:rPr>
          <w:rFonts w:ascii="Times New Roman" w:hAnsi="Times New Roman" w:cs="Times New Roman"/>
          <w:b/>
          <w:bCs/>
          <w:color w:val="000000"/>
          <w:sz w:val="24"/>
          <w:highlight w:val="none"/>
        </w:rPr>
      </w:pPr>
      <w:r/>
      <w:bookmarkEnd w:id="85"/>
      <w:r/>
      <w:bookmarkEnd w:id="86"/>
      <w:r/>
      <w:bookmarkEnd w:id="87"/>
      <w:r/>
      <w:bookmarkEnd w:id="88"/>
      <w:r/>
      <w:bookmarkEnd w:id="89"/>
      <w:r/>
      <w:bookmarkEnd w:id="90"/>
      <w:r/>
      <w:bookmarkEnd w:id="91"/>
      <w:r/>
      <w:bookmarkEnd w:id="92"/>
      <w:r/>
      <w:bookmarkStart w:id="109" w:name="_Toc504573088"/>
      <w:r/>
      <w:bookmarkStart w:id="110" w:name="_Toc504044385"/>
      <w:r/>
      <w:bookmarkStart w:id="111" w:name="_Toc504056873"/>
      <w:r/>
      <w:bookmarkStart w:id="112" w:name="_Toc490133033"/>
      <w:r>
        <w:rPr>
          <w:rFonts w:ascii="Arial" w:hAnsi="Arial" w:cs="Arial"/>
          <w:color w:val="000000"/>
          <w:szCs w:val="21"/>
          <w:highlight w:val="none"/>
        </w:rPr>
        <w:br w:type="page" w:clear="all"/>
      </w:r>
      <w:bookmarkEnd w:id="109"/>
      <w:r/>
      <w:bookmarkEnd w:id="110"/>
      <w:r/>
      <w:bookmarkEnd w:id="111"/>
      <w:r/>
      <w:bookmarkEnd w:id="112"/>
      <w:r/>
      <w:bookmarkStart w:id="113" w:name="_Toc490133034"/>
      <w:r/>
      <w:bookmarkStart w:id="114" w:name="_Toc504056874"/>
      <w:r/>
      <w:bookmarkStart w:id="115" w:name="_Toc504573089"/>
      <w:r/>
      <w:bookmarkStart w:id="116" w:name="_Toc534273806"/>
      <w:r/>
      <w:bookmarkStart w:id="117" w:name="_Toc504044386"/>
      <w:r/>
      <w:bookmarkStart w:id="118" w:name="_Toc534273683"/>
      <w:r>
        <w:rPr>
          <w:rFonts w:ascii="Times New Roman" w:hAnsi="Times New Roman" w:cs="Times New Roman"/>
          <w:b/>
          <w:bCs/>
          <w:color w:val="000000"/>
          <w:sz w:val="24"/>
          <w:highlight w:val="none"/>
        </w:rPr>
        <w:t xml:space="preserve">附件</w:t>
      </w:r>
      <w:r>
        <w:rPr>
          <w:rFonts w:hint="eastAsia" w:ascii="Times New Roman" w:hAnsi="Times New Roman" w:cs="Times New Roman"/>
          <w:b/>
          <w:bCs/>
          <w:color w:val="000000"/>
          <w:sz w:val="24"/>
          <w:highlight w:val="none"/>
          <w:lang w:val="en-US" w:eastAsia="zh-CN"/>
        </w:rPr>
        <w:t xml:space="preserve">五</w:t>
      </w:r>
      <w:r>
        <w:rPr>
          <w:rFonts w:ascii="Times New Roman" w:hAnsi="Times New Roman" w:cs="Times New Roman"/>
          <w:b/>
          <w:bCs/>
          <w:color w:val="000000"/>
          <w:sz w:val="24"/>
          <w:highlight w:val="none"/>
        </w:rPr>
        <w:t xml:space="preserve">、拟参与本项目服务人员一览表</w:t>
      </w:r>
      <w:r>
        <w:rPr>
          <w:rFonts w:ascii="Times New Roman" w:hAnsi="Times New Roman" w:cs="Times New Roman"/>
          <w:b/>
          <w:bCs/>
          <w:color w:val="000000"/>
          <w:sz w:val="24"/>
          <w:highlight w:val="none"/>
        </w:rPr>
      </w:r>
      <w:r/>
    </w:p>
    <w:p>
      <w:pPr>
        <w:pStyle w:val="1055"/>
        <w:spacing w:line="460" w:lineRule="atLeast"/>
        <w:widowControl/>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r>
      <w:r/>
    </w:p>
    <w:p>
      <w:pPr>
        <w:pStyle w:val="1055"/>
        <w:jc w:val="center"/>
        <w:widowControl/>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拟参与本项目服务人员一览表</w:t>
      </w:r>
      <w:r>
        <w:rPr>
          <w:rFonts w:ascii="Times New Roman" w:hAnsi="Times New Roman" w:cs="Times New Roman"/>
          <w:b/>
          <w:bCs/>
          <w:color w:val="000000"/>
          <w:sz w:val="24"/>
          <w:highlight w:val="none"/>
        </w:rPr>
      </w:r>
      <w:r/>
    </w:p>
    <w:p>
      <w:pPr>
        <w:pStyle w:val="1055"/>
        <w:jc w:val="center"/>
        <w:widowControl/>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r>
      <w:r/>
    </w:p>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                                 项目编号：</w:t>
      </w:r>
      <w:r>
        <w:rPr>
          <w:rFonts w:ascii="Times New Roman" w:hAnsi="Times New Roman" w:cs="Times New Roman"/>
          <w:color w:val="00000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序号</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姓名</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性别</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年龄</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专业</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学历</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执业</w:t>
            </w:r>
            <w:r>
              <w:rPr>
                <w:rFonts w:ascii="Times New Roman" w:hAnsi="Times New Roman" w:cs="Times New Roman"/>
                <w:b/>
                <w:bCs/>
                <w:color w:val="000000"/>
                <w:szCs w:val="21"/>
                <w:highlight w:val="none"/>
              </w:rPr>
            </w:r>
            <w:r/>
          </w:p>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资格</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证书号</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技术职称</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相关工作年限</w:t>
            </w:r>
            <w:r>
              <w:rPr>
                <w:rFonts w:ascii="Times New Roman" w:hAnsi="Times New Roman" w:cs="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55"/>
              <w:jc w:val="center"/>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备注</w:t>
            </w:r>
            <w:r>
              <w:rPr>
                <w:rFonts w:ascii="Times New Roman" w:hAnsi="Times New Roman" w:cs="Times New Roman"/>
                <w:b/>
                <w:bC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05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1055"/>
        <w:jc w:val="left"/>
        <w:spacing w:line="360" w:lineRule="auto"/>
        <w:shd w:val="clear" w:color="auto" w:fill="ffffff"/>
        <w:widowControl/>
        <w:rPr>
          <w:rFonts w:ascii="Times New Roman" w:hAnsi="Times New Roman" w:cs="Times New Roman"/>
          <w:color w:val="000000"/>
          <w:szCs w:val="21"/>
          <w:highlight w:val="none"/>
        </w:rPr>
      </w:pPr>
      <w:r>
        <w:rPr>
          <w:rFonts w:hint="eastAsia" w:cs="Times New Roman"/>
          <w:color w:val="000000"/>
          <w:szCs w:val="21"/>
          <w:highlight w:val="none"/>
          <w:lang w:eastAsia="zh-CN"/>
        </w:rPr>
        <w:t xml:space="preserve">       </w:t>
      </w:r>
      <w:r>
        <w:rPr>
          <w:rFonts w:ascii="Times New Roman" w:hAnsi="Times New Roman" w:cs="Times New Roman"/>
          <w:color w:val="000000"/>
          <w:szCs w:val="21"/>
          <w:highlight w:val="none"/>
        </w:rPr>
      </w:r>
      <w:r/>
    </w:p>
    <w:p>
      <w:pPr>
        <w:pStyle w:val="1055"/>
        <w:jc w:val="left"/>
        <w:spacing w:line="360" w:lineRule="auto"/>
        <w:shd w:val="clear" w:color="auto" w:fill="ffffff"/>
        <w:widowControl/>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rPr>
      </w:r>
      <w:r/>
    </w:p>
    <w:p>
      <w:pPr>
        <w:pStyle w:val="1055"/>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055"/>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055"/>
        <w:spacing w:line="360" w:lineRule="auto"/>
        <w:widowControl/>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br w:type="page" w:clear="all"/>
      </w:r>
      <w:r>
        <w:rPr>
          <w:rFonts w:ascii="Times New Roman" w:hAnsi="Times New Roman" w:cs="Times New Roman"/>
          <w:b/>
          <w:bCs/>
          <w:color w:val="000000"/>
          <w:sz w:val="24"/>
          <w:highlight w:val="none"/>
        </w:rPr>
        <w:t xml:space="preserve">附件</w:t>
      </w:r>
      <w:r>
        <w:rPr>
          <w:rFonts w:hint="eastAsia" w:ascii="Times New Roman" w:hAnsi="Times New Roman" w:cs="Times New Roman"/>
          <w:b/>
          <w:bCs/>
          <w:color w:val="000000"/>
          <w:sz w:val="24"/>
          <w:highlight w:val="none"/>
          <w:lang w:val="en-US" w:eastAsia="zh-CN"/>
        </w:rPr>
        <w:t xml:space="preserve">六</w:t>
      </w:r>
      <w:r>
        <w:rPr>
          <w:rFonts w:ascii="Times New Roman" w:hAnsi="Times New Roman" w:cs="Times New Roman"/>
          <w:b/>
          <w:bCs/>
          <w:color w:val="000000"/>
          <w:sz w:val="24"/>
          <w:highlight w:val="none"/>
        </w:rPr>
        <w:t xml:space="preserve">、 类似业绩情况表</w:t>
      </w:r>
      <w:r>
        <w:rPr>
          <w:rFonts w:ascii="Times New Roman" w:hAnsi="Times New Roman" w:cs="Times New Roman"/>
          <w:b/>
          <w:bCs/>
          <w:color w:val="000000"/>
          <w:sz w:val="24"/>
          <w:highlight w:val="none"/>
        </w:rPr>
      </w:r>
      <w:r/>
    </w:p>
    <w:p>
      <w:pPr>
        <w:pStyle w:val="1055"/>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pStyle w:val="1055"/>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类似业绩情况表</w:t>
      </w:r>
      <w:r>
        <w:rPr>
          <w:rFonts w:hint="eastAsia" w:ascii="宋体" w:hAnsi="宋体" w:cs="宋体"/>
          <w:b/>
          <w:bCs/>
          <w:color w:val="000000"/>
          <w:sz w:val="24"/>
          <w:highlight w:val="none"/>
        </w:rPr>
      </w:r>
      <w:r/>
    </w:p>
    <w:tbl>
      <w:tblPr>
        <w:tblW w:w="77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517"/>
        <w:gridCol w:w="1584"/>
        <w:gridCol w:w="1012"/>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业主单位</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合同签订时间</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联系人及电话</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5"/>
              <w:ind w:firstLine="120"/>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55"/>
              <w:jc w:val="center"/>
              <w:spacing w:line="40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55"/>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pStyle w:val="1055"/>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pStyle w:val="105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5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1055"/>
        <w:jc w:val="left"/>
        <w:spacing w:line="360" w:lineRule="auto"/>
        <w:shd w:val="clear" w:color="auto" w:fill="ffffff"/>
        <w:widowControl/>
        <w:rPr>
          <w:rFonts w:ascii="Times New Roman" w:hAnsi="Times New Roman" w:cs="Times New Roman"/>
          <w:color w:val="000000"/>
          <w:szCs w:val="21"/>
          <w:highlight w:val="none"/>
        </w:rPr>
      </w:pPr>
      <w:r>
        <w:rPr>
          <w:rFonts w:hint="eastAsia" w:cs="Times New Roman"/>
          <w:color w:val="000000"/>
          <w:szCs w:val="21"/>
          <w:highlight w:val="none"/>
          <w:lang w:eastAsia="zh-CN"/>
        </w:rPr>
        <w:t xml:space="preserve"> </w:t>
      </w:r>
      <w:r>
        <w:rPr>
          <w:rFonts w:ascii="Times New Roman" w:hAnsi="Times New Roman" w:cs="Times New Roman"/>
          <w:color w:val="000000"/>
          <w:szCs w:val="21"/>
          <w:highlight w:val="none"/>
        </w:rPr>
      </w:r>
      <w:r/>
    </w:p>
    <w:p>
      <w:pPr>
        <w:pStyle w:val="1055"/>
        <w:jc w:val="left"/>
        <w:spacing w:line="360" w:lineRule="auto"/>
        <w:shd w:val="clear" w:color="auto" w:fill="ffffff"/>
        <w:widowControl/>
        <w:rPr>
          <w:rFonts w:hint="eastAsia" w:ascii="Arial" w:hAnsi="Arial" w:eastAsia="宋体" w:cs="Arial"/>
          <w:b/>
          <w:color w:val="000000"/>
          <w:highlight w:val="none"/>
          <w:lang w:val="en-US" w:eastAsia="zh-CN"/>
        </w:rPr>
        <w:sectPr>
          <w:footnotePr/>
          <w:endnotePr/>
          <w:type w:val="nextPage"/>
          <w:pgSz w:w="11906" w:h="16838" w:orient="portrait"/>
          <w:pgMar w:top="1440" w:right="1800" w:bottom="1440" w:left="1600" w:header="851" w:footer="992" w:gutter="0"/>
          <w:cols w:num="1" w:sep="0" w:space="1701" w:equalWidth="1"/>
          <w:docGrid w:linePitch="360"/>
          <w:titlePg/>
        </w:sectPr>
      </w:pPr>
      <w:r>
        <w:rPr>
          <w:rFonts w:ascii="Arial" w:hAnsi="Arial" w:cs="Arial"/>
          <w:color w:val="000000"/>
          <w:szCs w:val="21"/>
          <w:highlight w:val="none"/>
        </w:rPr>
      </w:r>
      <w:bookmarkStart w:id="119" w:name="_Toc504044388"/>
      <w:r/>
      <w:bookmarkStart w:id="120" w:name="_Toc534273685"/>
      <w:r/>
      <w:bookmarkStart w:id="121" w:name="_Toc504056876"/>
      <w:r/>
      <w:bookmarkStart w:id="122" w:name="_Toc534273808"/>
      <w:r/>
      <w:bookmarkStart w:id="123" w:name="_Toc504573091"/>
      <w:r/>
      <w:bookmarkStart w:id="124" w:name="_Toc490133036"/>
      <w:r>
        <w:rPr>
          <w:rFonts w:ascii="Arial" w:hAnsi="Arial" w:cs="Arial"/>
          <w:b/>
          <w:color w:val="000000"/>
          <w:highlight w:val="none"/>
        </w:rPr>
        <w:t xml:space="preserve">附件</w:t>
      </w:r>
      <w:r>
        <w:rPr>
          <w:rFonts w:hint="eastAsia" w:ascii="Arial" w:hAnsi="Arial" w:cs="Arial"/>
          <w:b/>
          <w:color w:val="000000"/>
          <w:highlight w:val="none"/>
          <w:lang w:val="en-US" w:eastAsia="zh-CN"/>
        </w:rPr>
        <w:t xml:space="preserve">七</w:t>
      </w:r>
      <w:r>
        <w:rPr>
          <w:rFonts w:ascii="Arial" w:hAnsi="Arial" w:cs="Arial"/>
          <w:b/>
          <w:color w:val="000000"/>
          <w:highlight w:val="none"/>
        </w:rPr>
        <w:t xml:space="preserve">、 资格证明文</w:t>
      </w:r>
      <w:r>
        <w:rPr>
          <w:rFonts w:hint="eastAsia" w:ascii="Arial" w:hAnsi="Arial" w:cs="Arial"/>
          <w:b/>
          <w:color w:val="000000"/>
          <w:highlight w:val="none"/>
          <w:lang w:val="en-US" w:eastAsia="zh-CN"/>
        </w:rPr>
        <w:t xml:space="preserve">件</w:t>
      </w:r>
      <w:r>
        <w:rPr>
          <w:rFonts w:hint="eastAsia" w:ascii="Arial" w:hAnsi="Arial" w:eastAsia="宋体" w:cs="Arial"/>
          <w:b/>
          <w:color w:val="000000"/>
          <w:highlight w:val="none"/>
          <w:lang w:val="en-US" w:eastAsia="zh-CN"/>
        </w:rPr>
      </w:r>
      <w:r/>
    </w:p>
    <w:p>
      <w:pPr>
        <w:pStyle w:val="1055"/>
        <w:spacing w:before="240" w:after="240"/>
        <w:rPr>
          <w:b/>
          <w:color w:val="000000"/>
          <w:highlight w:val="none"/>
        </w:rPr>
      </w:pPr>
      <w:r>
        <w:rPr>
          <w:b/>
          <w:color w:val="000000"/>
          <w:highlight w:val="none"/>
        </w:rPr>
        <w:t xml:space="preserve">附件</w:t>
      </w:r>
      <w:r>
        <w:rPr>
          <w:rFonts w:hint="eastAsia"/>
          <w:b/>
          <w:color w:val="000000"/>
          <w:highlight w:val="none"/>
          <w:lang w:val="en-US" w:eastAsia="zh-CN"/>
        </w:rPr>
        <w:t xml:space="preserve">八</w:t>
      </w:r>
      <w:r>
        <w:rPr>
          <w:b/>
          <w:color w:val="000000"/>
          <w:highlight w:val="none"/>
        </w:rPr>
        <w:t xml:space="preserve">、无重大违法记录声明格式</w:t>
      </w:r>
      <w:r>
        <w:rPr>
          <w:b/>
          <w:color w:val="000000"/>
          <w:highlight w:val="none"/>
        </w:rPr>
      </w:r>
      <w:r/>
    </w:p>
    <w:p>
      <w:pPr>
        <w:pStyle w:val="1055"/>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1055"/>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rPr>
          <w:rFonts w:ascii="Arial" w:hAnsi="Arial" w:eastAsia="黑体" w:cs="Arial"/>
          <w:color w:val="000000"/>
          <w:sz w:val="28"/>
          <w:szCs w:val="36"/>
          <w:highlight w:val="none"/>
        </w:rPr>
      </w:r>
      <w:r/>
    </w:p>
    <w:p>
      <w:pPr>
        <w:pStyle w:val="1055"/>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1055"/>
        <w:spacing w:line="360" w:lineRule="auto"/>
        <w:rPr>
          <w:rFonts w:ascii="Arial" w:hAnsi="Arial" w:cs="Arial"/>
          <w:color w:val="000000"/>
          <w:szCs w:val="21"/>
          <w:highlight w:val="none"/>
        </w:rPr>
      </w:pPr>
      <w:r>
        <w:rPr>
          <w:rFonts w:ascii="Arial" w:hAnsi="Arial" w:cs="Arial"/>
          <w:color w:val="000000"/>
          <w:szCs w:val="21"/>
          <w:highlight w:val="none"/>
        </w:rPr>
        <w:t xml:space="preserve">江苏省设备成套股份有限公司：</w:t>
      </w:r>
      <w:r>
        <w:rPr>
          <w:rFonts w:ascii="Arial" w:hAnsi="Arial" w:cs="Arial"/>
          <w:color w:val="000000"/>
          <w:szCs w:val="21"/>
          <w:highlight w:val="none"/>
        </w:rPr>
      </w:r>
      <w:r/>
    </w:p>
    <w:p>
      <w:pPr>
        <w:pStyle w:val="1055"/>
        <w:spacing w:line="360" w:lineRule="auto"/>
        <w:rPr>
          <w:rFonts w:ascii="Arial" w:hAnsi="Arial" w:cs="Arial"/>
          <w:color w:val="000000"/>
          <w:highlight w:val="none"/>
        </w:rPr>
      </w:pPr>
      <w:r>
        <w:rPr>
          <w:rFonts w:ascii="Arial" w:hAnsi="Arial" w:cs="Arial"/>
          <w:color w:val="000000"/>
          <w:highlight w:val="none"/>
        </w:rPr>
      </w:r>
      <w:r/>
    </w:p>
    <w:p>
      <w:pPr>
        <w:pStyle w:val="105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我单位（供应商名称）宣布声明和承诺如下：</w:t>
      </w:r>
      <w:r>
        <w:rPr>
          <w:rFonts w:ascii="Arial" w:hAnsi="Arial" w:cs="Arial"/>
          <w:color w:val="000000"/>
          <w:szCs w:val="21"/>
          <w:highlight w:val="none"/>
        </w:rPr>
      </w:r>
      <w:r/>
    </w:p>
    <w:p>
      <w:pPr>
        <w:pStyle w:val="1055"/>
        <w:ind w:firstLine="31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 </w:t>
      </w:r>
      <w:r>
        <w:rPr>
          <w:rFonts w:ascii="Arial" w:hAnsi="Arial" w:cs="Arial"/>
          <w:color w:val="000000"/>
          <w:szCs w:val="21"/>
          <w:highlight w:val="none"/>
        </w:rPr>
        <w:t xml:space="preserve">我单位参加本次采购活动前3年内在经营活动中</w:t>
      </w:r>
      <w:r>
        <w:rPr>
          <w:rFonts w:ascii="Arial" w:hAnsi="Arial" w:cs="Arial"/>
          <w:color w:val="000000"/>
          <w:highlight w:val="none"/>
        </w:rPr>
        <w:t xml:space="preserve">（</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w:t>
      </w:r>
      <w:r>
        <w:rPr>
          <w:rFonts w:hint="eastAsia" w:ascii="Arial" w:hAnsi="Arial" w:cs="Arial"/>
          <w:b/>
          <w:color w:val="000000"/>
          <w:szCs w:val="21"/>
          <w:highlight w:val="none"/>
          <w:lang w:eastAsia="zh-CN"/>
        </w:rPr>
        <w:t xml:space="preserve">重大税收违法失信主体名单</w:t>
      </w:r>
      <w:r>
        <w:rPr>
          <w:rFonts w:ascii="Arial" w:hAnsi="Arial" w:cs="Arial"/>
          <w:b/>
          <w:color w:val="000000"/>
          <w:szCs w:val="21"/>
          <w:highlight w:val="none"/>
        </w:rPr>
        <w:t xml:space="preserve">、政府采购严重违法失信行为记录名单的供应商。</w:t>
      </w:r>
      <w:r>
        <w:rPr>
          <w:rFonts w:ascii="Arial" w:hAnsi="Arial" w:cs="Arial"/>
          <w:b/>
          <w:color w:val="000000"/>
          <w:szCs w:val="21"/>
          <w:highlight w:val="none"/>
        </w:rPr>
      </w:r>
      <w:r/>
    </w:p>
    <w:p>
      <w:pPr>
        <w:pStyle w:val="1055"/>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1055"/>
        <w:ind w:firstLine="315"/>
        <w:spacing w:line="360" w:lineRule="auto"/>
        <w:rPr>
          <w:rFonts w:ascii="Arial" w:hAnsi="Arial" w:cs="Arial"/>
          <w:color w:val="000000"/>
          <w:highlight w:val="none"/>
        </w:rPr>
      </w:pPr>
      <w:r>
        <w:rPr>
          <w:rFonts w:ascii="Arial" w:hAnsi="Arial" w:cs="Arial"/>
          <w:color w:val="000000"/>
          <w:highlight w:val="none"/>
        </w:rPr>
      </w:r>
      <w:r/>
    </w:p>
    <w:p>
      <w:pPr>
        <w:pStyle w:val="1055"/>
        <w:spacing w:line="360" w:lineRule="auto"/>
        <w:rPr>
          <w:rFonts w:ascii="Arial" w:hAnsi="Arial" w:cs="Arial"/>
          <w:color w:val="000000"/>
          <w:highlight w:val="none"/>
        </w:rPr>
      </w:pPr>
      <w:r>
        <w:rPr>
          <w:rFonts w:ascii="Arial" w:hAnsi="Arial" w:cs="Arial"/>
          <w:color w:val="000000"/>
          <w:highlight w:val="none"/>
        </w:rPr>
      </w:r>
      <w:r/>
    </w:p>
    <w:p>
      <w:pPr>
        <w:pStyle w:val="1055"/>
        <w:spacing w:line="360" w:lineRule="auto"/>
        <w:rPr>
          <w:rFonts w:ascii="Arial" w:hAnsi="Arial" w:cs="Arial"/>
          <w:color w:val="000000"/>
          <w:highlight w:val="none"/>
        </w:rPr>
      </w:pPr>
      <w:r>
        <w:rPr>
          <w:rFonts w:ascii="Arial" w:hAnsi="Arial" w:cs="Arial"/>
          <w:color w:val="000000"/>
          <w:highlight w:val="none"/>
        </w:rPr>
      </w:r>
      <w:r/>
    </w:p>
    <w:p>
      <w:pPr>
        <w:pStyle w:val="1055"/>
        <w:spacing w:line="360" w:lineRule="auto"/>
        <w:rPr>
          <w:rFonts w:ascii="Arial" w:hAnsi="Arial" w:cs="Arial"/>
          <w:color w:val="000000"/>
          <w:sz w:val="21"/>
          <w:szCs w:val="21"/>
          <w:highlight w:val="none"/>
          <w:u w:val="singl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 w:val="21"/>
          <w:szCs w:val="21"/>
          <w:highlight w:val="none"/>
          <w:u w:val="single"/>
        </w:rPr>
      </w:r>
      <w:r/>
    </w:p>
    <w:p>
      <w:pPr>
        <w:pStyle w:val="1147"/>
        <w:rPr>
          <w:color w:val="000000"/>
          <w:highlight w:val="none"/>
        </w:rPr>
        <w:sectPr>
          <w:footnotePr/>
          <w:endnotePr/>
          <w:type w:val="nextPage"/>
          <w:pgSz w:w="11906" w:h="16838" w:orient="portrait"/>
          <w:pgMar w:top="1440" w:right="1800" w:bottom="1440" w:left="1600" w:header="851" w:footer="992" w:gutter="0"/>
          <w:cols w:num="1" w:sep="0" w:space="1701" w:equalWidth="1"/>
          <w:docGrid w:linePitch="360"/>
          <w:titlePg/>
        </w:sectPr>
      </w:pPr>
      <w:r>
        <w:rPr>
          <w:rFonts w:ascii="Arial" w:hAnsi="Arial" w:cs="Arial"/>
          <w:color w:val="000000"/>
          <w:szCs w:val="21"/>
          <w:highlight w:val="none"/>
        </w:rPr>
        <w:t xml:space="preserve">日    期：   年    月    日</w:t>
      </w:r>
      <w:r>
        <w:rPr>
          <w:color w:val="000000"/>
          <w:highlight w:val="none"/>
        </w:rPr>
      </w:r>
      <w:r/>
    </w:p>
    <w:p>
      <w:pPr>
        <w:pStyle w:val="1055"/>
        <w:jc w:val="left"/>
        <w:spacing w:line="360" w:lineRule="auto"/>
        <w:shd w:val="clear" w:color="auto" w:fill="ffffff"/>
        <w:widowControl/>
        <w:rPr>
          <w:b/>
          <w:color w:val="000000"/>
          <w:highlight w:val="none"/>
        </w:rPr>
      </w:pPr>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、企业声明函格式</w:t>
      </w:r>
      <w:bookmarkEnd w:id="119"/>
      <w:r/>
      <w:bookmarkEnd w:id="120"/>
      <w:r/>
      <w:bookmarkEnd w:id="121"/>
      <w:r/>
      <w:bookmarkEnd w:id="122"/>
      <w:r/>
      <w:bookmarkEnd w:id="123"/>
      <w:r/>
      <w:bookmarkEnd w:id="124"/>
      <w:r>
        <w:rPr>
          <w:b/>
          <w:color w:val="000000"/>
          <w:highlight w:val="none"/>
        </w:rPr>
      </w:r>
      <w:r/>
    </w:p>
    <w:p>
      <w:pPr>
        <w:pStyle w:val="1055"/>
        <w:jc w:val="center"/>
        <w:spacing w:before="312" w:after="312" w:line="480" w:lineRule="auto"/>
        <w:rPr>
          <w:rFonts w:hint="eastAsia" w:ascii="宋体" w:hAnsi="宋体" w:cs="宋体"/>
          <w:b/>
          <w:bCs/>
          <w:color w:val="000000"/>
          <w:sz w:val="28"/>
          <w:szCs w:val="28"/>
          <w:highlight w:val="none"/>
        </w:rPr>
      </w:pPr>
      <w:r/>
      <w:bookmarkStart w:id="125" w:name="OLE_LINK14"/>
      <w:r/>
      <w:bookmarkStart w:id="126" w:name="OLE_LINK13"/>
      <w:r>
        <w:rPr>
          <w:rFonts w:hint="eastAsia" w:ascii="宋体" w:hAnsi="宋体" w:cs="宋体"/>
          <w:b/>
          <w:bCs/>
          <w:color w:val="000000"/>
          <w:sz w:val="28"/>
          <w:szCs w:val="28"/>
          <w:highlight w:val="none"/>
        </w:rPr>
        <w:t xml:space="preserve">中小企业声明函（服务）</w:t>
      </w:r>
      <w:r>
        <w:rPr>
          <w:rFonts w:hint="eastAsia" w:ascii="宋体" w:hAnsi="宋体" w:cs="宋体"/>
          <w:b/>
          <w:bCs/>
          <w:color w:val="000000"/>
          <w:sz w:val="28"/>
          <w:szCs w:val="28"/>
          <w:highlight w:val="none"/>
        </w:rPr>
      </w:r>
      <w:r/>
    </w:p>
    <w:p>
      <w:pPr>
        <w:pStyle w:val="1055"/>
        <w:ind w:firstLine="420"/>
        <w:jc w:val="left"/>
        <w:spacing w:line="440" w:lineRule="exact"/>
        <w:widowControl/>
        <w:rPr>
          <w:rFonts w:hint="eastAsia" w:ascii="宋体" w:hAnsi="宋体" w:cs="宋体"/>
          <w:color w:val="000000"/>
          <w:szCs w:val="21"/>
          <w:highlight w:val="none"/>
        </w:rPr>
      </w:pPr>
      <w:r>
        <w:rPr>
          <w:rFonts w:hint="eastAsia" w:ascii="宋体" w:hAnsi="宋体" w:cs="宋体"/>
          <w:color w:val="000000"/>
          <w:highlight w:val="none"/>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1055"/>
        <w:ind w:firstLine="420"/>
        <w:jc w:val="left"/>
        <w:spacing w:line="440" w:lineRule="exact"/>
        <w:widowControl/>
        <w:rPr>
          <w:rFonts w:hint="eastAsia" w:ascii="宋体" w:hAnsi="宋体" w:cs="宋体"/>
          <w:color w:val="000000"/>
          <w:highlight w:val="none"/>
        </w:rPr>
      </w:pP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w:t>
      </w:r>
      <w:r>
        <w:rPr>
          <w:rFonts w:hint="eastAsia" w:ascii="宋体" w:hAnsi="宋体" w:cs="宋体"/>
          <w:color w:val="000000"/>
          <w:highlight w:val="none"/>
        </w:rPr>
        <w:t xml:space="preserve">, 承接企业为（企业名称）,从业人员</w:t>
      </w:r>
      <w:r>
        <w:rPr>
          <w:rFonts w:hint="eastAsia" w:ascii="宋体" w:hAnsi="宋体" w:cs="宋体"/>
          <w:color w:val="000000"/>
          <w:highlight w:val="none"/>
          <w:u w:val="single"/>
        </w:rPr>
        <w:tab/>
      </w:r>
      <w:r>
        <w:rPr>
          <w:rFonts w:hint="eastAsia" w:ascii="宋体" w:hAnsi="宋体" w:cs="宋体"/>
          <w:color w:val="000000"/>
          <w:highlight w:val="none"/>
          <w:u w:val="single"/>
        </w:rPr>
        <w:t xml:space="preserve">人</w:t>
      </w:r>
      <w:r>
        <w:rPr>
          <w:rFonts w:hint="eastAsia" w:ascii="宋体" w:hAnsi="宋体" w:cs="宋体"/>
          <w:color w:val="000000"/>
          <w:highlight w:val="none"/>
        </w:rPr>
        <w:t xml:space="preserve">，营业收入为</w:t>
      </w:r>
      <w:r>
        <w:rPr>
          <w:rFonts w:hint="eastAsia" w:ascii="宋体" w:hAnsi="宋体" w:cs="宋体"/>
          <w:color w:val="000000"/>
          <w:highlight w:val="none"/>
          <w:u w:val="single"/>
        </w:rPr>
        <w:tab/>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ab/>
      </w:r>
      <w:r>
        <w:rPr>
          <w:rFonts w:hint="eastAsia" w:ascii="宋体" w:hAnsi="宋体" w:cs="宋体"/>
          <w:color w:val="000000"/>
          <w:highlight w:val="none"/>
        </w:rPr>
        <w:t xml:space="preserve">万元，属于（中型企业、小型企业、微型企业）；</w:t>
      </w:r>
      <w:r>
        <w:rPr>
          <w:rFonts w:hint="eastAsia" w:ascii="宋体" w:hAnsi="宋体" w:cs="宋体"/>
          <w:color w:val="000000"/>
          <w:highlight w:val="none"/>
        </w:rPr>
      </w:r>
      <w:r/>
    </w:p>
    <w:p>
      <w:pPr>
        <w:pStyle w:val="1055"/>
        <w:ind w:firstLine="420"/>
        <w:jc w:val="left"/>
        <w:spacing w:line="440" w:lineRule="exact"/>
        <w:widowControl/>
        <w:rPr>
          <w:rFonts w:hint="eastAsia" w:ascii="宋体" w:hAnsi="宋体" w:cs="宋体"/>
          <w:color w:val="000000"/>
          <w:highlight w:val="none"/>
        </w:rPr>
      </w:pP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属于（采购文件中明确的所属行业）, 承接企业为（企业名称）,从业人员</w:t>
      </w:r>
      <w:r>
        <w:rPr>
          <w:rFonts w:hint="eastAsia" w:ascii="宋体" w:hAnsi="宋体" w:cs="宋体"/>
          <w:color w:val="000000"/>
          <w:highlight w:val="none"/>
          <w:u w:val="single"/>
        </w:rPr>
        <w:tab/>
      </w:r>
      <w:r>
        <w:rPr>
          <w:rFonts w:hint="eastAsia" w:ascii="宋体" w:hAnsi="宋体" w:cs="宋体"/>
          <w:color w:val="000000"/>
          <w:highlight w:val="none"/>
          <w:u w:val="single"/>
        </w:rPr>
        <w:t xml:space="preserve">人</w:t>
      </w:r>
      <w:r>
        <w:rPr>
          <w:rFonts w:hint="eastAsia" w:ascii="宋体" w:hAnsi="宋体" w:cs="宋体"/>
          <w:color w:val="000000"/>
          <w:highlight w:val="none"/>
        </w:rPr>
        <w:t xml:space="preserve">，营业收入为</w:t>
      </w:r>
      <w:r>
        <w:rPr>
          <w:rFonts w:hint="eastAsia" w:ascii="宋体" w:hAnsi="宋体" w:cs="宋体"/>
          <w:color w:val="000000"/>
          <w:highlight w:val="none"/>
          <w:u w:val="single"/>
        </w:rPr>
        <w:tab/>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ab/>
      </w:r>
      <w:r>
        <w:rPr>
          <w:rFonts w:hint="eastAsia" w:ascii="宋体" w:hAnsi="宋体" w:cs="宋体"/>
          <w:color w:val="000000"/>
          <w:highlight w:val="none"/>
        </w:rPr>
        <w:t xml:space="preserve">万元，属于（中型企业、小型企业、微型企业）；</w:t>
      </w:r>
      <w:r>
        <w:rPr>
          <w:rFonts w:hint="eastAsia" w:ascii="宋体" w:hAnsi="宋体" w:cs="宋体"/>
          <w:color w:val="000000"/>
          <w:highlight w:val="none"/>
        </w:rPr>
        <w:tab/>
      </w:r>
      <w:r>
        <w:rPr>
          <w:rFonts w:hint="eastAsia" w:ascii="宋体" w:hAnsi="宋体" w:cs="宋体"/>
          <w:color w:val="000000"/>
          <w:highlight w:val="none"/>
        </w:rPr>
      </w:r>
      <w:r/>
    </w:p>
    <w:p>
      <w:pPr>
        <w:pStyle w:val="1055"/>
        <w:ind w:firstLine="420"/>
        <w:jc w:val="left"/>
        <w:spacing w:line="440" w:lineRule="exact"/>
        <w:widowControl/>
        <w:rPr>
          <w:rFonts w:hint="eastAsia"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highlight w:val="none"/>
        </w:rPr>
      </w:r>
      <w:r/>
    </w:p>
    <w:p>
      <w:pPr>
        <w:pStyle w:val="1055"/>
        <w:ind w:firstLine="420"/>
        <w:jc w:val="left"/>
        <w:spacing w:line="440" w:lineRule="exact"/>
        <w:widowControl/>
        <w:rPr>
          <w:rFonts w:hint="eastAsia" w:ascii="宋体" w:hAnsi="宋体" w:cs="Arial"/>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hint="eastAsia" w:ascii="宋体" w:hAnsi="宋体" w:cs="Arial"/>
          <w:color w:val="000000"/>
          <w:highlight w:val="none"/>
        </w:rPr>
      </w:r>
      <w:r/>
    </w:p>
    <w:p>
      <w:pPr>
        <w:pStyle w:val="1055"/>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1055"/>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105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55"/>
        <w:jc w:val="both"/>
        <w:spacing w:line="360" w:lineRule="auto"/>
        <w:rPr>
          <w:rFonts w:ascii="Arial" w:hAnsi="Arial" w:cs="Arial"/>
          <w:b/>
          <w:bCs/>
          <w:color w:val="000000"/>
          <w:sz w:val="28"/>
          <w:highlight w:val="none"/>
        </w:rPr>
        <w:sectPr>
          <w:footnotePr/>
          <w:endnotePr/>
          <w:type w:val="nextPage"/>
          <w:pgSz w:w="11906" w:h="16838" w:orient="portrait"/>
          <w:pgMar w:top="1440" w:right="1800" w:bottom="1440" w:left="1600" w:header="851" w:footer="992" w:gutter="0"/>
          <w:cols w:num="1" w:sep="0" w:space="1701" w:equalWidth="1"/>
          <w:docGrid w:linePitch="360"/>
          <w:titlePg/>
        </w:sectPr>
      </w:pPr>
      <w:r>
        <w:rPr>
          <w:rFonts w:ascii="Arial" w:hAnsi="Arial" w:cs="Arial"/>
          <w:color w:val="000000"/>
          <w:szCs w:val="21"/>
          <w:highlight w:val="none"/>
        </w:rPr>
        <w:t xml:space="preserve">日    期：   年    月    日</w:t>
      </w:r>
      <w:r>
        <w:rPr>
          <w:rFonts w:ascii="Arial" w:hAnsi="Arial" w:cs="Arial"/>
          <w:b/>
          <w:bCs/>
          <w:color w:val="000000"/>
          <w:sz w:val="28"/>
          <w:highlight w:val="none"/>
        </w:rPr>
      </w:r>
      <w:r/>
    </w:p>
    <w:p>
      <w:pPr>
        <w:pStyle w:val="1055"/>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残疾人福利性单位声明函</w:t>
      </w:r>
      <w:r>
        <w:rPr>
          <w:rFonts w:ascii="Arial" w:hAnsi="Arial" w:cs="Arial"/>
          <w:b/>
          <w:color w:val="000000"/>
          <w:sz w:val="36"/>
          <w:szCs w:val="36"/>
          <w:highlight w:val="none"/>
        </w:rPr>
      </w:r>
      <w:r/>
    </w:p>
    <w:p>
      <w:pPr>
        <w:pStyle w:val="1055"/>
        <w:ind w:firstLine="420"/>
        <w:jc w:val="left"/>
        <w:spacing w:line="400" w:lineRule="exact"/>
        <w:widowControl/>
        <w:rPr>
          <w:rFonts w:ascii="Arial" w:hAnsi="Arial" w:cs="Arial"/>
          <w:color w:val="000000"/>
          <w:szCs w:val="21"/>
          <w:highlight w:val="none"/>
        </w:rPr>
      </w:pPr>
      <w:r/>
      <w:bookmarkEnd w:id="125"/>
      <w:r/>
      <w:bookmarkEnd w:id="126"/>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1055"/>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1055"/>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1055"/>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105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55"/>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1055"/>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1055"/>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1055"/>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105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105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105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55"/>
        <w:spacing w:line="360" w:lineRule="auto"/>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105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1055"/>
        <w:jc w:val="both"/>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1055"/>
        <w:spacing w:line="360" w:lineRule="auto"/>
        <w:rPr>
          <w:rFonts w:ascii="Times New Roman" w:hAnsi="Times New Roman" w:cs="Times New Roman"/>
          <w:color w:val="000000"/>
          <w:szCs w:val="21"/>
          <w:highlight w:val="none"/>
        </w:rPr>
      </w:pPr>
      <w:r/>
      <w:bookmarkStart w:id="127" w:name="_Toc504056877"/>
      <w:r/>
      <w:bookmarkStart w:id="128" w:name="_Toc534273686"/>
      <w:r/>
      <w:bookmarkStart w:id="129" w:name="_Toc8704"/>
      <w:r/>
      <w:bookmarkStart w:id="130" w:name="_Toc490133037"/>
      <w:r/>
      <w:bookmarkStart w:id="131" w:name="_Toc504573092"/>
      <w:r/>
      <w:bookmarkStart w:id="132" w:name="_Toc504044389"/>
      <w:r/>
      <w:bookmarkStart w:id="133" w:name="_Toc534273809"/>
      <w:r>
        <w:rPr>
          <w:b/>
          <w:color w:val="000000"/>
          <w:highlight w:val="none"/>
        </w:rPr>
        <w:br w:type="page" w:clear="all"/>
      </w:r>
      <w:bookmarkEnd w:id="127"/>
      <w:r/>
      <w:bookmarkEnd w:id="128"/>
      <w:r/>
      <w:bookmarkEnd w:id="129"/>
      <w:r/>
      <w:bookmarkEnd w:id="130"/>
      <w:r/>
      <w:bookmarkEnd w:id="131"/>
      <w:r/>
      <w:bookmarkEnd w:id="132"/>
      <w:r/>
      <w:bookmarkEnd w:id="133"/>
      <w:r>
        <w:rPr>
          <w:rFonts w:ascii="Times New Roman" w:hAnsi="Times New Roman" w:cs="Times New Roman"/>
          <w:b/>
          <w:color w:val="000000"/>
          <w:highlight w:val="none"/>
        </w:rPr>
        <w:t xml:space="preserve">附件十、《</w:t>
      </w:r>
      <w:r>
        <w:rPr>
          <w:rFonts w:ascii="Times New Roman" w:hAnsi="Times New Roman" w:cs="Times New Roman"/>
          <w:b/>
          <w:color w:val="000000"/>
          <w:highlight w:val="none"/>
        </w:rPr>
        <w:t xml:space="preserve">南京市政府采购供应商信用记录表暨信用承诺书</w:t>
      </w:r>
      <w:r>
        <w:rPr>
          <w:rFonts w:ascii="Times New Roman" w:hAnsi="Times New Roman" w:cs="Times New Roman"/>
          <w:b/>
          <w:color w:val="000000"/>
          <w:highlight w:val="none"/>
        </w:rPr>
        <w:t xml:space="preserve">》</w:t>
      </w:r>
      <w:r>
        <w:rPr>
          <w:rFonts w:ascii="Times New Roman" w:hAnsi="Times New Roman" w:cs="Times New Roman"/>
          <w:b/>
          <w:color w:val="000000"/>
          <w:szCs w:val="20"/>
          <w:highlight w:val="none"/>
        </w:rPr>
        <w:t xml:space="preserve">（网站在线打印）</w:t>
      </w:r>
      <w:r>
        <w:rPr>
          <w:rFonts w:ascii="Times New Roman" w:hAnsi="Times New Roman" w:cs="Times New Roman"/>
          <w:color w:val="000000"/>
          <w:szCs w:val="21"/>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190365" cy="4964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
                <v:path textboxrect="0,0,0,0"/>
                <v:imagedata r:id="rId17" o:title=""/>
              </v:shape>
            </w:pict>
          </mc:Fallback>
        </mc:AlternateContent>
      </w: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55"/>
        <w:spacing w:line="360" w:lineRule="auto"/>
        <w:rPr>
          <w:rFonts w:ascii="Times New Roman" w:hAnsi="Times New Roman" w:cs="Times New Roman"/>
          <w:b/>
          <w:color w:val="000000"/>
          <w:highlight w:val="none"/>
        </w:rPr>
      </w:pPr>
      <w:r>
        <w:rPr>
          <w:rFonts w:ascii="Times New Roman" w:hAnsi="Times New Roman" w:cs="Times New Roman"/>
          <w:b/>
          <w:color w:val="000000"/>
          <w:highlight w:val="none"/>
        </w:rPr>
        <w:t xml:space="preserve">附件十</w:t>
      </w:r>
      <w:r>
        <w:rPr>
          <w:rFonts w:hint="eastAsia" w:ascii="Times New Roman" w:hAnsi="Times New Roman" w:cs="Times New Roman"/>
          <w:b/>
          <w:color w:val="000000"/>
          <w:highlight w:val="none"/>
          <w:lang w:val="en-US" w:eastAsia="zh-CN"/>
        </w:rPr>
        <w:t xml:space="preserve">一</w:t>
      </w:r>
      <w:r>
        <w:rPr>
          <w:rFonts w:ascii="Times New Roman" w:hAnsi="Times New Roman" w:cs="Times New Roman"/>
          <w:b/>
          <w:color w:val="000000"/>
          <w:highlight w:val="none"/>
        </w:rPr>
        <w:t xml:space="preserve">、其他</w:t>
      </w:r>
      <w:r>
        <w:rPr>
          <w:rFonts w:ascii="Times New Roman" w:hAnsi="Times New Roman" w:cs="Times New Roman"/>
          <w:b/>
          <w:color w:val="000000"/>
          <w:highlight w:val="none"/>
        </w:rPr>
      </w:r>
      <w:r/>
    </w:p>
    <w:p>
      <w:pPr>
        <w:pStyle w:val="1055"/>
        <w:rPr>
          <w:rFonts w:hint="eastAsia" w:ascii="Arial" w:hAnsi="Arial" w:cs="Arial"/>
          <w:b/>
          <w:color w:val="000000"/>
          <w:highlight w:val="none"/>
          <w:lang w:val="en-US" w:eastAsia="zh-CN"/>
        </w:rPr>
      </w:pPr>
      <w:r>
        <w:rPr>
          <w:rFonts w:hint="eastAsia" w:ascii="Arial" w:hAnsi="Arial" w:cs="Arial"/>
          <w:b/>
          <w:color w:val="000000"/>
          <w:highlight w:val="none"/>
          <w:lang w:val="en-US" w:eastAsia="zh-CN"/>
        </w:rPr>
      </w:r>
      <w:r/>
    </w:p>
    <w:p>
      <w:pPr>
        <w:pStyle w:val="1055"/>
        <w:spacing w:line="360" w:lineRule="auto"/>
        <w:rPr>
          <w:b/>
          <w:color w:val="000000"/>
          <w:highlight w:val="none"/>
        </w:rPr>
      </w:pPr>
      <w:r>
        <w:rPr>
          <w:b/>
          <w:color w:val="000000"/>
          <w:highlight w:val="none"/>
        </w:rPr>
      </w:r>
      <w:r/>
    </w:p>
    <w:p>
      <w:pPr>
        <w:pStyle w:val="1055"/>
        <w:rPr>
          <w:rFonts w:ascii="Arial" w:hAnsi="Arial" w:cs="Arial"/>
          <w:b/>
          <w:color w:val="000000"/>
          <w:highlight w:val="none"/>
        </w:rPr>
      </w:pPr>
      <w:r/>
      <w:bookmarkEnd w:id="113"/>
      <w:r/>
      <w:bookmarkEnd w:id="114"/>
      <w:r/>
      <w:bookmarkEnd w:id="115"/>
      <w:r/>
      <w:bookmarkEnd w:id="116"/>
      <w:r/>
      <w:bookmarkEnd w:id="117"/>
      <w:r/>
      <w:bookmarkEnd w:id="118"/>
      <w:r>
        <w:rPr>
          <w:rFonts w:ascii="Arial" w:hAnsi="Arial" w:cs="Arial"/>
          <w:b/>
          <w:color w:val="000000"/>
          <w:highlight w:val="none"/>
        </w:rPr>
      </w:r>
      <w:r/>
    </w:p>
    <w:p>
      <w:pPr>
        <w:pStyle w:val="1147"/>
        <w:rPr>
          <w:rFonts w:ascii="Arial" w:hAnsi="Arial" w:cs="Arial"/>
          <w:b/>
          <w:color w:val="000000"/>
          <w:highlight w:val="none"/>
        </w:rPr>
      </w:pPr>
      <w:r>
        <w:rPr>
          <w:rFonts w:ascii="Arial" w:hAnsi="Arial" w:cs="Arial"/>
          <w:b/>
          <w:color w:val="000000"/>
          <w:highlight w:val="none"/>
        </w:rPr>
      </w:r>
      <w:r/>
    </w:p>
    <w:p>
      <w:pPr>
        <w:pStyle w:val="1055"/>
        <w:rPr>
          <w:rFonts w:hint="eastAsia" w:ascii="Arial" w:hAnsi="Arial" w:cs="Arial"/>
          <w:b/>
          <w:color w:val="000000"/>
          <w:highlight w:val="none"/>
          <w:lang w:val="en-US" w:eastAsia="zh-CN"/>
        </w:rPr>
      </w:pPr>
      <w:r>
        <w:rPr>
          <w:rFonts w:hint="eastAsia" w:ascii="Arial" w:hAnsi="Arial" w:cs="Arial"/>
          <w:b/>
          <w:color w:val="000000"/>
          <w:highlight w:val="none"/>
          <w:lang w:val="en-US" w:eastAsia="zh-CN"/>
        </w:rPr>
      </w:r>
      <w:r/>
    </w:p>
    <w:p>
      <w:pPr>
        <w:pStyle w:val="1055"/>
        <w:rPr>
          <w:rFonts w:hint="eastAsia" w:ascii="Arial" w:hAnsi="Arial" w:cs="Arial"/>
          <w:b/>
          <w:color w:val="000000"/>
          <w:highlight w:val="none"/>
          <w:lang w:val="en-US" w:eastAsia="zh-CN"/>
        </w:rPr>
      </w:pPr>
      <w:r>
        <w:rPr>
          <w:rFonts w:hint="eastAsia" w:ascii="Arial" w:hAnsi="Arial" w:cs="Arial"/>
          <w:b/>
          <w:color w:val="000000"/>
          <w:highlight w:val="none"/>
          <w:lang w:val="en-US" w:eastAsia="zh-CN"/>
        </w:rPr>
      </w:r>
      <w:r/>
    </w:p>
    <w:sectPr>
      <w:footerReference w:type="default" r:id="rId16"/>
      <w:footnotePr/>
      <w:endnotePr/>
      <w:type w:val="nextPage"/>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Segoe UI">
    <w:panose1 w:val="020B0502040204020203"/>
  </w:font>
  <w:font w:name="Symbol">
    <w:panose1 w:val="05050102010706020507"/>
  </w:font>
  <w:font w:name="Wingdings">
    <w:panose1 w:val="05000000000000000000"/>
  </w:font>
  <w:font w:name="KNLe">
    <w:panose1 w:val="020B0503020202020204"/>
  </w:font>
  <w:font w:name="楷体_GB2312">
    <w:panose1 w:val="02010609060101010101"/>
  </w:font>
  <w:font w:name="等线">
    <w:panose1 w:val="0201060003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5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5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left="4376"/>
      <w:spacing w:line="16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5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55"/>
                    </w:pPr>
                    <w:r/>
                    <w:r/>
                  </w:p>
                </w:txbxContent>
              </v:textbox>
            </v:shape>
          </w:pict>
        </mc:Fallback>
      </mc:AlternateContent>
    </w:r>
    <w:r>
      <w:rPr>
        <w:rFonts w:ascii="Calibri" w:hAnsi="Calibri" w:eastAsia="Calibri" w:cs="Calibri"/>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05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05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10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10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56"/>
      <w:isLgl w:val="false"/>
      <w:suff w:val="nothing"/>
      <w:lvlText w:val="第%1章"/>
      <w:lvlJc w:val="left"/>
      <w:pPr>
        <w:pStyle w:val="1055"/>
        <w:ind w:left="0" w:firstLine="0"/>
      </w:pPr>
    </w:lvl>
    <w:lvl w:ilvl="1">
      <w:start w:val="1"/>
      <w:numFmt w:val="decimal"/>
      <w:pStyle w:val="1057"/>
      <w:isLgl w:val="false"/>
      <w:suff w:val="nothing"/>
      <w:lvlText w:val=""/>
      <w:lvlJc w:val="left"/>
      <w:pPr>
        <w:pStyle w:val="1055"/>
        <w:ind w:left="0" w:firstLine="0"/>
      </w:pPr>
    </w:lvl>
    <w:lvl w:ilvl="2">
      <w:start w:val="1"/>
      <w:numFmt w:val="decimal"/>
      <w:pStyle w:val="1058"/>
      <w:isLgl w:val="false"/>
      <w:suff w:val="nothing"/>
      <w:lvlText w:val=""/>
      <w:lvlJc w:val="left"/>
      <w:pPr>
        <w:pStyle w:val="1055"/>
        <w:ind w:left="0" w:firstLine="0"/>
      </w:pPr>
    </w:lvl>
    <w:lvl w:ilvl="3">
      <w:start w:val="1"/>
      <w:numFmt w:val="decimal"/>
      <w:pStyle w:val="1059"/>
      <w:isLgl w:val="false"/>
      <w:suff w:val="nothing"/>
      <w:lvlText w:val=""/>
      <w:lvlJc w:val="left"/>
      <w:pPr>
        <w:pStyle w:val="1055"/>
        <w:ind w:left="0" w:firstLine="0"/>
      </w:pPr>
    </w:lvl>
    <w:lvl w:ilvl="4">
      <w:start w:val="1"/>
      <w:numFmt w:val="decimal"/>
      <w:pStyle w:val="1060"/>
      <w:isLgl w:val="false"/>
      <w:suff w:val="nothing"/>
      <w:lvlText w:val=""/>
      <w:lvlJc w:val="left"/>
      <w:pPr>
        <w:pStyle w:val="1055"/>
        <w:ind w:left="0" w:firstLine="0"/>
      </w:pPr>
    </w:lvl>
    <w:lvl w:ilvl="5">
      <w:start w:val="1"/>
      <w:numFmt w:val="decimal"/>
      <w:pStyle w:val="1061"/>
      <w:isLgl w:val="false"/>
      <w:suff w:val="nothing"/>
      <w:lvlText w:val=""/>
      <w:lvlJc w:val="left"/>
      <w:pPr>
        <w:pStyle w:val="1055"/>
        <w:ind w:left="0" w:firstLine="0"/>
      </w:pPr>
    </w:lvl>
    <w:lvl w:ilvl="6">
      <w:start w:val="1"/>
      <w:numFmt w:val="decimal"/>
      <w:pStyle w:val="1062"/>
      <w:isLgl w:val="false"/>
      <w:suff w:val="nothing"/>
      <w:lvlText w:val=""/>
      <w:lvlJc w:val="left"/>
      <w:pPr>
        <w:pStyle w:val="1055"/>
        <w:ind w:left="0" w:firstLine="0"/>
      </w:pPr>
    </w:lvl>
    <w:lvl w:ilvl="7">
      <w:start w:val="1"/>
      <w:numFmt w:val="decimal"/>
      <w:pStyle w:val="1063"/>
      <w:isLgl w:val="false"/>
      <w:suff w:val="nothing"/>
      <w:lvlText w:val=""/>
      <w:lvlJc w:val="left"/>
      <w:pPr>
        <w:pStyle w:val="1055"/>
        <w:ind w:left="0" w:firstLine="0"/>
      </w:pPr>
    </w:lvl>
    <w:lvl w:ilvl="8">
      <w:start w:val="1"/>
      <w:numFmt w:val="decimal"/>
      <w:pStyle w:val="1064"/>
      <w:isLgl w:val="false"/>
      <w:suff w:val="nothing"/>
      <w:lvlText w:val=""/>
      <w:lvlJc w:val="left"/>
      <w:pPr>
        <w:pStyle w:val="1055"/>
        <w:ind w:left="0" w:firstLine="0"/>
      </w:pPr>
    </w:lvl>
  </w:abstractNum>
  <w:abstractNum w:abstractNumId="4">
    <w:multiLevelType w:val="hybridMultilevel"/>
    <w:lvl w:ilvl="0">
      <w:start w:val="1"/>
      <w:numFmt w:val="decimal"/>
      <w:isLgl w:val="false"/>
      <w:suff w:val="nothing"/>
      <w:lvlText w:val="（%1）"/>
      <w:lvlJc w:val="left"/>
      <w:pPr>
        <w:pStyle w:val="1055"/>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 %1 章"/>
      <w:lvlJc w:val="left"/>
      <w:pPr>
        <w:pStyle w:val="1055"/>
        <w:ind w:left="-1260" w:firstLine="0"/>
      </w:pPr>
    </w:lvl>
    <w:lvl w:ilvl="1">
      <w:start w:val="1"/>
      <w:numFmt w:val="decimal"/>
      <w:isLgl w:val="false"/>
      <w:suff w:val="tab"/>
      <w:lvlText w:val="%2 "/>
      <w:lvlJc w:val="left"/>
      <w:pPr>
        <w:pStyle w:val="1055"/>
        <w:ind w:left="0" w:firstLine="0"/>
      </w:pPr>
    </w:lvl>
    <w:lvl w:ilvl="2">
      <w:start w:val="1"/>
      <w:numFmt w:val="decimal"/>
      <w:isLgl w:val="false"/>
      <w:suff w:val="tab"/>
      <w:lvlText w:val="%2.%3"/>
      <w:lvlJc w:val="left"/>
      <w:pPr>
        <w:pStyle w:val="1055"/>
        <w:ind w:left="-1260" w:firstLine="0"/>
      </w:pPr>
    </w:lvl>
    <w:lvl w:ilvl="3">
      <w:start w:val="1"/>
      <w:numFmt w:val="decimal"/>
      <w:pStyle w:val="1155"/>
      <w:isLgl w:val="false"/>
      <w:suff w:val="tab"/>
      <w:lvlText w:val="%2.%3.%4"/>
      <w:lvlJc w:val="left"/>
      <w:pPr>
        <w:pStyle w:val="1055"/>
        <w:ind w:left="-1260" w:firstLine="0"/>
      </w:pPr>
    </w:lvl>
    <w:lvl w:ilvl="4">
      <w:start w:val="1"/>
      <w:numFmt w:val="decimal"/>
      <w:isLgl w:val="false"/>
      <w:suff w:val="tab"/>
      <w:lvlText w:val="%5."/>
      <w:lvlJc w:val="left"/>
      <w:pPr>
        <w:pStyle w:val="1055"/>
        <w:ind w:left="-1260" w:firstLine="0"/>
      </w:pPr>
    </w:lvl>
    <w:lvl w:ilvl="5">
      <w:start w:val="1"/>
      <w:numFmt w:val="decimal"/>
      <w:isLgl w:val="false"/>
      <w:suff w:val="tab"/>
      <w:lvlText w:val="%6）"/>
      <w:lvlJc w:val="left"/>
      <w:pPr>
        <w:pStyle w:val="1055"/>
        <w:ind w:left="-1260" w:firstLine="0"/>
      </w:pPr>
    </w:lvl>
    <w:lvl w:ilvl="6">
      <w:start w:val="1"/>
      <w:numFmt w:val="decimal"/>
      <w:isLgl w:val="false"/>
      <w:suff w:val="tab"/>
      <w:lvlText w:val="%2.%3.%4.%5.%6.%7"/>
      <w:lvlJc w:val="left"/>
      <w:pPr>
        <w:pStyle w:val="1055"/>
        <w:ind w:left="-1260" w:firstLine="0"/>
      </w:pPr>
    </w:lvl>
    <w:lvl w:ilvl="7">
      <w:start w:val="1"/>
      <w:numFmt w:val="decimal"/>
      <w:isLgl w:val="false"/>
      <w:suff w:val="tab"/>
      <w:lvlText w:val="%2.%3.%4.%5.%6.%7.%8"/>
      <w:lvlJc w:val="left"/>
      <w:pPr>
        <w:pStyle w:val="1055"/>
        <w:ind w:left="-1260" w:firstLine="0"/>
      </w:pPr>
    </w:lvl>
    <w:lvl w:ilvl="8">
      <w:start w:val="1"/>
      <w:numFmt w:val="decimal"/>
      <w:isLgl w:val="false"/>
      <w:suff w:val="tab"/>
      <w:lvlText w:val="%2.%3.%4.%5.%6.%7.%8.%9"/>
      <w:lvlJc w:val="left"/>
      <w:pPr>
        <w:pStyle w:val="1055"/>
        <w:ind w:left="-1260" w:firstLine="0"/>
      </w:pPr>
    </w:lvl>
  </w:abstractNum>
  <w:abstractNum w:abstractNumId="6">
    <w:multiLevelType w:val="hybridMultilevel"/>
    <w:lvl w:ilvl="0">
      <w:start w:val="1"/>
      <w:numFmt w:val="bullet"/>
      <w:pStyle w:val="1224"/>
      <w:isLgl w:val="false"/>
      <w:suff w:val="tab"/>
      <w:lvlText w:val=""/>
      <w:lvlJc w:val="left"/>
      <w:pPr>
        <w:pStyle w:val="1055"/>
        <w:ind w:left="420" w:hanging="420"/>
        <w:tabs>
          <w:tab w:val="num" w:pos="420" w:leader="none"/>
        </w:tabs>
      </w:pPr>
      <w:rPr>
        <w:rFonts w:ascii="Wingdings" w:hAnsi="Wingdings"/>
      </w:rPr>
    </w:lvl>
    <w:lvl w:ilvl="1">
      <w:start w:val="1"/>
      <w:numFmt w:val="decimal"/>
      <w:isLgl w:val="false"/>
      <w:suff w:val="tab"/>
      <w:lvlText w:val="（%2）"/>
      <w:lvlJc w:val="left"/>
      <w:pPr>
        <w:pStyle w:val="1055"/>
        <w:ind w:left="1500" w:hanging="1080"/>
        <w:tabs>
          <w:tab w:val="num" w:pos="1500" w:leader="none"/>
        </w:tabs>
      </w:pPr>
      <w:rPr>
        <w:rFonts w:hint="eastAsia" w:cs="Times New Roman"/>
      </w:rPr>
    </w:lvl>
    <w:lvl w:ilvl="2">
      <w:start w:val="1"/>
      <w:numFmt w:val="decimal"/>
      <w:isLgl w:val="false"/>
      <w:suff w:val="tab"/>
      <w:lvlText w:val="（%3）"/>
      <w:lvlJc w:val="left"/>
      <w:pPr>
        <w:pStyle w:val="1055"/>
        <w:ind w:left="1560" w:hanging="720"/>
        <w:tabs>
          <w:tab w:val="num" w:pos="1560" w:leader="none"/>
        </w:tabs>
      </w:pPr>
      <w:rPr>
        <w:rFonts w:hint="eastAsia" w:cs="Times New Roman"/>
      </w:rPr>
    </w:lvl>
    <w:lvl w:ilvl="3">
      <w:start w:val="1"/>
      <w:numFmt w:val="decimal"/>
      <w:isLgl w:val="false"/>
      <w:suff w:val="tab"/>
      <w:lvlText w:val="%4."/>
      <w:lvlJc w:val="left"/>
      <w:pPr>
        <w:pStyle w:val="1055"/>
        <w:ind w:left="1680" w:hanging="420"/>
        <w:tabs>
          <w:tab w:val="num" w:pos="1680" w:leader="none"/>
        </w:tabs>
      </w:pPr>
      <w:rPr>
        <w:rFonts w:cs="Times New Roman"/>
      </w:rPr>
    </w:lvl>
    <w:lvl w:ilvl="4">
      <w:start w:val="1"/>
      <w:numFmt w:val="lowerLetter"/>
      <w:isLgl w:val="false"/>
      <w:suff w:val="tab"/>
      <w:lvlText w:val="%5)"/>
      <w:lvlJc w:val="left"/>
      <w:pPr>
        <w:pStyle w:val="1055"/>
        <w:ind w:left="2100" w:hanging="420"/>
        <w:tabs>
          <w:tab w:val="num" w:pos="2100" w:leader="none"/>
        </w:tabs>
      </w:pPr>
      <w:rPr>
        <w:rFonts w:cs="Times New Roman"/>
      </w:rPr>
    </w:lvl>
    <w:lvl w:ilvl="5">
      <w:start w:val="1"/>
      <w:numFmt w:val="lowerRoman"/>
      <w:isLgl w:val="false"/>
      <w:suff w:val="tab"/>
      <w:lvlText w:val="%6."/>
      <w:lvlJc w:val="right"/>
      <w:pPr>
        <w:pStyle w:val="1055"/>
        <w:ind w:left="2520" w:hanging="420"/>
        <w:tabs>
          <w:tab w:val="num" w:pos="2520" w:leader="none"/>
        </w:tabs>
      </w:pPr>
      <w:rPr>
        <w:rFonts w:cs="Times New Roman"/>
      </w:rPr>
    </w:lvl>
    <w:lvl w:ilvl="6">
      <w:start w:val="1"/>
      <w:numFmt w:val="decimal"/>
      <w:isLgl w:val="false"/>
      <w:suff w:val="tab"/>
      <w:lvlText w:val="%7."/>
      <w:lvlJc w:val="left"/>
      <w:pPr>
        <w:pStyle w:val="1055"/>
        <w:ind w:left="2940" w:hanging="420"/>
        <w:tabs>
          <w:tab w:val="num" w:pos="2940" w:leader="none"/>
        </w:tabs>
      </w:pPr>
      <w:rPr>
        <w:rFonts w:cs="Times New Roman"/>
      </w:rPr>
    </w:lvl>
    <w:lvl w:ilvl="7">
      <w:start w:val="1"/>
      <w:numFmt w:val="lowerLetter"/>
      <w:isLgl w:val="false"/>
      <w:suff w:val="tab"/>
      <w:lvlText w:val="%8)"/>
      <w:lvlJc w:val="left"/>
      <w:pPr>
        <w:pStyle w:val="1055"/>
        <w:ind w:left="3360" w:hanging="420"/>
        <w:tabs>
          <w:tab w:val="num" w:pos="3360" w:leader="none"/>
        </w:tabs>
      </w:pPr>
      <w:rPr>
        <w:rFonts w:cs="Times New Roman"/>
      </w:rPr>
    </w:lvl>
    <w:lvl w:ilvl="8">
      <w:start w:val="1"/>
      <w:numFmt w:val="lowerRoman"/>
      <w:isLgl w:val="false"/>
      <w:suff w:val="tab"/>
      <w:lvlText w:val="%9."/>
      <w:lvlJc w:val="right"/>
      <w:pPr>
        <w:pStyle w:val="1055"/>
        <w:ind w:left="3780" w:hanging="420"/>
        <w:tabs>
          <w:tab w:val="num" w:pos="3780" w:leader="none"/>
        </w:tabs>
      </w:pPr>
      <w:rPr>
        <w:rFonts w:cs="Times New Roman"/>
      </w:rPr>
    </w:lvl>
  </w:abstractNum>
  <w:abstractNum w:abstractNumId="7">
    <w:multiLevelType w:val="hybridMultilevel"/>
    <w:lvl w:ilvl="0">
      <w:start w:val="1"/>
      <w:numFmt w:val="decimal"/>
      <w:pStyle w:val="1209"/>
      <w:isLgl w:val="false"/>
      <w:suff w:val="tab"/>
      <w:lvlText w:val="(%1)"/>
      <w:lvlJc w:val="left"/>
      <w:pPr>
        <w:pStyle w:val="1055"/>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1055"/>
        <w:ind w:left="840" w:hanging="420"/>
        <w:tabs>
          <w:tab w:val="num" w:pos="840" w:leader="none"/>
        </w:tabs>
      </w:pPr>
      <w:rPr>
        <w:rFonts w:cs="Times New Roman"/>
      </w:rPr>
    </w:lvl>
    <w:lvl w:ilvl="2">
      <w:start w:val="1"/>
      <w:numFmt w:val="lowerRoman"/>
      <w:isLgl w:val="false"/>
      <w:suff w:val="tab"/>
      <w:lvlText w:val="%3."/>
      <w:lvlJc w:val="right"/>
      <w:pPr>
        <w:pStyle w:val="1055"/>
        <w:ind w:left="1260" w:hanging="420"/>
        <w:tabs>
          <w:tab w:val="num" w:pos="1260" w:leader="none"/>
        </w:tabs>
      </w:pPr>
      <w:rPr>
        <w:rFonts w:cs="Times New Roman"/>
      </w:rPr>
    </w:lvl>
    <w:lvl w:ilvl="3">
      <w:start w:val="1"/>
      <w:numFmt w:val="decimal"/>
      <w:isLgl w:val="false"/>
      <w:suff w:val="tab"/>
      <w:lvlText w:val="%4."/>
      <w:lvlJc w:val="left"/>
      <w:pPr>
        <w:pStyle w:val="1055"/>
        <w:ind w:left="1680" w:hanging="420"/>
        <w:tabs>
          <w:tab w:val="num" w:pos="1680" w:leader="none"/>
        </w:tabs>
      </w:pPr>
      <w:rPr>
        <w:rFonts w:cs="Times New Roman"/>
      </w:rPr>
    </w:lvl>
    <w:lvl w:ilvl="4">
      <w:start w:val="1"/>
      <w:numFmt w:val="lowerLetter"/>
      <w:isLgl w:val="false"/>
      <w:suff w:val="tab"/>
      <w:lvlText w:val="%5)"/>
      <w:lvlJc w:val="left"/>
      <w:pPr>
        <w:pStyle w:val="1055"/>
        <w:ind w:left="2100" w:hanging="420"/>
        <w:tabs>
          <w:tab w:val="num" w:pos="2100" w:leader="none"/>
        </w:tabs>
      </w:pPr>
      <w:rPr>
        <w:rFonts w:cs="Times New Roman"/>
      </w:rPr>
    </w:lvl>
    <w:lvl w:ilvl="5">
      <w:start w:val="1"/>
      <w:numFmt w:val="lowerRoman"/>
      <w:isLgl w:val="false"/>
      <w:suff w:val="tab"/>
      <w:lvlText w:val="%6."/>
      <w:lvlJc w:val="right"/>
      <w:pPr>
        <w:pStyle w:val="1055"/>
        <w:ind w:left="2520" w:hanging="420"/>
        <w:tabs>
          <w:tab w:val="num" w:pos="2520" w:leader="none"/>
        </w:tabs>
      </w:pPr>
      <w:rPr>
        <w:rFonts w:cs="Times New Roman"/>
      </w:rPr>
    </w:lvl>
    <w:lvl w:ilvl="6">
      <w:start w:val="1"/>
      <w:numFmt w:val="decimal"/>
      <w:isLgl w:val="false"/>
      <w:suff w:val="tab"/>
      <w:lvlText w:val="%7."/>
      <w:lvlJc w:val="left"/>
      <w:pPr>
        <w:pStyle w:val="1055"/>
        <w:ind w:left="2940" w:hanging="420"/>
        <w:tabs>
          <w:tab w:val="num" w:pos="2940" w:leader="none"/>
        </w:tabs>
      </w:pPr>
      <w:rPr>
        <w:rFonts w:cs="Times New Roman"/>
      </w:rPr>
    </w:lvl>
    <w:lvl w:ilvl="7">
      <w:start w:val="1"/>
      <w:numFmt w:val="lowerLetter"/>
      <w:isLgl w:val="false"/>
      <w:suff w:val="tab"/>
      <w:lvlText w:val="%8)"/>
      <w:lvlJc w:val="left"/>
      <w:pPr>
        <w:pStyle w:val="1055"/>
        <w:ind w:left="3360" w:hanging="420"/>
        <w:tabs>
          <w:tab w:val="num" w:pos="3360" w:leader="none"/>
        </w:tabs>
      </w:pPr>
      <w:rPr>
        <w:rFonts w:cs="Times New Roman"/>
      </w:rPr>
    </w:lvl>
    <w:lvl w:ilvl="8">
      <w:start w:val="1"/>
      <w:numFmt w:val="lowerRoman"/>
      <w:isLgl w:val="false"/>
      <w:suff w:val="tab"/>
      <w:lvlText w:val="%9."/>
      <w:lvlJc w:val="right"/>
      <w:pPr>
        <w:pStyle w:val="1055"/>
        <w:ind w:left="3780" w:hanging="420"/>
        <w:tabs>
          <w:tab w:val="num" w:pos="3780" w:leader="none"/>
        </w:tabs>
      </w:pPr>
      <w:rPr>
        <w:rFonts w:cs="Times New Roman"/>
      </w:rPr>
    </w:lvl>
  </w:abstractNum>
  <w:abstractNum w:abstractNumId="8">
    <w:multiLevelType w:val="hybridMultilevel"/>
    <w:lvl w:ilvl="0">
      <w:start w:val="1"/>
      <w:numFmt w:val="bullet"/>
      <w:pStyle w:val="1181"/>
      <w:isLgl w:val="false"/>
      <w:suff w:val="tab"/>
      <w:lvlText w:val=""/>
      <w:lvlJc w:val="left"/>
      <w:pPr>
        <w:pStyle w:val="105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74"/>
      <w:isLgl w:val="false"/>
      <w:suff w:val="tab"/>
      <w:lvlText w:val="%1"/>
      <w:lvlJc w:val="left"/>
      <w:pPr>
        <w:pStyle w:val="1055"/>
        <w:ind w:left="567" w:hanging="567"/>
        <w:tabs>
          <w:tab w:val="num" w:pos="567" w:leader="none"/>
        </w:tabs>
      </w:pPr>
      <w:rPr>
        <w:rFonts w:hint="eastAsia" w:cs="Times New Roman"/>
      </w:rPr>
    </w:lvl>
    <w:lvl w:ilvl="1">
      <w:start w:val="1"/>
      <w:numFmt w:val="decimal"/>
      <w:pStyle w:val="1178"/>
      <w:isLgl w:val="false"/>
      <w:suff w:val="tab"/>
      <w:lvlText w:val="%1.%2"/>
      <w:lvlJc w:val="left"/>
      <w:pPr>
        <w:pStyle w:val="1055"/>
        <w:ind w:left="567" w:hanging="283"/>
        <w:tabs>
          <w:tab w:val="num" w:pos="1004" w:leader="none"/>
        </w:tabs>
      </w:pPr>
      <w:rPr>
        <w:rFonts w:hint="eastAsia" w:cs="Times New Roman"/>
      </w:rPr>
    </w:lvl>
    <w:lvl w:ilvl="2">
      <w:start w:val="1"/>
      <w:numFmt w:val="decimal"/>
      <w:isLgl w:val="false"/>
      <w:suff w:val="tab"/>
      <w:lvlText w:val="%1.%2.%3"/>
      <w:lvlJc w:val="left"/>
      <w:pPr>
        <w:pStyle w:val="1055"/>
        <w:ind w:left="1134" w:hanging="567"/>
        <w:tabs>
          <w:tab w:val="num" w:pos="1647" w:leader="none"/>
        </w:tabs>
      </w:pPr>
      <w:rPr>
        <w:rFonts w:hint="eastAsia" w:cs="Times New Roman"/>
      </w:rPr>
    </w:lvl>
    <w:lvl w:ilvl="3">
      <w:start w:val="1"/>
      <w:numFmt w:val="decimal"/>
      <w:isLgl w:val="false"/>
      <w:suff w:val="tab"/>
      <w:lvlText w:val="%1.%2.%3.%4"/>
      <w:lvlJc w:val="left"/>
      <w:pPr>
        <w:pStyle w:val="1055"/>
        <w:ind w:left="2851" w:hanging="708"/>
        <w:tabs>
          <w:tab w:val="num" w:pos="3223" w:leader="none"/>
        </w:tabs>
      </w:pPr>
      <w:rPr>
        <w:rFonts w:hint="eastAsia" w:cs="Times New Roman"/>
      </w:rPr>
    </w:lvl>
    <w:lvl w:ilvl="4">
      <w:start w:val="1"/>
      <w:numFmt w:val="decimal"/>
      <w:isLgl w:val="false"/>
      <w:suff w:val="tab"/>
      <w:lvlText w:val="%1.%2.%3.%4.%5"/>
      <w:lvlJc w:val="left"/>
      <w:pPr>
        <w:pStyle w:val="1055"/>
        <w:ind w:left="3418" w:hanging="850"/>
        <w:tabs>
          <w:tab w:val="num" w:pos="3648" w:leader="none"/>
        </w:tabs>
      </w:pPr>
      <w:rPr>
        <w:rFonts w:hint="eastAsia" w:cs="Times New Roman"/>
      </w:rPr>
    </w:lvl>
    <w:lvl w:ilvl="5">
      <w:start w:val="1"/>
      <w:numFmt w:val="decimal"/>
      <w:isLgl w:val="false"/>
      <w:suff w:val="tab"/>
      <w:lvlText w:val="%1.%2.%3.%4.%5.%6"/>
      <w:lvlJc w:val="left"/>
      <w:pPr>
        <w:pStyle w:val="1055"/>
        <w:ind w:left="4127" w:hanging="1134"/>
        <w:tabs>
          <w:tab w:val="num" w:pos="4433" w:leader="none"/>
        </w:tabs>
      </w:pPr>
      <w:rPr>
        <w:rFonts w:hint="eastAsia" w:cs="Times New Roman"/>
      </w:rPr>
    </w:lvl>
    <w:lvl w:ilvl="6">
      <w:start w:val="1"/>
      <w:numFmt w:val="decimal"/>
      <w:isLgl w:val="false"/>
      <w:suff w:val="tab"/>
      <w:lvlText w:val="%1.%2.%3.%4.%5.%6.%7"/>
      <w:lvlJc w:val="left"/>
      <w:pPr>
        <w:pStyle w:val="1055"/>
        <w:ind w:left="4694" w:hanging="1276"/>
        <w:tabs>
          <w:tab w:val="num" w:pos="4858" w:leader="none"/>
        </w:tabs>
      </w:pPr>
      <w:rPr>
        <w:rFonts w:hint="eastAsia" w:cs="Times New Roman"/>
      </w:rPr>
    </w:lvl>
    <w:lvl w:ilvl="7">
      <w:start w:val="1"/>
      <w:numFmt w:val="decimal"/>
      <w:isLgl w:val="false"/>
      <w:suff w:val="tab"/>
      <w:lvlText w:val="%1.%2.%3.%4.%5.%6.%7.%8"/>
      <w:lvlJc w:val="left"/>
      <w:pPr>
        <w:pStyle w:val="1055"/>
        <w:ind w:left="5261" w:hanging="1418"/>
        <w:tabs>
          <w:tab w:val="num" w:pos="5643" w:leader="none"/>
        </w:tabs>
      </w:pPr>
      <w:rPr>
        <w:rFonts w:hint="eastAsia" w:cs="Times New Roman"/>
      </w:rPr>
    </w:lvl>
    <w:lvl w:ilvl="8">
      <w:start w:val="1"/>
      <w:numFmt w:val="decimal"/>
      <w:isLgl w:val="false"/>
      <w:suff w:val="tab"/>
      <w:lvlText w:val="%1.%2.%3.%4.%5.%6.%7.%8.%9"/>
      <w:lvlJc w:val="left"/>
      <w:pPr>
        <w:pStyle w:val="1055"/>
        <w:ind w:left="5969" w:hanging="1700"/>
        <w:tabs>
          <w:tab w:val="num" w:pos="6429" w:leader="none"/>
        </w:tabs>
      </w:pPr>
      <w:rPr>
        <w:rFonts w:hint="eastAsia" w:cs="Times New Roman"/>
      </w:rPr>
    </w:lvl>
  </w:abstractNum>
  <w:abstractNum w:abstractNumId="10">
    <w:multiLevelType w:val="hybridMultilevel"/>
    <w:lvl w:ilvl="0">
      <w:start w:val="1"/>
      <w:numFmt w:val="decimal"/>
      <w:isLgl w:val="false"/>
      <w:suff w:val="nothing"/>
      <w:lvlText w:val="（%1）"/>
      <w:lvlJc w:val="left"/>
      <w:pPr>
        <w:pStyle w:val="10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55"/>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9"/>
  </w:num>
  <w:num w:numId="4">
    <w:abstractNumId w:val="8"/>
  </w:num>
  <w:num w:numId="5">
    <w:abstractNumId w:val="7"/>
  </w:num>
  <w:num w:numId="6">
    <w:abstractNumId w:val="6"/>
  </w:num>
  <w:num w:numId="7">
    <w:abstractNumId w:val="1"/>
  </w:num>
  <w:num w:numId="8">
    <w:abstractNumId w:val="0"/>
  </w:num>
  <w:num w:numId="9">
    <w:abstractNumId w:val="10"/>
  </w:num>
  <w:num w:numId="10">
    <w:abstractNumId w:val="2"/>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link w:val="1227"/>
    <w:uiPriority w:val="9"/>
    <w:rPr>
      <w:rFonts w:ascii="Arial" w:hAnsi="Arial" w:eastAsia="Arial" w:cs="Arial"/>
      <w:sz w:val="40"/>
      <w:szCs w:val="40"/>
    </w:rPr>
  </w:style>
  <w:style w:type="paragraph" w:styleId="880">
    <w:name w:val="Heading 2"/>
    <w:basedOn w:val="1055"/>
    <w:next w:val="1055"/>
    <w:link w:val="881"/>
    <w:uiPriority w:val="9"/>
    <w:unhideWhenUsed/>
    <w:qFormat/>
    <w:pPr>
      <w:keepLines/>
      <w:keepNext/>
      <w:spacing w:before="360" w:after="200"/>
      <w:outlineLvl w:val="1"/>
    </w:pPr>
    <w:rPr>
      <w:rFonts w:ascii="Arial" w:hAnsi="Arial" w:eastAsia="Arial" w:cs="Arial"/>
      <w:sz w:val="34"/>
    </w:rPr>
  </w:style>
  <w:style w:type="character" w:styleId="881">
    <w:name w:val="Heading 2 Char"/>
    <w:link w:val="880"/>
    <w:uiPriority w:val="9"/>
    <w:rPr>
      <w:rFonts w:ascii="Arial" w:hAnsi="Arial" w:eastAsia="Arial" w:cs="Arial"/>
      <w:sz w:val="34"/>
    </w:rPr>
  </w:style>
  <w:style w:type="paragraph" w:styleId="882">
    <w:name w:val="Heading 3"/>
    <w:basedOn w:val="1055"/>
    <w:next w:val="1055"/>
    <w:link w:val="883"/>
    <w:uiPriority w:val="9"/>
    <w:unhideWhenUsed/>
    <w:qFormat/>
    <w:pPr>
      <w:keepLines/>
      <w:keepNext/>
      <w:spacing w:before="320" w:after="200"/>
      <w:outlineLvl w:val="2"/>
    </w:pPr>
    <w:rPr>
      <w:rFonts w:ascii="Arial" w:hAnsi="Arial" w:eastAsia="Arial" w:cs="Arial"/>
      <w:sz w:val="30"/>
      <w:szCs w:val="30"/>
    </w:rPr>
  </w:style>
  <w:style w:type="character" w:styleId="883">
    <w:name w:val="Heading 3 Char"/>
    <w:link w:val="882"/>
    <w:uiPriority w:val="9"/>
    <w:rPr>
      <w:rFonts w:ascii="Arial" w:hAnsi="Arial" w:eastAsia="Arial" w:cs="Arial"/>
      <w:sz w:val="30"/>
      <w:szCs w:val="30"/>
    </w:rPr>
  </w:style>
  <w:style w:type="paragraph" w:styleId="884">
    <w:name w:val="Heading 4"/>
    <w:basedOn w:val="1055"/>
    <w:next w:val="1055"/>
    <w:link w:val="885"/>
    <w:uiPriority w:val="9"/>
    <w:unhideWhenUsed/>
    <w:qFormat/>
    <w:pPr>
      <w:keepLines/>
      <w:keepNext/>
      <w:spacing w:before="320" w:after="200"/>
      <w:outlineLvl w:val="3"/>
    </w:pPr>
    <w:rPr>
      <w:rFonts w:ascii="Arial" w:hAnsi="Arial" w:eastAsia="Arial" w:cs="Arial"/>
      <w:b/>
      <w:bCs/>
      <w:sz w:val="26"/>
      <w:szCs w:val="26"/>
    </w:rPr>
  </w:style>
  <w:style w:type="character" w:styleId="885">
    <w:name w:val="Heading 4 Char"/>
    <w:link w:val="884"/>
    <w:uiPriority w:val="9"/>
    <w:rPr>
      <w:rFonts w:ascii="Arial" w:hAnsi="Arial" w:eastAsia="Arial" w:cs="Arial"/>
      <w:b/>
      <w:bCs/>
      <w:sz w:val="26"/>
      <w:szCs w:val="26"/>
    </w:rPr>
  </w:style>
  <w:style w:type="paragraph" w:styleId="886">
    <w:name w:val="Heading 5"/>
    <w:basedOn w:val="1055"/>
    <w:next w:val="1055"/>
    <w:link w:val="887"/>
    <w:uiPriority w:val="9"/>
    <w:unhideWhenUsed/>
    <w:qFormat/>
    <w:pPr>
      <w:keepLines/>
      <w:keepNext/>
      <w:spacing w:before="320" w:after="200"/>
      <w:outlineLvl w:val="4"/>
    </w:pPr>
    <w:rPr>
      <w:rFonts w:ascii="Arial" w:hAnsi="Arial" w:eastAsia="Arial" w:cs="Arial"/>
      <w:b/>
      <w:bCs/>
      <w:sz w:val="24"/>
      <w:szCs w:val="24"/>
    </w:rPr>
  </w:style>
  <w:style w:type="character" w:styleId="887">
    <w:name w:val="Heading 5 Char"/>
    <w:link w:val="886"/>
    <w:uiPriority w:val="9"/>
    <w:rPr>
      <w:rFonts w:ascii="Arial" w:hAnsi="Arial" w:eastAsia="Arial" w:cs="Arial"/>
      <w:b/>
      <w:bCs/>
      <w:sz w:val="24"/>
      <w:szCs w:val="24"/>
    </w:rPr>
  </w:style>
  <w:style w:type="paragraph" w:styleId="888">
    <w:name w:val="Heading 6"/>
    <w:basedOn w:val="1055"/>
    <w:next w:val="1055"/>
    <w:link w:val="889"/>
    <w:uiPriority w:val="9"/>
    <w:unhideWhenUsed/>
    <w:qFormat/>
    <w:pPr>
      <w:keepLines/>
      <w:keepNext/>
      <w:spacing w:before="320" w:after="200"/>
      <w:outlineLvl w:val="5"/>
    </w:pPr>
    <w:rPr>
      <w:rFonts w:ascii="Arial" w:hAnsi="Arial" w:eastAsia="Arial" w:cs="Arial"/>
      <w:b/>
      <w:bCs/>
      <w:sz w:val="22"/>
      <w:szCs w:val="22"/>
    </w:rPr>
  </w:style>
  <w:style w:type="character" w:styleId="889">
    <w:name w:val="Heading 6 Char"/>
    <w:link w:val="888"/>
    <w:uiPriority w:val="9"/>
    <w:rPr>
      <w:rFonts w:ascii="Arial" w:hAnsi="Arial" w:eastAsia="Arial" w:cs="Arial"/>
      <w:b/>
      <w:bCs/>
      <w:sz w:val="22"/>
      <w:szCs w:val="22"/>
    </w:rPr>
  </w:style>
  <w:style w:type="paragraph" w:styleId="890">
    <w:name w:val="Heading 7"/>
    <w:basedOn w:val="1055"/>
    <w:next w:val="1055"/>
    <w:link w:val="891"/>
    <w:uiPriority w:val="9"/>
    <w:unhideWhenUsed/>
    <w:qFormat/>
    <w:pPr>
      <w:keepLines/>
      <w:keepNext/>
      <w:spacing w:before="320" w:after="200"/>
      <w:outlineLvl w:val="6"/>
    </w:pPr>
    <w:rPr>
      <w:rFonts w:ascii="Arial" w:hAnsi="Arial" w:eastAsia="Arial" w:cs="Arial"/>
      <w:b/>
      <w:bCs/>
      <w:i/>
      <w:iCs/>
      <w:sz w:val="22"/>
      <w:szCs w:val="22"/>
    </w:rPr>
  </w:style>
  <w:style w:type="character" w:styleId="891">
    <w:name w:val="Heading 7 Char"/>
    <w:link w:val="890"/>
    <w:uiPriority w:val="9"/>
    <w:rPr>
      <w:rFonts w:ascii="Arial" w:hAnsi="Arial" w:eastAsia="Arial" w:cs="Arial"/>
      <w:b/>
      <w:bCs/>
      <w:i/>
      <w:iCs/>
      <w:sz w:val="22"/>
      <w:szCs w:val="22"/>
    </w:rPr>
  </w:style>
  <w:style w:type="paragraph" w:styleId="892">
    <w:name w:val="Heading 8"/>
    <w:basedOn w:val="1055"/>
    <w:next w:val="1055"/>
    <w:link w:val="893"/>
    <w:uiPriority w:val="9"/>
    <w:unhideWhenUsed/>
    <w:qFormat/>
    <w:pPr>
      <w:keepLines/>
      <w:keepNext/>
      <w:spacing w:before="320" w:after="200"/>
      <w:outlineLvl w:val="7"/>
    </w:pPr>
    <w:rPr>
      <w:rFonts w:ascii="Arial" w:hAnsi="Arial" w:eastAsia="Arial" w:cs="Arial"/>
      <w:i/>
      <w:iCs/>
      <w:sz w:val="22"/>
      <w:szCs w:val="22"/>
    </w:rPr>
  </w:style>
  <w:style w:type="character" w:styleId="893">
    <w:name w:val="Heading 8 Char"/>
    <w:link w:val="892"/>
    <w:uiPriority w:val="9"/>
    <w:rPr>
      <w:rFonts w:ascii="Arial" w:hAnsi="Arial" w:eastAsia="Arial" w:cs="Arial"/>
      <w:i/>
      <w:iCs/>
      <w:sz w:val="22"/>
      <w:szCs w:val="22"/>
    </w:rPr>
  </w:style>
  <w:style w:type="paragraph" w:styleId="894">
    <w:name w:val="Heading 9"/>
    <w:basedOn w:val="1055"/>
    <w:next w:val="1055"/>
    <w:link w:val="895"/>
    <w:uiPriority w:val="9"/>
    <w:unhideWhenUsed/>
    <w:qFormat/>
    <w:pPr>
      <w:keepLines/>
      <w:keepNext/>
      <w:spacing w:before="320" w:after="200"/>
      <w:outlineLvl w:val="8"/>
    </w:pPr>
    <w:rPr>
      <w:rFonts w:ascii="Arial" w:hAnsi="Arial" w:eastAsia="Arial" w:cs="Arial"/>
      <w:i/>
      <w:iCs/>
      <w:sz w:val="21"/>
      <w:szCs w:val="21"/>
    </w:rPr>
  </w:style>
  <w:style w:type="character" w:styleId="895">
    <w:name w:val="Heading 9 Char"/>
    <w:link w:val="894"/>
    <w:uiPriority w:val="9"/>
    <w:rPr>
      <w:rFonts w:ascii="Arial" w:hAnsi="Arial" w:eastAsia="Arial" w:cs="Arial"/>
      <w:i/>
      <w:iCs/>
      <w:sz w:val="21"/>
      <w:szCs w:val="21"/>
    </w:rPr>
  </w:style>
  <w:style w:type="paragraph" w:styleId="896">
    <w:name w:val="No Spacing"/>
    <w:uiPriority w:val="1"/>
    <w:qFormat/>
    <w:pPr>
      <w:spacing w:before="0" w:after="0" w:line="240" w:lineRule="auto"/>
    </w:pPr>
  </w:style>
  <w:style w:type="paragraph" w:styleId="897">
    <w:name w:val="Title"/>
    <w:basedOn w:val="1055"/>
    <w:next w:val="1055"/>
    <w:link w:val="898"/>
    <w:uiPriority w:val="10"/>
    <w:qFormat/>
    <w:pPr>
      <w:contextualSpacing/>
      <w:spacing w:before="300" w:after="200"/>
    </w:pPr>
    <w:rPr>
      <w:sz w:val="48"/>
      <w:szCs w:val="48"/>
    </w:rPr>
  </w:style>
  <w:style w:type="character" w:styleId="898">
    <w:name w:val="Title Char"/>
    <w:link w:val="897"/>
    <w:uiPriority w:val="10"/>
    <w:rPr>
      <w:sz w:val="48"/>
      <w:szCs w:val="48"/>
    </w:rPr>
  </w:style>
  <w:style w:type="paragraph" w:styleId="899">
    <w:name w:val="Subtitle"/>
    <w:basedOn w:val="1055"/>
    <w:next w:val="1055"/>
    <w:link w:val="900"/>
    <w:uiPriority w:val="11"/>
    <w:qFormat/>
    <w:pPr>
      <w:spacing w:before="200" w:after="200"/>
    </w:pPr>
    <w:rPr>
      <w:sz w:val="24"/>
      <w:szCs w:val="24"/>
    </w:rPr>
  </w:style>
  <w:style w:type="character" w:styleId="900">
    <w:name w:val="Subtitle Char"/>
    <w:link w:val="899"/>
    <w:uiPriority w:val="11"/>
    <w:rPr>
      <w:sz w:val="24"/>
      <w:szCs w:val="24"/>
    </w:rPr>
  </w:style>
  <w:style w:type="paragraph" w:styleId="901">
    <w:name w:val="Quote"/>
    <w:basedOn w:val="1055"/>
    <w:next w:val="1055"/>
    <w:link w:val="902"/>
    <w:uiPriority w:val="29"/>
    <w:qFormat/>
    <w:pPr>
      <w:ind w:left="720" w:right="720"/>
    </w:pPr>
    <w:rPr>
      <w:i/>
    </w:rPr>
  </w:style>
  <w:style w:type="character" w:styleId="902">
    <w:name w:val="Quote Char"/>
    <w:link w:val="901"/>
    <w:uiPriority w:val="29"/>
    <w:rPr>
      <w:i/>
    </w:rPr>
  </w:style>
  <w:style w:type="paragraph" w:styleId="903">
    <w:name w:val="Intense Quote"/>
    <w:basedOn w:val="1055"/>
    <w:next w:val="1055"/>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paragraph" w:styleId="905">
    <w:name w:val="Header"/>
    <w:basedOn w:val="1055"/>
    <w:link w:val="906"/>
    <w:uiPriority w:val="99"/>
    <w:unhideWhenUsed/>
    <w:pPr>
      <w:spacing w:after="0" w:line="240" w:lineRule="auto"/>
      <w:tabs>
        <w:tab w:val="center" w:pos="7143" w:leader="none"/>
        <w:tab w:val="right" w:pos="14287" w:leader="none"/>
      </w:tabs>
    </w:pPr>
  </w:style>
  <w:style w:type="character" w:styleId="906">
    <w:name w:val="Header Char"/>
    <w:link w:val="905"/>
    <w:uiPriority w:val="99"/>
  </w:style>
  <w:style w:type="paragraph" w:styleId="907">
    <w:name w:val="Footer"/>
    <w:basedOn w:val="1055"/>
    <w:link w:val="910"/>
    <w:uiPriority w:val="99"/>
    <w:unhideWhenUsed/>
    <w:pPr>
      <w:spacing w:after="0" w:line="240" w:lineRule="auto"/>
      <w:tabs>
        <w:tab w:val="center" w:pos="7143" w:leader="none"/>
        <w:tab w:val="right" w:pos="14287" w:leader="none"/>
      </w:tabs>
    </w:pPr>
  </w:style>
  <w:style w:type="character" w:styleId="908">
    <w:name w:val="Footer Char"/>
    <w:link w:val="907"/>
    <w:uiPriority w:val="99"/>
  </w:style>
  <w:style w:type="paragraph" w:styleId="909">
    <w:name w:val="Caption"/>
    <w:basedOn w:val="1055"/>
    <w:next w:val="1055"/>
    <w:uiPriority w:val="35"/>
    <w:semiHidden/>
    <w:unhideWhenUsed/>
    <w:qFormat/>
    <w:pPr>
      <w:spacing w:line="276" w:lineRule="auto"/>
    </w:pPr>
    <w:rPr>
      <w:b/>
      <w:bCs/>
      <w:color w:val="4f81bd" w:themeColor="accent1"/>
      <w:sz w:val="18"/>
      <w:szCs w:val="18"/>
    </w:rPr>
  </w:style>
  <w:style w:type="character" w:styleId="910">
    <w:name w:val="Caption Char"/>
    <w:basedOn w:val="909"/>
    <w:link w:val="907"/>
    <w:uiPriority w:val="99"/>
  </w:style>
  <w:style w:type="table" w:styleId="9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7">
    <w:name w:val="Hyperlink"/>
    <w:uiPriority w:val="99"/>
    <w:unhideWhenUsed/>
    <w:rPr>
      <w:color w:val="0000ff" w:themeColor="hyperlink"/>
      <w:u w:val="single"/>
    </w:rPr>
  </w:style>
  <w:style w:type="paragraph" w:styleId="1038">
    <w:name w:val="footnote text"/>
    <w:basedOn w:val="1055"/>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uiPriority w:val="99"/>
    <w:unhideWhenUsed/>
    <w:rPr>
      <w:vertAlign w:val="superscript"/>
    </w:rPr>
  </w:style>
  <w:style w:type="paragraph" w:styleId="1041">
    <w:name w:val="endnote text"/>
    <w:basedOn w:val="1055"/>
    <w:link w:val="1042"/>
    <w:uiPriority w:val="99"/>
    <w:semiHidden/>
    <w:unhideWhenUsed/>
    <w:pPr>
      <w:spacing w:after="0" w:line="240" w:lineRule="auto"/>
    </w:pPr>
    <w:rPr>
      <w:sz w:val="20"/>
    </w:rPr>
  </w:style>
  <w:style w:type="character" w:styleId="1042">
    <w:name w:val="Endnote Text Char"/>
    <w:link w:val="1041"/>
    <w:uiPriority w:val="99"/>
    <w:rPr>
      <w:sz w:val="20"/>
    </w:rPr>
  </w:style>
  <w:style w:type="character" w:styleId="1043">
    <w:name w:val="endnote reference"/>
    <w:uiPriority w:val="99"/>
    <w:semiHidden/>
    <w:unhideWhenUsed/>
    <w:rPr>
      <w:vertAlign w:val="superscript"/>
    </w:rPr>
  </w:style>
  <w:style w:type="paragraph" w:styleId="1044">
    <w:name w:val="toc 1"/>
    <w:basedOn w:val="1055"/>
    <w:next w:val="1055"/>
    <w:uiPriority w:val="39"/>
    <w:unhideWhenUsed/>
    <w:pPr>
      <w:ind w:left="0" w:right="0" w:firstLine="0"/>
      <w:spacing w:after="57"/>
    </w:pPr>
  </w:style>
  <w:style w:type="paragraph" w:styleId="1045">
    <w:name w:val="toc 2"/>
    <w:basedOn w:val="1055"/>
    <w:next w:val="1055"/>
    <w:uiPriority w:val="39"/>
    <w:unhideWhenUsed/>
    <w:pPr>
      <w:ind w:left="283" w:right="0" w:firstLine="0"/>
      <w:spacing w:after="57"/>
    </w:pPr>
  </w:style>
  <w:style w:type="paragraph" w:styleId="1046">
    <w:name w:val="toc 3"/>
    <w:basedOn w:val="1055"/>
    <w:next w:val="1055"/>
    <w:uiPriority w:val="39"/>
    <w:unhideWhenUsed/>
    <w:pPr>
      <w:ind w:left="567" w:right="0" w:firstLine="0"/>
      <w:spacing w:after="57"/>
    </w:pPr>
  </w:style>
  <w:style w:type="paragraph" w:styleId="1047">
    <w:name w:val="toc 4"/>
    <w:basedOn w:val="1055"/>
    <w:next w:val="1055"/>
    <w:uiPriority w:val="39"/>
    <w:unhideWhenUsed/>
    <w:pPr>
      <w:ind w:left="850" w:right="0" w:firstLine="0"/>
      <w:spacing w:after="57"/>
    </w:pPr>
  </w:style>
  <w:style w:type="paragraph" w:styleId="1048">
    <w:name w:val="toc 5"/>
    <w:basedOn w:val="1055"/>
    <w:next w:val="1055"/>
    <w:uiPriority w:val="39"/>
    <w:unhideWhenUsed/>
    <w:pPr>
      <w:ind w:left="1134" w:right="0" w:firstLine="0"/>
      <w:spacing w:after="57"/>
    </w:pPr>
  </w:style>
  <w:style w:type="paragraph" w:styleId="1049">
    <w:name w:val="toc 6"/>
    <w:basedOn w:val="1055"/>
    <w:next w:val="1055"/>
    <w:uiPriority w:val="39"/>
    <w:unhideWhenUsed/>
    <w:pPr>
      <w:ind w:left="1417" w:right="0" w:firstLine="0"/>
      <w:spacing w:after="57"/>
    </w:pPr>
  </w:style>
  <w:style w:type="paragraph" w:styleId="1050">
    <w:name w:val="toc 7"/>
    <w:basedOn w:val="1055"/>
    <w:next w:val="1055"/>
    <w:uiPriority w:val="39"/>
    <w:unhideWhenUsed/>
    <w:pPr>
      <w:ind w:left="1701" w:right="0" w:firstLine="0"/>
      <w:spacing w:after="57"/>
    </w:pPr>
  </w:style>
  <w:style w:type="paragraph" w:styleId="1051">
    <w:name w:val="toc 8"/>
    <w:basedOn w:val="1055"/>
    <w:next w:val="1055"/>
    <w:uiPriority w:val="39"/>
    <w:unhideWhenUsed/>
    <w:pPr>
      <w:ind w:left="1984" w:right="0" w:firstLine="0"/>
      <w:spacing w:after="57"/>
    </w:pPr>
  </w:style>
  <w:style w:type="paragraph" w:styleId="1052">
    <w:name w:val="toc 9"/>
    <w:basedOn w:val="1055"/>
    <w:next w:val="1055"/>
    <w:uiPriority w:val="39"/>
    <w:unhideWhenUsed/>
    <w:pPr>
      <w:ind w:left="2268" w:right="0" w:firstLine="0"/>
      <w:spacing w:after="57"/>
    </w:pPr>
  </w:style>
  <w:style w:type="paragraph" w:styleId="1053">
    <w:name w:val="TOC Heading"/>
    <w:uiPriority w:val="39"/>
    <w:unhideWhenUsed/>
  </w:style>
  <w:style w:type="paragraph" w:styleId="1054">
    <w:name w:val="table of figures"/>
    <w:basedOn w:val="1055"/>
    <w:next w:val="1055"/>
    <w:uiPriority w:val="99"/>
    <w:unhideWhenUsed/>
    <w:pPr>
      <w:spacing w:after="0" w:afterAutospacing="0"/>
    </w:pPr>
  </w:style>
  <w:style w:type="paragraph" w:styleId="1055" w:default="1">
    <w:name w:val="Normal"/>
    <w:next w:val="1067"/>
    <w:link w:val="1055"/>
    <w:qFormat/>
    <w:pPr>
      <w:jc w:val="both"/>
      <w:widowControl w:val="off"/>
    </w:pPr>
    <w:rPr>
      <w:sz w:val="21"/>
      <w:lang w:val="en-US" w:eastAsia="zh-CN" w:bidi="ar-SA"/>
    </w:rPr>
  </w:style>
  <w:style w:type="paragraph" w:styleId="1056">
    <w:name w:val="标题 1"/>
    <w:basedOn w:val="1055"/>
    <w:next w:val="1055"/>
    <w:link w:val="1068"/>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57">
    <w:name w:val="标题 2"/>
    <w:basedOn w:val="1055"/>
    <w:next w:val="1055"/>
    <w:link w:val="1069"/>
    <w:uiPriority w:val="99"/>
    <w:qFormat/>
    <w:pPr>
      <w:numPr>
        <w:ilvl w:val="1"/>
        <w:numId w:val="1"/>
      </w:numPr>
      <w:jc w:val="left"/>
      <w:keepLines/>
      <w:keepNext/>
      <w:spacing w:before="120" w:after="120"/>
      <w:outlineLvl w:val="1"/>
    </w:pPr>
    <w:rPr>
      <w:rFonts w:ascii="Cambria" w:hAnsi="Cambria"/>
      <w:b/>
      <w:bCs/>
      <w:sz w:val="32"/>
      <w:szCs w:val="32"/>
    </w:rPr>
  </w:style>
  <w:style w:type="paragraph" w:styleId="1058">
    <w:name w:val="标题 3"/>
    <w:basedOn w:val="1055"/>
    <w:next w:val="1071"/>
    <w:link w:val="1070"/>
    <w:uiPriority w:val="99"/>
    <w:qFormat/>
    <w:pPr>
      <w:numPr>
        <w:ilvl w:val="2"/>
        <w:numId w:val="1"/>
      </w:numPr>
      <w:keepLines/>
      <w:keepNext/>
      <w:spacing w:before="120" w:after="120"/>
      <w:outlineLvl w:val="2"/>
    </w:pPr>
    <w:rPr>
      <w:b/>
      <w:bCs/>
      <w:sz w:val="32"/>
      <w:szCs w:val="32"/>
    </w:rPr>
  </w:style>
  <w:style w:type="paragraph" w:styleId="1059">
    <w:name w:val="标题 4"/>
    <w:basedOn w:val="1055"/>
    <w:next w:val="1055"/>
    <w:link w:val="1073"/>
    <w:uiPriority w:val="99"/>
    <w:qFormat/>
    <w:pPr>
      <w:numPr>
        <w:ilvl w:val="3"/>
        <w:numId w:val="1"/>
      </w:numPr>
      <w:keepLines/>
      <w:keepNext/>
      <w:spacing w:before="120" w:after="120"/>
      <w:outlineLvl w:val="3"/>
    </w:pPr>
    <w:rPr>
      <w:rFonts w:ascii="Cambria" w:hAnsi="Cambria"/>
      <w:b/>
      <w:bCs/>
      <w:sz w:val="28"/>
      <w:szCs w:val="28"/>
    </w:rPr>
  </w:style>
  <w:style w:type="paragraph" w:styleId="1060">
    <w:name w:val="标题 5"/>
    <w:basedOn w:val="1055"/>
    <w:next w:val="1071"/>
    <w:link w:val="1074"/>
    <w:uiPriority w:val="99"/>
    <w:qFormat/>
    <w:pPr>
      <w:numPr>
        <w:ilvl w:val="4"/>
        <w:numId w:val="1"/>
      </w:numPr>
      <w:keepNext/>
      <w:spacing w:before="156" w:after="156"/>
      <w:outlineLvl w:val="4"/>
    </w:pPr>
    <w:rPr>
      <w:b/>
      <w:bCs/>
      <w:sz w:val="28"/>
      <w:szCs w:val="28"/>
    </w:rPr>
  </w:style>
  <w:style w:type="paragraph" w:styleId="1061">
    <w:name w:val="标题 6"/>
    <w:basedOn w:val="1055"/>
    <w:next w:val="1055"/>
    <w:link w:val="1075"/>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62">
    <w:name w:val="标题 7"/>
    <w:basedOn w:val="1055"/>
    <w:next w:val="1055"/>
    <w:link w:val="1076"/>
    <w:uiPriority w:val="99"/>
    <w:qFormat/>
    <w:pPr>
      <w:numPr>
        <w:ilvl w:val="6"/>
        <w:numId w:val="1"/>
      </w:numPr>
      <w:keepLines/>
      <w:keepNext/>
      <w:spacing w:before="240" w:after="64" w:line="320" w:lineRule="auto"/>
      <w:outlineLvl w:val="6"/>
    </w:pPr>
    <w:rPr>
      <w:b/>
      <w:bCs/>
      <w:sz w:val="24"/>
      <w:szCs w:val="24"/>
    </w:rPr>
  </w:style>
  <w:style w:type="paragraph" w:styleId="1063">
    <w:name w:val="标题 8"/>
    <w:basedOn w:val="1055"/>
    <w:next w:val="1055"/>
    <w:link w:val="1077"/>
    <w:uiPriority w:val="99"/>
    <w:qFormat/>
    <w:pPr>
      <w:numPr>
        <w:ilvl w:val="7"/>
        <w:numId w:val="1"/>
      </w:numPr>
      <w:keepLines/>
      <w:keepNext/>
      <w:spacing w:before="240" w:after="64" w:line="320" w:lineRule="auto"/>
      <w:outlineLvl w:val="7"/>
    </w:pPr>
    <w:rPr>
      <w:rFonts w:ascii="Cambria" w:hAnsi="Cambria"/>
      <w:sz w:val="24"/>
      <w:szCs w:val="24"/>
    </w:rPr>
  </w:style>
  <w:style w:type="paragraph" w:styleId="1064">
    <w:name w:val="标题 9"/>
    <w:basedOn w:val="1055"/>
    <w:next w:val="1055"/>
    <w:link w:val="1078"/>
    <w:uiPriority w:val="99"/>
    <w:qFormat/>
    <w:pPr>
      <w:numPr>
        <w:ilvl w:val="8"/>
        <w:numId w:val="1"/>
      </w:numPr>
      <w:keepLines/>
      <w:keepNext/>
      <w:spacing w:before="240" w:after="64" w:line="320" w:lineRule="auto"/>
      <w:outlineLvl w:val="8"/>
    </w:pPr>
    <w:rPr>
      <w:rFonts w:ascii="Cambria" w:hAnsi="Cambria"/>
      <w:szCs w:val="21"/>
    </w:rPr>
  </w:style>
  <w:style w:type="character" w:styleId="1065">
    <w:name w:val="默认段落字体"/>
    <w:next w:val="1065"/>
    <w:link w:val="1055"/>
    <w:uiPriority w:val="1"/>
    <w:unhideWhenUsed/>
  </w:style>
  <w:style w:type="table" w:styleId="1066">
    <w:name w:val="普通表格"/>
    <w:next w:val="1066"/>
    <w:link w:val="1055"/>
    <w:uiPriority w:val="99"/>
    <w:unhideWhenUsed/>
    <w:tblPr/>
  </w:style>
  <w:style w:type="paragraph" w:styleId="1067">
    <w:name w:val="列出段落"/>
    <w:basedOn w:val="1055"/>
    <w:next w:val="1067"/>
    <w:link w:val="1055"/>
    <w:uiPriority w:val="99"/>
    <w:qFormat/>
    <w:pPr>
      <w:ind w:firstLine="420"/>
    </w:pPr>
    <w:rPr>
      <w:rFonts w:ascii="Calibri" w:hAnsi="Calibri"/>
      <w:szCs w:val="22"/>
    </w:rPr>
  </w:style>
  <w:style w:type="character" w:styleId="1068">
    <w:name w:val="标题 1 Char"/>
    <w:next w:val="1068"/>
    <w:link w:val="1056"/>
    <w:rPr>
      <w:rFonts w:ascii="黑体" w:eastAsia="黑体"/>
      <w:b/>
      <w:sz w:val="28"/>
    </w:rPr>
  </w:style>
  <w:style w:type="character" w:styleId="1069">
    <w:name w:val="标题 2 Char"/>
    <w:next w:val="1069"/>
    <w:link w:val="1057"/>
    <w:uiPriority w:val="99"/>
    <w:rPr>
      <w:rFonts w:ascii="Cambria" w:hAnsi="Cambria"/>
      <w:b/>
      <w:bCs/>
      <w:sz w:val="32"/>
      <w:szCs w:val="32"/>
    </w:rPr>
  </w:style>
  <w:style w:type="character" w:styleId="1070">
    <w:name w:val="标题 3 Char1"/>
    <w:next w:val="1070"/>
    <w:link w:val="1058"/>
    <w:uiPriority w:val="99"/>
    <w:rPr>
      <w:b/>
      <w:bCs/>
      <w:sz w:val="32"/>
      <w:szCs w:val="32"/>
    </w:rPr>
  </w:style>
  <w:style w:type="paragraph" w:styleId="1071">
    <w:name w:val="正文缩进"/>
    <w:basedOn w:val="1055"/>
    <w:next w:val="1071"/>
    <w:link w:val="1072"/>
    <w:qFormat/>
    <w:pPr>
      <w:ind w:firstLine="420"/>
    </w:pPr>
  </w:style>
  <w:style w:type="character" w:styleId="1072">
    <w:name w:val="正文缩进 Char"/>
    <w:next w:val="1072"/>
    <w:link w:val="1071"/>
    <w:rPr>
      <w:rFonts w:eastAsia="宋体" w:cs="Times New Roman"/>
      <w:sz w:val="21"/>
      <w:lang w:val="en-US" w:eastAsia="zh-CN" w:bidi="ar-SA"/>
    </w:rPr>
  </w:style>
  <w:style w:type="character" w:styleId="1073">
    <w:name w:val="标题 4 Char"/>
    <w:next w:val="1073"/>
    <w:link w:val="1059"/>
    <w:uiPriority w:val="99"/>
    <w:rPr>
      <w:rFonts w:ascii="Cambria" w:hAnsi="Cambria"/>
      <w:b/>
      <w:bCs/>
      <w:sz w:val="28"/>
      <w:szCs w:val="28"/>
    </w:rPr>
  </w:style>
  <w:style w:type="character" w:styleId="1074">
    <w:name w:val="标题 5 Char"/>
    <w:next w:val="1074"/>
    <w:link w:val="1060"/>
    <w:uiPriority w:val="99"/>
    <w:rPr>
      <w:b/>
      <w:bCs/>
      <w:sz w:val="28"/>
      <w:szCs w:val="28"/>
    </w:rPr>
  </w:style>
  <w:style w:type="character" w:styleId="1075">
    <w:name w:val="标题 6 Char"/>
    <w:next w:val="1075"/>
    <w:link w:val="1061"/>
    <w:uiPriority w:val="99"/>
    <w:rPr>
      <w:rFonts w:ascii="Cambria" w:hAnsi="Cambria"/>
      <w:b/>
      <w:bCs/>
      <w:sz w:val="24"/>
      <w:szCs w:val="24"/>
    </w:rPr>
  </w:style>
  <w:style w:type="character" w:styleId="1076">
    <w:name w:val="标题 7 Char"/>
    <w:next w:val="1076"/>
    <w:link w:val="1062"/>
    <w:uiPriority w:val="99"/>
    <w:rPr>
      <w:b/>
      <w:bCs/>
      <w:sz w:val="24"/>
      <w:szCs w:val="24"/>
    </w:rPr>
  </w:style>
  <w:style w:type="character" w:styleId="1077">
    <w:name w:val="标题 8 Char"/>
    <w:next w:val="1077"/>
    <w:link w:val="1063"/>
    <w:uiPriority w:val="99"/>
    <w:rPr>
      <w:rFonts w:ascii="Cambria" w:hAnsi="Cambria"/>
      <w:sz w:val="24"/>
      <w:szCs w:val="24"/>
    </w:rPr>
  </w:style>
  <w:style w:type="character" w:styleId="1078">
    <w:name w:val="标题 9 Char"/>
    <w:next w:val="1078"/>
    <w:link w:val="1064"/>
    <w:uiPriority w:val="99"/>
    <w:rPr>
      <w:rFonts w:ascii="Cambria" w:hAnsi="Cambria"/>
      <w:sz w:val="21"/>
      <w:szCs w:val="21"/>
    </w:rPr>
  </w:style>
  <w:style w:type="paragraph" w:styleId="1079">
    <w:name w:val="列表 3"/>
    <w:basedOn w:val="1055"/>
    <w:next w:val="1079"/>
    <w:link w:val="1055"/>
    <w:uiPriority w:val="99"/>
    <w:pPr>
      <w:ind w:left="1260" w:hanging="420"/>
    </w:pPr>
  </w:style>
  <w:style w:type="paragraph" w:styleId="1080">
    <w:name w:val="目录 7"/>
    <w:basedOn w:val="1055"/>
    <w:next w:val="1055"/>
    <w:link w:val="1055"/>
    <w:uiPriority w:val="99"/>
    <w:semiHidden/>
    <w:pPr>
      <w:ind w:left="1260"/>
      <w:jc w:val="left"/>
    </w:pPr>
    <w:rPr>
      <w:sz w:val="18"/>
    </w:rPr>
  </w:style>
  <w:style w:type="paragraph" w:styleId="1081">
    <w:name w:val="索引 8"/>
    <w:basedOn w:val="1055"/>
    <w:next w:val="1055"/>
    <w:link w:val="1055"/>
    <w:uiPriority w:val="99"/>
    <w:semiHidden/>
    <w:pPr>
      <w:ind w:left="2940"/>
    </w:pPr>
  </w:style>
  <w:style w:type="paragraph" w:styleId="1082">
    <w:name w:val="索引 5"/>
    <w:basedOn w:val="1055"/>
    <w:next w:val="1055"/>
    <w:link w:val="1055"/>
    <w:uiPriority w:val="99"/>
    <w:semiHidden/>
    <w:pPr>
      <w:ind w:left="1680"/>
    </w:pPr>
  </w:style>
  <w:style w:type="paragraph" w:styleId="1083">
    <w:name w:val="文档结构图"/>
    <w:basedOn w:val="1055"/>
    <w:next w:val="1083"/>
    <w:link w:val="1084"/>
    <w:uiPriority w:val="99"/>
    <w:semiHidden/>
    <w:pPr>
      <w:shd w:val="clear" w:color="auto" w:fill="000080"/>
    </w:pPr>
    <w:rPr>
      <w:sz w:val="2"/>
    </w:rPr>
  </w:style>
  <w:style w:type="character" w:styleId="1084">
    <w:name w:val="文档结构图 Char"/>
    <w:next w:val="1084"/>
    <w:link w:val="1083"/>
    <w:uiPriority w:val="99"/>
    <w:semiHidden/>
    <w:rPr>
      <w:rFonts w:cs="Times New Roman"/>
      <w:sz w:val="2"/>
    </w:rPr>
  </w:style>
  <w:style w:type="paragraph" w:styleId="1085">
    <w:name w:val="批注文字"/>
    <w:basedOn w:val="1055"/>
    <w:next w:val="1085"/>
    <w:link w:val="1086"/>
    <w:pPr>
      <w:jc w:val="left"/>
    </w:pPr>
    <w:rPr>
      <w:sz w:val="20"/>
    </w:rPr>
  </w:style>
  <w:style w:type="character" w:styleId="1086">
    <w:name w:val="批注文字 Char"/>
    <w:next w:val="1086"/>
    <w:link w:val="1085"/>
    <w:rPr>
      <w:rFonts w:cs="Times New Roman"/>
      <w:sz w:val="20"/>
      <w:szCs w:val="20"/>
    </w:rPr>
  </w:style>
  <w:style w:type="paragraph" w:styleId="1087">
    <w:name w:val="索引 6"/>
    <w:basedOn w:val="1055"/>
    <w:next w:val="1055"/>
    <w:link w:val="1055"/>
    <w:uiPriority w:val="99"/>
    <w:semiHidden/>
    <w:pPr>
      <w:ind w:left="2100"/>
    </w:pPr>
  </w:style>
  <w:style w:type="paragraph" w:styleId="1088">
    <w:name w:val="正文文本 3"/>
    <w:basedOn w:val="1055"/>
    <w:next w:val="1088"/>
    <w:link w:val="1089"/>
    <w:uiPriority w:val="99"/>
    <w:rPr>
      <w:sz w:val="16"/>
      <w:szCs w:val="16"/>
    </w:rPr>
  </w:style>
  <w:style w:type="character" w:styleId="1089">
    <w:name w:val="正文文本 3 Char"/>
    <w:next w:val="1089"/>
    <w:link w:val="1088"/>
    <w:uiPriority w:val="99"/>
    <w:semiHidden/>
    <w:rPr>
      <w:rFonts w:cs="Times New Roman"/>
      <w:sz w:val="16"/>
      <w:szCs w:val="16"/>
    </w:rPr>
  </w:style>
  <w:style w:type="paragraph" w:styleId="1090">
    <w:name w:val="正文文本"/>
    <w:basedOn w:val="1055"/>
    <w:next w:val="1092"/>
    <w:link w:val="1091"/>
    <w:uiPriority w:val="99"/>
    <w:rPr>
      <w:sz w:val="20"/>
    </w:rPr>
  </w:style>
  <w:style w:type="character" w:styleId="1091">
    <w:name w:val="正文文本 Char"/>
    <w:next w:val="1091"/>
    <w:link w:val="1090"/>
    <w:uiPriority w:val="99"/>
    <w:semiHidden/>
    <w:rPr>
      <w:rFonts w:cs="Times New Roman"/>
      <w:sz w:val="20"/>
      <w:szCs w:val="20"/>
    </w:rPr>
  </w:style>
  <w:style w:type="paragraph" w:styleId="1092">
    <w:name w:val="一级条标题"/>
    <w:basedOn w:val="1093"/>
    <w:next w:val="1094"/>
    <w:link w:val="105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3">
    <w:name w:val="章标题"/>
    <w:next w:val="1055"/>
    <w:link w:val="105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94">
    <w:name w:val="段"/>
    <w:next w:val="1094"/>
    <w:link w:val="1055"/>
    <w:qFormat/>
    <w:pPr>
      <w:ind w:firstLine="200"/>
      <w:jc w:val="both"/>
      <w:widowControl w:val="off"/>
    </w:pPr>
    <w:rPr>
      <w:rFonts w:ascii="宋体" w:hAnsi="宋体" w:eastAsia="宋体" w:cs="宋体"/>
      <w:color w:val="000000"/>
      <w:sz w:val="21"/>
      <w:szCs w:val="21"/>
      <w:lang w:val="en-US" w:eastAsia="zh-CN" w:bidi="ar-SA"/>
    </w:rPr>
  </w:style>
  <w:style w:type="paragraph" w:styleId="1095">
    <w:name w:val="正文文本缩进"/>
    <w:basedOn w:val="1055"/>
    <w:next w:val="1095"/>
    <w:link w:val="1096"/>
    <w:uiPriority w:val="99"/>
    <w:pPr>
      <w:ind w:firstLine="645"/>
    </w:pPr>
    <w:rPr>
      <w:sz w:val="20"/>
    </w:rPr>
  </w:style>
  <w:style w:type="character" w:styleId="1096">
    <w:name w:val="正文文本缩进 Char"/>
    <w:next w:val="1096"/>
    <w:link w:val="1095"/>
    <w:uiPriority w:val="99"/>
    <w:semiHidden/>
    <w:rPr>
      <w:rFonts w:cs="Times New Roman"/>
      <w:sz w:val="20"/>
      <w:szCs w:val="20"/>
    </w:rPr>
  </w:style>
  <w:style w:type="paragraph" w:styleId="1097">
    <w:name w:val="文本块"/>
    <w:basedOn w:val="1055"/>
    <w:next w:val="1097"/>
    <w:link w:val="1055"/>
    <w:qFormat/>
    <w:pPr>
      <w:ind w:left="1440" w:right="1440"/>
      <w:spacing w:after="120"/>
    </w:pPr>
    <w:rPr>
      <w:rFonts w:ascii="Calibri" w:hAnsi="Calibri" w:eastAsia="宋体" w:cs="Times New Roman"/>
      <w:sz w:val="20"/>
      <w:szCs w:val="20"/>
      <w:lang w:val="en-US" w:eastAsia="zh-CN" w:bidi="ar-SA"/>
    </w:rPr>
  </w:style>
  <w:style w:type="paragraph" w:styleId="1098">
    <w:name w:val="索引 4"/>
    <w:basedOn w:val="1055"/>
    <w:next w:val="1055"/>
    <w:link w:val="1055"/>
    <w:uiPriority w:val="99"/>
    <w:semiHidden/>
    <w:pPr>
      <w:ind w:left="1260"/>
    </w:pPr>
  </w:style>
  <w:style w:type="paragraph" w:styleId="1099">
    <w:name w:val="目录 5"/>
    <w:basedOn w:val="1055"/>
    <w:next w:val="1055"/>
    <w:link w:val="1055"/>
    <w:uiPriority w:val="99"/>
    <w:semiHidden/>
    <w:pPr>
      <w:ind w:left="840"/>
      <w:jc w:val="left"/>
    </w:pPr>
    <w:rPr>
      <w:sz w:val="18"/>
    </w:rPr>
  </w:style>
  <w:style w:type="paragraph" w:styleId="1100">
    <w:name w:val="目录 3"/>
    <w:basedOn w:val="1055"/>
    <w:next w:val="1055"/>
    <w:link w:val="1055"/>
    <w:uiPriority w:val="99"/>
    <w:semiHidden/>
    <w:pPr>
      <w:ind w:left="420"/>
      <w:jc w:val="left"/>
    </w:pPr>
    <w:rPr>
      <w:i/>
      <w:sz w:val="20"/>
    </w:rPr>
  </w:style>
  <w:style w:type="paragraph" w:styleId="1101">
    <w:name w:val="纯文本"/>
    <w:basedOn w:val="1055"/>
    <w:next w:val="1055"/>
    <w:link w:val="1102"/>
    <w:rPr>
      <w:rFonts w:ascii="宋体" w:hAnsi="Courier New"/>
      <w:szCs w:val="21"/>
    </w:rPr>
  </w:style>
  <w:style w:type="character" w:styleId="1102">
    <w:name w:val="纯文本 Char"/>
    <w:next w:val="1102"/>
    <w:link w:val="1101"/>
    <w:rPr>
      <w:rFonts w:ascii="宋体" w:hAnsi="Courier New" w:cs="Courier New"/>
      <w:sz w:val="21"/>
      <w:szCs w:val="21"/>
    </w:rPr>
  </w:style>
  <w:style w:type="paragraph" w:styleId="1103">
    <w:name w:val="目录 8"/>
    <w:basedOn w:val="1055"/>
    <w:next w:val="1055"/>
    <w:link w:val="1055"/>
    <w:uiPriority w:val="99"/>
    <w:semiHidden/>
    <w:pPr>
      <w:ind w:left="1470"/>
      <w:jc w:val="left"/>
    </w:pPr>
    <w:rPr>
      <w:sz w:val="18"/>
    </w:rPr>
  </w:style>
  <w:style w:type="paragraph" w:styleId="1104">
    <w:name w:val="索引 3"/>
    <w:basedOn w:val="1055"/>
    <w:next w:val="1055"/>
    <w:link w:val="1055"/>
    <w:uiPriority w:val="99"/>
    <w:semiHidden/>
    <w:pPr>
      <w:ind w:left="840"/>
    </w:pPr>
  </w:style>
  <w:style w:type="paragraph" w:styleId="1105">
    <w:name w:val="日期"/>
    <w:basedOn w:val="1055"/>
    <w:next w:val="1055"/>
    <w:link w:val="1106"/>
    <w:uiPriority w:val="99"/>
    <w:pPr>
      <w:ind w:left="100"/>
    </w:pPr>
    <w:rPr>
      <w:sz w:val="20"/>
    </w:rPr>
  </w:style>
  <w:style w:type="character" w:styleId="1106">
    <w:name w:val="日期 Char"/>
    <w:next w:val="1106"/>
    <w:link w:val="1105"/>
    <w:uiPriority w:val="99"/>
    <w:semiHidden/>
    <w:rPr>
      <w:rFonts w:cs="Times New Roman"/>
      <w:sz w:val="20"/>
      <w:szCs w:val="20"/>
    </w:rPr>
  </w:style>
  <w:style w:type="paragraph" w:styleId="1107">
    <w:name w:val="正文文本缩进 2"/>
    <w:basedOn w:val="1055"/>
    <w:next w:val="1107"/>
    <w:link w:val="1108"/>
    <w:uiPriority w:val="99"/>
    <w:pPr>
      <w:ind w:left="630" w:firstLine="645"/>
    </w:pPr>
    <w:rPr>
      <w:sz w:val="20"/>
    </w:rPr>
  </w:style>
  <w:style w:type="character" w:styleId="1108">
    <w:name w:val="正文文本缩进 2 Char"/>
    <w:next w:val="1108"/>
    <w:link w:val="1107"/>
    <w:uiPriority w:val="99"/>
    <w:semiHidden/>
    <w:rPr>
      <w:rFonts w:cs="Times New Roman"/>
      <w:sz w:val="20"/>
      <w:szCs w:val="20"/>
    </w:rPr>
  </w:style>
  <w:style w:type="paragraph" w:styleId="1109">
    <w:name w:val="批注框文本"/>
    <w:basedOn w:val="1055"/>
    <w:next w:val="1109"/>
    <w:link w:val="1110"/>
    <w:uiPriority w:val="99"/>
    <w:semiHidden/>
    <w:rPr>
      <w:sz w:val="18"/>
      <w:szCs w:val="18"/>
    </w:rPr>
  </w:style>
  <w:style w:type="character" w:styleId="1110">
    <w:name w:val="批注框文本 Char"/>
    <w:next w:val="1110"/>
    <w:link w:val="1109"/>
    <w:uiPriority w:val="99"/>
    <w:semiHidden/>
    <w:rPr>
      <w:sz w:val="18"/>
      <w:szCs w:val="18"/>
    </w:rPr>
  </w:style>
  <w:style w:type="paragraph" w:styleId="1111">
    <w:name w:val="页脚"/>
    <w:basedOn w:val="1055"/>
    <w:next w:val="1111"/>
    <w:link w:val="1112"/>
    <w:uiPriority w:val="99"/>
    <w:pPr>
      <w:jc w:val="left"/>
      <w:tabs>
        <w:tab w:val="center" w:pos="4153" w:leader="none"/>
        <w:tab w:val="right" w:pos="8306" w:leader="none"/>
      </w:tabs>
    </w:pPr>
    <w:rPr>
      <w:sz w:val="18"/>
    </w:rPr>
  </w:style>
  <w:style w:type="character" w:styleId="1112">
    <w:name w:val="页脚 Char"/>
    <w:next w:val="1112"/>
    <w:link w:val="1111"/>
    <w:uiPriority w:val="99"/>
    <w:rPr>
      <w:rFonts w:eastAsia="宋体" w:cs="Times New Roman"/>
      <w:sz w:val="18"/>
      <w:lang w:val="en-US" w:eastAsia="zh-CN" w:bidi="ar-SA"/>
    </w:rPr>
  </w:style>
  <w:style w:type="paragraph" w:styleId="1113">
    <w:name w:val="寄信人地址"/>
    <w:basedOn w:val="1055"/>
    <w:next w:val="1113"/>
    <w:link w:val="1055"/>
    <w:qFormat/>
    <w:rPr>
      <w:rFonts w:ascii="Arial" w:hAnsi="Arial" w:eastAsia="宋体" w:cs="Times New Roman"/>
    </w:rPr>
  </w:style>
  <w:style w:type="paragraph" w:styleId="1114">
    <w:name w:val="页眉"/>
    <w:basedOn w:val="1055"/>
    <w:next w:val="1114"/>
    <w:link w:val="1115"/>
    <w:uiPriority w:val="99"/>
    <w:pPr>
      <w:jc w:val="center"/>
      <w:tabs>
        <w:tab w:val="center" w:pos="4153" w:leader="none"/>
        <w:tab w:val="right" w:pos="8306" w:leader="none"/>
      </w:tabs>
      <w:pBdr>
        <w:bottom w:val="single" w:color="000000" w:sz="6" w:space="1"/>
      </w:pBdr>
    </w:pPr>
    <w:rPr>
      <w:sz w:val="18"/>
    </w:rPr>
  </w:style>
  <w:style w:type="character" w:styleId="1115">
    <w:name w:val="页眉 Char"/>
    <w:next w:val="1115"/>
    <w:link w:val="1114"/>
    <w:uiPriority w:val="99"/>
    <w:semiHidden/>
    <w:rPr>
      <w:rFonts w:eastAsia="宋体" w:cs="Times New Roman"/>
      <w:sz w:val="18"/>
      <w:lang w:val="en-US" w:eastAsia="zh-CN" w:bidi="ar-SA"/>
    </w:rPr>
  </w:style>
  <w:style w:type="paragraph" w:styleId="1116">
    <w:name w:val="目录 1"/>
    <w:basedOn w:val="1055"/>
    <w:next w:val="1055"/>
    <w:link w:val="1055"/>
    <w:uiPriority w:val="39"/>
    <w:pPr>
      <w:jc w:val="left"/>
      <w:spacing w:before="120" w:after="120"/>
    </w:pPr>
    <w:rPr>
      <w:b/>
      <w:caps/>
      <w:sz w:val="20"/>
    </w:rPr>
  </w:style>
  <w:style w:type="paragraph" w:styleId="1117">
    <w:name w:val="目录 4"/>
    <w:basedOn w:val="1055"/>
    <w:next w:val="1055"/>
    <w:link w:val="1055"/>
    <w:uiPriority w:val="99"/>
    <w:semiHidden/>
    <w:pPr>
      <w:ind w:left="630"/>
      <w:jc w:val="left"/>
    </w:pPr>
    <w:rPr>
      <w:sz w:val="18"/>
    </w:rPr>
  </w:style>
  <w:style w:type="paragraph" w:styleId="1118">
    <w:name w:val="索引标题"/>
    <w:basedOn w:val="1055"/>
    <w:next w:val="1119"/>
    <w:link w:val="1055"/>
    <w:uiPriority w:val="99"/>
    <w:semiHidden/>
  </w:style>
  <w:style w:type="paragraph" w:styleId="1119">
    <w:name w:val="索引 1"/>
    <w:basedOn w:val="1055"/>
    <w:next w:val="1055"/>
    <w:link w:val="1055"/>
    <w:uiPriority w:val="99"/>
    <w:semiHidden/>
    <w:pPr>
      <w:jc w:val="center"/>
    </w:pPr>
    <w:rPr>
      <w:rFonts w:ascii="仿宋_GB2312" w:hAnsi="宋体" w:eastAsia="仿宋_GB2312"/>
      <w:sz w:val="30"/>
      <w:szCs w:val="24"/>
    </w:rPr>
  </w:style>
  <w:style w:type="paragraph" w:styleId="1120">
    <w:name w:val="目录 6"/>
    <w:basedOn w:val="1055"/>
    <w:next w:val="1055"/>
    <w:link w:val="1055"/>
    <w:uiPriority w:val="99"/>
    <w:semiHidden/>
    <w:pPr>
      <w:ind w:left="1050"/>
      <w:jc w:val="left"/>
    </w:pPr>
    <w:rPr>
      <w:sz w:val="18"/>
    </w:rPr>
  </w:style>
  <w:style w:type="paragraph" w:styleId="1121">
    <w:name w:val="正文文本缩进 3"/>
    <w:basedOn w:val="1055"/>
    <w:next w:val="1121"/>
    <w:link w:val="1122"/>
    <w:uiPriority w:val="99"/>
    <w:pPr>
      <w:ind w:left="645" w:firstLine="645"/>
    </w:pPr>
    <w:rPr>
      <w:sz w:val="16"/>
      <w:szCs w:val="16"/>
    </w:rPr>
  </w:style>
  <w:style w:type="character" w:styleId="1122">
    <w:name w:val="正文文本缩进 3 Char"/>
    <w:next w:val="1122"/>
    <w:link w:val="1121"/>
    <w:uiPriority w:val="99"/>
    <w:semiHidden/>
    <w:rPr>
      <w:rFonts w:cs="Times New Roman"/>
      <w:sz w:val="16"/>
      <w:szCs w:val="16"/>
    </w:rPr>
  </w:style>
  <w:style w:type="paragraph" w:styleId="1123">
    <w:name w:val="索引 7"/>
    <w:basedOn w:val="1055"/>
    <w:next w:val="1055"/>
    <w:link w:val="1055"/>
    <w:uiPriority w:val="99"/>
    <w:semiHidden/>
    <w:pPr>
      <w:ind w:left="2520"/>
    </w:pPr>
  </w:style>
  <w:style w:type="paragraph" w:styleId="1124">
    <w:name w:val="索引 9"/>
    <w:basedOn w:val="1055"/>
    <w:next w:val="1055"/>
    <w:link w:val="1055"/>
    <w:uiPriority w:val="99"/>
    <w:semiHidden/>
    <w:pPr>
      <w:ind w:left="3360"/>
    </w:pPr>
  </w:style>
  <w:style w:type="paragraph" w:styleId="1125">
    <w:name w:val="图表目录"/>
    <w:basedOn w:val="1055"/>
    <w:next w:val="1055"/>
    <w:link w:val="1055"/>
    <w:uiPriority w:val="99"/>
    <w:semiHidden/>
    <w:pPr>
      <w:ind w:left="840" w:hanging="420"/>
    </w:pPr>
  </w:style>
  <w:style w:type="paragraph" w:styleId="1126">
    <w:name w:val="目录 2"/>
    <w:basedOn w:val="1055"/>
    <w:next w:val="1055"/>
    <w:link w:val="1055"/>
    <w:uiPriority w:val="39"/>
    <w:pPr>
      <w:ind w:left="210"/>
      <w:jc w:val="left"/>
    </w:pPr>
    <w:rPr>
      <w:smallCaps/>
      <w:sz w:val="20"/>
    </w:rPr>
  </w:style>
  <w:style w:type="paragraph" w:styleId="1127">
    <w:name w:val="目录 9"/>
    <w:basedOn w:val="1055"/>
    <w:next w:val="1055"/>
    <w:link w:val="1055"/>
    <w:uiPriority w:val="99"/>
    <w:semiHidden/>
    <w:pPr>
      <w:ind w:left="1680"/>
      <w:jc w:val="left"/>
    </w:pPr>
    <w:rPr>
      <w:sz w:val="18"/>
    </w:rPr>
  </w:style>
  <w:style w:type="paragraph" w:styleId="1128">
    <w:name w:val="正文文本 2"/>
    <w:basedOn w:val="1055"/>
    <w:next w:val="1128"/>
    <w:link w:val="1129"/>
    <w:uiPriority w:val="99"/>
    <w:pPr>
      <w:jc w:val="center"/>
      <w:widowControl/>
    </w:pPr>
    <w:rPr>
      <w:sz w:val="20"/>
    </w:rPr>
  </w:style>
  <w:style w:type="character" w:styleId="1129">
    <w:name w:val="正文文本 2 Char"/>
    <w:next w:val="1129"/>
    <w:link w:val="1128"/>
    <w:uiPriority w:val="99"/>
    <w:semiHidden/>
    <w:rPr>
      <w:rFonts w:cs="Times New Roman"/>
      <w:sz w:val="20"/>
      <w:szCs w:val="20"/>
    </w:rPr>
  </w:style>
  <w:style w:type="paragraph" w:styleId="1130">
    <w:name w:val="HTML 预设格式"/>
    <w:basedOn w:val="1055"/>
    <w:next w:val="1130"/>
    <w:link w:val="1131"/>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131">
    <w:name w:val="HTML 预设格式 Char"/>
    <w:next w:val="1131"/>
    <w:link w:val="1130"/>
    <w:uiPriority w:val="99"/>
    <w:semiHidden/>
    <w:rPr>
      <w:rFonts w:ascii="Courier New" w:hAnsi="Courier New" w:cs="Courier New"/>
      <w:sz w:val="20"/>
      <w:szCs w:val="20"/>
    </w:rPr>
  </w:style>
  <w:style w:type="paragraph" w:styleId="1132">
    <w:name w:val="普通(网站)"/>
    <w:basedOn w:val="1055"/>
    <w:next w:val="1132"/>
    <w:link w:val="1055"/>
    <w:uiPriority w:val="99"/>
    <w:pPr>
      <w:jc w:val="left"/>
      <w:spacing w:before="100" w:beforeAutospacing="1" w:after="100" w:afterAutospacing="1"/>
      <w:widowControl/>
    </w:pPr>
    <w:rPr>
      <w:rFonts w:ascii="Arial" w:hAnsi="Arial" w:cs="Arial"/>
      <w:sz w:val="24"/>
      <w:szCs w:val="24"/>
    </w:rPr>
  </w:style>
  <w:style w:type="paragraph" w:styleId="1133">
    <w:name w:val="索引 2"/>
    <w:basedOn w:val="1055"/>
    <w:next w:val="1055"/>
    <w:link w:val="1055"/>
    <w:uiPriority w:val="99"/>
    <w:semiHidden/>
    <w:pPr>
      <w:ind w:left="420"/>
    </w:pPr>
  </w:style>
  <w:style w:type="paragraph" w:styleId="1134">
    <w:name w:val="标题"/>
    <w:basedOn w:val="1055"/>
    <w:next w:val="1055"/>
    <w:link w:val="1135"/>
    <w:uiPriority w:val="10"/>
    <w:qFormat/>
    <w:pPr>
      <w:jc w:val="center"/>
      <w:spacing w:before="240" w:after="60"/>
      <w:outlineLvl w:val="0"/>
    </w:pPr>
    <w:rPr>
      <w:rFonts w:ascii="Cambria" w:hAnsi="Cambria"/>
      <w:b/>
      <w:bCs/>
      <w:sz w:val="32"/>
      <w:szCs w:val="32"/>
    </w:rPr>
  </w:style>
  <w:style w:type="character" w:styleId="1135">
    <w:name w:val="标题 Char"/>
    <w:next w:val="1135"/>
    <w:link w:val="1134"/>
    <w:uiPriority w:val="10"/>
    <w:rPr>
      <w:rFonts w:ascii="Cambria" w:hAnsi="Cambria" w:cs="Times New Roman"/>
      <w:b/>
      <w:bCs/>
      <w:sz w:val="32"/>
      <w:szCs w:val="32"/>
    </w:rPr>
  </w:style>
  <w:style w:type="paragraph" w:styleId="1136">
    <w:name w:val="批注主题"/>
    <w:basedOn w:val="1085"/>
    <w:next w:val="1085"/>
    <w:link w:val="1137"/>
    <w:uiPriority w:val="99"/>
    <w:semiHidden/>
    <w:rPr>
      <w:b/>
      <w:bCs/>
    </w:rPr>
  </w:style>
  <w:style w:type="character" w:styleId="1137">
    <w:name w:val="批注主题 Char"/>
    <w:next w:val="1137"/>
    <w:link w:val="1136"/>
    <w:uiPriority w:val="99"/>
    <w:semiHidden/>
    <w:rPr>
      <w:rFonts w:cs="Times New Roman"/>
      <w:b/>
      <w:bCs/>
      <w:sz w:val="20"/>
      <w:szCs w:val="20"/>
    </w:rPr>
  </w:style>
  <w:style w:type="paragraph" w:styleId="1138">
    <w:name w:val="正文首行缩进"/>
    <w:basedOn w:val="1090"/>
    <w:next w:val="1138"/>
    <w:link w:val="1139"/>
    <w:uiPriority w:val="99"/>
    <w:pPr>
      <w:ind w:firstLine="420"/>
      <w:spacing w:after="120"/>
    </w:pPr>
    <w:rPr>
      <w:rFonts w:ascii="Times New Roman" w:hAnsi="Times New Roman" w:eastAsia="宋体"/>
      <w:sz w:val="21"/>
      <w:szCs w:val="24"/>
    </w:rPr>
  </w:style>
  <w:style w:type="character" w:styleId="1139">
    <w:name w:val="正文首行缩进 Char"/>
    <w:basedOn w:val="1091"/>
    <w:next w:val="1139"/>
    <w:link w:val="1138"/>
    <w:uiPriority w:val="99"/>
    <w:semiHidden/>
  </w:style>
  <w:style w:type="paragraph" w:styleId="1140">
    <w:name w:val="正文首行缩进 2"/>
    <w:basedOn w:val="1095"/>
    <w:next w:val="1055"/>
    <w:link w:val="1055"/>
    <w:uiPriority w:val="99"/>
    <w:unhideWhenUsed/>
    <w:qFormat/>
    <w:pPr>
      <w:ind w:left="420" w:firstLine="420"/>
      <w:spacing w:after="120"/>
    </w:pPr>
    <w:rPr>
      <w:sz w:val="21"/>
      <w:szCs w:val="21"/>
    </w:rPr>
  </w:style>
  <w:style w:type="character" w:styleId="1141">
    <w:name w:val="要点"/>
    <w:next w:val="1141"/>
    <w:link w:val="1055"/>
    <w:qFormat/>
    <w:rPr>
      <w:b/>
      <w:bCs/>
    </w:rPr>
  </w:style>
  <w:style w:type="character" w:styleId="1142">
    <w:name w:val="页码"/>
    <w:next w:val="1142"/>
    <w:link w:val="1055"/>
    <w:rPr>
      <w:rFonts w:cs="Times New Roman"/>
    </w:rPr>
  </w:style>
  <w:style w:type="character" w:styleId="1143">
    <w:name w:val="已访问的超链接"/>
    <w:next w:val="1143"/>
    <w:link w:val="1055"/>
    <w:uiPriority w:val="99"/>
    <w:rPr>
      <w:rFonts w:cs="Times New Roman"/>
      <w:color w:val="800080"/>
      <w:u w:val="single"/>
    </w:rPr>
  </w:style>
  <w:style w:type="character" w:styleId="1144">
    <w:name w:val="超链接"/>
    <w:basedOn w:val="1065"/>
    <w:next w:val="1144"/>
    <w:link w:val="1055"/>
    <w:uiPriority w:val="99"/>
    <w:rPr>
      <w:rFonts w:cs="Times New Roman"/>
      <w:color w:val="0000ff"/>
      <w:u w:val="single"/>
    </w:rPr>
  </w:style>
  <w:style w:type="character" w:styleId="1145">
    <w:name w:val="批注引用"/>
    <w:next w:val="1145"/>
    <w:link w:val="1055"/>
    <w:rPr>
      <w:rFonts w:cs="Times New Roman"/>
      <w:sz w:val="21"/>
    </w:rPr>
  </w:style>
  <w:style w:type="paragraph" w:styleId="1146">
    <w:name w:val="列表段落1"/>
    <w:basedOn w:val="1055"/>
    <w:next w:val="1146"/>
    <w:link w:val="1055"/>
    <w:uiPriority w:val="99"/>
    <w:qFormat/>
    <w:pPr>
      <w:ind w:firstLine="420"/>
    </w:pPr>
    <w:rPr>
      <w:rFonts w:ascii="Times New Roman" w:hAnsi="Times New Roman" w:eastAsia="宋体" w:cs="Times New Roman"/>
      <w:szCs w:val="20"/>
    </w:rPr>
  </w:style>
  <w:style w:type="paragraph" w:styleId="1147">
    <w:name w:val="正文首行缩进 211"/>
    <w:basedOn w:val="1148"/>
    <w:next w:val="1055"/>
    <w:link w:val="1055"/>
    <w:uiPriority w:val="99"/>
    <w:qFormat/>
    <w:pPr>
      <w:ind w:left="0" w:firstLine="420"/>
      <w:spacing w:after="0" w:line="360" w:lineRule="auto"/>
    </w:pPr>
    <w:rPr>
      <w:rFonts w:ascii="宋体" w:hAnsi="宋体"/>
    </w:rPr>
  </w:style>
  <w:style w:type="paragraph" w:styleId="1148">
    <w:name w:val="正文文本缩进11"/>
    <w:basedOn w:val="1149"/>
    <w:next w:val="1165"/>
    <w:link w:val="1055"/>
    <w:qFormat/>
    <w:pPr>
      <w:ind w:firstLine="301"/>
      <w:spacing w:line="200" w:lineRule="exact"/>
    </w:pPr>
    <w:rPr>
      <w:rFonts w:ascii="宋体" w:hAnsi="宋体" w:eastAsia="宋体" w:cs="Times New Roman"/>
      <w:spacing w:val="-4"/>
      <w:sz w:val="18"/>
      <w:szCs w:val="20"/>
      <w:lang w:val="en-US" w:eastAsia="zh-CN" w:bidi="ar-SA"/>
    </w:rPr>
  </w:style>
  <w:style w:type="paragraph" w:styleId="1149">
    <w:name w:val="正文112"/>
    <w:next w:val="1150"/>
    <w:link w:val="1055"/>
    <w:qFormat/>
    <w:pPr>
      <w:jc w:val="both"/>
      <w:widowControl w:val="off"/>
    </w:pPr>
    <w:rPr>
      <w:rFonts w:ascii="Times New Roman" w:hAnsi="Times New Roman" w:eastAsia="宋体" w:cs="Times New Roman"/>
      <w:sz w:val="21"/>
      <w:szCs w:val="24"/>
      <w:lang w:eastAsia="zh-CN"/>
    </w:rPr>
  </w:style>
  <w:style w:type="paragraph" w:styleId="1150">
    <w:name w:val="正文首行缩进1"/>
    <w:basedOn w:val="1151"/>
    <w:next w:val="1147"/>
    <w:link w:val="1055"/>
    <w:qFormat/>
    <w:pPr>
      <w:ind w:firstLine="420"/>
      <w:spacing w:after="120"/>
    </w:pPr>
    <w:rPr>
      <w:rFonts w:ascii="Calibri" w:hAnsi="Calibri" w:eastAsia="宋体" w:cs="Times New Roman"/>
      <w:sz w:val="20"/>
      <w:szCs w:val="20"/>
      <w:lang w:val="en-US" w:eastAsia="zh-CN" w:bidi="ar-SA"/>
    </w:rPr>
  </w:style>
  <w:style w:type="paragraph" w:styleId="1151">
    <w:name w:val="正文文本11"/>
    <w:basedOn w:val="1149"/>
    <w:next w:val="1152"/>
    <w:link w:val="1055"/>
    <w:qFormat/>
    <w:pPr>
      <w:spacing w:after="120"/>
    </w:pPr>
    <w:rPr>
      <w:rFonts w:ascii="Times New Roman" w:hAnsi="Times New Roman" w:eastAsia="宋体" w:cs="Times New Roman"/>
      <w:sz w:val="20"/>
      <w:szCs w:val="20"/>
      <w:lang w:val="en-US" w:eastAsia="zh-CN" w:bidi="ar-SA"/>
    </w:rPr>
  </w:style>
  <w:style w:type="paragraph" w:styleId="1152">
    <w:name w:val="正文11"/>
    <w:next w:val="1153"/>
    <w:link w:val="1055"/>
    <w:qFormat/>
    <w:pPr>
      <w:jc w:val="both"/>
      <w:widowControl w:val="off"/>
    </w:pPr>
    <w:rPr>
      <w:rFonts w:ascii="Calibri" w:hAnsi="Calibri" w:eastAsia="宋体" w:cs="Times New Roman"/>
      <w:sz w:val="21"/>
      <w:szCs w:val="24"/>
      <w:lang w:eastAsia="zh-CN"/>
    </w:rPr>
  </w:style>
  <w:style w:type="paragraph" w:styleId="1153">
    <w:name w:val="文本块1"/>
    <w:basedOn w:val="1154"/>
    <w:next w:val="1155"/>
    <w:link w:val="1055"/>
    <w:qFormat/>
    <w:pPr>
      <w:ind w:left="256" w:right="6" w:firstLine="624"/>
    </w:pPr>
    <w:rPr>
      <w:rFonts w:ascii="Calibri" w:hAnsi="Calibri" w:eastAsia="仿宋_GB2312" w:cs="Times New Roman"/>
      <w:sz w:val="28"/>
      <w:szCs w:val="20"/>
      <w:lang w:val="en-US" w:eastAsia="zh-CN" w:bidi="ar-SA"/>
    </w:rPr>
  </w:style>
  <w:style w:type="paragraph" w:styleId="1154">
    <w:name w:val="正文111"/>
    <w:next w:val="1055"/>
    <w:link w:val="1055"/>
    <w:qFormat/>
    <w:pPr>
      <w:jc w:val="both"/>
      <w:widowControl w:val="off"/>
    </w:pPr>
    <w:rPr>
      <w:rFonts w:ascii="Times New Roman" w:hAnsi="Times New Roman" w:eastAsia="宋体" w:cs="Times New Roman"/>
      <w:sz w:val="21"/>
      <w:szCs w:val="24"/>
      <w:lang w:eastAsia="zh-CN"/>
    </w:rPr>
  </w:style>
  <w:style w:type="paragraph" w:styleId="1155">
    <w:name w:val="标题 41"/>
    <w:basedOn w:val="1156"/>
    <w:next w:val="1152"/>
    <w:link w:val="1055"/>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1156">
    <w:name w:val="正文1121"/>
    <w:next w:val="1157"/>
    <w:link w:val="1055"/>
    <w:qFormat/>
    <w:pPr>
      <w:jc w:val="both"/>
      <w:widowControl w:val="off"/>
    </w:pPr>
    <w:rPr>
      <w:rFonts w:ascii="Calibri" w:hAnsi="Calibri" w:eastAsia="宋体" w:cs="Times New Roman"/>
      <w:sz w:val="21"/>
      <w:szCs w:val="24"/>
      <w:lang w:eastAsia="zh-CN"/>
    </w:rPr>
  </w:style>
  <w:style w:type="paragraph" w:styleId="1157">
    <w:name w:val="正文文本111"/>
    <w:basedOn w:val="1156"/>
    <w:next w:val="1158"/>
    <w:link w:val="1055"/>
    <w:qFormat/>
  </w:style>
  <w:style w:type="paragraph" w:styleId="1158">
    <w:name w:val="正文12"/>
    <w:next w:val="1159"/>
    <w:link w:val="1055"/>
    <w:qFormat/>
    <w:pPr>
      <w:ind w:firstLine="723"/>
      <w:jc w:val="both"/>
      <w:spacing w:line="360" w:lineRule="auto"/>
      <w:widowControl w:val="off"/>
    </w:pPr>
    <w:rPr>
      <w:rFonts w:ascii="Times New Roman" w:hAnsi="Times New Roman" w:eastAsia="宋体" w:cs="Times New Roman"/>
      <w:sz w:val="24"/>
      <w:szCs w:val="24"/>
      <w:lang w:eastAsia="zh-CN"/>
    </w:rPr>
  </w:style>
  <w:style w:type="paragraph" w:styleId="1159">
    <w:name w:val="脚注文本1"/>
    <w:next w:val="1160"/>
    <w:link w:val="1055"/>
    <w:qFormat/>
    <w:rPr>
      <w:rFonts w:ascii="Calibri" w:hAnsi="Calibri" w:eastAsia="宋体" w:cs="Times New Roman"/>
      <w:sz w:val="18"/>
      <w:szCs w:val="18"/>
      <w:lang w:eastAsia="zh-CN"/>
    </w:rPr>
  </w:style>
  <w:style w:type="paragraph" w:styleId="1160">
    <w:name w:val="索引 51"/>
    <w:basedOn w:val="1161"/>
    <w:next w:val="1162"/>
    <w:link w:val="1055"/>
    <w:qFormat/>
    <w:pPr>
      <w:ind w:left="798"/>
      <w:jc w:val="left"/>
    </w:pPr>
  </w:style>
  <w:style w:type="paragraph" w:styleId="1161">
    <w:name w:val="文本块11"/>
    <w:basedOn w:val="1158"/>
    <w:next w:val="1161"/>
    <w:link w:val="1055"/>
    <w:qFormat/>
    <w:pPr>
      <w:ind w:left="1440" w:right="1440"/>
      <w:spacing w:after="120"/>
    </w:pPr>
  </w:style>
  <w:style w:type="paragraph" w:styleId="1162">
    <w:name w:val="正文1"/>
    <w:basedOn w:val="1152"/>
    <w:next w:val="1163"/>
    <w:link w:val="1055"/>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1163">
    <w:name w:val="正文文本1"/>
    <w:basedOn w:val="1164"/>
    <w:next w:val="1092"/>
    <w:link w:val="1055"/>
    <w:qFormat/>
    <w:rPr>
      <w:rFonts w:ascii="Calibri" w:hAnsi="Calibri" w:eastAsia="宋体" w:cs="Times New Roman"/>
      <w:b/>
      <w:bCs/>
      <w:spacing w:val="16"/>
      <w:sz w:val="56"/>
      <w:szCs w:val="20"/>
      <w:lang w:val="en-US" w:eastAsia="zh-CN" w:bidi="ar-SA"/>
    </w:rPr>
  </w:style>
  <w:style w:type="paragraph" w:styleId="1164">
    <w:name w:val="正文13"/>
    <w:next w:val="1150"/>
    <w:link w:val="1055"/>
    <w:qFormat/>
    <w:pPr>
      <w:jc w:val="both"/>
      <w:widowControl w:val="off"/>
    </w:pPr>
    <w:rPr>
      <w:rFonts w:ascii="Times New Roman" w:hAnsi="Times New Roman" w:eastAsia="宋体" w:cs="Times New Roman"/>
      <w:sz w:val="21"/>
      <w:szCs w:val="24"/>
      <w:lang w:eastAsia="zh-CN"/>
    </w:rPr>
  </w:style>
  <w:style w:type="paragraph" w:styleId="1165">
    <w:name w:val="寄信人地址1"/>
    <w:basedOn w:val="1055"/>
    <w:next w:val="1165"/>
    <w:link w:val="1055"/>
    <w:qFormat/>
    <w:rPr>
      <w:rFonts w:ascii="Arial" w:hAnsi="Arial" w:eastAsia="宋体" w:cs="宋体"/>
    </w:rPr>
  </w:style>
  <w:style w:type="paragraph" w:styleId="1166">
    <w:name w:val="正文 A"/>
    <w:next w:val="1094"/>
    <w:link w:val="1055"/>
    <w:qFormat/>
    <w:pPr>
      <w:jc w:val="both"/>
      <w:widowControl w:val="off"/>
    </w:pPr>
    <w:rPr>
      <w:rFonts w:ascii="Calibri" w:hAnsi="Calibri" w:eastAsia="Calibri" w:cs="Calibri"/>
      <w:color w:val="000000"/>
      <w:sz w:val="21"/>
      <w:szCs w:val="21"/>
      <w:lang w:val="en-US" w:eastAsia="zh-CN" w:bidi="ar-SA"/>
    </w:rPr>
  </w:style>
  <w:style w:type="paragraph" w:styleId="1167">
    <w:name w:val="Default"/>
    <w:next w:val="1167"/>
    <w:link w:val="1055"/>
    <w:qFormat/>
    <w:pPr>
      <w:widowControl w:val="off"/>
    </w:pPr>
    <w:rPr>
      <w:rFonts w:ascii="宋体" w:hAnsi="Times New Roman" w:eastAsia="宋体" w:cs="宋体"/>
      <w:color w:val="000000"/>
      <w:sz w:val="24"/>
      <w:szCs w:val="24"/>
      <w:lang w:val="en-US" w:eastAsia="zh-CN" w:bidi="ar-SA"/>
    </w:rPr>
  </w:style>
  <w:style w:type="paragraph" w:styleId="1168">
    <w:name w:val="首行缩进"/>
    <w:next w:val="1168"/>
    <w:link w:val="1055"/>
    <w:qFormat/>
    <w:pPr>
      <w:ind w:firstLine="480"/>
      <w:jc w:val="both"/>
      <w:widowControl w:val="off"/>
    </w:pPr>
    <w:rPr>
      <w:rFonts w:ascii="Tahoma" w:hAnsi="Tahoma" w:eastAsia="等线" w:cs="Tahoma"/>
      <w:sz w:val="21"/>
      <w:lang w:val="zh-CN" w:eastAsia="zh-CN" w:bidi="ar-SA"/>
    </w:rPr>
  </w:style>
  <w:style w:type="character" w:styleId="1169">
    <w:name w:val="标题 3 Char,h3 Char,3rd level Char,3 Char,标题4 Char,Heading 3 - old Char"/>
    <w:next w:val="1169"/>
    <w:link w:val="1055"/>
    <w:uiPriority w:val="99"/>
    <w:rPr>
      <w:rFonts w:ascii="宋体" w:hAnsi="宋体" w:eastAsia="宋体" w:cs="Times New Roman"/>
      <w:b/>
      <w:bCs/>
      <w:sz w:val="32"/>
      <w:szCs w:val="32"/>
      <w:lang w:val="en-US" w:eastAsia="zh-CN" w:bidi="ar-SA"/>
    </w:rPr>
  </w:style>
  <w:style w:type="character" w:styleId="1170">
    <w:name w:val="para_small"/>
    <w:next w:val="1170"/>
    <w:link w:val="1055"/>
    <w:uiPriority w:val="99"/>
    <w:rPr>
      <w:rFonts w:cs="Times New Roman"/>
    </w:rPr>
  </w:style>
  <w:style w:type="character" w:styleId="1171">
    <w:name w:val="point_normal1"/>
    <w:next w:val="1171"/>
    <w:link w:val="1055"/>
    <w:uiPriority w:val="99"/>
    <w:rPr>
      <w:rFonts w:ascii="Arial" w:hAnsi="Arial" w:cs="Arial"/>
      <w:sz w:val="18"/>
      <w:szCs w:val="18"/>
    </w:rPr>
  </w:style>
  <w:style w:type="character" w:styleId="1172">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172"/>
    <w:link w:val="1055"/>
    <w:rPr>
      <w:rFonts w:ascii="宋体" w:hAnsi="Courier New" w:eastAsia="宋体"/>
      <w:sz w:val="21"/>
      <w:lang w:val="en-US" w:eastAsia="zh-CN" w:bidi="ar-SA"/>
    </w:rPr>
  </w:style>
  <w:style w:type="character" w:styleId="1173">
    <w:name w:val="二级目录 Char"/>
    <w:next w:val="1173"/>
    <w:link w:val="1174"/>
    <w:uiPriority w:val="99"/>
    <w:rPr>
      <w:b/>
      <w:sz w:val="30"/>
      <w:szCs w:val="28"/>
      <w:lang w:val="en-US" w:eastAsia="zh-CN" w:bidi="ar-SA"/>
    </w:rPr>
  </w:style>
  <w:style w:type="paragraph" w:styleId="1174">
    <w:name w:val="二级目录"/>
    <w:next w:val="1055"/>
    <w:link w:val="1173"/>
    <w:uiPriority w:val="99"/>
    <w:pPr>
      <w:numPr>
        <w:ilvl w:val="0"/>
        <w:numId w:val="3"/>
      </w:numPr>
      <w:tabs>
        <w:tab w:val="left" w:pos="720" w:leader="none"/>
      </w:tabs>
      <w:outlineLvl w:val="1"/>
    </w:pPr>
    <w:rPr>
      <w:b/>
      <w:sz w:val="30"/>
      <w:szCs w:val="28"/>
      <w:lang w:val="en-US" w:eastAsia="zh-CN" w:bidi="ar-SA"/>
    </w:rPr>
  </w:style>
  <w:style w:type="character" w:styleId="1175">
    <w:name w:val="正文2 Char"/>
    <w:next w:val="1175"/>
    <w:link w:val="1176"/>
    <w:rPr>
      <w:sz w:val="24"/>
    </w:rPr>
  </w:style>
  <w:style w:type="paragraph" w:styleId="1176">
    <w:name w:val="正文2"/>
    <w:basedOn w:val="1055"/>
    <w:next w:val="1176"/>
    <w:link w:val="1175"/>
    <w:pPr>
      <w:ind w:firstLine="510"/>
      <w:spacing w:before="156" w:line="360" w:lineRule="auto"/>
    </w:pPr>
    <w:rPr>
      <w:sz w:val="24"/>
    </w:rPr>
  </w:style>
  <w:style w:type="paragraph" w:styleId="1177">
    <w:name w:val="xl112"/>
    <w:basedOn w:val="1055"/>
    <w:next w:val="1177"/>
    <w:link w:val="10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78">
    <w:name w:val="丁华标题2"/>
    <w:basedOn w:val="1057"/>
    <w:next w:val="1179"/>
    <w:link w:val="1055"/>
    <w:uiPriority w:val="99"/>
    <w:pPr>
      <w:numPr>
        <w:ilvl w:val="1"/>
        <w:numId w:val="3"/>
      </w:numPr>
      <w:spacing w:line="415" w:lineRule="auto"/>
      <w:tabs>
        <w:tab w:val="left" w:pos="567" w:leader="none"/>
      </w:tabs>
    </w:pPr>
    <w:rPr>
      <w:rFonts w:ascii="Arial" w:hAnsi="Arial" w:eastAsia="黑体"/>
      <w:b w:val="0"/>
      <w:sz w:val="28"/>
      <w:szCs w:val="20"/>
    </w:rPr>
  </w:style>
  <w:style w:type="paragraph" w:styleId="1179">
    <w:name w:val="丁华正文"/>
    <w:basedOn w:val="1121"/>
    <w:next w:val="1179"/>
    <w:link w:val="1055"/>
    <w:uiPriority w:val="99"/>
    <w:pPr>
      <w:ind w:left="0" w:firstLine="510"/>
      <w:spacing w:line="360" w:lineRule="auto"/>
    </w:pPr>
    <w:rPr>
      <w:rFonts w:ascii="Times New Roman" w:hAnsi="Times New Roman" w:eastAsia="宋体"/>
      <w:color w:val="000000"/>
      <w:sz w:val="24"/>
      <w:szCs w:val="16"/>
    </w:rPr>
  </w:style>
  <w:style w:type="paragraph" w:styleId="1180">
    <w:name w:val="xl115"/>
    <w:basedOn w:val="1055"/>
    <w:next w:val="1180"/>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81">
    <w:name w:val="Bullets L1"/>
    <w:basedOn w:val="1055"/>
    <w:next w:val="1181"/>
    <w:link w:val="1055"/>
    <w:uiPriority w:val="99"/>
    <w:pPr>
      <w:numPr>
        <w:ilvl w:val="0"/>
        <w:numId w:val="4"/>
      </w:numPr>
      <w:jc w:val="left"/>
      <w:spacing w:before="60" w:after="60"/>
      <w:widowControl/>
      <w:tabs>
        <w:tab w:val="left" w:pos="360" w:leader="none"/>
      </w:tabs>
    </w:pPr>
    <w:rPr>
      <w:rFonts w:ascii="Arial" w:hAnsi="Arial"/>
      <w:sz w:val="20"/>
    </w:rPr>
  </w:style>
  <w:style w:type="paragraph" w:styleId="1182">
    <w:name w:val="xl107"/>
    <w:basedOn w:val="1055"/>
    <w:next w:val="1182"/>
    <w:link w:val="1055"/>
    <w:pPr>
      <w:jc w:val="left"/>
      <w:spacing w:before="100" w:beforeAutospacing="1" w:after="100" w:afterAutospacing="1"/>
      <w:widowControl/>
    </w:pPr>
    <w:rPr>
      <w:rFonts w:ascii="Arial" w:hAnsi="Arial" w:cs="Arial"/>
      <w:sz w:val="20"/>
    </w:rPr>
  </w:style>
  <w:style w:type="paragraph" w:styleId="1183">
    <w:name w:val="xl117"/>
    <w:basedOn w:val="1055"/>
    <w:next w:val="1183"/>
    <w:link w:val="105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84">
    <w:name w:val="font7"/>
    <w:basedOn w:val="1055"/>
    <w:next w:val="1184"/>
    <w:link w:val="1055"/>
    <w:pPr>
      <w:jc w:val="left"/>
      <w:spacing w:before="100" w:beforeAutospacing="1" w:after="100" w:afterAutospacing="1"/>
      <w:widowControl/>
    </w:pPr>
    <w:rPr>
      <w:rFonts w:ascii="Arial" w:hAnsi="Arial" w:cs="Arial"/>
      <w:color w:val="000000"/>
      <w:sz w:val="20"/>
    </w:rPr>
  </w:style>
  <w:style w:type="paragraph" w:styleId="1185">
    <w:name w:val="retrait3"/>
    <w:basedOn w:val="1055"/>
    <w:next w:val="1185"/>
    <w:link w:val="1055"/>
    <w:uiPriority w:val="99"/>
    <w:pPr>
      <w:ind w:left="851"/>
      <w:jc w:val="left"/>
      <w:spacing w:before="20" w:after="20"/>
      <w:widowControl/>
    </w:pPr>
    <w:rPr>
      <w:rFonts w:ascii="Arial" w:hAnsi="Arial"/>
      <w:sz w:val="24"/>
    </w:rPr>
  </w:style>
  <w:style w:type="paragraph" w:styleId="1186">
    <w:name w:val="TOC 标题"/>
    <w:basedOn w:val="1056"/>
    <w:next w:val="1055"/>
    <w:link w:val="1055"/>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87">
    <w:name w:val="默认段落字体 Para Char"/>
    <w:basedOn w:val="1055"/>
    <w:next w:val="1187"/>
    <w:link w:val="1055"/>
    <w:uiPriority w:val="99"/>
    <w:rPr>
      <w:sz w:val="24"/>
      <w:szCs w:val="24"/>
    </w:rPr>
  </w:style>
  <w:style w:type="paragraph" w:styleId="1188">
    <w:name w:val="丁华标题3"/>
    <w:basedOn w:val="1178"/>
    <w:next w:val="1179"/>
    <w:link w:val="1055"/>
    <w:uiPriority w:val="99"/>
    <w:pPr>
      <w:numPr>
        <w:ilvl w:val="1"/>
        <w:numId w:val="0"/>
      </w:numPr>
      <w:ind w:left="1980" w:hanging="420"/>
      <w:spacing w:after="0"/>
      <w:tabs>
        <w:tab w:val="left" w:pos="1470" w:leader="none"/>
        <w:tab w:val="left" w:pos="1980" w:leader="none"/>
      </w:tabs>
      <w:outlineLvl w:val="2"/>
    </w:pPr>
    <w:rPr>
      <w:sz w:val="24"/>
    </w:rPr>
  </w:style>
  <w:style w:type="paragraph" w:styleId="1189">
    <w:name w:val="xl116"/>
    <w:basedOn w:val="1055"/>
    <w:next w:val="1189"/>
    <w:link w:val="105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90">
    <w:name w:val="段落"/>
    <w:basedOn w:val="1055"/>
    <w:next w:val="1190"/>
    <w:link w:val="1055"/>
    <w:uiPriority w:val="99"/>
    <w:pPr>
      <w:ind w:firstLine="480"/>
      <w:spacing w:line="460" w:lineRule="exact"/>
    </w:pPr>
    <w:rPr>
      <w:sz w:val="24"/>
    </w:rPr>
  </w:style>
  <w:style w:type="paragraph" w:styleId="1191">
    <w:name w:val="msolistparagraph"/>
    <w:basedOn w:val="1055"/>
    <w:next w:val="1191"/>
    <w:link w:val="1055"/>
    <w:uiPriority w:val="99"/>
    <w:pPr>
      <w:ind w:firstLine="420"/>
    </w:pPr>
    <w:rPr>
      <w:rFonts w:ascii="Calibri" w:hAnsi="Calibri"/>
      <w:szCs w:val="22"/>
    </w:rPr>
  </w:style>
  <w:style w:type="paragraph" w:styleId="1192">
    <w:name w:val="Char Char Char Char Char Char Char Char Char Char Char Char Char"/>
    <w:basedOn w:val="1083"/>
    <w:next w:val="1192"/>
    <w:link w:val="1055"/>
    <w:uiPriority w:val="99"/>
    <w:rPr>
      <w:rFonts w:ascii="Tahoma" w:hAnsi="Tahoma"/>
      <w:sz w:val="24"/>
      <w:szCs w:val="24"/>
    </w:rPr>
  </w:style>
  <w:style w:type="paragraph" w:styleId="1193">
    <w:name w:val="论文正文"/>
    <w:basedOn w:val="1107"/>
    <w:next w:val="1193"/>
    <w:link w:val="1055"/>
    <w:uiPriority w:val="99"/>
    <w:pPr>
      <w:ind w:left="0" w:firstLine="200"/>
      <w:jc w:val="left"/>
      <w:spacing w:line="360" w:lineRule="auto"/>
    </w:pPr>
    <w:rPr>
      <w:rFonts w:ascii="Times New Roman" w:hAnsi="Times New Roman"/>
      <w:sz w:val="28"/>
      <w:szCs w:val="24"/>
    </w:rPr>
  </w:style>
  <w:style w:type="paragraph" w:styleId="1194">
    <w:name w:val="xl111"/>
    <w:basedOn w:val="1055"/>
    <w:next w:val="1194"/>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95">
    <w:name w:val="无间隔"/>
    <w:next w:val="1195"/>
    <w:link w:val="1055"/>
    <w:uiPriority w:val="1"/>
    <w:qFormat/>
    <w:pPr>
      <w:jc w:val="both"/>
      <w:widowControl w:val="off"/>
    </w:pPr>
    <w:rPr>
      <w:sz w:val="21"/>
      <w:lang w:val="en-US" w:eastAsia="zh-CN" w:bidi="ar-SA"/>
    </w:rPr>
  </w:style>
  <w:style w:type="paragraph" w:styleId="1196">
    <w:name w:val="列出段落3"/>
    <w:basedOn w:val="1055"/>
    <w:next w:val="1196"/>
    <w:link w:val="1055"/>
    <w:uiPriority w:val="34"/>
    <w:qFormat/>
    <w:pPr>
      <w:ind w:firstLine="420"/>
    </w:pPr>
  </w:style>
  <w:style w:type="paragraph" w:styleId="1197">
    <w:name w:val="p0"/>
    <w:basedOn w:val="1055"/>
    <w:next w:val="1197"/>
    <w:link w:val="1055"/>
    <w:uiPriority w:val="99"/>
    <w:pPr>
      <w:widowControl/>
    </w:pPr>
    <w:rPr>
      <w:szCs w:val="21"/>
    </w:rPr>
  </w:style>
  <w:style w:type="paragraph" w:styleId="1198">
    <w:name w:val="List Paragraph"/>
    <w:basedOn w:val="1055"/>
    <w:next w:val="1198"/>
    <w:link w:val="1055"/>
    <w:uiPriority w:val="34"/>
    <w:qFormat/>
    <w:pPr>
      <w:ind w:firstLine="420"/>
    </w:pPr>
  </w:style>
  <w:style w:type="paragraph" w:styleId="1199">
    <w:name w:val="Char"/>
    <w:basedOn w:val="1055"/>
    <w:next w:val="1199"/>
    <w:link w:val="1055"/>
    <w:rPr>
      <w:rFonts w:ascii="Tahoma" w:hAnsi="Tahoma" w:cs="仿宋_GB2312"/>
      <w:sz w:val="24"/>
      <w:szCs w:val="28"/>
    </w:rPr>
  </w:style>
  <w:style w:type="paragraph" w:styleId="1200">
    <w:name w:val="xl113"/>
    <w:basedOn w:val="1055"/>
    <w:next w:val="1200"/>
    <w:link w:val="105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01">
    <w:name w:val="font6"/>
    <w:basedOn w:val="1055"/>
    <w:next w:val="1201"/>
    <w:link w:val="1055"/>
    <w:pPr>
      <w:jc w:val="left"/>
      <w:spacing w:before="100" w:beforeAutospacing="1" w:after="100" w:afterAutospacing="1"/>
      <w:widowControl/>
    </w:pPr>
    <w:rPr>
      <w:rFonts w:ascii="宋体" w:hAnsi="宋体" w:cs="宋体"/>
      <w:color w:val="000000"/>
      <w:sz w:val="20"/>
    </w:rPr>
  </w:style>
  <w:style w:type="paragraph" w:styleId="1202">
    <w:name w:val="xl114"/>
    <w:basedOn w:val="1055"/>
    <w:next w:val="1202"/>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03">
    <w:name w:val="Char1"/>
    <w:basedOn w:val="1055"/>
    <w:next w:val="1203"/>
    <w:link w:val="1055"/>
    <w:uiPriority w:val="99"/>
    <w:pPr>
      <w:jc w:val="left"/>
      <w:spacing w:after="160" w:line="240" w:lineRule="exact"/>
      <w:widowControl/>
    </w:pPr>
    <w:rPr>
      <w:rFonts w:ascii="Verdana" w:hAnsi="Verdana" w:eastAsia="仿宋_GB2312"/>
      <w:sz w:val="24"/>
      <w:lang w:eastAsia="en-US"/>
    </w:rPr>
  </w:style>
  <w:style w:type="paragraph" w:styleId="1204">
    <w:name w:val="font5"/>
    <w:basedOn w:val="1055"/>
    <w:next w:val="1204"/>
    <w:link w:val="1055"/>
    <w:pPr>
      <w:jc w:val="left"/>
      <w:spacing w:before="100" w:beforeAutospacing="1" w:after="100" w:afterAutospacing="1"/>
      <w:widowControl/>
    </w:pPr>
    <w:rPr>
      <w:rFonts w:ascii="宋体" w:hAnsi="宋体" w:cs="宋体"/>
      <w:sz w:val="18"/>
      <w:szCs w:val="18"/>
    </w:rPr>
  </w:style>
  <w:style w:type="paragraph" w:styleId="1205">
    <w:name w:val="xl25"/>
    <w:basedOn w:val="1055"/>
    <w:next w:val="1205"/>
    <w:link w:val="1055"/>
    <w:uiPriority w:val="99"/>
    <w:pPr>
      <w:jc w:val="center"/>
      <w:spacing w:before="100" w:beforeAutospacing="1" w:after="100" w:afterAutospacing="1"/>
      <w:widowControl/>
      <w:pBdr>
        <w:right w:val="single" w:color="000000" w:sz="4" w:space="0"/>
      </w:pBdr>
    </w:pPr>
    <w:rPr>
      <w:szCs w:val="21"/>
    </w:rPr>
  </w:style>
  <w:style w:type="paragraph" w:styleId="1206">
    <w:name w:val="Char Char Char Char Char Char Char Char Char Char Char1 Char Char Char1"/>
    <w:basedOn w:val="1055"/>
    <w:next w:val="1206"/>
    <w:link w:val="1055"/>
    <w:uiPriority w:val="99"/>
    <w:semiHidden/>
    <w:pPr>
      <w:ind w:firstLine="200"/>
      <w:jc w:val="left"/>
    </w:pPr>
    <w:rPr>
      <w:rFonts w:ascii="Tahoma" w:hAnsi="Tahoma"/>
      <w:sz w:val="24"/>
      <w:szCs w:val="24"/>
    </w:rPr>
  </w:style>
  <w:style w:type="paragraph" w:styleId="1207">
    <w:name w:val="默认段落字体 Para Char Char Char Char Char Char Char"/>
    <w:basedOn w:val="1055"/>
    <w:next w:val="1207"/>
    <w:link w:val="1055"/>
    <w:uiPriority w:val="99"/>
  </w:style>
  <w:style w:type="paragraph" w:styleId="1208">
    <w:name w:val="Char Char Char Char"/>
    <w:basedOn w:val="1083"/>
    <w:next w:val="1208"/>
    <w:link w:val="1055"/>
    <w:uiPriority w:val="99"/>
    <w:pPr>
      <w:spacing w:line="360" w:lineRule="auto"/>
    </w:pPr>
    <w:rPr>
      <w:rFonts w:ascii="Tahoma" w:hAnsi="Tahoma"/>
      <w:sz w:val="24"/>
      <w:szCs w:val="24"/>
    </w:rPr>
  </w:style>
  <w:style w:type="paragraph" w:styleId="1209">
    <w:name w:val="Item Step in Table"/>
    <w:next w:val="1209"/>
    <w:link w:val="1055"/>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210">
    <w:name w:val="模板正文"/>
    <w:basedOn w:val="1055"/>
    <w:next w:val="1210"/>
    <w:link w:val="1055"/>
    <w:qFormat/>
    <w:pPr>
      <w:ind w:firstLine="200"/>
      <w:spacing w:before="120" w:line="360" w:lineRule="auto"/>
    </w:pPr>
    <w:rPr>
      <w:rFonts w:eastAsia="仿宋_GB2312"/>
      <w:sz w:val="24"/>
      <w:szCs w:val="21"/>
    </w:rPr>
  </w:style>
  <w:style w:type="paragraph" w:styleId="1211">
    <w:name w:val="表格1"/>
    <w:basedOn w:val="1055"/>
    <w:next w:val="1211"/>
    <w:link w:val="1055"/>
    <w:uiPriority w:val="99"/>
    <w:rPr>
      <w:rFonts w:ascii="宋体"/>
      <w:szCs w:val="21"/>
    </w:rPr>
  </w:style>
  <w:style w:type="paragraph" w:styleId="1212">
    <w:name w:val="tableau"/>
    <w:basedOn w:val="1055"/>
    <w:next w:val="1212"/>
    <w:link w:val="1055"/>
    <w:uiPriority w:val="99"/>
    <w:pPr>
      <w:jc w:val="center"/>
      <w:spacing w:before="20" w:after="20"/>
      <w:widowControl/>
    </w:pPr>
    <w:rPr>
      <w:rFonts w:ascii="Arial" w:hAnsi="Arial"/>
      <w:sz w:val="16"/>
      <w:lang w:eastAsia="en-US"/>
    </w:rPr>
  </w:style>
  <w:style w:type="paragraph" w:styleId="1213">
    <w:name w:val="样式"/>
    <w:basedOn w:val="1055"/>
    <w:next w:val="1090"/>
    <w:link w:val="1055"/>
    <w:uiPriority w:val="99"/>
    <w:rPr>
      <w:rFonts w:ascii="楷体_GB2312" w:hAnsi="Arial" w:eastAsia="楷体_GB2312"/>
      <w:sz w:val="28"/>
    </w:rPr>
  </w:style>
  <w:style w:type="paragraph" w:styleId="1214">
    <w:name w:val="普通正文"/>
    <w:basedOn w:val="1055"/>
    <w:next w:val="1214"/>
    <w:link w:val="1055"/>
    <w:pPr>
      <w:ind w:firstLine="480"/>
      <w:jc w:val="left"/>
      <w:spacing w:before="120" w:after="120" w:line="360" w:lineRule="auto"/>
    </w:pPr>
    <w:rPr>
      <w:rFonts w:ascii="Arial" w:hAnsi="Arial" w:cs="Arial"/>
      <w:sz w:val="24"/>
      <w:szCs w:val="24"/>
    </w:rPr>
  </w:style>
  <w:style w:type="paragraph" w:styleId="1215">
    <w:name w:val="列出段落1"/>
    <w:basedOn w:val="1055"/>
    <w:next w:val="1215"/>
    <w:link w:val="1055"/>
    <w:uiPriority w:val="99"/>
    <w:pPr>
      <w:contextualSpacing/>
      <w:ind w:left="720"/>
      <w:jc w:val="left"/>
      <w:widowControl/>
    </w:pPr>
    <w:rPr>
      <w:rFonts w:ascii="Arial" w:hAnsi="Arial" w:eastAsia="黑体"/>
      <w:sz w:val="24"/>
      <w:szCs w:val="24"/>
      <w:lang w:eastAsia="en-US"/>
    </w:rPr>
  </w:style>
  <w:style w:type="paragraph" w:styleId="1216">
    <w:name w:val="xl108"/>
    <w:basedOn w:val="1055"/>
    <w:next w:val="1216"/>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17">
    <w:name w:val="列出段落2"/>
    <w:basedOn w:val="1055"/>
    <w:next w:val="1217"/>
    <w:link w:val="1055"/>
    <w:uiPriority w:val="34"/>
    <w:qFormat/>
    <w:pPr>
      <w:ind w:firstLine="420"/>
    </w:pPr>
  </w:style>
  <w:style w:type="paragraph" w:styleId="1218">
    <w:name w:val="xl109"/>
    <w:basedOn w:val="1055"/>
    <w:next w:val="1218"/>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19">
    <w:name w:val="List Paragraph1"/>
    <w:basedOn w:val="1055"/>
    <w:next w:val="1219"/>
    <w:link w:val="1055"/>
    <w:uiPriority w:val="99"/>
    <w:pPr>
      <w:ind w:firstLine="420"/>
    </w:pPr>
    <w:rPr>
      <w:szCs w:val="24"/>
    </w:rPr>
  </w:style>
  <w:style w:type="paragraph" w:styleId="1220">
    <w:name w:val="Char Char2 Char Char"/>
    <w:basedOn w:val="1083"/>
    <w:next w:val="1220"/>
    <w:link w:val="1055"/>
    <w:uiPriority w:val="99"/>
    <w:pPr>
      <w:spacing w:line="436" w:lineRule="exact"/>
    </w:pPr>
    <w:rPr>
      <w:rFonts w:ascii="Tahoma" w:hAnsi="Tahoma"/>
      <w:sz w:val="24"/>
    </w:rPr>
  </w:style>
  <w:style w:type="paragraph" w:styleId="1221">
    <w:name w:val="xl110"/>
    <w:basedOn w:val="1055"/>
    <w:next w:val="1221"/>
    <w:link w:val="10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22">
    <w:name w:val="Char Char Char"/>
    <w:basedOn w:val="1083"/>
    <w:next w:val="1222"/>
    <w:link w:val="1055"/>
    <w:uiPriority w:val="99"/>
    <w:pPr>
      <w:spacing w:line="436" w:lineRule="exact"/>
    </w:pPr>
    <w:rPr>
      <w:szCs w:val="24"/>
    </w:rPr>
  </w:style>
  <w:style w:type="paragraph" w:styleId="1223">
    <w:name w:val="丁华标题1"/>
    <w:basedOn w:val="1056"/>
    <w:next w:val="1179"/>
    <w:link w:val="1055"/>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1224">
    <w:name w:val="标题6"/>
    <w:basedOn w:val="1060"/>
    <w:next w:val="1224"/>
    <w:link w:val="1055"/>
    <w:uiPriority w:val="99"/>
    <w:pPr>
      <w:numPr>
        <w:ilvl w:val="0"/>
        <w:numId w:val="6"/>
      </w:numPr>
      <w:keepLines/>
      <w:tabs>
        <w:tab w:val="left" w:pos="420" w:leader="none"/>
      </w:tabs>
    </w:pPr>
    <w:rPr>
      <w:rFonts w:ascii="Times New Roman"/>
      <w:b w:val="0"/>
      <w:bCs/>
      <w:color w:val="000000"/>
      <w:sz w:val="24"/>
      <w:szCs w:val="28"/>
    </w:rPr>
  </w:style>
  <w:style w:type="paragraph" w:styleId="1225">
    <w:name w:val="Table Paragraph"/>
    <w:basedOn w:val="1055"/>
    <w:next w:val="1225"/>
    <w:link w:val="1055"/>
    <w:uiPriority w:val="1"/>
    <w:qFormat/>
    <w:rPr>
      <w:rFonts w:ascii="宋体" w:hAnsi="宋体" w:eastAsia="宋体" w:cs="宋体"/>
      <w:u w:val="single"/>
      <w:lang w:val="zh-CN" w:eastAsia="zh-CN" w:bidi="zh-CN"/>
    </w:rPr>
  </w:style>
  <w:style w:type="paragraph" w:styleId="1226">
    <w:name w:val="样式 正文文本缩进 + 首行缩进:  2 字符 行距: 1.5 倍行距"/>
    <w:basedOn w:val="1148"/>
    <w:next w:val="1226"/>
    <w:link w:val="1055"/>
    <w:qFormat/>
    <w:pPr>
      <w:ind w:firstLine="645"/>
      <w:spacing w:before="156"/>
    </w:pPr>
    <w:rPr>
      <w:rFonts w:ascii="Calibri" w:hAnsi="Calibri"/>
      <w:sz w:val="28"/>
    </w:rPr>
  </w:style>
  <w:style w:type="paragraph" w:styleId="1227">
    <w:name w:val="Heading 1"/>
    <w:basedOn w:val="1055"/>
    <w:next w:val="1055"/>
    <w:link w:val="1055"/>
    <w:qFormat/>
    <w:pPr>
      <w:jc w:val="left"/>
      <w:keepLines/>
      <w:keepNext/>
      <w:spacing w:before="480" w:after="200" w:line="276" w:lineRule="auto"/>
      <w:widowControl/>
      <w:outlineLvl w:val="0"/>
    </w:pPr>
    <w:rPr>
      <w:rFonts w:ascii="Arial" w:hAnsi="Arial" w:eastAsia="Arial"/>
      <w:sz w:val="40"/>
      <w:szCs w:val="40"/>
    </w:rPr>
  </w:style>
  <w:style w:type="paragraph" w:styleId="1228">
    <w:name w:val="标题 411"/>
    <w:basedOn w:val="1229"/>
    <w:next w:val="1229"/>
    <w:link w:val="1055"/>
    <w:uiPriority w:val="9"/>
    <w:qFormat/>
    <w:pPr>
      <w:keepLines/>
      <w:keepNext/>
      <w:spacing w:before="320" w:after="200"/>
      <w:outlineLvl w:val="3"/>
    </w:pPr>
    <w:rPr>
      <w:rFonts w:ascii="Arial" w:hAnsi="Arial" w:eastAsia="Arial" w:cs="Times New Roman"/>
      <w:b/>
      <w:bCs/>
      <w:sz w:val="26"/>
      <w:szCs w:val="26"/>
      <w:lang w:bidi="ar-SA"/>
    </w:rPr>
  </w:style>
  <w:style w:type="paragraph" w:styleId="1229">
    <w:name w:val="正文文本121"/>
    <w:basedOn w:val="1055"/>
    <w:next w:val="1229"/>
    <w:link w:val="1055"/>
    <w:uiPriority w:val="1"/>
    <w:qFormat/>
    <w:pPr>
      <w:ind w:left="120"/>
    </w:pPr>
    <w:rPr>
      <w:rFonts w:ascii="宋体" w:hAnsi="宋体" w:cs="宋体"/>
      <w:lang w:val="zh-CN" w:bidi="zh-CN"/>
    </w:rPr>
  </w:style>
  <w:style w:type="paragraph" w:styleId="1230">
    <w:name w:val="标题 311"/>
    <w:basedOn w:val="1055"/>
    <w:next w:val="1055"/>
    <w:link w:val="1055"/>
    <w:qFormat/>
    <w:pPr>
      <w:keepLines/>
      <w:keepNext/>
      <w:spacing w:before="260" w:after="260" w:line="416" w:lineRule="auto"/>
      <w:outlineLvl w:val="2"/>
    </w:pPr>
    <w:rPr>
      <w:b/>
      <w:sz w:val="32"/>
      <w:szCs w:val="20"/>
    </w:rPr>
  </w:style>
  <w:style w:type="paragraph" w:styleId="1231">
    <w:name w:val="BodyText1"/>
    <w:basedOn w:val="1055"/>
    <w:next w:val="1231"/>
    <w:link w:val="1055"/>
    <w:qFormat/>
    <w:pPr>
      <w:spacing w:line="500" w:lineRule="exact"/>
    </w:pPr>
    <w:rPr>
      <w:rFonts w:ascii="Calibri" w:hAnsi="Calibri" w:eastAsia="楷体_GB2312"/>
      <w:sz w:val="30"/>
      <w:szCs w:val="30"/>
    </w:rPr>
  </w:style>
  <w:style w:type="character" w:styleId="1232">
    <w:name w:val="rvts11"/>
    <w:next w:val="1232"/>
    <w:link w:val="1055"/>
    <w:rPr>
      <w:rFonts w:ascii="KNLe" w:hAnsi="KNLe"/>
      <w:u w:val="single"/>
    </w:rPr>
  </w:style>
  <w:style w:type="character" w:styleId="1233">
    <w:name w:val="rvts9"/>
    <w:next w:val="1233"/>
    <w:link w:val="1055"/>
    <w:qFormat/>
    <w:rPr>
      <w:rFonts w:ascii="KNLe" w:hAnsi="KNLe"/>
    </w:rPr>
  </w:style>
  <w:style w:type="paragraph" w:styleId="1234">
    <w:name w:val="正文首行缩进 21"/>
    <w:basedOn w:val="1095"/>
    <w:next w:val="1234"/>
    <w:link w:val="1055"/>
    <w:qFormat/>
    <w:pPr>
      <w:ind w:firstLine="420"/>
    </w:pPr>
    <w:rPr>
      <w:rFonts w:ascii="楷体_GB2312" w:eastAsia="楷体_GB2312"/>
      <w:b w:val="0"/>
      <w:sz w:val="32"/>
    </w:rPr>
  </w:style>
  <w:style w:type="paragraph" w:styleId="1235">
    <w:name w:val="正文_0"/>
    <w:next w:val="1235"/>
    <w:link w:val="1055"/>
    <w:qFormat/>
    <w:pPr>
      <w:jc w:val="both"/>
      <w:widowControl w:val="off"/>
    </w:pPr>
    <w:rPr>
      <w:rFonts w:ascii="Times New Roman" w:hAnsi="Times New Roman" w:eastAsia="宋体" w:cs="Times New Roman"/>
      <w:sz w:val="21"/>
      <w:szCs w:val="24"/>
      <w:lang w:val="en-US" w:eastAsia="zh-CN" w:bidi="ar-SA"/>
    </w:rPr>
  </w:style>
  <w:style w:type="paragraph" w:styleId="1236">
    <w:name w:val="_Style 1"/>
    <w:basedOn w:val="1055"/>
    <w:next w:val="1126"/>
    <w:link w:val="1055"/>
    <w:uiPriority w:val="34"/>
    <w:qFormat/>
    <w:rPr>
      <w:rFonts w:cs="Times New Roman"/>
      <w:szCs w:val="20"/>
    </w:rPr>
  </w:style>
  <w:style w:type="character" w:styleId="1237" w:default="1">
    <w:name w:val="Default Paragraph Font"/>
    <w:uiPriority w:val="1"/>
    <w:semiHidden/>
    <w:unhideWhenUsed/>
  </w:style>
  <w:style w:type="numbering" w:styleId="1238" w:default="1">
    <w:name w:val="No List"/>
    <w:uiPriority w:val="99"/>
    <w:semiHidden/>
    <w:unhideWhenUsed/>
  </w:style>
  <w:style w:type="table" w:styleId="12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何悦</cp:lastModifiedBy>
  <cp:revision>6</cp:revision>
  <dcterms:created xsi:type="dcterms:W3CDTF">2018-03-02T19:20:00Z</dcterms:created>
  <dcterms:modified xsi:type="dcterms:W3CDTF">2026-07-09T08:13:09Z</dcterms:modified>
</cp:coreProperties>
</file>