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29D318">
      <w:pPr>
        <w:spacing w:line="720" w:lineRule="exact"/>
        <w:jc w:val="center"/>
        <w:rPr>
          <w:rFonts w:hint="eastAsia" w:ascii="宋体" w:hAnsi="宋体"/>
          <w:b/>
          <w:bCs/>
          <w:color w:val="auto"/>
          <w:spacing w:val="80"/>
          <w:sz w:val="64"/>
          <w:highlight w:val="none"/>
        </w:rPr>
      </w:pPr>
    </w:p>
    <w:p w14:paraId="474B25E1">
      <w:pPr>
        <w:spacing w:line="720" w:lineRule="exact"/>
        <w:jc w:val="center"/>
        <w:rPr>
          <w:rFonts w:hint="eastAsia" w:ascii="宋体" w:hAnsi="宋体"/>
          <w:color w:val="auto"/>
          <w:sz w:val="56"/>
          <w:highlight w:val="none"/>
        </w:rPr>
      </w:pPr>
      <w:r>
        <w:rPr>
          <w:rFonts w:hint="eastAsia" w:ascii="宋体" w:hAnsi="宋体"/>
          <w:b/>
          <w:bCs/>
          <w:color w:val="auto"/>
          <w:spacing w:val="80"/>
          <w:sz w:val="64"/>
          <w:highlight w:val="none"/>
        </w:rPr>
        <w:t>连云港市政府采购</w:t>
      </w:r>
    </w:p>
    <w:p w14:paraId="5A5B3F35">
      <w:pPr>
        <w:spacing w:line="720" w:lineRule="exact"/>
        <w:jc w:val="center"/>
        <w:rPr>
          <w:rFonts w:hint="eastAsia" w:ascii="宋体" w:hAnsi="宋体"/>
          <w:color w:val="auto"/>
          <w:sz w:val="52"/>
          <w:highlight w:val="none"/>
        </w:rPr>
      </w:pPr>
    </w:p>
    <w:p w14:paraId="69E572BA">
      <w:pPr>
        <w:spacing w:line="360" w:lineRule="auto"/>
        <w:jc w:val="center"/>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rPr>
        <w:t>招标文件</w:t>
      </w:r>
    </w:p>
    <w:p w14:paraId="15AA11BA">
      <w:pPr>
        <w:spacing w:line="720" w:lineRule="exact"/>
        <w:jc w:val="center"/>
        <w:rPr>
          <w:rFonts w:ascii="宋体" w:hAnsi="宋体"/>
          <w:color w:val="auto"/>
          <w:sz w:val="52"/>
          <w:highlight w:val="none"/>
        </w:rPr>
      </w:pPr>
    </w:p>
    <w:p w14:paraId="7DCBB4A7">
      <w:pPr>
        <w:spacing w:line="720" w:lineRule="exact"/>
        <w:jc w:val="center"/>
        <w:rPr>
          <w:rFonts w:hint="eastAsia" w:ascii="宋体" w:hAnsi="宋体"/>
          <w:color w:val="auto"/>
          <w:sz w:val="72"/>
          <w:highlight w:val="none"/>
        </w:rPr>
      </w:pPr>
    </w:p>
    <w:p w14:paraId="762E42EE">
      <w:pPr>
        <w:spacing w:line="720" w:lineRule="exact"/>
        <w:jc w:val="center"/>
        <w:rPr>
          <w:rFonts w:hint="eastAsia" w:ascii="宋体" w:hAnsi="宋体"/>
          <w:color w:val="auto"/>
          <w:sz w:val="72"/>
          <w:highlight w:val="none"/>
        </w:rPr>
      </w:pPr>
    </w:p>
    <w:p w14:paraId="36CC3869">
      <w:pPr>
        <w:spacing w:line="720" w:lineRule="exact"/>
        <w:jc w:val="center"/>
        <w:rPr>
          <w:rFonts w:hint="eastAsia" w:ascii="宋体" w:hAnsi="宋体"/>
          <w:color w:val="auto"/>
          <w:sz w:val="70"/>
          <w:highlight w:val="none"/>
        </w:rPr>
      </w:pPr>
    </w:p>
    <w:p w14:paraId="4CCC54F9">
      <w:pPr>
        <w:ind w:left="840" w:firstLine="613"/>
        <w:rPr>
          <w:rFonts w:hint="eastAsia" w:ascii="宋体" w:hAnsi="宋体" w:eastAsia="宋体"/>
          <w:bCs/>
          <w:color w:val="auto"/>
          <w:sz w:val="32"/>
          <w:szCs w:val="32"/>
          <w:highlight w:val="none"/>
          <w:lang w:val="zh-TW" w:eastAsia="zh-CN"/>
        </w:rPr>
      </w:pPr>
      <w:r>
        <w:rPr>
          <w:rFonts w:hint="eastAsia" w:ascii="宋体" w:hAnsi="宋体"/>
          <w:bCs/>
          <w:color w:val="auto"/>
          <w:sz w:val="32"/>
          <w:szCs w:val="32"/>
          <w:highlight w:val="none"/>
        </w:rPr>
        <w:t>标段名称：</w:t>
      </w:r>
      <w:r>
        <w:rPr>
          <w:rFonts w:hint="eastAsia" w:ascii="宋体" w:hAnsi="宋体"/>
          <w:bCs/>
          <w:color w:val="auto"/>
          <w:sz w:val="32"/>
          <w:szCs w:val="32"/>
          <w:highlight w:val="none"/>
          <w:lang w:val="zh-TW" w:eastAsia="zh-CN"/>
        </w:rPr>
        <w:t>连云港石化产业基地安全管家服务项目</w:t>
      </w:r>
    </w:p>
    <w:p w14:paraId="6833FC83">
      <w:pPr>
        <w:pStyle w:val="298"/>
        <w:rPr>
          <w:rFonts w:hint="eastAsia"/>
          <w:color w:val="auto"/>
          <w:highlight w:val="none"/>
        </w:rPr>
      </w:pPr>
    </w:p>
    <w:p w14:paraId="2C5FE0F5">
      <w:pPr>
        <w:ind w:left="840" w:firstLine="613"/>
        <w:rPr>
          <w:rFonts w:ascii="宋体" w:hAnsi="宋体" w:eastAsia="宋体"/>
          <w:bCs/>
          <w:color w:val="auto"/>
          <w:sz w:val="32"/>
          <w:szCs w:val="32"/>
          <w:highlight w:val="none"/>
          <w:lang w:val="en-US" w:eastAsia="zh-CN"/>
        </w:rPr>
      </w:pPr>
      <w:r>
        <w:rPr>
          <w:rFonts w:hint="eastAsia" w:ascii="宋体" w:hAnsi="宋体"/>
          <w:bCs/>
          <w:color w:val="auto"/>
          <w:sz w:val="32"/>
          <w:szCs w:val="32"/>
          <w:highlight w:val="none"/>
        </w:rPr>
        <w:t>标段编号：</w:t>
      </w:r>
      <w:r>
        <w:rPr>
          <w:rFonts w:hint="eastAsia" w:ascii="宋体" w:hAnsi="宋体" w:eastAsia="宋体" w:cs="Times New Roman"/>
          <w:bCs/>
          <w:color w:val="auto"/>
          <w:sz w:val="32"/>
          <w:szCs w:val="32"/>
          <w:highlight w:val="none"/>
          <w:lang w:val="zh-TW" w:eastAsia="zh-CN"/>
        </w:rPr>
        <w:t>JSZC-320700-JSWD-G2026-0030</w:t>
      </w:r>
    </w:p>
    <w:p w14:paraId="428938E6">
      <w:pPr>
        <w:rPr>
          <w:rFonts w:hint="eastAsia" w:ascii="宋体" w:hAnsi="宋体"/>
          <w:color w:val="auto"/>
          <w:highlight w:val="none"/>
        </w:rPr>
      </w:pPr>
    </w:p>
    <w:p w14:paraId="0CA592EB">
      <w:pPr>
        <w:pStyle w:val="226"/>
        <w:ind w:right="-993"/>
        <w:rPr>
          <w:rFonts w:hint="eastAsia" w:hAnsi="宋体"/>
          <w:color w:val="auto"/>
          <w:highlight w:val="none"/>
        </w:rPr>
      </w:pPr>
    </w:p>
    <w:p w14:paraId="6FA7CB3A">
      <w:pPr>
        <w:pStyle w:val="226"/>
        <w:ind w:right="-993"/>
        <w:rPr>
          <w:rFonts w:hint="eastAsia" w:hAnsi="宋体"/>
          <w:color w:val="auto"/>
          <w:highlight w:val="none"/>
        </w:rPr>
      </w:pPr>
    </w:p>
    <w:p w14:paraId="2B11B1CD">
      <w:pPr>
        <w:pStyle w:val="226"/>
        <w:ind w:right="-993"/>
        <w:rPr>
          <w:rFonts w:hint="eastAsia" w:hAnsi="宋体"/>
          <w:color w:val="auto"/>
          <w:highlight w:val="none"/>
        </w:rPr>
      </w:pPr>
    </w:p>
    <w:p w14:paraId="2A204BA0">
      <w:pPr>
        <w:ind w:left="840" w:firstLine="613"/>
        <w:rPr>
          <w:rFonts w:hint="eastAsia" w:ascii="宋体" w:hAnsi="宋体" w:eastAsia="宋体"/>
          <w:bCs/>
          <w:color w:val="auto"/>
          <w:sz w:val="32"/>
          <w:szCs w:val="32"/>
          <w:highlight w:val="none"/>
          <w:lang w:eastAsia="zh-CN"/>
        </w:rPr>
      </w:pPr>
      <w:r>
        <w:rPr>
          <w:rFonts w:hint="eastAsia" w:ascii="宋体" w:hAnsi="宋体"/>
          <w:bCs/>
          <w:color w:val="auto"/>
          <w:sz w:val="32"/>
          <w:szCs w:val="32"/>
          <w:highlight w:val="none"/>
        </w:rPr>
        <w:t>采   购   人：</w:t>
      </w:r>
      <w:r>
        <w:rPr>
          <w:rFonts w:hint="eastAsia" w:ascii="宋体" w:hAnsi="宋体"/>
          <w:bCs/>
          <w:color w:val="auto"/>
          <w:sz w:val="32"/>
          <w:szCs w:val="32"/>
          <w:highlight w:val="none"/>
          <w:lang w:eastAsia="zh-CN"/>
        </w:rPr>
        <w:t>国家东中西区域合作示范区（连云港徐圩新区）应急管理局</w:t>
      </w:r>
    </w:p>
    <w:p w14:paraId="24AAF10F">
      <w:pPr>
        <w:ind w:left="840" w:firstLine="613"/>
        <w:rPr>
          <w:rFonts w:hint="eastAsia" w:ascii="宋体" w:hAnsi="宋体"/>
          <w:bCs/>
          <w:color w:val="auto"/>
          <w:sz w:val="32"/>
          <w:szCs w:val="32"/>
          <w:highlight w:val="none"/>
        </w:rPr>
      </w:pPr>
      <w:r>
        <w:rPr>
          <w:rFonts w:hint="eastAsia" w:ascii="宋体" w:hAnsi="宋体"/>
          <w:bCs/>
          <w:color w:val="auto"/>
          <w:sz w:val="32"/>
          <w:szCs w:val="32"/>
          <w:highlight w:val="none"/>
        </w:rPr>
        <w:t>采购代理机构：江苏万达工程造价事务所有限公司</w:t>
      </w:r>
    </w:p>
    <w:p w14:paraId="2D38DF66">
      <w:pPr>
        <w:pStyle w:val="289"/>
        <w:jc w:val="center"/>
        <w:rPr>
          <w:rStyle w:val="261"/>
          <w:rFonts w:hint="eastAsia" w:ascii="宋体" w:hAnsi="宋体" w:cs="宋体"/>
          <w:color w:val="auto"/>
          <w:sz w:val="32"/>
          <w:szCs w:val="32"/>
          <w:highlight w:val="none"/>
          <w:lang w:val="en-US" w:eastAsia="zh-TW"/>
        </w:rPr>
      </w:pPr>
    </w:p>
    <w:p w14:paraId="33130C73">
      <w:pPr>
        <w:pStyle w:val="289"/>
        <w:jc w:val="center"/>
        <w:rPr>
          <w:rStyle w:val="261"/>
          <w:rFonts w:ascii="宋体" w:hAnsi="宋体" w:cs="宋体"/>
          <w:color w:val="auto"/>
          <w:sz w:val="32"/>
          <w:szCs w:val="32"/>
          <w:highlight w:val="none"/>
          <w:lang w:val="en-US" w:eastAsia="zh-TW"/>
        </w:rPr>
      </w:pPr>
      <w:r>
        <w:rPr>
          <w:rStyle w:val="261"/>
          <w:rFonts w:hint="eastAsia" w:ascii="宋体" w:hAnsi="宋体" w:cs="宋体"/>
          <w:color w:val="auto"/>
          <w:sz w:val="32"/>
          <w:szCs w:val="32"/>
          <w:highlight w:val="none"/>
          <w:lang w:val="en-US" w:eastAsia="zh-TW"/>
        </w:rPr>
        <w:t>202</w:t>
      </w:r>
      <w:r>
        <w:rPr>
          <w:rStyle w:val="261"/>
          <w:rFonts w:hint="eastAsia" w:ascii="宋体" w:hAnsi="宋体" w:cs="宋体"/>
          <w:color w:val="auto"/>
          <w:sz w:val="32"/>
          <w:szCs w:val="32"/>
          <w:highlight w:val="none"/>
          <w:lang w:val="en-US" w:eastAsia="zh-CN"/>
        </w:rPr>
        <w:t>6</w:t>
      </w:r>
      <w:r>
        <w:rPr>
          <w:rStyle w:val="261"/>
          <w:rFonts w:hint="eastAsia" w:ascii="宋体" w:hAnsi="宋体" w:cs="宋体"/>
          <w:color w:val="auto"/>
          <w:sz w:val="32"/>
          <w:szCs w:val="32"/>
          <w:highlight w:val="none"/>
          <w:lang w:val="en-US" w:eastAsia="zh-TW"/>
        </w:rPr>
        <w:t>年</w:t>
      </w:r>
      <w:r>
        <w:rPr>
          <w:rStyle w:val="261"/>
          <w:rFonts w:hint="eastAsia" w:ascii="宋体" w:hAnsi="宋体" w:cs="宋体"/>
          <w:color w:val="auto"/>
          <w:sz w:val="32"/>
          <w:szCs w:val="32"/>
          <w:highlight w:val="none"/>
          <w:lang w:val="en-US" w:eastAsia="zh-CN"/>
        </w:rPr>
        <w:t>7</w:t>
      </w:r>
      <w:r>
        <w:rPr>
          <w:rStyle w:val="261"/>
          <w:rFonts w:hint="eastAsia" w:ascii="宋体" w:hAnsi="宋体" w:cs="宋体"/>
          <w:color w:val="auto"/>
          <w:sz w:val="32"/>
          <w:szCs w:val="32"/>
          <w:highlight w:val="none"/>
          <w:lang w:val="en-US" w:eastAsia="zh-TW"/>
        </w:rPr>
        <w:t>月</w:t>
      </w:r>
    </w:p>
    <w:p w14:paraId="1E4D31A4">
      <w:pPr>
        <w:rPr>
          <w:color w:val="auto"/>
          <w:highlight w:val="none"/>
          <w:lang w:val="zh-CN"/>
        </w:rPr>
      </w:pPr>
    </w:p>
    <w:p w14:paraId="23E54130">
      <w:pPr>
        <w:pStyle w:val="190"/>
        <w:keepLines/>
        <w:numPr>
          <w:ilvl w:val="0"/>
          <w:numId w:val="0"/>
        </w:numPr>
        <w:spacing w:line="360" w:lineRule="auto"/>
        <w:rPr>
          <w:rFonts w:hint="eastAsia" w:ascii="Times New Roman" w:hAnsi="宋体" w:eastAsia="黑体"/>
          <w:color w:val="auto"/>
          <w:sz w:val="36"/>
          <w:szCs w:val="20"/>
          <w:highlight w:val="none"/>
        </w:rPr>
      </w:pPr>
      <w:bookmarkStart w:id="0" w:name="_Toc58260780"/>
      <w:r>
        <w:rPr>
          <w:rFonts w:hint="eastAsia" w:ascii="Times New Roman" w:hAnsi="宋体" w:eastAsia="黑体"/>
          <w:color w:val="auto"/>
          <w:sz w:val="36"/>
          <w:szCs w:val="20"/>
          <w:highlight w:val="none"/>
        </w:rPr>
        <w:t>目   录</w:t>
      </w:r>
      <w:bookmarkEnd w:id="0"/>
    </w:p>
    <w:p w14:paraId="3A4E1F93">
      <w:pPr>
        <w:pStyle w:val="240"/>
        <w:tabs>
          <w:tab w:val="right" w:leader="dot" w:pos="9344"/>
        </w:tabs>
        <w:rPr>
          <w:rFonts w:ascii="Calibri" w:hAnsi="Calibri"/>
          <w:b w:val="0"/>
          <w:bCs w:val="0"/>
          <w:caps w:val="0"/>
          <w:color w:val="auto"/>
          <w:sz w:val="21"/>
          <w:szCs w:val="22"/>
          <w:highlight w:val="none"/>
        </w:rPr>
      </w:pPr>
      <w:r>
        <w:rPr>
          <w:rFonts w:ascii="宋体" w:hAnsi="宋体"/>
          <w:b w:val="0"/>
          <w:color w:val="auto"/>
          <w:highlight w:val="none"/>
        </w:rPr>
        <w:fldChar w:fldCharType="begin"/>
      </w:r>
      <w:r>
        <w:rPr>
          <w:rFonts w:ascii="宋体" w:hAnsi="宋体"/>
          <w:b w:val="0"/>
          <w:color w:val="auto"/>
          <w:highlight w:val="none"/>
        </w:rPr>
        <w:instrText xml:space="preserve"> </w:instrText>
      </w:r>
      <w:r>
        <w:rPr>
          <w:rFonts w:hint="eastAsia" w:ascii="宋体" w:hAnsi="宋体"/>
          <w:b w:val="0"/>
          <w:color w:val="auto"/>
          <w:highlight w:val="none"/>
        </w:rPr>
        <w:instrText xml:space="preserve">TOC \o "1-1" \h \z \u</w:instrText>
      </w:r>
      <w:r>
        <w:rPr>
          <w:rFonts w:ascii="宋体" w:hAnsi="宋体"/>
          <w:b w:val="0"/>
          <w:color w:val="auto"/>
          <w:highlight w:val="none"/>
        </w:rPr>
        <w:instrText xml:space="preserve"> </w:instrText>
      </w:r>
      <w:r>
        <w:rPr>
          <w:rFonts w:ascii="宋体" w:hAnsi="宋体"/>
          <w:b w:val="0"/>
          <w:color w:val="auto"/>
          <w:highlight w:val="none"/>
        </w:rPr>
        <w:fldChar w:fldCharType="separate"/>
      </w:r>
      <w:r>
        <w:rPr>
          <w:color w:val="auto"/>
          <w:highlight w:val="none"/>
        </w:rPr>
        <w:fldChar w:fldCharType="begin"/>
      </w:r>
      <w:r>
        <w:rPr>
          <w:rStyle w:val="263"/>
          <w:color w:val="auto"/>
          <w:highlight w:val="none"/>
        </w:rPr>
        <w:instrText xml:space="preserve"> </w:instrText>
      </w:r>
      <w:r>
        <w:rPr>
          <w:color w:val="auto"/>
          <w:highlight w:val="none"/>
        </w:rPr>
        <w:instrText xml:space="preserve">HYPERLINK \l "_Toc58260781"</w:instrText>
      </w:r>
      <w:r>
        <w:rPr>
          <w:rStyle w:val="263"/>
          <w:color w:val="auto"/>
          <w:highlight w:val="none"/>
        </w:rPr>
        <w:instrText xml:space="preserve"> </w:instrText>
      </w:r>
      <w:r>
        <w:rPr>
          <w:color w:val="auto"/>
          <w:highlight w:val="none"/>
        </w:rPr>
        <w:fldChar w:fldCharType="separate"/>
      </w:r>
      <w:r>
        <w:rPr>
          <w:rStyle w:val="263"/>
          <w:rFonts w:hint="eastAsia" w:ascii="Times New Roman" w:hAnsi="宋体" w:eastAsia="黑体"/>
          <w:color w:val="auto"/>
          <w:highlight w:val="none"/>
        </w:rPr>
        <w:t>第一部分</w:t>
      </w:r>
      <w:r>
        <w:rPr>
          <w:rStyle w:val="263"/>
          <w:rFonts w:ascii="Times New Roman" w:hAnsi="宋体" w:eastAsia="黑体"/>
          <w:color w:val="auto"/>
          <w:highlight w:val="none"/>
        </w:rPr>
        <w:t xml:space="preserve">  </w:t>
      </w:r>
      <w:r>
        <w:rPr>
          <w:rStyle w:val="263"/>
          <w:rFonts w:hint="eastAsia" w:ascii="Times New Roman" w:hAnsi="宋体" w:eastAsia="黑体"/>
          <w:color w:val="auto"/>
          <w:highlight w:val="none"/>
        </w:rPr>
        <w:t>投标邀请</w:t>
      </w:r>
      <w:r>
        <w:rPr>
          <w:color w:val="auto"/>
          <w:highlight w:val="none"/>
        </w:rPr>
        <w:tab/>
      </w:r>
      <w:r>
        <w:rPr>
          <w:color w:val="auto"/>
          <w:highlight w:val="none"/>
        </w:rPr>
        <w:fldChar w:fldCharType="begin"/>
      </w:r>
      <w:r>
        <w:rPr>
          <w:color w:val="auto"/>
          <w:highlight w:val="none"/>
        </w:rPr>
        <w:instrText xml:space="preserve"> PAGEREF _Toc58260781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495A8304">
      <w:pPr>
        <w:pStyle w:val="240"/>
        <w:tabs>
          <w:tab w:val="right" w:leader="dot" w:pos="9344"/>
        </w:tabs>
        <w:rPr>
          <w:rFonts w:ascii="Calibri" w:hAnsi="Calibri"/>
          <w:b w:val="0"/>
          <w:bCs w:val="0"/>
          <w:caps w:val="0"/>
          <w:color w:val="auto"/>
          <w:sz w:val="21"/>
          <w:szCs w:val="22"/>
          <w:highlight w:val="none"/>
        </w:rPr>
      </w:pPr>
      <w:r>
        <w:rPr>
          <w:color w:val="auto"/>
          <w:highlight w:val="none"/>
        </w:rPr>
        <w:fldChar w:fldCharType="begin"/>
      </w:r>
      <w:r>
        <w:rPr>
          <w:rStyle w:val="263"/>
          <w:color w:val="auto"/>
          <w:highlight w:val="none"/>
        </w:rPr>
        <w:instrText xml:space="preserve"> </w:instrText>
      </w:r>
      <w:r>
        <w:rPr>
          <w:color w:val="auto"/>
          <w:highlight w:val="none"/>
        </w:rPr>
        <w:instrText xml:space="preserve">HYPERLINK \l "_Toc58260782"</w:instrText>
      </w:r>
      <w:r>
        <w:rPr>
          <w:rStyle w:val="263"/>
          <w:color w:val="auto"/>
          <w:highlight w:val="none"/>
        </w:rPr>
        <w:instrText xml:space="preserve"> </w:instrText>
      </w:r>
      <w:r>
        <w:rPr>
          <w:color w:val="auto"/>
          <w:highlight w:val="none"/>
        </w:rPr>
        <w:fldChar w:fldCharType="separate"/>
      </w:r>
      <w:r>
        <w:rPr>
          <w:rStyle w:val="263"/>
          <w:rFonts w:hint="eastAsia" w:ascii="Times New Roman" w:hAnsi="宋体" w:eastAsia="黑体"/>
          <w:color w:val="auto"/>
          <w:highlight w:val="none"/>
        </w:rPr>
        <w:t>第二部分</w:t>
      </w:r>
      <w:r>
        <w:rPr>
          <w:rStyle w:val="263"/>
          <w:rFonts w:ascii="Times New Roman" w:hAnsi="宋体" w:eastAsia="黑体"/>
          <w:color w:val="auto"/>
          <w:highlight w:val="none"/>
        </w:rPr>
        <w:t xml:space="preserve">  </w:t>
      </w:r>
      <w:r>
        <w:rPr>
          <w:rStyle w:val="263"/>
          <w:rFonts w:hint="eastAsia" w:ascii="Times New Roman" w:hAnsi="宋体" w:eastAsia="黑体"/>
          <w:color w:val="auto"/>
          <w:highlight w:val="none"/>
        </w:rPr>
        <w:t>投标人须知</w:t>
      </w:r>
      <w:r>
        <w:rPr>
          <w:color w:val="auto"/>
          <w:highlight w:val="none"/>
        </w:rPr>
        <w:tab/>
      </w:r>
      <w:r>
        <w:rPr>
          <w:color w:val="auto"/>
          <w:highlight w:val="none"/>
        </w:rPr>
        <w:fldChar w:fldCharType="begin"/>
      </w:r>
      <w:r>
        <w:rPr>
          <w:color w:val="auto"/>
          <w:highlight w:val="none"/>
        </w:rPr>
        <w:instrText xml:space="preserve"> PAGEREF _Toc58260782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0AD66534">
      <w:pPr>
        <w:pStyle w:val="240"/>
        <w:tabs>
          <w:tab w:val="right" w:leader="dot" w:pos="9344"/>
        </w:tabs>
        <w:rPr>
          <w:rFonts w:ascii="Calibri" w:hAnsi="Calibri"/>
          <w:b w:val="0"/>
          <w:bCs w:val="0"/>
          <w:caps w:val="0"/>
          <w:color w:val="auto"/>
          <w:sz w:val="21"/>
          <w:szCs w:val="22"/>
          <w:highlight w:val="none"/>
        </w:rPr>
      </w:pPr>
      <w:r>
        <w:rPr>
          <w:color w:val="auto"/>
          <w:highlight w:val="none"/>
        </w:rPr>
        <w:fldChar w:fldCharType="begin"/>
      </w:r>
      <w:r>
        <w:rPr>
          <w:rStyle w:val="263"/>
          <w:color w:val="auto"/>
          <w:highlight w:val="none"/>
        </w:rPr>
        <w:instrText xml:space="preserve"> </w:instrText>
      </w:r>
      <w:r>
        <w:rPr>
          <w:color w:val="auto"/>
          <w:highlight w:val="none"/>
        </w:rPr>
        <w:instrText xml:space="preserve">HYPERLINK \l "_Toc58260783"</w:instrText>
      </w:r>
      <w:r>
        <w:rPr>
          <w:rStyle w:val="263"/>
          <w:color w:val="auto"/>
          <w:highlight w:val="none"/>
        </w:rPr>
        <w:instrText xml:space="preserve"> </w:instrText>
      </w:r>
      <w:r>
        <w:rPr>
          <w:color w:val="auto"/>
          <w:highlight w:val="none"/>
        </w:rPr>
        <w:fldChar w:fldCharType="separate"/>
      </w:r>
      <w:r>
        <w:rPr>
          <w:rStyle w:val="263"/>
          <w:rFonts w:hint="eastAsia" w:ascii="Times New Roman" w:hAnsi="宋体" w:eastAsia="黑体"/>
          <w:color w:val="auto"/>
          <w:highlight w:val="none"/>
        </w:rPr>
        <w:t>第三部分</w:t>
      </w:r>
      <w:r>
        <w:rPr>
          <w:rStyle w:val="263"/>
          <w:rFonts w:ascii="Times New Roman" w:hAnsi="宋体" w:eastAsia="黑体"/>
          <w:color w:val="auto"/>
          <w:highlight w:val="none"/>
        </w:rPr>
        <w:t xml:space="preserve">  </w:t>
      </w:r>
      <w:r>
        <w:rPr>
          <w:rStyle w:val="263"/>
          <w:rFonts w:hint="eastAsia" w:ascii="Times New Roman" w:hAnsi="宋体" w:eastAsia="黑体"/>
          <w:color w:val="auto"/>
          <w:highlight w:val="none"/>
        </w:rPr>
        <w:t>评标办法</w:t>
      </w:r>
      <w:r>
        <w:rPr>
          <w:color w:val="auto"/>
          <w:highlight w:val="none"/>
        </w:rPr>
        <w:tab/>
      </w:r>
      <w:r>
        <w:rPr>
          <w:color w:val="auto"/>
          <w:highlight w:val="none"/>
        </w:rPr>
        <w:fldChar w:fldCharType="begin"/>
      </w:r>
      <w:r>
        <w:rPr>
          <w:color w:val="auto"/>
          <w:highlight w:val="none"/>
        </w:rPr>
        <w:instrText xml:space="preserve"> PAGEREF _Toc58260783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6C8FD23F">
      <w:pPr>
        <w:pStyle w:val="240"/>
        <w:tabs>
          <w:tab w:val="right" w:leader="dot" w:pos="9344"/>
        </w:tabs>
        <w:rPr>
          <w:rFonts w:ascii="Calibri" w:hAnsi="Calibri"/>
          <w:b w:val="0"/>
          <w:bCs w:val="0"/>
          <w:caps w:val="0"/>
          <w:color w:val="auto"/>
          <w:sz w:val="21"/>
          <w:szCs w:val="22"/>
          <w:highlight w:val="none"/>
        </w:rPr>
      </w:pPr>
      <w:r>
        <w:rPr>
          <w:color w:val="auto"/>
          <w:highlight w:val="none"/>
        </w:rPr>
        <w:fldChar w:fldCharType="begin"/>
      </w:r>
      <w:r>
        <w:rPr>
          <w:rStyle w:val="263"/>
          <w:color w:val="auto"/>
          <w:highlight w:val="none"/>
        </w:rPr>
        <w:instrText xml:space="preserve"> </w:instrText>
      </w:r>
      <w:r>
        <w:rPr>
          <w:color w:val="auto"/>
          <w:highlight w:val="none"/>
        </w:rPr>
        <w:instrText xml:space="preserve">HYPERLINK \l "_Toc58260784"</w:instrText>
      </w:r>
      <w:r>
        <w:rPr>
          <w:rStyle w:val="263"/>
          <w:color w:val="auto"/>
          <w:highlight w:val="none"/>
        </w:rPr>
        <w:instrText xml:space="preserve"> </w:instrText>
      </w:r>
      <w:r>
        <w:rPr>
          <w:color w:val="auto"/>
          <w:highlight w:val="none"/>
        </w:rPr>
        <w:fldChar w:fldCharType="separate"/>
      </w:r>
      <w:r>
        <w:rPr>
          <w:rStyle w:val="263"/>
          <w:rFonts w:hint="eastAsia" w:ascii="Times New Roman" w:hAnsi="宋体" w:eastAsia="黑体"/>
          <w:color w:val="auto"/>
          <w:highlight w:val="none"/>
        </w:rPr>
        <w:t>第四部分</w:t>
      </w:r>
      <w:r>
        <w:rPr>
          <w:rStyle w:val="263"/>
          <w:rFonts w:ascii="Times New Roman" w:hAnsi="宋体" w:eastAsia="黑体"/>
          <w:color w:val="auto"/>
          <w:highlight w:val="none"/>
        </w:rPr>
        <w:t xml:space="preserve">  </w:t>
      </w:r>
      <w:r>
        <w:rPr>
          <w:rStyle w:val="263"/>
          <w:rFonts w:hint="eastAsia" w:ascii="Times New Roman" w:hAnsi="宋体" w:eastAsia="黑体"/>
          <w:color w:val="auto"/>
          <w:highlight w:val="none"/>
          <w:lang w:eastAsia="zh-CN"/>
        </w:rPr>
        <w:t>项目需求</w:t>
      </w:r>
      <w:r>
        <w:rPr>
          <w:color w:val="auto"/>
          <w:highlight w:val="none"/>
        </w:rPr>
        <w:tab/>
      </w:r>
      <w:r>
        <w:rPr>
          <w:color w:val="auto"/>
          <w:highlight w:val="none"/>
        </w:rPr>
        <w:fldChar w:fldCharType="begin"/>
      </w:r>
      <w:r>
        <w:rPr>
          <w:color w:val="auto"/>
          <w:highlight w:val="none"/>
        </w:rPr>
        <w:instrText xml:space="preserve"> PAGEREF _Toc58260784 \h </w:instrText>
      </w:r>
      <w:r>
        <w:rPr>
          <w:color w:val="auto"/>
          <w:highlight w:val="none"/>
        </w:rPr>
        <w:fldChar w:fldCharType="separate"/>
      </w:r>
      <w:r>
        <w:rPr>
          <w:color w:val="auto"/>
          <w:highlight w:val="none"/>
        </w:rPr>
        <w:t>26</w:t>
      </w:r>
      <w:r>
        <w:rPr>
          <w:color w:val="auto"/>
          <w:highlight w:val="none"/>
        </w:rPr>
        <w:fldChar w:fldCharType="end"/>
      </w:r>
      <w:r>
        <w:rPr>
          <w:color w:val="auto"/>
          <w:highlight w:val="none"/>
        </w:rPr>
        <w:fldChar w:fldCharType="end"/>
      </w:r>
    </w:p>
    <w:p w14:paraId="19E1522B">
      <w:pPr>
        <w:pStyle w:val="240"/>
        <w:tabs>
          <w:tab w:val="right" w:leader="dot" w:pos="9344"/>
        </w:tabs>
        <w:rPr>
          <w:rFonts w:ascii="Calibri" w:hAnsi="Calibri"/>
          <w:b w:val="0"/>
          <w:bCs w:val="0"/>
          <w:caps w:val="0"/>
          <w:color w:val="auto"/>
          <w:sz w:val="21"/>
          <w:szCs w:val="22"/>
          <w:highlight w:val="none"/>
        </w:rPr>
      </w:pPr>
      <w:r>
        <w:rPr>
          <w:color w:val="auto"/>
          <w:highlight w:val="none"/>
        </w:rPr>
        <w:fldChar w:fldCharType="begin"/>
      </w:r>
      <w:r>
        <w:rPr>
          <w:rStyle w:val="263"/>
          <w:color w:val="auto"/>
          <w:highlight w:val="none"/>
        </w:rPr>
        <w:instrText xml:space="preserve"> </w:instrText>
      </w:r>
      <w:r>
        <w:rPr>
          <w:color w:val="auto"/>
          <w:highlight w:val="none"/>
        </w:rPr>
        <w:instrText xml:space="preserve">HYPERLINK \l "_Toc58260785"</w:instrText>
      </w:r>
      <w:r>
        <w:rPr>
          <w:rStyle w:val="263"/>
          <w:color w:val="auto"/>
          <w:highlight w:val="none"/>
        </w:rPr>
        <w:instrText xml:space="preserve"> </w:instrText>
      </w:r>
      <w:r>
        <w:rPr>
          <w:color w:val="auto"/>
          <w:highlight w:val="none"/>
        </w:rPr>
        <w:fldChar w:fldCharType="separate"/>
      </w:r>
      <w:r>
        <w:rPr>
          <w:rStyle w:val="263"/>
          <w:rFonts w:hint="eastAsia" w:ascii="Times New Roman" w:hAnsi="宋体" w:eastAsia="黑体"/>
          <w:color w:val="auto"/>
          <w:highlight w:val="none"/>
        </w:rPr>
        <w:t>第五部分</w:t>
      </w:r>
      <w:r>
        <w:rPr>
          <w:rStyle w:val="263"/>
          <w:rFonts w:ascii="Times New Roman" w:hAnsi="宋体" w:eastAsia="黑体"/>
          <w:color w:val="auto"/>
          <w:highlight w:val="none"/>
        </w:rPr>
        <w:t xml:space="preserve">  </w:t>
      </w:r>
      <w:r>
        <w:rPr>
          <w:rStyle w:val="263"/>
          <w:rFonts w:hint="eastAsia" w:ascii="Times New Roman" w:hAnsi="宋体" w:eastAsia="黑体"/>
          <w:color w:val="auto"/>
          <w:highlight w:val="none"/>
        </w:rPr>
        <w:t>合同</w:t>
      </w:r>
      <w:r>
        <w:rPr>
          <w:color w:val="auto"/>
          <w:highlight w:val="none"/>
        </w:rPr>
        <w:tab/>
      </w:r>
      <w:r>
        <w:rPr>
          <w:color w:val="auto"/>
          <w:highlight w:val="none"/>
        </w:rPr>
        <w:fldChar w:fldCharType="begin"/>
      </w:r>
      <w:r>
        <w:rPr>
          <w:color w:val="auto"/>
          <w:highlight w:val="none"/>
        </w:rPr>
        <w:instrText xml:space="preserve"> PAGEREF _Toc58260785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0725CFE1">
      <w:pPr>
        <w:pStyle w:val="240"/>
        <w:tabs>
          <w:tab w:val="right" w:leader="dot" w:pos="9344"/>
        </w:tabs>
        <w:rPr>
          <w:rFonts w:ascii="Calibri" w:hAnsi="Calibri"/>
          <w:b w:val="0"/>
          <w:bCs w:val="0"/>
          <w:caps w:val="0"/>
          <w:color w:val="auto"/>
          <w:sz w:val="21"/>
          <w:szCs w:val="22"/>
          <w:highlight w:val="none"/>
        </w:rPr>
      </w:pPr>
      <w:r>
        <w:rPr>
          <w:color w:val="auto"/>
          <w:highlight w:val="none"/>
        </w:rPr>
        <w:fldChar w:fldCharType="begin"/>
      </w:r>
      <w:r>
        <w:rPr>
          <w:rStyle w:val="263"/>
          <w:color w:val="auto"/>
          <w:highlight w:val="none"/>
        </w:rPr>
        <w:instrText xml:space="preserve"> </w:instrText>
      </w:r>
      <w:r>
        <w:rPr>
          <w:color w:val="auto"/>
          <w:highlight w:val="none"/>
        </w:rPr>
        <w:instrText xml:space="preserve">HYPERLINK \l "_Toc58260786"</w:instrText>
      </w:r>
      <w:r>
        <w:rPr>
          <w:rStyle w:val="263"/>
          <w:color w:val="auto"/>
          <w:highlight w:val="none"/>
        </w:rPr>
        <w:instrText xml:space="preserve"> </w:instrText>
      </w:r>
      <w:r>
        <w:rPr>
          <w:color w:val="auto"/>
          <w:highlight w:val="none"/>
        </w:rPr>
        <w:fldChar w:fldCharType="separate"/>
      </w:r>
      <w:r>
        <w:rPr>
          <w:rStyle w:val="263"/>
          <w:rFonts w:hint="eastAsia" w:ascii="Times New Roman" w:hAnsi="宋体" w:eastAsia="黑体"/>
          <w:color w:val="auto"/>
          <w:highlight w:val="none"/>
        </w:rPr>
        <w:t>第六部分</w:t>
      </w:r>
      <w:r>
        <w:rPr>
          <w:rStyle w:val="263"/>
          <w:rFonts w:ascii="Times New Roman" w:hAnsi="宋体" w:eastAsia="黑体"/>
          <w:color w:val="auto"/>
          <w:highlight w:val="none"/>
        </w:rPr>
        <w:t xml:space="preserve">  </w:t>
      </w:r>
      <w:r>
        <w:rPr>
          <w:rStyle w:val="263"/>
          <w:rFonts w:hint="eastAsia" w:ascii="Times New Roman" w:hAnsi="宋体" w:eastAsia="黑体"/>
          <w:color w:val="auto"/>
          <w:highlight w:val="none"/>
        </w:rPr>
        <w:t>投标文件格式</w:t>
      </w:r>
      <w:r>
        <w:rPr>
          <w:color w:val="auto"/>
          <w:highlight w:val="none"/>
        </w:rPr>
        <w:tab/>
      </w:r>
      <w:r>
        <w:rPr>
          <w:color w:val="auto"/>
          <w:highlight w:val="none"/>
        </w:rPr>
        <w:fldChar w:fldCharType="begin"/>
      </w:r>
      <w:r>
        <w:rPr>
          <w:color w:val="auto"/>
          <w:highlight w:val="none"/>
        </w:rPr>
        <w:instrText xml:space="preserve"> PAGEREF _Toc58260786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14:paraId="16B17D0B">
      <w:pPr>
        <w:rPr>
          <w:rFonts w:ascii="宋体" w:hAnsi="宋体"/>
          <w:color w:val="auto"/>
          <w:sz w:val="24"/>
          <w:highlight w:val="none"/>
        </w:rPr>
      </w:pPr>
      <w:r>
        <w:rPr>
          <w:rFonts w:ascii="宋体" w:hAnsi="宋体"/>
          <w:color w:val="auto"/>
          <w:sz w:val="24"/>
          <w:highlight w:val="none"/>
        </w:rPr>
        <w:fldChar w:fldCharType="end"/>
      </w:r>
    </w:p>
    <w:p w14:paraId="4B9CA281">
      <w:pPr>
        <w:pStyle w:val="190"/>
        <w:keepLines/>
        <w:numPr>
          <w:ilvl w:val="0"/>
          <w:numId w:val="0"/>
        </w:numPr>
        <w:spacing w:line="360" w:lineRule="auto"/>
        <w:rPr>
          <w:rFonts w:hint="eastAsia" w:ascii="宋体" w:hAnsi="宋体" w:eastAsia="宋体"/>
          <w:color w:val="auto"/>
          <w:highlight w:val="none"/>
        </w:rPr>
      </w:pPr>
      <w:r>
        <w:rPr>
          <w:rFonts w:ascii="宋体" w:hAnsi="宋体"/>
          <w:color w:val="auto"/>
          <w:sz w:val="24"/>
          <w:highlight w:val="none"/>
        </w:rPr>
        <w:br w:type="page" w:clear="all"/>
      </w:r>
      <w:bookmarkStart w:id="1" w:name="_Toc58260781"/>
      <w:r>
        <w:rPr>
          <w:rFonts w:hint="eastAsia" w:ascii="Times New Roman" w:hAnsi="宋体" w:eastAsia="黑体"/>
          <w:color w:val="auto"/>
          <w:sz w:val="36"/>
          <w:szCs w:val="20"/>
          <w:highlight w:val="none"/>
        </w:rPr>
        <w:t>第一部分  投标邀请</w:t>
      </w:r>
      <w:bookmarkEnd w:id="1"/>
    </w:p>
    <w:p w14:paraId="0F845469">
      <w:pPr>
        <w:ind w:firstLine="420"/>
        <w:rPr>
          <w:rFonts w:hint="eastAsia"/>
          <w:color w:val="auto"/>
          <w:highlight w:val="none"/>
        </w:rPr>
      </w:pP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14:paraId="68ED1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4" w:type="dxa"/>
            <w:noWrap w:val="0"/>
            <w:vAlign w:val="top"/>
          </w:tcPr>
          <w:p w14:paraId="2DC5D41B">
            <w:pPr>
              <w:spacing w:line="360" w:lineRule="auto"/>
              <w:rPr>
                <w:rFonts w:hint="eastAsia" w:ascii="宋体" w:hAnsi="宋体"/>
                <w:color w:val="auto"/>
                <w:sz w:val="24"/>
                <w:highlight w:val="none"/>
              </w:rPr>
            </w:pPr>
            <w:r>
              <w:rPr>
                <w:rFonts w:hint="eastAsia" w:ascii="宋体" w:hAnsi="宋体"/>
                <w:color w:val="auto"/>
                <w:sz w:val="24"/>
                <w:highlight w:val="none"/>
              </w:rPr>
              <w:t>项目概况</w:t>
            </w:r>
          </w:p>
          <w:p w14:paraId="72D85A1F">
            <w:pPr>
              <w:spacing w:line="360" w:lineRule="auto"/>
              <w:ind w:firstLine="480"/>
              <w:rPr>
                <w:rFonts w:hint="eastAsia" w:ascii="宋体" w:hAnsi="宋体"/>
                <w:color w:val="auto"/>
                <w:highlight w:val="none"/>
              </w:rPr>
            </w:pPr>
            <w:r>
              <w:rPr>
                <w:rFonts w:hint="eastAsia" w:ascii="宋体" w:hAnsi="宋体"/>
                <w:color w:val="auto"/>
                <w:sz w:val="24"/>
                <w:highlight w:val="none"/>
                <w:u w:val="single"/>
                <w:lang w:val="zh-TW" w:eastAsia="zh-CN"/>
              </w:rPr>
              <w:t>连云港石化产业基地安全管家服务项目</w:t>
            </w:r>
            <w:r>
              <w:rPr>
                <w:rFonts w:hint="eastAsia" w:ascii="宋体" w:hAnsi="宋体"/>
                <w:color w:val="auto"/>
                <w:sz w:val="24"/>
                <w:highlight w:val="none"/>
              </w:rPr>
              <w:t>招标项目的潜在投标人应在</w:t>
            </w:r>
            <w:r>
              <w:rPr>
                <w:rFonts w:hint="eastAsia" w:ascii="宋体" w:hAnsi="宋体"/>
                <w:color w:val="auto"/>
                <w:sz w:val="24"/>
                <w:highlight w:val="none"/>
                <w:u w:val="single"/>
              </w:rPr>
              <w:t>连云港市公共资源电子交易系统</w:t>
            </w:r>
            <w:r>
              <w:rPr>
                <w:rFonts w:hint="eastAsia" w:ascii="宋体" w:hAnsi="宋体"/>
                <w:color w:val="auto"/>
                <w:sz w:val="24"/>
                <w:highlight w:val="none"/>
              </w:rPr>
              <w:t>获取招标文件，并于</w:t>
            </w:r>
            <w:r>
              <w:rPr>
                <w:rFonts w:hint="eastAsia" w:ascii="宋体" w:hAnsi="宋体"/>
                <w:color w:val="auto"/>
                <w:sz w:val="24"/>
                <w:highlight w:val="none"/>
                <w:u w:val="single"/>
              </w:rPr>
              <w:t>202</w:t>
            </w:r>
            <w:r>
              <w:rPr>
                <w:rFonts w:hint="eastAsia" w:ascii="宋体" w:hAnsi="宋体"/>
                <w:color w:val="auto"/>
                <w:sz w:val="24"/>
                <w:highlight w:val="none"/>
                <w:u w:val="single"/>
                <w:lang w:val="en-US" w:eastAsia="zh-CN"/>
              </w:rPr>
              <w:t>6</w:t>
            </w:r>
            <w:r>
              <w:rPr>
                <w:rFonts w:hint="eastAsia" w:ascii="宋体" w:hAnsi="宋体"/>
                <w:color w:val="auto"/>
                <w:sz w:val="24"/>
                <w:highlight w:val="none"/>
                <w:u w:val="single"/>
              </w:rPr>
              <w:t>年</w:t>
            </w:r>
            <w:r>
              <w:rPr>
                <w:rFonts w:hint="eastAsia" w:ascii="宋体" w:hAnsi="宋体"/>
                <w:color w:val="auto"/>
                <w:sz w:val="24"/>
                <w:highlight w:val="none"/>
                <w:u w:val="single"/>
                <w:lang w:val="en-US" w:eastAsia="zh-CN"/>
              </w:rPr>
              <w:t>8</w:t>
            </w:r>
            <w:r>
              <w:rPr>
                <w:rFonts w:hint="eastAsia" w:ascii="宋体" w:hAnsi="宋体"/>
                <w:color w:val="auto"/>
                <w:sz w:val="24"/>
                <w:highlight w:val="none"/>
                <w:u w:val="single"/>
              </w:rPr>
              <w:t>月</w:t>
            </w:r>
            <w:r>
              <w:rPr>
                <w:rFonts w:hint="eastAsia" w:ascii="宋体" w:hAnsi="宋体"/>
                <w:color w:val="auto"/>
                <w:sz w:val="24"/>
                <w:highlight w:val="none"/>
                <w:u w:val="single"/>
                <w:lang w:val="en-US" w:eastAsia="zh-CN"/>
              </w:rPr>
              <w:t>14</w:t>
            </w:r>
            <w:r>
              <w:rPr>
                <w:rFonts w:hint="eastAsia" w:ascii="宋体" w:hAnsi="宋体"/>
                <w:color w:val="auto"/>
                <w:sz w:val="24"/>
                <w:highlight w:val="none"/>
                <w:u w:val="single"/>
              </w:rPr>
              <w:t>日上午</w:t>
            </w:r>
            <w:r>
              <w:rPr>
                <w:rFonts w:hint="eastAsia" w:ascii="宋体" w:hAnsi="宋体"/>
                <w:color w:val="auto"/>
                <w:sz w:val="24"/>
                <w:highlight w:val="none"/>
                <w:u w:val="single"/>
                <w:lang w:val="en-US" w:eastAsia="zh-CN"/>
              </w:rPr>
              <w:t>9</w:t>
            </w:r>
            <w:r>
              <w:rPr>
                <w:rFonts w:hint="eastAsia" w:ascii="宋体" w:hAnsi="宋体"/>
                <w:color w:val="auto"/>
                <w:sz w:val="24"/>
                <w:highlight w:val="none"/>
                <w:u w:val="single"/>
              </w:rPr>
              <w:t>点00分00秒</w:t>
            </w:r>
            <w:r>
              <w:rPr>
                <w:rFonts w:hint="eastAsia" w:ascii="宋体" w:hAnsi="宋体"/>
                <w:color w:val="auto"/>
                <w:sz w:val="24"/>
                <w:highlight w:val="none"/>
              </w:rPr>
              <w:t>（北京时间）</w:t>
            </w:r>
            <w:r>
              <w:rPr>
                <w:rFonts w:hint="eastAsia" w:ascii="宋体" w:hAnsi="宋体"/>
                <w:b/>
                <w:bCs/>
                <w:color w:val="auto"/>
                <w:sz w:val="24"/>
                <w:highlight w:val="none"/>
              </w:rPr>
              <w:t>前</w:t>
            </w:r>
            <w:r>
              <w:rPr>
                <w:rFonts w:hint="eastAsia" w:ascii="宋体" w:hAnsi="宋体"/>
                <w:b/>
                <w:color w:val="auto"/>
                <w:sz w:val="24"/>
                <w:highlight w:val="none"/>
              </w:rPr>
              <w:t>上传电子投标文件并完成签到</w:t>
            </w:r>
            <w:r>
              <w:rPr>
                <w:rFonts w:hint="eastAsia" w:ascii="宋体" w:hAnsi="宋体"/>
                <w:color w:val="auto"/>
                <w:sz w:val="24"/>
                <w:highlight w:val="none"/>
              </w:rPr>
              <w:t>。</w:t>
            </w:r>
          </w:p>
        </w:tc>
      </w:tr>
    </w:tbl>
    <w:p w14:paraId="12F3E008">
      <w:pPr>
        <w:pStyle w:val="191"/>
        <w:numPr>
          <w:ilvl w:val="0"/>
          <w:numId w:val="0"/>
        </w:numPr>
        <w:spacing w:before="156" w:after="156" w:line="360" w:lineRule="auto"/>
        <w:rPr>
          <w:rFonts w:hint="eastAsia"/>
          <w:color w:val="auto"/>
          <w:highlight w:val="none"/>
        </w:rPr>
      </w:pPr>
      <w:r>
        <w:rPr>
          <w:rFonts w:hint="eastAsia"/>
          <w:color w:val="auto"/>
          <w:highlight w:val="none"/>
        </w:rPr>
        <w:t>一、项目基本情况</w:t>
      </w:r>
    </w:p>
    <w:p w14:paraId="1ABC96FA">
      <w:pPr>
        <w:spacing w:line="360" w:lineRule="auto"/>
        <w:ind w:firstLine="480"/>
        <w:rPr>
          <w:rFonts w:hint="eastAsia" w:ascii="宋体" w:hAnsi="宋体" w:eastAsia="宋体"/>
          <w:color w:val="auto"/>
          <w:sz w:val="24"/>
          <w:highlight w:val="none"/>
          <w:lang w:val="zh-TW" w:eastAsia="zh-CN"/>
        </w:rPr>
      </w:pPr>
      <w:r>
        <w:rPr>
          <w:rFonts w:hint="eastAsia" w:ascii="宋体" w:hAnsi="宋体"/>
          <w:color w:val="auto"/>
          <w:sz w:val="24"/>
          <w:highlight w:val="none"/>
        </w:rPr>
        <w:t>标段名称：</w:t>
      </w:r>
      <w:r>
        <w:rPr>
          <w:rFonts w:hint="eastAsia" w:ascii="宋体" w:hAnsi="宋体"/>
          <w:color w:val="auto"/>
          <w:sz w:val="24"/>
          <w:highlight w:val="none"/>
          <w:lang w:val="zh-TW" w:eastAsia="zh-CN"/>
        </w:rPr>
        <w:t>连云港石化产业基地安全管家服务项目</w:t>
      </w:r>
    </w:p>
    <w:p w14:paraId="43A63575">
      <w:pPr>
        <w:spacing w:line="360" w:lineRule="auto"/>
        <w:ind w:firstLine="480"/>
        <w:rPr>
          <w:rFonts w:ascii="宋体" w:hAnsi="宋体" w:eastAsia="宋体" w:cs="Times New Roman"/>
          <w:color w:val="auto"/>
          <w:sz w:val="24"/>
          <w:highlight w:val="none"/>
          <w:lang w:val="en-US" w:eastAsia="zh-CN"/>
        </w:rPr>
      </w:pPr>
      <w:r>
        <w:rPr>
          <w:rFonts w:hint="eastAsia" w:ascii="宋体" w:hAnsi="宋体"/>
          <w:color w:val="auto"/>
          <w:sz w:val="24"/>
          <w:highlight w:val="none"/>
        </w:rPr>
        <w:t>标段编号：</w:t>
      </w:r>
      <w:r>
        <w:rPr>
          <w:rFonts w:hint="eastAsia" w:ascii="宋体" w:hAnsi="宋体" w:eastAsia="宋体" w:cs="Times New Roman"/>
          <w:color w:val="auto"/>
          <w:sz w:val="24"/>
          <w:highlight w:val="none"/>
          <w:lang w:val="zh-TW" w:eastAsia="zh-CN"/>
        </w:rPr>
        <w:t>JSZC-320700-JSWD-G2026-0030</w:t>
      </w:r>
    </w:p>
    <w:p w14:paraId="038CF807">
      <w:pPr>
        <w:spacing w:line="360" w:lineRule="auto"/>
        <w:ind w:firstLine="480"/>
        <w:rPr>
          <w:rFonts w:ascii="宋体" w:hAnsi="宋体"/>
          <w:color w:val="auto"/>
          <w:sz w:val="24"/>
          <w:highlight w:val="none"/>
        </w:rPr>
      </w:pPr>
      <w:r>
        <w:rPr>
          <w:rFonts w:hint="eastAsia" w:ascii="宋体" w:hAnsi="宋体"/>
          <w:color w:val="auto"/>
          <w:sz w:val="24"/>
          <w:highlight w:val="none"/>
        </w:rPr>
        <w:t>预算金额：人民币</w:t>
      </w:r>
      <w:r>
        <w:rPr>
          <w:rFonts w:hint="eastAsia" w:ascii="宋体" w:hAnsi="宋体"/>
          <w:color w:val="auto"/>
          <w:sz w:val="24"/>
          <w:highlight w:val="none"/>
          <w:lang w:val="en-US" w:eastAsia="zh-CN"/>
        </w:rPr>
        <w:t>800</w:t>
      </w:r>
      <w:r>
        <w:rPr>
          <w:rFonts w:hint="eastAsia" w:ascii="宋体" w:hAnsi="宋体"/>
          <w:color w:val="auto"/>
          <w:sz w:val="24"/>
          <w:highlight w:val="none"/>
        </w:rPr>
        <w:t>万元，投标报价超过预算金额的投标无效。</w:t>
      </w:r>
    </w:p>
    <w:p w14:paraId="46397355">
      <w:pPr>
        <w:spacing w:line="360" w:lineRule="auto"/>
        <w:ind w:firstLine="480"/>
        <w:rPr>
          <w:rFonts w:hint="eastAsia" w:ascii="宋体" w:hAnsi="宋体"/>
          <w:color w:val="auto"/>
          <w:sz w:val="24"/>
          <w:highlight w:val="none"/>
        </w:rPr>
      </w:pPr>
      <w:r>
        <w:rPr>
          <w:rFonts w:hint="eastAsia" w:ascii="宋体" w:hAnsi="宋体"/>
          <w:color w:val="auto"/>
          <w:sz w:val="24"/>
          <w:highlight w:val="none"/>
        </w:rPr>
        <w:t>采购需求：</w:t>
      </w:r>
      <w:r>
        <w:rPr>
          <w:rFonts w:hint="eastAsia" w:ascii="宋体" w:hAnsi="宋体"/>
          <w:color w:val="auto"/>
          <w:sz w:val="24"/>
          <w:highlight w:val="none"/>
          <w:lang w:eastAsia="zh-CN"/>
        </w:rPr>
        <w:t>拟通过聘请第三方专业技术团队，采用“安全管家”服务模式，实时解决石化基地内安全生产、应急救援的实际问题和需求。</w:t>
      </w:r>
      <w:r>
        <w:rPr>
          <w:rFonts w:hint="eastAsia" w:ascii="宋体" w:hAnsi="宋体"/>
          <w:bCs/>
          <w:color w:val="auto"/>
          <w:sz w:val="24"/>
          <w:highlight w:val="none"/>
        </w:rPr>
        <w:t>具体详见</w:t>
      </w:r>
      <w:r>
        <w:rPr>
          <w:rFonts w:hint="eastAsia" w:ascii="宋体" w:hAnsi="宋体"/>
          <w:bCs/>
          <w:color w:val="auto"/>
          <w:sz w:val="24"/>
          <w:highlight w:val="none"/>
          <w:lang w:eastAsia="zh-CN"/>
        </w:rPr>
        <w:t>项目需求</w:t>
      </w:r>
      <w:r>
        <w:rPr>
          <w:rFonts w:hint="eastAsia" w:ascii="宋体" w:hAnsi="宋体"/>
          <w:color w:val="auto"/>
          <w:sz w:val="24"/>
          <w:highlight w:val="none"/>
        </w:rPr>
        <w:t>。</w:t>
      </w:r>
    </w:p>
    <w:p w14:paraId="4FF955CA">
      <w:pPr>
        <w:spacing w:line="360" w:lineRule="auto"/>
        <w:ind w:firstLine="482"/>
        <w:rPr>
          <w:rFonts w:hint="eastAsia" w:ascii="宋体" w:hAnsi="宋体"/>
          <w:b/>
          <w:color w:val="auto"/>
          <w:sz w:val="24"/>
          <w:highlight w:val="none"/>
        </w:rPr>
      </w:pPr>
      <w:r>
        <w:rPr>
          <w:rFonts w:hint="eastAsia" w:ascii="宋体" w:hAnsi="宋体"/>
          <w:b/>
          <w:color w:val="auto"/>
          <w:sz w:val="24"/>
          <w:highlight w:val="none"/>
        </w:rPr>
        <w:t>对项目需求部分的询问、质疑请与采购人联系，由采购人负责答复。</w:t>
      </w:r>
    </w:p>
    <w:p w14:paraId="1505ABF0">
      <w:pPr>
        <w:spacing w:line="360" w:lineRule="auto"/>
        <w:ind w:firstLine="480"/>
        <w:rPr>
          <w:rFonts w:hint="eastAsia" w:ascii="宋体" w:hAnsi="宋体"/>
          <w:color w:val="auto"/>
          <w:sz w:val="24"/>
          <w:highlight w:val="none"/>
          <w:lang w:val="en-US" w:eastAsia="zh-CN"/>
        </w:rPr>
      </w:pPr>
      <w:r>
        <w:rPr>
          <w:rFonts w:hint="eastAsia" w:ascii="宋体" w:hAnsi="宋体"/>
          <w:color w:val="auto"/>
          <w:sz w:val="24"/>
          <w:highlight w:val="none"/>
        </w:rPr>
        <w:t>合同履行期限（服务时间）：</w:t>
      </w:r>
      <w:r>
        <w:rPr>
          <w:rFonts w:hint="eastAsia" w:ascii="宋体" w:hAnsi="宋体"/>
          <w:color w:val="auto"/>
          <w:sz w:val="24"/>
          <w:highlight w:val="none"/>
          <w:lang w:val="en-US" w:eastAsia="zh-CN"/>
        </w:rPr>
        <w:t>2年（自合同签订之日起）</w:t>
      </w:r>
    </w:p>
    <w:p w14:paraId="28007AE6">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本项目不接受联合体投标。</w:t>
      </w:r>
    </w:p>
    <w:p w14:paraId="0218B71E">
      <w:pPr>
        <w:pStyle w:val="191"/>
        <w:numPr>
          <w:ilvl w:val="0"/>
          <w:numId w:val="0"/>
        </w:numPr>
        <w:spacing w:before="156" w:after="156" w:line="360" w:lineRule="auto"/>
        <w:rPr>
          <w:rFonts w:hint="eastAsia"/>
          <w:color w:val="auto"/>
          <w:highlight w:val="none"/>
        </w:rPr>
      </w:pPr>
      <w:r>
        <w:rPr>
          <w:rFonts w:hint="eastAsia"/>
          <w:color w:val="auto"/>
          <w:highlight w:val="none"/>
        </w:rPr>
        <w:t>二、申请人的资格要求</w:t>
      </w:r>
    </w:p>
    <w:p w14:paraId="649BF9A7">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1.满足《中华人民共和国政府采购法》第二十二条规定，并提供下列材料：</w:t>
      </w:r>
    </w:p>
    <w:p w14:paraId="6FF8756C">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（1）法人或者其他组织的营业执照等证明文件，自然人的身份证明；</w:t>
      </w:r>
    </w:p>
    <w:p w14:paraId="0C59C2D8">
      <w:pPr>
        <w:spacing w:line="360" w:lineRule="auto"/>
        <w:ind w:firstLine="480"/>
        <w:jc w:val="left"/>
        <w:rPr>
          <w:rFonts w:ascii="宋体" w:hAnsi="宋体"/>
          <w:color w:val="auto"/>
          <w:sz w:val="24"/>
          <w:highlight w:val="none"/>
        </w:rPr>
      </w:pPr>
      <w:r>
        <w:rPr>
          <w:rFonts w:hint="eastAsia" w:ascii="宋体" w:hAnsi="宋体"/>
          <w:color w:val="auto"/>
          <w:sz w:val="24"/>
          <w:highlight w:val="none"/>
        </w:rPr>
        <w:t>（2）具有良好的商业信誉和健全的财务会计制度（按连财购【2023】4号文件要求，符合要求的提交《财务状况报告及税收、社会保障资金缴纳情况承诺函》，并上传至电子投标文件中，格式详见采购文件）；</w:t>
      </w:r>
    </w:p>
    <w:p w14:paraId="10227B5A">
      <w:pPr>
        <w:spacing w:line="360" w:lineRule="auto"/>
        <w:ind w:firstLine="480"/>
        <w:jc w:val="left"/>
        <w:rPr>
          <w:rFonts w:ascii="宋体" w:hAnsi="宋体"/>
          <w:color w:val="auto"/>
          <w:sz w:val="24"/>
          <w:highlight w:val="none"/>
        </w:rPr>
      </w:pPr>
      <w:r>
        <w:rPr>
          <w:rFonts w:hint="eastAsia" w:ascii="宋体" w:hAnsi="宋体"/>
          <w:color w:val="auto"/>
          <w:sz w:val="24"/>
          <w:highlight w:val="none"/>
        </w:rPr>
        <w:t>（3）依法缴纳税收和社会保障资金的相关证明材料（按连财购【2023】4号文件要求，符合要求的提交《财务状况报告及税收、社会保障资金缴纳情况承诺函》，并上传至电子投标文件中，格式详见采购文件）；</w:t>
      </w:r>
    </w:p>
    <w:p w14:paraId="5CE82836">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（4）具备履行合同所必需的设备和专业技术能力的声明及证明材料；</w:t>
      </w:r>
    </w:p>
    <w:p w14:paraId="7E9AC89F">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（5）参加政府采购活动前三年内在经营活动中没有重大违法记录的书面声明。</w:t>
      </w:r>
    </w:p>
    <w:p w14:paraId="65506847">
      <w:pPr>
        <w:spacing w:line="360" w:lineRule="auto"/>
        <w:ind w:firstLine="480"/>
        <w:rPr>
          <w:rFonts w:hint="eastAsia" w:ascii="宋体" w:hAnsi="宋体"/>
          <w:color w:val="auto"/>
          <w:sz w:val="24"/>
          <w:highlight w:val="none"/>
        </w:rPr>
      </w:pPr>
      <w:r>
        <w:rPr>
          <w:rFonts w:hint="eastAsia" w:ascii="宋体" w:hAnsi="宋体"/>
          <w:color w:val="auto"/>
          <w:sz w:val="24"/>
          <w:highlight w:val="none"/>
        </w:rPr>
        <w:t>2.落实政府采购政策需满</w:t>
      </w:r>
      <w:r>
        <w:rPr>
          <w:rFonts w:hint="eastAsia" w:ascii="宋体" w:hAnsi="宋体"/>
          <w:color w:val="auto"/>
          <w:sz w:val="24"/>
          <w:szCs w:val="28"/>
          <w:highlight w:val="none"/>
        </w:rPr>
        <w:t>足的资格要求：</w:t>
      </w:r>
      <w:r>
        <w:rPr>
          <w:rFonts w:hint="eastAsia" w:ascii="宋体" w:hAnsi="宋体"/>
          <w:color w:val="auto"/>
          <w:sz w:val="24"/>
          <w:highlight w:val="none"/>
          <w:lang w:val="en-US" w:eastAsia="zh-CN"/>
        </w:rPr>
        <w:t>/</w:t>
      </w:r>
      <w:r>
        <w:rPr>
          <w:rFonts w:hint="eastAsia" w:ascii="宋体" w:hAnsi="宋体"/>
          <w:color w:val="auto"/>
          <w:sz w:val="24"/>
          <w:highlight w:val="none"/>
        </w:rPr>
        <w:t>。</w:t>
      </w:r>
    </w:p>
    <w:p w14:paraId="6551D6BB">
      <w:pPr>
        <w:spacing w:line="360" w:lineRule="auto"/>
        <w:ind w:firstLine="480"/>
        <w:rPr>
          <w:rFonts w:hint="eastAsia" w:ascii="宋体" w:hAnsi="宋体"/>
          <w:color w:val="auto"/>
          <w:sz w:val="24"/>
          <w:highlight w:val="none"/>
        </w:rPr>
      </w:pPr>
      <w:r>
        <w:rPr>
          <w:rFonts w:hint="eastAsia" w:ascii="宋体" w:hAnsi="宋体"/>
          <w:color w:val="auto"/>
          <w:sz w:val="24"/>
          <w:szCs w:val="28"/>
          <w:highlight w:val="none"/>
        </w:rPr>
        <w:t>3.本项目的特定资格要求：</w:t>
      </w:r>
      <w:r>
        <w:rPr>
          <w:rFonts w:hint="eastAsia" w:ascii="宋体" w:hAnsi="宋体"/>
          <w:color w:val="auto"/>
          <w:sz w:val="24"/>
          <w:szCs w:val="28"/>
          <w:highlight w:val="none"/>
          <w:lang w:val="en-US" w:eastAsia="zh-CN"/>
        </w:rPr>
        <w:t>/</w:t>
      </w:r>
      <w:r>
        <w:rPr>
          <w:rFonts w:hint="eastAsia" w:ascii="宋体" w:hAnsi="宋体"/>
          <w:color w:val="auto"/>
          <w:sz w:val="24"/>
          <w:highlight w:val="none"/>
        </w:rPr>
        <w:t>。</w:t>
      </w:r>
    </w:p>
    <w:p w14:paraId="597FF030">
      <w:pPr>
        <w:spacing w:line="360" w:lineRule="auto"/>
        <w:ind w:firstLine="480"/>
        <w:rPr>
          <w:rFonts w:hint="eastAsia" w:ascii="宋体" w:hAnsi="宋体"/>
          <w:color w:val="auto"/>
          <w:sz w:val="24"/>
          <w:highlight w:val="none"/>
        </w:rPr>
      </w:pPr>
      <w:r>
        <w:rPr>
          <w:rFonts w:hint="eastAsia" w:ascii="宋体" w:hAnsi="宋体"/>
          <w:color w:val="auto"/>
          <w:sz w:val="24"/>
          <w:highlight w:val="none"/>
        </w:rPr>
        <w:t>4.本项目的其他资格要求：</w:t>
      </w:r>
    </w:p>
    <w:p w14:paraId="630BBCEE">
      <w:pPr>
        <w:spacing w:line="360" w:lineRule="auto"/>
        <w:ind w:firstLine="480"/>
        <w:rPr>
          <w:rFonts w:ascii="宋体" w:hAnsi="宋体"/>
          <w:color w:val="auto"/>
          <w:sz w:val="24"/>
          <w:highlight w:val="none"/>
        </w:rPr>
      </w:pPr>
      <w:r>
        <w:rPr>
          <w:rFonts w:hint="eastAsia" w:ascii="宋体" w:hAnsi="宋体"/>
          <w:color w:val="auto"/>
          <w:sz w:val="24"/>
          <w:highlight w:val="none"/>
        </w:rPr>
        <w:t>（1）资格审查现场查询时，被信用中国、中国政府采购网列入失信被执行人、税收违法黑名单、政府采购严重违法失信行为记录名单的供应商，拒绝其参与政府采购活动。</w:t>
      </w:r>
    </w:p>
    <w:p w14:paraId="0DA93367">
      <w:pPr>
        <w:spacing w:line="360" w:lineRule="auto"/>
        <w:ind w:firstLine="480"/>
        <w:rPr>
          <w:rFonts w:hint="eastAsia" w:ascii="宋体" w:hAnsi="宋体"/>
          <w:color w:val="auto"/>
          <w:sz w:val="24"/>
          <w:highlight w:val="none"/>
        </w:rPr>
      </w:pPr>
      <w:r>
        <w:rPr>
          <w:rFonts w:hint="eastAsia" w:ascii="宋体" w:hAnsi="宋体"/>
          <w:color w:val="auto"/>
          <w:sz w:val="24"/>
          <w:highlight w:val="none"/>
        </w:rPr>
        <w:t>备注：采购人或采购代理机构通过信用中国网站（www.creditchina.gov.cn）、中国政府采购网（www.ccgp.gov.cn），对供应商信用记录情况进行查询，查询结果页面打印留存。</w:t>
      </w:r>
    </w:p>
    <w:p w14:paraId="747868C4">
      <w:pPr>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s="Arial"/>
          <w:color w:val="auto"/>
          <w:sz w:val="24"/>
          <w:highlight w:val="none"/>
        </w:rPr>
        <w:t>本项目不接受联合体投标，</w:t>
      </w:r>
      <w:r>
        <w:rPr>
          <w:rFonts w:hint="eastAsia" w:ascii="宋体" w:hAnsi="宋体"/>
          <w:color w:val="auto"/>
          <w:sz w:val="24"/>
          <w:highlight w:val="none"/>
        </w:rPr>
        <w:t>中标后不允许分包或转包。</w:t>
      </w:r>
    </w:p>
    <w:p w14:paraId="138DD149">
      <w:pPr>
        <w:spacing w:line="360" w:lineRule="auto"/>
        <w:ind w:firstLine="480"/>
        <w:rPr>
          <w:rFonts w:hint="eastAsia" w:ascii="宋体" w:hAnsi="宋体"/>
          <w:color w:val="auto"/>
          <w:sz w:val="24"/>
          <w:highlight w:val="none"/>
        </w:rPr>
      </w:pPr>
      <w:r>
        <w:rPr>
          <w:rFonts w:hint="eastAsia" w:ascii="宋体" w:hAnsi="宋体"/>
          <w:color w:val="auto"/>
          <w:sz w:val="24"/>
          <w:highlight w:val="none"/>
        </w:rPr>
        <w:t>5.法律法规规定的其他条件。</w:t>
      </w:r>
    </w:p>
    <w:p w14:paraId="277B2695">
      <w:pPr>
        <w:pStyle w:val="191"/>
        <w:numPr>
          <w:ilvl w:val="0"/>
          <w:numId w:val="0"/>
        </w:numPr>
        <w:spacing w:before="156" w:after="156" w:line="360" w:lineRule="auto"/>
        <w:rPr>
          <w:rFonts w:hint="eastAsia"/>
          <w:color w:val="auto"/>
          <w:highlight w:val="none"/>
        </w:rPr>
      </w:pPr>
      <w:r>
        <w:rPr>
          <w:rFonts w:hint="eastAsia"/>
          <w:color w:val="auto"/>
          <w:highlight w:val="none"/>
        </w:rPr>
        <w:t>三、获取招标文件</w:t>
      </w:r>
    </w:p>
    <w:p w14:paraId="78CFF07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rPr>
        <w:t>时间：202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2</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rPr>
        <w:t>日至202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rPr>
        <w:t>月</w:t>
      </w:r>
      <w:r>
        <w:rPr>
          <w:rFonts w:hint="eastAsia" w:ascii="宋体" w:hAnsi="宋体" w:cs="Times New Roman"/>
          <w:color w:val="auto"/>
          <w:sz w:val="24"/>
          <w:highlight w:val="none"/>
          <w:lang w:val="en-US" w:eastAsia="zh-CN"/>
        </w:rPr>
        <w:t>31</w:t>
      </w:r>
      <w:r>
        <w:rPr>
          <w:rFonts w:hint="eastAsia" w:ascii="宋体" w:hAnsi="宋体" w:eastAsia="宋体" w:cs="Times New Roman"/>
          <w:color w:val="auto"/>
          <w:sz w:val="24"/>
          <w:highlight w:val="none"/>
        </w:rPr>
        <w:t>日</w:t>
      </w:r>
      <w:r>
        <w:rPr>
          <w:rFonts w:hint="eastAsia" w:ascii="宋体" w:hAnsi="宋体" w:eastAsia="宋体" w:cs="Times New Roman"/>
          <w:color w:val="auto"/>
          <w:sz w:val="24"/>
          <w:highlight w:val="none"/>
          <w:lang w:val="en-US" w:eastAsia="zh-CN"/>
        </w:rPr>
        <w:t>23</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59</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59</w:t>
      </w:r>
      <w:r>
        <w:rPr>
          <w:rFonts w:hint="eastAsia" w:ascii="宋体" w:hAnsi="宋体" w:eastAsia="宋体" w:cs="Times New Roman"/>
          <w:color w:val="auto"/>
          <w:sz w:val="24"/>
          <w:highlight w:val="none"/>
        </w:rPr>
        <w:t>止（北京时间）</w:t>
      </w:r>
    </w:p>
    <w:p w14:paraId="6674F95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2.方式：在“江苏政府采购网”自行免费下载招标文件。</w:t>
      </w:r>
    </w:p>
    <w:p w14:paraId="57D5A948">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潜在供应商访问电子招标投标交易平台的网络地址和方法：</w:t>
      </w:r>
    </w:p>
    <w:p w14:paraId="0E52D91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①登录http://jszfcg.jsczt.cn/ ，或进入江苏政府采购网，点击“苏采云”进入系统。</w:t>
      </w:r>
    </w:p>
    <w:p w14:paraId="21204D7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p>
    <w:p w14:paraId="37B9A57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③潜在供应商访问“苏采云”系统的网络地址和方法：“苏采云”系统的网址:http://jszfcg.jsczt.cn/。</w:t>
      </w:r>
    </w:p>
    <w:p w14:paraId="5DFB0E7B">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550F429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⑤招标文件(后缀名为“.kedt”)、供应商操作手册及政府采购客户端工具可通过“苏采云”系统--已报名项目--报名详情页面内相应链接进行下载。</w:t>
      </w:r>
    </w:p>
    <w:p w14:paraId="367E828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⑥招标代理机构(采购代理机构)将数据电文形式的招标文件加载至“苏采云”系统，供潜在供应商下载或者查阅。</w:t>
      </w:r>
    </w:p>
    <w:p w14:paraId="0B6EE63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⑦请潜在投标单位提前安装相应的控件(详见《江苏省政府采购管理交易系统(苏采云)供应商操作手册</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)并使用谷歌浏览器登录“苏采云”系统参与不见面开评标。</w:t>
      </w:r>
    </w:p>
    <w:p w14:paraId="2BD20639">
      <w:pPr>
        <w:pStyle w:val="191"/>
        <w:numPr>
          <w:ilvl w:val="0"/>
          <w:numId w:val="0"/>
        </w:numPr>
        <w:spacing w:before="156" w:after="156" w:line="360" w:lineRule="auto"/>
        <w:rPr>
          <w:rFonts w:hint="eastAsia"/>
          <w:color w:val="auto"/>
          <w:highlight w:val="none"/>
        </w:rPr>
      </w:pPr>
      <w:r>
        <w:rPr>
          <w:rFonts w:hint="eastAsia"/>
          <w:color w:val="auto"/>
          <w:highlight w:val="none"/>
        </w:rPr>
        <w:t>四、提交投标文件截止时间、开标时间和地点</w:t>
      </w:r>
    </w:p>
    <w:p w14:paraId="0272C652">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投标文件接收（上传）截止时间：202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rPr>
        <w:t>年</w:t>
      </w:r>
      <w:r>
        <w:rPr>
          <w:rFonts w:hint="eastAsia" w:ascii="宋体" w:hAnsi="宋体" w:eastAsia="宋体" w:cs="Times New Roman"/>
          <w:color w:val="auto"/>
          <w:sz w:val="24"/>
          <w:highlight w:val="none"/>
          <w:lang w:val="en-US" w:eastAsia="zh-CN"/>
        </w:rPr>
        <w:t>8</w:t>
      </w:r>
      <w:r>
        <w:rPr>
          <w:rFonts w:hint="eastAsia" w:ascii="宋体" w:hAnsi="宋体" w:eastAsia="宋体" w:cs="Times New Roman"/>
          <w:color w:val="auto"/>
          <w:sz w:val="24"/>
          <w:highlight w:val="none"/>
        </w:rPr>
        <w:t>月</w:t>
      </w: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rPr>
        <w:t>日上午</w:t>
      </w:r>
      <w:r>
        <w:rPr>
          <w:rFonts w:hint="eastAsia" w:ascii="宋体" w:hAnsi="宋体" w:eastAsia="宋体" w:cs="Times New Roman"/>
          <w:color w:val="auto"/>
          <w:sz w:val="24"/>
          <w:highlight w:val="none"/>
          <w:lang w:val="en-US" w:eastAsia="zh-CN"/>
        </w:rPr>
        <w:t>9</w:t>
      </w:r>
      <w:r>
        <w:rPr>
          <w:rFonts w:hint="eastAsia" w:ascii="宋体" w:hAnsi="宋体" w:eastAsia="宋体" w:cs="Times New Roman"/>
          <w:color w:val="auto"/>
          <w:sz w:val="24"/>
          <w:highlight w:val="none"/>
        </w:rPr>
        <w:t>:00:00（北京时间）</w:t>
      </w:r>
    </w:p>
    <w:p w14:paraId="4CF828E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地点：“苏采云”政府采购交易系统网上开标大厅</w:t>
      </w:r>
    </w:p>
    <w:p w14:paraId="33506574">
      <w:pPr>
        <w:pStyle w:val="191"/>
        <w:numPr>
          <w:ilvl w:val="0"/>
          <w:numId w:val="0"/>
        </w:numPr>
        <w:spacing w:before="156" w:after="156" w:line="360" w:lineRule="auto"/>
        <w:rPr>
          <w:rFonts w:hint="eastAsia"/>
          <w:color w:val="auto"/>
          <w:highlight w:val="none"/>
        </w:rPr>
      </w:pPr>
      <w:r>
        <w:rPr>
          <w:rFonts w:hint="eastAsia"/>
          <w:color w:val="auto"/>
          <w:highlight w:val="none"/>
        </w:rPr>
        <w:t>五、公告期限</w:t>
      </w:r>
    </w:p>
    <w:p w14:paraId="107B7B46">
      <w:pPr>
        <w:spacing w:line="360" w:lineRule="auto"/>
        <w:ind w:firstLine="480"/>
        <w:rPr>
          <w:rFonts w:ascii="宋体" w:hAnsi="宋体"/>
          <w:color w:val="auto"/>
          <w:sz w:val="24"/>
          <w:highlight w:val="none"/>
        </w:rPr>
      </w:pPr>
      <w:r>
        <w:rPr>
          <w:rFonts w:hint="eastAsia" w:ascii="宋体" w:hAnsi="宋体"/>
          <w:color w:val="auto"/>
          <w:sz w:val="24"/>
          <w:highlight w:val="none"/>
        </w:rPr>
        <w:t>自本公告发布之日起5个工作日。</w:t>
      </w:r>
    </w:p>
    <w:p w14:paraId="5C5C050D">
      <w:pPr>
        <w:pStyle w:val="191"/>
        <w:numPr>
          <w:ilvl w:val="0"/>
          <w:numId w:val="0"/>
        </w:numPr>
        <w:spacing w:before="156" w:after="156" w:line="360" w:lineRule="auto"/>
        <w:rPr>
          <w:rFonts w:hint="eastAsia"/>
          <w:color w:val="auto"/>
          <w:highlight w:val="none"/>
        </w:rPr>
      </w:pPr>
      <w:r>
        <w:rPr>
          <w:rFonts w:hint="eastAsia"/>
          <w:color w:val="auto"/>
          <w:highlight w:val="none"/>
        </w:rPr>
        <w:t>六、其他补充事宜</w:t>
      </w:r>
    </w:p>
    <w:p w14:paraId="4C5B0CDD">
      <w:pP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本</w:t>
      </w:r>
      <w:r>
        <w:rPr>
          <w:rFonts w:hint="eastAsia" w:ascii="宋体" w:hAnsi="宋体"/>
          <w:color w:val="auto"/>
          <w:sz w:val="24"/>
          <w:highlight w:val="none"/>
        </w:rPr>
        <w:t>项目</w:t>
      </w:r>
      <w:r>
        <w:rPr>
          <w:rFonts w:ascii="宋体" w:hAnsi="宋体"/>
          <w:color w:val="auto"/>
          <w:sz w:val="24"/>
          <w:highlight w:val="none"/>
        </w:rPr>
        <w:t>不收取投标保证金。</w:t>
      </w:r>
    </w:p>
    <w:p w14:paraId="49CDA80D">
      <w:pPr>
        <w:spacing w:line="360" w:lineRule="auto"/>
        <w:ind w:firstLine="480"/>
        <w:rPr>
          <w:rFonts w:hint="eastAsia" w:ascii="宋体" w:hAnsi="宋体"/>
          <w:color w:val="auto"/>
          <w:sz w:val="24"/>
          <w:highlight w:val="none"/>
        </w:rPr>
      </w:pPr>
      <w:r>
        <w:rPr>
          <w:rFonts w:hint="eastAsia" w:ascii="宋体" w:hAnsi="宋体"/>
          <w:color w:val="auto"/>
          <w:sz w:val="24"/>
          <w:highlight w:val="none"/>
        </w:rPr>
        <w:t>2.本招标文件中标注★的款项为实质性响应要求和条件，如不满足将按无效响应处理。</w:t>
      </w:r>
    </w:p>
    <w:p w14:paraId="3846D527">
      <w:pPr>
        <w:spacing w:line="360" w:lineRule="auto"/>
        <w:ind w:firstLine="480"/>
        <w:rPr>
          <w:rFonts w:ascii="宋体" w:hAnsi="宋体"/>
          <w:color w:val="auto"/>
          <w:sz w:val="24"/>
          <w:highlight w:val="none"/>
        </w:rPr>
      </w:pPr>
      <w:r>
        <w:rPr>
          <w:rFonts w:hint="eastAsia" w:ascii="宋体" w:hAnsi="宋体"/>
          <w:color w:val="auto"/>
          <w:sz w:val="24"/>
          <w:highlight w:val="none"/>
        </w:rPr>
        <w:t>3.无论出于何种原因，采购人在采购活动开始前可对采购文件进行修改、补充或变更，其内容作为采购文件的重要组成部分，请各供应商关注连云港市政府</w:t>
      </w:r>
      <w:bookmarkStart w:id="145" w:name="_GoBack"/>
      <w:bookmarkEnd w:id="145"/>
      <w:r>
        <w:rPr>
          <w:rFonts w:hint="eastAsia" w:ascii="宋体" w:hAnsi="宋体"/>
          <w:color w:val="auto"/>
          <w:sz w:val="24"/>
          <w:highlight w:val="none"/>
        </w:rPr>
        <w:t>采购交易平台网站。若因供应商自身原因未及时关注本项目有关修改、补充或变更信息，导致投标文件编制或提交失误，由此造成的一切损失由供应商自行承担。</w:t>
      </w:r>
    </w:p>
    <w:p w14:paraId="2FCA8D2A">
      <w:pPr>
        <w:pStyle w:val="191"/>
        <w:numPr>
          <w:ilvl w:val="0"/>
          <w:numId w:val="0"/>
        </w:numPr>
        <w:spacing w:before="156" w:after="156" w:line="360" w:lineRule="auto"/>
        <w:rPr>
          <w:color w:val="auto"/>
          <w:highlight w:val="none"/>
        </w:rPr>
      </w:pPr>
      <w:r>
        <w:rPr>
          <w:rFonts w:hint="eastAsia"/>
          <w:color w:val="auto"/>
          <w:highlight w:val="none"/>
        </w:rPr>
        <w:t>七、对本次招标提出询问，请按以下方式联系</w:t>
      </w:r>
    </w:p>
    <w:p w14:paraId="5FC50EF4">
      <w:pPr>
        <w:spacing w:line="360" w:lineRule="auto"/>
        <w:ind w:firstLine="480"/>
        <w:rPr>
          <w:rFonts w:ascii="宋体" w:hAnsi="宋体"/>
          <w:color w:val="auto"/>
          <w:sz w:val="24"/>
          <w:highlight w:val="none"/>
        </w:rPr>
      </w:pPr>
      <w:r>
        <w:rPr>
          <w:rFonts w:hint="eastAsia" w:ascii="宋体" w:hAnsi="宋体"/>
          <w:color w:val="auto"/>
          <w:sz w:val="24"/>
          <w:highlight w:val="none"/>
        </w:rPr>
        <w:t>1.采购人信息</w:t>
      </w:r>
    </w:p>
    <w:p w14:paraId="018E7AC7">
      <w:pPr>
        <w:spacing w:line="360" w:lineRule="auto"/>
        <w:ind w:firstLine="480"/>
        <w:rPr>
          <w:rFonts w:hint="eastAsia" w:hAnsi="宋体" w:eastAsia="宋体" w:cs="宋体"/>
          <w:color w:val="auto"/>
          <w:sz w:val="24"/>
          <w:highlight w:val="none"/>
          <w:lang w:eastAsia="zh-CN"/>
        </w:rPr>
      </w:pPr>
      <w:r>
        <w:rPr>
          <w:rFonts w:hint="eastAsia" w:ascii="宋体" w:hAnsi="宋体"/>
          <w:color w:val="auto"/>
          <w:sz w:val="24"/>
          <w:highlight w:val="none"/>
        </w:rPr>
        <w:t>名    称：</w:t>
      </w:r>
      <w:r>
        <w:rPr>
          <w:rFonts w:hint="eastAsia" w:hAnsi="宋体" w:cs="宋体"/>
          <w:color w:val="auto"/>
          <w:sz w:val="24"/>
          <w:highlight w:val="none"/>
          <w:lang w:eastAsia="zh-CN"/>
        </w:rPr>
        <w:t>国家东中西区域合作示范区（连云港徐圩新区）应急管理局</w:t>
      </w:r>
    </w:p>
    <w:p w14:paraId="533EA0D9">
      <w:pPr>
        <w:spacing w:line="360" w:lineRule="auto"/>
        <w:ind w:firstLine="480"/>
        <w:rPr>
          <w:rFonts w:ascii="宋体" w:hAnsi="宋体" w:eastAsia="宋体"/>
          <w:color w:val="auto"/>
          <w:sz w:val="24"/>
          <w:highlight w:val="none"/>
          <w:lang w:val="en-US" w:eastAsia="zh-CN"/>
        </w:rPr>
      </w:pPr>
      <w:r>
        <w:rPr>
          <w:rFonts w:hint="eastAsia" w:ascii="宋体" w:hAnsi="宋体"/>
          <w:color w:val="auto"/>
          <w:sz w:val="24"/>
          <w:highlight w:val="none"/>
        </w:rPr>
        <w:t>联系方式：</w:t>
      </w:r>
      <w:r>
        <w:rPr>
          <w:rFonts w:ascii="Times New Roman" w:hAnsi="Times New Roman" w:cs="Times New Roman"/>
          <w:color w:val="auto"/>
          <w:sz w:val="24"/>
          <w:highlight w:val="none"/>
          <w:lang w:val="en-US" w:eastAsia="zh-CN"/>
        </w:rPr>
        <w:t>槐</w:t>
      </w:r>
      <w:r>
        <w:rPr>
          <w:rFonts w:ascii="Times New Roman" w:hAnsi="Times New Roman" w:cs="Times New Roman"/>
          <w:color w:val="auto"/>
          <w:sz w:val="24"/>
          <w:highlight w:val="none"/>
          <w:lang w:eastAsia="zh-CN"/>
        </w:rPr>
        <w:t>工</w:t>
      </w:r>
      <w:r>
        <w:rPr>
          <w:rFonts w:ascii="Times New Roman" w:hAnsi="Times New Roman" w:cs="Times New Roman"/>
          <w:color w:val="auto"/>
          <w:sz w:val="24"/>
          <w:highlight w:val="none"/>
          <w:lang w:val="en-US" w:eastAsia="zh-CN"/>
        </w:rPr>
        <w:t xml:space="preserve"> </w:t>
      </w:r>
      <w:r>
        <w:rPr>
          <w:rFonts w:ascii="Times New Roman" w:hAnsi="Times New Roman" w:cs="Times New Roman"/>
          <w:color w:val="auto"/>
          <w:sz w:val="24"/>
          <w:highlight w:val="none"/>
          <w:lang w:eastAsia="zh-CN"/>
        </w:rPr>
        <w:t>0518-82250110</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val="en-US" w:eastAsia="zh-CN"/>
        </w:rPr>
        <w:t>0518-80270305</w:t>
      </w:r>
    </w:p>
    <w:p w14:paraId="059F6D61">
      <w:pPr>
        <w:spacing w:line="360" w:lineRule="auto"/>
        <w:ind w:firstLine="480"/>
        <w:rPr>
          <w:rFonts w:ascii="宋体" w:hAnsi="宋体"/>
          <w:color w:val="auto"/>
          <w:sz w:val="24"/>
          <w:highlight w:val="none"/>
        </w:rPr>
      </w:pPr>
      <w:r>
        <w:rPr>
          <w:rFonts w:hint="eastAsia" w:ascii="宋体" w:hAnsi="宋体"/>
          <w:color w:val="auto"/>
          <w:sz w:val="24"/>
          <w:highlight w:val="none"/>
        </w:rPr>
        <w:t>2.采购代理机构信息</w:t>
      </w:r>
    </w:p>
    <w:p w14:paraId="35423D96">
      <w:pPr>
        <w:spacing w:line="360" w:lineRule="auto"/>
        <w:ind w:firstLine="480"/>
        <w:rPr>
          <w:rFonts w:hint="eastAsia" w:ascii="宋体" w:hAnsi="宋体"/>
          <w:color w:val="auto"/>
          <w:sz w:val="24"/>
          <w:highlight w:val="none"/>
        </w:rPr>
      </w:pPr>
      <w:r>
        <w:rPr>
          <w:rFonts w:hint="eastAsia" w:ascii="宋体" w:hAnsi="宋体"/>
          <w:color w:val="auto"/>
          <w:sz w:val="24"/>
          <w:highlight w:val="none"/>
        </w:rPr>
        <w:t>名    称：江苏万达工程造价事务所有限公司</w:t>
      </w:r>
    </w:p>
    <w:p w14:paraId="35530C09">
      <w:pPr>
        <w:spacing w:line="360" w:lineRule="auto"/>
        <w:ind w:firstLine="480"/>
        <w:rPr>
          <w:rFonts w:hint="eastAsia" w:ascii="宋体" w:hAnsi="宋体" w:eastAsia="宋体"/>
          <w:color w:val="auto"/>
          <w:sz w:val="24"/>
          <w:highlight w:val="none"/>
          <w:lang w:eastAsia="zh-CN"/>
        </w:rPr>
      </w:pPr>
      <w:r>
        <w:rPr>
          <w:rFonts w:hint="eastAsia" w:ascii="宋体" w:hAnsi="宋体"/>
          <w:color w:val="auto"/>
          <w:sz w:val="24"/>
          <w:highlight w:val="none"/>
        </w:rPr>
        <w:t>地    址：连云港市海州区朝阳东路凤凰国际大厦</w:t>
      </w:r>
      <w:r>
        <w:rPr>
          <w:rFonts w:hint="eastAsia" w:ascii="宋体" w:hAnsi="宋体"/>
          <w:color w:val="auto"/>
          <w:sz w:val="24"/>
          <w:highlight w:val="none"/>
          <w:lang w:val="en-US" w:eastAsia="zh-CN"/>
        </w:rPr>
        <w:t>1</w:t>
      </w:r>
      <w:r>
        <w:rPr>
          <w:rFonts w:hint="eastAsia" w:ascii="宋体" w:hAnsi="宋体"/>
          <w:color w:val="auto"/>
          <w:sz w:val="24"/>
          <w:highlight w:val="none"/>
        </w:rPr>
        <w:t>9</w:t>
      </w:r>
      <w:r>
        <w:rPr>
          <w:rFonts w:hint="eastAsia" w:ascii="宋体" w:hAnsi="宋体"/>
          <w:color w:val="auto"/>
          <w:sz w:val="24"/>
          <w:highlight w:val="none"/>
          <w:lang w:eastAsia="zh-CN"/>
        </w:rPr>
        <w:t>楼</w:t>
      </w:r>
    </w:p>
    <w:p w14:paraId="1AB54E67">
      <w:pPr>
        <w:spacing w:line="360" w:lineRule="auto"/>
        <w:ind w:firstLine="480"/>
        <w:rPr>
          <w:rFonts w:hint="eastAsia" w:ascii="宋体" w:hAnsi="宋体" w:eastAsia="宋体"/>
          <w:color w:val="auto"/>
          <w:sz w:val="24"/>
          <w:highlight w:val="none"/>
          <w:lang w:eastAsia="zh-CN"/>
        </w:rPr>
      </w:pPr>
      <w:r>
        <w:rPr>
          <w:rFonts w:hint="eastAsia" w:ascii="宋体" w:hAnsi="宋体"/>
          <w:color w:val="auto"/>
          <w:sz w:val="24"/>
          <w:highlight w:val="none"/>
        </w:rPr>
        <w:t>联系方式：刘工</w:t>
      </w:r>
      <w:r>
        <w:rPr>
          <w:rFonts w:hint="eastAsia" w:ascii="宋体" w:hAnsi="宋体"/>
          <w:color w:val="auto"/>
          <w:sz w:val="24"/>
          <w:highlight w:val="none"/>
          <w:lang w:eastAsia="zh-CN"/>
        </w:rPr>
        <w:t>、狄工</w:t>
      </w:r>
      <w:r>
        <w:rPr>
          <w:rFonts w:hint="eastAsia" w:ascii="宋体" w:hAnsi="宋体"/>
          <w:color w:val="auto"/>
          <w:sz w:val="24"/>
          <w:highlight w:val="none"/>
        </w:rPr>
        <w:t xml:space="preserve"> </w:t>
      </w:r>
      <w:r>
        <w:rPr>
          <w:rFonts w:hint="eastAsia" w:ascii="宋体" w:hAnsi="宋体"/>
          <w:color w:val="auto"/>
          <w:sz w:val="24"/>
          <w:highlight w:val="none"/>
          <w:lang w:eastAsia="zh-CN"/>
        </w:rPr>
        <w:t>0518-85838346</w:t>
      </w:r>
    </w:p>
    <w:p w14:paraId="6A3F9584">
      <w:pPr>
        <w:spacing w:line="360" w:lineRule="auto"/>
        <w:ind w:firstLine="480"/>
        <w:rPr>
          <w:rFonts w:hint="eastAsia" w:ascii="宋体" w:hAnsi="宋体"/>
          <w:color w:val="auto"/>
          <w:sz w:val="24"/>
          <w:highlight w:val="none"/>
        </w:rPr>
      </w:pPr>
      <w:r>
        <w:rPr>
          <w:rFonts w:hint="eastAsia" w:ascii="宋体" w:hAnsi="宋体"/>
          <w:color w:val="auto"/>
          <w:sz w:val="24"/>
          <w:highlight w:val="none"/>
        </w:rPr>
        <w:t>3.项目联系方式</w:t>
      </w:r>
    </w:p>
    <w:p w14:paraId="133F401D">
      <w:pPr>
        <w:spacing w:line="360" w:lineRule="auto"/>
        <w:ind w:firstLine="480"/>
        <w:rPr>
          <w:rFonts w:ascii="宋体" w:hAnsi="宋体"/>
          <w:color w:val="auto"/>
          <w:sz w:val="24"/>
          <w:highlight w:val="none"/>
        </w:rPr>
      </w:pPr>
      <w:r>
        <w:rPr>
          <w:rFonts w:hint="eastAsia" w:ascii="宋体" w:hAnsi="宋体"/>
          <w:color w:val="auto"/>
          <w:sz w:val="24"/>
          <w:highlight w:val="none"/>
        </w:rPr>
        <w:t>项目联系人：刘工</w:t>
      </w:r>
      <w:r>
        <w:rPr>
          <w:rFonts w:hint="eastAsia" w:ascii="宋体" w:hAnsi="宋体"/>
          <w:color w:val="auto"/>
          <w:sz w:val="24"/>
          <w:highlight w:val="none"/>
          <w:lang w:eastAsia="zh-CN"/>
        </w:rPr>
        <w:t>、狄工</w:t>
      </w:r>
    </w:p>
    <w:p w14:paraId="3C6585FA">
      <w:pPr>
        <w:spacing w:line="360" w:lineRule="auto"/>
        <w:ind w:firstLine="480"/>
        <w:rPr>
          <w:rFonts w:hint="eastAsia" w:ascii="宋体" w:hAnsi="宋体" w:eastAsia="宋体"/>
          <w:color w:val="auto"/>
          <w:sz w:val="24"/>
          <w:highlight w:val="none"/>
          <w:lang w:eastAsia="zh-CN"/>
        </w:rPr>
      </w:pPr>
      <w:r>
        <w:rPr>
          <w:rFonts w:hint="eastAsia" w:ascii="宋体" w:hAnsi="宋体"/>
          <w:color w:val="auto"/>
          <w:sz w:val="24"/>
          <w:highlight w:val="none"/>
        </w:rPr>
        <w:t>电    话：</w:t>
      </w:r>
      <w:r>
        <w:rPr>
          <w:rFonts w:hint="eastAsia" w:ascii="宋体" w:hAnsi="宋体"/>
          <w:color w:val="auto"/>
          <w:sz w:val="24"/>
          <w:highlight w:val="none"/>
          <w:lang w:eastAsia="zh-CN"/>
        </w:rPr>
        <w:t>0518-85838346</w:t>
      </w:r>
    </w:p>
    <w:p w14:paraId="0B15A2B3">
      <w:pPr>
        <w:pStyle w:val="191"/>
        <w:numPr>
          <w:ilvl w:val="0"/>
          <w:numId w:val="0"/>
        </w:numPr>
        <w:spacing w:before="156" w:after="156" w:line="360" w:lineRule="auto"/>
        <w:rPr>
          <w:rFonts w:hint="eastAsia"/>
          <w:color w:val="auto"/>
          <w:highlight w:val="none"/>
        </w:rPr>
      </w:pPr>
      <w:r>
        <w:rPr>
          <w:rFonts w:hint="eastAsia"/>
          <w:color w:val="auto"/>
          <w:highlight w:val="none"/>
        </w:rPr>
        <w:t>八、电子招投标说明</w:t>
      </w:r>
    </w:p>
    <w:p w14:paraId="62E92E83">
      <w:pPr>
        <w:tabs>
          <w:tab w:val="left" w:pos="900"/>
        </w:tabs>
        <w:spacing w:line="560" w:lineRule="exact"/>
        <w:ind w:firstLine="480"/>
        <w:rPr>
          <w:rFonts w:hint="eastAsia" w:ascii="宋体" w:hAnsi="宋体"/>
          <w:bCs/>
          <w:color w:val="auto"/>
          <w:sz w:val="24"/>
          <w:highlight w:val="none"/>
        </w:rPr>
      </w:pPr>
      <w:r>
        <w:rPr>
          <w:rFonts w:ascii="宋体" w:hAnsi="宋体"/>
          <w:color w:val="auto"/>
          <w:sz w:val="24"/>
          <w:highlight w:val="none"/>
        </w:rPr>
        <w:t>1</w:t>
      </w:r>
      <w:r>
        <w:rPr>
          <w:rFonts w:hint="eastAsia" w:ascii="宋体" w:hAnsi="宋体"/>
          <w:color w:val="auto"/>
          <w:sz w:val="24"/>
          <w:highlight w:val="none"/>
        </w:rPr>
        <w:t>.</w:t>
      </w:r>
      <w:r>
        <w:rPr>
          <w:rFonts w:hint="eastAsia" w:ascii="宋体" w:hAnsi="宋体"/>
          <w:bCs/>
          <w:color w:val="auto"/>
          <w:sz w:val="24"/>
          <w:highlight w:val="none"/>
        </w:rPr>
        <w:t xml:space="preserve"> 根据省财政厅《关于更换全省政府采购交易系统CA数字证书和电子签章的通知》（苏财购〔2023〕101号），</w:t>
      </w:r>
      <w:r>
        <w:rPr>
          <w:rFonts w:hint="eastAsia" w:ascii="宋体" w:hAnsi="宋体"/>
          <w:color w:val="auto"/>
          <w:sz w:val="24"/>
          <w:highlight w:val="none"/>
        </w:rPr>
        <w:t>“苏采云”政府采购交易系统（以下简称苏采云系统）</w:t>
      </w:r>
      <w:r>
        <w:rPr>
          <w:rFonts w:hint="eastAsia" w:ascii="宋体" w:hAnsi="宋体"/>
          <w:bCs/>
          <w:color w:val="auto"/>
          <w:sz w:val="24"/>
          <w:highlight w:val="none"/>
        </w:rPr>
        <w:t>的CA数字证书、电子签章已更换为江苏省电子政务证书认证中心CA和方正国际软件（北京）有限公司电子签章。如果投标人通过</w:t>
      </w:r>
      <w:r>
        <w:rPr>
          <w:rFonts w:hint="eastAsia" w:ascii="宋体" w:hAnsi="宋体"/>
          <w:color w:val="auto"/>
          <w:sz w:val="24"/>
          <w:highlight w:val="none"/>
        </w:rPr>
        <w:t>苏采云系统</w:t>
      </w:r>
      <w:r>
        <w:rPr>
          <w:rFonts w:hint="eastAsia" w:ascii="宋体" w:hAnsi="宋体"/>
          <w:bCs/>
          <w:color w:val="auto"/>
          <w:sz w:val="24"/>
          <w:highlight w:val="none"/>
        </w:rPr>
        <w:t>参与政府采购项目，需要更换CA数字证书和电子签章。具体办理指南和操作手册见链接：http://www.ccgp-jiangsu.gov.cn/jiangsu/zlxz/ee/ee3a4bc5a3454aa2b0d9312230633ce9.html。</w:t>
      </w:r>
    </w:p>
    <w:p w14:paraId="26F3556B">
      <w:pPr>
        <w:tabs>
          <w:tab w:val="left" w:pos="900"/>
        </w:tabs>
        <w:spacing w:line="560" w:lineRule="exact"/>
        <w:ind w:firstLine="480"/>
        <w:rPr>
          <w:rFonts w:hint="eastAsia" w:ascii="宋体" w:hAnsi="宋体"/>
          <w:bCs/>
          <w:color w:val="auto"/>
          <w:sz w:val="24"/>
          <w:highlight w:val="none"/>
        </w:rPr>
      </w:pPr>
      <w:r>
        <w:rPr>
          <w:rFonts w:hint="eastAsia" w:ascii="宋体" w:hAnsi="宋体"/>
          <w:bCs/>
          <w:color w:val="auto"/>
          <w:sz w:val="24"/>
          <w:highlight w:val="none"/>
        </w:rPr>
        <w:t>2. 有关本次招标的事项若存在变动或修改，敬请及时关注在“江苏政府采购网”发布的更正公告。</w:t>
      </w:r>
    </w:p>
    <w:p w14:paraId="49E8AEDC">
      <w:pPr>
        <w:spacing w:line="360" w:lineRule="auto"/>
        <w:ind w:right="420" w:firstLine="480"/>
        <w:jc w:val="right"/>
        <w:rPr>
          <w:rFonts w:hint="eastAsia" w:ascii="宋体" w:hAnsi="宋体" w:cs="宋体"/>
          <w:color w:val="auto"/>
          <w:sz w:val="24"/>
          <w:highlight w:val="none"/>
        </w:rPr>
      </w:pPr>
      <w:r>
        <w:rPr>
          <w:rFonts w:hint="eastAsia" w:ascii="宋体" w:hAnsi="宋体" w:cs="宋体"/>
          <w:color w:val="auto"/>
          <w:sz w:val="24"/>
          <w:highlight w:val="none"/>
        </w:rPr>
        <w:t>江苏万达工程造价事务所有限公司</w:t>
      </w:r>
    </w:p>
    <w:p w14:paraId="2724B20D">
      <w:pPr>
        <w:spacing w:line="360" w:lineRule="auto"/>
        <w:ind w:right="630" w:firstLine="480"/>
        <w:jc w:val="right"/>
        <w:rPr>
          <w:rFonts w:hint="eastAsia" w:ascii="宋体" w:hAnsi="宋体" w:cs="宋体"/>
          <w:color w:val="auto"/>
          <w:sz w:val="24"/>
          <w:highlight w:val="none"/>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24</w:t>
      </w:r>
      <w:r>
        <w:rPr>
          <w:rFonts w:hint="eastAsia" w:ascii="宋体" w:hAnsi="宋体" w:cs="宋体"/>
          <w:color w:val="auto"/>
          <w:sz w:val="24"/>
          <w:highlight w:val="none"/>
        </w:rPr>
        <w:t>日</w:t>
      </w:r>
    </w:p>
    <w:p w14:paraId="6D043298">
      <w:pPr>
        <w:pStyle w:val="190"/>
        <w:keepLines/>
        <w:numPr>
          <w:ilvl w:val="0"/>
          <w:numId w:val="0"/>
        </w:numPr>
        <w:spacing w:line="360" w:lineRule="auto"/>
        <w:rPr>
          <w:rFonts w:ascii="宋体" w:hAnsi="宋体" w:eastAsia="宋体"/>
          <w:b/>
          <w:bCs/>
          <w:color w:val="auto"/>
          <w:highlight w:val="none"/>
        </w:rPr>
      </w:pPr>
      <w:r>
        <w:rPr>
          <w:rFonts w:ascii="宋体" w:hAnsi="宋体" w:eastAsia="宋体"/>
          <w:color w:val="auto"/>
          <w:highlight w:val="none"/>
        </w:rPr>
        <w:br w:type="page" w:clear="all"/>
      </w:r>
      <w:bookmarkStart w:id="2" w:name="_Toc58260782"/>
      <w:r>
        <w:rPr>
          <w:rFonts w:hint="eastAsia" w:ascii="Times New Roman" w:hAnsi="宋体" w:eastAsia="黑体"/>
          <w:color w:val="auto"/>
          <w:sz w:val="36"/>
          <w:szCs w:val="20"/>
          <w:highlight w:val="none"/>
        </w:rPr>
        <w:t>第二部分  投标人须知</w:t>
      </w:r>
      <w:bookmarkEnd w:id="2"/>
    </w:p>
    <w:p w14:paraId="0A21C763">
      <w:pPr>
        <w:pStyle w:val="390"/>
        <w:spacing w:before="145" w:after="145" w:line="360" w:lineRule="auto"/>
        <w:ind w:firstLine="498"/>
        <w:rPr>
          <w:rFonts w:hint="eastAsia"/>
          <w:color w:val="auto"/>
          <w:highlight w:val="none"/>
        </w:rPr>
      </w:pPr>
      <w:bookmarkStart w:id="3" w:name="_Toc16938519"/>
      <w:bookmarkStart w:id="4" w:name="_Toc120614214"/>
      <w:bookmarkStart w:id="5" w:name="_Toc20823275"/>
      <w:bookmarkStart w:id="6" w:name="_Toc513029203"/>
      <w:r>
        <w:rPr>
          <w:rFonts w:hint="eastAsia"/>
          <w:color w:val="auto"/>
          <w:highlight w:val="none"/>
        </w:rPr>
        <w:t>一、总则</w:t>
      </w:r>
      <w:bookmarkEnd w:id="3"/>
      <w:bookmarkEnd w:id="4"/>
      <w:bookmarkEnd w:id="5"/>
      <w:bookmarkEnd w:id="6"/>
    </w:p>
    <w:p w14:paraId="69AB00C8">
      <w:pPr>
        <w:pStyle w:val="366"/>
        <w:spacing w:before="0" w:after="0" w:line="240" w:lineRule="auto"/>
        <w:ind w:firstLine="420"/>
        <w:rPr>
          <w:rFonts w:hint="eastAsia"/>
          <w:b w:val="0"/>
          <w:bCs w:val="0"/>
          <w:color w:val="auto"/>
          <w:highlight w:val="none"/>
        </w:rPr>
      </w:pPr>
      <w:bookmarkStart w:id="7" w:name="_Hlt16619475"/>
      <w:bookmarkEnd w:id="7"/>
      <w:bookmarkStart w:id="8" w:name="_Toc458694821"/>
      <w:bookmarkStart w:id="9" w:name="_Toc513029204"/>
      <w:bookmarkStart w:id="10" w:name="_Toc16938520"/>
      <w:bookmarkStart w:id="11" w:name="_Toc20823276"/>
      <w:r>
        <w:rPr>
          <w:rFonts w:hint="eastAsia"/>
          <w:b w:val="0"/>
          <w:bCs w:val="0"/>
          <w:color w:val="auto"/>
          <w:highlight w:val="none"/>
        </w:rPr>
        <w:t>1</w:t>
      </w:r>
      <w:bookmarkEnd w:id="8"/>
      <w:r>
        <w:rPr>
          <w:rFonts w:hint="eastAsia"/>
          <w:b w:val="0"/>
          <w:bCs w:val="0"/>
          <w:color w:val="auto"/>
          <w:highlight w:val="none"/>
        </w:rPr>
        <w:t>、招标方式</w:t>
      </w:r>
      <w:bookmarkEnd w:id="9"/>
      <w:bookmarkEnd w:id="10"/>
      <w:bookmarkEnd w:id="11"/>
    </w:p>
    <w:p w14:paraId="4E122B07">
      <w:pPr>
        <w:spacing w:line="500" w:lineRule="exact"/>
        <w:ind w:firstLine="48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38887455">
      <w:pPr>
        <w:pStyle w:val="366"/>
        <w:spacing w:before="0" w:after="0" w:line="240" w:lineRule="auto"/>
        <w:ind w:firstLine="420"/>
        <w:rPr>
          <w:rFonts w:hint="eastAsia"/>
          <w:b w:val="0"/>
          <w:bCs w:val="0"/>
          <w:color w:val="auto"/>
          <w:highlight w:val="none"/>
        </w:rPr>
      </w:pPr>
      <w:bookmarkStart w:id="12" w:name="_Toc513029205"/>
      <w:bookmarkStart w:id="13" w:name="_Toc16938521"/>
      <w:bookmarkStart w:id="14" w:name="_Toc20823277"/>
      <w:r>
        <w:rPr>
          <w:rFonts w:hint="eastAsia"/>
          <w:b w:val="0"/>
          <w:bCs w:val="0"/>
          <w:color w:val="auto"/>
          <w:highlight w:val="none"/>
        </w:rPr>
        <w:t>2、合格的投标人</w:t>
      </w:r>
      <w:bookmarkEnd w:id="12"/>
      <w:bookmarkEnd w:id="13"/>
      <w:bookmarkEnd w:id="14"/>
    </w:p>
    <w:p w14:paraId="2C588A82">
      <w:pPr>
        <w:spacing w:line="400" w:lineRule="exact"/>
        <w:ind w:firstLine="480"/>
        <w:rPr>
          <w:rFonts w:hint="eastAsia" w:ascii="宋体" w:hAnsi="宋体"/>
          <w:color w:val="auto"/>
          <w:sz w:val="24"/>
          <w:highlight w:val="none"/>
        </w:rPr>
      </w:pPr>
      <w:r>
        <w:rPr>
          <w:rFonts w:hint="eastAsia" w:ascii="宋体" w:hAnsi="宋体"/>
          <w:color w:val="auto"/>
          <w:sz w:val="24"/>
          <w:highlight w:val="none"/>
        </w:rPr>
        <w:t>2.1满足招标公告中供应商的资格要求的规定。</w:t>
      </w:r>
    </w:p>
    <w:p w14:paraId="53B87EEE">
      <w:pPr>
        <w:spacing w:line="400" w:lineRule="exact"/>
        <w:ind w:firstLine="480"/>
        <w:rPr>
          <w:rFonts w:hint="eastAsia" w:ascii="宋体" w:hAnsi="宋体"/>
          <w:color w:val="auto"/>
          <w:sz w:val="24"/>
          <w:highlight w:val="none"/>
        </w:rPr>
      </w:pPr>
      <w:r>
        <w:rPr>
          <w:rFonts w:hint="eastAsia" w:ascii="宋体" w:hAnsi="宋体"/>
          <w:color w:val="auto"/>
          <w:sz w:val="24"/>
          <w:highlight w:val="none"/>
        </w:rPr>
        <w:t>2.2 满足本文件实质性要求和条件的规定。</w:t>
      </w:r>
    </w:p>
    <w:p w14:paraId="0562356F">
      <w:pPr>
        <w:pStyle w:val="366"/>
        <w:spacing w:before="0" w:after="0" w:line="240" w:lineRule="auto"/>
        <w:ind w:firstLine="420"/>
        <w:rPr>
          <w:rFonts w:hint="eastAsia"/>
          <w:b w:val="0"/>
          <w:bCs w:val="0"/>
          <w:color w:val="auto"/>
          <w:highlight w:val="none"/>
        </w:rPr>
      </w:pPr>
      <w:bookmarkStart w:id="15" w:name="_Toc20823278"/>
      <w:bookmarkStart w:id="16" w:name="_Toc16938522"/>
      <w:bookmarkStart w:id="17" w:name="_Toc513029206"/>
      <w:r>
        <w:rPr>
          <w:rFonts w:hint="eastAsia"/>
          <w:b w:val="0"/>
          <w:bCs w:val="0"/>
          <w:color w:val="auto"/>
          <w:highlight w:val="none"/>
        </w:rPr>
        <w:t>3、适用法律</w:t>
      </w:r>
      <w:bookmarkEnd w:id="15"/>
      <w:bookmarkEnd w:id="16"/>
      <w:bookmarkEnd w:id="17"/>
    </w:p>
    <w:p w14:paraId="7BEE3D21">
      <w:pPr>
        <w:spacing w:line="400" w:lineRule="exact"/>
        <w:ind w:firstLine="42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020609D8">
      <w:pPr>
        <w:pStyle w:val="366"/>
        <w:spacing w:before="0" w:after="0" w:line="240" w:lineRule="auto"/>
        <w:ind w:firstLine="420"/>
        <w:rPr>
          <w:rFonts w:hint="eastAsia"/>
          <w:b w:val="0"/>
          <w:bCs w:val="0"/>
          <w:color w:val="auto"/>
          <w:highlight w:val="none"/>
        </w:rPr>
      </w:pPr>
      <w:bookmarkStart w:id="18" w:name="_Toc462564067"/>
      <w:bookmarkStart w:id="19" w:name="_Toc513029207"/>
      <w:bookmarkStart w:id="20" w:name="_Toc20823279"/>
      <w:bookmarkStart w:id="21" w:name="_Toc16938523"/>
      <w:r>
        <w:rPr>
          <w:rFonts w:hint="eastAsia"/>
          <w:b w:val="0"/>
          <w:bCs w:val="0"/>
          <w:color w:val="auto"/>
          <w:highlight w:val="none"/>
        </w:rPr>
        <w:t>4、投标费用</w:t>
      </w:r>
      <w:bookmarkEnd w:id="18"/>
      <w:bookmarkEnd w:id="19"/>
      <w:bookmarkEnd w:id="20"/>
      <w:bookmarkEnd w:id="21"/>
    </w:p>
    <w:p w14:paraId="5C7B7297">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 xml:space="preserve"> 投标人应自行承担所有与参加投标有关的费用，无论投标过程中的做法和结果如何，江苏万达工程造价事务所有限公司（以下简称代理公司）在任何情况下均无义务和责任承担这些费用。</w:t>
      </w:r>
    </w:p>
    <w:p w14:paraId="54F7FB92">
      <w:pPr>
        <w:spacing w:line="500" w:lineRule="exact"/>
        <w:ind w:firstLine="480"/>
        <w:rPr>
          <w:rFonts w:hint="eastAsia" w:ascii="宋体" w:hAnsi="宋体"/>
          <w:color w:val="auto"/>
          <w:sz w:val="24"/>
          <w:highlight w:val="none"/>
        </w:rPr>
      </w:pPr>
      <w:r>
        <w:rPr>
          <w:rFonts w:hint="eastAsia" w:ascii="宋体" w:hAnsi="宋体"/>
          <w:color w:val="auto"/>
          <w:sz w:val="24"/>
          <w:highlight w:val="none"/>
        </w:rPr>
        <w:t>4.2</w:t>
      </w:r>
      <w:r>
        <w:rPr>
          <w:rFonts w:hint="eastAsia" w:ascii="宋体" w:hAnsi="宋体"/>
          <w:color w:val="auto"/>
          <w:sz w:val="24"/>
          <w:highlight w:val="none"/>
          <w:lang w:val="en-US" w:eastAsia="zh-CN"/>
        </w:rPr>
        <w:t xml:space="preserve"> </w:t>
      </w:r>
      <w:r>
        <w:rPr>
          <w:rFonts w:hint="eastAsia" w:ascii="宋体" w:hAnsi="宋体" w:eastAsia="宋体" w:cs="Times New Roman"/>
          <w:color w:val="auto"/>
          <w:sz w:val="24"/>
          <w:highlight w:val="none"/>
        </w:rPr>
        <w:t>中标服务费按</w:t>
      </w:r>
      <w:r>
        <w:rPr>
          <w:rFonts w:hint="eastAsia" w:ascii="宋体" w:hAnsi="宋体" w:eastAsia="宋体" w:cs="Times New Roman"/>
          <w:color w:val="auto"/>
          <w:sz w:val="24"/>
          <w:highlight w:val="none"/>
          <w:lang w:val="en-US" w:eastAsia="zh-CN"/>
        </w:rPr>
        <w:t>关于印发</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江苏省招标代理服务收费的指导意见</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的通知（苏招协[2022]002）</w:t>
      </w:r>
      <w:r>
        <w:rPr>
          <w:rFonts w:hint="eastAsia" w:ascii="宋体" w:hAnsi="宋体" w:eastAsia="宋体" w:cs="Times New Roman"/>
          <w:color w:val="auto"/>
          <w:sz w:val="24"/>
          <w:highlight w:val="none"/>
        </w:rPr>
        <w:t>计价标准</w:t>
      </w:r>
      <w:r>
        <w:rPr>
          <w:rFonts w:hint="eastAsia" w:ascii="宋体" w:hAnsi="宋体" w:eastAsia="宋体" w:cs="Times New Roman"/>
          <w:color w:val="auto"/>
          <w:sz w:val="24"/>
          <w:highlight w:val="none"/>
          <w:lang w:val="en-US" w:eastAsia="zh-CN"/>
        </w:rPr>
        <w:t>的50%收取。</w:t>
      </w:r>
      <w:r>
        <w:rPr>
          <w:rFonts w:hint="eastAsia" w:ascii="宋体" w:hAnsi="宋体" w:cs="宋体"/>
          <w:color w:val="auto"/>
          <w:sz w:val="24"/>
          <w:highlight w:val="none"/>
        </w:rPr>
        <w:t>由中标人领取中标通知书时一次性付清并承担。投标单位在投标报价时应综合考虑以上费用，但不得单列。</w:t>
      </w:r>
    </w:p>
    <w:p w14:paraId="66D9D64F">
      <w:pPr>
        <w:pStyle w:val="366"/>
        <w:spacing w:before="0" w:after="0" w:line="480" w:lineRule="exact"/>
        <w:ind w:firstLine="602"/>
        <w:rPr>
          <w:rFonts w:hint="eastAsia" w:ascii="黑体" w:hAnsi="宋体"/>
          <w:b w:val="0"/>
          <w:bCs w:val="0"/>
          <w:color w:val="auto"/>
          <w:highlight w:val="none"/>
        </w:rPr>
      </w:pPr>
      <w:r>
        <w:rPr>
          <w:rFonts w:hint="eastAsia" w:ascii="宋体" w:hAnsi="宋体"/>
          <w:color w:val="auto"/>
          <w:sz w:val="30"/>
          <w:highlight w:val="none"/>
        </w:rPr>
        <w:t>5、</w:t>
      </w:r>
      <w:r>
        <w:rPr>
          <w:rFonts w:hint="eastAsia" w:ascii="黑体" w:hAnsi="宋体"/>
          <w:b w:val="0"/>
          <w:bCs w:val="0"/>
          <w:color w:val="auto"/>
          <w:highlight w:val="none"/>
        </w:rPr>
        <w:t>招标文件的约束力</w:t>
      </w:r>
    </w:p>
    <w:p w14:paraId="0D902426">
      <w:pPr>
        <w:spacing w:line="480" w:lineRule="exact"/>
        <w:ind w:firstLine="480"/>
        <w:rPr>
          <w:rFonts w:hint="eastAsia" w:ascii="宋体" w:hAnsi="宋体"/>
          <w:color w:val="auto"/>
          <w:sz w:val="24"/>
          <w:highlight w:val="none"/>
        </w:rPr>
      </w:pPr>
      <w:r>
        <w:rPr>
          <w:rFonts w:hint="eastAsia" w:ascii="宋体" w:hAnsi="宋体"/>
          <w:bCs/>
          <w:color w:val="auto"/>
          <w:sz w:val="24"/>
          <w:highlight w:val="none"/>
        </w:rPr>
        <w:t>5.1</w:t>
      </w:r>
      <w:r>
        <w:rPr>
          <w:rFonts w:hint="eastAsia" w:ascii="宋体" w:hAnsi="宋体"/>
          <w:color w:val="auto"/>
          <w:sz w:val="24"/>
          <w:highlight w:val="none"/>
        </w:rPr>
        <w:t xml:space="preserve"> 投标人一旦参加本项目采购活动，即被认为接受了本招标文件的规定和约束。</w:t>
      </w:r>
    </w:p>
    <w:p w14:paraId="2E1BE91A">
      <w:pPr>
        <w:pStyle w:val="390"/>
        <w:spacing w:before="145" w:after="145" w:line="360" w:lineRule="auto"/>
        <w:ind w:firstLine="321"/>
        <w:rPr>
          <w:rFonts w:hint="eastAsia"/>
          <w:color w:val="auto"/>
          <w:highlight w:val="none"/>
        </w:rPr>
      </w:pPr>
      <w:bookmarkStart w:id="22" w:name="_Toc120614215"/>
      <w:bookmarkStart w:id="23" w:name="_Toc16938525"/>
      <w:bookmarkStart w:id="24" w:name="_Toc513029209"/>
      <w:bookmarkStart w:id="25" w:name="_Toc20823281"/>
      <w:r>
        <w:rPr>
          <w:rFonts w:hint="eastAsia"/>
          <w:color w:val="auto"/>
          <w:highlight w:val="none"/>
        </w:rPr>
        <w:t>二、招标文件</w:t>
      </w:r>
      <w:bookmarkEnd w:id="22"/>
      <w:bookmarkEnd w:id="23"/>
      <w:bookmarkEnd w:id="24"/>
      <w:bookmarkEnd w:id="25"/>
    </w:p>
    <w:p w14:paraId="7B9466F8">
      <w:pPr>
        <w:pStyle w:val="366"/>
        <w:spacing w:before="0" w:after="0" w:line="240" w:lineRule="auto"/>
        <w:ind w:firstLine="420"/>
        <w:rPr>
          <w:rFonts w:hint="eastAsia"/>
          <w:b w:val="0"/>
          <w:bCs w:val="0"/>
          <w:color w:val="auto"/>
          <w:highlight w:val="none"/>
        </w:rPr>
      </w:pPr>
      <w:bookmarkStart w:id="26" w:name="_Toc513029210"/>
      <w:bookmarkStart w:id="27" w:name="_Toc20823282"/>
      <w:bookmarkStart w:id="28" w:name="_Toc16938526"/>
      <w:r>
        <w:rPr>
          <w:rFonts w:hint="eastAsia"/>
          <w:b w:val="0"/>
          <w:bCs w:val="0"/>
          <w:color w:val="auto"/>
          <w:highlight w:val="none"/>
        </w:rPr>
        <w:t>6、招标文件构成</w:t>
      </w:r>
      <w:bookmarkEnd w:id="26"/>
      <w:bookmarkEnd w:id="27"/>
      <w:bookmarkEnd w:id="28"/>
    </w:p>
    <w:p w14:paraId="5B5CF161">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招标文件由以下部分组成：</w:t>
      </w:r>
    </w:p>
    <w:p w14:paraId="018A3A03">
      <w:pPr>
        <w:spacing w:line="480" w:lineRule="exact"/>
        <w:ind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（1）投标邀请</w:t>
      </w:r>
    </w:p>
    <w:p w14:paraId="369A23EA">
      <w:pPr>
        <w:spacing w:line="480" w:lineRule="exact"/>
        <w:ind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（2）投标人须知</w:t>
      </w:r>
    </w:p>
    <w:p w14:paraId="1EDFC88B">
      <w:pPr>
        <w:spacing w:line="480" w:lineRule="exact"/>
        <w:ind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（3）合同文本</w:t>
      </w:r>
    </w:p>
    <w:p w14:paraId="4677B3DD">
      <w:pPr>
        <w:spacing w:line="480" w:lineRule="exact"/>
        <w:ind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（4）采购需求</w:t>
      </w:r>
    </w:p>
    <w:p w14:paraId="4CE52083">
      <w:pPr>
        <w:spacing w:line="480" w:lineRule="exact"/>
        <w:ind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（5）评标方法与评标标准</w:t>
      </w:r>
    </w:p>
    <w:p w14:paraId="3755A46C">
      <w:pPr>
        <w:spacing w:line="480" w:lineRule="exact"/>
        <w:ind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（6）投标文件格式</w:t>
      </w:r>
    </w:p>
    <w:p w14:paraId="438A1BE8">
      <w:pPr>
        <w:spacing w:line="50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请仔细检查招标文件是否齐全，如有缺漏请立即与代理公司联系解决。</w:t>
      </w:r>
    </w:p>
    <w:p w14:paraId="18EF99E6">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9ACF3F3">
      <w:pPr>
        <w:pStyle w:val="366"/>
        <w:spacing w:before="0" w:after="0" w:line="240" w:lineRule="auto"/>
        <w:ind w:firstLine="560"/>
        <w:rPr>
          <w:rFonts w:hint="eastAsia"/>
          <w:b w:val="0"/>
          <w:bCs w:val="0"/>
          <w:color w:val="auto"/>
          <w:highlight w:val="none"/>
        </w:rPr>
      </w:pPr>
      <w:bookmarkStart w:id="29" w:name="_Toc513029211"/>
      <w:bookmarkStart w:id="30" w:name="_Toc462564070"/>
      <w:bookmarkStart w:id="31" w:name="_Toc20823283"/>
      <w:bookmarkStart w:id="32" w:name="_Toc16938527"/>
      <w:r>
        <w:rPr>
          <w:rFonts w:hint="eastAsia"/>
          <w:b w:val="0"/>
          <w:bCs w:val="0"/>
          <w:color w:val="auto"/>
          <w:highlight w:val="none"/>
        </w:rPr>
        <w:t>7、招标文件的澄清</w:t>
      </w:r>
      <w:bookmarkEnd w:id="29"/>
      <w:bookmarkEnd w:id="30"/>
      <w:bookmarkEnd w:id="31"/>
      <w:bookmarkEnd w:id="32"/>
    </w:p>
    <w:p w14:paraId="13B7B613">
      <w:pPr>
        <w:spacing w:line="480" w:lineRule="exact"/>
        <w:ind w:firstLine="480"/>
        <w:rPr>
          <w:rFonts w:hint="eastAsia" w:ascii="宋体" w:hAnsi="宋体"/>
          <w:color w:val="auto"/>
          <w:sz w:val="24"/>
          <w:highlight w:val="none"/>
        </w:rPr>
      </w:pPr>
      <w:r>
        <w:rPr>
          <w:rFonts w:hint="eastAsia" w:ascii="宋体" w:hAnsi="宋体"/>
          <w:bCs/>
          <w:color w:val="auto"/>
          <w:sz w:val="24"/>
          <w:highlight w:val="none"/>
        </w:rPr>
        <w:t>7.1</w:t>
      </w:r>
      <w:r>
        <w:rPr>
          <w:rFonts w:hint="eastAsia" w:ascii="宋体" w:hAnsi="宋体"/>
          <w:color w:val="auto"/>
          <w:sz w:val="24"/>
          <w:highlight w:val="none"/>
        </w:rPr>
        <w:t xml:space="preserve"> 任何要求对招标文件进行澄清的投标人，应在投标截止期</w:t>
      </w:r>
      <w:r>
        <w:rPr>
          <w:rFonts w:hint="eastAsia" w:ascii="仿宋_GB2312" w:hAnsi="仿宋_GB2312"/>
          <w:b/>
          <w:color w:val="auto"/>
          <w:sz w:val="24"/>
          <w:highlight w:val="none"/>
        </w:rPr>
        <w:t>十日</w:t>
      </w:r>
      <w:r>
        <w:rPr>
          <w:rFonts w:hint="eastAsia" w:ascii="仿宋_GB2312" w:hAnsi="仿宋_GB2312"/>
          <w:color w:val="auto"/>
          <w:sz w:val="24"/>
          <w:highlight w:val="none"/>
        </w:rPr>
        <w:t>前</w:t>
      </w:r>
      <w:r>
        <w:rPr>
          <w:rFonts w:hint="eastAsia" w:ascii="宋体" w:hAnsi="宋体"/>
          <w:color w:val="auto"/>
          <w:sz w:val="24"/>
          <w:highlight w:val="none"/>
        </w:rPr>
        <w:t>按招标公告中的通讯地址，以书面形式通知代理公司。</w:t>
      </w:r>
    </w:p>
    <w:p w14:paraId="485A344D">
      <w:pPr>
        <w:pStyle w:val="366"/>
        <w:spacing w:before="0" w:after="0" w:line="240" w:lineRule="auto"/>
        <w:ind w:firstLine="560"/>
        <w:rPr>
          <w:rFonts w:hint="eastAsia"/>
          <w:b w:val="0"/>
          <w:bCs w:val="0"/>
          <w:color w:val="auto"/>
          <w:highlight w:val="none"/>
        </w:rPr>
      </w:pPr>
      <w:bookmarkStart w:id="33" w:name="_Toc513029212"/>
      <w:bookmarkStart w:id="34" w:name="_Toc462564071"/>
      <w:bookmarkStart w:id="35" w:name="_Toc20823284"/>
      <w:bookmarkStart w:id="36" w:name="_Toc16938528"/>
      <w:r>
        <w:rPr>
          <w:rFonts w:hint="eastAsia"/>
          <w:b w:val="0"/>
          <w:bCs w:val="0"/>
          <w:color w:val="auto"/>
          <w:highlight w:val="none"/>
        </w:rPr>
        <w:t>8、招标文件的修改</w:t>
      </w:r>
      <w:bookmarkEnd w:id="33"/>
      <w:bookmarkEnd w:id="34"/>
      <w:bookmarkEnd w:id="35"/>
      <w:bookmarkEnd w:id="36"/>
    </w:p>
    <w:p w14:paraId="53A68B6D">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前</w:t>
      </w:r>
      <w:r>
        <w:rPr>
          <w:rFonts w:hint="eastAsia" w:ascii="宋体" w:hAnsi="宋体"/>
          <w:color w:val="auto"/>
          <w:sz w:val="24"/>
          <w:highlight w:val="none"/>
        </w:rPr>
        <w:t>，代理公司可以对招标文件进行修改。</w:t>
      </w:r>
    </w:p>
    <w:p w14:paraId="0B0BDBD5">
      <w:pPr>
        <w:spacing w:line="500" w:lineRule="exact"/>
        <w:ind w:firstLine="480"/>
        <w:rPr>
          <w:rFonts w:hint="eastAsia" w:ascii="宋体" w:hAnsi="Arial"/>
          <w:color w:val="auto"/>
          <w:sz w:val="28"/>
          <w:highlight w:val="none"/>
        </w:rPr>
      </w:pPr>
      <w:r>
        <w:rPr>
          <w:rFonts w:hint="eastAsia" w:ascii="宋体" w:hAnsi="宋体"/>
          <w:bCs/>
          <w:color w:val="auto"/>
          <w:sz w:val="24"/>
          <w:highlight w:val="none"/>
        </w:rPr>
        <w:t xml:space="preserve">8.2 </w:t>
      </w:r>
      <w:r>
        <w:rPr>
          <w:rFonts w:hint="eastAsia" w:ascii="宋体" w:hAnsi="宋体"/>
          <w:color w:val="auto"/>
          <w:sz w:val="24"/>
          <w:highlight w:val="none"/>
        </w:rPr>
        <w:t>代理公司有权按照法定的要求推迟投标截止日期和开标日期。</w:t>
      </w:r>
    </w:p>
    <w:p w14:paraId="4BA008A1">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 xml:space="preserve">8.3 </w:t>
      </w:r>
      <w:r>
        <w:rPr>
          <w:rFonts w:hint="eastAsia" w:ascii="宋体" w:hAnsi="宋体"/>
          <w:color w:val="auto"/>
          <w:sz w:val="24"/>
          <w:highlight w:val="none"/>
        </w:rPr>
        <w:t>招标文件的修改将在江苏政府采购网公布，补充文件将作为招标文件的组成部分，并对投标人具有约束力。</w:t>
      </w:r>
    </w:p>
    <w:p w14:paraId="1C63C9D6">
      <w:pPr>
        <w:pStyle w:val="390"/>
        <w:spacing w:before="145" w:after="145" w:line="360" w:lineRule="auto"/>
        <w:ind w:firstLine="482"/>
        <w:rPr>
          <w:rFonts w:hint="eastAsia"/>
          <w:color w:val="auto"/>
          <w:highlight w:val="none"/>
        </w:rPr>
      </w:pPr>
      <w:bookmarkStart w:id="37" w:name="_Toc16938529"/>
      <w:bookmarkStart w:id="38" w:name="_Toc120614216"/>
      <w:bookmarkStart w:id="39" w:name="_Toc20823285"/>
      <w:bookmarkStart w:id="40" w:name="_Toc462564072"/>
      <w:bookmarkStart w:id="41" w:name="_Toc513029213"/>
      <w:r>
        <w:rPr>
          <w:rFonts w:hint="eastAsia"/>
          <w:color w:val="auto"/>
          <w:highlight w:val="none"/>
        </w:rPr>
        <w:t>三、投标文件的编制</w:t>
      </w:r>
      <w:bookmarkEnd w:id="37"/>
      <w:bookmarkEnd w:id="38"/>
      <w:bookmarkEnd w:id="39"/>
      <w:bookmarkEnd w:id="40"/>
      <w:bookmarkEnd w:id="41"/>
    </w:p>
    <w:p w14:paraId="1C885AA4">
      <w:pPr>
        <w:pStyle w:val="366"/>
        <w:spacing w:before="0" w:after="0" w:line="240" w:lineRule="auto"/>
        <w:ind w:firstLine="560"/>
        <w:rPr>
          <w:rFonts w:hint="eastAsia"/>
          <w:bCs w:val="0"/>
          <w:color w:val="auto"/>
          <w:highlight w:val="none"/>
        </w:rPr>
      </w:pPr>
      <w:bookmarkStart w:id="42" w:name="_Toc513029214"/>
      <w:bookmarkStart w:id="43" w:name="_Toc20823286"/>
      <w:bookmarkStart w:id="44" w:name="_Toc16938530"/>
      <w:bookmarkStart w:id="45" w:name="_Toc462564073"/>
      <w:r>
        <w:rPr>
          <w:rFonts w:hint="eastAsia"/>
          <w:b w:val="0"/>
          <w:bCs w:val="0"/>
          <w:color w:val="auto"/>
          <w:highlight w:val="none"/>
        </w:rPr>
        <w:t>9、投标文件的语言及度量衡单位</w:t>
      </w:r>
      <w:bookmarkEnd w:id="42"/>
      <w:bookmarkEnd w:id="43"/>
      <w:bookmarkEnd w:id="44"/>
      <w:bookmarkEnd w:id="45"/>
    </w:p>
    <w:p w14:paraId="1E331E40">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投标人提交的投标文件以及投标人与代理公司就有关投标的所有来往通知、函件和文件均应使用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1823B100">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 xml:space="preserve"> 除技术性能另有规定外，投标文件所使用的度量衡单位，均须采用国家法定计量单位。</w:t>
      </w:r>
    </w:p>
    <w:p w14:paraId="389EAB45">
      <w:pPr>
        <w:pStyle w:val="366"/>
        <w:spacing w:before="0" w:after="0" w:line="240" w:lineRule="auto"/>
        <w:ind w:firstLine="420"/>
        <w:rPr>
          <w:rFonts w:hint="eastAsia"/>
          <w:b w:val="0"/>
          <w:bCs w:val="0"/>
          <w:color w:val="auto"/>
          <w:highlight w:val="none"/>
        </w:rPr>
      </w:pPr>
      <w:bookmarkStart w:id="46" w:name="_Toc16938531"/>
      <w:bookmarkStart w:id="47" w:name="_Toc20823287"/>
      <w:bookmarkStart w:id="48" w:name="_Toc462564074"/>
      <w:bookmarkStart w:id="49" w:name="_Toc513029215"/>
      <w:r>
        <w:rPr>
          <w:rFonts w:hint="eastAsia"/>
          <w:b w:val="0"/>
          <w:bCs w:val="0"/>
          <w:color w:val="auto"/>
          <w:highlight w:val="none"/>
        </w:rPr>
        <w:t>10、投标文件构成</w:t>
      </w:r>
      <w:bookmarkEnd w:id="46"/>
      <w:bookmarkEnd w:id="47"/>
      <w:bookmarkEnd w:id="48"/>
      <w:bookmarkEnd w:id="49"/>
    </w:p>
    <w:p w14:paraId="7C383AF3">
      <w:pPr>
        <w:spacing w:line="440" w:lineRule="exact"/>
        <w:ind w:firstLine="480"/>
        <w:rPr>
          <w:rFonts w:hint="eastAsia" w:ascii="宋体" w:hAnsi="宋体"/>
          <w:color w:val="auto"/>
          <w:sz w:val="24"/>
          <w:highlight w:val="none"/>
        </w:rPr>
      </w:pPr>
      <w:r>
        <w:rPr>
          <w:rFonts w:hint="eastAsia" w:ascii="宋体" w:hAnsi="宋体"/>
          <w:bCs/>
          <w:color w:val="auto"/>
          <w:sz w:val="24"/>
          <w:highlight w:val="none"/>
        </w:rPr>
        <w:t>10.1</w:t>
      </w:r>
      <w:r>
        <w:rPr>
          <w:rFonts w:hint="eastAsia" w:ascii="宋体" w:hAnsi="宋体"/>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p>
    <w:p w14:paraId="534AA9CC">
      <w:pPr>
        <w:spacing w:line="440" w:lineRule="exact"/>
        <w:ind w:firstLine="480"/>
        <w:rPr>
          <w:rFonts w:hint="eastAsia" w:ascii="宋体" w:hAnsi="宋体"/>
          <w:color w:val="auto"/>
          <w:sz w:val="24"/>
          <w:highlight w:val="none"/>
        </w:rPr>
      </w:pPr>
      <w:r>
        <w:rPr>
          <w:rFonts w:hint="eastAsia" w:ascii="宋体" w:hAnsi="宋体"/>
          <w:color w:val="auto"/>
          <w:sz w:val="24"/>
          <w:highlight w:val="none"/>
        </w:rPr>
        <w:t>10.2 如标书制作工具中格式和内容与“江苏政府采购网”发布的招标文件不一致，请以“江苏政府采购网”发布的招标文件为准。</w:t>
      </w:r>
    </w:p>
    <w:p w14:paraId="6874D341">
      <w:pPr>
        <w:pStyle w:val="366"/>
        <w:spacing w:before="0" w:after="0" w:line="240" w:lineRule="auto"/>
        <w:ind w:firstLine="420"/>
        <w:rPr>
          <w:rFonts w:hint="eastAsia"/>
          <w:b w:val="0"/>
          <w:bCs w:val="0"/>
          <w:color w:val="auto"/>
          <w:highlight w:val="none"/>
        </w:rPr>
      </w:pPr>
      <w:bookmarkStart w:id="50" w:name="_Hlt26670360"/>
      <w:bookmarkEnd w:id="50"/>
      <w:bookmarkStart w:id="51" w:name="_Hlt26954838"/>
      <w:bookmarkEnd w:id="51"/>
      <w:bookmarkStart w:id="52" w:name="_Hlt26668975"/>
      <w:bookmarkEnd w:id="52"/>
      <w:bookmarkStart w:id="53" w:name="_Toc513029219"/>
      <w:bookmarkStart w:id="54" w:name="_Toc49090509"/>
      <w:bookmarkStart w:id="55" w:name="_Toc14577357"/>
      <w:bookmarkStart w:id="56" w:name="_Toc49090507"/>
      <w:bookmarkStart w:id="57" w:name="_Toc14577354"/>
      <w:bookmarkStart w:id="58" w:name="_Toc513029216"/>
      <w:r>
        <w:rPr>
          <w:rFonts w:hint="eastAsia"/>
          <w:b w:val="0"/>
          <w:bCs w:val="0"/>
          <w:color w:val="auto"/>
          <w:highlight w:val="none"/>
        </w:rPr>
        <w:t>11、证明投标人及投标标的符合招标文件规定的文件</w:t>
      </w:r>
      <w:bookmarkEnd w:id="53"/>
      <w:bookmarkEnd w:id="54"/>
      <w:bookmarkEnd w:id="55"/>
    </w:p>
    <w:bookmarkEnd w:id="56"/>
    <w:bookmarkEnd w:id="57"/>
    <w:bookmarkEnd w:id="58"/>
    <w:p w14:paraId="46038BB3">
      <w:pPr>
        <w:spacing w:line="480" w:lineRule="exact"/>
        <w:rPr>
          <w:rFonts w:hint="eastAsia" w:ascii="宋体" w:hAnsi="宋体"/>
          <w:color w:val="auto"/>
          <w:sz w:val="24"/>
          <w:highlight w:val="none"/>
        </w:rPr>
      </w:pPr>
      <w:bookmarkStart w:id="59" w:name="_Toc14577355"/>
      <w:bookmarkStart w:id="60" w:name="_Toc49090508"/>
      <w:r>
        <w:rPr>
          <w:rFonts w:hint="eastAsia" w:ascii="宋体" w:hAnsi="宋体"/>
          <w:color w:val="auto"/>
          <w:sz w:val="24"/>
          <w:highlight w:val="none"/>
        </w:rPr>
        <w:t xml:space="preserve">    11.1 投标人应按照法律、法规、规章和规范性文件以及招标文件要求提交证明文件，证明其及投标标的符合招标文件规定。</w:t>
      </w:r>
    </w:p>
    <w:p w14:paraId="0F171DBA">
      <w:pPr>
        <w:spacing w:line="480" w:lineRule="exact"/>
        <w:ind w:firstLine="480"/>
        <w:rPr>
          <w:rFonts w:hint="eastAsia" w:ascii="宋体" w:hAnsi="宋体"/>
          <w:color w:val="auto"/>
          <w:sz w:val="24"/>
          <w:highlight w:val="none"/>
        </w:rPr>
      </w:pPr>
      <w:r>
        <w:rPr>
          <w:rFonts w:hint="eastAsia" w:ascii="宋体" w:hAnsi="宋体"/>
          <w:color w:val="auto"/>
          <w:sz w:val="24"/>
          <w:highlight w:val="none"/>
        </w:rPr>
        <w:t>11.2招标文件对证明文件无明确形式要求的，证明文件可以以文字资料、图纸和数据等形式提交。</w:t>
      </w:r>
    </w:p>
    <w:p w14:paraId="2F051599">
      <w:pPr>
        <w:pStyle w:val="366"/>
        <w:spacing w:before="0" w:after="0" w:line="240" w:lineRule="auto"/>
        <w:ind w:firstLine="420"/>
        <w:rPr>
          <w:rFonts w:hint="eastAsia"/>
          <w:b w:val="0"/>
          <w:bCs w:val="0"/>
          <w:color w:val="auto"/>
          <w:highlight w:val="none"/>
        </w:rPr>
      </w:pPr>
      <w:r>
        <w:rPr>
          <w:rFonts w:hint="eastAsia"/>
          <w:b w:val="0"/>
          <w:bCs w:val="0"/>
          <w:color w:val="auto"/>
          <w:highlight w:val="none"/>
        </w:rPr>
        <w:t>12、投标分项报价</w:t>
      </w:r>
      <w:bookmarkEnd w:id="59"/>
      <w:bookmarkStart w:id="61" w:name="_Hlt26670373"/>
      <w:bookmarkEnd w:id="61"/>
      <w:r>
        <w:rPr>
          <w:rFonts w:hint="eastAsia"/>
          <w:b w:val="0"/>
          <w:bCs w:val="0"/>
          <w:color w:val="auto"/>
          <w:highlight w:val="none"/>
        </w:rPr>
        <w:t>表</w:t>
      </w:r>
      <w:bookmarkEnd w:id="60"/>
    </w:p>
    <w:p w14:paraId="090CDB9A">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 xml:space="preserve"> 投</w:t>
      </w:r>
      <w:bookmarkStart w:id="62" w:name="_Hlt26954840"/>
      <w:bookmarkEnd w:id="62"/>
      <w:r>
        <w:rPr>
          <w:rFonts w:hint="eastAsia" w:ascii="宋体" w:hAnsi="宋体"/>
          <w:color w:val="auto"/>
          <w:sz w:val="24"/>
          <w:highlight w:val="none"/>
        </w:rPr>
        <w:t>标人应按照招标文件规定格式填报投标分项报价表</w:t>
      </w:r>
      <w:bookmarkStart w:id="63" w:name="_Hlt26670399"/>
      <w:bookmarkEnd w:id="63"/>
      <w:r>
        <w:rPr>
          <w:rFonts w:hint="eastAsia" w:ascii="宋体" w:hAnsi="宋体"/>
          <w:color w:val="auto"/>
          <w:sz w:val="24"/>
          <w:highlight w:val="none"/>
        </w:rPr>
        <w:t>。</w:t>
      </w:r>
    </w:p>
    <w:p w14:paraId="2F76DAE2">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12.2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403A2CA1">
      <w:pPr>
        <w:pStyle w:val="366"/>
        <w:spacing w:before="0" w:after="0" w:line="240" w:lineRule="auto"/>
        <w:ind w:firstLine="420"/>
        <w:rPr>
          <w:rFonts w:hint="eastAsia"/>
          <w:b w:val="0"/>
          <w:bCs w:val="0"/>
          <w:color w:val="auto"/>
          <w:highlight w:val="none"/>
        </w:rPr>
      </w:pPr>
      <w:bookmarkStart w:id="64" w:name="_Hlt26668983"/>
      <w:bookmarkEnd w:id="64"/>
      <w:bookmarkStart w:id="65" w:name="_Hlt26670482"/>
      <w:bookmarkEnd w:id="65"/>
      <w:bookmarkStart w:id="66" w:name="_Hlt26954842"/>
      <w:bookmarkEnd w:id="66"/>
      <w:bookmarkStart w:id="67" w:name="_Hlt26954844"/>
      <w:bookmarkEnd w:id="67"/>
      <w:bookmarkStart w:id="68" w:name="_Hlt26670486"/>
      <w:bookmarkEnd w:id="68"/>
      <w:bookmarkStart w:id="69" w:name="_Hlt26954848"/>
      <w:bookmarkEnd w:id="69"/>
      <w:bookmarkStart w:id="70" w:name="_Hlt26954731"/>
      <w:bookmarkEnd w:id="70"/>
      <w:bookmarkStart w:id="71" w:name="_Hlt26954846"/>
      <w:bookmarkEnd w:id="71"/>
      <w:bookmarkStart w:id="72" w:name="_Hlt26670425"/>
      <w:bookmarkEnd w:id="72"/>
      <w:bookmarkStart w:id="73" w:name="_Hlt26670403"/>
      <w:bookmarkEnd w:id="73"/>
      <w:r>
        <w:rPr>
          <w:rFonts w:hint="eastAsia"/>
          <w:b w:val="0"/>
          <w:bCs w:val="0"/>
          <w:color w:val="auto"/>
          <w:highlight w:val="none"/>
        </w:rPr>
        <w:t>13、技术要求响应及偏离表、商务要求响应及偏离表</w:t>
      </w:r>
    </w:p>
    <w:p w14:paraId="16373200">
      <w:pPr>
        <w:spacing w:line="500" w:lineRule="exact"/>
        <w:ind w:firstLine="480"/>
        <w:rPr>
          <w:rFonts w:hint="eastAsia" w:ascii="宋体" w:hAnsi="Arial" w:cs="宋体"/>
          <w:color w:val="auto"/>
          <w:sz w:val="24"/>
          <w:highlight w:val="none"/>
          <w:lang w:val="zh-CN"/>
        </w:rPr>
      </w:pPr>
      <w:r>
        <w:rPr>
          <w:rFonts w:ascii="宋体" w:hAnsi="Arial" w:cs="宋体"/>
          <w:bCs/>
          <w:color w:val="auto"/>
          <w:sz w:val="24"/>
          <w:highlight w:val="none"/>
          <w:lang w:val="zh-CN"/>
        </w:rPr>
        <w:t>1</w:t>
      </w:r>
      <w:r>
        <w:rPr>
          <w:rFonts w:hint="eastAsia" w:ascii="宋体" w:hAnsi="Arial" w:cs="宋体"/>
          <w:bCs/>
          <w:color w:val="auto"/>
          <w:sz w:val="24"/>
          <w:highlight w:val="none"/>
          <w:lang w:val="zh-CN"/>
        </w:rPr>
        <w:t>3</w:t>
      </w:r>
      <w:r>
        <w:rPr>
          <w:rFonts w:ascii="宋体" w:hAnsi="Arial" w:cs="宋体"/>
          <w:bCs/>
          <w:color w:val="auto"/>
          <w:sz w:val="24"/>
          <w:highlight w:val="none"/>
          <w:lang w:val="zh-CN"/>
        </w:rPr>
        <w:t>.1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投标人需对招标文件中的技术要求与商务要求逐项作出响应或偏离，并说明原因。</w:t>
      </w:r>
    </w:p>
    <w:p w14:paraId="4874A384">
      <w:pPr>
        <w:tabs>
          <w:tab w:val="left" w:pos="1035"/>
        </w:tabs>
        <w:spacing w:line="500" w:lineRule="exact"/>
        <w:ind w:firstLine="480"/>
        <w:rPr>
          <w:rFonts w:ascii="宋体" w:hAnsi="Arial" w:cs="宋体"/>
          <w:color w:val="auto"/>
          <w:sz w:val="24"/>
          <w:highlight w:val="none"/>
          <w:lang w:val="zh-CN"/>
        </w:rPr>
      </w:pPr>
      <w:r>
        <w:rPr>
          <w:rFonts w:hint="eastAsia" w:ascii="宋体" w:hAnsi="Arial" w:cs="宋体"/>
          <w:color w:val="auto"/>
          <w:sz w:val="24"/>
          <w:highlight w:val="none"/>
          <w:lang w:val="zh-CN"/>
        </w:rPr>
        <w:t>13.2 投标人可在投标文件中提供认为需要的其他技术文件或说明。</w:t>
      </w:r>
    </w:p>
    <w:p w14:paraId="68CDA705">
      <w:pPr>
        <w:pStyle w:val="366"/>
        <w:spacing w:before="0" w:after="0" w:line="240" w:lineRule="auto"/>
        <w:ind w:firstLine="420"/>
        <w:rPr>
          <w:rFonts w:hint="eastAsia"/>
          <w:b w:val="0"/>
          <w:bCs w:val="0"/>
          <w:color w:val="auto"/>
          <w:highlight w:val="none"/>
        </w:rPr>
      </w:pPr>
      <w:bookmarkStart w:id="74" w:name="_Toc49090510"/>
      <w:bookmarkStart w:id="75" w:name="_Toc14577359"/>
      <w:r>
        <w:rPr>
          <w:rFonts w:hint="eastAsia"/>
          <w:b w:val="0"/>
          <w:bCs w:val="0"/>
          <w:color w:val="auto"/>
          <w:highlight w:val="none"/>
        </w:rPr>
        <w:t>14、投标函和开标一览表</w:t>
      </w:r>
    </w:p>
    <w:p w14:paraId="195F017C">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14.1</w:t>
      </w:r>
      <w:r>
        <w:rPr>
          <w:rFonts w:hint="eastAsia" w:ascii="宋体" w:hAnsi="宋体"/>
          <w:color w:val="auto"/>
          <w:sz w:val="24"/>
          <w:highlight w:val="none"/>
        </w:rPr>
        <w:t xml:space="preserve"> 投标人应按照招标文件中提供的格式完整、正确填写投标函、开标一览表。</w:t>
      </w:r>
    </w:p>
    <w:p w14:paraId="60E193A7">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14.2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开标一览表中的投标总报价应与投标分项报价表中的投标总报价一致，如不一致，</w:t>
      </w:r>
      <w:r>
        <w:rPr>
          <w:rFonts w:hint="eastAsia" w:ascii="宋体" w:hAnsi="宋体"/>
          <w:color w:val="auto"/>
          <w:sz w:val="24"/>
          <w:highlight w:val="none"/>
        </w:rPr>
        <w:t>不作为无效投标处理</w:t>
      </w:r>
      <w:r>
        <w:rPr>
          <w:rFonts w:hint="eastAsia" w:ascii="宋体" w:hAnsi="宋体"/>
          <w:bCs/>
          <w:color w:val="auto"/>
          <w:sz w:val="24"/>
          <w:highlight w:val="none"/>
        </w:rPr>
        <w:t>，但评标时按开标一览表中价格为准</w:t>
      </w:r>
      <w:r>
        <w:rPr>
          <w:rFonts w:hint="eastAsia" w:ascii="宋体" w:hAnsi="宋体"/>
          <w:b/>
          <w:bCs/>
          <w:color w:val="auto"/>
          <w:sz w:val="24"/>
          <w:highlight w:val="none"/>
        </w:rPr>
        <w:t>。</w:t>
      </w:r>
    </w:p>
    <w:bookmarkEnd w:id="74"/>
    <w:bookmarkEnd w:id="75"/>
    <w:p w14:paraId="65EAEFD9">
      <w:pPr>
        <w:pStyle w:val="366"/>
        <w:spacing w:before="0" w:after="0" w:line="240" w:lineRule="auto"/>
        <w:ind w:firstLine="420"/>
        <w:rPr>
          <w:rFonts w:hint="eastAsia"/>
          <w:b w:val="0"/>
          <w:bCs w:val="0"/>
          <w:color w:val="auto"/>
          <w:highlight w:val="none"/>
        </w:rPr>
      </w:pPr>
      <w:bookmarkStart w:id="76" w:name="_Hlt26670489"/>
      <w:bookmarkEnd w:id="76"/>
      <w:bookmarkStart w:id="77" w:name="_Hlt26954734"/>
      <w:bookmarkEnd w:id="77"/>
      <w:bookmarkStart w:id="78" w:name="_Hlt26954850"/>
      <w:bookmarkEnd w:id="78"/>
      <w:bookmarkStart w:id="79" w:name="_Toc14577360"/>
      <w:bookmarkStart w:id="80" w:name="_Toc49090511"/>
      <w:r>
        <w:rPr>
          <w:rFonts w:hint="eastAsia"/>
          <w:b w:val="0"/>
          <w:bCs w:val="0"/>
          <w:color w:val="auto"/>
          <w:highlight w:val="none"/>
        </w:rPr>
        <w:t>15、投标有效期</w:t>
      </w:r>
      <w:bookmarkEnd w:id="79"/>
      <w:bookmarkEnd w:id="80"/>
    </w:p>
    <w:p w14:paraId="18899672">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 xml:space="preserve"> 投标有效期为代理公司规定的开标之日后</w:t>
      </w:r>
      <w:r>
        <w:rPr>
          <w:rFonts w:hint="eastAsia" w:ascii="仿宋_GB2312" w:hAnsi="仿宋_GB2312"/>
          <w:b/>
          <w:color w:val="auto"/>
          <w:sz w:val="24"/>
          <w:highlight w:val="none"/>
          <w:u w:val="single"/>
        </w:rPr>
        <w:t>六十（60）天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2BE943AC">
      <w:pPr>
        <w:pStyle w:val="366"/>
        <w:spacing w:before="0" w:after="0" w:line="240" w:lineRule="auto"/>
        <w:ind w:firstLine="420"/>
        <w:rPr>
          <w:rFonts w:hint="eastAsia"/>
          <w:b w:val="0"/>
          <w:bCs w:val="0"/>
          <w:color w:val="auto"/>
          <w:highlight w:val="none"/>
        </w:rPr>
      </w:pPr>
      <w:r>
        <w:rPr>
          <w:rFonts w:hint="eastAsia"/>
          <w:b w:val="0"/>
          <w:bCs w:val="0"/>
          <w:color w:val="auto"/>
          <w:highlight w:val="none"/>
        </w:rPr>
        <w:t>16、投标有效期的延长</w:t>
      </w:r>
    </w:p>
    <w:p w14:paraId="3147CF73">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 xml:space="preserve"> 在特殊情况下，代理公司于原投标有效期满之前，可向投标人提出延长投标有效期的要求。这种要求与答复均应采用书面形式。投标人可以拒绝代理公司的这一要求而放弃投标</w:t>
      </w:r>
      <w:r>
        <w:rPr>
          <w:rFonts w:hint="eastAsia" w:ascii="宋体" w:hAnsi="宋体"/>
          <w:color w:val="auto"/>
          <w:sz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highlight w:val="none"/>
        </w:rPr>
        <w:t>，同时受投标有效期约束的所有权利与义务均延长至新的有效期</w:t>
      </w:r>
      <w:r>
        <w:rPr>
          <w:rFonts w:hint="eastAsia" w:ascii="宋体" w:hAnsi="宋体"/>
          <w:bCs/>
          <w:color w:val="auto"/>
          <w:sz w:val="24"/>
          <w:highlight w:val="none"/>
        </w:rPr>
        <w:t>。</w:t>
      </w:r>
    </w:p>
    <w:p w14:paraId="3A7526CF">
      <w:pPr>
        <w:pStyle w:val="390"/>
        <w:spacing w:before="145" w:after="145" w:line="360" w:lineRule="auto"/>
        <w:ind w:firstLine="482"/>
        <w:rPr>
          <w:rFonts w:hint="eastAsia"/>
          <w:color w:val="auto"/>
          <w:highlight w:val="none"/>
        </w:rPr>
      </w:pPr>
      <w:bookmarkStart w:id="81" w:name="_Hlt26954739"/>
      <w:bookmarkEnd w:id="81"/>
      <w:bookmarkStart w:id="82" w:name="_Hlt26954852"/>
      <w:bookmarkEnd w:id="82"/>
      <w:bookmarkStart w:id="83" w:name="_Toc16938540"/>
      <w:bookmarkStart w:id="84" w:name="_Toc513029224"/>
      <w:bookmarkStart w:id="85" w:name="_Toc20823296"/>
      <w:bookmarkStart w:id="86" w:name="_Toc120614217"/>
      <w:r>
        <w:rPr>
          <w:rFonts w:hint="eastAsia"/>
          <w:color w:val="auto"/>
          <w:highlight w:val="none"/>
        </w:rPr>
        <w:t>四、投标文件的递交</w:t>
      </w:r>
      <w:bookmarkEnd w:id="83"/>
      <w:bookmarkEnd w:id="84"/>
      <w:bookmarkEnd w:id="85"/>
      <w:bookmarkEnd w:id="86"/>
    </w:p>
    <w:p w14:paraId="753FCF78">
      <w:pPr>
        <w:pStyle w:val="366"/>
        <w:spacing w:before="0" w:after="0" w:line="240" w:lineRule="auto"/>
        <w:ind w:firstLine="560"/>
        <w:rPr>
          <w:rFonts w:hint="eastAsia" w:ascii="黑体"/>
          <w:b w:val="0"/>
          <w:bCs w:val="0"/>
          <w:color w:val="auto"/>
          <w:highlight w:val="none"/>
        </w:rPr>
      </w:pPr>
      <w:bookmarkStart w:id="87" w:name="_Toc16938541"/>
      <w:bookmarkStart w:id="88" w:name="_Toc20823297"/>
      <w:bookmarkStart w:id="89" w:name="_Toc462564084"/>
      <w:bookmarkStart w:id="90" w:name="_Toc513029225"/>
      <w:r>
        <w:rPr>
          <w:rFonts w:hint="eastAsia"/>
          <w:b w:val="0"/>
          <w:bCs w:val="0"/>
          <w:color w:val="auto"/>
          <w:highlight w:val="none"/>
        </w:rPr>
        <w:t>17、</w:t>
      </w:r>
      <w:r>
        <w:rPr>
          <w:rFonts w:hint="eastAsia" w:ascii="黑体"/>
          <w:b w:val="0"/>
          <w:bCs w:val="0"/>
          <w:color w:val="auto"/>
          <w:highlight w:val="none"/>
        </w:rPr>
        <w:t>投标文件</w:t>
      </w:r>
      <w:bookmarkEnd w:id="87"/>
      <w:bookmarkEnd w:id="88"/>
      <w:bookmarkEnd w:id="89"/>
      <w:bookmarkEnd w:id="90"/>
      <w:r>
        <w:rPr>
          <w:rFonts w:hint="eastAsia" w:ascii="黑体"/>
          <w:b w:val="0"/>
          <w:bCs w:val="0"/>
          <w:color w:val="auto"/>
          <w:highlight w:val="none"/>
        </w:rPr>
        <w:t>的递交</w:t>
      </w:r>
    </w:p>
    <w:p w14:paraId="1F3CE4E9">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 xml:space="preserve"> 电子投标文件的递交</w:t>
      </w:r>
    </w:p>
    <w:p w14:paraId="0872E2B1">
      <w:pPr>
        <w:pStyle w:val="322"/>
        <w:ind w:left="525"/>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91" w:name="_Toc20823298"/>
      <w:bookmarkStart w:id="92" w:name="_Toc16938542"/>
      <w:bookmarkStart w:id="93" w:name="_Toc513029226"/>
    </w:p>
    <w:p w14:paraId="5F5F7B7D">
      <w:pPr>
        <w:pStyle w:val="366"/>
        <w:ind w:firstLine="420"/>
        <w:rPr>
          <w:rFonts w:hint="eastAsia"/>
          <w:b w:val="0"/>
          <w:color w:val="auto"/>
          <w:highlight w:val="none"/>
        </w:rPr>
      </w:pPr>
      <w:r>
        <w:rPr>
          <w:rFonts w:hint="eastAsia"/>
          <w:b w:val="0"/>
          <w:color w:val="auto"/>
          <w:highlight w:val="none"/>
        </w:rPr>
        <w:t>18、投标截止</w:t>
      </w:r>
      <w:bookmarkEnd w:id="91"/>
      <w:bookmarkEnd w:id="92"/>
      <w:bookmarkEnd w:id="93"/>
      <w:r>
        <w:rPr>
          <w:rFonts w:hint="eastAsia"/>
          <w:b w:val="0"/>
          <w:color w:val="auto"/>
          <w:highlight w:val="none"/>
        </w:rPr>
        <w:t>时间</w:t>
      </w:r>
    </w:p>
    <w:p w14:paraId="6CB3772F">
      <w:pPr>
        <w:spacing w:line="500" w:lineRule="exact"/>
        <w:ind w:firstLine="480"/>
        <w:rPr>
          <w:rFonts w:hint="eastAsia" w:ascii="宋体" w:hAnsi="宋体"/>
          <w:bCs/>
          <w:iCs/>
          <w:color w:val="auto"/>
          <w:sz w:val="24"/>
          <w:highlight w:val="none"/>
          <w:u w:val="single"/>
        </w:rPr>
      </w:pPr>
      <w:r>
        <w:rPr>
          <w:rFonts w:hint="eastAsia" w:ascii="宋体" w:hAnsi="宋体"/>
          <w:iCs/>
          <w:color w:val="auto"/>
          <w:sz w:val="24"/>
          <w:highlight w:val="none"/>
          <w:u w:val="single"/>
        </w:rPr>
        <w:t>18.1</w:t>
      </w:r>
      <w:r>
        <w:rPr>
          <w:rFonts w:hint="eastAsia" w:ascii="宋体" w:hAnsi="宋体"/>
          <w:bCs/>
          <w:iCs/>
          <w:color w:val="auto"/>
          <w:sz w:val="24"/>
          <w:highlight w:val="none"/>
          <w:u w:val="single"/>
        </w:rPr>
        <w:t xml:space="preserve"> 投标人上传电子投标文件的时间不得迟于招标公告中规定的投标截止时间。</w:t>
      </w:r>
    </w:p>
    <w:p w14:paraId="4A382762">
      <w:pPr>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投标人应充分考虑到网络环境、网络带宽等风险因素，如因投标人自身原因造成的电子投标文件上传不成功的按照本招标文件第二章第26.1.2条 规定做无效投标处理。</w:t>
      </w:r>
    </w:p>
    <w:p w14:paraId="31D7C8A6">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 xml:space="preserve"> 代理公司可以按照规定，通过修改招标文件酌情延长投标截止时间，在此情况下，投标人的所有权利和义务以及投标人受制的截止时间均应以延长后新的截止时间为准。</w:t>
      </w:r>
    </w:p>
    <w:p w14:paraId="53F2E6A8">
      <w:pPr>
        <w:pStyle w:val="366"/>
        <w:spacing w:before="0" w:after="0" w:line="240" w:lineRule="auto"/>
        <w:ind w:firstLine="420"/>
        <w:rPr>
          <w:rFonts w:hint="eastAsia"/>
          <w:b w:val="0"/>
          <w:bCs w:val="0"/>
          <w:color w:val="auto"/>
          <w:highlight w:val="none"/>
        </w:rPr>
      </w:pPr>
      <w:bookmarkStart w:id="94" w:name="_Toc513029227"/>
      <w:bookmarkStart w:id="95" w:name="_Toc16938543"/>
      <w:bookmarkStart w:id="96" w:name="_Toc20823299"/>
      <w:r>
        <w:rPr>
          <w:rFonts w:hint="eastAsia"/>
          <w:b w:val="0"/>
          <w:bCs w:val="0"/>
          <w:color w:val="auto"/>
          <w:highlight w:val="none"/>
        </w:rPr>
        <w:t>19、投标文件</w:t>
      </w:r>
      <w:bookmarkEnd w:id="94"/>
      <w:bookmarkEnd w:id="95"/>
      <w:bookmarkEnd w:id="96"/>
      <w:r>
        <w:rPr>
          <w:rFonts w:hint="eastAsia"/>
          <w:b w:val="0"/>
          <w:bCs w:val="0"/>
          <w:color w:val="auto"/>
          <w:highlight w:val="none"/>
        </w:rPr>
        <w:t>的拒收</w:t>
      </w:r>
    </w:p>
    <w:p w14:paraId="567AEB0D">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rPr>
        <w:t>代理公司拒绝接收在其规定的投标截止时间后上传的任何投标文件。</w:t>
      </w:r>
    </w:p>
    <w:p w14:paraId="2AE195F4">
      <w:pPr>
        <w:pStyle w:val="366"/>
        <w:spacing w:before="0" w:after="0" w:line="240" w:lineRule="auto"/>
        <w:ind w:firstLine="420"/>
        <w:rPr>
          <w:rFonts w:hint="eastAsia"/>
          <w:b w:val="0"/>
          <w:bCs w:val="0"/>
          <w:color w:val="auto"/>
          <w:highlight w:val="none"/>
        </w:rPr>
      </w:pPr>
      <w:bookmarkStart w:id="97" w:name="_Toc20823300"/>
      <w:bookmarkStart w:id="98" w:name="_Toc16938544"/>
      <w:bookmarkStart w:id="99" w:name="_Toc513029228"/>
      <w:r>
        <w:rPr>
          <w:rFonts w:hint="eastAsia"/>
          <w:b w:val="0"/>
          <w:bCs w:val="0"/>
          <w:color w:val="auto"/>
          <w:highlight w:val="none"/>
        </w:rPr>
        <w:t>20、投标文件的撤回和修改</w:t>
      </w:r>
      <w:bookmarkEnd w:id="97"/>
      <w:bookmarkEnd w:id="98"/>
      <w:bookmarkEnd w:id="99"/>
    </w:p>
    <w:p w14:paraId="3391834B">
      <w:pPr>
        <w:spacing w:line="480" w:lineRule="exact"/>
        <w:ind w:firstLine="480"/>
        <w:rPr>
          <w:rFonts w:hint="eastAsia" w:ascii="宋体" w:hAnsi="宋体"/>
          <w:color w:val="auto"/>
          <w:sz w:val="24"/>
          <w:highlight w:val="none"/>
        </w:rPr>
      </w:pPr>
      <w:r>
        <w:rPr>
          <w:rFonts w:hint="eastAsia" w:ascii="宋体" w:hAnsi="宋体"/>
          <w:color w:val="auto"/>
          <w:sz w:val="24"/>
          <w:highlight w:val="none"/>
        </w:rPr>
        <w:t>20.1 投标文件的撤回</w:t>
      </w:r>
    </w:p>
    <w:p w14:paraId="242DEE43">
      <w:pPr>
        <w:spacing w:line="480" w:lineRule="exact"/>
        <w:ind w:firstLine="480"/>
        <w:rPr>
          <w:rFonts w:hint="eastAsia" w:ascii="宋体" w:hAnsi="宋体"/>
          <w:color w:val="auto"/>
          <w:sz w:val="24"/>
          <w:highlight w:val="none"/>
        </w:rPr>
      </w:pPr>
      <w:r>
        <w:rPr>
          <w:rFonts w:hint="eastAsia" w:ascii="宋体" w:hAnsi="宋体"/>
          <w:color w:val="auto"/>
          <w:sz w:val="24"/>
          <w:highlight w:val="none"/>
        </w:rPr>
        <w:t>21.1.1 电子投标文件的撤回</w:t>
      </w:r>
    </w:p>
    <w:p w14:paraId="016BB849">
      <w:pPr>
        <w:spacing w:line="48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61786BD8">
      <w:pPr>
        <w:spacing w:line="480" w:lineRule="exact"/>
        <w:ind w:firstLine="480"/>
        <w:rPr>
          <w:rFonts w:hint="eastAsia" w:ascii="宋体" w:hAnsi="宋体"/>
          <w:color w:val="auto"/>
          <w:sz w:val="24"/>
          <w:highlight w:val="none"/>
        </w:rPr>
      </w:pPr>
      <w:r>
        <w:rPr>
          <w:rFonts w:hint="eastAsia" w:ascii="宋体" w:hAnsi="宋体"/>
          <w:color w:val="auto"/>
          <w:sz w:val="24"/>
          <w:highlight w:val="none"/>
        </w:rPr>
        <w:t>21.1.</w:t>
      </w:r>
      <w:r>
        <w:rPr>
          <w:rFonts w:ascii="宋体" w:hAnsi="宋体"/>
          <w:color w:val="auto"/>
          <w:sz w:val="24"/>
          <w:highlight w:val="none"/>
        </w:rPr>
        <w:t>2</w:t>
      </w:r>
      <w:r>
        <w:rPr>
          <w:rFonts w:hint="eastAsia" w:ascii="宋体" w:hAnsi="宋体"/>
          <w:color w:val="auto"/>
          <w:sz w:val="24"/>
          <w:highlight w:val="none"/>
        </w:rPr>
        <w:t xml:space="preserve"> 投标人撤回电子投标文件，则认为其不再参与本项目投标活动。</w:t>
      </w:r>
    </w:p>
    <w:p w14:paraId="0F8EA791">
      <w:pPr>
        <w:spacing w:line="480" w:lineRule="exact"/>
        <w:ind w:firstLine="480"/>
        <w:rPr>
          <w:rFonts w:hint="eastAsia" w:ascii="宋体" w:hAnsi="宋体"/>
          <w:color w:val="auto"/>
          <w:sz w:val="24"/>
          <w:highlight w:val="none"/>
        </w:rPr>
      </w:pPr>
      <w:r>
        <w:rPr>
          <w:rFonts w:hint="eastAsia" w:ascii="宋体" w:hAnsi="宋体"/>
          <w:color w:val="auto"/>
          <w:sz w:val="24"/>
          <w:highlight w:val="none"/>
        </w:rPr>
        <w:t>20.2 投标文件的修改</w:t>
      </w:r>
    </w:p>
    <w:p w14:paraId="0222291D">
      <w:pPr>
        <w:spacing w:line="480" w:lineRule="exact"/>
        <w:ind w:firstLine="480"/>
        <w:rPr>
          <w:rFonts w:hint="eastAsia"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414210A7">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 xml:space="preserve"> 在投标截止时间之后，投标人不得对其电子投标文件作任何修改。</w:t>
      </w:r>
    </w:p>
    <w:p w14:paraId="2B4B8951">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 xml:space="preserve"> 在投标截止时间至招标文件中规定的投标有效期满之间的这段时间内，投标人不得撤回其投标。</w:t>
      </w:r>
    </w:p>
    <w:p w14:paraId="68AB937C">
      <w:pPr>
        <w:pStyle w:val="390"/>
        <w:spacing w:before="145" w:after="145" w:line="360" w:lineRule="auto"/>
        <w:ind w:firstLine="482"/>
        <w:rPr>
          <w:rFonts w:hint="eastAsia"/>
          <w:color w:val="auto"/>
          <w:highlight w:val="none"/>
        </w:rPr>
      </w:pPr>
      <w:bookmarkStart w:id="100" w:name="_Toc20823301"/>
      <w:bookmarkStart w:id="101" w:name="_Toc16938545"/>
      <w:bookmarkStart w:id="102" w:name="_Toc513029229"/>
      <w:bookmarkStart w:id="103" w:name="_Toc120614218"/>
      <w:r>
        <w:rPr>
          <w:rFonts w:hint="eastAsia"/>
          <w:color w:val="auto"/>
          <w:highlight w:val="none"/>
        </w:rPr>
        <w:t>五、开标与评标</w:t>
      </w:r>
      <w:bookmarkEnd w:id="100"/>
      <w:bookmarkEnd w:id="101"/>
      <w:bookmarkEnd w:id="102"/>
      <w:bookmarkEnd w:id="103"/>
    </w:p>
    <w:p w14:paraId="65D0BDAC">
      <w:pPr>
        <w:pStyle w:val="366"/>
        <w:spacing w:before="0" w:after="0" w:line="240" w:lineRule="auto"/>
        <w:ind w:firstLine="420"/>
        <w:rPr>
          <w:rFonts w:hint="eastAsia"/>
          <w:b w:val="0"/>
          <w:bCs w:val="0"/>
          <w:color w:val="auto"/>
          <w:highlight w:val="none"/>
        </w:rPr>
      </w:pPr>
      <w:bookmarkStart w:id="104" w:name="_Toc513029230"/>
      <w:bookmarkStart w:id="105" w:name="_Toc20823302"/>
      <w:bookmarkStart w:id="106" w:name="_Toc16938546"/>
      <w:r>
        <w:rPr>
          <w:rFonts w:hint="eastAsia"/>
          <w:b w:val="0"/>
          <w:bCs w:val="0"/>
          <w:color w:val="auto"/>
          <w:highlight w:val="none"/>
        </w:rPr>
        <w:t>21、开标</w:t>
      </w:r>
      <w:bookmarkEnd w:id="104"/>
      <w:bookmarkEnd w:id="105"/>
      <w:bookmarkEnd w:id="106"/>
    </w:p>
    <w:p w14:paraId="4FED5EF2">
      <w:pPr>
        <w:ind w:firstLine="360"/>
        <w:rPr>
          <w:rFonts w:hint="eastAsia"/>
          <w:color w:val="auto"/>
          <w:highlight w:val="none"/>
        </w:rPr>
      </w:pPr>
      <w:r>
        <w:rPr>
          <w:rFonts w:hint="eastAsia" w:ascii="宋体" w:hAnsi="宋体"/>
          <w:color w:val="auto"/>
          <w:sz w:val="24"/>
          <w:highlight w:val="none"/>
        </w:rPr>
        <w:t>21.1</w:t>
      </w:r>
      <w:r>
        <w:rPr>
          <w:rFonts w:hint="eastAsia" w:ascii="宋体" w:hAnsi="宋体"/>
          <w:bCs/>
          <w:color w:val="auto"/>
          <w:sz w:val="24"/>
          <w:highlight w:val="none"/>
        </w:rPr>
        <w:t xml:space="preserve"> 代理公司将在招标公告中规定的时间和地点组织公开开标</w:t>
      </w:r>
      <w:r>
        <w:rPr>
          <w:rFonts w:hint="eastAsia" w:ascii="宋体" w:hAnsi="宋体"/>
          <w:color w:val="auto"/>
          <w:sz w:val="24"/>
          <w:highlight w:val="none"/>
        </w:rPr>
        <w:t>。投标人应当按照《操作手册》规定，</w:t>
      </w:r>
      <w:r>
        <w:rPr>
          <w:rFonts w:ascii="宋体" w:hAnsi="宋体"/>
          <w:color w:val="auto"/>
          <w:sz w:val="24"/>
          <w:highlight w:val="none"/>
        </w:rPr>
        <w:t>参加开标活动</w:t>
      </w:r>
      <w:r>
        <w:rPr>
          <w:rFonts w:hint="eastAsia" w:ascii="宋体" w:hAnsi="宋体"/>
          <w:color w:val="auto"/>
          <w:sz w:val="24"/>
          <w:highlight w:val="none"/>
        </w:rPr>
        <w:t>和在苏采云系统规定的时间内对投标文件进行解密。</w:t>
      </w:r>
    </w:p>
    <w:p w14:paraId="3A6F8FC3">
      <w:pPr>
        <w:spacing w:line="480" w:lineRule="exact"/>
        <w:ind w:firstLine="480"/>
        <w:rPr>
          <w:rFonts w:hint="eastAsia" w:ascii="宋体" w:hAnsi="宋体"/>
          <w:color w:val="auto"/>
          <w:sz w:val="24"/>
          <w:highlight w:val="none"/>
        </w:rPr>
      </w:pPr>
      <w:r>
        <w:rPr>
          <w:rFonts w:hint="eastAsia" w:ascii="宋体" w:hAnsi="宋体"/>
          <w:bCs/>
          <w:color w:val="auto"/>
          <w:sz w:val="24"/>
          <w:highlight w:val="none"/>
        </w:rPr>
        <w:t>21.2</w:t>
      </w:r>
      <w:r>
        <w:rPr>
          <w:rFonts w:hint="eastAsia" w:ascii="宋体" w:hAnsi="宋体"/>
          <w:color w:val="auto"/>
          <w:sz w:val="24"/>
          <w:highlight w:val="none"/>
        </w:rPr>
        <w:t>开标仪式由代理公司组织。苏采云系统将自动对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5D647705">
      <w:pPr>
        <w:spacing w:line="500" w:lineRule="exact"/>
        <w:ind w:firstLine="480"/>
        <w:rPr>
          <w:rFonts w:hint="eastAsia" w:ascii="宋体" w:hAnsi="宋体"/>
          <w:color w:val="auto"/>
          <w:sz w:val="24"/>
          <w:highlight w:val="none"/>
        </w:rPr>
      </w:pPr>
      <w:r>
        <w:rPr>
          <w:rFonts w:hint="eastAsia" w:ascii="宋体" w:hAnsi="宋体"/>
          <w:bCs/>
          <w:color w:val="auto"/>
          <w:sz w:val="24"/>
          <w:highlight w:val="none"/>
        </w:rPr>
        <w:t>21.3投标人在开标过程中涉及到的投标文件解密、开标结果确认等工作，应按照《操作手册》规定执行。</w:t>
      </w:r>
    </w:p>
    <w:p w14:paraId="680D7B27">
      <w:pPr>
        <w:spacing w:line="500" w:lineRule="exact"/>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 苏采云系统中《开标记录表》宣布后5分钟内未提出的，视同认可开标结果。</w:t>
      </w:r>
    </w:p>
    <w:p w14:paraId="003FDA0B">
      <w:pPr>
        <w:pStyle w:val="366"/>
        <w:spacing w:before="0" w:after="0" w:line="240" w:lineRule="auto"/>
        <w:ind w:firstLine="420"/>
        <w:rPr>
          <w:rFonts w:hint="eastAsia"/>
          <w:b w:val="0"/>
          <w:bCs w:val="0"/>
          <w:color w:val="auto"/>
          <w:highlight w:val="none"/>
        </w:rPr>
      </w:pPr>
      <w:bookmarkStart w:id="107" w:name="_Toc20823303"/>
      <w:bookmarkStart w:id="108" w:name="_Toc513029231"/>
      <w:bookmarkStart w:id="109" w:name="_Toc16938547"/>
      <w:r>
        <w:rPr>
          <w:rFonts w:hint="eastAsia"/>
          <w:b w:val="0"/>
          <w:bCs w:val="0"/>
          <w:color w:val="auto"/>
          <w:highlight w:val="none"/>
        </w:rPr>
        <w:t>22、评标委员会</w:t>
      </w:r>
    </w:p>
    <w:p w14:paraId="2A1F9757">
      <w:pPr>
        <w:spacing w:line="480" w:lineRule="exact"/>
        <w:rPr>
          <w:rFonts w:hint="eastAsia" w:ascii="宋体" w:hAnsi="宋体"/>
          <w:b/>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22.1</w:t>
      </w:r>
      <w:r>
        <w:rPr>
          <w:rFonts w:hint="eastAsia" w:ascii="宋体" w:hAnsi="宋体"/>
          <w:b/>
          <w:color w:val="auto"/>
          <w:sz w:val="24"/>
          <w:highlight w:val="none"/>
        </w:rPr>
        <w:t xml:space="preserve"> </w:t>
      </w:r>
      <w:r>
        <w:rPr>
          <w:rFonts w:hint="eastAsia" w:ascii="宋体" w:hAnsi="宋体"/>
          <w:color w:val="auto"/>
          <w:sz w:val="24"/>
          <w:highlight w:val="none"/>
        </w:rPr>
        <w:t>开标后，代理公司将立即组织评标委员会（以下简称评委会）进行评标。</w:t>
      </w:r>
    </w:p>
    <w:p w14:paraId="64411038">
      <w:pPr>
        <w:spacing w:line="480" w:lineRule="exact"/>
        <w:rPr>
          <w:rFonts w:hint="eastAsia"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22.2 评委会由采购人代表和有关技术、经济等方面的专家组成，且人员构成符合政府采购有关规定。</w:t>
      </w:r>
    </w:p>
    <w:p w14:paraId="3040345A">
      <w:pPr>
        <w:spacing w:line="480" w:lineRule="exact"/>
        <w:rPr>
          <w:rFonts w:hint="eastAsia" w:ascii="宋体" w:hAnsi="宋体"/>
          <w:color w:val="auto"/>
          <w:sz w:val="24"/>
          <w:highlight w:val="none"/>
        </w:rPr>
      </w:pPr>
      <w:r>
        <w:rPr>
          <w:rFonts w:hint="eastAsia" w:ascii="宋体" w:hAnsi="宋体"/>
          <w:b/>
          <w:color w:val="auto"/>
          <w:sz w:val="24"/>
          <w:highlight w:val="none"/>
        </w:rPr>
        <w:t xml:space="preserve">  </w:t>
      </w:r>
      <w:r>
        <w:rPr>
          <w:rFonts w:hint="eastAsia" w:ascii="宋体" w:hAnsi="宋体"/>
          <w:color w:val="auto"/>
          <w:sz w:val="24"/>
          <w:highlight w:val="none"/>
        </w:rPr>
        <w:t xml:space="preserve"> 22.3评委会独立工作，负责评审所有投标文件并确定中标侯选人。</w:t>
      </w:r>
    </w:p>
    <w:p w14:paraId="2A2F6757">
      <w:pPr>
        <w:pStyle w:val="366"/>
        <w:spacing w:before="0" w:after="0" w:line="240" w:lineRule="auto"/>
        <w:ind w:firstLine="420"/>
        <w:rPr>
          <w:rFonts w:hint="eastAsia" w:ascii="黑体"/>
          <w:b w:val="0"/>
          <w:bCs w:val="0"/>
          <w:color w:val="auto"/>
          <w:highlight w:val="none"/>
        </w:rPr>
      </w:pPr>
      <w:r>
        <w:rPr>
          <w:rFonts w:hint="eastAsia" w:ascii="黑体"/>
          <w:b w:val="0"/>
          <w:bCs w:val="0"/>
          <w:color w:val="auto"/>
          <w:highlight w:val="none"/>
        </w:rPr>
        <w:t>23、评标过程的保密与公正</w:t>
      </w:r>
    </w:p>
    <w:bookmarkEnd w:id="107"/>
    <w:bookmarkEnd w:id="108"/>
    <w:bookmarkEnd w:id="109"/>
    <w:p w14:paraId="376F42E4">
      <w:pPr>
        <w:spacing w:line="500" w:lineRule="exact"/>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凡是与审查、澄清、评价和比较投标的有关资料以及授标建议等，采购人、评委、代理公司均不得向投标人或与评标无关的其他人员透露。</w:t>
      </w:r>
    </w:p>
    <w:p w14:paraId="544162D8">
      <w:pPr>
        <w:spacing w:line="480" w:lineRule="exact"/>
        <w:ind w:firstLine="480"/>
        <w:rPr>
          <w:rFonts w:hint="eastAsia" w:ascii="宋体" w:hAnsi="宋体"/>
          <w:color w:val="auto"/>
          <w:sz w:val="24"/>
          <w:highlight w:val="none"/>
        </w:rPr>
      </w:pPr>
      <w:r>
        <w:rPr>
          <w:rFonts w:hint="eastAsia" w:ascii="宋体" w:hAnsi="宋体"/>
          <w:color w:val="auto"/>
          <w:sz w:val="24"/>
          <w:highlight w:val="none"/>
        </w:rPr>
        <w:t>23.2在评标过程中，投标人不得以任何行为影响评标过程，否则其投标文件将被作为无效投标文件。</w:t>
      </w:r>
    </w:p>
    <w:p w14:paraId="431E66E2">
      <w:pPr>
        <w:spacing w:line="480" w:lineRule="exact"/>
        <w:ind w:firstLine="480"/>
        <w:rPr>
          <w:rFonts w:hint="eastAsia" w:ascii="宋体" w:hAnsi="宋体"/>
          <w:color w:val="auto"/>
          <w:sz w:val="24"/>
          <w:highlight w:val="none"/>
        </w:rPr>
      </w:pPr>
      <w:r>
        <w:rPr>
          <w:rFonts w:hint="eastAsia" w:ascii="宋体" w:hAnsi="宋体"/>
          <w:color w:val="auto"/>
          <w:sz w:val="24"/>
          <w:highlight w:val="none"/>
        </w:rPr>
        <w:t>23.</w:t>
      </w:r>
      <w:r>
        <w:rPr>
          <w:rFonts w:ascii="宋体" w:hAnsi="宋体"/>
          <w:color w:val="auto"/>
          <w:sz w:val="24"/>
          <w:highlight w:val="none"/>
        </w:rPr>
        <w:t>3</w:t>
      </w:r>
      <w:r>
        <w:rPr>
          <w:rFonts w:hint="eastAsia" w:ascii="宋体" w:hAnsi="宋体"/>
          <w:color w:val="auto"/>
          <w:sz w:val="24"/>
          <w:highlight w:val="none"/>
        </w:rPr>
        <w:t xml:space="preserve"> 代理公司和评标委员会不向未中标的投标人解释未中标原因，也不公布评标过程中的相关细节。</w:t>
      </w:r>
    </w:p>
    <w:p w14:paraId="276D9B91">
      <w:pPr>
        <w:spacing w:line="480" w:lineRule="exact"/>
        <w:ind w:firstLine="480"/>
        <w:rPr>
          <w:rFonts w:ascii="宋体" w:hAnsi="宋体"/>
          <w:color w:val="auto"/>
          <w:sz w:val="24"/>
          <w:highlight w:val="none"/>
        </w:rPr>
      </w:pPr>
      <w:r>
        <w:rPr>
          <w:rFonts w:hint="eastAsia" w:ascii="宋体" w:hAnsi="宋体"/>
          <w:color w:val="auto"/>
          <w:sz w:val="24"/>
          <w:highlight w:val="none"/>
        </w:rPr>
        <w:t>23.4 采用综合评分法的项目，未中标的投标人可于中标结果公告期限届满之日起通过苏采云系统查看自己的评审得分及排序情况。</w:t>
      </w:r>
    </w:p>
    <w:p w14:paraId="160569DC">
      <w:pPr>
        <w:pStyle w:val="366"/>
        <w:spacing w:before="0" w:after="0" w:line="240" w:lineRule="auto"/>
        <w:ind w:firstLine="420"/>
        <w:rPr>
          <w:rFonts w:hint="eastAsia"/>
          <w:b w:val="0"/>
          <w:bCs w:val="0"/>
          <w:color w:val="auto"/>
          <w:highlight w:val="none"/>
        </w:rPr>
      </w:pPr>
      <w:bookmarkStart w:id="110" w:name="_Toc16938548"/>
      <w:bookmarkStart w:id="111" w:name="_Toc513029232"/>
      <w:bookmarkStart w:id="112" w:name="_Toc20823304"/>
      <w:r>
        <w:rPr>
          <w:rFonts w:hint="eastAsia"/>
          <w:b w:val="0"/>
          <w:bCs w:val="0"/>
          <w:color w:val="auto"/>
          <w:highlight w:val="none"/>
        </w:rPr>
        <w:t>24、投标文件的澄清</w:t>
      </w:r>
      <w:bookmarkEnd w:id="110"/>
      <w:bookmarkEnd w:id="111"/>
      <w:bookmarkEnd w:id="112"/>
    </w:p>
    <w:p w14:paraId="6DFF7A4A">
      <w:pPr>
        <w:spacing w:line="480" w:lineRule="exact"/>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4.</w:t>
      </w:r>
      <w:r>
        <w:rPr>
          <w:rFonts w:ascii="宋体" w:hAnsi="宋体"/>
          <w:color w:val="auto"/>
          <w:sz w:val="24"/>
          <w:highlight w:val="none"/>
        </w:rPr>
        <w:t>1</w:t>
      </w:r>
      <w:r>
        <w:rPr>
          <w:rFonts w:hint="eastAsia" w:ascii="宋体" w:hAnsi="宋体"/>
          <w:color w:val="auto"/>
          <w:sz w:val="24"/>
          <w:highlight w:val="none"/>
        </w:rPr>
        <w:t>评标期间，评委会对投标文件中含义不明确、同类问题表述不一致或者有明显文字和计算错误的内容</w:t>
      </w:r>
      <w:r>
        <w:rPr>
          <w:rFonts w:ascii="宋体" w:hAnsi="宋体"/>
          <w:color w:val="auto"/>
          <w:sz w:val="24"/>
          <w:highlight w:val="none"/>
        </w:rPr>
        <w:t xml:space="preserve"> </w:t>
      </w:r>
      <w:r>
        <w:rPr>
          <w:rFonts w:hint="eastAsia" w:ascii="宋体" w:hAnsi="宋体"/>
          <w:color w:val="auto"/>
          <w:sz w:val="24"/>
          <w:highlight w:val="none"/>
        </w:rPr>
        <w:t>，有权要求投标人作出必要的澄清、说明或者补正。</w:t>
      </w:r>
    </w:p>
    <w:p w14:paraId="5418D132">
      <w:pPr>
        <w:spacing w:line="480" w:lineRule="exact"/>
        <w:ind w:firstLine="480"/>
        <w:rPr>
          <w:rFonts w:ascii="宋体" w:hAnsi="宋体"/>
          <w:color w:val="auto"/>
          <w:sz w:val="24"/>
          <w:highlight w:val="none"/>
        </w:rPr>
      </w:pPr>
      <w:r>
        <w:rPr>
          <w:rFonts w:hint="eastAsia" w:ascii="宋体" w:hAnsi="宋体"/>
          <w:color w:val="auto"/>
          <w:sz w:val="24"/>
          <w:highlight w:val="none"/>
        </w:rPr>
        <w:t>投标人的澄清、说明或者补正不得超出投标文件的范围或者改变投标文件的实质性内容。</w:t>
      </w:r>
    </w:p>
    <w:p w14:paraId="4714F679">
      <w:pPr>
        <w:spacing w:line="480" w:lineRule="exact"/>
        <w:ind w:firstLine="480"/>
        <w:rPr>
          <w:rFonts w:hint="eastAsia" w:ascii="宋体" w:hAnsi="宋体"/>
          <w:color w:val="auto"/>
          <w:sz w:val="24"/>
          <w:highlight w:val="none"/>
        </w:rPr>
      </w:pPr>
      <w:r>
        <w:rPr>
          <w:rFonts w:hint="eastAsia" w:ascii="宋体" w:hAnsi="宋体"/>
          <w:color w:val="auto"/>
          <w:sz w:val="24"/>
          <w:highlight w:val="none"/>
        </w:rPr>
        <w:t>评标</w:t>
      </w:r>
      <w:r>
        <w:rPr>
          <w:rFonts w:ascii="宋体" w:hAnsi="宋体"/>
          <w:color w:val="auto"/>
          <w:sz w:val="24"/>
          <w:highlight w:val="none"/>
        </w:rPr>
        <w:t>委员会并非对每个投标人都做澄清要求</w:t>
      </w:r>
      <w:r>
        <w:rPr>
          <w:rFonts w:hint="eastAsia" w:ascii="宋体" w:hAnsi="宋体"/>
          <w:color w:val="auto"/>
          <w:sz w:val="24"/>
          <w:highlight w:val="none"/>
        </w:rPr>
        <w:t>。</w:t>
      </w:r>
    </w:p>
    <w:p w14:paraId="440B55E5">
      <w:pPr>
        <w:spacing w:line="480" w:lineRule="exact"/>
        <w:ind w:firstLine="480"/>
        <w:rPr>
          <w:rFonts w:hint="eastAsia" w:ascii="宋体" w:hAnsi="宋体"/>
          <w:color w:val="auto"/>
          <w:sz w:val="24"/>
          <w:highlight w:val="none"/>
        </w:rPr>
      </w:pPr>
      <w:r>
        <w:rPr>
          <w:rFonts w:hint="eastAsia" w:ascii="宋体" w:hAnsi="宋体"/>
          <w:color w:val="auto"/>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EBEE452">
      <w:pPr>
        <w:spacing w:line="480" w:lineRule="exact"/>
        <w:rPr>
          <w:rFonts w:hint="eastAsia" w:ascii="宋体" w:hAnsi="宋体"/>
          <w:color w:val="auto"/>
          <w:sz w:val="24"/>
          <w:highlight w:val="none"/>
        </w:rPr>
      </w:pPr>
      <w:r>
        <w:rPr>
          <w:rFonts w:hint="eastAsia" w:ascii="宋体" w:hAnsi="宋体"/>
          <w:color w:val="auto"/>
          <w:sz w:val="24"/>
          <w:highlight w:val="none"/>
        </w:rPr>
        <w:t xml:space="preserve">    24.3 接到评委会澄清、说明和补正要求的投标人如未按规定</w:t>
      </w:r>
      <w:r>
        <w:rPr>
          <w:rFonts w:hint="eastAsia" w:ascii="宋体" w:hAnsi="宋体"/>
          <w:color w:val="auto"/>
          <w:sz w:val="24"/>
          <w:highlight w:val="none"/>
          <w:lang w:val="en-US" w:eastAsia="zh-CN"/>
        </w:rPr>
        <w:t>做</w:t>
      </w:r>
      <w:r>
        <w:rPr>
          <w:rFonts w:hint="eastAsia" w:ascii="宋体" w:hAnsi="宋体"/>
          <w:color w:val="auto"/>
          <w:sz w:val="24"/>
          <w:highlight w:val="none"/>
          <w:lang w:eastAsia="zh-CN"/>
        </w:rPr>
        <w:t>出</w:t>
      </w:r>
      <w:r>
        <w:rPr>
          <w:rFonts w:hint="eastAsia" w:ascii="宋体" w:hAnsi="宋体"/>
          <w:color w:val="auto"/>
          <w:sz w:val="24"/>
          <w:highlight w:val="none"/>
        </w:rPr>
        <w:t>澄清、说明和补正，其风险由投标人自行承担。</w:t>
      </w:r>
    </w:p>
    <w:p w14:paraId="65C4C128">
      <w:pPr>
        <w:pStyle w:val="366"/>
        <w:spacing w:before="0" w:after="0" w:line="240" w:lineRule="auto"/>
        <w:ind w:firstLine="420"/>
        <w:rPr>
          <w:rFonts w:hint="eastAsia"/>
          <w:b w:val="0"/>
          <w:bCs w:val="0"/>
          <w:color w:val="auto"/>
          <w:highlight w:val="none"/>
        </w:rPr>
      </w:pPr>
      <w:bookmarkStart w:id="113" w:name="_Toc513029233"/>
      <w:bookmarkStart w:id="114" w:name="_Toc20823305"/>
      <w:bookmarkStart w:id="115" w:name="_Toc16938549"/>
      <w:r>
        <w:rPr>
          <w:rFonts w:hint="eastAsia"/>
          <w:b w:val="0"/>
          <w:bCs w:val="0"/>
          <w:color w:val="auto"/>
          <w:highlight w:val="none"/>
        </w:rPr>
        <w:t>25、对投标文件的初审</w:t>
      </w:r>
      <w:bookmarkEnd w:id="113"/>
      <w:bookmarkEnd w:id="114"/>
      <w:bookmarkEnd w:id="115"/>
    </w:p>
    <w:p w14:paraId="1A6339B9">
      <w:pPr>
        <w:spacing w:line="460" w:lineRule="exact"/>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7B0674A8">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25.1.1 资格审查：依据法律法规和招标文件的规定，由采购人对投标文件中的资格证明文件进行审查。资格审查的结论，采购人以书面形式向评委会进行反馈。</w:t>
      </w:r>
    </w:p>
    <w:p w14:paraId="219AD9A8">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采购人在进行资格性审查的同时，将在“信用中国”网站（www.creditchina.gov.cn）查询投标人的信用记录，以确定投标人是否具备投标资格</w:t>
      </w:r>
      <w:r>
        <w:rPr>
          <w:rFonts w:hint="eastAsia" w:ascii="宋体" w:hAnsi="宋体"/>
          <w:bCs/>
          <w:color w:val="auto"/>
          <w:sz w:val="24"/>
          <w:highlight w:val="none"/>
          <w:lang w:eastAsia="zh-CN"/>
        </w:rPr>
        <w:t>，</w:t>
      </w:r>
      <w:r>
        <w:rPr>
          <w:rFonts w:hint="eastAsia" w:ascii="宋体" w:hAnsi="宋体"/>
          <w:bCs/>
          <w:color w:val="auto"/>
          <w:sz w:val="24"/>
          <w:highlight w:val="none"/>
        </w:rPr>
        <w:t>查询结果留存并归档。</w:t>
      </w:r>
    </w:p>
    <w:p w14:paraId="3170D4B4">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bCs/>
          <w:color w:val="auto"/>
          <w:sz w:val="24"/>
          <w:highlight w:val="none"/>
          <w:lang w:eastAsia="zh-CN"/>
        </w:rPr>
        <w:t>，</w:t>
      </w:r>
      <w:r>
        <w:rPr>
          <w:rFonts w:hint="eastAsia" w:ascii="宋体" w:hAnsi="宋体"/>
          <w:bCs/>
          <w:color w:val="auto"/>
          <w:sz w:val="24"/>
          <w:highlight w:val="none"/>
        </w:rPr>
        <w:t>联合体成员存在不良信用记录的，视同联合体存在不良应用记录。</w:t>
      </w:r>
    </w:p>
    <w:p w14:paraId="485EF8BF">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25.1.2 符合性审查：依据招标文件的规定，由评委会从投标文件的有效性、完整性和对招标文件的响应程度进行审查，以确定是否对招标文件的实质性要求作出响应。</w:t>
      </w:r>
    </w:p>
    <w:p w14:paraId="48AD0E8F">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 未通过资格审查或符合性审查的投标人，代理公司将在</w:t>
      </w:r>
      <w:r>
        <w:rPr>
          <w:rFonts w:hint="eastAsia" w:ascii="宋体" w:hAnsi="宋体"/>
          <w:color w:val="auto"/>
          <w:sz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w:t>
      </w:r>
      <w:r>
        <w:rPr>
          <w:rFonts w:hint="eastAsia" w:ascii="宋体" w:hAnsi="宋体"/>
          <w:bCs/>
          <w:color w:val="auto"/>
          <w:sz w:val="24"/>
          <w:highlight w:val="none"/>
        </w:rPr>
        <w:t>代理公司</w:t>
      </w:r>
      <w:r>
        <w:rPr>
          <w:rFonts w:ascii="宋体" w:hAnsi="宋体"/>
          <w:bCs/>
          <w:color w:val="auto"/>
          <w:sz w:val="24"/>
          <w:highlight w:val="none"/>
        </w:rPr>
        <w:t>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42A95B3A">
      <w:pPr>
        <w:spacing w:line="460" w:lineRule="exact"/>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4D44976E">
      <w:pPr>
        <w:spacing w:line="46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FD5BF2A">
      <w:pPr>
        <w:spacing w:line="46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.3如果投标文件实质上没有响应招标文件的要求，评委会将予以拒绝，投标人不得通过修改或撤销不合要求的偏离或保留而使其投标成为实质性响应的投标。</w:t>
      </w:r>
    </w:p>
    <w:p w14:paraId="06C99B0B">
      <w:pPr>
        <w:spacing w:line="46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1DEFFC68">
      <w:pPr>
        <w:spacing w:line="46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6BF0A477">
      <w:pPr>
        <w:spacing w:line="46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5107508">
      <w:pPr>
        <w:spacing w:line="46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055A6E09">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4A167848">
      <w:pPr>
        <w:spacing w:line="46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38E5C0D4">
      <w:pPr>
        <w:spacing w:line="460" w:lineRule="exact"/>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color w:val="auto"/>
          <w:sz w:val="24"/>
          <w:highlight w:val="none"/>
        </w:rPr>
        <w:t xml:space="preserve"> </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color w:val="auto"/>
          <w:sz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调整后的价格应对投标人具有约束力。如果投标人不接受修正后的价格，则其投标将被拒绝。</w:t>
      </w:r>
    </w:p>
    <w:p w14:paraId="73CEE893">
      <w:pPr>
        <w:spacing w:line="460" w:lineRule="exact"/>
        <w:ind w:firstLine="420"/>
        <w:rPr>
          <w:rFonts w:hint="eastAsia" w:ascii="宋体" w:hAnsi="宋体"/>
          <w:color w:val="auto"/>
          <w:sz w:val="24"/>
          <w:highlight w:val="none"/>
        </w:rPr>
      </w:pPr>
      <w:bookmarkStart w:id="116" w:name="_Toc20823306"/>
      <w:bookmarkStart w:id="117" w:name="_Toc16938550"/>
      <w:bookmarkStart w:id="118" w:name="_Toc513029234"/>
      <w:r>
        <w:rPr>
          <w:rFonts w:hint="eastAsia" w:ascii="宋体" w:hAnsi="宋体"/>
          <w:color w:val="auto"/>
          <w:sz w:val="24"/>
          <w:highlight w:val="none"/>
        </w:rPr>
        <w:t>25.6投标人在开、评标全过程中应保持通讯畅通，及时登录苏采云系统查阅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并安排专人与代理公司及评标委员会联系。</w:t>
      </w:r>
    </w:p>
    <w:p w14:paraId="3D7E7849">
      <w:pPr>
        <w:pStyle w:val="366"/>
        <w:spacing w:before="0" w:after="0" w:line="240" w:lineRule="auto"/>
        <w:ind w:firstLine="420"/>
        <w:rPr>
          <w:rFonts w:hint="eastAsia"/>
          <w:b w:val="0"/>
          <w:bCs w:val="0"/>
          <w:color w:val="auto"/>
          <w:highlight w:val="none"/>
        </w:rPr>
      </w:pPr>
      <w:r>
        <w:rPr>
          <w:rFonts w:hint="eastAsia"/>
          <w:b w:val="0"/>
          <w:bCs w:val="0"/>
          <w:color w:val="auto"/>
          <w:highlight w:val="none"/>
        </w:rPr>
        <w:t>26、</w:t>
      </w:r>
      <w:bookmarkEnd w:id="116"/>
      <w:bookmarkEnd w:id="117"/>
      <w:bookmarkEnd w:id="118"/>
      <w:r>
        <w:rPr>
          <w:rFonts w:hint="eastAsia"/>
          <w:b w:val="0"/>
          <w:bCs w:val="0"/>
          <w:color w:val="auto"/>
          <w:highlight w:val="none"/>
        </w:rPr>
        <w:t>无效投标条款和废标条款</w:t>
      </w:r>
    </w:p>
    <w:p w14:paraId="0129CDD5">
      <w:pPr>
        <w:spacing w:line="440" w:lineRule="exact"/>
        <w:ind w:left="479"/>
        <w:rPr>
          <w:rFonts w:hint="eastAsia" w:ascii="宋体" w:hAnsi="宋体"/>
          <w:bCs/>
          <w:color w:val="auto"/>
          <w:sz w:val="24"/>
          <w:highlight w:val="none"/>
        </w:rPr>
      </w:pPr>
      <w:bookmarkStart w:id="119" w:name="_Toc513029235"/>
      <w:bookmarkStart w:id="120" w:name="_Toc16938551"/>
      <w:bookmarkStart w:id="121" w:name="_Toc20823307"/>
      <w:r>
        <w:rPr>
          <w:rFonts w:hint="eastAsia" w:ascii="宋体" w:hAnsi="宋体"/>
          <w:bCs/>
          <w:color w:val="auto"/>
          <w:sz w:val="24"/>
          <w:highlight w:val="none"/>
        </w:rPr>
        <w:t>26.1无效投标条款</w:t>
      </w:r>
    </w:p>
    <w:p w14:paraId="22E87586">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 投标人在</w:t>
      </w:r>
      <w:r>
        <w:rPr>
          <w:rFonts w:hint="eastAsia" w:ascii="宋体" w:hAnsi="宋体"/>
          <w:color w:val="auto"/>
          <w:sz w:val="24"/>
          <w:highlight w:val="none"/>
        </w:rPr>
        <w:t>苏采云系统</w:t>
      </w:r>
      <w:r>
        <w:rPr>
          <w:rFonts w:hint="eastAsia" w:ascii="宋体" w:hAnsi="宋体"/>
          <w:bCs/>
          <w:color w:val="auto"/>
          <w:sz w:val="24"/>
          <w:highlight w:val="none"/>
        </w:rPr>
        <w:t>规定的时间内未成功解密电子投标文件的。</w:t>
      </w:r>
    </w:p>
    <w:p w14:paraId="777292E9">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26.1.2 投标人未按照招标文件要求上传电子投标文件的。</w:t>
      </w:r>
    </w:p>
    <w:p w14:paraId="63FD7F8E">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26.1.3同一投标人提交两个（含两个）以上不同的投标报价的。</w:t>
      </w:r>
    </w:p>
    <w:p w14:paraId="733B2241">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26.1.4投标人不具备招标文件中规定资格要求的。</w:t>
      </w:r>
    </w:p>
    <w:p w14:paraId="2F639328">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26.1.5投标人的报价超过了采购预算或最高限价的。</w:t>
      </w:r>
    </w:p>
    <w:p w14:paraId="600D236E">
      <w:pPr>
        <w:spacing w:line="440" w:lineRule="exact"/>
        <w:ind w:firstLine="480"/>
        <w:rPr>
          <w:rFonts w:hint="eastAsia" w:ascii="宋体" w:hAnsi="宋体"/>
          <w:bCs/>
          <w:i/>
          <w:color w:val="auto"/>
          <w:sz w:val="24"/>
          <w:highlight w:val="none"/>
          <w:u w:val="single"/>
        </w:rPr>
      </w:pPr>
      <w:r>
        <w:rPr>
          <w:rFonts w:hint="eastAsia" w:ascii="宋体" w:hAnsi="宋体"/>
          <w:bCs/>
          <w:color w:val="auto"/>
          <w:sz w:val="24"/>
          <w:highlight w:val="none"/>
        </w:rPr>
        <w:t>26.1.6未通过符合性审查的。</w:t>
      </w:r>
    </w:p>
    <w:p w14:paraId="10F39478">
      <w:pPr>
        <w:spacing w:line="440" w:lineRule="exact"/>
        <w:ind w:firstLine="360"/>
        <w:rPr>
          <w:rFonts w:hint="eastAsia" w:ascii="宋体" w:hAnsi="宋体"/>
          <w:bCs/>
          <w:color w:val="auto"/>
          <w:sz w:val="24"/>
          <w:highlight w:val="none"/>
        </w:rPr>
      </w:pPr>
      <w:r>
        <w:rPr>
          <w:rFonts w:hint="eastAsia" w:ascii="宋体" w:hAnsi="宋体"/>
          <w:bCs/>
          <w:color w:val="auto"/>
          <w:sz w:val="24"/>
          <w:highlight w:val="none"/>
        </w:rPr>
        <w:t xml:space="preserve"> 26.1.7不符合招标文件中规定的实质性要求和条件的（本招标文件中加★部分为实质性要求和条件）。</w:t>
      </w:r>
    </w:p>
    <w:p w14:paraId="2DC9FDEE">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2A5DC5F">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26.1.9 投标文件含有采购人不能接受的附加条件的。</w:t>
      </w:r>
    </w:p>
    <w:p w14:paraId="57C26742">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26.1.10（一）评审过程中出现下列情形之一的，评审委员会应当启动异常低价投标（响应）审查程序：</w:t>
      </w:r>
    </w:p>
    <w:p w14:paraId="0EF4E3EE">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1.投标(响应)报价低于全部通过符合性审查供应商投标(响应)报价平均值</w:t>
      </w:r>
      <w:r>
        <w:rPr>
          <w:rFonts w:hint="eastAsia" w:ascii="宋体" w:hAnsi="宋体"/>
          <w:bCs/>
          <w:color w:val="auto"/>
          <w:sz w:val="24"/>
          <w:highlight w:val="none"/>
          <w:lang w:val="en-US" w:eastAsia="zh-CN"/>
        </w:rPr>
        <w:t>50</w:t>
      </w:r>
      <w:r>
        <w:rPr>
          <w:rFonts w:hint="eastAsia" w:ascii="宋体" w:hAnsi="宋体"/>
          <w:bCs/>
          <w:color w:val="auto"/>
          <w:sz w:val="24"/>
          <w:highlight w:val="none"/>
        </w:rPr>
        <w:t>%的，即投标(响应)报价&lt;全部通过符合性审查供应商投标(响应)报价平均值X</w:t>
      </w:r>
      <w:r>
        <w:rPr>
          <w:rFonts w:hint="eastAsia" w:ascii="宋体" w:hAnsi="宋体"/>
          <w:bCs/>
          <w:color w:val="auto"/>
          <w:sz w:val="24"/>
          <w:highlight w:val="none"/>
          <w:lang w:val="en-US" w:eastAsia="zh-CN"/>
        </w:rPr>
        <w:t>50</w:t>
      </w:r>
      <w:r>
        <w:rPr>
          <w:rFonts w:hint="eastAsia" w:ascii="宋体" w:hAnsi="宋体"/>
          <w:bCs/>
          <w:color w:val="auto"/>
          <w:sz w:val="24"/>
          <w:highlight w:val="none"/>
        </w:rPr>
        <w:t>%；</w:t>
      </w:r>
    </w:p>
    <w:p w14:paraId="3529E4AF">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2.投标(响应)报价低于通过符合性审查的次低报价供应商投标(响应)报价</w:t>
      </w:r>
      <w:r>
        <w:rPr>
          <w:rFonts w:hint="eastAsia" w:ascii="宋体" w:hAnsi="宋体"/>
          <w:bCs/>
          <w:color w:val="auto"/>
          <w:sz w:val="24"/>
          <w:highlight w:val="none"/>
          <w:lang w:val="en-US" w:eastAsia="zh-CN"/>
        </w:rPr>
        <w:t>50</w:t>
      </w:r>
      <w:r>
        <w:rPr>
          <w:rFonts w:hint="eastAsia" w:ascii="宋体" w:hAnsi="宋体"/>
          <w:bCs/>
          <w:color w:val="auto"/>
          <w:sz w:val="24"/>
          <w:highlight w:val="none"/>
        </w:rPr>
        <w:t>%的，即投标(响应)报价〈通过符合性审查的次低报价供应商投标(响应)报价X</w:t>
      </w:r>
      <w:r>
        <w:rPr>
          <w:rFonts w:hint="eastAsia" w:ascii="宋体" w:hAnsi="宋体"/>
          <w:bCs/>
          <w:color w:val="auto"/>
          <w:sz w:val="24"/>
          <w:highlight w:val="none"/>
          <w:lang w:val="en-US" w:eastAsia="zh-CN"/>
        </w:rPr>
        <w:t>50</w:t>
      </w:r>
      <w:r>
        <w:rPr>
          <w:rFonts w:hint="eastAsia" w:ascii="宋体" w:hAnsi="宋体"/>
          <w:bCs/>
          <w:color w:val="auto"/>
          <w:sz w:val="24"/>
          <w:highlight w:val="none"/>
        </w:rPr>
        <w:t>%；</w:t>
      </w:r>
    </w:p>
    <w:p w14:paraId="7AF50080">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3.投标(响应)报价低于采购项目最高限价</w:t>
      </w:r>
      <w:r>
        <w:rPr>
          <w:rFonts w:hint="eastAsia" w:ascii="宋体" w:hAnsi="宋体"/>
          <w:bCs/>
          <w:color w:val="auto"/>
          <w:sz w:val="24"/>
          <w:highlight w:val="none"/>
          <w:lang w:val="en-US" w:eastAsia="zh-CN"/>
        </w:rPr>
        <w:t>4</w:t>
      </w:r>
      <w:r>
        <w:rPr>
          <w:rFonts w:hint="eastAsia" w:ascii="宋体" w:hAnsi="宋体"/>
          <w:bCs/>
          <w:color w:val="auto"/>
          <w:sz w:val="24"/>
          <w:highlight w:val="none"/>
        </w:rPr>
        <w:t>5%的，即投标(响应)报价&lt;采购项目最高限价X</w:t>
      </w:r>
      <w:r>
        <w:rPr>
          <w:rFonts w:hint="eastAsia" w:ascii="宋体" w:hAnsi="宋体"/>
          <w:bCs/>
          <w:color w:val="auto"/>
          <w:sz w:val="24"/>
          <w:highlight w:val="none"/>
          <w:lang w:val="en-US" w:eastAsia="zh-CN"/>
        </w:rPr>
        <w:t>4</w:t>
      </w:r>
      <w:r>
        <w:rPr>
          <w:rFonts w:hint="eastAsia" w:ascii="宋体" w:hAnsi="宋体"/>
          <w:bCs/>
          <w:color w:val="auto"/>
          <w:sz w:val="24"/>
          <w:highlight w:val="none"/>
        </w:rPr>
        <w:t>5%；</w:t>
      </w:r>
    </w:p>
    <w:p w14:paraId="3F9C50B2">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4.评审委员会基于专业判断，认为供应商报价过低，有可能影响产品质量或者不能诚信履约的其他情形。</w:t>
      </w:r>
    </w:p>
    <w:p w14:paraId="46A22957">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二)评审委员会启动异常低价投标(响应)审查后，属于前述第1项至第4项情形的，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1719C78">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7E5FC77">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4C59B862">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26.1.11 投标文件未按照招标文件要求加盖CA</w:t>
      </w:r>
      <w:r>
        <w:rPr>
          <w:rFonts w:ascii="宋体" w:hAnsi="宋体"/>
          <w:bCs/>
          <w:color w:val="auto"/>
          <w:sz w:val="24"/>
          <w:highlight w:val="none"/>
        </w:rPr>
        <w:t>电子公章的</w:t>
      </w:r>
      <w:r>
        <w:rPr>
          <w:rFonts w:hint="eastAsia" w:ascii="宋体" w:hAnsi="宋体"/>
          <w:bCs/>
          <w:color w:val="auto"/>
          <w:sz w:val="24"/>
          <w:highlight w:val="none"/>
        </w:rPr>
        <w:t>。</w:t>
      </w:r>
    </w:p>
    <w:p w14:paraId="4007B8E2">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26.1.12其他法律、法规及本招标文件规定的属无效投标的情形。</w:t>
      </w:r>
    </w:p>
    <w:p w14:paraId="31D85EC2">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26.2废标条款</w:t>
      </w:r>
    </w:p>
    <w:p w14:paraId="31637D4A">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26.2.1符合专业条件的供应商或者对招标文件作实质响应的供应商不足三家的。26.2.2出现影响采购公正的违法、违规行为的。</w:t>
      </w:r>
    </w:p>
    <w:p w14:paraId="1D4B8C82">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4B970D18">
      <w:pPr>
        <w:spacing w:line="440" w:lineRule="exact"/>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3E4BCFF0">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color w:val="auto"/>
          <w:sz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r>
        <w:rPr>
          <w:rFonts w:ascii="宋体" w:hAnsi="宋体"/>
          <w:bCs/>
          <w:color w:val="auto"/>
          <w:sz w:val="24"/>
          <w:highlight w:val="none"/>
        </w:rPr>
        <w:t>。</w:t>
      </w:r>
    </w:p>
    <w:p w14:paraId="28E60E99">
      <w:pPr>
        <w:spacing w:line="440" w:lineRule="exact"/>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5B0795E8">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2059BC0">
      <w:pPr>
        <w:pStyle w:val="390"/>
        <w:spacing w:before="145" w:after="145" w:line="360" w:lineRule="auto"/>
        <w:ind w:firstLine="482"/>
        <w:rPr>
          <w:rFonts w:hint="eastAsia"/>
          <w:color w:val="auto"/>
          <w:highlight w:val="none"/>
        </w:rPr>
      </w:pPr>
      <w:bookmarkStart w:id="122" w:name="_Toc120614219"/>
      <w:r>
        <w:rPr>
          <w:rFonts w:hint="eastAsia"/>
          <w:color w:val="auto"/>
          <w:highlight w:val="none"/>
        </w:rPr>
        <w:t>六、</w:t>
      </w:r>
      <w:bookmarkEnd w:id="119"/>
      <w:bookmarkEnd w:id="120"/>
      <w:bookmarkEnd w:id="121"/>
      <w:r>
        <w:rPr>
          <w:rFonts w:hint="eastAsia"/>
          <w:color w:val="auto"/>
          <w:highlight w:val="none"/>
        </w:rPr>
        <w:t>定标</w:t>
      </w:r>
      <w:bookmarkEnd w:id="122"/>
    </w:p>
    <w:p w14:paraId="538F9BB8">
      <w:pPr>
        <w:pStyle w:val="366"/>
        <w:spacing w:before="0" w:after="0" w:line="240" w:lineRule="auto"/>
        <w:ind w:firstLine="600"/>
        <w:rPr>
          <w:rFonts w:hint="eastAsia" w:ascii="黑体" w:hAnsi="宋体" w:cs="Times New Roman"/>
          <w:b w:val="0"/>
          <w:color w:val="auto"/>
          <w:sz w:val="30"/>
          <w:szCs w:val="30"/>
          <w:highlight w:val="none"/>
        </w:rPr>
      </w:pPr>
      <w:bookmarkStart w:id="123" w:name="_Toc513029238"/>
      <w:bookmarkStart w:id="124" w:name="_Toc20823310"/>
      <w:bookmarkStart w:id="125" w:name="_Toc16938554"/>
      <w:r>
        <w:rPr>
          <w:rFonts w:hint="eastAsia" w:ascii="黑体" w:hAnsi="宋体" w:cs="Times New Roman"/>
          <w:b w:val="0"/>
          <w:color w:val="auto"/>
          <w:sz w:val="30"/>
          <w:szCs w:val="30"/>
          <w:highlight w:val="none"/>
        </w:rPr>
        <w:t>27、</w:t>
      </w:r>
      <w:bookmarkEnd w:id="123"/>
      <w:r>
        <w:rPr>
          <w:rFonts w:hint="eastAsia" w:ascii="黑体" w:hAnsi="宋体" w:cs="Times New Roman"/>
          <w:b w:val="0"/>
          <w:color w:val="auto"/>
          <w:sz w:val="30"/>
          <w:szCs w:val="30"/>
          <w:highlight w:val="none"/>
        </w:rPr>
        <w:t>确定</w:t>
      </w:r>
      <w:bookmarkEnd w:id="124"/>
      <w:bookmarkEnd w:id="125"/>
      <w:r>
        <w:rPr>
          <w:rFonts w:hint="eastAsia" w:ascii="黑体" w:hAnsi="宋体" w:cs="Times New Roman"/>
          <w:b w:val="0"/>
          <w:color w:val="auto"/>
          <w:sz w:val="30"/>
          <w:szCs w:val="30"/>
          <w:highlight w:val="none"/>
        </w:rPr>
        <w:t>中标单位</w:t>
      </w:r>
    </w:p>
    <w:p w14:paraId="0F090DB8">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p>
    <w:p w14:paraId="27F13B03">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27.2 采购人应根据评委会推荐的中标候选人确定中标人。</w:t>
      </w:r>
    </w:p>
    <w:p w14:paraId="40E0F38D">
      <w:pPr>
        <w:spacing w:line="480" w:lineRule="exact"/>
        <w:ind w:firstLine="480"/>
        <w:rPr>
          <w:rFonts w:hint="eastAsia" w:ascii="宋体" w:hAnsi="宋体"/>
          <w:color w:val="auto"/>
          <w:sz w:val="24"/>
          <w:highlight w:val="none"/>
        </w:rPr>
      </w:pPr>
      <w:r>
        <w:rPr>
          <w:rFonts w:hint="eastAsia" w:ascii="宋体" w:hAnsi="宋体"/>
          <w:bCs/>
          <w:color w:val="auto"/>
          <w:sz w:val="24"/>
          <w:highlight w:val="none"/>
        </w:rPr>
        <w:t xml:space="preserve">27.3 </w:t>
      </w:r>
      <w:r>
        <w:rPr>
          <w:rFonts w:hint="eastAsia" w:ascii="宋体" w:hAnsi="宋体"/>
          <w:color w:val="auto"/>
          <w:sz w:val="24"/>
          <w:highlight w:val="none"/>
        </w:rPr>
        <w:t>代理公司将在“江苏政府采购网”发布中标公告，公告期限为1个工作日。</w:t>
      </w:r>
    </w:p>
    <w:p w14:paraId="647759CF">
      <w:pPr>
        <w:spacing w:line="480" w:lineRule="exact"/>
        <w:ind w:firstLine="480"/>
        <w:rPr>
          <w:rFonts w:hint="eastAsia" w:ascii="宋体" w:hAnsi="宋体"/>
          <w:color w:val="auto"/>
          <w:sz w:val="24"/>
          <w:highlight w:val="none"/>
        </w:rPr>
      </w:pPr>
      <w:r>
        <w:rPr>
          <w:rFonts w:hint="eastAsia" w:ascii="宋体" w:hAnsi="宋体"/>
          <w:color w:val="auto"/>
          <w:sz w:val="24"/>
          <w:highlight w:val="none"/>
        </w:rPr>
        <w:t>27.4  若有充分证据证明，中标人出现下列情况之一的，一经查实，将被取消中标资格：</w:t>
      </w:r>
    </w:p>
    <w:p w14:paraId="1A12D53C">
      <w:pPr>
        <w:spacing w:line="480" w:lineRule="exact"/>
        <w:ind w:firstLine="480"/>
        <w:rPr>
          <w:rFonts w:hint="eastAsia" w:ascii="宋体" w:hAnsi="宋体"/>
          <w:color w:val="auto"/>
          <w:sz w:val="24"/>
          <w:highlight w:val="none"/>
        </w:rPr>
      </w:pPr>
      <w:r>
        <w:rPr>
          <w:rFonts w:hint="eastAsia" w:ascii="宋体" w:hAnsi="宋体"/>
          <w:color w:val="auto"/>
          <w:sz w:val="24"/>
          <w:highlight w:val="none"/>
        </w:rPr>
        <w:t>27.4.1提供虚假材料谋取中标的。</w:t>
      </w:r>
    </w:p>
    <w:p w14:paraId="4BEB88FA">
      <w:pPr>
        <w:spacing w:line="480" w:lineRule="exact"/>
        <w:ind w:firstLine="480"/>
        <w:rPr>
          <w:rFonts w:hint="eastAsia" w:ascii="宋体" w:hAnsi="宋体"/>
          <w:color w:val="auto"/>
          <w:sz w:val="24"/>
          <w:highlight w:val="none"/>
        </w:rPr>
      </w:pPr>
      <w:r>
        <w:rPr>
          <w:rFonts w:hint="eastAsia" w:ascii="宋体" w:hAnsi="宋体"/>
          <w:color w:val="auto"/>
          <w:sz w:val="24"/>
          <w:highlight w:val="none"/>
        </w:rPr>
        <w:t>27.4.2向采购人、代理公司行贿或者提供其他不正当利益的。</w:t>
      </w:r>
    </w:p>
    <w:p w14:paraId="4AC94B5C">
      <w:pPr>
        <w:spacing w:line="480" w:lineRule="exact"/>
        <w:ind w:firstLine="480"/>
        <w:rPr>
          <w:rFonts w:hint="eastAsia" w:ascii="宋体" w:hAnsi="宋体"/>
          <w:color w:val="auto"/>
          <w:sz w:val="24"/>
          <w:highlight w:val="none"/>
        </w:rPr>
      </w:pPr>
      <w:r>
        <w:rPr>
          <w:rFonts w:hint="eastAsia" w:ascii="宋体" w:hAnsi="宋体"/>
          <w:color w:val="auto"/>
          <w:sz w:val="24"/>
          <w:highlight w:val="none"/>
        </w:rPr>
        <w:t>27.4.3属于本文件规定的无效条件，但在评标过程中又未被评委会发现的。</w:t>
      </w:r>
    </w:p>
    <w:p w14:paraId="2BA2C7B1">
      <w:pPr>
        <w:spacing w:line="480" w:lineRule="exact"/>
        <w:ind w:firstLine="480"/>
        <w:rPr>
          <w:rFonts w:hint="eastAsia" w:ascii="宋体" w:hAnsi="宋体"/>
          <w:color w:val="auto"/>
          <w:sz w:val="24"/>
          <w:highlight w:val="none"/>
        </w:rPr>
      </w:pPr>
      <w:r>
        <w:rPr>
          <w:rFonts w:hint="eastAsia" w:ascii="宋体" w:hAnsi="宋体"/>
          <w:color w:val="auto"/>
          <w:sz w:val="24"/>
          <w:highlight w:val="none"/>
        </w:rPr>
        <w:t>27.4.4与采购人或者其他供应商恶意串通的。</w:t>
      </w:r>
    </w:p>
    <w:p w14:paraId="59E3F8A3">
      <w:pPr>
        <w:spacing w:line="480" w:lineRule="exact"/>
        <w:ind w:firstLine="480"/>
        <w:rPr>
          <w:rFonts w:hint="eastAsia" w:ascii="宋体" w:hAnsi="宋体"/>
          <w:color w:val="auto"/>
          <w:sz w:val="24"/>
          <w:highlight w:val="none"/>
        </w:rPr>
      </w:pPr>
      <w:r>
        <w:rPr>
          <w:rFonts w:hint="eastAsia" w:ascii="宋体" w:hAnsi="宋体"/>
          <w:color w:val="auto"/>
          <w:sz w:val="24"/>
          <w:highlight w:val="none"/>
        </w:rPr>
        <w:t>27.4.5采取不正当手段诋毁、排挤其他供应商的。</w:t>
      </w:r>
    </w:p>
    <w:p w14:paraId="2ABC236C">
      <w:pPr>
        <w:spacing w:line="480" w:lineRule="exact"/>
        <w:ind w:firstLine="480"/>
        <w:rPr>
          <w:rFonts w:ascii="宋体" w:hAnsi="宋体"/>
          <w:color w:val="auto"/>
          <w:sz w:val="24"/>
          <w:highlight w:val="none"/>
        </w:rPr>
      </w:pPr>
      <w:bookmarkStart w:id="126" w:name="_Toc200451960"/>
      <w:r>
        <w:rPr>
          <w:rFonts w:hint="eastAsia" w:ascii="宋体" w:hAnsi="宋体"/>
          <w:color w:val="auto"/>
          <w:sz w:val="24"/>
          <w:highlight w:val="none"/>
        </w:rPr>
        <w:t xml:space="preserve">27.5 </w:t>
      </w:r>
      <w:r>
        <w:rPr>
          <w:rFonts w:hAnsi="宋体" w:cs="宋体"/>
          <w:color w:val="auto"/>
          <w:sz w:val="24"/>
          <w:highlight w:val="none"/>
        </w:rPr>
        <w:t>有下列情形之一的，</w:t>
      </w:r>
      <w:r>
        <w:rPr>
          <w:rFonts w:hint="eastAsia" w:hAnsi="宋体" w:cs="宋体"/>
          <w:color w:val="auto"/>
          <w:sz w:val="24"/>
          <w:highlight w:val="none"/>
        </w:rPr>
        <w:t>视为投标人</w:t>
      </w:r>
      <w:r>
        <w:rPr>
          <w:rFonts w:hAnsi="宋体" w:cs="宋体"/>
          <w:color w:val="auto"/>
          <w:sz w:val="24"/>
          <w:highlight w:val="none"/>
        </w:rPr>
        <w:t>串通</w:t>
      </w:r>
      <w:r>
        <w:rPr>
          <w:rFonts w:hint="eastAsia" w:hAnsi="宋体" w:cs="宋体"/>
          <w:color w:val="auto"/>
          <w:sz w:val="24"/>
          <w:highlight w:val="none"/>
        </w:rPr>
        <w:t>投标，投标无效：</w:t>
      </w:r>
    </w:p>
    <w:p w14:paraId="50ACD186">
      <w:pPr>
        <w:spacing w:line="480" w:lineRule="exact"/>
        <w:ind w:firstLine="480"/>
        <w:rPr>
          <w:rFonts w:ascii="宋体" w:hAnsi="宋体"/>
          <w:color w:val="auto"/>
          <w:sz w:val="24"/>
          <w:highlight w:val="none"/>
        </w:rPr>
      </w:pPr>
      <w:r>
        <w:rPr>
          <w:rFonts w:hint="eastAsia" w:ascii="宋体" w:hAnsi="宋体"/>
          <w:color w:val="auto"/>
          <w:sz w:val="24"/>
          <w:highlight w:val="none"/>
        </w:rPr>
        <w:t>27.5.1不同投标人的投标文件由同一单位或者个人编制。</w:t>
      </w:r>
    </w:p>
    <w:p w14:paraId="7E4BD4DB">
      <w:pPr>
        <w:spacing w:line="480" w:lineRule="exact"/>
        <w:ind w:firstLine="480"/>
        <w:rPr>
          <w:rFonts w:ascii="宋体" w:hAnsi="宋体"/>
          <w:color w:val="auto"/>
          <w:sz w:val="24"/>
          <w:highlight w:val="none"/>
        </w:rPr>
      </w:pPr>
      <w:r>
        <w:rPr>
          <w:rFonts w:hint="eastAsia" w:ascii="宋体" w:hAnsi="宋体"/>
          <w:color w:val="auto"/>
          <w:sz w:val="24"/>
          <w:highlight w:val="none"/>
        </w:rPr>
        <w:t>27.5.2不同投标人委托同一单位或者个人办理投标事宜。</w:t>
      </w:r>
    </w:p>
    <w:p w14:paraId="761A9D95">
      <w:pPr>
        <w:spacing w:line="480" w:lineRule="exact"/>
        <w:ind w:firstLine="480"/>
        <w:rPr>
          <w:rFonts w:ascii="宋体" w:hAnsi="宋体"/>
          <w:color w:val="auto"/>
          <w:sz w:val="24"/>
          <w:highlight w:val="none"/>
        </w:rPr>
      </w:pPr>
      <w:r>
        <w:rPr>
          <w:rFonts w:hint="eastAsia" w:ascii="宋体" w:hAnsi="宋体"/>
          <w:color w:val="auto"/>
          <w:sz w:val="24"/>
          <w:highlight w:val="none"/>
        </w:rPr>
        <w:t>27.5.3 不同投标人的投标文件载明的项目管理成员或者联系人员为同一人。</w:t>
      </w:r>
    </w:p>
    <w:p w14:paraId="29EC8971">
      <w:pPr>
        <w:spacing w:line="480" w:lineRule="exact"/>
        <w:ind w:firstLine="480"/>
        <w:rPr>
          <w:rFonts w:ascii="宋体" w:hAnsi="宋体"/>
          <w:color w:val="auto"/>
          <w:sz w:val="24"/>
          <w:highlight w:val="none"/>
        </w:rPr>
      </w:pPr>
      <w:r>
        <w:rPr>
          <w:rFonts w:hint="eastAsia" w:ascii="宋体" w:hAnsi="宋体"/>
          <w:color w:val="auto"/>
          <w:sz w:val="24"/>
          <w:highlight w:val="none"/>
        </w:rPr>
        <w:t>27.5.4不同投标人的投标文件异常一致或者投标报价呈规律性差异。</w:t>
      </w:r>
    </w:p>
    <w:p w14:paraId="079495FF">
      <w:pPr>
        <w:pStyle w:val="366"/>
        <w:spacing w:before="0" w:after="0" w:line="240" w:lineRule="auto"/>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28、质疑处理</w:t>
      </w:r>
      <w:bookmarkEnd w:id="126"/>
    </w:p>
    <w:p w14:paraId="43E220A1">
      <w:pPr>
        <w:spacing w:line="480" w:lineRule="exact"/>
        <w:ind w:firstLine="480"/>
        <w:rPr>
          <w:rFonts w:hint="eastAsia" w:ascii="宋体" w:hAnsi="宋体"/>
          <w:color w:val="auto"/>
          <w:sz w:val="24"/>
          <w:highlight w:val="none"/>
        </w:rPr>
      </w:pPr>
      <w:r>
        <w:rPr>
          <w:rFonts w:hint="eastAsia" w:ascii="宋体" w:hAnsi="宋体"/>
          <w:color w:val="auto"/>
          <w:sz w:val="24"/>
          <w:highlight w:val="none"/>
        </w:rPr>
        <w:t>28.1 提出质疑的供应商应当是参与所质疑项目采购活动的供应商。潜在供应商依法获取其可质疑的采购文件的，可以对采购文件提出质疑。</w:t>
      </w:r>
    </w:p>
    <w:p w14:paraId="3C6B408E">
      <w:pPr>
        <w:spacing w:line="480" w:lineRule="exact"/>
        <w:ind w:firstLine="480"/>
        <w:rPr>
          <w:rFonts w:hint="eastAsia" w:ascii="宋体" w:hAnsi="宋体"/>
          <w:color w:val="auto"/>
          <w:sz w:val="24"/>
          <w:highlight w:val="none"/>
        </w:rPr>
      </w:pPr>
      <w:r>
        <w:rPr>
          <w:rFonts w:hint="eastAsia" w:ascii="宋体" w:hAnsi="宋体"/>
          <w:color w:val="auto"/>
          <w:sz w:val="24"/>
          <w:highlight w:val="none"/>
        </w:rPr>
        <w:t>28.2供应商认为采购文件、采购过程和采购结果使自己的权益受到损害的，可以在知道或应知其权益受到损害之日起七个工作日内，以书面形式根据下述28.4条款的规定向代理公司或采购人提出质疑。上述应知其权益受到损害之日，是指：</w:t>
      </w:r>
    </w:p>
    <w:p w14:paraId="56074D60">
      <w:pPr>
        <w:spacing w:line="480" w:lineRule="exact"/>
        <w:ind w:firstLine="480"/>
        <w:rPr>
          <w:rFonts w:hint="eastAsia" w:hAnsi="宋体" w:cs="宋体"/>
          <w:color w:val="auto"/>
          <w:sz w:val="24"/>
          <w:highlight w:val="none"/>
        </w:rPr>
      </w:pPr>
      <w:r>
        <w:rPr>
          <w:rFonts w:hint="eastAsia" w:ascii="宋体" w:hAnsi="宋体"/>
          <w:color w:val="auto"/>
          <w:sz w:val="24"/>
          <w:highlight w:val="none"/>
        </w:rPr>
        <w:t>28.2.1</w:t>
      </w:r>
      <w:r>
        <w:rPr>
          <w:rFonts w:hAnsi="宋体" w:cs="宋体"/>
          <w:color w:val="auto"/>
          <w:sz w:val="24"/>
          <w:highlight w:val="none"/>
        </w:rPr>
        <w:t>对可以质疑的采购文件提出质疑的，为收到采购文件之日或者采购文件公告期限届满之日；</w:t>
      </w:r>
    </w:p>
    <w:p w14:paraId="1AFD5801">
      <w:pPr>
        <w:spacing w:line="480" w:lineRule="exact"/>
        <w:ind w:firstLine="480"/>
        <w:rPr>
          <w:rFonts w:hint="eastAsia" w:hAnsi="宋体" w:cs="宋体"/>
          <w:color w:val="auto"/>
          <w:sz w:val="24"/>
          <w:highlight w:val="none"/>
        </w:rPr>
      </w:pPr>
      <w:r>
        <w:rPr>
          <w:rFonts w:hint="eastAsia" w:ascii="宋体" w:hAnsi="宋体"/>
          <w:color w:val="auto"/>
          <w:sz w:val="24"/>
          <w:highlight w:val="none"/>
        </w:rPr>
        <w:t>28.2.2</w:t>
      </w:r>
      <w:r>
        <w:rPr>
          <w:rFonts w:hAnsi="宋体" w:cs="宋体"/>
          <w:color w:val="auto"/>
          <w:sz w:val="24"/>
          <w:highlight w:val="none"/>
        </w:rPr>
        <w:t>对采购过程提出质疑的，为各采购程序环节结束之日；</w:t>
      </w:r>
    </w:p>
    <w:p w14:paraId="27DFC84D">
      <w:pPr>
        <w:spacing w:line="480" w:lineRule="exact"/>
        <w:ind w:firstLine="480"/>
        <w:rPr>
          <w:rFonts w:hint="eastAsia" w:hAnsi="宋体" w:cs="宋体"/>
          <w:color w:val="auto"/>
          <w:sz w:val="24"/>
          <w:highlight w:val="none"/>
        </w:rPr>
      </w:pPr>
      <w:r>
        <w:rPr>
          <w:rFonts w:hint="eastAsia" w:ascii="宋体" w:hAnsi="宋体"/>
          <w:color w:val="auto"/>
          <w:sz w:val="24"/>
          <w:highlight w:val="none"/>
        </w:rPr>
        <w:t>28.2.3</w:t>
      </w:r>
      <w:r>
        <w:rPr>
          <w:rFonts w:hAnsi="宋体" w:cs="宋体"/>
          <w:color w:val="auto"/>
          <w:sz w:val="24"/>
          <w:highlight w:val="none"/>
        </w:rPr>
        <w:t>对中标或者成交结果提出质疑的，为中标或者成交结果公告期限届满之日。</w:t>
      </w:r>
    </w:p>
    <w:p w14:paraId="662FD6E0">
      <w:pPr>
        <w:spacing w:line="480" w:lineRule="exact"/>
        <w:ind w:firstLine="480"/>
        <w:rPr>
          <w:rFonts w:hint="eastAsia" w:hAnsi="宋体" w:cs="宋体"/>
          <w:color w:val="auto"/>
          <w:sz w:val="24"/>
          <w:highlight w:val="none"/>
        </w:rPr>
      </w:pPr>
      <w:r>
        <w:rPr>
          <w:rFonts w:hint="eastAsia" w:hAnsi="宋体" w:cs="宋体"/>
          <w:color w:val="auto"/>
          <w:sz w:val="24"/>
          <w:highlight w:val="none"/>
        </w:rPr>
        <w:t>供应商应当在法定质疑期内一次性提出针对同一采购程序环节的质疑。供应商如在法定期限内对同一采购程序环节提出多次质疑的，代理公司、</w:t>
      </w:r>
      <w:r>
        <w:rPr>
          <w:rFonts w:hAnsi="宋体" w:cs="宋体"/>
          <w:color w:val="auto"/>
          <w:sz w:val="24"/>
          <w:highlight w:val="none"/>
        </w:rPr>
        <w:t>采购人</w:t>
      </w:r>
      <w:r>
        <w:rPr>
          <w:rFonts w:hint="eastAsia" w:hAnsi="宋体" w:cs="宋体"/>
          <w:color w:val="auto"/>
          <w:sz w:val="24"/>
          <w:highlight w:val="none"/>
        </w:rPr>
        <w:t>将只对供应商第一次质疑作出答复。</w:t>
      </w:r>
    </w:p>
    <w:p w14:paraId="7075CD81">
      <w:pPr>
        <w:spacing w:line="480" w:lineRule="exact"/>
        <w:ind w:firstLine="480"/>
        <w:rPr>
          <w:rFonts w:hint="eastAsia" w:ascii="宋体" w:hAnsi="宋体"/>
          <w:color w:val="auto"/>
          <w:sz w:val="24"/>
          <w:highlight w:val="none"/>
        </w:rPr>
      </w:pPr>
      <w:r>
        <w:rPr>
          <w:rFonts w:hint="eastAsia" w:ascii="宋体" w:hAnsi="宋体"/>
          <w:color w:val="auto"/>
          <w:sz w:val="24"/>
          <w:highlight w:val="none"/>
        </w:rPr>
        <w:t>28.3质疑函必须按照《质疑函范本》要求的格式和内容进行填写。供应商如组成联合体参加投标，则《质疑函范本》中要求签字、盖章、加盖公章之处，联合体各方均须按要求签字、盖章、加盖公章。</w:t>
      </w:r>
    </w:p>
    <w:p w14:paraId="50019AA3">
      <w:pPr>
        <w:spacing w:line="480" w:lineRule="exact"/>
        <w:ind w:firstLine="480"/>
        <w:rPr>
          <w:rFonts w:ascii="宋体" w:hAnsi="宋体"/>
          <w:b/>
          <w:color w:val="auto"/>
          <w:sz w:val="24"/>
          <w:highlight w:val="none"/>
        </w:rPr>
      </w:pPr>
      <w:r>
        <w:rPr>
          <w:rFonts w:hint="eastAsia" w:ascii="宋体" w:hAnsi="宋体"/>
          <w:color w:val="auto"/>
          <w:sz w:val="24"/>
          <w:highlight w:val="none"/>
        </w:rPr>
        <w:t>28.4供应商（含</w:t>
      </w:r>
      <w:r>
        <w:rPr>
          <w:rFonts w:ascii="宋体" w:hAnsi="宋体"/>
          <w:color w:val="auto"/>
          <w:sz w:val="24"/>
          <w:highlight w:val="none"/>
        </w:rPr>
        <w:t>潜在供应商）</w:t>
      </w:r>
      <w:r>
        <w:rPr>
          <w:rFonts w:hint="eastAsia" w:ascii="宋体" w:hAnsi="宋体"/>
          <w:color w:val="auto"/>
          <w:sz w:val="24"/>
          <w:highlight w:val="none"/>
        </w:rPr>
        <w:t>对</w:t>
      </w:r>
      <w:r>
        <w:rPr>
          <w:rFonts w:ascii="宋体" w:hAnsi="宋体"/>
          <w:color w:val="auto"/>
          <w:sz w:val="24"/>
          <w:highlight w:val="none"/>
        </w:rPr>
        <w:t>采购方式、</w:t>
      </w:r>
      <w:r>
        <w:rPr>
          <w:rFonts w:hint="eastAsia" w:ascii="宋体" w:hAnsi="宋体"/>
          <w:color w:val="auto"/>
          <w:sz w:val="24"/>
          <w:highlight w:val="none"/>
        </w:rPr>
        <w:t>采购</w:t>
      </w:r>
      <w:r>
        <w:rPr>
          <w:rFonts w:ascii="宋体" w:hAnsi="宋体"/>
          <w:color w:val="auto"/>
          <w:sz w:val="24"/>
          <w:highlight w:val="none"/>
        </w:rPr>
        <w:t>需求、</w:t>
      </w:r>
      <w:r>
        <w:rPr>
          <w:rFonts w:hint="eastAsia" w:ascii="宋体" w:hAnsi="宋体"/>
          <w:color w:val="auto"/>
          <w:sz w:val="24"/>
          <w:highlight w:val="none"/>
        </w:rPr>
        <w:t>供应商</w:t>
      </w:r>
      <w:r>
        <w:rPr>
          <w:rFonts w:ascii="宋体" w:hAnsi="宋体"/>
          <w:color w:val="auto"/>
          <w:sz w:val="24"/>
          <w:highlight w:val="none"/>
        </w:rPr>
        <w:t>资格条件</w:t>
      </w:r>
      <w:r>
        <w:rPr>
          <w:rFonts w:hint="eastAsia" w:ascii="宋体" w:hAnsi="宋体"/>
          <w:color w:val="auto"/>
          <w:sz w:val="24"/>
          <w:highlight w:val="none"/>
        </w:rPr>
        <w:t>及</w:t>
      </w:r>
      <w:r>
        <w:rPr>
          <w:rFonts w:ascii="宋体" w:hAnsi="宋体"/>
          <w:color w:val="auto"/>
          <w:sz w:val="24"/>
          <w:highlight w:val="none"/>
        </w:rPr>
        <w:t>审查结果、</w:t>
      </w:r>
      <w:r>
        <w:rPr>
          <w:rFonts w:hint="eastAsia" w:ascii="宋体" w:hAnsi="宋体"/>
          <w:color w:val="auto"/>
          <w:sz w:val="24"/>
          <w:highlight w:val="none"/>
        </w:rPr>
        <w:t>评标方法</w:t>
      </w:r>
      <w:r>
        <w:rPr>
          <w:rFonts w:ascii="宋体" w:hAnsi="宋体"/>
          <w:color w:val="auto"/>
          <w:sz w:val="24"/>
          <w:highlight w:val="none"/>
        </w:rPr>
        <w:t>和评标标准、合同文本</w:t>
      </w:r>
      <w:r>
        <w:rPr>
          <w:rFonts w:hint="eastAsia" w:ascii="宋体" w:hAnsi="宋体"/>
          <w:color w:val="auto"/>
          <w:sz w:val="24"/>
          <w:highlight w:val="none"/>
        </w:rPr>
        <w:t>的</w:t>
      </w:r>
      <w:r>
        <w:rPr>
          <w:rFonts w:ascii="宋体" w:hAnsi="宋体"/>
          <w:color w:val="auto"/>
          <w:sz w:val="24"/>
          <w:highlight w:val="none"/>
        </w:rPr>
        <w:t>询问</w:t>
      </w:r>
      <w:r>
        <w:rPr>
          <w:rFonts w:hint="eastAsia" w:ascii="宋体" w:hAnsi="宋体"/>
          <w:color w:val="auto"/>
          <w:sz w:val="24"/>
          <w:highlight w:val="none"/>
        </w:rPr>
        <w:t>、质疑</w:t>
      </w:r>
      <w:r>
        <w:rPr>
          <w:rFonts w:ascii="宋体" w:hAnsi="宋体"/>
          <w:color w:val="auto"/>
          <w:sz w:val="24"/>
          <w:highlight w:val="none"/>
        </w:rPr>
        <w:t>请向采购人提出，由采购人负责答复。</w:t>
      </w:r>
      <w:r>
        <w:rPr>
          <w:rFonts w:hint="eastAsia" w:ascii="宋体" w:hAnsi="宋体"/>
          <w:color w:val="auto"/>
          <w:sz w:val="24"/>
          <w:highlight w:val="none"/>
        </w:rPr>
        <w:t>供应商对除</w:t>
      </w:r>
      <w:r>
        <w:rPr>
          <w:rFonts w:ascii="宋体" w:hAnsi="宋体"/>
          <w:color w:val="auto"/>
          <w:sz w:val="24"/>
          <w:highlight w:val="none"/>
        </w:rPr>
        <w:t>上述事项以外其他事项</w:t>
      </w:r>
      <w:r>
        <w:rPr>
          <w:rFonts w:hint="eastAsia" w:ascii="宋体" w:hAnsi="宋体"/>
          <w:color w:val="auto"/>
          <w:sz w:val="24"/>
          <w:highlight w:val="none"/>
        </w:rPr>
        <w:t>的询问</w:t>
      </w:r>
      <w:r>
        <w:rPr>
          <w:rFonts w:ascii="宋体" w:hAnsi="宋体"/>
          <w:color w:val="auto"/>
          <w:sz w:val="24"/>
          <w:highlight w:val="none"/>
        </w:rPr>
        <w:t>、质疑请向</w:t>
      </w:r>
      <w:r>
        <w:rPr>
          <w:rFonts w:hint="eastAsia" w:ascii="宋体" w:hAnsi="宋体"/>
          <w:color w:val="auto"/>
          <w:sz w:val="24"/>
          <w:highlight w:val="none"/>
        </w:rPr>
        <w:t>代理公司</w:t>
      </w:r>
      <w:r>
        <w:rPr>
          <w:rFonts w:ascii="宋体" w:hAnsi="宋体"/>
          <w:color w:val="auto"/>
          <w:sz w:val="24"/>
          <w:highlight w:val="none"/>
        </w:rPr>
        <w:t>提出，由</w:t>
      </w:r>
      <w:r>
        <w:rPr>
          <w:rFonts w:hint="eastAsia" w:ascii="宋体" w:hAnsi="宋体"/>
          <w:color w:val="auto"/>
          <w:sz w:val="24"/>
          <w:highlight w:val="none"/>
        </w:rPr>
        <w:t>代理公司负责</w:t>
      </w:r>
      <w:r>
        <w:rPr>
          <w:rFonts w:ascii="宋体" w:hAnsi="宋体"/>
          <w:color w:val="auto"/>
          <w:sz w:val="24"/>
          <w:highlight w:val="none"/>
        </w:rPr>
        <w:t>答复。</w:t>
      </w:r>
    </w:p>
    <w:p w14:paraId="7D2DCC04">
      <w:pPr>
        <w:spacing w:line="480" w:lineRule="exact"/>
        <w:ind w:firstLine="482"/>
        <w:rPr>
          <w:rFonts w:hint="eastAsia" w:ascii="宋体" w:hAnsi="宋体"/>
          <w:b/>
          <w:color w:val="auto"/>
          <w:sz w:val="24"/>
          <w:highlight w:val="none"/>
        </w:rPr>
      </w:pPr>
      <w:r>
        <w:rPr>
          <w:rFonts w:hint="eastAsia" w:ascii="宋体" w:hAnsi="宋体"/>
          <w:color w:val="auto"/>
          <w:sz w:val="24"/>
          <w:highlight w:val="none"/>
        </w:rPr>
        <w:t>供应商（含</w:t>
      </w:r>
      <w:r>
        <w:rPr>
          <w:rFonts w:ascii="宋体" w:hAnsi="宋体"/>
          <w:color w:val="auto"/>
          <w:sz w:val="24"/>
          <w:highlight w:val="none"/>
        </w:rPr>
        <w:t>潜在供应商）</w:t>
      </w:r>
      <w:r>
        <w:rPr>
          <w:rFonts w:hint="eastAsia" w:ascii="宋体" w:hAnsi="宋体"/>
          <w:color w:val="auto"/>
          <w:sz w:val="24"/>
          <w:highlight w:val="none"/>
        </w:rPr>
        <w:t>对与</w:t>
      </w:r>
      <w:r>
        <w:rPr>
          <w:rFonts w:ascii="宋体" w:hAnsi="宋体"/>
          <w:color w:val="auto"/>
          <w:sz w:val="24"/>
          <w:highlight w:val="none"/>
        </w:rPr>
        <w:t>本项目</w:t>
      </w:r>
      <w:r>
        <w:rPr>
          <w:rFonts w:hint="eastAsia" w:ascii="宋体" w:hAnsi="宋体"/>
          <w:color w:val="auto"/>
          <w:sz w:val="24"/>
          <w:highlight w:val="none"/>
        </w:rPr>
        <w:t>有关的</w:t>
      </w:r>
      <w:r>
        <w:rPr>
          <w:rFonts w:ascii="宋体" w:hAnsi="宋体"/>
          <w:color w:val="auto"/>
          <w:sz w:val="24"/>
          <w:highlight w:val="none"/>
        </w:rPr>
        <w:t>所有询问、质疑</w:t>
      </w:r>
      <w:r>
        <w:rPr>
          <w:rFonts w:hint="eastAsia" w:ascii="宋体" w:hAnsi="宋体"/>
          <w:color w:val="auto"/>
          <w:sz w:val="24"/>
          <w:highlight w:val="none"/>
        </w:rPr>
        <w:t>均</w:t>
      </w:r>
      <w:r>
        <w:rPr>
          <w:rFonts w:ascii="宋体" w:hAnsi="宋体"/>
          <w:color w:val="auto"/>
          <w:sz w:val="24"/>
          <w:highlight w:val="none"/>
        </w:rPr>
        <w:t>请向采购人提出，由采购人负责答复。</w:t>
      </w:r>
    </w:p>
    <w:p w14:paraId="7F262B02">
      <w:pPr>
        <w:spacing w:line="480" w:lineRule="exact"/>
        <w:ind w:firstLine="480"/>
        <w:rPr>
          <w:rFonts w:hint="eastAsia" w:ascii="宋体" w:hAnsi="宋体"/>
          <w:color w:val="auto"/>
          <w:sz w:val="24"/>
          <w:highlight w:val="none"/>
        </w:rPr>
      </w:pPr>
      <w:r>
        <w:rPr>
          <w:rFonts w:hint="eastAsia" w:ascii="宋体" w:hAnsi="宋体"/>
          <w:color w:val="auto"/>
          <w:sz w:val="24"/>
          <w:highlight w:val="none"/>
        </w:rPr>
        <w:t>代理公司及采购人只接收以纸质原件形式送达的质疑</w:t>
      </w:r>
      <w:r>
        <w:rPr>
          <w:rFonts w:hint="eastAsia" w:ascii="宋体" w:hAnsi="宋体"/>
          <w:color w:val="auto"/>
          <w:sz w:val="24"/>
          <w:highlight w:val="none"/>
          <w:lang w:eastAsia="zh-CN"/>
        </w:rPr>
        <w:t>，</w:t>
      </w:r>
      <w:r>
        <w:rPr>
          <w:rFonts w:hint="eastAsia" w:ascii="宋体" w:hAnsi="宋体"/>
          <w:color w:val="auto"/>
          <w:sz w:val="24"/>
          <w:highlight w:val="none"/>
        </w:rPr>
        <w:t>建议供应商尽量通过邮寄方式提交质疑（采购人和代理公司不接受未填写快递运单的快件）。</w:t>
      </w:r>
    </w:p>
    <w:p w14:paraId="43A92896">
      <w:pPr>
        <w:spacing w:line="480" w:lineRule="exact"/>
        <w:ind w:firstLine="480"/>
        <w:rPr>
          <w:rFonts w:hint="eastAsia" w:ascii="宋体" w:hAnsi="宋体"/>
          <w:color w:val="auto"/>
          <w:sz w:val="24"/>
          <w:highlight w:val="none"/>
        </w:rPr>
      </w:pPr>
      <w:r>
        <w:rPr>
          <w:rFonts w:hint="eastAsia" w:ascii="宋体" w:hAnsi="宋体"/>
          <w:color w:val="auto"/>
          <w:sz w:val="24"/>
          <w:highlight w:val="none"/>
        </w:rPr>
        <w:t>代理机构质疑接收联系地址：连云港市海州区朝阳东路凤凰国际大厦19层1919室，联系电话：15061306882。采购人质疑接收人及联系方式见招标文件第一章。</w:t>
      </w:r>
    </w:p>
    <w:p w14:paraId="3EDC3CC2">
      <w:pPr>
        <w:spacing w:line="480" w:lineRule="exact"/>
        <w:ind w:firstLine="480"/>
        <w:rPr>
          <w:rFonts w:hint="eastAsia" w:ascii="宋体" w:hAnsi="宋体"/>
          <w:color w:val="auto"/>
          <w:sz w:val="24"/>
          <w:highlight w:val="none"/>
        </w:rPr>
      </w:pPr>
      <w:r>
        <w:rPr>
          <w:rFonts w:hint="eastAsia" w:ascii="宋体" w:hAnsi="宋体"/>
          <w:color w:val="auto"/>
          <w:sz w:val="24"/>
          <w:highlight w:val="none"/>
        </w:rPr>
        <w:t>28.5 以下情形的质疑不予受理</w:t>
      </w:r>
    </w:p>
    <w:p w14:paraId="519C900A">
      <w:pPr>
        <w:spacing w:line="480" w:lineRule="exact"/>
        <w:ind w:firstLine="480"/>
        <w:rPr>
          <w:rFonts w:hint="eastAsia" w:ascii="宋体" w:hAnsi="宋体"/>
          <w:color w:val="auto"/>
          <w:sz w:val="24"/>
          <w:highlight w:val="none"/>
        </w:rPr>
      </w:pPr>
      <w:r>
        <w:rPr>
          <w:rFonts w:hint="eastAsia" w:ascii="宋体" w:hAnsi="宋体"/>
          <w:color w:val="auto"/>
          <w:sz w:val="24"/>
          <w:highlight w:val="none"/>
        </w:rPr>
        <w:t>28.5.1 内容不符合《政府采购质疑和投诉办法》第十二条规定的质疑。</w:t>
      </w:r>
    </w:p>
    <w:p w14:paraId="4515C51D">
      <w:pPr>
        <w:spacing w:line="480" w:lineRule="exact"/>
        <w:ind w:firstLine="480"/>
        <w:rPr>
          <w:rFonts w:hint="eastAsia" w:ascii="宋体" w:hAnsi="宋体"/>
          <w:color w:val="auto"/>
          <w:sz w:val="24"/>
          <w:highlight w:val="none"/>
        </w:rPr>
      </w:pPr>
      <w:r>
        <w:rPr>
          <w:rFonts w:hint="eastAsia" w:ascii="宋体" w:hAnsi="宋体"/>
          <w:color w:val="auto"/>
          <w:sz w:val="24"/>
          <w:highlight w:val="none"/>
        </w:rPr>
        <w:t>28.5.2 超出政府采购法定期限的质疑。</w:t>
      </w:r>
    </w:p>
    <w:p w14:paraId="18FBC644">
      <w:pPr>
        <w:spacing w:line="480" w:lineRule="exact"/>
        <w:ind w:firstLine="480"/>
        <w:rPr>
          <w:rFonts w:hint="eastAsia" w:ascii="宋体" w:hAnsi="宋体"/>
          <w:color w:val="auto"/>
          <w:sz w:val="24"/>
          <w:highlight w:val="none"/>
        </w:rPr>
      </w:pPr>
      <w:r>
        <w:rPr>
          <w:rFonts w:hint="eastAsia" w:ascii="宋体" w:hAnsi="宋体"/>
          <w:color w:val="auto"/>
          <w:sz w:val="24"/>
          <w:highlight w:val="none"/>
        </w:rPr>
        <w:t>28.5.3 以传真、电子邮件等方式递交的非原件形式的质疑。</w:t>
      </w:r>
    </w:p>
    <w:p w14:paraId="0436D4B1">
      <w:pPr>
        <w:spacing w:line="480" w:lineRule="exact"/>
        <w:ind w:firstLine="480"/>
        <w:rPr>
          <w:rFonts w:hint="eastAsia" w:ascii="宋体" w:hAnsi="宋体"/>
          <w:color w:val="auto"/>
          <w:sz w:val="24"/>
          <w:highlight w:val="none"/>
        </w:rPr>
      </w:pPr>
      <w:r>
        <w:rPr>
          <w:rFonts w:hint="eastAsia" w:ascii="宋体" w:hAnsi="宋体"/>
          <w:color w:val="auto"/>
          <w:sz w:val="24"/>
          <w:highlight w:val="none"/>
        </w:rPr>
        <w:t>28.5.4 未参加投标活动的供应商或在投标活动中自身权益未受到损害的供应商所提出的质疑。</w:t>
      </w:r>
    </w:p>
    <w:p w14:paraId="15F55930">
      <w:pPr>
        <w:spacing w:line="480" w:lineRule="exact"/>
        <w:ind w:firstLine="480"/>
        <w:rPr>
          <w:rFonts w:hint="eastAsia" w:ascii="宋体" w:hAnsi="宋体"/>
          <w:color w:val="auto"/>
          <w:sz w:val="24"/>
          <w:highlight w:val="none"/>
        </w:rPr>
      </w:pPr>
      <w:r>
        <w:rPr>
          <w:rFonts w:hint="eastAsia" w:ascii="宋体" w:hAnsi="宋体"/>
          <w:color w:val="auto"/>
          <w:sz w:val="24"/>
          <w:highlight w:val="none"/>
        </w:rPr>
        <w:t>28.5.5供应商组成联合体参加投标，联合体中任何一方或多方未按要求签字、盖章、加盖公章的质疑。</w:t>
      </w:r>
    </w:p>
    <w:p w14:paraId="51DBE174">
      <w:pPr>
        <w:spacing w:line="480" w:lineRule="exact"/>
        <w:ind w:firstLine="468"/>
        <w:rPr>
          <w:rFonts w:hint="eastAsia" w:ascii="宋体" w:hAnsi="宋体"/>
          <w:color w:val="auto"/>
          <w:sz w:val="24"/>
          <w:highlight w:val="none"/>
        </w:rPr>
      </w:pPr>
      <w:r>
        <w:rPr>
          <w:rFonts w:hint="eastAsia" w:ascii="宋体" w:hAnsi="宋体"/>
          <w:color w:val="auto"/>
          <w:sz w:val="24"/>
          <w:highlight w:val="none"/>
        </w:rPr>
        <w:t>28.6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p>
    <w:p w14:paraId="77B04BD7">
      <w:pPr>
        <w:pStyle w:val="366"/>
        <w:spacing w:before="0" w:after="0" w:line="240" w:lineRule="auto"/>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29、中标通知书</w:t>
      </w:r>
    </w:p>
    <w:p w14:paraId="6930FA4C">
      <w:pPr>
        <w:spacing w:line="480" w:lineRule="exact"/>
        <w:ind w:firstLine="600"/>
        <w:rPr>
          <w:rFonts w:hint="eastAsia" w:ascii="宋体" w:hAnsi="宋体"/>
          <w:color w:val="auto"/>
          <w:sz w:val="24"/>
          <w:highlight w:val="none"/>
        </w:rPr>
      </w:pPr>
      <w:r>
        <w:rPr>
          <w:rFonts w:hint="eastAsia" w:ascii="宋体" w:hAnsi="宋体"/>
          <w:color w:val="auto"/>
          <w:sz w:val="24"/>
          <w:highlight w:val="none"/>
        </w:rPr>
        <w:t>29.l</w:t>
      </w:r>
      <w:r>
        <w:rPr>
          <w:rFonts w:hint="eastAsia" w:ascii="宋体" w:hAnsi="宋体"/>
          <w:b/>
          <w:color w:val="auto"/>
          <w:sz w:val="24"/>
          <w:highlight w:val="none"/>
        </w:rPr>
        <w:t xml:space="preserve"> </w:t>
      </w:r>
      <w:r>
        <w:rPr>
          <w:rFonts w:hint="eastAsia" w:ascii="宋体" w:hAnsi="宋体"/>
          <w:color w:val="auto"/>
          <w:sz w:val="24"/>
          <w:highlight w:val="none"/>
        </w:rPr>
        <w:t>中标结果确定后，代理公司将向中标人发出中标通知书。请中标人在中标结果公告届满之日起30日内</w:t>
      </w:r>
      <w:r>
        <w:rPr>
          <w:rFonts w:hint="eastAsia" w:ascii="宋体" w:hAnsi="宋体"/>
          <w:color w:val="auto"/>
          <w:sz w:val="24"/>
          <w:highlight w:val="none"/>
          <w:lang w:eastAsia="zh-CN"/>
        </w:rPr>
        <w:t>，</w:t>
      </w:r>
      <w:r>
        <w:rPr>
          <w:rFonts w:hint="eastAsia" w:ascii="宋体" w:hAnsi="宋体"/>
          <w:color w:val="auto"/>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color w:val="auto"/>
          <w:sz w:val="24"/>
          <w:highlight w:val="none"/>
          <w:lang w:eastAsia="zh-CN"/>
        </w:rPr>
        <w:t>，</w:t>
      </w:r>
      <w:r>
        <w:rPr>
          <w:rFonts w:hint="eastAsia" w:ascii="宋体" w:hAnsi="宋体"/>
          <w:color w:val="auto"/>
          <w:sz w:val="24"/>
          <w:highlight w:val="none"/>
        </w:rPr>
        <w:t>因未及时下载而造成的不利后果由中标人自行承担。</w:t>
      </w:r>
    </w:p>
    <w:p w14:paraId="53AD5169">
      <w:pPr>
        <w:spacing w:line="480" w:lineRule="exact"/>
        <w:ind w:firstLine="600"/>
        <w:rPr>
          <w:rFonts w:hint="eastAsia" w:ascii="宋体" w:hAnsi="宋体"/>
          <w:color w:val="auto"/>
          <w:sz w:val="24"/>
          <w:highlight w:val="none"/>
        </w:rPr>
      </w:pPr>
      <w:r>
        <w:rPr>
          <w:rFonts w:hint="eastAsia" w:ascii="宋体" w:hAnsi="宋体"/>
          <w:color w:val="auto"/>
          <w:sz w:val="24"/>
          <w:highlight w:val="none"/>
        </w:rPr>
        <w:t>29.</w:t>
      </w:r>
      <w:r>
        <w:rPr>
          <w:rFonts w:ascii="宋体" w:hAnsi="宋体"/>
          <w:color w:val="auto"/>
          <w:sz w:val="24"/>
          <w:highlight w:val="none"/>
        </w:rPr>
        <w:t>2</w:t>
      </w:r>
      <w:r>
        <w:rPr>
          <w:rFonts w:hint="eastAsia" w:ascii="宋体" w:hAnsi="宋体"/>
          <w:color w:val="auto"/>
          <w:sz w:val="24"/>
          <w:highlight w:val="none"/>
        </w:rPr>
        <w:t>中标通知书将是合同的一个组成部分。对采购人和中标人均具有法律效力。中标通知书发出后，采购人改变中标结果的，或者中标人放弃中标项目的，应当依法承担法律责任。</w:t>
      </w:r>
    </w:p>
    <w:p w14:paraId="022E6ABD">
      <w:pPr>
        <w:pStyle w:val="390"/>
        <w:spacing w:before="145" w:after="145" w:line="360" w:lineRule="auto"/>
        <w:rPr>
          <w:rFonts w:hint="eastAsia"/>
          <w:color w:val="auto"/>
          <w:highlight w:val="none"/>
        </w:rPr>
      </w:pPr>
      <w:bookmarkStart w:id="127" w:name="_Toc120614220"/>
      <w:bookmarkStart w:id="128" w:name="_Toc20823308"/>
      <w:bookmarkStart w:id="129" w:name="_Toc513029236"/>
      <w:bookmarkStart w:id="130" w:name="_Toc16938552"/>
      <w:r>
        <w:rPr>
          <w:rFonts w:hint="eastAsia"/>
          <w:color w:val="auto"/>
          <w:highlight w:val="none"/>
        </w:rPr>
        <w:t>七、授予合同</w:t>
      </w:r>
      <w:bookmarkEnd w:id="127"/>
    </w:p>
    <w:bookmarkEnd w:id="128"/>
    <w:bookmarkEnd w:id="129"/>
    <w:bookmarkEnd w:id="130"/>
    <w:p w14:paraId="406BFBE4">
      <w:pPr>
        <w:pStyle w:val="366"/>
        <w:spacing w:before="0" w:after="0" w:line="240" w:lineRule="auto"/>
        <w:ind w:firstLine="600"/>
        <w:rPr>
          <w:rFonts w:hint="eastAsia" w:ascii="黑体" w:hAnsi="宋体" w:cs="Times New Roman"/>
          <w:b w:val="0"/>
          <w:color w:val="auto"/>
          <w:sz w:val="30"/>
          <w:szCs w:val="30"/>
          <w:highlight w:val="none"/>
        </w:rPr>
      </w:pPr>
      <w:bookmarkStart w:id="131" w:name="_Toc16938553"/>
      <w:bookmarkStart w:id="132" w:name="_Toc513029237"/>
      <w:bookmarkStart w:id="133" w:name="_Toc20823309"/>
      <w:r>
        <w:rPr>
          <w:rFonts w:hint="eastAsia" w:ascii="黑体" w:hAnsi="宋体" w:cs="Times New Roman"/>
          <w:b w:val="0"/>
          <w:color w:val="auto"/>
          <w:sz w:val="30"/>
          <w:szCs w:val="30"/>
          <w:highlight w:val="none"/>
        </w:rPr>
        <w:t>30. 签订合同</w:t>
      </w:r>
    </w:p>
    <w:p w14:paraId="0B7F4CC5">
      <w:pPr>
        <w:spacing w:line="480" w:lineRule="exact"/>
        <w:ind w:firstLine="600"/>
        <w:rPr>
          <w:rFonts w:hint="eastAsia" w:ascii="宋体" w:hAnsi="宋体"/>
          <w:color w:val="auto"/>
          <w:sz w:val="24"/>
          <w:highlight w:val="none"/>
        </w:rPr>
      </w:pPr>
      <w:r>
        <w:rPr>
          <w:rFonts w:hint="eastAsia" w:ascii="宋体" w:hAnsi="宋体"/>
          <w:bCs/>
          <w:color w:val="auto"/>
          <w:sz w:val="24"/>
          <w:highlight w:val="none"/>
        </w:rPr>
        <w:t>30</w:t>
      </w:r>
      <w:r>
        <w:rPr>
          <w:rFonts w:hint="eastAsia" w:ascii="宋体" w:hAnsi="宋体"/>
          <w:color w:val="auto"/>
          <w:sz w:val="24"/>
          <w:highlight w:val="none"/>
        </w:rPr>
        <w:t>.l中标人应当在中标通知书发出之日起三十日内，按照招标文件确定的事项与采购人签订政府采购合同。</w:t>
      </w:r>
    </w:p>
    <w:p w14:paraId="6DA6E917">
      <w:pPr>
        <w:spacing w:line="480" w:lineRule="exact"/>
        <w:ind w:firstLine="600"/>
        <w:rPr>
          <w:rFonts w:hint="eastAsia" w:ascii="宋体" w:hAnsi="宋体"/>
          <w:color w:val="auto"/>
          <w:sz w:val="24"/>
          <w:highlight w:val="none"/>
        </w:rPr>
      </w:pPr>
      <w:r>
        <w:rPr>
          <w:rFonts w:hint="eastAsia" w:ascii="宋体" w:hAnsi="宋体"/>
          <w:color w:val="auto"/>
          <w:sz w:val="24"/>
          <w:highlight w:val="none"/>
        </w:rPr>
        <w:t>30.2</w:t>
      </w:r>
      <w:r>
        <w:rPr>
          <w:rFonts w:hint="eastAsia" w:ascii="宋体" w:hAnsi="宋体"/>
          <w:b/>
          <w:color w:val="auto"/>
          <w:sz w:val="24"/>
          <w:highlight w:val="none"/>
        </w:rPr>
        <w:t xml:space="preserve"> </w:t>
      </w:r>
      <w:r>
        <w:rPr>
          <w:rFonts w:hint="eastAsia" w:ascii="宋体" w:hAnsi="宋体"/>
          <w:color w:val="auto"/>
          <w:sz w:val="24"/>
          <w:highlight w:val="none"/>
        </w:rPr>
        <w:t>招标文件、中标人的投标文件及招标过程中有关澄清、承诺文件均应作为合同附件。</w:t>
      </w:r>
    </w:p>
    <w:p w14:paraId="71B3F420">
      <w:pPr>
        <w:spacing w:line="480" w:lineRule="exact"/>
        <w:ind w:firstLine="600"/>
        <w:rPr>
          <w:rFonts w:hint="eastAsia" w:ascii="宋体" w:hAnsi="宋体"/>
          <w:color w:val="auto"/>
          <w:sz w:val="24"/>
          <w:highlight w:val="none"/>
        </w:rPr>
      </w:pPr>
      <w:r>
        <w:rPr>
          <w:rFonts w:hint="eastAsia" w:ascii="宋体" w:hAnsi="宋体"/>
          <w:color w:val="auto"/>
          <w:sz w:val="24"/>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62561CA2">
      <w:pPr>
        <w:pStyle w:val="366"/>
        <w:spacing w:before="0" w:after="0" w:line="240" w:lineRule="auto"/>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31、服务（包含与服务相关的货物）的追加</w:t>
      </w:r>
    </w:p>
    <w:p w14:paraId="157B2D2C">
      <w:pPr>
        <w:spacing w:line="480" w:lineRule="exact"/>
        <w:ind w:firstLine="480"/>
        <w:rPr>
          <w:rFonts w:hint="eastAsia" w:ascii="宋体" w:hAnsi="宋体"/>
          <w:color w:val="auto"/>
          <w:sz w:val="24"/>
          <w:highlight w:val="none"/>
        </w:rPr>
      </w:pPr>
      <w:r>
        <w:rPr>
          <w:rFonts w:hint="eastAsia" w:ascii="宋体" w:hAnsi="宋体"/>
          <w:color w:val="auto"/>
          <w:sz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31"/>
    <w:bookmarkEnd w:id="132"/>
    <w:bookmarkEnd w:id="133"/>
    <w:p w14:paraId="34A1D966">
      <w:pPr>
        <w:pStyle w:val="366"/>
        <w:spacing w:before="0" w:after="0" w:line="240" w:lineRule="auto"/>
        <w:ind w:firstLine="600"/>
        <w:rPr>
          <w:rFonts w:ascii="黑体" w:hAnsi="宋体" w:cs="Times New Roman"/>
          <w:b w:val="0"/>
          <w:color w:val="auto"/>
          <w:sz w:val="30"/>
          <w:szCs w:val="30"/>
          <w:highlight w:val="none"/>
        </w:rPr>
      </w:pPr>
      <w:r>
        <w:rPr>
          <w:rFonts w:hint="eastAsia" w:ascii="黑体" w:hAnsi="宋体" w:cs="Times New Roman"/>
          <w:b w:val="0"/>
          <w:color w:val="auto"/>
          <w:sz w:val="30"/>
          <w:szCs w:val="30"/>
          <w:highlight w:val="none"/>
        </w:rPr>
        <w:t>32、政府采购履约资金扶持政策</w:t>
      </w:r>
    </w:p>
    <w:p w14:paraId="4404B7C4">
      <w:pPr>
        <w:pStyle w:val="367"/>
        <w:rPr>
          <w:rFonts w:hint="eastAsia"/>
          <w:color w:val="auto"/>
          <w:highlight w:val="none"/>
        </w:rPr>
      </w:pPr>
      <w:r>
        <w:rPr>
          <w:rFonts w:hint="eastAsia" w:ascii="宋体" w:hAnsi="宋体"/>
          <w:bCs/>
          <w:color w:val="auto"/>
          <w:sz w:val="24"/>
          <w:highlight w:val="none"/>
        </w:rPr>
        <w:t>中标人可凭政府采购合同办理融资贷款，详情请见江苏政府采购网“政采贷”专栏。</w:t>
      </w:r>
    </w:p>
    <w:p w14:paraId="702BC50D">
      <w:pPr>
        <w:pStyle w:val="366"/>
        <w:spacing w:before="0" w:after="0" w:line="240" w:lineRule="auto"/>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33、政策功能</w:t>
      </w:r>
    </w:p>
    <w:p w14:paraId="554DF67C">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rPr>
        <w:t xml:space="preserve"> 对于小型企业、微型企业、监狱企业、残疾人福利性单位报价以扣除优惠比率后的价格参与评审，但不作为中标价和合同签约价。中标价和合同签约价仍以其投标文件中的一次报价为准。</w:t>
      </w:r>
    </w:p>
    <w:p w14:paraId="3A6D15A2">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rPr>
        <w:t>价格给予扣除标准：</w:t>
      </w:r>
    </w:p>
    <w:p w14:paraId="561E191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p>
    <w:p w14:paraId="57C8133D">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w:t>
      </w:r>
      <w:r>
        <w:rPr>
          <w:rFonts w:hint="eastAsia" w:ascii="宋体" w:hAnsi="宋体" w:eastAsia="宋体" w:cs="Times New Roman"/>
          <w:color w:val="auto"/>
          <w:sz w:val="24"/>
          <w:szCs w:val="24"/>
          <w:highlight w:val="none"/>
          <w:u w:val="single"/>
        </w:rPr>
        <w:t>10</w:t>
      </w:r>
      <w:r>
        <w:rPr>
          <w:rFonts w:hint="eastAsia" w:ascii="宋体" w:hAnsi="宋体" w:eastAsia="宋体" w:cs="Times New Roman"/>
          <w:color w:val="auto"/>
          <w:sz w:val="24"/>
          <w:szCs w:val="24"/>
          <w:highlight w:val="none"/>
        </w:rPr>
        <w:t>%</w:t>
      </w:r>
      <w:r>
        <w:rPr>
          <w:rFonts w:hint="eastAsia" w:ascii="Times New Roman" w:hAnsi="Times New Roman" w:eastAsia="宋体" w:cs="Times New Roman"/>
          <w:color w:val="auto"/>
          <w:sz w:val="24"/>
          <w:szCs w:val="24"/>
          <w:highlight w:val="none"/>
        </w:rPr>
        <w:t>的扣除，用扣除后的价格参与评审（供应商提供的货物既有中小企业制造货物，也有大型企业制造货物的，不享受该扶持政策）：</w:t>
      </w:r>
    </w:p>
    <w:p w14:paraId="694976D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本项目价格扣除计算方法如下：参与报价得分计算的价格＝投标人的投标报价-小型企业、微型企业、监狱企业、残疾人福利性单位的投标报价×</w:t>
      </w:r>
      <w:r>
        <w:rPr>
          <w:rFonts w:hint="eastAsia" w:ascii="宋体" w:hAnsi="宋体" w:eastAsia="宋体" w:cs="Times New Roman"/>
          <w:color w:val="auto"/>
          <w:sz w:val="24"/>
          <w:szCs w:val="24"/>
          <w:highlight w:val="none"/>
          <w:u w:val="single"/>
        </w:rPr>
        <w:t>10</w:t>
      </w:r>
      <w:r>
        <w:rPr>
          <w:rFonts w:hint="eastAsia" w:ascii="宋体" w:hAnsi="宋体" w:eastAsia="宋体" w:cs="Times New Roman"/>
          <w:color w:val="auto"/>
          <w:sz w:val="24"/>
          <w:szCs w:val="24"/>
          <w:highlight w:val="none"/>
        </w:rPr>
        <w:t>%</w:t>
      </w:r>
      <w:r>
        <w:rPr>
          <w:rFonts w:hint="eastAsia" w:ascii="Times New Roman" w:hAnsi="Times New Roman" w:eastAsia="宋体" w:cs="Times New Roman"/>
          <w:color w:val="auto"/>
          <w:sz w:val="24"/>
          <w:szCs w:val="24"/>
          <w:highlight w:val="none"/>
        </w:rPr>
        <w:t>。</w:t>
      </w:r>
    </w:p>
    <w:p w14:paraId="513A1A3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 xml:space="preserve">参加政府采购活动的供应商享受价格评审优惠的应当提供的材料： </w:t>
      </w:r>
    </w:p>
    <w:p w14:paraId="43DC2A1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 xml:space="preserve"> 供应商提供的货物全部由小型企业、微型企业制造的，提供《中小企业声明函》（第四章“投标文件格式”）。</w:t>
      </w:r>
    </w:p>
    <w:p w14:paraId="508D885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33.</w:t>
      </w:r>
      <w:r>
        <w:rPr>
          <w:rFonts w:hint="eastAsia" w:ascii="宋体" w:hAnsi="宋体"/>
          <w:color w:val="auto"/>
          <w:sz w:val="24"/>
          <w:highlight w:val="none"/>
          <w:lang w:val="en-US" w:eastAsia="zh-CN"/>
        </w:rPr>
        <w:t>5</w:t>
      </w:r>
      <w:r>
        <w:rPr>
          <w:rFonts w:hint="eastAsia" w:ascii="宋体" w:hAnsi="宋体"/>
          <w:color w:val="auto"/>
          <w:sz w:val="24"/>
          <w:highlight w:val="none"/>
        </w:rPr>
        <w:t>供应商为残疾人福利性单位的，符合财库〔2017〕141号文件规定条件的残疾人福利性单位视同小型、微型企业，提供《残疾人福利性单位声明函》（第六部分“投标文件格式”）。</w:t>
      </w:r>
    </w:p>
    <w:p w14:paraId="474DF00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33.</w:t>
      </w:r>
      <w:r>
        <w:rPr>
          <w:rFonts w:hint="eastAsia" w:ascii="宋体" w:hAnsi="宋体"/>
          <w:color w:val="auto"/>
          <w:sz w:val="24"/>
          <w:highlight w:val="none"/>
          <w:lang w:val="en-US" w:eastAsia="zh-CN"/>
        </w:rPr>
        <w:t>6</w:t>
      </w:r>
      <w:r>
        <w:rPr>
          <w:rFonts w:hint="eastAsia" w:ascii="宋体" w:hAnsi="宋体"/>
          <w:color w:val="auto"/>
          <w:sz w:val="24"/>
          <w:highlight w:val="none"/>
        </w:rPr>
        <w:t>供应商为监狱企业的，提供省级以上监狱管理局、戒毒管理局（含新疆生产建设兵团）出具的属于监狱企业的证明文件。</w:t>
      </w:r>
    </w:p>
    <w:p w14:paraId="55B6A34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根据《财政部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6FEAE819">
      <w:pPr>
        <w:spacing w:line="360" w:lineRule="auto"/>
        <w:ind w:firstLine="480"/>
        <w:jc w:val="left"/>
        <w:rPr>
          <w:rFonts w:ascii="宋体" w:hAnsi="宋体"/>
          <w:color w:val="auto"/>
          <w:sz w:val="24"/>
          <w:highlight w:val="none"/>
        </w:rPr>
      </w:pPr>
      <w:r>
        <w:rPr>
          <w:rFonts w:hint="eastAsia" w:ascii="宋体" w:hAnsi="宋体"/>
          <w:color w:val="auto"/>
          <w:sz w:val="24"/>
          <w:highlight w:val="none"/>
        </w:rPr>
        <w:t>33.</w:t>
      </w:r>
      <w:r>
        <w:rPr>
          <w:rFonts w:hint="eastAsia" w:ascii="宋体" w:hAnsi="宋体"/>
          <w:color w:val="auto"/>
          <w:sz w:val="24"/>
          <w:highlight w:val="none"/>
          <w:lang w:val="en-US" w:eastAsia="zh-CN"/>
        </w:rPr>
        <w:t>7</w:t>
      </w:r>
      <w:r>
        <w:rPr>
          <w:rFonts w:hint="eastAsia" w:ascii="宋体" w:hAnsi="宋体"/>
          <w:color w:val="auto"/>
          <w:sz w:val="24"/>
          <w:highlight w:val="none"/>
        </w:rPr>
        <w:t>本项目执行《关于印发环境标志产品政府采购品目清单的通知》（财库〔2019〕18号）、《关于印发节能产品政府采购品目清单的通知》（财库〔2019〕19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3CF7A96D">
      <w:pPr>
        <w:spacing w:line="360" w:lineRule="auto"/>
        <w:ind w:firstLine="480"/>
        <w:jc w:val="left"/>
        <w:rPr>
          <w:rFonts w:ascii="宋体" w:hAnsi="宋体"/>
          <w:color w:val="auto"/>
          <w:sz w:val="24"/>
          <w:highlight w:val="none"/>
        </w:rPr>
      </w:pPr>
      <w:r>
        <w:rPr>
          <w:rFonts w:hint="eastAsia" w:ascii="宋体" w:hAnsi="宋体"/>
          <w:color w:val="auto"/>
          <w:sz w:val="24"/>
          <w:highlight w:val="none"/>
        </w:rPr>
        <w:t>33.</w:t>
      </w:r>
      <w:r>
        <w:rPr>
          <w:rFonts w:hint="eastAsia" w:ascii="宋体" w:hAnsi="宋体"/>
          <w:color w:val="auto"/>
          <w:sz w:val="24"/>
          <w:highlight w:val="none"/>
          <w:lang w:val="en-US" w:eastAsia="zh-CN"/>
        </w:rPr>
        <w:t>8</w:t>
      </w:r>
      <w:r>
        <w:rPr>
          <w:rFonts w:hint="eastAsia" w:ascii="宋体" w:hAnsi="宋体"/>
          <w:color w:val="auto"/>
          <w:sz w:val="24"/>
          <w:highlight w:val="none"/>
        </w:rPr>
        <w:t>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3E021910">
      <w:pPr>
        <w:spacing w:line="360" w:lineRule="auto"/>
        <w:ind w:firstLine="480"/>
        <w:rPr>
          <w:rFonts w:hint="eastAsia"/>
          <w:color w:val="auto"/>
          <w:sz w:val="24"/>
          <w:highlight w:val="none"/>
        </w:rPr>
      </w:pPr>
      <w:r>
        <w:rPr>
          <w:rFonts w:hint="eastAsia"/>
          <w:color w:val="auto"/>
          <w:sz w:val="24"/>
          <w:highlight w:val="none"/>
        </w:rPr>
        <w:t>33.</w:t>
      </w:r>
      <w:r>
        <w:rPr>
          <w:rFonts w:hint="eastAsia"/>
          <w:color w:val="auto"/>
          <w:sz w:val="24"/>
          <w:highlight w:val="none"/>
          <w:lang w:val="en-US" w:eastAsia="zh-CN"/>
        </w:rPr>
        <w:t>9</w:t>
      </w:r>
      <w:r>
        <w:rPr>
          <w:rFonts w:hint="eastAsia"/>
          <w:color w:val="auto"/>
          <w:sz w:val="24"/>
          <w:highlight w:val="none"/>
        </w:rPr>
        <w:t>坚持绿色发展：</w:t>
      </w:r>
    </w:p>
    <w:p w14:paraId="6405CC63">
      <w:pPr>
        <w:spacing w:line="360" w:lineRule="auto"/>
        <w:ind w:firstLine="480"/>
        <w:rPr>
          <w:rFonts w:hint="eastAsia"/>
          <w:color w:val="auto"/>
          <w:sz w:val="24"/>
          <w:highlight w:val="none"/>
        </w:rPr>
      </w:pPr>
      <w:r>
        <w:rPr>
          <w:rFonts w:hint="eastAsia"/>
          <w:color w:val="auto"/>
          <w:sz w:val="24"/>
          <w:highlight w:val="none"/>
        </w:rPr>
        <w:t>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4609A26">
      <w:pPr>
        <w:spacing w:line="360" w:lineRule="auto"/>
        <w:ind w:firstLine="480"/>
        <w:jc w:val="center"/>
        <w:rPr>
          <w:rFonts w:hAnsi="宋体"/>
          <w:b/>
          <w:color w:val="auto"/>
          <w:sz w:val="36"/>
          <w:highlight w:val="none"/>
        </w:rPr>
      </w:pPr>
      <w:r>
        <w:rPr>
          <w:rFonts w:hint="eastAsia" w:ascii="Times New Roman" w:eastAsia="宋体"/>
          <w:color w:val="auto"/>
          <w:sz w:val="24"/>
          <w:highlight w:val="none"/>
        </w:rPr>
        <w:t>33.</w:t>
      </w:r>
      <w:r>
        <w:rPr>
          <w:rFonts w:hint="eastAsia" w:ascii="Times New Roman" w:eastAsia="宋体"/>
          <w:color w:val="auto"/>
          <w:sz w:val="24"/>
          <w:highlight w:val="none"/>
          <w:lang w:val="en-US" w:eastAsia="zh-CN"/>
        </w:rPr>
        <w:t>10</w:t>
      </w:r>
      <w:r>
        <w:rPr>
          <w:rFonts w:hint="eastAsia" w:ascii="Times New Roman" w:eastAsia="宋体"/>
          <w:color w:val="auto"/>
          <w:sz w:val="24"/>
          <w:highlight w:val="none"/>
        </w:rPr>
        <w:t>政府采购项目执行《财政部 生态环境部 工业和信息化部关于印发&lt;绿色数据中心政府采购需求标准（试行）&gt;的通知》（财库〔2023〕7 号）相关要求。</w:t>
      </w:r>
      <w:r>
        <w:rPr>
          <w:rFonts w:ascii="宋体" w:hAnsi="宋体" w:eastAsia="宋体" w:cs="宋体"/>
          <w:color w:val="auto"/>
          <w:sz w:val="24"/>
          <w:highlight w:val="none"/>
        </w:rPr>
        <w:br w:type="page" w:clear="all"/>
      </w:r>
      <w:bookmarkStart w:id="134" w:name="_Toc58260783"/>
      <w:bookmarkStart w:id="135" w:name="_Toc493497032"/>
      <w:r>
        <w:rPr>
          <w:rFonts w:hint="eastAsia" w:ascii="Times New Roman" w:hAnsi="宋体" w:eastAsia="黑体"/>
          <w:color w:val="auto"/>
          <w:sz w:val="36"/>
          <w:szCs w:val="20"/>
          <w:highlight w:val="none"/>
        </w:rPr>
        <w:t>第三部分  评标办法</w:t>
      </w:r>
      <w:bookmarkEnd w:id="134"/>
      <w:bookmarkEnd w:id="135"/>
    </w:p>
    <w:p w14:paraId="64DC3A92">
      <w:pPr>
        <w:widowControl/>
        <w:spacing w:line="360" w:lineRule="auto"/>
        <w:ind w:firstLine="482"/>
        <w:rPr>
          <w:rFonts w:hint="eastAsia" w:ascii="宋体" w:hAnsi="宋体"/>
          <w:b/>
          <w:color w:val="auto"/>
          <w:sz w:val="24"/>
          <w:highlight w:val="none"/>
        </w:rPr>
      </w:pPr>
      <w:r>
        <w:rPr>
          <w:rFonts w:hint="eastAsia" w:ascii="宋体" w:hAnsi="宋体"/>
          <w:b/>
          <w:color w:val="auto"/>
          <w:sz w:val="24"/>
          <w:highlight w:val="none"/>
        </w:rPr>
        <w:t>一、评标方法：综合评分法</w:t>
      </w:r>
    </w:p>
    <w:p w14:paraId="07C008B9">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综合评分法，是指投标文件满足招标文件全部实质性要求，且按照评审因素的量化指标评审得分最高的投标人为中标候选人的评标办法。</w:t>
      </w:r>
    </w:p>
    <w:p w14:paraId="2E462CFD">
      <w:pPr>
        <w:widowControl/>
        <w:spacing w:line="360" w:lineRule="auto"/>
        <w:ind w:firstLine="482"/>
        <w:rPr>
          <w:rFonts w:ascii="宋体" w:hAnsi="宋体"/>
          <w:color w:val="auto"/>
          <w:sz w:val="24"/>
          <w:highlight w:val="none"/>
        </w:rPr>
      </w:pPr>
      <w:r>
        <w:rPr>
          <w:rFonts w:hint="eastAsia" w:ascii="宋体" w:hAnsi="宋体"/>
          <w:b/>
          <w:color w:val="auto"/>
          <w:sz w:val="24"/>
          <w:highlight w:val="none"/>
        </w:rPr>
        <w:t>二、评标原则</w:t>
      </w:r>
      <w:r>
        <w:rPr>
          <w:rFonts w:hint="eastAsia" w:ascii="宋体" w:hAnsi="宋体"/>
          <w:color w:val="auto"/>
          <w:sz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54FA8C8C">
      <w:pPr>
        <w:widowControl/>
        <w:spacing w:line="360" w:lineRule="auto"/>
        <w:ind w:firstLine="482"/>
        <w:rPr>
          <w:rFonts w:hint="eastAsia" w:ascii="宋体" w:hAnsi="宋体"/>
          <w:b/>
          <w:color w:val="auto"/>
          <w:sz w:val="24"/>
          <w:highlight w:val="none"/>
        </w:rPr>
      </w:pPr>
      <w:r>
        <w:rPr>
          <w:rFonts w:hint="eastAsia" w:ascii="宋体" w:hAnsi="宋体"/>
          <w:b/>
          <w:color w:val="auto"/>
          <w:sz w:val="24"/>
          <w:highlight w:val="none"/>
        </w:rPr>
        <w:t>三、评标标准：</w:t>
      </w:r>
    </w:p>
    <w:p w14:paraId="4EE30C09">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1、评标时，评标委员会以招标文件为评标依据，评标委员会各成员独立对每个投标人的投标文件进行评价，并汇总每个投标人的得分。</w:t>
      </w:r>
    </w:p>
    <w:p w14:paraId="249D7345">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2、本项目评分总分为100分，按四舍五入取至小数点后两位。</w:t>
      </w:r>
    </w:p>
    <w:p w14:paraId="4C3DFF5F">
      <w:pPr>
        <w:widowControl/>
        <w:spacing w:line="360" w:lineRule="auto"/>
        <w:ind w:firstLine="480"/>
        <w:rPr>
          <w:rFonts w:ascii="宋体" w:hAnsi="宋体"/>
          <w:color w:val="auto"/>
          <w:sz w:val="24"/>
          <w:highlight w:val="none"/>
        </w:rPr>
      </w:pPr>
      <w:r>
        <w:rPr>
          <w:rFonts w:hint="eastAsia" w:ascii="宋体" w:hAnsi="宋体"/>
          <w:color w:val="auto"/>
          <w:sz w:val="24"/>
          <w:highlight w:val="none"/>
        </w:rPr>
        <w:t xml:space="preserve">3、总得分 = 价格分 + 商务技术分 </w:t>
      </w:r>
    </w:p>
    <w:p w14:paraId="7B620795">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4、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2B5D454">
      <w:pPr>
        <w:pStyle w:val="251"/>
        <w:tabs>
          <w:tab w:val="left" w:pos="720"/>
        </w:tabs>
        <w:spacing w:line="360" w:lineRule="auto"/>
        <w:jc w:val="center"/>
        <w:rPr>
          <w:rFonts w:ascii="Times New Roman" w:hAnsi="Times New Roman" w:cs="Times New Roman"/>
          <w:b/>
          <w:color w:val="auto"/>
          <w:sz w:val="28"/>
          <w:szCs w:val="28"/>
          <w:highlight w:val="none"/>
        </w:rPr>
      </w:pPr>
      <w:r>
        <w:rPr>
          <w:rFonts w:ascii="Times New Roman" w:hAnsi="Times New Roman" w:cs="Times New Roman"/>
          <w:b/>
          <w:color w:val="auto"/>
          <w:sz w:val="28"/>
          <w:szCs w:val="28"/>
          <w:highlight w:val="none"/>
        </w:rPr>
        <w:t>综合评分法</w:t>
      </w:r>
    </w:p>
    <w:p w14:paraId="1FE2338A">
      <w:pPr>
        <w:spacing w:line="400" w:lineRule="exact"/>
        <w:ind w:left="420" w:leftChars="200"/>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1.价格分：10分</w:t>
      </w:r>
    </w:p>
    <w:p w14:paraId="1145FDBB">
      <w:pPr>
        <w:spacing w:line="40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采用低价优先法计算，即满足招标文件要求且投标价格最低的投标报价为评标基准价，其价格分为满分。其他投标人的价格分统一按照下列公式计算：</w:t>
      </w:r>
    </w:p>
    <w:p w14:paraId="4AFF7A08">
      <w:pPr>
        <w:spacing w:line="40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投标报价得分=（评标基准价/投标报价） X 10分。</w:t>
      </w:r>
    </w:p>
    <w:p w14:paraId="5DF40725">
      <w:pPr>
        <w:widowControl/>
        <w:snapToGrid w:val="0"/>
        <w:spacing w:line="40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评标过程中，不得去掉报价中的最高报价和最低报价。</w:t>
      </w:r>
    </w:p>
    <w:p w14:paraId="3BDB52C1">
      <w:pPr>
        <w:numPr>
          <w:ilvl w:val="0"/>
          <w:numId w:val="4"/>
        </w:numPr>
        <w:spacing w:line="400" w:lineRule="exact"/>
        <w:ind w:left="420" w:leftChars="200"/>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商务技术分：90分</w:t>
      </w:r>
    </w:p>
    <w:p w14:paraId="06F9BDBE">
      <w:pPr>
        <w:widowControl w:val="0"/>
        <w:numPr>
          <w:ilvl w:val="0"/>
          <w:numId w:val="0"/>
        </w:numPr>
        <w:tabs>
          <w:tab w:val="left" w:pos="312"/>
        </w:tabs>
        <w:spacing w:line="400" w:lineRule="exact"/>
        <w:jc w:val="both"/>
        <w:rPr>
          <w:rFonts w:hint="default" w:ascii="Times New Roman" w:hAnsi="Times New Roman" w:cs="Times New Roman"/>
          <w:b/>
          <w:color w:val="auto"/>
          <w:szCs w:val="21"/>
          <w:highlight w:val="none"/>
        </w:rPr>
      </w:pPr>
    </w:p>
    <w:p w14:paraId="1A67E423">
      <w:pPr>
        <w:widowControl w:val="0"/>
        <w:numPr>
          <w:ilvl w:val="0"/>
          <w:numId w:val="0"/>
        </w:numPr>
        <w:tabs>
          <w:tab w:val="left" w:pos="312"/>
        </w:tabs>
        <w:spacing w:line="400" w:lineRule="exact"/>
        <w:jc w:val="both"/>
        <w:rPr>
          <w:rFonts w:hint="default" w:ascii="Times New Roman" w:hAnsi="Times New Roman" w:cs="Times New Roman"/>
          <w:b/>
          <w:color w:val="auto"/>
          <w:szCs w:val="21"/>
          <w:highlight w:val="none"/>
        </w:rPr>
      </w:pPr>
    </w:p>
    <w:p w14:paraId="79749E7A">
      <w:pPr>
        <w:widowControl w:val="0"/>
        <w:numPr>
          <w:ilvl w:val="0"/>
          <w:numId w:val="0"/>
        </w:numPr>
        <w:tabs>
          <w:tab w:val="left" w:pos="312"/>
        </w:tabs>
        <w:spacing w:line="400" w:lineRule="exact"/>
        <w:jc w:val="both"/>
        <w:rPr>
          <w:rFonts w:hint="default" w:ascii="Times New Roman" w:hAnsi="Times New Roman" w:cs="Times New Roman"/>
          <w:b/>
          <w:color w:val="auto"/>
          <w:szCs w:val="21"/>
          <w:highlight w:val="none"/>
        </w:rPr>
      </w:pPr>
    </w:p>
    <w:p w14:paraId="6D28B294">
      <w:pPr>
        <w:widowControl w:val="0"/>
        <w:numPr>
          <w:ilvl w:val="0"/>
          <w:numId w:val="0"/>
        </w:numPr>
        <w:tabs>
          <w:tab w:val="left" w:pos="312"/>
        </w:tabs>
        <w:spacing w:line="400" w:lineRule="exact"/>
        <w:jc w:val="both"/>
        <w:rPr>
          <w:rFonts w:hint="default" w:ascii="Times New Roman" w:hAnsi="Times New Roman" w:cs="Times New Roman"/>
          <w:b/>
          <w:color w:val="auto"/>
          <w:szCs w:val="21"/>
          <w:highlight w:val="none"/>
        </w:rPr>
      </w:pPr>
    </w:p>
    <w:tbl>
      <w:tblPr>
        <w:tblStyle w:val="36"/>
        <w:tblW w:w="9295" w:type="dxa"/>
        <w:jc w:val="center"/>
        <w:tblLayout w:type="fixed"/>
        <w:tblCellMar>
          <w:top w:w="0" w:type="dxa"/>
          <w:left w:w="0" w:type="dxa"/>
          <w:bottom w:w="0" w:type="dxa"/>
          <w:right w:w="0" w:type="dxa"/>
        </w:tblCellMar>
      </w:tblPr>
      <w:tblGrid>
        <w:gridCol w:w="540"/>
        <w:gridCol w:w="886"/>
        <w:gridCol w:w="1018"/>
        <w:gridCol w:w="6851"/>
      </w:tblGrid>
      <w:tr w14:paraId="44E4CC5C">
        <w:tblPrEx>
          <w:tblCellMar>
            <w:top w:w="0" w:type="dxa"/>
            <w:left w:w="0" w:type="dxa"/>
            <w:bottom w:w="0" w:type="dxa"/>
            <w:right w:w="0" w:type="dxa"/>
          </w:tblCellMar>
        </w:tblPrEx>
        <w:trPr>
          <w:trHeight w:val="257" w:hRule="atLeast"/>
          <w:jc w:val="center"/>
        </w:trPr>
        <w:tc>
          <w:tcPr>
            <w:tcW w:w="5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872F4B">
            <w:pPr>
              <w:keepNext w:val="0"/>
              <w:keepLines w:val="0"/>
              <w:pageBreakBefore w:val="0"/>
              <w:widowControl/>
              <w:kinsoku/>
              <w:wordWrap/>
              <w:overflowPunct/>
              <w:topLinePunct w:val="0"/>
              <w:bidi w:val="0"/>
              <w:adjustRightInd w:val="0"/>
              <w:snapToGrid w:val="0"/>
              <w:spacing w:line="400" w:lineRule="atLeast"/>
              <w:jc w:val="center"/>
              <w:textAlignment w:val="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序号</w:t>
            </w:r>
          </w:p>
        </w:tc>
        <w:tc>
          <w:tcPr>
            <w:tcW w:w="8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13DD2D">
            <w:pPr>
              <w:keepNext w:val="0"/>
              <w:keepLines w:val="0"/>
              <w:pageBreakBefore w:val="0"/>
              <w:widowControl/>
              <w:kinsoku/>
              <w:wordWrap/>
              <w:overflowPunct/>
              <w:topLinePunct w:val="0"/>
              <w:bidi w:val="0"/>
              <w:adjustRightInd w:val="0"/>
              <w:snapToGrid w:val="0"/>
              <w:spacing w:line="400" w:lineRule="atLeast"/>
              <w:jc w:val="center"/>
              <w:textAlignment w:val="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评审内容</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CD5765">
            <w:pPr>
              <w:keepNext w:val="0"/>
              <w:keepLines w:val="0"/>
              <w:pageBreakBefore w:val="0"/>
              <w:widowControl/>
              <w:kinsoku/>
              <w:wordWrap/>
              <w:overflowPunct/>
              <w:topLinePunct w:val="0"/>
              <w:bidi w:val="0"/>
              <w:adjustRightInd w:val="0"/>
              <w:snapToGrid w:val="0"/>
              <w:spacing w:line="400" w:lineRule="atLeast"/>
              <w:jc w:val="center"/>
              <w:textAlignment w:val="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分值</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85E4BB">
            <w:pPr>
              <w:keepNext w:val="0"/>
              <w:keepLines w:val="0"/>
              <w:pageBreakBefore w:val="0"/>
              <w:widowControl/>
              <w:kinsoku/>
              <w:wordWrap/>
              <w:overflowPunct/>
              <w:topLinePunct w:val="0"/>
              <w:bidi w:val="0"/>
              <w:adjustRightInd w:val="0"/>
              <w:snapToGrid w:val="0"/>
              <w:spacing w:line="400" w:lineRule="atLeast"/>
              <w:jc w:val="center"/>
              <w:textAlignment w:val="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评分标准</w:t>
            </w:r>
          </w:p>
        </w:tc>
      </w:tr>
      <w:tr w14:paraId="21BFA9B9">
        <w:tblPrEx>
          <w:tblCellMar>
            <w:top w:w="0" w:type="dxa"/>
            <w:left w:w="0" w:type="dxa"/>
            <w:bottom w:w="0" w:type="dxa"/>
            <w:right w:w="0" w:type="dxa"/>
          </w:tblCellMar>
        </w:tblPrEx>
        <w:trPr>
          <w:trHeight w:val="2828"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36F23F">
            <w:pPr>
              <w:keepNext w:val="0"/>
              <w:keepLines w:val="0"/>
              <w:pageBreakBefore w:val="0"/>
              <w:widowControl/>
              <w:kinsoku/>
              <w:wordWrap/>
              <w:overflowPunct/>
              <w:topLinePunct w:val="0"/>
              <w:bidi w:val="0"/>
              <w:adjustRightInd w:val="0"/>
              <w:snapToGrid w:val="0"/>
              <w:spacing w:line="400" w:lineRule="atLeast"/>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1</w:t>
            </w:r>
          </w:p>
        </w:tc>
        <w:tc>
          <w:tcPr>
            <w:tcW w:w="88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ACC7AA">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技术部分（4</w:t>
            </w:r>
            <w:r>
              <w:rPr>
                <w:rFonts w:hint="eastAsia" w:ascii="Times New Roman" w:hAnsi="Times New Roman" w:cs="Times New Roman"/>
                <w:color w:val="auto"/>
                <w:szCs w:val="21"/>
                <w:highlight w:val="none"/>
                <w:lang w:val="en-US" w:eastAsia="zh-CN"/>
              </w:rPr>
              <w:t>0</w:t>
            </w:r>
            <w:r>
              <w:rPr>
                <w:rFonts w:hint="default" w:ascii="Times New Roman" w:hAnsi="Times New Roman" w:cs="Times New Roman"/>
                <w:color w:val="auto"/>
                <w:szCs w:val="21"/>
                <w:highlight w:val="none"/>
                <w:lang w:val="en-US" w:eastAsia="zh-CN"/>
              </w:rPr>
              <w:t>分）</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1C0044">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对本项目的需求理解（10分）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72C85C">
            <w:pPr>
              <w:keepNext w:val="0"/>
              <w:keepLines w:val="0"/>
              <w:pageBreakBefore w:val="0"/>
              <w:widowControl/>
              <w:kinsoku/>
              <w:wordWrap/>
              <w:overflowPunct/>
              <w:topLinePunct w:val="0"/>
              <w:bidi w:val="0"/>
              <w:adjustRightInd w:val="0"/>
              <w:snapToGrid w:val="0"/>
              <w:spacing w:line="400" w:lineRule="atLeast"/>
              <w:jc w:val="lef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投标人对项目需求响应程度，对项目情况的了解与熟悉程度，包括对园区布局、企业特点等以及对本项目的理解和重难点情况进行分析阐述，内容包含但不限于本项目全面理解分析、工作实施方案的重点、难点分析及应对措施的合理性、有效性、针对性情况。</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阐述完善全面、科学合理，理解程度透彻、全面、深刻的，得10分；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阐述较全面、理解较透彻、较深刻的，得7分；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阐述一般且有缺陷，合理性一般的，得 5分；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阐述差的得3分。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未见阐述不得分。</w:t>
            </w:r>
          </w:p>
        </w:tc>
      </w:tr>
      <w:tr w14:paraId="49307B02">
        <w:tblPrEx>
          <w:tblCellMar>
            <w:top w:w="0" w:type="dxa"/>
            <w:left w:w="0" w:type="dxa"/>
            <w:bottom w:w="0" w:type="dxa"/>
            <w:right w:w="0" w:type="dxa"/>
          </w:tblCellMar>
        </w:tblPrEx>
        <w:trPr>
          <w:trHeight w:val="2828"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DE885B">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BC5616">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14A43C">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项目实施整体方案（10分）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F02D14">
            <w:pPr>
              <w:keepNext w:val="0"/>
              <w:keepLines w:val="0"/>
              <w:pageBreakBefore w:val="0"/>
              <w:widowControl/>
              <w:kinsoku/>
              <w:wordWrap/>
              <w:overflowPunct/>
              <w:topLinePunct w:val="0"/>
              <w:bidi w:val="0"/>
              <w:adjustRightInd w:val="0"/>
              <w:snapToGrid w:val="0"/>
              <w:spacing w:line="400" w:lineRule="atLeast"/>
              <w:jc w:val="lef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针对本项目提出实施过程整体服务方案，包括但不限于对项目理解程度、政策把握、实施方案、工作分解、人员配备等；</w:t>
            </w:r>
            <w:r>
              <w:rPr>
                <w:rFonts w:hint="default" w:ascii="Times New Roman" w:hAnsi="Times New Roman" w:eastAsia="宋体" w:cs="Times New Roman"/>
                <w:color w:val="auto"/>
                <w:szCs w:val="21"/>
                <w:highlight w:val="none"/>
                <w:lang w:val="en-US" w:eastAsia="zh-CN"/>
              </w:rPr>
              <w:t>重点考察过程安全管理体系诊断提升、建设项目准入咨询和关键环节把关、智慧化监管场景应用、专项治理和“三警”支撑、安全风险研判等内容。</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实施过程中对项目理解程度深刻、政策把握精准、整体服务方案内容详细，实施方案、工作分解、人员配备合理的，得10分；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实施过程中对项目理解程度较深刻、政策把握正确、整体服务方案内容较详细，实施方案、工作分解、人员配备较合理的，得7分；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实施过程中对项目理解程度一般、政策把握基本正确、整体服务方案内容基本详细，实施方案、工作分解、人员配备一般的，得3分；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未见阐述不得分。</w:t>
            </w:r>
          </w:p>
        </w:tc>
      </w:tr>
      <w:tr w14:paraId="13C17323">
        <w:tblPrEx>
          <w:tblCellMar>
            <w:top w:w="0" w:type="dxa"/>
            <w:left w:w="0" w:type="dxa"/>
            <w:bottom w:w="0" w:type="dxa"/>
            <w:right w:w="0" w:type="dxa"/>
          </w:tblCellMar>
        </w:tblPrEx>
        <w:trPr>
          <w:trHeight w:val="397"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7CD5B2">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5F1414">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B18C7C">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进度保障服务方案（10分）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5C30EB">
            <w:pPr>
              <w:keepNext w:val="0"/>
              <w:keepLines w:val="0"/>
              <w:pageBreakBefore w:val="0"/>
              <w:widowControl/>
              <w:kinsoku/>
              <w:wordWrap/>
              <w:overflowPunct/>
              <w:topLinePunct w:val="0"/>
              <w:bidi w:val="0"/>
              <w:adjustRightInd w:val="0"/>
              <w:snapToGrid w:val="0"/>
              <w:spacing w:line="400" w:lineRule="atLeast"/>
              <w:jc w:val="lef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供应商提供的整体实施方案中工作</w:t>
            </w:r>
            <w:r>
              <w:rPr>
                <w:rFonts w:hint="eastAsia" w:ascii="Times New Roman" w:hAnsi="Times New Roman" w:cs="Times New Roman"/>
                <w:color w:val="auto"/>
                <w:szCs w:val="21"/>
                <w:highlight w:val="none"/>
                <w:lang w:val="en-US" w:eastAsia="zh-CN"/>
              </w:rPr>
              <w:t>时间、</w:t>
            </w:r>
            <w:r>
              <w:rPr>
                <w:rFonts w:hint="default" w:ascii="Times New Roman" w:hAnsi="Times New Roman" w:cs="Times New Roman"/>
                <w:color w:val="auto"/>
                <w:szCs w:val="21"/>
                <w:highlight w:val="none"/>
                <w:lang w:val="en-US" w:eastAsia="zh-CN"/>
              </w:rPr>
              <w:t>进度计划的安排要求说明科学性、合理性、有效性、紧密程度等情况。</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实施方案中工作时间</w:t>
            </w: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进度计划的安排科学性、合理性、有效性、紧密程度好的，得10分；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实施方案中工作时间</w:t>
            </w: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进度计划的安排科学性、合理性、有效性、紧密程度较好的，得7分；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实施方案中工作时间</w:t>
            </w: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进度计划的安排科学性、合理性、有效性、紧密程度较一般的，得3分。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未见阐述不得分。</w:t>
            </w:r>
          </w:p>
        </w:tc>
      </w:tr>
      <w:tr w14:paraId="6A574177">
        <w:tblPrEx>
          <w:tblCellMar>
            <w:top w:w="0" w:type="dxa"/>
            <w:left w:w="0" w:type="dxa"/>
            <w:bottom w:w="0" w:type="dxa"/>
            <w:right w:w="0" w:type="dxa"/>
          </w:tblCellMar>
        </w:tblPrEx>
        <w:trPr>
          <w:cantSplit/>
          <w:trHeight w:val="1020"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1CBC40">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1B7A4F">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6A8063">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质量体系保障服务（10分）</w:t>
            </w:r>
          </w:p>
        </w:tc>
        <w:tc>
          <w:tcPr>
            <w:tcW w:w="685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B68B9A">
            <w:pPr>
              <w:keepNext w:val="0"/>
              <w:keepLines w:val="0"/>
              <w:pageBreakBefore w:val="0"/>
              <w:widowControl/>
              <w:kinsoku/>
              <w:wordWrap/>
              <w:overflowPunct/>
              <w:topLinePunct w:val="0"/>
              <w:bidi w:val="0"/>
              <w:adjustRightInd w:val="0"/>
              <w:snapToGrid w:val="0"/>
              <w:spacing w:line="400" w:lineRule="atLeast"/>
              <w:jc w:val="lef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对本项目实施过程中投标人的质量保证体系及措施进行综合评分。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质量保证体系及措施合理，与本项目贴合的，得10分；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质量保证体系及措施较合理，与本项目较为贴合的，得7分；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质量保证体系及措施一般的，得3分；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未见阐述不得分。</w:t>
            </w:r>
          </w:p>
        </w:tc>
      </w:tr>
      <w:tr w14:paraId="3BB50315">
        <w:tblPrEx>
          <w:tblCellMar>
            <w:top w:w="0" w:type="dxa"/>
            <w:left w:w="0" w:type="dxa"/>
            <w:bottom w:w="0" w:type="dxa"/>
            <w:right w:w="0" w:type="dxa"/>
          </w:tblCellMar>
        </w:tblPrEx>
        <w:trPr>
          <w:trHeight w:val="1024"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166AAD">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04B12D">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367F0C">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685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C9497D">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r>
      <w:tr w14:paraId="373C95C5">
        <w:tblPrEx>
          <w:tblCellMar>
            <w:top w:w="0" w:type="dxa"/>
            <w:left w:w="0" w:type="dxa"/>
            <w:bottom w:w="0" w:type="dxa"/>
            <w:right w:w="0" w:type="dxa"/>
          </w:tblCellMar>
        </w:tblPrEx>
        <w:trPr>
          <w:trHeight w:val="312"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D367B1">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21A24C">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F82F91">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685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4C7C94">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r>
      <w:tr w14:paraId="21A702F9">
        <w:tblPrEx>
          <w:tblCellMar>
            <w:top w:w="0" w:type="dxa"/>
            <w:left w:w="0" w:type="dxa"/>
            <w:bottom w:w="0" w:type="dxa"/>
            <w:right w:w="0" w:type="dxa"/>
          </w:tblCellMar>
        </w:tblPrEx>
        <w:trPr>
          <w:trHeight w:val="4385"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E9D3C9">
            <w:pPr>
              <w:keepNext w:val="0"/>
              <w:keepLines w:val="0"/>
              <w:pageBreakBefore w:val="0"/>
              <w:widowControl/>
              <w:kinsoku/>
              <w:wordWrap/>
              <w:overflowPunct/>
              <w:topLinePunct w:val="0"/>
              <w:bidi w:val="0"/>
              <w:adjustRightInd w:val="0"/>
              <w:snapToGrid w:val="0"/>
              <w:spacing w:line="400" w:lineRule="atLeast"/>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2</w:t>
            </w:r>
          </w:p>
        </w:tc>
        <w:tc>
          <w:tcPr>
            <w:tcW w:w="88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5F7A5D">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拟投入人员配备（</w:t>
            </w:r>
            <w:r>
              <w:rPr>
                <w:rFonts w:hint="default" w:ascii="Times New Roman" w:hAnsi="Times New Roman" w:cs="Times New Roman"/>
                <w:color w:val="auto"/>
                <w:szCs w:val="21"/>
                <w:highlight w:val="none"/>
                <w:lang w:val="en-US" w:eastAsia="zh-CN"/>
              </w:rPr>
              <w:t>2</w:t>
            </w:r>
            <w:r>
              <w:rPr>
                <w:rFonts w:hint="eastAsia"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lang w:val="en-US" w:eastAsia="zh-CN"/>
              </w:rPr>
              <w:t>分）</w:t>
            </w:r>
          </w:p>
        </w:tc>
        <w:tc>
          <w:tcPr>
            <w:tcW w:w="10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6D7A7E">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2</w:t>
            </w:r>
            <w:r>
              <w:rPr>
                <w:rFonts w:hint="eastAsia"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lang w:val="en-US" w:eastAsia="zh-CN"/>
              </w:rPr>
              <w:t>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20841E">
            <w:pPr>
              <w:keepNext w:val="0"/>
              <w:keepLines w:val="0"/>
              <w:pageBreakBefore w:val="0"/>
              <w:widowControl/>
              <w:numPr>
                <w:ilvl w:val="0"/>
                <w:numId w:val="0"/>
              </w:numPr>
              <w:kinsoku/>
              <w:wordWrap/>
              <w:overflowPunct/>
              <w:topLinePunct w:val="0"/>
              <w:bidi w:val="0"/>
              <w:adjustRightInd w:val="0"/>
              <w:snapToGrid w:val="0"/>
              <w:spacing w:line="400" w:lineRule="atLeast"/>
              <w:jc w:val="left"/>
              <w:textAlignment w:val="auto"/>
              <w:rPr>
                <w:rFonts w:hint="default" w:ascii="Times New Roman" w:hAnsi="Times New Roman" w:cs="Times New Roman"/>
                <w:color w:val="auto"/>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1、</w:t>
            </w:r>
            <w:r>
              <w:rPr>
                <w:rFonts w:hint="eastAsia" w:ascii="Times New Roman" w:hAnsi="Times New Roman" w:cs="Times New Roman"/>
                <w:color w:val="auto"/>
                <w:szCs w:val="21"/>
                <w:highlight w:val="none"/>
                <w:lang w:val="en-US" w:eastAsia="zh-CN"/>
              </w:rPr>
              <w:t>人员数量</w:t>
            </w:r>
            <w:r>
              <w:rPr>
                <w:rFonts w:hint="default" w:ascii="Times New Roman" w:hAnsi="Times New Roman" w:cs="Times New Roman"/>
                <w:color w:val="auto"/>
                <w:szCs w:val="21"/>
                <w:highlight w:val="none"/>
                <w:lang w:val="en-US" w:eastAsia="zh-CN"/>
              </w:rPr>
              <w:t>：项目组成员人数</w:t>
            </w:r>
            <w:r>
              <w:rPr>
                <w:rFonts w:hint="eastAsia" w:ascii="Times New Roman" w:hAnsi="Times New Roman" w:cs="Times New Roman"/>
                <w:color w:val="auto"/>
                <w:szCs w:val="21"/>
                <w:highlight w:val="none"/>
                <w:lang w:val="en-US" w:eastAsia="zh-CN"/>
              </w:rPr>
              <w:t>不低于5人，满足5人得4分；在5人基础上，每增加1人，加0.5分，本项最高不超过</w:t>
            </w:r>
            <w:r>
              <w:rPr>
                <w:rFonts w:hint="default" w:ascii="Times New Roman" w:hAnsi="Times New Roman" w:cs="Times New Roman"/>
                <w:color w:val="auto"/>
                <w:szCs w:val="21"/>
                <w:highlight w:val="none"/>
                <w:lang w:val="en-US" w:eastAsia="zh-CN"/>
              </w:rPr>
              <w:t>5分</w:t>
            </w:r>
            <w:r>
              <w:rPr>
                <w:rFonts w:hint="eastAsia" w:ascii="Times New Roman" w:hAnsi="Times New Roman" w:cs="Times New Roman"/>
                <w:color w:val="auto"/>
                <w:szCs w:val="21"/>
                <w:highlight w:val="none"/>
                <w:lang w:val="en-US" w:eastAsia="zh-CN"/>
              </w:rPr>
              <w:t>。</w:t>
            </w:r>
          </w:p>
          <w:p w14:paraId="784FF29D">
            <w:pPr>
              <w:keepNext w:val="0"/>
              <w:keepLines w:val="0"/>
              <w:pageBreakBefore w:val="0"/>
              <w:widowControl/>
              <w:numPr>
                <w:ilvl w:val="0"/>
                <w:numId w:val="0"/>
              </w:numPr>
              <w:kinsoku/>
              <w:wordWrap/>
              <w:overflowPunct/>
              <w:topLinePunct w:val="0"/>
              <w:bidi w:val="0"/>
              <w:adjustRightInd w:val="0"/>
              <w:snapToGrid w:val="0"/>
              <w:spacing w:line="400" w:lineRule="atLeast"/>
              <w:jc w:val="left"/>
              <w:textAlignment w:val="auto"/>
              <w:rPr>
                <w:rFonts w:hint="default" w:ascii="Times New Roman" w:hAnsi="Times New Roman" w:cs="Times New Roman"/>
                <w:color w:val="auto"/>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2、</w:t>
            </w:r>
            <w:r>
              <w:rPr>
                <w:rFonts w:hint="default" w:ascii="Times New Roman" w:hAnsi="Times New Roman" w:eastAsia="宋体" w:cs="Times New Roman"/>
                <w:color w:val="auto"/>
                <w:szCs w:val="21"/>
                <w:highlight w:val="none"/>
                <w:lang w:val="en-US" w:eastAsia="zh-CN"/>
              </w:rPr>
              <w:t>专业</w:t>
            </w:r>
            <w:r>
              <w:rPr>
                <w:rFonts w:hint="eastAsia" w:ascii="Times New Roman" w:hAnsi="Times New Roman" w:eastAsia="宋体" w:cs="Times New Roman"/>
                <w:color w:val="auto"/>
                <w:szCs w:val="21"/>
                <w:highlight w:val="none"/>
                <w:lang w:val="en-US" w:eastAsia="zh-CN"/>
              </w:rPr>
              <w:t>结构</w:t>
            </w:r>
            <w:r>
              <w:rPr>
                <w:rFonts w:hint="default" w:ascii="Times New Roman" w:hAnsi="Times New Roman" w:eastAsia="宋体" w:cs="Times New Roman"/>
                <w:color w:val="auto"/>
                <w:szCs w:val="21"/>
                <w:highlight w:val="none"/>
                <w:lang w:val="en-US" w:eastAsia="zh-CN"/>
              </w:rPr>
              <w:t>：项目</w:t>
            </w:r>
            <w:r>
              <w:rPr>
                <w:rFonts w:hint="default" w:ascii="Times New Roman" w:hAnsi="Times New Roman" w:cs="Times New Roman"/>
                <w:color w:val="auto"/>
                <w:szCs w:val="21"/>
                <w:highlight w:val="none"/>
                <w:lang w:val="en-US" w:eastAsia="zh-CN"/>
              </w:rPr>
              <w:t>组成员专业</w:t>
            </w:r>
            <w:r>
              <w:rPr>
                <w:rFonts w:hint="eastAsia" w:ascii="Times New Roman" w:hAnsi="Times New Roman" w:cs="Times New Roman"/>
                <w:color w:val="auto"/>
                <w:szCs w:val="21"/>
                <w:highlight w:val="none"/>
                <w:lang w:val="en-US" w:eastAsia="zh-CN"/>
              </w:rPr>
              <w:t>应</w:t>
            </w:r>
            <w:r>
              <w:rPr>
                <w:rFonts w:hint="default" w:ascii="Times New Roman" w:hAnsi="Times New Roman" w:cs="Times New Roman"/>
                <w:color w:val="auto"/>
                <w:szCs w:val="21"/>
                <w:highlight w:val="none"/>
                <w:lang w:val="en-US" w:eastAsia="zh-CN"/>
              </w:rPr>
              <w:t>涵盖化工安全管理、工艺、设备、电气、仪表、消防</w:t>
            </w:r>
            <w:r>
              <w:rPr>
                <w:rFonts w:hint="eastAsia" w:ascii="Times New Roman" w:hAnsi="Times New Roman" w:cs="Times New Roman"/>
                <w:color w:val="auto"/>
                <w:szCs w:val="21"/>
                <w:highlight w:val="none"/>
                <w:lang w:val="en-US" w:eastAsia="zh-CN"/>
              </w:rPr>
              <w:t>等领域</w:t>
            </w:r>
            <w:r>
              <w:rPr>
                <w:rFonts w:hint="default" w:ascii="Times New Roman" w:hAnsi="Times New Roman" w:cs="Times New Roman"/>
                <w:color w:val="auto"/>
                <w:szCs w:val="21"/>
                <w:highlight w:val="none"/>
                <w:lang w:val="en-US" w:eastAsia="zh-CN"/>
              </w:rPr>
              <w:t>。全部满足得</w:t>
            </w:r>
            <w:r>
              <w:rPr>
                <w:rFonts w:hint="eastAsia"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lang w:val="en-US" w:eastAsia="zh-CN"/>
              </w:rPr>
              <w:t>分，少一专业扣</w:t>
            </w:r>
            <w:r>
              <w:rPr>
                <w:rFonts w:hint="eastAsia"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lang w:val="en-US" w:eastAsia="zh-CN"/>
              </w:rPr>
              <w:t>分，扣完为止。专业以学历证书或职业证书为准。</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3、</w:t>
            </w:r>
            <w:r>
              <w:rPr>
                <w:rFonts w:hint="eastAsia" w:ascii="Times New Roman" w:hAnsi="Times New Roman" w:cs="Times New Roman"/>
                <w:strike w:val="0"/>
                <w:dstrike w:val="0"/>
                <w:color w:val="auto"/>
                <w:szCs w:val="21"/>
                <w:highlight w:val="none"/>
                <w:lang w:val="en-US" w:eastAsia="zh-CN"/>
              </w:rPr>
              <w:t>学历背景：</w:t>
            </w:r>
            <w:r>
              <w:rPr>
                <w:rFonts w:hint="default" w:ascii="Times New Roman" w:hAnsi="Times New Roman" w:eastAsia="宋体" w:cs="Times New Roman"/>
                <w:color w:val="auto"/>
                <w:szCs w:val="21"/>
                <w:highlight w:val="none"/>
                <w:lang w:val="en-US" w:eastAsia="zh-CN"/>
              </w:rPr>
              <w:t>拟派项目负责人及工艺、仪表</w:t>
            </w:r>
            <w:r>
              <w:rPr>
                <w:rFonts w:hint="eastAsia" w:ascii="Times New Roman" w:hAnsi="Times New Roman" w:eastAsia="宋体" w:cs="Times New Roman"/>
                <w:color w:val="auto"/>
                <w:szCs w:val="21"/>
                <w:highlight w:val="none"/>
                <w:lang w:val="en-US" w:eastAsia="zh-CN"/>
              </w:rPr>
              <w:t>、设备</w:t>
            </w:r>
            <w:r>
              <w:rPr>
                <w:rFonts w:hint="default" w:ascii="Times New Roman" w:hAnsi="Times New Roman" w:eastAsia="宋体" w:cs="Times New Roman"/>
                <w:color w:val="auto"/>
                <w:szCs w:val="21"/>
                <w:highlight w:val="none"/>
                <w:lang w:val="en-US" w:eastAsia="zh-CN"/>
              </w:rPr>
              <w:t>等核心技术岗位人员具有相关专业本科及以上学历的，本项</w:t>
            </w:r>
            <w:r>
              <w:rPr>
                <w:rFonts w:hint="eastAsia" w:ascii="Times New Roman" w:hAnsi="Times New Roman" w:eastAsia="宋体" w:cs="Times New Roman"/>
                <w:color w:val="auto"/>
                <w:szCs w:val="21"/>
                <w:highlight w:val="none"/>
                <w:lang w:val="en-US" w:eastAsia="zh-CN"/>
              </w:rPr>
              <w:t>满分2</w:t>
            </w:r>
            <w:r>
              <w:rPr>
                <w:rFonts w:hint="default" w:ascii="Times New Roman" w:hAnsi="Times New Roman" w:eastAsia="宋体" w:cs="Times New Roman"/>
                <w:color w:val="auto"/>
                <w:szCs w:val="21"/>
                <w:highlight w:val="none"/>
                <w:lang w:val="en-US" w:eastAsia="zh-CN"/>
              </w:rPr>
              <w:t>分</w:t>
            </w:r>
            <w:r>
              <w:rPr>
                <w:rFonts w:hint="eastAsia" w:ascii="Times New Roman" w:hAnsi="Times New Roman" w:eastAsia="宋体" w:cs="Times New Roman"/>
                <w:color w:val="auto"/>
                <w:szCs w:val="21"/>
                <w:highlight w:val="none"/>
                <w:lang w:val="en-US" w:eastAsia="zh-CN"/>
              </w:rPr>
              <w:t>，</w:t>
            </w:r>
            <w:r>
              <w:rPr>
                <w:rFonts w:hint="default" w:ascii="Times New Roman" w:hAnsi="Times New Roman" w:eastAsia="宋体" w:cs="Times New Roman"/>
                <w:color w:val="auto"/>
                <w:szCs w:val="21"/>
                <w:highlight w:val="none"/>
                <w:lang w:val="en-US" w:eastAsia="zh-CN"/>
              </w:rPr>
              <w:t>每</w:t>
            </w:r>
            <w:r>
              <w:rPr>
                <w:rFonts w:hint="eastAsia" w:ascii="Times New Roman" w:hAnsi="Times New Roman" w:eastAsia="宋体" w:cs="Times New Roman"/>
                <w:color w:val="auto"/>
                <w:szCs w:val="21"/>
                <w:highlight w:val="none"/>
                <w:lang w:val="en-US" w:eastAsia="zh-CN"/>
              </w:rPr>
              <w:t>少</w:t>
            </w:r>
            <w:r>
              <w:rPr>
                <w:rFonts w:hint="default" w:ascii="Times New Roman" w:hAnsi="Times New Roman" w:eastAsia="宋体" w:cs="Times New Roman"/>
                <w:color w:val="auto"/>
                <w:szCs w:val="21"/>
                <w:highlight w:val="none"/>
                <w:lang w:val="en-US" w:eastAsia="zh-CN"/>
              </w:rPr>
              <w:t>1人</w:t>
            </w:r>
            <w:r>
              <w:rPr>
                <w:rFonts w:hint="eastAsia" w:ascii="Times New Roman" w:hAnsi="Times New Roman" w:eastAsia="宋体" w:cs="Times New Roman"/>
                <w:color w:val="auto"/>
                <w:szCs w:val="21"/>
                <w:highlight w:val="none"/>
                <w:lang w:val="en-US" w:eastAsia="zh-CN"/>
              </w:rPr>
              <w:t>扣</w:t>
            </w:r>
            <w:r>
              <w:rPr>
                <w:rFonts w:hint="default" w:ascii="Times New Roman" w:hAnsi="Times New Roman" w:eastAsia="宋体" w:cs="Times New Roman"/>
                <w:color w:val="auto"/>
                <w:szCs w:val="21"/>
                <w:highlight w:val="none"/>
                <w:lang w:val="en-US" w:eastAsia="zh-CN"/>
              </w:rPr>
              <w:t>0.5分，</w:t>
            </w:r>
            <w:r>
              <w:rPr>
                <w:rFonts w:hint="eastAsia" w:ascii="Times New Roman" w:hAnsi="Times New Roman" w:eastAsia="宋体" w:cs="Times New Roman"/>
                <w:color w:val="auto"/>
                <w:szCs w:val="21"/>
                <w:highlight w:val="none"/>
                <w:lang w:val="en-US" w:eastAsia="zh-CN"/>
              </w:rPr>
              <w:t>扣完为止</w:t>
            </w:r>
            <w:r>
              <w:rPr>
                <w:rFonts w:hint="default" w:ascii="Times New Roman" w:hAnsi="Times New Roman" w:eastAsia="宋体"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4、</w:t>
            </w:r>
            <w:r>
              <w:rPr>
                <w:rFonts w:hint="eastAsia" w:ascii="Times New Roman" w:hAnsi="Times New Roman" w:cs="Times New Roman"/>
                <w:color w:val="auto"/>
                <w:szCs w:val="21"/>
                <w:highlight w:val="none"/>
                <w:lang w:val="en-US" w:eastAsia="zh-CN"/>
              </w:rPr>
              <w:t>职称：拟派</w:t>
            </w:r>
            <w:r>
              <w:rPr>
                <w:rFonts w:hint="default" w:ascii="Times New Roman" w:hAnsi="Times New Roman" w:eastAsia="宋体" w:cs="Times New Roman"/>
                <w:color w:val="auto"/>
                <w:szCs w:val="21"/>
                <w:highlight w:val="none"/>
                <w:lang w:val="en-US" w:eastAsia="zh-CN"/>
              </w:rPr>
              <w:t>项目</w:t>
            </w:r>
            <w:r>
              <w:rPr>
                <w:rFonts w:hint="default" w:ascii="Times New Roman" w:hAnsi="Times New Roman" w:cs="Times New Roman"/>
                <w:color w:val="auto"/>
                <w:szCs w:val="21"/>
                <w:highlight w:val="none"/>
                <w:lang w:val="en-US" w:eastAsia="zh-CN"/>
              </w:rPr>
              <w:t>组成员</w:t>
            </w:r>
            <w:r>
              <w:rPr>
                <w:rFonts w:hint="eastAsia" w:ascii="Times New Roman" w:hAnsi="Times New Roman" w:cs="Times New Roman"/>
                <w:color w:val="auto"/>
                <w:szCs w:val="21"/>
                <w:highlight w:val="none"/>
                <w:lang w:val="en-US" w:eastAsia="zh-CN"/>
              </w:rPr>
              <w:t>应取得化工类</w:t>
            </w:r>
            <w:r>
              <w:rPr>
                <w:rFonts w:hint="eastAsia" w:ascii="Times New Roman" w:hAnsi="Times New Roman" w:eastAsia="宋体" w:cs="Times New Roman"/>
                <w:color w:val="auto"/>
                <w:szCs w:val="21"/>
                <w:highlight w:val="none"/>
                <w:lang w:val="en-US" w:eastAsia="zh-CN"/>
              </w:rPr>
              <w:t>注册安全工程师证书、</w:t>
            </w:r>
            <w:r>
              <w:rPr>
                <w:rFonts w:hint="default" w:ascii="Times New Roman" w:hAnsi="Times New Roman" w:cs="Times New Roman"/>
                <w:color w:val="auto"/>
                <w:szCs w:val="21"/>
                <w:highlight w:val="none"/>
                <w:lang w:val="en-US" w:eastAsia="zh-CN"/>
              </w:rPr>
              <w:t>高级</w:t>
            </w:r>
            <w:r>
              <w:rPr>
                <w:rFonts w:hint="eastAsia" w:ascii="Times New Roman" w:hAnsi="Times New Roman" w:cs="Times New Roman"/>
                <w:color w:val="auto"/>
                <w:szCs w:val="21"/>
                <w:highlight w:val="none"/>
                <w:lang w:val="en-US" w:eastAsia="zh-CN"/>
              </w:rPr>
              <w:t>工</w:t>
            </w:r>
            <w:r>
              <w:rPr>
                <w:rFonts w:hint="eastAsia" w:ascii="Times New Roman" w:hAnsi="Times New Roman" w:eastAsia="宋体" w:cs="Times New Roman"/>
                <w:color w:val="auto"/>
                <w:szCs w:val="21"/>
                <w:highlight w:val="none"/>
                <w:lang w:val="en-US" w:eastAsia="zh-CN"/>
              </w:rPr>
              <w:t>程师</w:t>
            </w:r>
            <w:r>
              <w:rPr>
                <w:rFonts w:hint="default" w:ascii="Times New Roman" w:hAnsi="Times New Roman" w:eastAsia="宋体" w:cs="Times New Roman"/>
                <w:color w:val="auto"/>
                <w:szCs w:val="21"/>
                <w:highlight w:val="none"/>
                <w:lang w:val="en-US" w:eastAsia="zh-CN"/>
              </w:rPr>
              <w:t>及以上职称，</w:t>
            </w:r>
            <w:r>
              <w:rPr>
                <w:rFonts w:hint="default" w:ascii="Times New Roman" w:hAnsi="Times New Roman" w:cs="Times New Roman"/>
                <w:color w:val="auto"/>
                <w:szCs w:val="21"/>
                <w:highlight w:val="none"/>
                <w:lang w:val="en-US" w:eastAsia="zh-CN"/>
              </w:rPr>
              <w:t>本项满分为5分</w:t>
            </w:r>
            <w:r>
              <w:rPr>
                <w:rFonts w:hint="eastAsia" w:ascii="Times New Roman" w:hAnsi="Times New Roman" w:cs="Times New Roman"/>
                <w:color w:val="auto"/>
                <w:szCs w:val="21"/>
                <w:highlight w:val="none"/>
                <w:lang w:val="en-US" w:eastAsia="zh-CN"/>
              </w:rPr>
              <w:t>。每少一个化工类</w:t>
            </w:r>
            <w:r>
              <w:rPr>
                <w:rFonts w:hint="eastAsia" w:ascii="Times New Roman" w:hAnsi="Times New Roman" w:eastAsia="宋体" w:cs="Times New Roman"/>
                <w:color w:val="auto"/>
                <w:szCs w:val="21"/>
                <w:highlight w:val="none"/>
                <w:lang w:val="en-US" w:eastAsia="zh-CN"/>
              </w:rPr>
              <w:t>注册安全工程师</w:t>
            </w:r>
            <w:r>
              <w:rPr>
                <w:rFonts w:hint="default" w:ascii="Times New Roman" w:hAnsi="Times New Roman" w:eastAsia="宋体" w:cs="Times New Roman"/>
                <w:color w:val="auto"/>
                <w:szCs w:val="21"/>
                <w:highlight w:val="none"/>
                <w:lang w:val="en-US" w:eastAsia="zh-CN"/>
              </w:rPr>
              <w:t>职业资格证书</w:t>
            </w:r>
            <w:r>
              <w:rPr>
                <w:rFonts w:hint="eastAsia" w:ascii="Times New Roman" w:hAnsi="Times New Roman" w:eastAsia="宋体"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扣</w:t>
            </w:r>
            <w:r>
              <w:rPr>
                <w:rFonts w:hint="eastAsia" w:ascii="Times New Roman" w:hAnsi="Times New Roman" w:cs="Times New Roman"/>
                <w:color w:val="auto"/>
                <w:szCs w:val="21"/>
                <w:highlight w:val="none"/>
                <w:lang w:val="en-US" w:eastAsia="zh-CN"/>
              </w:rPr>
              <w:t>0.5</w:t>
            </w:r>
            <w:r>
              <w:rPr>
                <w:rFonts w:hint="default" w:ascii="Times New Roman" w:hAnsi="Times New Roman" w:cs="Times New Roman"/>
                <w:color w:val="auto"/>
                <w:szCs w:val="21"/>
                <w:highlight w:val="none"/>
                <w:lang w:val="en-US" w:eastAsia="zh-CN"/>
              </w:rPr>
              <w:t>分</w:t>
            </w:r>
            <w:r>
              <w:rPr>
                <w:rFonts w:hint="eastAsia" w:ascii="Times New Roman" w:hAnsi="Times New Roman" w:cs="Times New Roman"/>
                <w:color w:val="auto"/>
                <w:szCs w:val="21"/>
                <w:highlight w:val="none"/>
                <w:lang w:val="en-US" w:eastAsia="zh-CN"/>
              </w:rPr>
              <w:t>；每</w:t>
            </w:r>
            <w:r>
              <w:rPr>
                <w:rFonts w:hint="default" w:ascii="Times New Roman" w:hAnsi="Times New Roman" w:cs="Times New Roman"/>
                <w:color w:val="auto"/>
                <w:szCs w:val="21"/>
                <w:highlight w:val="none"/>
                <w:lang w:val="en-US" w:eastAsia="zh-CN"/>
              </w:rPr>
              <w:t>少一个高级</w:t>
            </w:r>
            <w:r>
              <w:rPr>
                <w:rFonts w:hint="eastAsia" w:ascii="Times New Roman" w:hAnsi="Times New Roman" w:cs="Times New Roman"/>
                <w:color w:val="auto"/>
                <w:szCs w:val="21"/>
                <w:highlight w:val="none"/>
                <w:lang w:val="en-US" w:eastAsia="zh-CN"/>
              </w:rPr>
              <w:t>工</w:t>
            </w:r>
            <w:r>
              <w:rPr>
                <w:rFonts w:hint="eastAsia" w:ascii="Times New Roman" w:hAnsi="Times New Roman" w:eastAsia="宋体" w:cs="Times New Roman"/>
                <w:color w:val="auto"/>
                <w:szCs w:val="21"/>
                <w:highlight w:val="none"/>
                <w:lang w:val="en-US" w:eastAsia="zh-CN"/>
              </w:rPr>
              <w:t>程师</w:t>
            </w:r>
            <w:r>
              <w:rPr>
                <w:rFonts w:hint="default" w:ascii="Times New Roman" w:hAnsi="Times New Roman" w:eastAsia="宋体" w:cs="Times New Roman"/>
                <w:color w:val="auto"/>
                <w:szCs w:val="21"/>
                <w:highlight w:val="none"/>
                <w:lang w:val="en-US" w:eastAsia="zh-CN"/>
              </w:rPr>
              <w:t>及以上职称</w:t>
            </w:r>
            <w:r>
              <w:rPr>
                <w:rFonts w:hint="eastAsia" w:ascii="Times New Roman" w:hAnsi="Times New Roman" w:eastAsia="宋体" w:cs="Times New Roman"/>
                <w:color w:val="auto"/>
                <w:szCs w:val="21"/>
                <w:highlight w:val="none"/>
                <w:lang w:val="en-US" w:eastAsia="zh-CN"/>
              </w:rPr>
              <w:t>证书</w:t>
            </w:r>
            <w:r>
              <w:rPr>
                <w:rFonts w:hint="default" w:ascii="Times New Roman" w:hAnsi="Times New Roman" w:cs="Times New Roman"/>
                <w:color w:val="auto"/>
                <w:szCs w:val="21"/>
                <w:highlight w:val="none"/>
                <w:lang w:val="en-US" w:eastAsia="zh-CN"/>
              </w:rPr>
              <w:t>，扣1分</w:t>
            </w:r>
            <w:r>
              <w:rPr>
                <w:rFonts w:hint="eastAsia" w:ascii="Times New Roman" w:hAnsi="Times New Roman" w:cs="Times New Roman"/>
                <w:color w:val="auto"/>
                <w:szCs w:val="21"/>
                <w:highlight w:val="none"/>
                <w:lang w:val="en-US" w:eastAsia="zh-CN"/>
              </w:rPr>
              <w:t>；</w:t>
            </w:r>
            <w:r>
              <w:rPr>
                <w:rFonts w:hint="default" w:ascii="Times New Roman" w:hAnsi="Times New Roman" w:cs="Times New Roman"/>
                <w:color w:val="auto"/>
                <w:szCs w:val="21"/>
                <w:highlight w:val="none"/>
                <w:lang w:val="en-US" w:eastAsia="zh-CN"/>
              </w:rPr>
              <w:t>扣完为止。</w:t>
            </w:r>
            <w:r>
              <w:rPr>
                <w:rFonts w:hint="default" w:ascii="Times New Roman" w:hAnsi="Times New Roman" w:cs="Times New Roman"/>
                <w:color w:val="auto"/>
                <w:szCs w:val="21"/>
                <w:highlight w:val="none"/>
                <w:lang w:val="en-US" w:eastAsia="zh-CN"/>
              </w:rPr>
              <w:br w:type="textWrapping"/>
            </w:r>
            <w:r>
              <w:rPr>
                <w:rFonts w:hint="default" w:ascii="Times New Roman" w:hAnsi="Times New Roman" w:cs="Times New Roman"/>
                <w:color w:val="auto"/>
                <w:szCs w:val="21"/>
                <w:highlight w:val="none"/>
                <w:lang w:val="en-US" w:eastAsia="zh-CN"/>
              </w:rPr>
              <w:t>5、</w:t>
            </w:r>
            <w:r>
              <w:rPr>
                <w:rFonts w:hint="eastAsia" w:ascii="Times New Roman" w:hAnsi="Times New Roman" w:cs="Times New Roman"/>
                <w:color w:val="auto"/>
                <w:szCs w:val="21"/>
                <w:highlight w:val="none"/>
                <w:lang w:val="en-US" w:eastAsia="zh-CN"/>
              </w:rPr>
              <w:t>工作经验：拟派</w:t>
            </w:r>
            <w:r>
              <w:rPr>
                <w:rFonts w:hint="default" w:ascii="Times New Roman" w:hAnsi="Times New Roman" w:cs="Times New Roman"/>
                <w:color w:val="auto"/>
                <w:szCs w:val="21"/>
                <w:highlight w:val="none"/>
                <w:lang w:val="en-US" w:eastAsia="zh-CN"/>
              </w:rPr>
              <w:t>项目</w:t>
            </w:r>
            <w:r>
              <w:rPr>
                <w:rFonts w:hint="eastAsia" w:ascii="Times New Roman" w:hAnsi="Times New Roman" w:cs="Times New Roman"/>
                <w:color w:val="auto"/>
                <w:szCs w:val="21"/>
                <w:highlight w:val="none"/>
                <w:lang w:val="en-US" w:eastAsia="zh-CN"/>
              </w:rPr>
              <w:t>组成员应有</w:t>
            </w:r>
            <w:r>
              <w:rPr>
                <w:rFonts w:hint="default" w:ascii="Times New Roman" w:hAnsi="Times New Roman" w:cs="Times New Roman"/>
                <w:color w:val="auto"/>
                <w:szCs w:val="21"/>
                <w:highlight w:val="none"/>
                <w:lang w:val="en-US" w:eastAsia="zh-CN"/>
              </w:rPr>
              <w:t>10年及以上大中型石油化工企业</w:t>
            </w:r>
            <w:r>
              <w:rPr>
                <w:rFonts w:hint="eastAsia" w:ascii="Times New Roman" w:hAnsi="Times New Roman" w:cs="Times New Roman"/>
                <w:color w:val="auto"/>
                <w:szCs w:val="21"/>
                <w:highlight w:val="none"/>
                <w:lang w:val="en-US" w:eastAsia="zh-CN"/>
              </w:rPr>
              <w:t>工作经历，应</w:t>
            </w:r>
            <w:r>
              <w:rPr>
                <w:rFonts w:hint="default" w:ascii="Times New Roman" w:hAnsi="Times New Roman" w:cs="Times New Roman"/>
                <w:color w:val="auto"/>
                <w:szCs w:val="21"/>
                <w:highlight w:val="none"/>
                <w:lang w:val="en-US" w:eastAsia="zh-CN"/>
              </w:rPr>
              <w:t>参加过</w:t>
            </w:r>
            <w:r>
              <w:rPr>
                <w:rFonts w:hint="eastAsia" w:ascii="Times New Roman" w:hAnsi="Times New Roman" w:cs="Times New Roman"/>
                <w:color w:val="auto"/>
                <w:szCs w:val="21"/>
                <w:highlight w:val="none"/>
                <w:lang w:val="en-US" w:eastAsia="zh-CN"/>
              </w:rPr>
              <w:t>部级</w:t>
            </w:r>
            <w:r>
              <w:rPr>
                <w:rFonts w:hint="default" w:ascii="Times New Roman" w:hAnsi="Times New Roman" w:cs="Times New Roman"/>
                <w:color w:val="auto"/>
                <w:szCs w:val="21"/>
                <w:highlight w:val="none"/>
                <w:lang w:val="en-US" w:eastAsia="zh-CN"/>
              </w:rPr>
              <w:t>重点县专家</w:t>
            </w:r>
            <w:r>
              <w:rPr>
                <w:rFonts w:hint="eastAsia" w:ascii="Times New Roman" w:hAnsi="Times New Roman" w:cs="Times New Roman"/>
                <w:color w:val="auto"/>
                <w:szCs w:val="21"/>
                <w:highlight w:val="none"/>
                <w:lang w:val="en-US" w:eastAsia="zh-CN"/>
              </w:rPr>
              <w:t>指导</w:t>
            </w:r>
            <w:r>
              <w:rPr>
                <w:rFonts w:hint="default" w:ascii="Times New Roman" w:hAnsi="Times New Roman" w:cs="Times New Roman"/>
                <w:color w:val="auto"/>
                <w:szCs w:val="21"/>
                <w:highlight w:val="none"/>
                <w:lang w:val="en-US" w:eastAsia="zh-CN"/>
              </w:rPr>
              <w:t>服务</w:t>
            </w:r>
            <w:r>
              <w:rPr>
                <w:rFonts w:hint="eastAsia" w:ascii="Times New Roman" w:hAnsi="Times New Roman" w:cs="Times New Roman"/>
                <w:color w:val="auto"/>
                <w:szCs w:val="21"/>
                <w:highlight w:val="none"/>
                <w:lang w:val="en-US" w:eastAsia="zh-CN"/>
              </w:rPr>
              <w:t>或高危细分领域专项检查工作</w:t>
            </w:r>
            <w:r>
              <w:rPr>
                <w:rFonts w:hint="default" w:ascii="Times New Roman" w:hAnsi="Times New Roman" w:cs="Times New Roman"/>
                <w:color w:val="auto"/>
                <w:szCs w:val="21"/>
                <w:highlight w:val="none"/>
                <w:lang w:val="en-US" w:eastAsia="zh-CN"/>
              </w:rPr>
              <w:t>，每提供1</w:t>
            </w:r>
            <w:r>
              <w:rPr>
                <w:rFonts w:hint="eastAsia" w:ascii="Times New Roman" w:hAnsi="Times New Roman" w:cs="Times New Roman"/>
                <w:color w:val="auto"/>
                <w:szCs w:val="21"/>
                <w:highlight w:val="none"/>
                <w:lang w:val="en-US" w:eastAsia="zh-CN"/>
              </w:rPr>
              <w:t>人</w:t>
            </w:r>
            <w:r>
              <w:rPr>
                <w:rFonts w:hint="default" w:ascii="Times New Roman" w:hAnsi="Times New Roman" w:cs="Times New Roman"/>
                <w:color w:val="auto"/>
                <w:szCs w:val="21"/>
                <w:highlight w:val="none"/>
                <w:lang w:val="en-US" w:eastAsia="zh-CN"/>
              </w:rPr>
              <w:t>有效证明得1分，最高</w:t>
            </w:r>
            <w:r>
              <w:rPr>
                <w:rFonts w:hint="eastAsia"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lang w:val="en-US" w:eastAsia="zh-CN"/>
              </w:rPr>
              <w:t>分。</w:t>
            </w:r>
            <w:r>
              <w:rPr>
                <w:rFonts w:hint="default" w:ascii="Times New Roman" w:hAnsi="Times New Roman" w:cs="Times New Roman"/>
                <w:color w:val="auto"/>
                <w:szCs w:val="21"/>
                <w:highlight w:val="none"/>
                <w:lang w:val="en-US" w:eastAsia="zh-CN"/>
              </w:rPr>
              <w:br w:type="textWrapping"/>
            </w:r>
            <w:r>
              <w:rPr>
                <w:rFonts w:hint="eastAsia" w:ascii="Times New Roman" w:hAnsi="Times New Roman" w:cs="Times New Roman"/>
                <w:color w:val="auto"/>
                <w:szCs w:val="21"/>
                <w:highlight w:val="none"/>
                <w:lang w:val="en-US" w:eastAsia="zh-CN"/>
              </w:rPr>
              <w:t>6</w:t>
            </w:r>
            <w:r>
              <w:rPr>
                <w:rFonts w:hint="default" w:ascii="Times New Roman" w:hAnsi="Times New Roman" w:cs="Times New Roman"/>
                <w:color w:val="auto"/>
                <w:szCs w:val="21"/>
                <w:highlight w:val="none"/>
                <w:lang w:val="en-US" w:eastAsia="zh-CN"/>
              </w:rPr>
              <w:t>、</w:t>
            </w:r>
            <w:r>
              <w:rPr>
                <w:rFonts w:hint="eastAsia" w:ascii="Times New Roman" w:hAnsi="Times New Roman" w:cs="Times New Roman"/>
                <w:color w:val="auto"/>
                <w:szCs w:val="21"/>
                <w:highlight w:val="none"/>
                <w:lang w:val="en-US" w:eastAsia="zh-CN"/>
              </w:rPr>
              <w:t>其他资质：</w:t>
            </w:r>
            <w:r>
              <w:rPr>
                <w:rFonts w:hint="default" w:ascii="Times New Roman" w:hAnsi="Times New Roman" w:cs="Times New Roman"/>
                <w:color w:val="auto"/>
                <w:szCs w:val="21"/>
                <w:highlight w:val="none"/>
                <w:lang w:val="en-US" w:eastAsia="zh-CN"/>
              </w:rPr>
              <w:t>拟派项目组成员中，提供HAZOP主席合格证书，提供一个得1分；提供HAZOP专业合格证书，提供1个得0.5分，本项最高得2分。</w:t>
            </w:r>
          </w:p>
        </w:tc>
      </w:tr>
      <w:tr w14:paraId="31DAFB84">
        <w:tblPrEx>
          <w:tblCellMar>
            <w:top w:w="0" w:type="dxa"/>
            <w:left w:w="0" w:type="dxa"/>
            <w:bottom w:w="0" w:type="dxa"/>
            <w:right w:w="0" w:type="dxa"/>
          </w:tblCellMar>
        </w:tblPrEx>
        <w:trPr>
          <w:trHeight w:val="897"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04A647">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EDCEA9">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71E9BC">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E01059">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注：</w:t>
            </w:r>
            <w:r>
              <w:rPr>
                <w:rFonts w:hint="eastAsia"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lang w:val="en-US" w:eastAsia="zh-CN"/>
              </w:rPr>
              <w:t>须提供拟投入本项目团队成员学历证书，HAZOP分析专家需提供HAZOP主席证书及主持过大型装置HAZOP分析相关证明材料或HAZOP专业合格证书，注册证书或职称证书或注册证书原件复印件加盖公章，工作年限证明材料，参与国家级检查相关佐证材料，省级专家及以上（含国家级行业协会专家）证明材料。（上传至投标文件中）。</w:t>
            </w:r>
          </w:p>
          <w:p w14:paraId="317EFD67">
            <w:pPr>
              <w:keepNext w:val="0"/>
              <w:keepLines w:val="0"/>
              <w:pageBreakBefore w:val="0"/>
              <w:widowControl/>
              <w:numPr>
                <w:ilvl w:val="0"/>
                <w:numId w:val="0"/>
              </w:numPr>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2.人员要求：</w:t>
            </w:r>
            <w:r>
              <w:rPr>
                <w:rFonts w:hint="default" w:ascii="Times New Roman" w:hAnsi="Times New Roman" w:eastAsia="宋体" w:cs="Times New Roman"/>
                <w:color w:val="auto"/>
                <w:szCs w:val="21"/>
                <w:highlight w:val="none"/>
                <w:lang w:val="en-US" w:eastAsia="zh-CN"/>
              </w:rPr>
              <w:t>项目组成员</w:t>
            </w:r>
            <w:r>
              <w:rPr>
                <w:rFonts w:hint="eastAsia" w:ascii="Times New Roman" w:hAnsi="Times New Roman" w:eastAsia="宋体" w:cs="Times New Roman"/>
                <w:color w:val="auto"/>
                <w:szCs w:val="21"/>
                <w:highlight w:val="none"/>
                <w:lang w:val="en-US" w:eastAsia="zh-CN"/>
              </w:rPr>
              <w:t>数量底数为5人，该5名专家要求为高水平专家，按上述第2至第7条评分标准进行评分。在此5人基础上，新增人员</w:t>
            </w:r>
            <w:r>
              <w:rPr>
                <w:rFonts w:hint="default" w:ascii="Times New Roman" w:hAnsi="Times New Roman" w:eastAsia="宋体" w:cs="Times New Roman"/>
                <w:color w:val="auto"/>
                <w:szCs w:val="21"/>
                <w:highlight w:val="none"/>
                <w:lang w:val="en-US" w:eastAsia="zh-CN"/>
              </w:rPr>
              <w:t>应具有化学或化工或安全等相关专业中级以上职称或取得注册安全工程师资格</w:t>
            </w:r>
            <w:r>
              <w:rPr>
                <w:rFonts w:hint="eastAsia" w:ascii="Times New Roman" w:hAnsi="Times New Roman" w:eastAsia="宋体" w:cs="Times New Roman"/>
                <w:color w:val="auto"/>
                <w:szCs w:val="21"/>
                <w:highlight w:val="none"/>
                <w:lang w:val="en-US" w:eastAsia="zh-CN"/>
              </w:rPr>
              <w:t>，</w:t>
            </w:r>
            <w:r>
              <w:rPr>
                <w:rFonts w:hint="default" w:ascii="Times New Roman" w:hAnsi="Times New Roman" w:eastAsia="宋体" w:cs="Times New Roman"/>
                <w:color w:val="auto"/>
                <w:szCs w:val="21"/>
                <w:highlight w:val="none"/>
                <w:lang w:val="en-US" w:eastAsia="zh-CN"/>
              </w:rPr>
              <w:t>且近5年参与过同类危险化学品第三方安全监管技术服务等相关项目。</w:t>
            </w:r>
          </w:p>
        </w:tc>
      </w:tr>
      <w:tr w14:paraId="431C3498">
        <w:tblPrEx>
          <w:tblCellMar>
            <w:top w:w="0" w:type="dxa"/>
            <w:left w:w="0" w:type="dxa"/>
            <w:bottom w:w="0" w:type="dxa"/>
            <w:right w:w="0" w:type="dxa"/>
          </w:tblCellMar>
        </w:tblPrEx>
        <w:trPr>
          <w:trHeight w:val="1297"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3EAEC0">
            <w:pPr>
              <w:keepNext w:val="0"/>
              <w:keepLines w:val="0"/>
              <w:pageBreakBefore w:val="0"/>
              <w:widowControl/>
              <w:kinsoku/>
              <w:wordWrap/>
              <w:overflowPunct/>
              <w:topLinePunct w:val="0"/>
              <w:bidi w:val="0"/>
              <w:adjustRightInd w:val="0"/>
              <w:snapToGrid w:val="0"/>
              <w:spacing w:line="400" w:lineRule="atLeast"/>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3</w:t>
            </w:r>
          </w:p>
        </w:tc>
        <w:tc>
          <w:tcPr>
            <w:tcW w:w="88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A54590">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类似项目业绩（</w:t>
            </w:r>
            <w:r>
              <w:rPr>
                <w:rFonts w:hint="default" w:ascii="Times New Roman" w:hAnsi="Times New Roman" w:cs="Times New Roman"/>
                <w:color w:val="auto"/>
                <w:szCs w:val="21"/>
                <w:highlight w:val="none"/>
                <w:lang w:val="en-US" w:eastAsia="zh-CN"/>
              </w:rPr>
              <w:t>1</w:t>
            </w:r>
            <w:r>
              <w:rPr>
                <w:rFonts w:hint="eastAsia"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lang w:val="en-US" w:eastAsia="zh-CN"/>
              </w:rPr>
              <w:t>分）</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CE77F5">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lang w:val="en-US" w:eastAsia="zh-CN"/>
              </w:rPr>
              <w:t>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3C69C7">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投标人自202</w:t>
            </w:r>
            <w:r>
              <w:rPr>
                <w:rFonts w:hint="eastAsia"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lang w:val="en-US" w:eastAsia="zh-CN"/>
              </w:rPr>
              <w:t>年1月1日至今（以合同签订日期为准），承担化工园区常驻化工安全服务项目的，且每个项目合同期限不少于1年，提供一份得1分；本项最高得</w:t>
            </w:r>
            <w:r>
              <w:rPr>
                <w:rFonts w:hint="eastAsia" w:ascii="Times New Roman" w:hAnsi="Times New Roman" w:cs="Times New Roman"/>
                <w:color w:val="auto"/>
                <w:szCs w:val="21"/>
                <w:highlight w:val="none"/>
                <w:lang w:val="en-US" w:eastAsia="zh-CN"/>
              </w:rPr>
              <w:t>5</w:t>
            </w:r>
            <w:r>
              <w:rPr>
                <w:rFonts w:hint="default" w:ascii="Times New Roman" w:hAnsi="Times New Roman" w:cs="Times New Roman"/>
                <w:color w:val="auto"/>
                <w:szCs w:val="21"/>
                <w:highlight w:val="none"/>
                <w:lang w:val="en-US" w:eastAsia="zh-CN"/>
              </w:rPr>
              <w:t>分</w:t>
            </w:r>
            <w:r>
              <w:rPr>
                <w:rFonts w:hint="default" w:ascii="Times New Roman" w:hAnsi="Times New Roman" w:cs="Times New Roman"/>
                <w:color w:val="auto"/>
                <w:szCs w:val="21"/>
                <w:highlight w:val="none"/>
                <w:lang w:val="en-US" w:eastAsia="zh-CN"/>
              </w:rPr>
              <w:t>。（不包括单一企业服务项目</w:t>
            </w:r>
            <w:r>
              <w:rPr>
                <w:rFonts w:hint="default" w:ascii="Times New Roman" w:hAnsi="Times New Roman" w:eastAsia="宋体" w:cs="Times New Roman"/>
                <w:color w:val="auto"/>
                <w:szCs w:val="21"/>
                <w:highlight w:val="none"/>
                <w:lang w:val="en-US" w:eastAsia="zh-CN"/>
              </w:rPr>
              <w:t>。同一个化工园区的只计取一次）</w:t>
            </w:r>
          </w:p>
        </w:tc>
      </w:tr>
      <w:tr w14:paraId="2A5FBC92">
        <w:tblPrEx>
          <w:tblCellMar>
            <w:top w:w="0" w:type="dxa"/>
            <w:left w:w="0" w:type="dxa"/>
            <w:bottom w:w="0" w:type="dxa"/>
            <w:right w:w="0" w:type="dxa"/>
          </w:tblCellMar>
        </w:tblPrEx>
        <w:trPr>
          <w:trHeight w:val="984"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8DE80A">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F0F22D">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91B17C">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4分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8B90DC">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投标人自202</w:t>
            </w:r>
            <w:r>
              <w:rPr>
                <w:rFonts w:hint="eastAsia" w:ascii="Times New Roman" w:hAnsi="Times New Roman" w:cs="Times New Roman"/>
                <w:color w:val="auto"/>
                <w:szCs w:val="21"/>
                <w:highlight w:val="none"/>
                <w:lang w:val="en-US" w:eastAsia="zh-CN"/>
              </w:rPr>
              <w:t>0</w:t>
            </w:r>
            <w:r>
              <w:rPr>
                <w:rFonts w:hint="default" w:ascii="Times New Roman" w:hAnsi="Times New Roman" w:cs="Times New Roman"/>
                <w:color w:val="auto"/>
                <w:szCs w:val="21"/>
                <w:highlight w:val="none"/>
                <w:lang w:val="en-US" w:eastAsia="zh-CN"/>
              </w:rPr>
              <w:t>年1月1日至今（以合同签订日期为准），承担危险化学品从业单位安全生产标准化服务，提供一份危险化学品企业安全生产一级标准化服务合同的得1分，本小项最高得</w:t>
            </w:r>
            <w:r>
              <w:rPr>
                <w:rFonts w:hint="eastAsia" w:ascii="Times New Roman" w:hAnsi="Times New Roman" w:cs="Times New Roman"/>
                <w:color w:val="auto"/>
                <w:szCs w:val="21"/>
                <w:highlight w:val="none"/>
                <w:lang w:val="en-US" w:eastAsia="zh-CN"/>
              </w:rPr>
              <w:t>4</w:t>
            </w:r>
            <w:r>
              <w:rPr>
                <w:rFonts w:hint="default" w:ascii="Times New Roman" w:hAnsi="Times New Roman" w:cs="Times New Roman"/>
                <w:color w:val="auto"/>
                <w:szCs w:val="21"/>
                <w:highlight w:val="none"/>
                <w:lang w:val="en-US" w:eastAsia="zh-CN"/>
              </w:rPr>
              <w:t>分。</w:t>
            </w:r>
          </w:p>
        </w:tc>
      </w:tr>
      <w:tr w14:paraId="431AE9C1">
        <w:tblPrEx>
          <w:tblCellMar>
            <w:top w:w="0" w:type="dxa"/>
            <w:left w:w="0" w:type="dxa"/>
            <w:bottom w:w="0" w:type="dxa"/>
            <w:right w:w="0" w:type="dxa"/>
          </w:tblCellMar>
        </w:tblPrEx>
        <w:trPr>
          <w:trHeight w:val="944"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A85655">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00ADFB">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CA6664">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4分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C32846">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投标人自202</w:t>
            </w:r>
            <w:r>
              <w:rPr>
                <w:rFonts w:hint="eastAsia"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lang w:val="en-US" w:eastAsia="zh-CN"/>
              </w:rPr>
              <w:t>年1月1日至今（以合同签订日期为准），承担过大型石化企业HAZOP或LOPA或SIL项目的，每提供一个得1分，本项最高得4分。</w:t>
            </w:r>
          </w:p>
        </w:tc>
      </w:tr>
      <w:tr w14:paraId="3ECD4AD7">
        <w:tblPrEx>
          <w:tblCellMar>
            <w:top w:w="0" w:type="dxa"/>
            <w:left w:w="0" w:type="dxa"/>
            <w:bottom w:w="0" w:type="dxa"/>
            <w:right w:w="0" w:type="dxa"/>
          </w:tblCellMar>
        </w:tblPrEx>
        <w:trPr>
          <w:trHeight w:val="1004"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6D95E9">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9AEBC7">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407A5D">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lang w:val="en-US" w:eastAsia="zh-CN"/>
              </w:rPr>
              <w:t>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758705">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投标人自2023年1月1日至今（以合同签订日期为准），承担过化工园区区域安全风险评估项目类似业绩的，每提供一个得</w:t>
            </w:r>
            <w:r>
              <w:rPr>
                <w:rFonts w:hint="eastAsia" w:ascii="Times New Roman" w:hAnsi="Times New Roman" w:cs="Times New Roman"/>
                <w:color w:val="auto"/>
                <w:szCs w:val="21"/>
                <w:highlight w:val="none"/>
                <w:lang w:val="en-US" w:eastAsia="zh-CN"/>
              </w:rPr>
              <w:t>0.5</w:t>
            </w:r>
            <w:r>
              <w:rPr>
                <w:rFonts w:hint="default" w:ascii="Times New Roman" w:hAnsi="Times New Roman" w:cs="Times New Roman"/>
                <w:color w:val="auto"/>
                <w:szCs w:val="21"/>
                <w:highlight w:val="none"/>
                <w:lang w:val="en-US" w:eastAsia="zh-CN"/>
              </w:rPr>
              <w:t>分</w:t>
            </w:r>
            <w:r>
              <w:rPr>
                <w:rFonts w:hint="default" w:ascii="Times New Roman" w:hAnsi="Times New Roman" w:cs="Times New Roman"/>
                <w:color w:val="auto"/>
                <w:szCs w:val="21"/>
                <w:highlight w:val="none"/>
                <w:lang w:val="en-US" w:eastAsia="zh-CN"/>
              </w:rPr>
              <w:t>，本项最高得</w:t>
            </w:r>
            <w:r>
              <w:rPr>
                <w:rFonts w:hint="eastAsia"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lang w:val="en-US" w:eastAsia="zh-CN"/>
              </w:rPr>
              <w:t>分。</w:t>
            </w:r>
          </w:p>
        </w:tc>
      </w:tr>
      <w:tr w14:paraId="5DCBF7CF">
        <w:tblPrEx>
          <w:tblCellMar>
            <w:top w:w="0" w:type="dxa"/>
            <w:left w:w="0" w:type="dxa"/>
            <w:bottom w:w="0" w:type="dxa"/>
            <w:right w:w="0" w:type="dxa"/>
          </w:tblCellMar>
        </w:tblPrEx>
        <w:trPr>
          <w:trHeight w:val="1894"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FC8A16">
            <w:pPr>
              <w:keepNext w:val="0"/>
              <w:keepLines w:val="0"/>
              <w:pageBreakBefore w:val="0"/>
              <w:widowControl/>
              <w:kinsoku/>
              <w:wordWrap/>
              <w:overflowPunct/>
              <w:topLinePunct w:val="0"/>
              <w:bidi w:val="0"/>
              <w:adjustRightInd w:val="0"/>
              <w:snapToGrid w:val="0"/>
              <w:spacing w:line="400" w:lineRule="atLeast"/>
              <w:ind w:firstLine="420" w:firstLineChars="200"/>
              <w:jc w:val="center"/>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473C25">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786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7F277A">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lang w:val="en-US" w:eastAsia="zh-CN"/>
              </w:rPr>
              <w:t>注：</w:t>
            </w:r>
            <w:r>
              <w:rPr>
                <w:rFonts w:hint="default" w:ascii="Times New Roman" w:hAnsi="Times New Roman" w:cs="Times New Roman"/>
                <w:color w:val="auto"/>
                <w:highlight w:val="none"/>
                <w:lang w:val="en-US" w:eastAsia="zh-CN"/>
              </w:rPr>
              <w:br w:type="textWrapping"/>
            </w:r>
            <w:r>
              <w:rPr>
                <w:rFonts w:hint="default" w:ascii="Times New Roman" w:hAnsi="Times New Roman" w:cs="Times New Roman"/>
                <w:color w:val="auto"/>
                <w:highlight w:val="none"/>
                <w:lang w:val="en-US" w:eastAsia="zh-CN"/>
              </w:rPr>
              <w:t>（1）投标人需在投标文件中提供业绩合同原件扫描上传于投标文件中；提供的业绩相关证明必须真实，如发现提供虚假资料，将取消其投标资格并追究相应责任。</w:t>
            </w:r>
            <w:r>
              <w:rPr>
                <w:rFonts w:hint="default" w:ascii="Times New Roman" w:hAnsi="Times New Roman" w:cs="Times New Roman"/>
                <w:color w:val="auto"/>
                <w:highlight w:val="none"/>
                <w:lang w:val="en-US" w:eastAsia="zh-CN"/>
              </w:rPr>
              <w:br w:type="textWrapping"/>
            </w:r>
            <w:r>
              <w:rPr>
                <w:rFonts w:hint="default" w:ascii="Times New Roman" w:hAnsi="Times New Roman" w:cs="Times New Roman"/>
                <w:color w:val="auto"/>
                <w:highlight w:val="none"/>
                <w:lang w:val="en-US" w:eastAsia="zh-CN"/>
              </w:rPr>
              <w:t>（2）合同必须能清晰的表明类似业绩的投标人名称、工程规模、工程内容、合同价款、时间及项目负责人等需要明示的内容。若提供的合同不能明示，则需提供建设单位书面证明文件，证明文件上需加盖建设单位公章，否则不予认可。</w:t>
            </w:r>
          </w:p>
        </w:tc>
      </w:tr>
      <w:tr w14:paraId="63CC2F34">
        <w:tblPrEx>
          <w:tblCellMar>
            <w:top w:w="0" w:type="dxa"/>
            <w:left w:w="0" w:type="dxa"/>
            <w:bottom w:w="0" w:type="dxa"/>
            <w:right w:w="0" w:type="dxa"/>
          </w:tblCellMar>
        </w:tblPrEx>
        <w:trPr>
          <w:trHeight w:val="1784" w:hRule="atLeast"/>
          <w:jc w:val="center"/>
        </w:trPr>
        <w:tc>
          <w:tcPr>
            <w:tcW w:w="54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CC4F40">
            <w:pPr>
              <w:keepNext w:val="0"/>
              <w:keepLines w:val="0"/>
              <w:pageBreakBefore w:val="0"/>
              <w:widowControl/>
              <w:kinsoku/>
              <w:wordWrap/>
              <w:overflowPunct/>
              <w:topLinePunct w:val="0"/>
              <w:bidi w:val="0"/>
              <w:adjustRightInd w:val="0"/>
              <w:snapToGrid w:val="0"/>
              <w:spacing w:line="400" w:lineRule="atLeast"/>
              <w:jc w:val="center"/>
              <w:textAlignment w:val="auto"/>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4</w:t>
            </w:r>
          </w:p>
        </w:tc>
        <w:tc>
          <w:tcPr>
            <w:tcW w:w="88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4D631F">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管理体系认证（2分）</w:t>
            </w:r>
          </w:p>
        </w:tc>
        <w:tc>
          <w:tcPr>
            <w:tcW w:w="101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483328">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2分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51892D">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提供质量管理体系认证、环境管理体系认证、职业健康安全管理体系认证以上任一体系认证得0.5分，本项最高得1分。</w:t>
            </w:r>
          </w:p>
          <w:p w14:paraId="01F6C180">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提供危险化学品企业一级安全生产标准化评审资质得1分，本项最高得1分。</w:t>
            </w:r>
          </w:p>
          <w:p w14:paraId="303177FF">
            <w:pPr>
              <w:pStyle w:val="298"/>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highlight w:val="none"/>
              </w:rPr>
            </w:pPr>
            <w:r>
              <w:rPr>
                <w:rFonts w:hint="default" w:ascii="Times New Roman" w:hAnsi="Times New Roman" w:cs="Times New Roman"/>
                <w:color w:val="auto"/>
                <w:szCs w:val="21"/>
                <w:highlight w:val="none"/>
                <w:lang w:val="en-US" w:eastAsia="zh-CN"/>
              </w:rPr>
              <w:t>注：须提供有效的相关证书原件复印件加盖公章上传至投标文件中。时间以奖项发证时间为准。</w:t>
            </w:r>
          </w:p>
        </w:tc>
      </w:tr>
      <w:tr w14:paraId="380EB457">
        <w:tblPrEx>
          <w:tblCellMar>
            <w:top w:w="0" w:type="dxa"/>
            <w:left w:w="0" w:type="dxa"/>
            <w:bottom w:w="0" w:type="dxa"/>
            <w:right w:w="0" w:type="dxa"/>
          </w:tblCellMar>
        </w:tblPrEx>
        <w:trPr>
          <w:trHeight w:val="757" w:hRule="atLeast"/>
          <w:jc w:val="center"/>
        </w:trPr>
        <w:tc>
          <w:tcPr>
            <w:tcW w:w="54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7066AD">
            <w:pPr>
              <w:keepNext w:val="0"/>
              <w:keepLines w:val="0"/>
              <w:pageBreakBefore w:val="0"/>
              <w:widowControl/>
              <w:kinsoku/>
              <w:wordWrap/>
              <w:overflowPunct/>
              <w:topLinePunct w:val="0"/>
              <w:bidi w:val="0"/>
              <w:adjustRightInd w:val="0"/>
              <w:snapToGrid w:val="0"/>
              <w:spacing w:line="400" w:lineRule="atLeast"/>
              <w:jc w:val="center"/>
              <w:textAlignment w:val="auto"/>
              <w:rPr>
                <w:rFonts w:hint="default"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5</w:t>
            </w:r>
          </w:p>
        </w:tc>
        <w:tc>
          <w:tcPr>
            <w:tcW w:w="88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66B56F">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安全领域技术能力（8分）</w:t>
            </w:r>
          </w:p>
        </w:tc>
        <w:tc>
          <w:tcPr>
            <w:tcW w:w="101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9DF7BE">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8分</w:t>
            </w: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78036A">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202</w:t>
            </w:r>
            <w:r>
              <w:rPr>
                <w:rFonts w:hint="eastAsia" w:ascii="Times New Roman" w:hAnsi="Times New Roman" w:cs="Times New Roman"/>
                <w:color w:val="auto"/>
                <w:szCs w:val="21"/>
                <w:highlight w:val="none"/>
                <w:lang w:val="en-US" w:eastAsia="zh-CN"/>
              </w:rPr>
              <w:t>3</w:t>
            </w:r>
            <w:r>
              <w:rPr>
                <w:rFonts w:hint="default" w:ascii="Times New Roman" w:hAnsi="Times New Roman" w:cs="Times New Roman"/>
                <w:color w:val="auto"/>
                <w:szCs w:val="21"/>
                <w:highlight w:val="none"/>
                <w:lang w:val="en-US" w:eastAsia="zh-CN"/>
              </w:rPr>
              <w:t>年1月1日以来（以标准实行日期为准）投标人参与过编制的安全领域的国家标准、行业标准，每有一项得1分。本项最多得8分。</w:t>
            </w:r>
          </w:p>
        </w:tc>
      </w:tr>
      <w:tr w14:paraId="100CE086">
        <w:tblPrEx>
          <w:tblCellMar>
            <w:top w:w="0" w:type="dxa"/>
            <w:left w:w="0" w:type="dxa"/>
            <w:bottom w:w="0" w:type="dxa"/>
            <w:right w:w="0" w:type="dxa"/>
          </w:tblCellMar>
        </w:tblPrEx>
        <w:trPr>
          <w:trHeight w:val="402" w:hRule="atLeast"/>
          <w:jc w:val="center"/>
        </w:trPr>
        <w:tc>
          <w:tcPr>
            <w:tcW w:w="54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64F5A3">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88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16D308">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101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7E3D2B">
            <w:pPr>
              <w:keepNext w:val="0"/>
              <w:keepLines w:val="0"/>
              <w:pageBreakBefore w:val="0"/>
              <w:widowControl/>
              <w:kinsoku/>
              <w:wordWrap/>
              <w:overflowPunct/>
              <w:topLinePunct w:val="0"/>
              <w:bidi w:val="0"/>
              <w:adjustRightInd w:val="0"/>
              <w:snapToGrid w:val="0"/>
              <w:spacing w:line="400" w:lineRule="atLeast"/>
              <w:ind w:firstLine="420" w:firstLineChars="200"/>
              <w:textAlignment w:val="auto"/>
              <w:rPr>
                <w:rFonts w:hint="default" w:ascii="Times New Roman" w:hAnsi="Times New Roman" w:cs="Times New Roman"/>
                <w:color w:val="auto"/>
                <w:szCs w:val="21"/>
                <w:highlight w:val="none"/>
              </w:rPr>
            </w:pPr>
          </w:p>
        </w:tc>
        <w:tc>
          <w:tcPr>
            <w:tcW w:w="68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317E84">
            <w:pPr>
              <w:keepNext w:val="0"/>
              <w:keepLines w:val="0"/>
              <w:pageBreakBefore w:val="0"/>
              <w:widowControl/>
              <w:kinsoku/>
              <w:wordWrap/>
              <w:overflowPunct/>
              <w:topLinePunct w:val="0"/>
              <w:bidi w:val="0"/>
              <w:adjustRightInd w:val="0"/>
              <w:snapToGrid w:val="0"/>
              <w:spacing w:line="400" w:lineRule="atLeast"/>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注：须提供有效的标准复印件加盖公章上传至投标文件中。</w:t>
            </w:r>
          </w:p>
        </w:tc>
      </w:tr>
    </w:tbl>
    <w:p w14:paraId="52AB5ADA">
      <w:pPr>
        <w:pStyle w:val="251"/>
        <w:tabs>
          <w:tab w:val="left" w:pos="720"/>
        </w:tabs>
        <w:spacing w:line="360" w:lineRule="auto"/>
        <w:jc w:val="center"/>
        <w:rPr>
          <w:rFonts w:ascii="Times New Roman" w:hAnsi="Times New Roman" w:cs="Times New Roman"/>
          <w:b/>
          <w:color w:val="auto"/>
          <w:sz w:val="28"/>
          <w:szCs w:val="28"/>
          <w:highlight w:val="none"/>
        </w:rPr>
      </w:pPr>
    </w:p>
    <w:p w14:paraId="2B9A61CB">
      <w:pPr>
        <w:pStyle w:val="251"/>
        <w:tabs>
          <w:tab w:val="left" w:pos="720"/>
        </w:tabs>
        <w:spacing w:line="360" w:lineRule="auto"/>
        <w:jc w:val="center"/>
        <w:rPr>
          <w:rFonts w:ascii="Times New Roman" w:hAnsi="Times New Roman" w:cs="Times New Roman"/>
          <w:b/>
          <w:color w:val="auto"/>
          <w:sz w:val="28"/>
          <w:szCs w:val="28"/>
          <w:highlight w:val="none"/>
        </w:rPr>
      </w:pPr>
    </w:p>
    <w:p w14:paraId="7C717C5F">
      <w:pPr>
        <w:pStyle w:val="251"/>
        <w:tabs>
          <w:tab w:val="left" w:pos="720"/>
        </w:tabs>
        <w:spacing w:line="360" w:lineRule="auto"/>
        <w:jc w:val="center"/>
        <w:rPr>
          <w:rFonts w:ascii="Times New Roman" w:hAnsi="Times New Roman" w:cs="Times New Roman"/>
          <w:b/>
          <w:color w:val="auto"/>
          <w:sz w:val="28"/>
          <w:szCs w:val="28"/>
          <w:highlight w:val="none"/>
        </w:rPr>
      </w:pPr>
    </w:p>
    <w:p w14:paraId="4967CD85">
      <w:pPr>
        <w:pStyle w:val="251"/>
        <w:tabs>
          <w:tab w:val="left" w:pos="720"/>
        </w:tabs>
        <w:spacing w:line="360" w:lineRule="auto"/>
        <w:jc w:val="center"/>
        <w:rPr>
          <w:rFonts w:ascii="Times New Roman" w:hAnsi="Times New Roman" w:cs="Times New Roman"/>
          <w:b/>
          <w:color w:val="auto"/>
          <w:sz w:val="28"/>
          <w:szCs w:val="28"/>
          <w:highlight w:val="none"/>
        </w:rPr>
      </w:pPr>
    </w:p>
    <w:p w14:paraId="7F511E58">
      <w:pPr>
        <w:pStyle w:val="251"/>
        <w:tabs>
          <w:tab w:val="left" w:pos="720"/>
        </w:tabs>
        <w:spacing w:line="360" w:lineRule="auto"/>
        <w:jc w:val="center"/>
        <w:rPr>
          <w:rFonts w:ascii="Times New Roman" w:hAnsi="Times New Roman" w:cs="Times New Roman"/>
          <w:b/>
          <w:color w:val="auto"/>
          <w:sz w:val="28"/>
          <w:szCs w:val="28"/>
          <w:highlight w:val="none"/>
        </w:rPr>
      </w:pPr>
    </w:p>
    <w:p w14:paraId="06623241">
      <w:pPr>
        <w:pStyle w:val="251"/>
        <w:tabs>
          <w:tab w:val="left" w:pos="720"/>
        </w:tabs>
        <w:spacing w:line="360" w:lineRule="auto"/>
        <w:jc w:val="center"/>
        <w:rPr>
          <w:rFonts w:ascii="Times New Roman" w:hAnsi="Times New Roman" w:cs="Times New Roman"/>
          <w:b/>
          <w:color w:val="auto"/>
          <w:sz w:val="28"/>
          <w:szCs w:val="28"/>
          <w:highlight w:val="none"/>
        </w:rPr>
      </w:pPr>
    </w:p>
    <w:p w14:paraId="5C3E3C34">
      <w:pPr>
        <w:pStyle w:val="251"/>
        <w:tabs>
          <w:tab w:val="left" w:pos="720"/>
        </w:tabs>
        <w:spacing w:line="360" w:lineRule="auto"/>
        <w:jc w:val="center"/>
        <w:rPr>
          <w:rFonts w:ascii="Times New Roman" w:hAnsi="Times New Roman" w:cs="Times New Roman"/>
          <w:b/>
          <w:color w:val="auto"/>
          <w:sz w:val="28"/>
          <w:szCs w:val="28"/>
          <w:highlight w:val="none"/>
        </w:rPr>
      </w:pPr>
    </w:p>
    <w:p w14:paraId="6F1BDB33">
      <w:pPr>
        <w:pStyle w:val="251"/>
        <w:tabs>
          <w:tab w:val="left" w:pos="720"/>
        </w:tabs>
        <w:spacing w:line="360" w:lineRule="auto"/>
        <w:jc w:val="center"/>
        <w:rPr>
          <w:rFonts w:ascii="Times New Roman" w:hAnsi="Times New Roman" w:cs="Times New Roman"/>
          <w:b/>
          <w:color w:val="auto"/>
          <w:sz w:val="28"/>
          <w:szCs w:val="28"/>
          <w:highlight w:val="none"/>
        </w:rPr>
      </w:pPr>
    </w:p>
    <w:p w14:paraId="361856CB">
      <w:pPr>
        <w:pStyle w:val="251"/>
        <w:tabs>
          <w:tab w:val="left" w:pos="720"/>
        </w:tabs>
        <w:spacing w:line="360" w:lineRule="auto"/>
        <w:jc w:val="center"/>
        <w:rPr>
          <w:rFonts w:ascii="Times New Roman" w:hAnsi="Times New Roman" w:cs="Times New Roman"/>
          <w:b/>
          <w:color w:val="auto"/>
          <w:sz w:val="28"/>
          <w:szCs w:val="28"/>
          <w:highlight w:val="none"/>
        </w:rPr>
      </w:pPr>
    </w:p>
    <w:p w14:paraId="18CB2B1B">
      <w:pPr>
        <w:pStyle w:val="251"/>
        <w:tabs>
          <w:tab w:val="left" w:pos="720"/>
        </w:tabs>
        <w:spacing w:line="360" w:lineRule="auto"/>
        <w:jc w:val="center"/>
        <w:rPr>
          <w:rFonts w:ascii="Times New Roman" w:hAnsi="Times New Roman" w:cs="Times New Roman"/>
          <w:b/>
          <w:color w:val="auto"/>
          <w:sz w:val="28"/>
          <w:szCs w:val="28"/>
          <w:highlight w:val="none"/>
        </w:rPr>
      </w:pPr>
    </w:p>
    <w:p w14:paraId="0CF3F1F3">
      <w:pPr>
        <w:pStyle w:val="251"/>
        <w:tabs>
          <w:tab w:val="left" w:pos="720"/>
        </w:tabs>
        <w:spacing w:line="360" w:lineRule="auto"/>
        <w:jc w:val="center"/>
        <w:rPr>
          <w:rFonts w:ascii="Times New Roman" w:hAnsi="Times New Roman" w:cs="Times New Roman"/>
          <w:b/>
          <w:color w:val="auto"/>
          <w:sz w:val="28"/>
          <w:szCs w:val="28"/>
          <w:highlight w:val="none"/>
        </w:rPr>
      </w:pPr>
    </w:p>
    <w:p w14:paraId="096863A2">
      <w:pPr>
        <w:pStyle w:val="251"/>
        <w:tabs>
          <w:tab w:val="left" w:pos="720"/>
        </w:tabs>
        <w:spacing w:line="360" w:lineRule="auto"/>
        <w:jc w:val="center"/>
        <w:rPr>
          <w:rFonts w:ascii="Times New Roman" w:hAnsi="Times New Roman" w:cs="Times New Roman"/>
          <w:b/>
          <w:color w:val="auto"/>
          <w:sz w:val="28"/>
          <w:szCs w:val="28"/>
          <w:highlight w:val="none"/>
        </w:rPr>
      </w:pPr>
    </w:p>
    <w:p w14:paraId="7CD626D2">
      <w:pPr>
        <w:pStyle w:val="251"/>
        <w:tabs>
          <w:tab w:val="left" w:pos="720"/>
        </w:tabs>
        <w:spacing w:line="360" w:lineRule="auto"/>
        <w:jc w:val="center"/>
        <w:rPr>
          <w:rFonts w:ascii="Times New Roman" w:hAnsi="Times New Roman" w:cs="Times New Roman"/>
          <w:b/>
          <w:color w:val="auto"/>
          <w:sz w:val="28"/>
          <w:szCs w:val="28"/>
          <w:highlight w:val="none"/>
        </w:rPr>
      </w:pPr>
    </w:p>
    <w:p w14:paraId="55F31273">
      <w:pPr>
        <w:pStyle w:val="251"/>
        <w:tabs>
          <w:tab w:val="left" w:pos="720"/>
        </w:tabs>
        <w:spacing w:line="360" w:lineRule="auto"/>
        <w:jc w:val="center"/>
        <w:rPr>
          <w:rFonts w:ascii="Times New Roman" w:hAnsi="Times New Roman" w:cs="Times New Roman"/>
          <w:b/>
          <w:color w:val="auto"/>
          <w:sz w:val="28"/>
          <w:szCs w:val="28"/>
          <w:highlight w:val="none"/>
        </w:rPr>
      </w:pPr>
    </w:p>
    <w:p w14:paraId="38786C53">
      <w:pPr>
        <w:pStyle w:val="251"/>
        <w:tabs>
          <w:tab w:val="left" w:pos="720"/>
        </w:tabs>
        <w:spacing w:line="360" w:lineRule="auto"/>
        <w:jc w:val="center"/>
        <w:rPr>
          <w:rFonts w:ascii="Times New Roman" w:hAnsi="Times New Roman" w:cs="Times New Roman"/>
          <w:b/>
          <w:color w:val="auto"/>
          <w:sz w:val="28"/>
          <w:szCs w:val="28"/>
          <w:highlight w:val="none"/>
        </w:rPr>
      </w:pPr>
    </w:p>
    <w:p w14:paraId="28BC1412">
      <w:pPr>
        <w:pStyle w:val="251"/>
        <w:tabs>
          <w:tab w:val="left" w:pos="720"/>
        </w:tabs>
        <w:spacing w:line="360" w:lineRule="auto"/>
        <w:jc w:val="center"/>
        <w:rPr>
          <w:rFonts w:ascii="Times New Roman" w:hAnsi="Times New Roman" w:cs="Times New Roman"/>
          <w:b/>
          <w:color w:val="auto"/>
          <w:sz w:val="28"/>
          <w:szCs w:val="28"/>
          <w:highlight w:val="none"/>
        </w:rPr>
      </w:pPr>
    </w:p>
    <w:p w14:paraId="65906A03">
      <w:pPr>
        <w:pStyle w:val="251"/>
        <w:tabs>
          <w:tab w:val="left" w:pos="720"/>
        </w:tabs>
        <w:spacing w:line="360" w:lineRule="auto"/>
        <w:jc w:val="center"/>
        <w:rPr>
          <w:rFonts w:ascii="Times New Roman" w:hAnsi="Times New Roman" w:cs="Times New Roman"/>
          <w:b/>
          <w:color w:val="auto"/>
          <w:sz w:val="28"/>
          <w:szCs w:val="28"/>
          <w:highlight w:val="none"/>
        </w:rPr>
      </w:pPr>
    </w:p>
    <w:p w14:paraId="2DB1F81F">
      <w:pPr>
        <w:pStyle w:val="251"/>
        <w:tabs>
          <w:tab w:val="left" w:pos="720"/>
        </w:tabs>
        <w:spacing w:line="360" w:lineRule="auto"/>
        <w:jc w:val="center"/>
        <w:rPr>
          <w:rFonts w:ascii="Times New Roman" w:hAnsi="Times New Roman" w:cs="Times New Roman"/>
          <w:b/>
          <w:color w:val="auto"/>
          <w:sz w:val="28"/>
          <w:szCs w:val="28"/>
          <w:highlight w:val="none"/>
        </w:rPr>
      </w:pPr>
    </w:p>
    <w:p w14:paraId="4CCDF178">
      <w:pPr>
        <w:pStyle w:val="251"/>
        <w:tabs>
          <w:tab w:val="left" w:pos="720"/>
        </w:tabs>
        <w:spacing w:line="360" w:lineRule="auto"/>
        <w:jc w:val="center"/>
        <w:rPr>
          <w:rFonts w:ascii="Times New Roman" w:hAnsi="Times New Roman" w:cs="Times New Roman"/>
          <w:b/>
          <w:color w:val="auto"/>
          <w:sz w:val="28"/>
          <w:szCs w:val="28"/>
          <w:highlight w:val="none"/>
        </w:rPr>
      </w:pPr>
    </w:p>
    <w:p w14:paraId="3D9CF899">
      <w:pPr>
        <w:pStyle w:val="190"/>
        <w:keepLines/>
        <w:numPr>
          <w:ilvl w:val="0"/>
          <w:numId w:val="5"/>
        </w:numPr>
        <w:spacing w:line="360" w:lineRule="auto"/>
        <w:jc w:val="center"/>
        <w:rPr>
          <w:rFonts w:hint="eastAsia" w:ascii="Times New Roman" w:hAnsi="宋体" w:eastAsia="黑体"/>
          <w:color w:val="auto"/>
          <w:sz w:val="36"/>
          <w:szCs w:val="20"/>
          <w:highlight w:val="none"/>
          <w:lang w:eastAsia="zh-CN"/>
        </w:rPr>
      </w:pPr>
      <w:bookmarkStart w:id="136" w:name="_Toc58260784"/>
      <w:r>
        <w:rPr>
          <w:rFonts w:hint="eastAsia" w:ascii="Times New Roman" w:hAnsi="宋体" w:eastAsia="黑体"/>
          <w:color w:val="auto"/>
          <w:sz w:val="36"/>
          <w:szCs w:val="20"/>
          <w:highlight w:val="none"/>
        </w:rPr>
        <w:t xml:space="preserve"> </w:t>
      </w:r>
      <w:bookmarkEnd w:id="136"/>
      <w:r>
        <w:rPr>
          <w:rFonts w:hint="eastAsia" w:ascii="Times New Roman" w:hAnsi="宋体" w:eastAsia="黑体"/>
          <w:color w:val="auto"/>
          <w:sz w:val="36"/>
          <w:szCs w:val="20"/>
          <w:highlight w:val="none"/>
          <w:lang w:eastAsia="zh-CN"/>
        </w:rPr>
        <w:t>项目需求</w:t>
      </w:r>
    </w:p>
    <w:p w14:paraId="2CE82C93">
      <w:pPr>
        <w:numPr>
          <w:ilvl w:val="0"/>
          <w:numId w:val="0"/>
        </w:numPr>
        <w:jc w:val="center"/>
        <w:rPr>
          <w:rFonts w:hint="default" w:ascii="Times New Roman" w:hAnsi="Times New Roman" w:eastAsia="黑体" w:cs="Times New Roman"/>
          <w:color w:val="auto"/>
          <w:kern w:val="44"/>
          <w:sz w:val="36"/>
          <w:szCs w:val="20"/>
          <w:highlight w:val="none"/>
          <w:lang w:val="en-US" w:eastAsia="zh-CN" w:bidi="ar-SA"/>
        </w:rPr>
      </w:pPr>
      <w:bookmarkStart w:id="137" w:name="_Toc58260785"/>
      <w:r>
        <w:rPr>
          <w:rFonts w:hint="default" w:ascii="Times New Roman" w:hAnsi="Times New Roman" w:eastAsia="黑体" w:cs="Times New Roman"/>
          <w:color w:val="auto"/>
          <w:kern w:val="44"/>
          <w:sz w:val="36"/>
          <w:szCs w:val="20"/>
          <w:highlight w:val="none"/>
          <w:lang w:val="en-US" w:eastAsia="zh-CN" w:bidi="ar-SA"/>
        </w:rPr>
        <w:t>连云港石化产业基地安全管家服务项目需求</w:t>
      </w:r>
    </w:p>
    <w:p w14:paraId="4E5728F6">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为</w:t>
      </w:r>
      <w:r>
        <w:rPr>
          <w:rFonts w:hint="default" w:ascii="Times New Roman" w:hAnsi="Times New Roman" w:eastAsia="宋体" w:cs="Times New Roman"/>
          <w:bCs/>
          <w:color w:val="auto"/>
          <w:sz w:val="24"/>
          <w:szCs w:val="24"/>
          <w:highlight w:val="none"/>
          <w:lang w:val="en-US" w:eastAsia="zh-CN"/>
        </w:rPr>
        <w:t>深入</w:t>
      </w:r>
      <w:r>
        <w:rPr>
          <w:rFonts w:hint="default" w:ascii="Times New Roman" w:hAnsi="Times New Roman" w:eastAsia="宋体" w:cs="Times New Roman"/>
          <w:bCs/>
          <w:color w:val="auto"/>
          <w:sz w:val="24"/>
          <w:szCs w:val="24"/>
          <w:highlight w:val="none"/>
        </w:rPr>
        <w:t>贯彻落实</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lang w:val="en-US" w:eastAsia="zh-CN"/>
        </w:rPr>
        <w:t>中华人民共和国危险化学品安全法</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《连云港石化产业基地高质量发展条例》等</w:t>
      </w:r>
      <w:r>
        <w:rPr>
          <w:rFonts w:hint="default" w:ascii="Times New Roman" w:hAnsi="Times New Roman" w:eastAsia="宋体" w:cs="Times New Roman"/>
          <w:bCs/>
          <w:color w:val="auto"/>
          <w:sz w:val="24"/>
          <w:szCs w:val="24"/>
          <w:highlight w:val="none"/>
          <w:lang w:val="en-US" w:eastAsia="zh-CN"/>
        </w:rPr>
        <w:t>法律法规要求</w:t>
      </w:r>
      <w:r>
        <w:rPr>
          <w:rFonts w:hint="default" w:ascii="Times New Roman" w:hAnsi="Times New Roman" w:eastAsia="宋体" w:cs="Times New Roman"/>
          <w:bCs/>
          <w:color w:val="auto"/>
          <w:sz w:val="24"/>
          <w:szCs w:val="24"/>
          <w:highlight w:val="none"/>
        </w:rPr>
        <w:t>，紧扣安全生产治本攻坚三年行动、安全生产“六化”建设、危险化学品领域“一件事”全链条治理等</w:t>
      </w:r>
      <w:r>
        <w:rPr>
          <w:rFonts w:hint="default" w:ascii="Times New Roman" w:hAnsi="Times New Roman" w:eastAsia="宋体" w:cs="Times New Roman"/>
          <w:bCs/>
          <w:color w:val="auto"/>
          <w:sz w:val="24"/>
          <w:szCs w:val="24"/>
          <w:highlight w:val="none"/>
          <w:lang w:val="en-US" w:eastAsia="zh-CN"/>
        </w:rPr>
        <w:t>工作</w:t>
      </w:r>
      <w:r>
        <w:rPr>
          <w:rFonts w:hint="default" w:ascii="Times New Roman" w:hAnsi="Times New Roman" w:eastAsia="宋体" w:cs="Times New Roman"/>
          <w:bCs/>
          <w:color w:val="auto"/>
          <w:sz w:val="24"/>
          <w:szCs w:val="24"/>
          <w:highlight w:val="none"/>
        </w:rPr>
        <w:t>部署，进一步提升连云港石化产业基地</w:t>
      </w:r>
      <w:r>
        <w:rPr>
          <w:rFonts w:hint="default" w:ascii="Times New Roman" w:hAnsi="Times New Roman" w:eastAsia="宋体" w:cs="Times New Roman"/>
          <w:bCs/>
          <w:color w:val="auto"/>
          <w:sz w:val="24"/>
          <w:szCs w:val="24"/>
          <w:highlight w:val="none"/>
          <w:lang w:val="en-US" w:eastAsia="zh-CN"/>
        </w:rPr>
        <w:t>安全治理水平</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拟通过</w:t>
      </w:r>
      <w:r>
        <w:rPr>
          <w:rFonts w:hint="default" w:ascii="Times New Roman" w:hAnsi="Times New Roman" w:eastAsia="宋体" w:cs="Times New Roman"/>
          <w:bCs/>
          <w:color w:val="auto"/>
          <w:sz w:val="24"/>
          <w:szCs w:val="24"/>
          <w:highlight w:val="none"/>
          <w:lang w:val="en-US" w:eastAsia="zh-CN"/>
        </w:rPr>
        <w:t>公开招标</w:t>
      </w:r>
      <w:r>
        <w:rPr>
          <w:rFonts w:hint="default" w:ascii="Times New Roman" w:hAnsi="Times New Roman" w:eastAsia="宋体" w:cs="Times New Roman"/>
          <w:bCs/>
          <w:color w:val="auto"/>
          <w:sz w:val="24"/>
          <w:szCs w:val="24"/>
          <w:highlight w:val="none"/>
        </w:rPr>
        <w:t>聘请高水平第三方专业技术团队，采取常驻服务模式，为新区危险化学品安全监管、项目安全准入把关、企业过程安全管理提升、智慧化监管场景建设、应急处置支撑等提供全过程、专业化技术服务。</w:t>
      </w:r>
    </w:p>
    <w:p w14:paraId="4276B029">
      <w:pPr>
        <w:keepNext w:val="0"/>
        <w:keepLines w:val="0"/>
        <w:pageBreakBefore w:val="0"/>
        <w:numPr>
          <w:ilvl w:val="0"/>
          <w:numId w:val="0"/>
        </w:numPr>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黑体" w:cs="Times New Roman"/>
          <w:bCs/>
          <w:color w:val="auto"/>
          <w:kern w:val="2"/>
          <w:sz w:val="24"/>
          <w:szCs w:val="24"/>
          <w:highlight w:val="none"/>
          <w:lang w:val="en-US" w:eastAsia="zh-CN" w:bidi="ar-SA"/>
        </w:rPr>
      </w:pPr>
      <w:r>
        <w:rPr>
          <w:rFonts w:hint="eastAsia" w:ascii="Times New Roman" w:hAnsi="Times New Roman" w:eastAsia="黑体" w:cs="Times New Roman"/>
          <w:bCs/>
          <w:color w:val="auto"/>
          <w:kern w:val="2"/>
          <w:sz w:val="24"/>
          <w:szCs w:val="24"/>
          <w:highlight w:val="none"/>
          <w:lang w:val="en-US" w:eastAsia="zh-CN" w:bidi="ar-SA"/>
        </w:rPr>
        <w:t>一、</w:t>
      </w:r>
      <w:r>
        <w:rPr>
          <w:rFonts w:hint="default" w:ascii="Times New Roman" w:hAnsi="Times New Roman" w:eastAsia="黑体" w:cs="Times New Roman"/>
          <w:bCs/>
          <w:color w:val="auto"/>
          <w:kern w:val="2"/>
          <w:sz w:val="24"/>
          <w:szCs w:val="24"/>
          <w:highlight w:val="none"/>
          <w:lang w:val="en-US" w:eastAsia="zh-CN" w:bidi="ar-SA"/>
        </w:rPr>
        <w:t>服务期限和范围</w:t>
      </w:r>
    </w:p>
    <w:p w14:paraId="0B035128">
      <w:pPr>
        <w:keepNext w:val="0"/>
        <w:keepLines w:val="0"/>
        <w:pageBreakBefore w:val="0"/>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（一）服务期限</w:t>
      </w:r>
    </w:p>
    <w:p w14:paraId="0E415FF5">
      <w:pPr>
        <w:keepNext w:val="0"/>
        <w:keepLines w:val="0"/>
        <w:pageBreakBefore w:val="0"/>
        <w:widowControl/>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kern w:val="0"/>
          <w:sz w:val="24"/>
          <w:szCs w:val="24"/>
          <w:highlight w:val="none"/>
        </w:rPr>
      </w:pPr>
      <w:r>
        <w:rPr>
          <w:rFonts w:hint="default" w:ascii="Times New Roman" w:hAnsi="Times New Roman" w:eastAsia="宋体" w:cs="Times New Roman"/>
          <w:bCs/>
          <w:color w:val="auto"/>
          <w:kern w:val="0"/>
          <w:sz w:val="24"/>
          <w:szCs w:val="24"/>
          <w:highlight w:val="none"/>
        </w:rPr>
        <w:t>自合同签订</w:t>
      </w:r>
      <w:r>
        <w:rPr>
          <w:rFonts w:hint="default" w:ascii="Times New Roman" w:hAnsi="Times New Roman" w:eastAsia="宋体" w:cs="Times New Roman"/>
          <w:bCs/>
          <w:color w:val="auto"/>
          <w:kern w:val="0"/>
          <w:sz w:val="24"/>
          <w:szCs w:val="24"/>
          <w:highlight w:val="none"/>
          <w:lang w:val="en-US" w:eastAsia="zh-CN"/>
        </w:rPr>
        <w:t>之日</w:t>
      </w:r>
      <w:r>
        <w:rPr>
          <w:rFonts w:hint="default" w:ascii="Times New Roman" w:hAnsi="Times New Roman" w:eastAsia="宋体" w:cs="Times New Roman"/>
          <w:bCs/>
          <w:color w:val="auto"/>
          <w:kern w:val="0"/>
          <w:sz w:val="24"/>
          <w:szCs w:val="24"/>
          <w:highlight w:val="none"/>
        </w:rPr>
        <w:t>起，服务</w:t>
      </w:r>
      <w:r>
        <w:rPr>
          <w:rFonts w:hint="default" w:ascii="Times New Roman" w:hAnsi="Times New Roman" w:eastAsia="宋体" w:cs="Times New Roman"/>
          <w:bCs/>
          <w:color w:val="auto"/>
          <w:kern w:val="0"/>
          <w:sz w:val="24"/>
          <w:szCs w:val="24"/>
          <w:highlight w:val="none"/>
          <w:lang w:val="en-US" w:eastAsia="zh-CN"/>
        </w:rPr>
        <w:t>期2年</w:t>
      </w:r>
      <w:r>
        <w:rPr>
          <w:rFonts w:hint="default" w:ascii="Times New Roman" w:hAnsi="Times New Roman" w:eastAsia="宋体" w:cs="Times New Roman"/>
          <w:bCs/>
          <w:color w:val="auto"/>
          <w:kern w:val="0"/>
          <w:sz w:val="24"/>
          <w:szCs w:val="24"/>
          <w:highlight w:val="none"/>
        </w:rPr>
        <w:t>。</w:t>
      </w:r>
    </w:p>
    <w:p w14:paraId="1A11CA30">
      <w:pPr>
        <w:keepNext w:val="0"/>
        <w:keepLines w:val="0"/>
        <w:pageBreakBefore w:val="0"/>
        <w:widowControl/>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Cs/>
          <w:color w:val="auto"/>
          <w:sz w:val="24"/>
          <w:szCs w:val="24"/>
          <w:highlight w:val="none"/>
        </w:rPr>
        <w:t>（二）服务范围</w:t>
      </w:r>
    </w:p>
    <w:p w14:paraId="233E66EA">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派驻不少于5人的专家团队常驻</w:t>
      </w:r>
      <w:r>
        <w:rPr>
          <w:rFonts w:hint="default" w:ascii="Times New Roman" w:hAnsi="Times New Roman" w:eastAsia="宋体" w:cs="Times New Roman"/>
          <w:bCs/>
          <w:color w:val="auto"/>
          <w:sz w:val="24"/>
          <w:szCs w:val="24"/>
          <w:highlight w:val="none"/>
          <w:lang w:val="en-US" w:eastAsia="zh-CN"/>
        </w:rPr>
        <w:t>徐圩</w:t>
      </w:r>
      <w:r>
        <w:rPr>
          <w:rFonts w:hint="default" w:ascii="Times New Roman" w:hAnsi="Times New Roman" w:eastAsia="宋体" w:cs="Times New Roman"/>
          <w:bCs/>
          <w:color w:val="auto"/>
          <w:sz w:val="24"/>
          <w:szCs w:val="24"/>
          <w:highlight w:val="none"/>
        </w:rPr>
        <w:t>新区</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全面融入</w:t>
      </w:r>
      <w:r>
        <w:rPr>
          <w:rFonts w:hint="default" w:ascii="Times New Roman" w:hAnsi="Times New Roman" w:eastAsia="宋体" w:cs="Times New Roman"/>
          <w:bCs/>
          <w:color w:val="auto"/>
          <w:sz w:val="24"/>
          <w:szCs w:val="24"/>
          <w:highlight w:val="none"/>
          <w:lang w:val="en-US" w:eastAsia="zh-CN"/>
        </w:rPr>
        <w:t>连云港</w:t>
      </w:r>
      <w:r>
        <w:rPr>
          <w:rFonts w:hint="default" w:ascii="Times New Roman" w:hAnsi="Times New Roman" w:eastAsia="宋体" w:cs="Times New Roman"/>
          <w:bCs/>
          <w:color w:val="auto"/>
          <w:sz w:val="24"/>
          <w:szCs w:val="24"/>
          <w:highlight w:val="none"/>
        </w:rPr>
        <w:t>石化</w:t>
      </w:r>
      <w:r>
        <w:rPr>
          <w:rFonts w:hint="default" w:ascii="Times New Roman" w:hAnsi="Times New Roman" w:eastAsia="宋体" w:cs="Times New Roman"/>
          <w:bCs/>
          <w:color w:val="auto"/>
          <w:sz w:val="24"/>
          <w:szCs w:val="24"/>
          <w:highlight w:val="none"/>
          <w:lang w:val="en-US" w:eastAsia="zh-CN"/>
        </w:rPr>
        <w:t>产业</w:t>
      </w:r>
      <w:r>
        <w:rPr>
          <w:rFonts w:hint="default" w:ascii="Times New Roman" w:hAnsi="Times New Roman" w:eastAsia="宋体" w:cs="Times New Roman"/>
          <w:bCs/>
          <w:color w:val="auto"/>
          <w:sz w:val="24"/>
          <w:szCs w:val="24"/>
          <w:highlight w:val="none"/>
        </w:rPr>
        <w:t>基地</w:t>
      </w:r>
      <w:r>
        <w:rPr>
          <w:rFonts w:hint="default" w:ascii="Times New Roman" w:hAnsi="Times New Roman" w:eastAsia="宋体" w:cs="Times New Roman"/>
          <w:bCs/>
          <w:color w:val="auto"/>
          <w:sz w:val="24"/>
          <w:szCs w:val="24"/>
          <w:highlight w:val="none"/>
          <w:lang w:val="en-US" w:eastAsia="zh-CN"/>
        </w:rPr>
        <w:t>危化品</w:t>
      </w:r>
      <w:r>
        <w:rPr>
          <w:rFonts w:hint="default" w:ascii="Times New Roman" w:hAnsi="Times New Roman" w:eastAsia="宋体" w:cs="Times New Roman"/>
          <w:bCs/>
          <w:color w:val="auto"/>
          <w:sz w:val="24"/>
          <w:szCs w:val="24"/>
          <w:highlight w:val="none"/>
        </w:rPr>
        <w:t>安全监管各环节，围绕过程安全管理体系提升、建设项目源头风险防控、智慧化监管场景建设</w:t>
      </w:r>
      <w:r>
        <w:rPr>
          <w:rFonts w:hint="default" w:ascii="Times New Roman" w:hAnsi="Times New Roman" w:eastAsia="宋体" w:cs="Times New Roman"/>
          <w:bCs/>
          <w:color w:val="auto"/>
          <w:sz w:val="24"/>
          <w:szCs w:val="24"/>
          <w:highlight w:val="none"/>
          <w:lang w:val="en-US" w:eastAsia="zh-CN"/>
        </w:rPr>
        <w:t>应用</w:t>
      </w:r>
      <w:r>
        <w:rPr>
          <w:rFonts w:hint="default" w:ascii="Times New Roman" w:hAnsi="Times New Roman" w:eastAsia="宋体" w:cs="Times New Roman"/>
          <w:bCs/>
          <w:color w:val="auto"/>
          <w:sz w:val="24"/>
          <w:szCs w:val="24"/>
          <w:highlight w:val="none"/>
        </w:rPr>
        <w:t>、重点领域专项治理、应急处置支撑、监管能力提升等方面提供专业技术服务，协助新区加快构建更加精准、高效、穿透的危化品安全监管体系，推动形成具有徐圩特色的园区安全治理模式和技术成果。</w:t>
      </w:r>
    </w:p>
    <w:p w14:paraId="728C34DF">
      <w:pPr>
        <w:keepNext w:val="0"/>
        <w:keepLines w:val="0"/>
        <w:pageBreakBefore w:val="0"/>
        <w:numPr>
          <w:ilvl w:val="0"/>
          <w:numId w:val="0"/>
        </w:numPr>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黑体" w:cs="Times New Roman"/>
          <w:bCs/>
          <w:color w:val="auto"/>
          <w:kern w:val="2"/>
          <w:sz w:val="24"/>
          <w:szCs w:val="24"/>
          <w:highlight w:val="none"/>
          <w:lang w:val="en-US" w:eastAsia="zh-CN" w:bidi="ar-SA"/>
        </w:rPr>
      </w:pPr>
      <w:r>
        <w:rPr>
          <w:rFonts w:hint="default" w:ascii="Times New Roman" w:hAnsi="Times New Roman" w:eastAsia="黑体" w:cs="Times New Roman"/>
          <w:bCs/>
          <w:color w:val="auto"/>
          <w:kern w:val="2"/>
          <w:sz w:val="24"/>
          <w:szCs w:val="24"/>
          <w:highlight w:val="none"/>
          <w:lang w:val="en-US" w:eastAsia="zh-CN" w:bidi="ar-SA"/>
        </w:rPr>
        <w:t>二、项目服务内容</w:t>
      </w:r>
    </w:p>
    <w:p w14:paraId="22220236">
      <w:pPr>
        <w:keepNext w:val="0"/>
        <w:keepLines w:val="0"/>
        <w:pageBreakBefore w:val="0"/>
        <w:numPr>
          <w:ilvl w:val="0"/>
          <w:numId w:val="0"/>
        </w:numPr>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kern w:val="2"/>
          <w:sz w:val="24"/>
          <w:szCs w:val="24"/>
          <w:highlight w:val="none"/>
          <w:lang w:val="en-US" w:eastAsia="zh-CN" w:bidi="ar-SA"/>
        </w:rPr>
        <w:t>（一）</w:t>
      </w:r>
      <w:r>
        <w:rPr>
          <w:rFonts w:hint="default" w:ascii="Times New Roman" w:hAnsi="Times New Roman" w:eastAsia="宋体" w:cs="Times New Roman"/>
          <w:bCs/>
          <w:color w:val="auto"/>
          <w:sz w:val="24"/>
          <w:szCs w:val="24"/>
          <w:highlight w:val="none"/>
        </w:rPr>
        <w:t>重点工作</w:t>
      </w:r>
    </w:p>
    <w:p w14:paraId="4D6311BF">
      <w:pPr>
        <w:pStyle w:val="298"/>
        <w:keepNext w:val="0"/>
        <w:keepLines w:val="0"/>
        <w:pageBreakBefore w:val="0"/>
        <w:kinsoku/>
        <w:wordWrap/>
        <w:overflowPunct/>
        <w:topLinePunct w:val="0"/>
        <w:bidi w:val="0"/>
        <w:adjustRightInd w:val="0"/>
        <w:snapToGrid w:val="0"/>
        <w:spacing w:line="560" w:lineRule="exact"/>
        <w:ind w:firstLine="482" w:firstLineChars="200"/>
        <w:jc w:val="both"/>
        <w:textAlignment w:val="auto"/>
        <w:rPr>
          <w:rFonts w:hint="default" w:ascii="Times New Roman" w:hAnsi="Times New Roman" w:eastAsia="宋体" w:cs="Times New Roman"/>
          <w:b/>
          <w:bCs/>
          <w:color w:val="auto"/>
          <w:kern w:val="2"/>
          <w:sz w:val="24"/>
          <w:szCs w:val="24"/>
          <w:highlight w:val="none"/>
          <w:lang w:eastAsia="zh-CN"/>
        </w:rPr>
      </w:pPr>
      <w:r>
        <w:rPr>
          <w:rFonts w:hint="default" w:ascii="Times New Roman" w:hAnsi="Times New Roman" w:eastAsia="宋体" w:cs="Times New Roman"/>
          <w:b/>
          <w:bCs/>
          <w:color w:val="auto"/>
          <w:kern w:val="2"/>
          <w:sz w:val="24"/>
          <w:szCs w:val="24"/>
          <w:highlight w:val="none"/>
        </w:rPr>
        <w:t>1.开展过程安全管理体系穿透式诊断提升</w:t>
      </w:r>
    </w:p>
    <w:p w14:paraId="33CCB65B">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围绕危化品企业安全主体责任落实和过程安全管理体系建设要求，结合新区企业装置规模大、连续化生产程度高、工艺链条长、关联风险复杂等特点，对已投产危化品企业开展过程安全管理体系穿透式诊断。重点围绕工艺纪律执行、设备完整性管理、仪表及联锁管理、开停车及异常工况处置、特殊作业和承包商管理、人员能力等关键要素，深入查找企业在制度设计、责任传导、现场执行等方面存在的深层次问题，形成诊断报告和问题清单，分企业编制“一企一策”提升方案，推动企业建立更加契合实际、有效运行的过程安全管理体系。</w:t>
      </w:r>
    </w:p>
    <w:p w14:paraId="451EC30A">
      <w:pPr>
        <w:keepNext w:val="0"/>
        <w:keepLines w:val="0"/>
        <w:pageBreakBefore w:val="0"/>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合同期内，对新区已投产危化品企业实现诊断全覆盖，并结合诊断情况对重点企业开展复核评估，推动整改措施落实落地。</w:t>
      </w:r>
      <w:r>
        <w:rPr>
          <w:rFonts w:hint="eastAsia" w:ascii="Times New Roman" w:hAnsi="Times New Roman" w:eastAsia="宋体" w:cs="Times New Roman"/>
          <w:bCs/>
          <w:color w:val="auto"/>
          <w:sz w:val="24"/>
          <w:szCs w:val="24"/>
          <w:highlight w:val="none"/>
          <w:lang w:val="en-US" w:eastAsia="zh-CN"/>
        </w:rPr>
        <w:t>对安全管理水平落后的企业，组织开展专项驻厂帮扶提升，补齐园区安全管理的短板。</w:t>
      </w:r>
      <w:r>
        <w:rPr>
          <w:rFonts w:hint="default" w:ascii="Times New Roman" w:hAnsi="Times New Roman" w:eastAsia="宋体" w:cs="Times New Roman"/>
          <w:bCs/>
          <w:color w:val="auto"/>
          <w:sz w:val="24"/>
          <w:szCs w:val="24"/>
          <w:highlight w:val="none"/>
        </w:rPr>
        <w:t>结合企业基础条件和行业代表性，选择基础较好、示范带动作用较强的企业开展重点培育，推动形成一批过程安全管理体系建设示范企业。</w:t>
      </w:r>
    </w:p>
    <w:p w14:paraId="4A4D4295">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围绕本质安全提升需要，对重点监管工艺在役装置的HAZOP分析报告质量、联锁设置、自动化控制逻辑、工艺变更后风险再验证等内容开展专项诊断，推动企业将HAZOP分析成果转化为工艺优化、联锁完善、报警治理和风险防控措施，提升企业本质安全水平。</w:t>
      </w:r>
    </w:p>
    <w:p w14:paraId="5CB48C45">
      <w:pPr>
        <w:keepNext w:val="0"/>
        <w:keepLines w:val="0"/>
        <w:pageBreakBefore w:val="0"/>
        <w:kinsoku/>
        <w:wordWrap/>
        <w:overflowPunct/>
        <w:topLinePunct w:val="0"/>
        <w:bidi w:val="0"/>
        <w:adjustRightInd w:val="0"/>
        <w:snapToGrid w:val="0"/>
        <w:spacing w:line="560" w:lineRule="exact"/>
        <w:ind w:firstLine="482" w:firstLineChars="200"/>
        <w:textAlignment w:val="auto"/>
        <w:outlineLvl w:val="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2.加强建设项目和重点环节源头风险防控</w:t>
      </w:r>
    </w:p>
    <w:p w14:paraId="00C25F09">
      <w:pPr>
        <w:pStyle w:val="298"/>
        <w:keepNext w:val="0"/>
        <w:keepLines w:val="0"/>
        <w:pageBreakBefore w:val="0"/>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围绕新区危化品建设项目准入和全过程风险防控需要，对拟</w:t>
      </w:r>
      <w:r>
        <w:rPr>
          <w:rFonts w:hint="default" w:ascii="Times New Roman" w:hAnsi="Times New Roman" w:eastAsia="宋体" w:cs="Times New Roman"/>
          <w:bCs/>
          <w:color w:val="auto"/>
          <w:kern w:val="2"/>
          <w:sz w:val="24"/>
          <w:szCs w:val="24"/>
          <w:highlight w:val="none"/>
          <w:lang w:val="en-US" w:eastAsia="zh-CN"/>
        </w:rPr>
        <w:t>入园</w:t>
      </w:r>
      <w:r>
        <w:rPr>
          <w:rFonts w:hint="default" w:ascii="Times New Roman" w:hAnsi="Times New Roman" w:eastAsia="宋体" w:cs="Times New Roman"/>
          <w:bCs/>
          <w:color w:val="auto"/>
          <w:kern w:val="2"/>
          <w:sz w:val="24"/>
          <w:szCs w:val="24"/>
          <w:highlight w:val="none"/>
        </w:rPr>
        <w:t>项目</w:t>
      </w:r>
      <w:r>
        <w:rPr>
          <w:rFonts w:hint="default" w:ascii="Times New Roman" w:hAnsi="Times New Roman" w:eastAsia="宋体" w:cs="Times New Roman"/>
          <w:bCs/>
          <w:color w:val="auto"/>
          <w:kern w:val="2"/>
          <w:sz w:val="24"/>
          <w:szCs w:val="24"/>
          <w:highlight w:val="none"/>
          <w:lang w:val="en-US" w:eastAsia="zh-CN"/>
        </w:rPr>
        <w:t>及现有企业</w:t>
      </w:r>
      <w:r>
        <w:rPr>
          <w:rFonts w:hint="default" w:ascii="Times New Roman" w:hAnsi="Times New Roman" w:eastAsia="宋体" w:cs="Times New Roman"/>
          <w:bCs/>
          <w:color w:val="auto"/>
          <w:kern w:val="2"/>
          <w:sz w:val="24"/>
          <w:szCs w:val="24"/>
          <w:highlight w:val="none"/>
        </w:rPr>
        <w:t>新建、改建、扩建项目开展安全准入技术咨询服务。重点从项目选址布局、工艺技术成熟度、物料危险性、自动化控制水平等方面进行综合分析，审阅项目可行性研究报告及相关资料，提出项目安全准入咨询意见，为新区项目招引、项目决策和风险研判提供技术支撑。</w:t>
      </w:r>
    </w:p>
    <w:p w14:paraId="037FE64C">
      <w:pPr>
        <w:pStyle w:val="298"/>
        <w:keepNext w:val="0"/>
        <w:keepLines w:val="0"/>
        <w:pageBreakBefore w:val="0"/>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针对危化品建设项目试生产、装置开停车、停工检维修后复产复工等高风险环节，组织具有同类装置经验的高水平专家开展现场指导服务，</w:t>
      </w:r>
      <w:r>
        <w:rPr>
          <w:rFonts w:hint="default" w:ascii="Times New Roman" w:hAnsi="Times New Roman" w:eastAsia="宋体" w:cs="Times New Roman"/>
          <w:color w:val="auto"/>
          <w:sz w:val="24"/>
          <w:szCs w:val="24"/>
          <w:highlight w:val="none"/>
          <w:lang w:val="en-US" w:eastAsia="zh-CN"/>
        </w:rPr>
        <w:t>出具专家</w:t>
      </w:r>
      <w:r>
        <w:rPr>
          <w:rFonts w:hint="eastAsia" w:ascii="Times New Roman" w:hAnsi="Times New Roman" w:eastAsia="宋体" w:cs="Times New Roman"/>
          <w:color w:val="auto"/>
          <w:sz w:val="24"/>
          <w:szCs w:val="24"/>
          <w:highlight w:val="none"/>
          <w:lang w:val="en-US" w:eastAsia="zh-CN"/>
        </w:rPr>
        <w:t>论证</w:t>
      </w:r>
      <w:r>
        <w:rPr>
          <w:rFonts w:hint="default" w:ascii="Times New Roman" w:hAnsi="Times New Roman" w:eastAsia="宋体" w:cs="Times New Roman"/>
          <w:color w:val="auto"/>
          <w:sz w:val="24"/>
          <w:szCs w:val="24"/>
          <w:highlight w:val="none"/>
          <w:lang w:val="en-US" w:eastAsia="zh-CN"/>
        </w:rPr>
        <w:t>意见，</w:t>
      </w:r>
      <w:r>
        <w:rPr>
          <w:rFonts w:hint="default" w:ascii="Times New Roman" w:hAnsi="Times New Roman" w:eastAsia="宋体" w:cs="Times New Roman"/>
          <w:bCs/>
          <w:color w:val="auto"/>
          <w:kern w:val="2"/>
          <w:sz w:val="24"/>
          <w:szCs w:val="24"/>
          <w:highlight w:val="none"/>
        </w:rPr>
        <w:t>形成问题隐患和风险管控建议清单，并及时跟踪复核整改落实情况。</w:t>
      </w:r>
    </w:p>
    <w:p w14:paraId="535CF36A">
      <w:pPr>
        <w:pStyle w:val="298"/>
        <w:keepNext w:val="0"/>
        <w:keepLines w:val="0"/>
        <w:pageBreakBefore w:val="0"/>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对长周期停车后重启、重大技改后恢复运行</w:t>
      </w:r>
      <w:r>
        <w:rPr>
          <w:rFonts w:hint="default" w:ascii="Times New Roman" w:hAnsi="Times New Roman" w:eastAsia="宋体" w:cs="Times New Roman"/>
          <w:bCs/>
          <w:color w:val="auto"/>
          <w:kern w:val="2"/>
          <w:sz w:val="24"/>
          <w:szCs w:val="24"/>
          <w:highlight w:val="none"/>
          <w:lang w:val="en-US" w:eastAsia="zh-CN"/>
        </w:rPr>
        <w:t>等重点</w:t>
      </w:r>
      <w:r>
        <w:rPr>
          <w:rFonts w:hint="default" w:ascii="Times New Roman" w:hAnsi="Times New Roman" w:eastAsia="宋体" w:cs="Times New Roman"/>
          <w:bCs/>
          <w:color w:val="auto"/>
          <w:kern w:val="2"/>
          <w:sz w:val="24"/>
          <w:szCs w:val="24"/>
          <w:highlight w:val="none"/>
        </w:rPr>
        <w:t>装置，结合实际需要开展专项风险研判，为新区加强关键节点安全把关提供技术支撑。</w:t>
      </w:r>
    </w:p>
    <w:p w14:paraId="04DFF2A6">
      <w:pPr>
        <w:pStyle w:val="298"/>
        <w:keepNext w:val="0"/>
        <w:keepLines w:val="0"/>
        <w:pageBreakBefore w:val="0"/>
        <w:kinsoku/>
        <w:wordWrap/>
        <w:overflowPunct/>
        <w:topLinePunct w:val="0"/>
        <w:bidi w:val="0"/>
        <w:adjustRightInd w:val="0"/>
        <w:snapToGrid w:val="0"/>
        <w:spacing w:line="560" w:lineRule="exact"/>
        <w:ind w:firstLine="482" w:firstLineChars="200"/>
        <w:jc w:val="both"/>
        <w:textAlignment w:val="auto"/>
        <w:rPr>
          <w:rFonts w:hint="default" w:ascii="Times New Roman" w:hAnsi="Times New Roman" w:eastAsia="宋体" w:cs="Times New Roman"/>
          <w:b/>
          <w:bCs w:val="0"/>
          <w:color w:val="auto"/>
          <w:kern w:val="2"/>
          <w:sz w:val="24"/>
          <w:szCs w:val="24"/>
          <w:highlight w:val="none"/>
          <w:lang w:val="en-US" w:eastAsia="zh-CN" w:bidi="ar-SA"/>
        </w:rPr>
      </w:pPr>
      <w:r>
        <w:rPr>
          <w:rFonts w:hint="default" w:ascii="Times New Roman" w:hAnsi="Times New Roman" w:eastAsia="宋体" w:cs="Times New Roman"/>
          <w:b/>
          <w:bCs/>
          <w:color w:val="auto"/>
          <w:kern w:val="2"/>
          <w:sz w:val="24"/>
          <w:szCs w:val="24"/>
          <w:highlight w:val="none"/>
        </w:rPr>
        <w:t>3.</w:t>
      </w:r>
      <w:r>
        <w:rPr>
          <w:rFonts w:hint="default" w:ascii="Times New Roman" w:hAnsi="Times New Roman" w:eastAsia="宋体" w:cs="Times New Roman"/>
          <w:b/>
          <w:bCs w:val="0"/>
          <w:color w:val="auto"/>
          <w:kern w:val="2"/>
          <w:sz w:val="24"/>
          <w:szCs w:val="24"/>
          <w:highlight w:val="none"/>
          <w:lang w:val="en-US" w:eastAsia="zh-CN" w:bidi="ar-SA"/>
        </w:rPr>
        <w:t>深化智慧化监管场景建设和实战应用</w:t>
      </w:r>
    </w:p>
    <w:p w14:paraId="35670C3E">
      <w:pPr>
        <w:pStyle w:val="298"/>
        <w:keepNext w:val="0"/>
        <w:keepLines w:val="0"/>
        <w:pageBreakBefore w:val="0"/>
        <w:numPr>
          <w:ilvl w:val="0"/>
          <w:numId w:val="0"/>
        </w:numPr>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根据新区危化品安全监管数字化、智能化转型需要，协助推进智慧化监管场景建设和实战应用，推动监管工作由事后处置向事前预警转变、由线下检查向线上线下融合转变。重点围绕关键设备运行监测、异常工况识别预警、特殊作业智慧化监管、承包商全过程管控、重大危险源线上巡查、报警及联锁异常分析等方面，研究提出场景建设需求、模型优化建议和应用评价意见，推动提升监管平台实战化、实用化水平。</w:t>
      </w:r>
    </w:p>
    <w:p w14:paraId="4B058E5B">
      <w:pPr>
        <w:pStyle w:val="298"/>
        <w:keepNext w:val="0"/>
        <w:keepLines w:val="0"/>
        <w:pageBreakBefore w:val="0"/>
        <w:numPr>
          <w:ilvl w:val="0"/>
          <w:numId w:val="0"/>
        </w:numPr>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color w:val="auto"/>
          <w:kern w:val="2"/>
          <w:sz w:val="24"/>
          <w:szCs w:val="24"/>
          <w:highlight w:val="none"/>
          <w:lang w:val="en-US" w:eastAsia="zh-CN" w:bidi="ar-SA"/>
        </w:rPr>
      </w:pPr>
      <w:r>
        <w:rPr>
          <w:rFonts w:hint="default" w:ascii="Times New Roman" w:hAnsi="Times New Roman" w:eastAsia="宋体" w:cs="Times New Roman"/>
          <w:bCs/>
          <w:color w:val="auto"/>
          <w:kern w:val="2"/>
          <w:sz w:val="24"/>
          <w:szCs w:val="24"/>
          <w:highlight w:val="none"/>
          <w:lang w:val="en-US" w:eastAsia="zh-CN" w:bidi="ar-SA"/>
        </w:rPr>
        <w:t>结合新区监管实际，协助梳理各类智慧监管场景在数据接入、规则设置、预警推送、现场核查、问题闭环等方面存在的短板，提出针对性优化建议，推动形成智慧化监管应用体系。</w:t>
      </w:r>
    </w:p>
    <w:p w14:paraId="042076F7">
      <w:pPr>
        <w:pStyle w:val="298"/>
        <w:keepNext w:val="0"/>
        <w:keepLines w:val="0"/>
        <w:pageBreakBefore w:val="0"/>
        <w:numPr>
          <w:ilvl w:val="0"/>
          <w:numId w:val="0"/>
        </w:numPr>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（二）</w:t>
      </w:r>
      <w:r>
        <w:rPr>
          <w:rFonts w:hint="default" w:ascii="Times New Roman" w:hAnsi="Times New Roman" w:eastAsia="宋体" w:cs="Times New Roman"/>
          <w:bCs/>
          <w:color w:val="auto"/>
          <w:sz w:val="24"/>
          <w:szCs w:val="24"/>
          <w:highlight w:val="none"/>
        </w:rPr>
        <w:t>常规性工作</w:t>
      </w:r>
    </w:p>
    <w:p w14:paraId="3169E14F">
      <w:pPr>
        <w:pStyle w:val="298"/>
        <w:keepNext w:val="0"/>
        <w:keepLines w:val="0"/>
        <w:pageBreakBefore w:val="0"/>
        <w:kinsoku/>
        <w:wordWrap/>
        <w:overflowPunct/>
        <w:topLinePunct w:val="0"/>
        <w:bidi w:val="0"/>
        <w:adjustRightInd w:val="0"/>
        <w:snapToGrid w:val="0"/>
        <w:spacing w:line="560" w:lineRule="exact"/>
        <w:ind w:firstLine="482" w:firstLineChars="200"/>
        <w:jc w:val="both"/>
        <w:textAlignment w:val="auto"/>
        <w:rPr>
          <w:rFonts w:hint="default" w:ascii="Times New Roman" w:hAnsi="Times New Roman" w:eastAsia="宋体" w:cs="Times New Roman"/>
          <w:b/>
          <w:bCs/>
          <w:color w:val="auto"/>
          <w:kern w:val="2"/>
          <w:sz w:val="24"/>
          <w:szCs w:val="24"/>
          <w:highlight w:val="none"/>
          <w:lang w:val="zh-CN"/>
        </w:rPr>
      </w:pPr>
      <w:r>
        <w:rPr>
          <w:rFonts w:hint="default" w:ascii="Times New Roman" w:hAnsi="Times New Roman" w:eastAsia="宋体" w:cs="Times New Roman"/>
          <w:b/>
          <w:bCs/>
          <w:color w:val="auto"/>
          <w:kern w:val="2"/>
          <w:sz w:val="24"/>
          <w:szCs w:val="24"/>
          <w:highlight w:val="none"/>
          <w:lang w:val="zh-CN"/>
        </w:rPr>
        <w:t>1.派驻专家团队长期驻点坐班</w:t>
      </w:r>
    </w:p>
    <w:p w14:paraId="029EEA57">
      <w:pPr>
        <w:pStyle w:val="298"/>
        <w:keepNext w:val="0"/>
        <w:keepLines w:val="0"/>
        <w:pageBreakBefore w:val="0"/>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派遣</w:t>
      </w:r>
      <w:r>
        <w:rPr>
          <w:rFonts w:hint="default" w:ascii="Times New Roman" w:hAnsi="Times New Roman" w:eastAsia="宋体" w:cs="Times New Roman"/>
          <w:bCs/>
          <w:color w:val="auto"/>
          <w:kern w:val="2"/>
          <w:sz w:val="24"/>
          <w:szCs w:val="24"/>
          <w:highlight w:val="none"/>
          <w:lang w:val="en-US" w:eastAsia="zh-CN"/>
        </w:rPr>
        <w:t>不少于</w:t>
      </w:r>
      <w:r>
        <w:rPr>
          <w:rFonts w:hint="default" w:ascii="Times New Roman" w:hAnsi="Times New Roman" w:eastAsia="宋体" w:cs="Times New Roman"/>
          <w:bCs/>
          <w:color w:val="auto"/>
          <w:kern w:val="2"/>
          <w:sz w:val="24"/>
          <w:szCs w:val="24"/>
          <w:highlight w:val="none"/>
        </w:rPr>
        <w:t>5名专业技术人员在徐圩新区长期驻点坐班</w:t>
      </w:r>
      <w:r>
        <w:rPr>
          <w:rFonts w:hint="default" w:ascii="Times New Roman" w:hAnsi="Times New Roman" w:eastAsia="宋体" w:cs="Times New Roman"/>
          <w:bCs/>
          <w:color w:val="auto"/>
          <w:kern w:val="2"/>
          <w:sz w:val="24"/>
          <w:szCs w:val="24"/>
          <w:highlight w:val="none"/>
          <w:lang w:eastAsia="zh-CN"/>
        </w:rPr>
        <w:t>，</w:t>
      </w:r>
      <w:r>
        <w:rPr>
          <w:rFonts w:hint="default" w:ascii="Times New Roman" w:hAnsi="Times New Roman" w:eastAsia="宋体" w:cs="Times New Roman"/>
          <w:bCs/>
          <w:color w:val="auto"/>
          <w:kern w:val="2"/>
          <w:sz w:val="24"/>
          <w:szCs w:val="24"/>
          <w:highlight w:val="none"/>
        </w:rPr>
        <w:t>专业涵盖化工安全管理、工艺、设备、电气、仪表、消防等相关</w:t>
      </w:r>
      <w:r>
        <w:rPr>
          <w:rFonts w:hint="default" w:ascii="Times New Roman" w:hAnsi="Times New Roman" w:eastAsia="宋体" w:cs="Times New Roman"/>
          <w:bCs/>
          <w:color w:val="auto"/>
          <w:kern w:val="2"/>
          <w:sz w:val="24"/>
          <w:szCs w:val="24"/>
          <w:highlight w:val="none"/>
          <w:lang w:val="en-US" w:eastAsia="zh-CN"/>
        </w:rPr>
        <w:t>领域</w:t>
      </w:r>
      <w:r>
        <w:rPr>
          <w:rFonts w:hint="default" w:ascii="Times New Roman" w:hAnsi="Times New Roman" w:eastAsia="宋体" w:cs="Times New Roman"/>
          <w:bCs/>
          <w:color w:val="auto"/>
          <w:kern w:val="2"/>
          <w:sz w:val="24"/>
          <w:szCs w:val="24"/>
          <w:highlight w:val="none"/>
          <w:lang w:eastAsia="zh-CN"/>
        </w:rPr>
        <w:t>，</w:t>
      </w:r>
      <w:r>
        <w:rPr>
          <w:rFonts w:hint="default" w:ascii="Times New Roman" w:hAnsi="Times New Roman" w:eastAsia="宋体" w:cs="Times New Roman"/>
          <w:bCs/>
          <w:color w:val="auto"/>
          <w:kern w:val="2"/>
          <w:sz w:val="24"/>
          <w:szCs w:val="24"/>
          <w:highlight w:val="none"/>
          <w:lang w:val="en-US" w:eastAsia="zh-CN"/>
        </w:rPr>
        <w:t>其中至少配备</w:t>
      </w:r>
      <w:r>
        <w:rPr>
          <w:rFonts w:hint="default" w:ascii="Times New Roman" w:hAnsi="Times New Roman" w:eastAsia="宋体" w:cs="Times New Roman"/>
          <w:bCs/>
          <w:color w:val="auto"/>
          <w:kern w:val="2"/>
          <w:sz w:val="24"/>
          <w:szCs w:val="24"/>
          <w:highlight w:val="none"/>
        </w:rPr>
        <w:t>1名精通HAZOP</w:t>
      </w:r>
      <w:r>
        <w:rPr>
          <w:rFonts w:hint="default" w:ascii="Times New Roman" w:hAnsi="Times New Roman" w:eastAsia="宋体" w:cs="Times New Roman"/>
          <w:bCs/>
          <w:color w:val="auto"/>
          <w:kern w:val="2"/>
          <w:sz w:val="24"/>
          <w:szCs w:val="24"/>
          <w:highlight w:val="none"/>
          <w:lang w:eastAsia="zh-CN"/>
        </w:rPr>
        <w:t>、</w:t>
      </w:r>
      <w:r>
        <w:rPr>
          <w:rFonts w:hint="default" w:ascii="Times New Roman" w:hAnsi="Times New Roman" w:eastAsia="宋体" w:cs="Times New Roman"/>
          <w:bCs/>
          <w:color w:val="auto"/>
          <w:kern w:val="2"/>
          <w:sz w:val="24"/>
          <w:szCs w:val="24"/>
          <w:highlight w:val="none"/>
          <w:lang w:val="en-US" w:eastAsia="zh-CN"/>
        </w:rPr>
        <w:t>LOPA等工艺安全分析方法</w:t>
      </w:r>
      <w:r>
        <w:rPr>
          <w:rFonts w:hint="default" w:ascii="Times New Roman" w:hAnsi="Times New Roman" w:eastAsia="宋体" w:cs="Times New Roman"/>
          <w:bCs/>
          <w:color w:val="auto"/>
          <w:kern w:val="2"/>
          <w:sz w:val="24"/>
          <w:szCs w:val="24"/>
          <w:highlight w:val="none"/>
        </w:rPr>
        <w:t>的专家，1名熟悉大型石化装置试生产、开停车及异常工况处置的专家，1名熟悉特殊作业、承包商管理及直接作业环节安全管理的专家</w:t>
      </w:r>
      <w:r>
        <w:rPr>
          <w:rFonts w:hint="eastAsia" w:ascii="Times New Roman" w:hAnsi="Times New Roman" w:eastAsia="宋体" w:cs="Times New Roman"/>
          <w:bCs/>
          <w:color w:val="auto"/>
          <w:kern w:val="2"/>
          <w:sz w:val="24"/>
          <w:szCs w:val="24"/>
          <w:highlight w:val="none"/>
          <w:lang w:eastAsia="zh-CN"/>
        </w:rPr>
        <w:t>，</w:t>
      </w:r>
      <w:r>
        <w:rPr>
          <w:rFonts w:hint="eastAsia" w:ascii="Times New Roman" w:hAnsi="Times New Roman" w:eastAsia="宋体" w:cs="Times New Roman"/>
          <w:bCs/>
          <w:color w:val="auto"/>
          <w:kern w:val="2"/>
          <w:sz w:val="24"/>
          <w:szCs w:val="24"/>
          <w:highlight w:val="none"/>
          <w:lang w:eastAsia="zh-CN"/>
        </w:rPr>
        <w:t>确保满足新区危化品安全监管重点工作需要。</w:t>
      </w:r>
    </w:p>
    <w:p w14:paraId="78BE23CD">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kern w:val="2"/>
          <w:sz w:val="24"/>
          <w:szCs w:val="24"/>
          <w:highlight w:val="none"/>
          <w:lang w:val="en-US" w:eastAsia="zh-CN"/>
        </w:rPr>
      </w:pPr>
      <w:r>
        <w:rPr>
          <w:rFonts w:hint="default" w:ascii="Times New Roman" w:hAnsi="Times New Roman" w:eastAsia="宋体" w:cs="Times New Roman"/>
          <w:bCs/>
          <w:color w:val="auto"/>
          <w:kern w:val="2"/>
          <w:sz w:val="24"/>
          <w:szCs w:val="24"/>
          <w:highlight w:val="none"/>
          <w:lang w:val="en-US" w:eastAsia="zh-CN"/>
        </w:rPr>
        <w:t>派驻专家应具备与本项目相适应的专业背景</w:t>
      </w:r>
      <w:r>
        <w:rPr>
          <w:rFonts w:hint="eastAsia" w:ascii="Times New Roman" w:hAnsi="Times New Roman" w:eastAsia="宋体" w:cs="Times New Roman"/>
          <w:bCs/>
          <w:color w:val="auto"/>
          <w:kern w:val="2"/>
          <w:sz w:val="24"/>
          <w:szCs w:val="24"/>
          <w:highlight w:val="none"/>
          <w:lang w:val="en-US" w:eastAsia="zh-CN"/>
        </w:rPr>
        <w:t>，</w:t>
      </w:r>
      <w:r>
        <w:rPr>
          <w:rFonts w:hint="default" w:ascii="Times New Roman" w:hAnsi="Times New Roman" w:eastAsia="宋体" w:cs="Times New Roman"/>
          <w:bCs/>
          <w:color w:val="auto"/>
          <w:kern w:val="2"/>
          <w:sz w:val="24"/>
          <w:szCs w:val="24"/>
          <w:highlight w:val="none"/>
          <w:lang w:val="en-US" w:eastAsia="zh-CN"/>
        </w:rPr>
        <w:t>项目负责人及工艺</w:t>
      </w:r>
      <w:r>
        <w:rPr>
          <w:rFonts w:hint="eastAsia" w:ascii="Times New Roman" w:hAnsi="Times New Roman" w:eastAsia="宋体" w:cs="Times New Roman"/>
          <w:bCs/>
          <w:color w:val="auto"/>
          <w:kern w:val="2"/>
          <w:sz w:val="24"/>
          <w:szCs w:val="24"/>
          <w:highlight w:val="none"/>
          <w:lang w:val="en-US" w:eastAsia="zh-CN"/>
        </w:rPr>
        <w:t>、</w:t>
      </w:r>
      <w:r>
        <w:rPr>
          <w:rFonts w:hint="default" w:ascii="Times New Roman" w:hAnsi="Times New Roman" w:eastAsia="宋体" w:cs="Times New Roman"/>
          <w:bCs/>
          <w:color w:val="auto"/>
          <w:kern w:val="2"/>
          <w:sz w:val="24"/>
          <w:szCs w:val="24"/>
          <w:highlight w:val="none"/>
          <w:lang w:val="en-US" w:eastAsia="zh-CN"/>
        </w:rPr>
        <w:t>安全</w:t>
      </w:r>
      <w:r>
        <w:rPr>
          <w:rFonts w:hint="eastAsia" w:ascii="Times New Roman" w:hAnsi="Times New Roman" w:eastAsia="宋体" w:cs="Times New Roman"/>
          <w:bCs/>
          <w:color w:val="auto"/>
          <w:kern w:val="2"/>
          <w:sz w:val="24"/>
          <w:szCs w:val="24"/>
          <w:highlight w:val="none"/>
          <w:lang w:val="en-US" w:eastAsia="zh-CN"/>
        </w:rPr>
        <w:t>、仪表设备</w:t>
      </w:r>
      <w:r>
        <w:rPr>
          <w:rFonts w:hint="default" w:ascii="Times New Roman" w:hAnsi="Times New Roman" w:eastAsia="宋体" w:cs="Times New Roman"/>
          <w:bCs/>
          <w:color w:val="auto"/>
          <w:kern w:val="2"/>
          <w:sz w:val="24"/>
          <w:szCs w:val="24"/>
          <w:highlight w:val="none"/>
          <w:lang w:val="en-US" w:eastAsia="zh-CN"/>
        </w:rPr>
        <w:t>等核心岗位的专家，应具有相关专业</w:t>
      </w:r>
      <w:r>
        <w:rPr>
          <w:rFonts w:hint="eastAsia" w:ascii="Times New Roman" w:hAnsi="Times New Roman" w:eastAsia="宋体" w:cs="Times New Roman"/>
          <w:bCs/>
          <w:color w:val="auto"/>
          <w:kern w:val="2"/>
          <w:sz w:val="24"/>
          <w:szCs w:val="24"/>
          <w:highlight w:val="none"/>
          <w:lang w:val="en-US" w:eastAsia="zh-CN"/>
        </w:rPr>
        <w:t>本科及以上学历</w:t>
      </w:r>
      <w:r>
        <w:rPr>
          <w:rFonts w:hint="default" w:ascii="Times New Roman" w:hAnsi="Times New Roman" w:eastAsia="宋体" w:cs="Times New Roman"/>
          <w:bCs/>
          <w:color w:val="auto"/>
          <w:kern w:val="2"/>
          <w:sz w:val="24"/>
          <w:szCs w:val="24"/>
          <w:highlight w:val="none"/>
          <w:lang w:val="en-US" w:eastAsia="zh-CN"/>
        </w:rPr>
        <w:t>，具备</w:t>
      </w:r>
      <w:r>
        <w:rPr>
          <w:rFonts w:hint="eastAsia" w:ascii="Times New Roman" w:hAnsi="Times New Roman" w:eastAsia="宋体" w:cs="Times New Roman"/>
          <w:bCs/>
          <w:color w:val="auto"/>
          <w:kern w:val="2"/>
          <w:sz w:val="24"/>
          <w:szCs w:val="24"/>
          <w:highlight w:val="none"/>
          <w:lang w:val="en-US" w:eastAsia="zh-CN"/>
        </w:rPr>
        <w:t>化工类</w:t>
      </w:r>
      <w:r>
        <w:rPr>
          <w:rFonts w:hint="default" w:ascii="Times New Roman" w:hAnsi="Times New Roman" w:eastAsia="宋体" w:cs="Times New Roman"/>
          <w:bCs/>
          <w:color w:val="auto"/>
          <w:kern w:val="2"/>
          <w:sz w:val="24"/>
          <w:szCs w:val="24"/>
          <w:highlight w:val="none"/>
          <w:lang w:val="en-US" w:eastAsia="zh-CN"/>
        </w:rPr>
        <w:t>注册安全工程师、高级工程师等相关执业资格或专业技术职称，具有</w:t>
      </w:r>
      <w:r>
        <w:rPr>
          <w:rFonts w:hint="eastAsia" w:ascii="Times New Roman" w:hAnsi="Times New Roman" w:eastAsia="宋体" w:cs="Times New Roman"/>
          <w:bCs/>
          <w:color w:val="auto"/>
          <w:kern w:val="2"/>
          <w:sz w:val="24"/>
          <w:szCs w:val="24"/>
          <w:highlight w:val="none"/>
          <w:lang w:val="en-US" w:eastAsia="zh-CN"/>
        </w:rPr>
        <w:t>10年以上</w:t>
      </w:r>
      <w:r>
        <w:rPr>
          <w:rFonts w:hint="default" w:ascii="Times New Roman" w:hAnsi="Times New Roman" w:eastAsia="宋体" w:cs="Times New Roman"/>
          <w:bCs/>
          <w:color w:val="auto"/>
          <w:kern w:val="2"/>
          <w:sz w:val="24"/>
          <w:szCs w:val="24"/>
          <w:highlight w:val="none"/>
          <w:lang w:val="en-US" w:eastAsia="zh-CN"/>
        </w:rPr>
        <w:t>大型石油化工企业安全</w:t>
      </w:r>
      <w:r>
        <w:rPr>
          <w:rFonts w:hint="eastAsia" w:ascii="Times New Roman" w:hAnsi="Times New Roman" w:eastAsia="宋体" w:cs="Times New Roman"/>
          <w:bCs/>
          <w:color w:val="auto"/>
          <w:kern w:val="2"/>
          <w:sz w:val="24"/>
          <w:szCs w:val="24"/>
          <w:highlight w:val="none"/>
          <w:lang w:val="en-US" w:eastAsia="zh-CN"/>
        </w:rPr>
        <w:t>生产</w:t>
      </w:r>
      <w:r>
        <w:rPr>
          <w:rFonts w:hint="default" w:ascii="Times New Roman" w:hAnsi="Times New Roman" w:eastAsia="宋体" w:cs="Times New Roman"/>
          <w:bCs/>
          <w:color w:val="auto"/>
          <w:kern w:val="2"/>
          <w:sz w:val="24"/>
          <w:szCs w:val="24"/>
          <w:highlight w:val="none"/>
          <w:lang w:val="en-US" w:eastAsia="zh-CN"/>
        </w:rPr>
        <w:t>管理相关经验。</w:t>
      </w:r>
    </w:p>
    <w:p w14:paraId="1D4B3874">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kern w:val="2"/>
          <w:sz w:val="24"/>
          <w:szCs w:val="24"/>
          <w:highlight w:val="none"/>
          <w:lang w:val="en-US" w:eastAsia="zh-CN"/>
        </w:rPr>
      </w:pPr>
      <w:r>
        <w:rPr>
          <w:rFonts w:hint="default" w:ascii="Times New Roman" w:hAnsi="Times New Roman" w:eastAsia="宋体" w:cs="Times New Roman"/>
          <w:bCs/>
          <w:color w:val="auto"/>
          <w:kern w:val="2"/>
          <w:sz w:val="24"/>
          <w:szCs w:val="24"/>
          <w:highlight w:val="none"/>
          <w:lang w:val="en-US" w:eastAsia="zh-CN"/>
        </w:rPr>
        <w:t>除常驻专家外，建立与项目相匹配的高水平专家支撑机制，根据新区重点工作需要，及时调配具有高危细分领域治理、重点县专家指导服务、重大项目试生产、重点装置风险研判、事故事件调查复盘等经验的专家提供技术支持。</w:t>
      </w:r>
    </w:p>
    <w:p w14:paraId="19E4D893">
      <w:pPr>
        <w:keepNext w:val="0"/>
        <w:keepLines w:val="0"/>
        <w:pageBreakBefore w:val="0"/>
        <w:kinsoku/>
        <w:wordWrap/>
        <w:overflowPunct/>
        <w:topLinePunct w:val="0"/>
        <w:bidi w:val="0"/>
        <w:adjustRightInd w:val="0"/>
        <w:snapToGrid w:val="0"/>
        <w:spacing w:line="560" w:lineRule="exact"/>
        <w:ind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2.深化重点领域专项治理</w:t>
      </w:r>
    </w:p>
    <w:p w14:paraId="4BE7BF56">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围绕重大事故隐患、高危细分领域、特殊作业、承包商管理、设备带“病”运行、异常工况、重大危险源、屡查屡犯问题等重点事项，制定年度专项治理计划，每月至少确定1项重点专题开展专项排查、穿透检查或“回头看”，形成专项检查方案、问题清单、整改建议和复核意见。</w:t>
      </w:r>
    </w:p>
    <w:p w14:paraId="7DEC7DAA">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对重复发生、反复整改不到位、跨企业普遍存在的问题，深挖制度、责任、培训、考核、作业组织等方面根因，提出系统性整改措施和治理建议，推动问题由“点上整改”向“面上治理”转变。</w:t>
      </w:r>
    </w:p>
    <w:p w14:paraId="3C7B8662">
      <w:pPr>
        <w:keepNext w:val="0"/>
        <w:keepLines w:val="0"/>
        <w:pageBreakBefore w:val="0"/>
        <w:kinsoku/>
        <w:wordWrap/>
        <w:overflowPunct/>
        <w:topLinePunct w:val="0"/>
        <w:bidi w:val="0"/>
        <w:adjustRightInd w:val="0"/>
        <w:snapToGrid w:val="0"/>
        <w:spacing w:line="560" w:lineRule="exact"/>
        <w:ind w:firstLine="482" w:firstLineChars="200"/>
        <w:textAlignment w:val="auto"/>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3.开展“三警”服务支撑</w:t>
      </w:r>
    </w:p>
    <w:p w14:paraId="4D6F1022">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 w:val="0"/>
          <w:bCs w:val="0"/>
          <w:color w:val="auto"/>
          <w:kern w:val="0"/>
          <w:sz w:val="24"/>
          <w:szCs w:val="24"/>
          <w:highlight w:val="none"/>
        </w:rPr>
      </w:pPr>
      <w:r>
        <w:rPr>
          <w:rFonts w:hint="default" w:ascii="Times New Roman" w:hAnsi="Times New Roman" w:eastAsia="宋体" w:cs="Times New Roman"/>
          <w:b w:val="0"/>
          <w:bCs w:val="0"/>
          <w:color w:val="auto"/>
          <w:kern w:val="0"/>
          <w:sz w:val="24"/>
          <w:szCs w:val="24"/>
          <w:highlight w:val="none"/>
        </w:rPr>
        <w:t>围绕警醒、警戒、警示“三警”机制落实，结合外地事故信息、园区监管重点和企业实际情况，及时开展事故信息收集研判，提出警醒提示，督促企业举一反三开展类比排查。根据前期研判情况，分类制定排查重点和检查指南，协助新区组织开展警戒性排查检查，推动隐患整改和风险防控措施落实。</w:t>
      </w:r>
    </w:p>
    <w:p w14:paraId="7D53318C">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 w:val="0"/>
          <w:bCs w:val="0"/>
          <w:color w:val="auto"/>
          <w:kern w:val="0"/>
          <w:sz w:val="24"/>
          <w:szCs w:val="24"/>
          <w:highlight w:val="none"/>
        </w:rPr>
      </w:pPr>
      <w:r>
        <w:rPr>
          <w:rFonts w:hint="default" w:ascii="Times New Roman" w:hAnsi="Times New Roman" w:eastAsia="宋体" w:cs="Times New Roman"/>
          <w:b w:val="0"/>
          <w:bCs w:val="0"/>
          <w:color w:val="auto"/>
          <w:kern w:val="0"/>
          <w:sz w:val="24"/>
          <w:szCs w:val="24"/>
          <w:highlight w:val="none"/>
        </w:rPr>
        <w:t>围绕典型事故、园区内异常事件、未遂事件、非计划停车、报警联锁异常等情况，及时开展警示复盘和案例分析，提出防范措施建议，形成警示案例或专题材料，为新区强化事故警示教育和提升风险防控能力提供技术支撑。</w:t>
      </w:r>
    </w:p>
    <w:p w14:paraId="64E96485">
      <w:pPr>
        <w:keepNext w:val="0"/>
        <w:keepLines w:val="0"/>
        <w:pageBreakBefore w:val="0"/>
        <w:kinsoku/>
        <w:wordWrap/>
        <w:overflowPunct/>
        <w:topLinePunct w:val="0"/>
        <w:bidi w:val="0"/>
        <w:adjustRightInd w:val="0"/>
        <w:snapToGrid w:val="0"/>
        <w:spacing w:line="560" w:lineRule="exact"/>
        <w:ind w:firstLine="482" w:firstLineChars="200"/>
        <w:textAlignment w:val="auto"/>
        <w:rPr>
          <w:rFonts w:hint="default" w:ascii="Times New Roman" w:hAnsi="Times New Roman" w:eastAsia="宋体" w:cs="Times New Roman"/>
          <w:b/>
          <w:bCs/>
          <w:color w:val="auto"/>
          <w:kern w:val="0"/>
          <w:sz w:val="24"/>
          <w:szCs w:val="24"/>
          <w:highlight w:val="none"/>
          <w:lang w:val="en-US" w:eastAsia="zh-CN"/>
        </w:rPr>
      </w:pPr>
      <w:r>
        <w:rPr>
          <w:rFonts w:hint="default" w:ascii="Times New Roman" w:hAnsi="Times New Roman" w:eastAsia="宋体" w:cs="Times New Roman"/>
          <w:b/>
          <w:bCs/>
          <w:color w:val="auto"/>
          <w:kern w:val="0"/>
          <w:sz w:val="24"/>
          <w:szCs w:val="24"/>
          <w:highlight w:val="none"/>
          <w:lang w:val="en-US" w:eastAsia="zh-CN"/>
        </w:rPr>
        <w:t>4.</w:t>
      </w:r>
      <w:r>
        <w:rPr>
          <w:rFonts w:hint="default" w:ascii="Times New Roman" w:hAnsi="Times New Roman" w:eastAsia="宋体" w:cs="Times New Roman"/>
          <w:b/>
          <w:bCs/>
          <w:color w:val="auto"/>
          <w:kern w:val="0"/>
          <w:sz w:val="24"/>
          <w:szCs w:val="24"/>
          <w:highlight w:val="none"/>
        </w:rPr>
        <w:t>开展常规性安全检查技术</w:t>
      </w:r>
      <w:r>
        <w:rPr>
          <w:rFonts w:hint="default" w:ascii="Times New Roman" w:hAnsi="Times New Roman" w:eastAsia="宋体" w:cs="Times New Roman"/>
          <w:b/>
          <w:bCs/>
          <w:color w:val="auto"/>
          <w:kern w:val="0"/>
          <w:sz w:val="24"/>
          <w:szCs w:val="24"/>
          <w:highlight w:val="none"/>
          <w:lang w:val="en-US" w:eastAsia="zh-CN"/>
        </w:rPr>
        <w:t>支撑</w:t>
      </w:r>
    </w:p>
    <w:p w14:paraId="74BDDBB8">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rPr>
        <w:t>驻点专家根据新区应急管理部门工作安排，配合开展年度执法检查、</w:t>
      </w:r>
      <w:r>
        <w:rPr>
          <w:rFonts w:hint="default" w:ascii="Times New Roman" w:hAnsi="Times New Roman" w:eastAsia="宋体" w:cs="Times New Roman"/>
          <w:bCs/>
          <w:strike w:val="0"/>
          <w:dstrike w:val="0"/>
          <w:color w:val="auto"/>
          <w:sz w:val="24"/>
          <w:szCs w:val="24"/>
          <w:highlight w:val="none"/>
        </w:rPr>
        <w:t>安全许可换证现场核查</w:t>
      </w:r>
      <w:r>
        <w:rPr>
          <w:rFonts w:hint="default" w:ascii="Times New Roman" w:hAnsi="Times New Roman" w:eastAsia="宋体" w:cs="Times New Roman"/>
          <w:bCs/>
          <w:color w:val="auto"/>
          <w:sz w:val="24"/>
          <w:szCs w:val="24"/>
          <w:highlight w:val="none"/>
        </w:rPr>
        <w:t>、临时性安全检查巡查等工作</w:t>
      </w:r>
      <w:r>
        <w:rPr>
          <w:rFonts w:hint="default" w:ascii="Times New Roman" w:hAnsi="Times New Roman" w:eastAsia="宋体" w:cs="Times New Roman"/>
          <w:bCs/>
          <w:color w:val="auto"/>
          <w:sz w:val="24"/>
          <w:szCs w:val="24"/>
          <w:highlight w:val="none"/>
          <w:lang w:eastAsia="zh-CN"/>
        </w:rPr>
        <w:t>，为监管人员提供专业技术支撑和现场指导。</w:t>
      </w:r>
    </w:p>
    <w:p w14:paraId="5E48FD05">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配合监管人员对上级部门检查交办的问题隐患整改情况进行复核，对整改质量不高、整改措施不实、同类问题反复出现的情形提出进一步处理建议。</w:t>
      </w:r>
    </w:p>
    <w:p w14:paraId="3C95452B">
      <w:pPr>
        <w:keepNext w:val="0"/>
        <w:keepLines w:val="0"/>
        <w:pageBreakBefore w:val="0"/>
        <w:kinsoku/>
        <w:wordWrap/>
        <w:overflowPunct/>
        <w:topLinePunct w:val="0"/>
        <w:bidi w:val="0"/>
        <w:adjustRightInd w:val="0"/>
        <w:snapToGrid w:val="0"/>
        <w:spacing w:line="560" w:lineRule="exact"/>
        <w:ind w:firstLine="482" w:firstLineChars="200"/>
        <w:textAlignment w:val="auto"/>
        <w:rPr>
          <w:rFonts w:hint="default" w:ascii="Times New Roman" w:hAnsi="Times New Roman" w:eastAsia="宋体" w:cs="Times New Roman"/>
          <w:b/>
          <w:bCs/>
          <w:color w:val="auto"/>
          <w:kern w:val="0"/>
          <w:sz w:val="24"/>
          <w:szCs w:val="24"/>
          <w:highlight w:val="none"/>
          <w:lang w:val="en-US" w:eastAsia="zh-CN"/>
        </w:rPr>
      </w:pPr>
      <w:r>
        <w:rPr>
          <w:rFonts w:hint="default" w:ascii="Times New Roman" w:hAnsi="Times New Roman" w:eastAsia="宋体" w:cs="Times New Roman"/>
          <w:b/>
          <w:bCs/>
          <w:color w:val="auto"/>
          <w:kern w:val="0"/>
          <w:sz w:val="24"/>
          <w:szCs w:val="24"/>
          <w:highlight w:val="none"/>
          <w:lang w:val="en-US" w:eastAsia="zh-CN"/>
        </w:rPr>
        <w:t>5</w:t>
      </w:r>
      <w:r>
        <w:rPr>
          <w:rFonts w:hint="default" w:ascii="Times New Roman" w:hAnsi="Times New Roman" w:eastAsia="宋体" w:cs="Times New Roman"/>
          <w:b/>
          <w:bCs/>
          <w:color w:val="auto"/>
          <w:kern w:val="0"/>
          <w:sz w:val="24"/>
          <w:szCs w:val="24"/>
          <w:highlight w:val="none"/>
        </w:rPr>
        <w:t>.提供安全风险形势分析研判</w:t>
      </w:r>
      <w:r>
        <w:rPr>
          <w:rFonts w:hint="default" w:ascii="Times New Roman" w:hAnsi="Times New Roman" w:eastAsia="宋体" w:cs="Times New Roman"/>
          <w:b/>
          <w:bCs/>
          <w:color w:val="auto"/>
          <w:kern w:val="0"/>
          <w:sz w:val="24"/>
          <w:szCs w:val="24"/>
          <w:highlight w:val="none"/>
          <w:lang w:val="en-US" w:eastAsia="zh-CN"/>
        </w:rPr>
        <w:t>服务</w:t>
      </w:r>
    </w:p>
    <w:p w14:paraId="45C88DDB">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rPr>
        <w:t>结合检查发现的突出风险、线上监测预警信息、生产装置运行状态、同行业领域生产安全事故、季节性风险等，每季度开展1次园区安全风险形势分析研判，形成风险清单</w:t>
      </w:r>
      <w:r>
        <w:rPr>
          <w:rFonts w:hint="default" w:ascii="Times New Roman" w:hAnsi="Times New Roman" w:eastAsia="宋体" w:cs="Times New Roman"/>
          <w:bCs/>
          <w:color w:val="auto"/>
          <w:sz w:val="24"/>
          <w:szCs w:val="24"/>
          <w:highlight w:val="none"/>
          <w:lang w:val="en-US" w:eastAsia="zh-CN"/>
        </w:rPr>
        <w:t>及</w:t>
      </w:r>
      <w:r>
        <w:rPr>
          <w:rFonts w:hint="default" w:ascii="Times New Roman" w:hAnsi="Times New Roman" w:eastAsia="宋体" w:cs="Times New Roman"/>
          <w:bCs/>
          <w:color w:val="auto"/>
          <w:sz w:val="24"/>
          <w:szCs w:val="24"/>
          <w:highlight w:val="none"/>
        </w:rPr>
        <w:t>重点事项管控建议，为新区党工委、管委会和监管部门决策提供参考</w:t>
      </w:r>
      <w:r>
        <w:rPr>
          <w:rFonts w:hint="default" w:ascii="Times New Roman" w:hAnsi="Times New Roman" w:eastAsia="宋体" w:cs="Times New Roman"/>
          <w:bCs/>
          <w:color w:val="auto"/>
          <w:sz w:val="24"/>
          <w:szCs w:val="24"/>
          <w:highlight w:val="none"/>
          <w:lang w:eastAsia="zh-CN"/>
        </w:rPr>
        <w:t>。</w:t>
      </w:r>
    </w:p>
    <w:p w14:paraId="1C37519B">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每半年对检查发现的问题隐患</w:t>
      </w:r>
      <w:r>
        <w:rPr>
          <w:rFonts w:hint="default" w:ascii="Times New Roman" w:hAnsi="Times New Roman" w:eastAsia="宋体" w:cs="Times New Roman"/>
          <w:bCs/>
          <w:color w:val="auto"/>
          <w:sz w:val="24"/>
          <w:szCs w:val="24"/>
          <w:highlight w:val="none"/>
          <w:lang w:val="en-US" w:eastAsia="zh-CN"/>
        </w:rPr>
        <w:t>开展</w:t>
      </w:r>
      <w:r>
        <w:rPr>
          <w:rFonts w:hint="default" w:ascii="Times New Roman" w:hAnsi="Times New Roman" w:eastAsia="宋体" w:cs="Times New Roman"/>
          <w:bCs/>
          <w:color w:val="auto"/>
          <w:sz w:val="24"/>
          <w:szCs w:val="24"/>
          <w:highlight w:val="none"/>
        </w:rPr>
        <w:t>总结分析，形成危化品企业安全运行分析报告，梳理至少2项共性、突出问题，提出有针对性、可操作的整改提升建议。</w:t>
      </w:r>
    </w:p>
    <w:p w14:paraId="6725729E">
      <w:pPr>
        <w:keepNext w:val="0"/>
        <w:keepLines w:val="0"/>
        <w:pageBreakBefore w:val="0"/>
        <w:widowControl/>
        <w:kinsoku/>
        <w:wordWrap/>
        <w:overflowPunct/>
        <w:topLinePunct w:val="0"/>
        <w:bidi w:val="0"/>
        <w:adjustRightInd w:val="0"/>
        <w:snapToGrid w:val="0"/>
        <w:spacing w:line="560" w:lineRule="exact"/>
        <w:ind w:firstLine="482" w:firstLineChars="200"/>
        <w:textAlignment w:val="auto"/>
        <w:rPr>
          <w:rFonts w:hint="default" w:ascii="Times New Roman" w:hAnsi="Times New Roman" w:eastAsia="宋体" w:cs="Times New Roman"/>
          <w:b/>
          <w:bCs/>
          <w:color w:val="auto"/>
          <w:sz w:val="24"/>
          <w:szCs w:val="24"/>
          <w:highlight w:val="none"/>
          <w:lang w:val="zh-CN"/>
        </w:rPr>
      </w:pPr>
      <w:r>
        <w:rPr>
          <w:rFonts w:hint="default" w:ascii="Times New Roman" w:hAnsi="Times New Roman" w:eastAsia="宋体" w:cs="Times New Roman"/>
          <w:b/>
          <w:color w:val="auto"/>
          <w:sz w:val="24"/>
          <w:szCs w:val="24"/>
          <w:highlight w:val="none"/>
          <w:lang w:val="en-US" w:eastAsia="zh-CN"/>
        </w:rPr>
        <w:t>6</w:t>
      </w:r>
      <w:r>
        <w:rPr>
          <w:rFonts w:hint="default" w:ascii="Times New Roman" w:hAnsi="Times New Roman" w:eastAsia="宋体" w:cs="Times New Roman"/>
          <w:bCs/>
          <w:color w:val="auto"/>
          <w:sz w:val="24"/>
          <w:szCs w:val="24"/>
          <w:highlight w:val="none"/>
        </w:rPr>
        <w:t>.</w:t>
      </w:r>
      <w:r>
        <w:rPr>
          <w:rFonts w:hint="default" w:ascii="Times New Roman" w:hAnsi="Times New Roman" w:eastAsia="宋体" w:cs="Times New Roman"/>
          <w:b/>
          <w:bCs/>
          <w:color w:val="auto"/>
          <w:sz w:val="24"/>
          <w:szCs w:val="24"/>
          <w:highlight w:val="none"/>
          <w:lang w:val="zh-CN"/>
        </w:rPr>
        <w:t>指导开展应急演练和应急能力提升</w:t>
      </w:r>
    </w:p>
    <w:p w14:paraId="0D82F01B">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每年指导新区开展不少于1次</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双盲</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应急演练和其他综合性、专项性应急演练，重点检验企业先期处置、园区联动响应、专业救援协同、信息报送、应急资源调度和现场指挥能力。</w:t>
      </w:r>
      <w:r>
        <w:rPr>
          <w:rFonts w:hint="default" w:ascii="Times New Roman" w:hAnsi="Times New Roman" w:eastAsia="宋体" w:cs="Times New Roman"/>
          <w:bCs/>
          <w:color w:val="auto"/>
          <w:sz w:val="24"/>
          <w:szCs w:val="24"/>
          <w:highlight w:val="none"/>
          <w:lang w:eastAsia="zh-CN"/>
        </w:rPr>
        <w:t>参与</w:t>
      </w:r>
      <w:r>
        <w:rPr>
          <w:rFonts w:hint="default" w:ascii="Times New Roman" w:hAnsi="Times New Roman" w:eastAsia="宋体" w:cs="Times New Roman"/>
          <w:bCs/>
          <w:color w:val="auto"/>
          <w:sz w:val="24"/>
          <w:szCs w:val="24"/>
          <w:highlight w:val="none"/>
        </w:rPr>
        <w:t>危化品企业</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双盲</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应急演练的现场评估，指出存在问题，形成问题清单和改进建议，督促企业提升演练质量和实战能力。</w:t>
      </w:r>
    </w:p>
    <w:p w14:paraId="019A2132">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结合演练评估和实际应急处置情况，对新区综合应急预案、专项预案、企业预案衔接、应急队伍建设、物资装备保障、联动响应机制等提出优化建议。</w:t>
      </w:r>
    </w:p>
    <w:p w14:paraId="4FA2B3E3">
      <w:pPr>
        <w:pStyle w:val="298"/>
        <w:keepNext w:val="0"/>
        <w:keepLines w:val="0"/>
        <w:pageBreakBefore w:val="0"/>
        <w:kinsoku/>
        <w:wordWrap/>
        <w:overflowPunct/>
        <w:topLinePunct w:val="0"/>
        <w:bidi w:val="0"/>
        <w:adjustRightInd w:val="0"/>
        <w:snapToGrid w:val="0"/>
        <w:spacing w:line="560" w:lineRule="exact"/>
        <w:ind w:firstLine="480" w:firstLineChars="200"/>
        <w:jc w:val="both"/>
        <w:textAlignment w:val="auto"/>
        <w:rPr>
          <w:rFonts w:hint="eastAsia" w:ascii="Times New Roman" w:hAnsi="Times New Roman" w:eastAsia="宋体" w:cs="Times New Roman"/>
          <w:bCs/>
          <w:strike w:val="0"/>
          <w:dstrike w:val="0"/>
          <w:color w:val="auto"/>
          <w:sz w:val="24"/>
          <w:szCs w:val="24"/>
          <w:highlight w:val="none"/>
          <w:lang w:val="en-US" w:eastAsia="zh-CN"/>
        </w:rPr>
      </w:pPr>
      <w:r>
        <w:rPr>
          <w:rFonts w:hint="default" w:ascii="Times New Roman" w:hAnsi="Times New Roman" w:eastAsia="宋体" w:cs="Times New Roman"/>
          <w:bCs/>
          <w:strike w:val="0"/>
          <w:dstrike w:val="0"/>
          <w:color w:val="auto"/>
          <w:kern w:val="2"/>
          <w:sz w:val="24"/>
          <w:szCs w:val="24"/>
          <w:highlight w:val="none"/>
          <w:lang w:val="en-US" w:eastAsia="zh-CN"/>
        </w:rPr>
        <w:t>根据园区需要</w:t>
      </w:r>
      <w:r>
        <w:rPr>
          <w:rFonts w:hint="eastAsia" w:ascii="Times New Roman" w:hAnsi="Times New Roman" w:eastAsia="宋体" w:cs="Times New Roman"/>
          <w:bCs/>
          <w:strike w:val="0"/>
          <w:dstrike w:val="0"/>
          <w:color w:val="auto"/>
          <w:kern w:val="2"/>
          <w:sz w:val="24"/>
          <w:szCs w:val="24"/>
          <w:highlight w:val="none"/>
          <w:lang w:val="en-US" w:eastAsia="zh-CN"/>
        </w:rPr>
        <w:t>，</w:t>
      </w:r>
      <w:r>
        <w:rPr>
          <w:rFonts w:hint="default" w:ascii="Times New Roman" w:hAnsi="Times New Roman" w:eastAsia="宋体" w:cs="Times New Roman"/>
          <w:bCs/>
          <w:strike w:val="0"/>
          <w:dstrike w:val="0"/>
          <w:color w:val="auto"/>
          <w:kern w:val="2"/>
          <w:sz w:val="24"/>
          <w:szCs w:val="24"/>
          <w:highlight w:val="none"/>
          <w:lang w:val="en-US" w:eastAsia="zh-CN"/>
        </w:rPr>
        <w:t>每年组织应急救援方面专家开展园区应急物资和应急能力</w:t>
      </w:r>
      <w:r>
        <w:rPr>
          <w:rFonts w:hint="eastAsia" w:ascii="Times New Roman" w:hAnsi="Times New Roman" w:eastAsia="宋体" w:cs="Times New Roman"/>
          <w:bCs/>
          <w:strike w:val="0"/>
          <w:dstrike w:val="0"/>
          <w:color w:val="auto"/>
          <w:kern w:val="2"/>
          <w:sz w:val="24"/>
          <w:szCs w:val="24"/>
          <w:highlight w:val="none"/>
          <w:lang w:val="en-US" w:eastAsia="zh-CN"/>
        </w:rPr>
        <w:t>检查和</w:t>
      </w:r>
      <w:r>
        <w:rPr>
          <w:rFonts w:hint="default" w:ascii="Times New Roman" w:hAnsi="Times New Roman" w:eastAsia="宋体" w:cs="Times New Roman"/>
          <w:bCs/>
          <w:strike w:val="0"/>
          <w:dstrike w:val="0"/>
          <w:color w:val="auto"/>
          <w:kern w:val="2"/>
          <w:sz w:val="24"/>
          <w:szCs w:val="24"/>
          <w:highlight w:val="none"/>
          <w:lang w:val="en-US" w:eastAsia="zh-CN"/>
        </w:rPr>
        <w:t>评估。</w:t>
      </w:r>
    </w:p>
    <w:p w14:paraId="5FF44ACA">
      <w:pPr>
        <w:keepNext w:val="0"/>
        <w:keepLines w:val="0"/>
        <w:pageBreakBefore w:val="0"/>
        <w:widowControl/>
        <w:kinsoku/>
        <w:wordWrap/>
        <w:overflowPunct/>
        <w:topLinePunct w:val="0"/>
        <w:bidi w:val="0"/>
        <w:adjustRightInd w:val="0"/>
        <w:snapToGrid w:val="0"/>
        <w:spacing w:line="560" w:lineRule="exact"/>
        <w:ind w:firstLine="482" w:firstLineChars="200"/>
        <w:textAlignment w:val="auto"/>
        <w:rPr>
          <w:rFonts w:hint="default" w:ascii="Times New Roman" w:hAnsi="Times New Roman" w:eastAsia="宋体" w:cs="Times New Roman"/>
          <w:b/>
          <w:bCs/>
          <w:color w:val="auto"/>
          <w:sz w:val="24"/>
          <w:szCs w:val="24"/>
          <w:highlight w:val="none"/>
          <w:lang w:val="zh-CN"/>
        </w:rPr>
      </w:pPr>
      <w:r>
        <w:rPr>
          <w:rFonts w:hint="default" w:ascii="Times New Roman" w:hAnsi="Times New Roman" w:eastAsia="宋体" w:cs="Times New Roman"/>
          <w:b/>
          <w:bCs/>
          <w:color w:val="auto"/>
          <w:sz w:val="24"/>
          <w:szCs w:val="24"/>
          <w:highlight w:val="none"/>
          <w:lang w:val="en-US" w:eastAsia="zh-CN"/>
        </w:rPr>
        <w:t>7</w:t>
      </w:r>
      <w:r>
        <w:rPr>
          <w:rFonts w:hint="default" w:ascii="Times New Roman" w:hAnsi="Times New Roman" w:eastAsia="宋体" w:cs="Times New Roman"/>
          <w:b/>
          <w:bCs/>
          <w:color w:val="auto"/>
          <w:sz w:val="24"/>
          <w:szCs w:val="24"/>
          <w:highlight w:val="none"/>
          <w:lang w:val="zh-CN"/>
        </w:rPr>
        <w:t>.开展培训交流和本土化专家队伍培养</w:t>
      </w:r>
    </w:p>
    <w:p w14:paraId="4AED3367">
      <w:pPr>
        <w:pStyle w:val="298"/>
        <w:keepNext w:val="0"/>
        <w:keepLines w:val="0"/>
        <w:pageBreakBefore w:val="0"/>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color w:val="auto"/>
          <w:kern w:val="2"/>
          <w:sz w:val="24"/>
          <w:szCs w:val="24"/>
          <w:highlight w:val="none"/>
        </w:rPr>
      </w:pPr>
      <w:r>
        <w:rPr>
          <w:rFonts w:hint="default" w:ascii="Times New Roman" w:hAnsi="Times New Roman" w:eastAsia="宋体" w:cs="Times New Roman"/>
          <w:bCs/>
          <w:color w:val="auto"/>
          <w:kern w:val="2"/>
          <w:sz w:val="24"/>
          <w:szCs w:val="24"/>
          <w:highlight w:val="none"/>
        </w:rPr>
        <w:t>围绕新区监管需求和企业实际，针对监管人员和企业重点岗位人员，分层分类制定培训计划和培训大纲，围绕过程安全管理、特殊作业和承包商管理、异常工况处置、事故调查复盘、智慧化监管应用、新法律法规和标准规范解读等内容，每年组织不少于5次</w:t>
      </w:r>
      <w:r>
        <w:rPr>
          <w:rFonts w:hint="default" w:ascii="Times New Roman" w:hAnsi="Times New Roman" w:eastAsia="宋体" w:cs="Times New Roman"/>
          <w:bCs/>
          <w:color w:val="auto"/>
          <w:kern w:val="2"/>
          <w:sz w:val="24"/>
          <w:szCs w:val="24"/>
          <w:highlight w:val="none"/>
          <w:lang w:val="en-US" w:eastAsia="zh-CN"/>
        </w:rPr>
        <w:t>综合</w:t>
      </w:r>
      <w:r>
        <w:rPr>
          <w:rFonts w:hint="default" w:ascii="Times New Roman" w:hAnsi="Times New Roman" w:eastAsia="宋体" w:cs="Times New Roman"/>
          <w:bCs/>
          <w:color w:val="auto"/>
          <w:kern w:val="2"/>
          <w:sz w:val="24"/>
          <w:szCs w:val="24"/>
          <w:highlight w:val="none"/>
        </w:rPr>
        <w:t>培训</w:t>
      </w:r>
      <w:r>
        <w:rPr>
          <w:rFonts w:hint="default" w:ascii="Times New Roman" w:hAnsi="Times New Roman" w:eastAsia="宋体" w:cs="Times New Roman"/>
          <w:bCs/>
          <w:color w:val="auto"/>
          <w:kern w:val="2"/>
          <w:sz w:val="24"/>
          <w:szCs w:val="24"/>
          <w:highlight w:val="none"/>
          <w:lang w:eastAsia="zh-CN"/>
        </w:rPr>
        <w:t>；</w:t>
      </w:r>
      <w:r>
        <w:rPr>
          <w:rFonts w:hint="default" w:ascii="Times New Roman" w:hAnsi="Times New Roman" w:eastAsia="宋体" w:cs="Times New Roman"/>
          <w:bCs/>
          <w:color w:val="auto"/>
          <w:kern w:val="2"/>
          <w:sz w:val="24"/>
          <w:szCs w:val="24"/>
          <w:highlight w:val="none"/>
          <w:lang w:val="en-US" w:eastAsia="zh-CN"/>
        </w:rPr>
        <w:t>每家企业至少开展1次差异化培训</w:t>
      </w:r>
      <w:r>
        <w:rPr>
          <w:rFonts w:hint="default" w:ascii="Times New Roman" w:hAnsi="Times New Roman" w:eastAsia="宋体" w:cs="Times New Roman"/>
          <w:bCs/>
          <w:color w:val="auto"/>
          <w:kern w:val="2"/>
          <w:sz w:val="24"/>
          <w:szCs w:val="24"/>
          <w:highlight w:val="none"/>
        </w:rPr>
        <w:t>。</w:t>
      </w:r>
    </w:p>
    <w:p w14:paraId="658A86A5">
      <w:pPr>
        <w:pStyle w:val="298"/>
        <w:keepNext w:val="0"/>
        <w:keepLines w:val="0"/>
        <w:pageBreakBefore w:val="0"/>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strike w:val="0"/>
          <w:dstrike w:val="0"/>
          <w:color w:val="auto"/>
          <w:kern w:val="2"/>
          <w:sz w:val="24"/>
          <w:szCs w:val="24"/>
          <w:highlight w:val="none"/>
          <w:lang w:val="en-US" w:eastAsia="zh-CN"/>
        </w:rPr>
      </w:pPr>
      <w:r>
        <w:rPr>
          <w:rFonts w:hint="default" w:ascii="Times New Roman" w:hAnsi="Times New Roman" w:eastAsia="宋体" w:cs="Times New Roman"/>
          <w:bCs/>
          <w:strike w:val="0"/>
          <w:dstrike w:val="0"/>
          <w:color w:val="auto"/>
          <w:kern w:val="2"/>
          <w:sz w:val="24"/>
          <w:szCs w:val="24"/>
          <w:highlight w:val="none"/>
          <w:lang w:val="en-US" w:eastAsia="zh-CN"/>
        </w:rPr>
        <w:t>建立“带教式”培养机制，通过联合检查、案例复盘、专题研讨、驻点跟学等方式，帮助企业培养一批熟悉工艺、设备、仪表和安全管理要求的本土化专家骨干，持续提升企业安全管理能力。</w:t>
      </w:r>
    </w:p>
    <w:p w14:paraId="5EBFD98D">
      <w:pPr>
        <w:pStyle w:val="298"/>
        <w:keepNext w:val="0"/>
        <w:keepLines w:val="0"/>
        <w:pageBreakBefore w:val="0"/>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strike w:val="0"/>
          <w:dstrike w:val="0"/>
          <w:color w:val="auto"/>
          <w:kern w:val="2"/>
          <w:sz w:val="24"/>
          <w:szCs w:val="24"/>
          <w:highlight w:val="none"/>
          <w:lang w:val="en-US" w:eastAsia="zh-CN"/>
        </w:rPr>
      </w:pPr>
      <w:r>
        <w:rPr>
          <w:rFonts w:hint="default" w:ascii="Times New Roman" w:hAnsi="Times New Roman" w:eastAsia="宋体" w:cs="Times New Roman"/>
          <w:bCs/>
          <w:strike w:val="0"/>
          <w:dstrike w:val="0"/>
          <w:color w:val="auto"/>
          <w:kern w:val="2"/>
          <w:sz w:val="24"/>
          <w:szCs w:val="24"/>
          <w:highlight w:val="none"/>
          <w:lang w:val="en-US" w:eastAsia="zh-CN"/>
        </w:rPr>
        <w:t>每半年收集汇编国内先进化工园区和标杆企业在过程安全管理、风险防控、数字化监管、应急管理等方面的典型经验做法，形成专题资料，供新区学习借鉴。根据需要，组织监管人员和有关企业赴国内先进园区、标杆企业开展对标交流学习。</w:t>
      </w:r>
    </w:p>
    <w:p w14:paraId="65CD2072">
      <w:pPr>
        <w:pStyle w:val="298"/>
        <w:keepNext w:val="0"/>
        <w:keepLines w:val="0"/>
        <w:pageBreakBefore w:val="0"/>
        <w:kinsoku/>
        <w:wordWrap/>
        <w:overflowPunct/>
        <w:topLinePunct w:val="0"/>
        <w:bidi w:val="0"/>
        <w:adjustRightInd w:val="0"/>
        <w:snapToGrid w:val="0"/>
        <w:spacing w:line="560" w:lineRule="exact"/>
        <w:ind w:firstLine="480" w:firstLineChars="200"/>
        <w:jc w:val="both"/>
        <w:textAlignment w:val="auto"/>
        <w:rPr>
          <w:rFonts w:hint="default" w:ascii="Times New Roman" w:hAnsi="Times New Roman" w:eastAsia="宋体" w:cs="Times New Roman"/>
          <w:bCs/>
          <w:strike w:val="0"/>
          <w:dstrike w:val="0"/>
          <w:color w:val="auto"/>
          <w:kern w:val="2"/>
          <w:sz w:val="24"/>
          <w:szCs w:val="24"/>
          <w:highlight w:val="none"/>
          <w:lang w:val="en-US" w:eastAsia="zh-CN"/>
        </w:rPr>
      </w:pPr>
      <w:r>
        <w:rPr>
          <w:rFonts w:hint="default" w:ascii="Times New Roman" w:hAnsi="Times New Roman" w:eastAsia="宋体" w:cs="Times New Roman"/>
          <w:bCs/>
          <w:strike w:val="0"/>
          <w:dstrike w:val="0"/>
          <w:color w:val="auto"/>
          <w:kern w:val="2"/>
          <w:sz w:val="24"/>
          <w:szCs w:val="24"/>
          <w:highlight w:val="none"/>
          <w:lang w:val="en-US" w:eastAsia="zh-CN"/>
        </w:rPr>
        <w:t>深化监管人员传帮带培养，提升监管人员</w:t>
      </w:r>
      <w:r>
        <w:rPr>
          <w:rFonts w:hint="eastAsia" w:ascii="Times New Roman" w:hAnsi="Times New Roman" w:eastAsia="宋体" w:cs="Times New Roman"/>
          <w:bCs/>
          <w:strike w:val="0"/>
          <w:dstrike w:val="0"/>
          <w:color w:val="auto"/>
          <w:kern w:val="2"/>
          <w:sz w:val="24"/>
          <w:szCs w:val="24"/>
          <w:highlight w:val="none"/>
          <w:lang w:val="en-US" w:eastAsia="zh-CN"/>
        </w:rPr>
        <w:t>安全监管</w:t>
      </w:r>
      <w:r>
        <w:rPr>
          <w:rFonts w:hint="default" w:ascii="Times New Roman" w:hAnsi="Times New Roman" w:eastAsia="宋体" w:cs="Times New Roman"/>
          <w:bCs/>
          <w:strike w:val="0"/>
          <w:dstrike w:val="0"/>
          <w:color w:val="auto"/>
          <w:kern w:val="2"/>
          <w:sz w:val="24"/>
          <w:szCs w:val="24"/>
          <w:highlight w:val="none"/>
          <w:lang w:val="en-US" w:eastAsia="zh-CN"/>
        </w:rPr>
        <w:t>专业履职水平。</w:t>
      </w:r>
    </w:p>
    <w:p w14:paraId="474B087E">
      <w:pPr>
        <w:keepNext w:val="0"/>
        <w:keepLines w:val="0"/>
        <w:pageBreakBefore w:val="0"/>
        <w:widowControl/>
        <w:kinsoku/>
        <w:wordWrap/>
        <w:overflowPunct/>
        <w:topLinePunct w:val="0"/>
        <w:bidi w:val="0"/>
        <w:adjustRightInd w:val="0"/>
        <w:snapToGrid w:val="0"/>
        <w:spacing w:line="560" w:lineRule="exact"/>
        <w:ind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8</w:t>
      </w:r>
      <w:r>
        <w:rPr>
          <w:rFonts w:hint="default" w:ascii="Times New Roman" w:hAnsi="Times New Roman" w:eastAsia="宋体" w:cs="Times New Roman"/>
          <w:b/>
          <w:bCs/>
          <w:color w:val="auto"/>
          <w:sz w:val="24"/>
          <w:szCs w:val="24"/>
          <w:highlight w:val="none"/>
        </w:rPr>
        <w:t>.协助开展日常值守和重点时段值班值守</w:t>
      </w:r>
    </w:p>
    <w:p w14:paraId="24B58E4E">
      <w:pPr>
        <w:keepNext w:val="0"/>
        <w:keepLines w:val="0"/>
        <w:pageBreakBefore w:val="0"/>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应</w:t>
      </w:r>
      <w:r>
        <w:rPr>
          <w:rFonts w:hint="default" w:ascii="Times New Roman" w:hAnsi="Times New Roman" w:eastAsia="宋体" w:cs="Times New Roman"/>
          <w:bCs/>
          <w:color w:val="auto"/>
          <w:sz w:val="24"/>
          <w:szCs w:val="24"/>
          <w:highlight w:val="none"/>
        </w:rPr>
        <w:t>安排不少于</w:t>
      </w:r>
      <w:r>
        <w:rPr>
          <w:rFonts w:hint="default" w:ascii="Times New Roman" w:hAnsi="Times New Roman" w:eastAsia="宋体" w:cs="Times New Roman"/>
          <w:bCs/>
          <w:color w:val="auto"/>
          <w:sz w:val="24"/>
          <w:szCs w:val="24"/>
          <w:highlight w:val="none"/>
          <w:lang w:val="en-US" w:eastAsia="zh-CN"/>
        </w:rPr>
        <w:t>2名</w:t>
      </w:r>
      <w:r>
        <w:rPr>
          <w:rFonts w:hint="default" w:ascii="Times New Roman" w:hAnsi="Times New Roman" w:eastAsia="宋体" w:cs="Times New Roman"/>
          <w:bCs/>
          <w:color w:val="auto"/>
          <w:sz w:val="24"/>
          <w:szCs w:val="24"/>
          <w:highlight w:val="none"/>
        </w:rPr>
        <w:t>专业技术人员在岗值班值守</w:t>
      </w:r>
      <w:r>
        <w:rPr>
          <w:rFonts w:hint="default"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lang w:val="en-US" w:eastAsia="zh-CN"/>
        </w:rPr>
        <w:t>参与园区</w:t>
      </w:r>
      <w:r>
        <w:rPr>
          <w:rFonts w:hint="default" w:ascii="Times New Roman" w:hAnsi="Times New Roman" w:eastAsia="宋体" w:cs="Times New Roman"/>
          <w:bCs/>
          <w:color w:val="auto"/>
          <w:sz w:val="24"/>
          <w:szCs w:val="24"/>
          <w:highlight w:val="none"/>
        </w:rPr>
        <w:t>每日安全运行信息研判、重点风险提醒、突发情况会商和现场技术支撑。</w:t>
      </w:r>
    </w:p>
    <w:p w14:paraId="3A91E778">
      <w:pPr>
        <w:keepNext w:val="0"/>
        <w:keepLines w:val="0"/>
        <w:pageBreakBefore w:val="0"/>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在法定节假日、恶劣天气、重大活动、装置集中检维修等重点时段，</w:t>
      </w:r>
      <w:r>
        <w:rPr>
          <w:rFonts w:hint="default" w:ascii="Times New Roman" w:hAnsi="Times New Roman" w:eastAsia="宋体" w:cs="Times New Roman"/>
          <w:bCs/>
          <w:color w:val="auto"/>
          <w:sz w:val="24"/>
          <w:szCs w:val="24"/>
          <w:highlight w:val="none"/>
          <w:lang w:val="en-US" w:eastAsia="zh-CN"/>
        </w:rPr>
        <w:t>配合招标人</w:t>
      </w:r>
      <w:r>
        <w:rPr>
          <w:rFonts w:hint="default" w:ascii="Times New Roman" w:hAnsi="Times New Roman" w:eastAsia="宋体" w:cs="Times New Roman"/>
          <w:bCs/>
          <w:color w:val="auto"/>
          <w:sz w:val="24"/>
          <w:szCs w:val="24"/>
          <w:highlight w:val="none"/>
        </w:rPr>
        <w:t>安排专家在岗值守或备勤，协助新区开展重点时段安全巡查，做好突发事件应急处置准备。</w:t>
      </w:r>
    </w:p>
    <w:p w14:paraId="0CEDAC13">
      <w:pPr>
        <w:keepNext w:val="0"/>
        <w:keepLines w:val="0"/>
        <w:pageBreakBefore w:val="0"/>
        <w:kinsoku/>
        <w:wordWrap/>
        <w:overflowPunct/>
        <w:topLinePunct w:val="0"/>
        <w:bidi w:val="0"/>
        <w:adjustRightInd w:val="0"/>
        <w:snapToGrid w:val="0"/>
        <w:spacing w:line="560" w:lineRule="exact"/>
        <w:ind w:firstLine="482" w:firstLineChars="200"/>
        <w:textAlignment w:val="auto"/>
        <w:outlineLvl w:val="0"/>
        <w:rPr>
          <w:rFonts w:hint="default" w:ascii="Times New Roman" w:hAnsi="Times New Roman" w:eastAsia="宋体" w:cs="Times New Roman"/>
          <w:b/>
          <w:bCs w:val="0"/>
          <w:color w:val="auto"/>
          <w:sz w:val="24"/>
          <w:szCs w:val="24"/>
          <w:highlight w:val="none"/>
          <w:lang w:val="en-US" w:eastAsia="zh-CN"/>
        </w:rPr>
      </w:pPr>
      <w:r>
        <w:rPr>
          <w:rFonts w:hint="default" w:ascii="Times New Roman" w:hAnsi="Times New Roman" w:eastAsia="宋体" w:cs="Times New Roman"/>
          <w:b/>
          <w:bCs w:val="0"/>
          <w:color w:val="auto"/>
          <w:sz w:val="24"/>
          <w:szCs w:val="24"/>
          <w:highlight w:val="none"/>
          <w:lang w:val="en-US" w:eastAsia="zh-CN"/>
        </w:rPr>
        <w:t>9.开展园区层面安全治理机制研究和综合支撑</w:t>
      </w:r>
    </w:p>
    <w:p w14:paraId="6754EC63">
      <w:pPr>
        <w:keepNext w:val="0"/>
        <w:keepLines w:val="0"/>
        <w:pageBreakBefore w:val="0"/>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围绕园区安全治理需要，立足新区管理实际和跨部门协同需求，聚焦园区层面具有共性、反复性、牵引性的安全管理事项，协助开展专题研究、机制评估和制度优化，提出可操作的工作建议，服务新区完善园区整体安全治理体系。</w:t>
      </w:r>
    </w:p>
    <w:p w14:paraId="3BE1A1D0">
      <w:pPr>
        <w:keepNext w:val="0"/>
        <w:keepLines w:val="0"/>
        <w:pageBreakBefore w:val="0"/>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结合项目实施情况，围绕过程安全管理、项目准入把关、智慧化监管、“三警”机制落实、重点领域专项治理等工作，及时总结提炼成熟做法，形成专题报告、制度建议、典型案例、工作指引等成果，为新区推动形成可复制、可推广的机制性经验做法提供技术支撑。</w:t>
      </w:r>
    </w:p>
    <w:p w14:paraId="1E9B0E2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9"/>
        <w:rPr>
          <w:rFonts w:hint="default" w:ascii="Times New Roman" w:hAnsi="Times New Roman" w:eastAsia="宋体" w:cs="Times New Roman"/>
          <w:bCs/>
          <w:color w:val="auto"/>
          <w:kern w:val="2"/>
          <w:sz w:val="24"/>
          <w:szCs w:val="24"/>
          <w:highlight w:val="none"/>
          <w:lang w:val="en-US" w:eastAsia="zh-CN" w:bidi="ar-SA"/>
        </w:rPr>
      </w:pPr>
      <w:r>
        <w:rPr>
          <w:rFonts w:hint="eastAsia" w:ascii="Times New Roman" w:hAnsi="Times New Roman" w:eastAsia="宋体" w:cs="Times New Roman"/>
          <w:bCs/>
          <w:color w:val="auto"/>
          <w:kern w:val="2"/>
          <w:sz w:val="24"/>
          <w:szCs w:val="24"/>
          <w:highlight w:val="none"/>
          <w:lang w:val="en-US" w:eastAsia="zh-CN" w:bidi="ar-SA"/>
        </w:rPr>
        <w:t>组织不少于</w:t>
      </w:r>
      <w:r>
        <w:rPr>
          <w:rFonts w:hint="default" w:ascii="Times New Roman" w:hAnsi="Times New Roman" w:eastAsia="宋体" w:cs="Times New Roman"/>
          <w:bCs/>
          <w:color w:val="auto"/>
          <w:kern w:val="2"/>
          <w:sz w:val="24"/>
          <w:szCs w:val="24"/>
          <w:highlight w:val="none"/>
          <w:lang w:val="en-US" w:eastAsia="zh-CN" w:bidi="ar-SA"/>
        </w:rPr>
        <w:t>5名</w:t>
      </w:r>
      <w:r>
        <w:rPr>
          <w:rFonts w:hint="eastAsia" w:ascii="Times New Roman" w:hAnsi="Times New Roman" w:eastAsia="宋体" w:cs="Times New Roman"/>
          <w:bCs/>
          <w:color w:val="auto"/>
          <w:kern w:val="2"/>
          <w:sz w:val="24"/>
          <w:szCs w:val="24"/>
          <w:highlight w:val="none"/>
          <w:lang w:val="en-US" w:eastAsia="zh-CN" w:bidi="ar-SA"/>
        </w:rPr>
        <w:t>专家，每年对新区石化产业基地开展风险等级评估，专家应参加过省级及以上化工园区评估。</w:t>
      </w:r>
    </w:p>
    <w:p w14:paraId="2873A74B">
      <w:pPr>
        <w:keepNext w:val="0"/>
        <w:keepLines w:val="0"/>
        <w:pageBreakBefore w:val="0"/>
        <w:kinsoku/>
        <w:wordWrap/>
        <w:overflowPunct/>
        <w:topLinePunct w:val="0"/>
        <w:bidi w:val="0"/>
        <w:adjustRightInd w:val="0"/>
        <w:snapToGrid w:val="0"/>
        <w:spacing w:line="560" w:lineRule="exact"/>
        <w:ind w:firstLine="482" w:firstLineChars="200"/>
        <w:textAlignment w:val="auto"/>
        <w:outlineLvl w:val="0"/>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lang w:val="en-US" w:eastAsia="zh-CN"/>
        </w:rPr>
        <w:t>1</w:t>
      </w:r>
      <w:r>
        <w:rPr>
          <w:rFonts w:hint="eastAsia" w:ascii="Times New Roman" w:hAnsi="Times New Roman" w:eastAsia="宋体" w:cs="Times New Roman"/>
          <w:b/>
          <w:bCs/>
          <w:color w:val="auto"/>
          <w:kern w:val="0"/>
          <w:sz w:val="24"/>
          <w:szCs w:val="24"/>
          <w:highlight w:val="none"/>
          <w:lang w:val="en-US" w:eastAsia="zh-CN"/>
        </w:rPr>
        <w:t>0</w:t>
      </w:r>
      <w:r>
        <w:rPr>
          <w:rFonts w:hint="default" w:ascii="Times New Roman" w:hAnsi="Times New Roman" w:eastAsia="宋体" w:cs="Times New Roman"/>
          <w:b/>
          <w:bCs/>
          <w:color w:val="auto"/>
          <w:kern w:val="0"/>
          <w:sz w:val="24"/>
          <w:szCs w:val="24"/>
          <w:highlight w:val="none"/>
        </w:rPr>
        <w:t>.</w:t>
      </w:r>
      <w:r>
        <w:rPr>
          <w:rFonts w:hint="default" w:ascii="Times New Roman" w:hAnsi="Times New Roman" w:eastAsia="宋体" w:cs="Times New Roman"/>
          <w:b/>
          <w:bCs/>
          <w:color w:val="auto"/>
          <w:kern w:val="0"/>
          <w:sz w:val="24"/>
          <w:szCs w:val="24"/>
          <w:highlight w:val="none"/>
          <w:lang w:val="en-US" w:eastAsia="zh-CN"/>
        </w:rPr>
        <w:t>完成新区</w:t>
      </w:r>
      <w:r>
        <w:rPr>
          <w:rFonts w:hint="default" w:ascii="Times New Roman" w:hAnsi="Times New Roman" w:eastAsia="宋体" w:cs="Times New Roman"/>
          <w:b/>
          <w:bCs/>
          <w:color w:val="auto"/>
          <w:kern w:val="0"/>
          <w:sz w:val="24"/>
          <w:szCs w:val="24"/>
          <w:highlight w:val="none"/>
        </w:rPr>
        <w:t>交办的其他事项</w:t>
      </w:r>
    </w:p>
    <w:p w14:paraId="6E68C6D0">
      <w:pPr>
        <w:keepNext w:val="0"/>
        <w:keepLines w:val="0"/>
        <w:pageBreakBefore w:val="0"/>
        <w:kinsoku/>
        <w:wordWrap/>
        <w:overflowPunct/>
        <w:topLinePunct w:val="0"/>
        <w:bidi w:val="0"/>
        <w:adjustRightInd w:val="0"/>
        <w:snapToGrid w:val="0"/>
        <w:spacing w:line="560" w:lineRule="exact"/>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根据新区党工委、管委会和应急管理部门工作需要，参与安委会、专题会议、应急管理系统例会等相关会议，参加安全生产月等活动，参与突发应急事件应急处置和生产安全事故调查，完成新区交办的其他安全生产相关工作事项</w:t>
      </w:r>
      <w:r>
        <w:rPr>
          <w:rFonts w:hint="default" w:ascii="Times New Roman" w:hAnsi="Times New Roman" w:eastAsia="宋体" w:cs="Times New Roman"/>
          <w:bCs/>
          <w:color w:val="auto"/>
          <w:sz w:val="24"/>
          <w:szCs w:val="24"/>
          <w:highlight w:val="none"/>
        </w:rPr>
        <w:t>。</w:t>
      </w:r>
    </w:p>
    <w:p w14:paraId="6FB59D8E">
      <w:pPr>
        <w:keepNext w:val="0"/>
        <w:keepLines w:val="0"/>
        <w:pageBreakBefore w:val="0"/>
        <w:numPr>
          <w:ilvl w:val="0"/>
          <w:numId w:val="0"/>
        </w:numPr>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黑体" w:cs="Times New Roman"/>
          <w:bCs/>
          <w:color w:val="auto"/>
          <w:kern w:val="2"/>
          <w:sz w:val="24"/>
          <w:szCs w:val="24"/>
          <w:highlight w:val="none"/>
          <w:lang w:val="en-US" w:eastAsia="zh-CN" w:bidi="ar-SA"/>
        </w:rPr>
      </w:pPr>
      <w:r>
        <w:rPr>
          <w:rFonts w:hint="eastAsia" w:ascii="Times New Roman" w:hAnsi="Times New Roman" w:eastAsia="黑体" w:cs="Times New Roman"/>
          <w:bCs/>
          <w:color w:val="auto"/>
          <w:kern w:val="2"/>
          <w:sz w:val="24"/>
          <w:szCs w:val="24"/>
          <w:highlight w:val="none"/>
          <w:lang w:val="en-US" w:eastAsia="zh-CN" w:bidi="ar-SA"/>
        </w:rPr>
        <w:t>三</w:t>
      </w:r>
      <w:r>
        <w:rPr>
          <w:rFonts w:hint="default" w:ascii="Times New Roman" w:hAnsi="Times New Roman" w:eastAsia="黑体" w:cs="Times New Roman"/>
          <w:bCs/>
          <w:color w:val="auto"/>
          <w:kern w:val="2"/>
          <w:sz w:val="24"/>
          <w:szCs w:val="24"/>
          <w:highlight w:val="none"/>
          <w:lang w:val="en-US" w:eastAsia="zh-CN" w:bidi="ar-SA"/>
        </w:rPr>
        <w:t>、项目考核推进机制</w:t>
      </w:r>
    </w:p>
    <w:p w14:paraId="42ABDE5B">
      <w:pPr>
        <w:keepNext w:val="0"/>
        <w:keepLines w:val="0"/>
        <w:pageBreakBefore w:val="0"/>
        <w:kinsoku/>
        <w:wordWrap/>
        <w:overflowPunct/>
        <w:topLinePunct w:val="0"/>
        <w:bidi w:val="0"/>
        <w:adjustRightInd w:val="0"/>
        <w:snapToGrid w:val="0"/>
        <w:spacing w:line="560" w:lineRule="exact"/>
        <w:ind w:firstLine="482" w:firstLineChars="200"/>
        <w:textAlignment w:val="auto"/>
        <w:outlineLvl w:val="0"/>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1.专家团队能力审核</w:t>
      </w:r>
    </w:p>
    <w:p w14:paraId="26317005">
      <w:pPr>
        <w:keepNext w:val="0"/>
        <w:keepLines w:val="0"/>
        <w:pageBreakBefore w:val="0"/>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Cs/>
          <w:color w:val="auto"/>
          <w:sz w:val="24"/>
          <w:szCs w:val="24"/>
          <w:highlight w:val="none"/>
        </w:rPr>
        <w:t>拟派驻专家应通过新区应急管理部门组织的审核后方可上岗。新区应急管理部门有权根据项目推进情况、服务成效和履职表现，对专家团队进行动态考核，并要求对不适岗、不胜任或不能满足工作需要的专家及时进行调整更换。</w:t>
      </w:r>
    </w:p>
    <w:p w14:paraId="3522A265">
      <w:pPr>
        <w:keepNext w:val="0"/>
        <w:keepLines w:val="0"/>
        <w:pageBreakBefore w:val="0"/>
        <w:kinsoku/>
        <w:wordWrap/>
        <w:overflowPunct/>
        <w:topLinePunct w:val="0"/>
        <w:bidi w:val="0"/>
        <w:adjustRightInd w:val="0"/>
        <w:snapToGrid w:val="0"/>
        <w:spacing w:line="560" w:lineRule="exact"/>
        <w:ind w:firstLine="482" w:firstLineChars="200"/>
        <w:textAlignment w:val="auto"/>
        <w:outlineLvl w:val="0"/>
        <w:rPr>
          <w:rFonts w:hint="default" w:ascii="Times New Roman" w:hAnsi="Times New Roman" w:eastAsia="宋体" w:cs="Times New Roman"/>
          <w:b/>
          <w:bCs/>
          <w:color w:val="auto"/>
          <w:kern w:val="0"/>
          <w:sz w:val="24"/>
          <w:szCs w:val="24"/>
          <w:highlight w:val="none"/>
          <w:lang w:val="en-US" w:eastAsia="zh-CN"/>
        </w:rPr>
      </w:pPr>
      <w:r>
        <w:rPr>
          <w:rFonts w:hint="default" w:ascii="Times New Roman" w:hAnsi="Times New Roman" w:eastAsia="宋体" w:cs="Times New Roman"/>
          <w:b/>
          <w:bCs/>
          <w:color w:val="auto"/>
          <w:kern w:val="0"/>
          <w:sz w:val="24"/>
          <w:szCs w:val="24"/>
          <w:highlight w:val="none"/>
        </w:rPr>
        <w:t>2.工作过程跟踪</w:t>
      </w:r>
      <w:r>
        <w:rPr>
          <w:rFonts w:hint="default" w:ascii="Times New Roman" w:hAnsi="Times New Roman" w:eastAsia="宋体" w:cs="Times New Roman"/>
          <w:b/>
          <w:bCs/>
          <w:color w:val="auto"/>
          <w:kern w:val="0"/>
          <w:sz w:val="24"/>
          <w:szCs w:val="24"/>
          <w:highlight w:val="none"/>
          <w:lang w:val="en-US" w:eastAsia="zh-CN"/>
        </w:rPr>
        <w:t>和成果报送</w:t>
      </w:r>
    </w:p>
    <w:p w14:paraId="7DB9B1FB">
      <w:pPr>
        <w:keepNext w:val="0"/>
        <w:keepLines w:val="0"/>
        <w:pageBreakBefore w:val="0"/>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应建立规范的项目运行管理机制，按月报送工作开展情况、重点工作进展、问题清单、整改跟踪、风险提示和下步工作安排等书面材料，并根据新区要求及时开展专题汇报。</w:t>
      </w:r>
    </w:p>
    <w:p w14:paraId="3B5E71CD">
      <w:pPr>
        <w:keepNext w:val="0"/>
        <w:keepLines w:val="0"/>
        <w:pageBreakBefore w:val="0"/>
        <w:kinsoku/>
        <w:wordWrap/>
        <w:overflowPunct/>
        <w:topLinePunct w:val="0"/>
        <w:bidi w:val="0"/>
        <w:adjustRightInd w:val="0"/>
        <w:snapToGrid w:val="0"/>
        <w:spacing w:line="560" w:lineRule="exact"/>
        <w:ind w:firstLine="482" w:firstLineChars="200"/>
        <w:textAlignment w:val="auto"/>
        <w:outlineLvl w:val="0"/>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b/>
          <w:bCs/>
          <w:color w:val="auto"/>
          <w:kern w:val="0"/>
          <w:sz w:val="24"/>
          <w:szCs w:val="24"/>
          <w:highlight w:val="none"/>
        </w:rPr>
        <w:t>3.项目履约评估</w:t>
      </w:r>
    </w:p>
    <w:p w14:paraId="64D31956">
      <w:pPr>
        <w:keepNext w:val="0"/>
        <w:keepLines w:val="0"/>
        <w:pageBreakBefore w:val="0"/>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新区可结合实际情况组织开展项目年度评估和</w:t>
      </w:r>
      <w:r>
        <w:rPr>
          <w:rFonts w:hint="default" w:ascii="Times New Roman" w:hAnsi="Times New Roman" w:eastAsia="宋体" w:cs="Times New Roman"/>
          <w:bCs/>
          <w:color w:val="auto"/>
          <w:sz w:val="24"/>
          <w:szCs w:val="24"/>
          <w:highlight w:val="none"/>
          <w:lang w:val="en-US" w:eastAsia="zh-CN"/>
        </w:rPr>
        <w:t>终期</w:t>
      </w:r>
      <w:r>
        <w:rPr>
          <w:rFonts w:hint="default" w:ascii="Times New Roman" w:hAnsi="Times New Roman" w:eastAsia="宋体" w:cs="Times New Roman"/>
          <w:bCs/>
          <w:color w:val="auto"/>
          <w:sz w:val="24"/>
          <w:szCs w:val="24"/>
          <w:highlight w:val="none"/>
        </w:rPr>
        <w:t>评估，通过资料审查、现场核查、企业走访、服务对象评价等方式，对项目履约情况、工作质量、服务成效、专家履职情况等进行综合评估。对履约不力、成效不明显、考核不合格的，可按照合同约定采取约谈、整改、扣减费用、终止合同等措施。</w:t>
      </w:r>
    </w:p>
    <w:p w14:paraId="36D08F0E">
      <w:pPr>
        <w:keepNext w:val="0"/>
        <w:keepLines w:val="0"/>
        <w:pageBreakBefore w:val="0"/>
        <w:kinsoku/>
        <w:wordWrap/>
        <w:overflowPunct/>
        <w:topLinePunct w:val="0"/>
        <w:bidi w:val="0"/>
        <w:adjustRightInd w:val="0"/>
        <w:snapToGrid w:val="0"/>
        <w:spacing w:line="560" w:lineRule="exact"/>
        <w:ind w:firstLine="482" w:firstLineChars="200"/>
        <w:textAlignment w:val="auto"/>
        <w:outlineLvl w:val="0"/>
        <w:rPr>
          <w:rFonts w:hint="default" w:ascii="Times New Roman" w:hAnsi="Times New Roman" w:eastAsia="宋体" w:cs="Times New Roman"/>
          <w:b/>
          <w:bCs/>
          <w:strike w:val="0"/>
          <w:dstrike w:val="0"/>
          <w:color w:val="auto"/>
          <w:kern w:val="0"/>
          <w:sz w:val="24"/>
          <w:szCs w:val="24"/>
          <w:highlight w:val="none"/>
        </w:rPr>
      </w:pPr>
      <w:r>
        <w:rPr>
          <w:rFonts w:hint="default" w:ascii="Times New Roman" w:hAnsi="Times New Roman" w:eastAsia="宋体" w:cs="Times New Roman"/>
          <w:b/>
          <w:bCs/>
          <w:strike w:val="0"/>
          <w:dstrike w:val="0"/>
          <w:color w:val="auto"/>
          <w:kern w:val="0"/>
          <w:sz w:val="24"/>
          <w:szCs w:val="24"/>
          <w:highlight w:val="none"/>
        </w:rPr>
        <w:t>4.</w:t>
      </w:r>
      <w:r>
        <w:rPr>
          <w:rFonts w:hint="eastAsia" w:ascii="Times New Roman" w:hAnsi="Times New Roman" w:eastAsia="宋体" w:cs="Times New Roman"/>
          <w:b/>
          <w:bCs/>
          <w:strike w:val="0"/>
          <w:dstrike w:val="0"/>
          <w:color w:val="auto"/>
          <w:kern w:val="0"/>
          <w:sz w:val="24"/>
          <w:szCs w:val="24"/>
          <w:highlight w:val="none"/>
          <w:lang w:val="en-US" w:eastAsia="zh-CN"/>
        </w:rPr>
        <w:t>服务质量履约</w:t>
      </w:r>
      <w:r>
        <w:rPr>
          <w:rFonts w:hint="default" w:ascii="Times New Roman" w:hAnsi="Times New Roman" w:eastAsia="宋体" w:cs="Times New Roman"/>
          <w:b/>
          <w:bCs/>
          <w:strike w:val="0"/>
          <w:dstrike w:val="0"/>
          <w:color w:val="auto"/>
          <w:kern w:val="0"/>
          <w:sz w:val="24"/>
          <w:szCs w:val="24"/>
          <w:highlight w:val="none"/>
        </w:rPr>
        <w:t>考核</w:t>
      </w:r>
    </w:p>
    <w:p w14:paraId="295D30FF">
      <w:pPr>
        <w:keepNext w:val="0"/>
        <w:keepLines w:val="0"/>
        <w:pageBreakBefore w:val="0"/>
        <w:numPr>
          <w:ilvl w:val="0"/>
          <w:numId w:val="0"/>
        </w:numPr>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宋体" w:cs="Times New Roman"/>
          <w:strike w:val="0"/>
          <w:dstrike w:val="0"/>
          <w:color w:val="auto"/>
          <w:sz w:val="24"/>
          <w:szCs w:val="24"/>
          <w:highlight w:val="none"/>
          <w:lang w:val="en-US" w:eastAsia="zh-CN"/>
        </w:rPr>
      </w:pPr>
      <w:r>
        <w:rPr>
          <w:rFonts w:hint="default" w:ascii="Times New Roman" w:hAnsi="Times New Roman" w:eastAsia="宋体" w:cs="Times New Roman"/>
          <w:strike w:val="0"/>
          <w:dstrike w:val="0"/>
          <w:color w:val="auto"/>
          <w:sz w:val="24"/>
          <w:szCs w:val="24"/>
          <w:highlight w:val="none"/>
          <w:lang w:val="en-US" w:eastAsia="zh-CN"/>
        </w:rPr>
        <w:t>项目费用中50万元作为服务质量履约考核费用。考核内容主要包括任务完成、成果质量、隐患排查、整改复核、培训演练、风险研判和服务评价等。对未按合同约定履行服务职责、履约质量不符合要求或年度评估不合格的，按照合同约定扣减相应费用。服务期间园区发生生产安全事故或较大社会影响事件的，同步核查服务单位履职情况</w:t>
      </w:r>
      <w:r>
        <w:rPr>
          <w:rFonts w:hint="eastAsia" w:ascii="Times New Roman" w:hAnsi="Times New Roman" w:eastAsia="宋体" w:cs="Times New Roman"/>
          <w:strike w:val="0"/>
          <w:dstrike w:val="0"/>
          <w:color w:val="auto"/>
          <w:sz w:val="24"/>
          <w:szCs w:val="24"/>
          <w:highlight w:val="none"/>
          <w:lang w:val="en-US" w:eastAsia="zh-CN"/>
        </w:rPr>
        <w:t>，</w:t>
      </w:r>
      <w:r>
        <w:rPr>
          <w:rFonts w:hint="default" w:ascii="Times New Roman" w:hAnsi="Times New Roman" w:eastAsia="宋体" w:cs="Times New Roman"/>
          <w:strike w:val="0"/>
          <w:dstrike w:val="0"/>
          <w:color w:val="auto"/>
          <w:sz w:val="24"/>
          <w:szCs w:val="24"/>
          <w:highlight w:val="none"/>
          <w:lang w:val="en-US" w:eastAsia="zh-CN"/>
        </w:rPr>
        <w:t>存在应发现未发现、应提示未提示、应报告未报告等履职不到位情形的，纳入服务质量履约考核。</w:t>
      </w:r>
    </w:p>
    <w:p w14:paraId="678E39D2">
      <w:pPr>
        <w:keepNext w:val="0"/>
        <w:keepLines w:val="0"/>
        <w:pageBreakBefore w:val="0"/>
        <w:numPr>
          <w:ilvl w:val="0"/>
          <w:numId w:val="0"/>
        </w:numPr>
        <w:kinsoku/>
        <w:wordWrap/>
        <w:overflowPunct/>
        <w:topLinePunct w:val="0"/>
        <w:bidi w:val="0"/>
        <w:adjustRightInd w:val="0"/>
        <w:snapToGrid w:val="0"/>
        <w:spacing w:line="560" w:lineRule="exact"/>
        <w:ind w:firstLine="480" w:firstLineChars="200"/>
        <w:textAlignment w:val="auto"/>
        <w:outlineLvl w:val="0"/>
        <w:rPr>
          <w:rFonts w:hint="default" w:ascii="Times New Roman" w:hAnsi="Times New Roman" w:eastAsia="黑体" w:cs="Times New Roman"/>
          <w:bCs/>
          <w:color w:val="auto"/>
          <w:kern w:val="2"/>
          <w:sz w:val="24"/>
          <w:szCs w:val="24"/>
          <w:highlight w:val="none"/>
          <w:lang w:val="zh-CN" w:eastAsia="zh-CN" w:bidi="ar-SA"/>
        </w:rPr>
      </w:pPr>
      <w:r>
        <w:rPr>
          <w:rFonts w:hint="eastAsia" w:ascii="Times New Roman" w:hAnsi="Times New Roman" w:eastAsia="黑体" w:cs="Times New Roman"/>
          <w:bCs/>
          <w:color w:val="auto"/>
          <w:kern w:val="2"/>
          <w:sz w:val="24"/>
          <w:szCs w:val="24"/>
          <w:highlight w:val="none"/>
          <w:lang w:val="en-US" w:eastAsia="zh-CN" w:bidi="ar-SA"/>
        </w:rPr>
        <w:t>四</w:t>
      </w:r>
      <w:r>
        <w:rPr>
          <w:rFonts w:hint="default" w:ascii="Times New Roman" w:hAnsi="Times New Roman" w:eastAsia="黑体" w:cs="Times New Roman"/>
          <w:bCs/>
          <w:color w:val="auto"/>
          <w:kern w:val="2"/>
          <w:sz w:val="24"/>
          <w:szCs w:val="24"/>
          <w:highlight w:val="none"/>
          <w:lang w:val="zh-CN" w:eastAsia="zh-CN" w:bidi="ar-SA"/>
        </w:rPr>
        <w:t>、</w:t>
      </w:r>
      <w:r>
        <w:rPr>
          <w:rFonts w:hint="default" w:ascii="Times New Roman" w:hAnsi="Times New Roman" w:eastAsia="黑体" w:cs="Times New Roman"/>
          <w:bCs/>
          <w:color w:val="auto"/>
          <w:kern w:val="2"/>
          <w:sz w:val="24"/>
          <w:szCs w:val="24"/>
          <w:highlight w:val="none"/>
          <w:lang w:val="en-US" w:eastAsia="zh-CN" w:bidi="ar-SA"/>
        </w:rPr>
        <w:t>项目</w:t>
      </w:r>
      <w:r>
        <w:rPr>
          <w:rFonts w:hint="default" w:ascii="Times New Roman" w:hAnsi="Times New Roman" w:eastAsia="黑体" w:cs="Times New Roman"/>
          <w:bCs/>
          <w:color w:val="auto"/>
          <w:kern w:val="2"/>
          <w:sz w:val="24"/>
          <w:szCs w:val="24"/>
          <w:highlight w:val="none"/>
          <w:lang w:val="zh-CN" w:eastAsia="zh-CN" w:bidi="ar-SA"/>
        </w:rPr>
        <w:t>工作成果</w:t>
      </w:r>
    </w:p>
    <w:tbl>
      <w:tblPr>
        <w:tblStyle w:val="36"/>
        <w:tblW w:w="51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1192"/>
        <w:gridCol w:w="4913"/>
        <w:gridCol w:w="1554"/>
        <w:gridCol w:w="1066"/>
      </w:tblGrid>
      <w:tr w14:paraId="64268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324255C7">
            <w:pPr>
              <w:keepNext/>
              <w:keepLines w:val="0"/>
              <w:pageBreakBefore w:val="0"/>
              <w:widowControl w:val="0"/>
              <w:kinsoku/>
              <w:wordWrap/>
              <w:overflowPunct/>
              <w:topLinePunct w:val="0"/>
              <w:autoSpaceDE/>
              <w:autoSpaceDN/>
              <w:bidi w:val="0"/>
              <w:adjustRightInd w:val="0"/>
              <w:snapToGrid w:val="0"/>
              <w:spacing w:line="240" w:lineRule="atLeast"/>
              <w:ind w:left="0" w:leftChars="0"/>
              <w:jc w:val="center"/>
              <w:textAlignment w:val="auto"/>
              <w:rPr>
                <w:rFonts w:hint="default" w:ascii="Times New Roman" w:hAnsi="Times New Roman" w:eastAsia="宋体" w:cs="Times New Roman"/>
                <w:color w:val="auto"/>
                <w:w w:val="95"/>
                <w:kern w:val="0"/>
                <w:sz w:val="24"/>
                <w:szCs w:val="24"/>
                <w:highlight w:val="none"/>
              </w:rPr>
            </w:pPr>
            <w:r>
              <w:rPr>
                <w:rFonts w:hint="default" w:ascii="Times New Roman" w:hAnsi="Times New Roman" w:eastAsia="宋体" w:cs="Times New Roman"/>
                <w:color w:val="auto"/>
                <w:w w:val="95"/>
                <w:kern w:val="0"/>
                <w:sz w:val="24"/>
                <w:szCs w:val="24"/>
                <w:highlight w:val="none"/>
              </w:rPr>
              <w:t>序号</w:t>
            </w:r>
          </w:p>
        </w:tc>
        <w:tc>
          <w:tcPr>
            <w:tcW w:w="645" w:type="pct"/>
            <w:noWrap w:val="0"/>
            <w:vAlign w:val="center"/>
          </w:tcPr>
          <w:p w14:paraId="28E05A9D">
            <w:pPr>
              <w:keepNext/>
              <w:keepLines w:val="0"/>
              <w:pageBreakBefore w:val="0"/>
              <w:widowControl w:val="0"/>
              <w:kinsoku/>
              <w:wordWrap/>
              <w:overflowPunct/>
              <w:topLinePunct w:val="0"/>
              <w:autoSpaceDE/>
              <w:autoSpaceDN/>
              <w:bidi w:val="0"/>
              <w:adjustRightInd w:val="0"/>
              <w:snapToGrid w:val="0"/>
              <w:spacing w:line="240" w:lineRule="atLeast"/>
              <w:ind w:left="0" w:leftChars="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项目名称</w:t>
            </w:r>
          </w:p>
        </w:tc>
        <w:tc>
          <w:tcPr>
            <w:tcW w:w="2658" w:type="pct"/>
            <w:noWrap w:val="0"/>
            <w:vAlign w:val="center"/>
          </w:tcPr>
          <w:p w14:paraId="189F2E8D">
            <w:pPr>
              <w:keepNext/>
              <w:keepLines w:val="0"/>
              <w:pageBreakBefore w:val="0"/>
              <w:widowControl w:val="0"/>
              <w:kinsoku/>
              <w:wordWrap/>
              <w:overflowPunct/>
              <w:topLinePunct w:val="0"/>
              <w:autoSpaceDE/>
              <w:autoSpaceDN/>
              <w:bidi w:val="0"/>
              <w:adjustRightInd w:val="0"/>
              <w:snapToGrid w:val="0"/>
              <w:spacing w:line="240" w:lineRule="atLeast"/>
              <w:ind w:left="0" w:leftChars="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工作成果</w:t>
            </w:r>
          </w:p>
        </w:tc>
        <w:tc>
          <w:tcPr>
            <w:tcW w:w="839" w:type="pct"/>
            <w:noWrap w:val="0"/>
            <w:vAlign w:val="center"/>
          </w:tcPr>
          <w:p w14:paraId="397FE8BA">
            <w:pPr>
              <w:keepNext/>
              <w:keepLines w:val="0"/>
              <w:pageBreakBefore w:val="0"/>
              <w:widowControl w:val="0"/>
              <w:kinsoku/>
              <w:wordWrap/>
              <w:overflowPunct/>
              <w:topLinePunct w:val="0"/>
              <w:autoSpaceDE/>
              <w:autoSpaceDN/>
              <w:bidi w:val="0"/>
              <w:adjustRightInd w:val="0"/>
              <w:snapToGrid w:val="0"/>
              <w:spacing w:line="240" w:lineRule="atLeast"/>
              <w:ind w:left="0" w:leftChars="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开展频次</w:t>
            </w:r>
          </w:p>
        </w:tc>
        <w:tc>
          <w:tcPr>
            <w:tcW w:w="576" w:type="pct"/>
            <w:noWrap w:val="0"/>
            <w:vAlign w:val="center"/>
          </w:tcPr>
          <w:p w14:paraId="392781A4">
            <w:pPr>
              <w:keepNext/>
              <w:keepLines w:val="0"/>
              <w:pageBreakBefore w:val="0"/>
              <w:widowControl w:val="0"/>
              <w:kinsoku/>
              <w:wordWrap/>
              <w:overflowPunct/>
              <w:topLinePunct w:val="0"/>
              <w:autoSpaceDE/>
              <w:autoSpaceDN/>
              <w:bidi w:val="0"/>
              <w:adjustRightInd w:val="0"/>
              <w:snapToGrid w:val="0"/>
              <w:spacing w:line="240" w:lineRule="atLeast"/>
              <w:ind w:left="0" w:leftChars="0"/>
              <w:jc w:val="center"/>
              <w:textAlignment w:val="auto"/>
              <w:rPr>
                <w:rFonts w:hint="default" w:ascii="Times New Roman" w:hAnsi="Times New Roman" w:eastAsia="宋体" w:cs="Times New Roman"/>
                <w:color w:val="auto"/>
                <w:kern w:val="0"/>
                <w:sz w:val="24"/>
                <w:szCs w:val="24"/>
                <w:highlight w:val="none"/>
              </w:rPr>
            </w:pPr>
            <w:r>
              <w:rPr>
                <w:rFonts w:hint="eastAsia" w:ascii="宋体" w:hAnsi="宋体" w:eastAsia="宋体" w:cs="Times New Roman"/>
                <w:color w:val="auto"/>
                <w:sz w:val="24"/>
                <w:highlight w:val="none"/>
                <w:lang w:val="en-US" w:eastAsia="zh-CN"/>
              </w:rPr>
              <w:t>单项最高限价</w:t>
            </w:r>
          </w:p>
        </w:tc>
      </w:tr>
      <w:tr w14:paraId="545F8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gridSpan w:val="5"/>
            <w:noWrap w:val="0"/>
            <w:vAlign w:val="center"/>
          </w:tcPr>
          <w:p w14:paraId="0FB1F876">
            <w:pPr>
              <w:keepNext/>
              <w:keepLines w:val="0"/>
              <w:pageBreakBefore w:val="0"/>
              <w:widowControl w:val="0"/>
              <w:kinsoku/>
              <w:wordWrap/>
              <w:overflowPunct/>
              <w:topLinePunct w:val="0"/>
              <w:bidi w:val="0"/>
              <w:adjustRightInd w:val="0"/>
              <w:snapToGrid w:val="0"/>
              <w:spacing w:line="400" w:lineRule="exact"/>
              <w:ind w:left="0" w:leftChars="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Cs/>
                <w:color w:val="auto"/>
                <w:kern w:val="0"/>
                <w:sz w:val="24"/>
                <w:szCs w:val="24"/>
                <w:highlight w:val="none"/>
              </w:rPr>
              <w:t>一、重点工作</w:t>
            </w:r>
          </w:p>
        </w:tc>
      </w:tr>
      <w:tr w14:paraId="10AB6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1" w:hRule="atLeast"/>
          <w:jc w:val="center"/>
        </w:trPr>
        <w:tc>
          <w:tcPr>
            <w:tcW w:w="279" w:type="pct"/>
            <w:noWrap w:val="0"/>
            <w:vAlign w:val="center"/>
          </w:tcPr>
          <w:p w14:paraId="367B25A4">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w:t>
            </w:r>
          </w:p>
        </w:tc>
        <w:tc>
          <w:tcPr>
            <w:tcW w:w="645" w:type="pct"/>
            <w:noWrap w:val="0"/>
            <w:vAlign w:val="center"/>
          </w:tcPr>
          <w:p w14:paraId="1C5BC81F">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bidi="ar-SA"/>
              </w:rPr>
              <w:t>开展过程安全管理体系穿透式诊断提升</w:t>
            </w:r>
          </w:p>
        </w:tc>
        <w:tc>
          <w:tcPr>
            <w:tcW w:w="2658" w:type="pct"/>
            <w:noWrap w:val="0"/>
            <w:vAlign w:val="center"/>
          </w:tcPr>
          <w:p w14:paraId="730C26A8">
            <w:pPr>
              <w:widowControl/>
              <w:spacing w:line="400" w:lineRule="exact"/>
              <w:ind w:right="105" w:rightChars="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对新区已投产危化品生产、仓储经营、使用企业开展过程安全管理体系穿透式诊断，形成诊断报告、问题清单和“一企一策”提升方案</w:t>
            </w:r>
            <w:r>
              <w:rPr>
                <w:rFonts w:hint="eastAsia" w:ascii="Times New Roman" w:hAnsi="Times New Roman" w:eastAsia="宋体" w:cs="Times New Roman"/>
                <w:color w:val="auto"/>
                <w:sz w:val="24"/>
                <w:highlight w:val="none"/>
                <w:lang w:eastAsia="zh-CN"/>
              </w:rPr>
              <w:t>，在</w:t>
            </w:r>
            <w:r>
              <w:rPr>
                <w:rFonts w:hint="default" w:ascii="Times New Roman" w:hAnsi="Times New Roman" w:eastAsia="宋体" w:cs="Times New Roman"/>
                <w:color w:val="auto"/>
                <w:sz w:val="24"/>
                <w:highlight w:val="none"/>
              </w:rPr>
              <w:t>合同期内，对新区已投产危化品企业实现诊断全覆盖，并结合诊断情况对重点企业开展复核评估，推动整改措施落实落地。</w:t>
            </w:r>
          </w:p>
          <w:p w14:paraId="12C8134F">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highlight w:val="none"/>
                <w:lang w:val="en-US" w:eastAsia="zh-CN"/>
              </w:rPr>
              <w:t>对安全管理水平落后的企业，组织开展专项驻厂帮扶提升，补齐园区安全管理的短板。</w:t>
            </w:r>
            <w:r>
              <w:rPr>
                <w:rFonts w:hint="default" w:ascii="Times New Roman" w:hAnsi="Times New Roman" w:eastAsia="宋体" w:cs="Times New Roman"/>
                <w:color w:val="auto"/>
                <w:sz w:val="24"/>
                <w:highlight w:val="none"/>
              </w:rPr>
              <w:t>结合企业基础条件和行业代表性，选择基础较好、示范带动作用较强的企业开展重点培育，推动形成一批过程安全管理体系建设示范企业。</w:t>
            </w:r>
          </w:p>
        </w:tc>
        <w:tc>
          <w:tcPr>
            <w:tcW w:w="839" w:type="pct"/>
            <w:noWrap w:val="0"/>
            <w:vAlign w:val="center"/>
          </w:tcPr>
          <w:p w14:paraId="498F7DA1">
            <w:pPr>
              <w:pStyle w:val="35"/>
              <w:keepNext/>
              <w:keepLines w:val="0"/>
              <w:pageBreakBefore w:val="0"/>
              <w:widowControl w:val="0"/>
              <w:kinsoku/>
              <w:wordWrap/>
              <w:overflowPunct/>
              <w:topLinePunct w:val="0"/>
              <w:bidi w:val="0"/>
              <w:adjustRightInd w:val="0"/>
              <w:snapToGrid w:val="0"/>
              <w:spacing w:after="0" w:line="400" w:lineRule="exact"/>
              <w:ind w:left="0" w:leftChars="0" w:firstLine="0" w:firstLine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合同期内全覆盖，重点企业适时复核</w:t>
            </w:r>
            <w:r>
              <w:rPr>
                <w:rFonts w:hint="default" w:ascii="Times New Roman" w:hAnsi="Times New Roman" w:eastAsia="宋体" w:cs="Times New Roman"/>
                <w:color w:val="auto"/>
                <w:sz w:val="24"/>
                <w:szCs w:val="24"/>
                <w:highlight w:val="none"/>
                <w:lang w:eastAsia="zh-CN"/>
              </w:rPr>
              <w:t>。</w:t>
            </w:r>
          </w:p>
        </w:tc>
        <w:tc>
          <w:tcPr>
            <w:tcW w:w="1066" w:type="dxa"/>
            <w:noWrap w:val="0"/>
            <w:vAlign w:val="center"/>
          </w:tcPr>
          <w:p w14:paraId="42C41FF9">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val="en-US"/>
              </w:rPr>
            </w:pPr>
            <w:r>
              <w:rPr>
                <w:rFonts w:hint="default" w:ascii="Times New Roman" w:hAnsi="Times New Roman" w:eastAsia="宋体" w:cs="Times New Roman"/>
                <w:color w:val="auto"/>
                <w:kern w:val="0"/>
                <w:sz w:val="24"/>
                <w:szCs w:val="24"/>
                <w:highlight w:val="none"/>
                <w:lang w:val="en-US" w:eastAsia="zh-CN"/>
              </w:rPr>
              <w:t>75</w:t>
            </w:r>
          </w:p>
        </w:tc>
      </w:tr>
      <w:tr w14:paraId="06902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7B9F1D0C">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w:t>
            </w:r>
          </w:p>
        </w:tc>
        <w:tc>
          <w:tcPr>
            <w:tcW w:w="645" w:type="pct"/>
            <w:noWrap w:val="0"/>
            <w:vAlign w:val="center"/>
          </w:tcPr>
          <w:p w14:paraId="3E5FFCD5">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bidi="ar-SA"/>
              </w:rPr>
              <w:t>开展HAZOP及本质安全专项诊断</w:t>
            </w:r>
          </w:p>
        </w:tc>
        <w:tc>
          <w:tcPr>
            <w:tcW w:w="2658" w:type="pct"/>
            <w:noWrap w:val="0"/>
            <w:vAlign w:val="center"/>
          </w:tcPr>
          <w:p w14:paraId="47F827BD">
            <w:pPr>
              <w:pStyle w:val="35"/>
              <w:keepNext/>
              <w:keepLines w:val="0"/>
              <w:pageBreakBefore w:val="0"/>
              <w:widowControl w:val="0"/>
              <w:kinsoku/>
              <w:wordWrap/>
              <w:overflowPunct/>
              <w:topLinePunct w:val="0"/>
              <w:bidi w:val="0"/>
              <w:adjustRightInd w:val="0"/>
              <w:snapToGrid w:val="0"/>
              <w:spacing w:after="0" w:line="400" w:lineRule="exact"/>
              <w:ind w:left="0" w:leftChars="0" w:firstLine="0"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对重点监管工艺在役装置开展HAZOP分析报告质量、报警管理、联锁设置、自动化控制逻辑、工艺变更后风险再验证等专项诊断，形成专项诊断报告，指导企业完善报警联锁、自动控制和本质安全措施。</w:t>
            </w:r>
          </w:p>
        </w:tc>
        <w:tc>
          <w:tcPr>
            <w:tcW w:w="839" w:type="pct"/>
            <w:noWrap w:val="0"/>
            <w:vAlign w:val="center"/>
          </w:tcPr>
          <w:p w14:paraId="6640863D">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每年抽取不少于园区装置总数20%的典型装置</w:t>
            </w:r>
            <w:r>
              <w:rPr>
                <w:rFonts w:hint="default" w:ascii="Times New Roman" w:hAnsi="Times New Roman" w:eastAsia="宋体" w:cs="Times New Roman"/>
                <w:color w:val="auto"/>
                <w:sz w:val="24"/>
                <w:szCs w:val="24"/>
                <w:highlight w:val="none"/>
                <w:lang w:eastAsia="zh-CN"/>
              </w:rPr>
              <w:t>。</w:t>
            </w:r>
          </w:p>
        </w:tc>
        <w:tc>
          <w:tcPr>
            <w:tcW w:w="1066" w:type="dxa"/>
            <w:noWrap w:val="0"/>
            <w:vAlign w:val="center"/>
          </w:tcPr>
          <w:p w14:paraId="0D613242">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35</w:t>
            </w:r>
          </w:p>
        </w:tc>
      </w:tr>
      <w:tr w14:paraId="3F3A9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52471A0C">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rPr>
              <w:t>3</w:t>
            </w:r>
          </w:p>
        </w:tc>
        <w:tc>
          <w:tcPr>
            <w:tcW w:w="645" w:type="pct"/>
            <w:noWrap w:val="0"/>
            <w:vAlign w:val="center"/>
          </w:tcPr>
          <w:p w14:paraId="7CB25622">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bidi="ar-SA"/>
              </w:rPr>
              <w:t>加强建设项目和重点环节源头风险防控</w:t>
            </w:r>
          </w:p>
        </w:tc>
        <w:tc>
          <w:tcPr>
            <w:tcW w:w="2658" w:type="pct"/>
            <w:noWrap w:val="0"/>
            <w:vAlign w:val="center"/>
          </w:tcPr>
          <w:p w14:paraId="447E71E1">
            <w:pPr>
              <w:pStyle w:val="35"/>
              <w:keepNext/>
              <w:keepLines w:val="0"/>
              <w:pageBreakBefore w:val="0"/>
              <w:widowControl w:val="0"/>
              <w:kinsoku/>
              <w:wordWrap/>
              <w:overflowPunct/>
              <w:topLinePunct w:val="0"/>
              <w:bidi w:val="0"/>
              <w:adjustRightInd w:val="0"/>
              <w:snapToGrid w:val="0"/>
              <w:spacing w:after="0" w:line="400" w:lineRule="exact"/>
              <w:ind w:left="0" w:leftChars="0" w:firstLine="0"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对拟入园项目及现有企业新建、改建、扩建项目开展安全准入技术咨询，审阅可研等资料并提出准入咨询意见；对试生产、复产复工、开停车、重大技改后恢复运行等关键环节开展指导服务，</w:t>
            </w:r>
            <w:r>
              <w:rPr>
                <w:rFonts w:hint="default" w:ascii="Times New Roman" w:hAnsi="Times New Roman" w:eastAsia="宋体" w:cs="Times New Roman"/>
                <w:color w:val="auto"/>
                <w:sz w:val="24"/>
                <w:szCs w:val="24"/>
                <w:highlight w:val="none"/>
                <w:lang w:val="en-US" w:eastAsia="zh-CN"/>
              </w:rPr>
              <w:t>出具专家</w:t>
            </w:r>
            <w:r>
              <w:rPr>
                <w:rFonts w:hint="eastAsia" w:ascii="Times New Roman" w:hAnsi="Times New Roman" w:eastAsia="宋体" w:cs="Times New Roman"/>
                <w:color w:val="auto"/>
                <w:sz w:val="24"/>
                <w:szCs w:val="24"/>
                <w:highlight w:val="none"/>
                <w:lang w:val="en-US" w:eastAsia="zh-CN"/>
              </w:rPr>
              <w:t>论证</w:t>
            </w:r>
            <w:r>
              <w:rPr>
                <w:rFonts w:hint="default" w:ascii="Times New Roman" w:hAnsi="Times New Roman" w:eastAsia="宋体" w:cs="Times New Roman"/>
                <w:color w:val="auto"/>
                <w:sz w:val="24"/>
                <w:szCs w:val="24"/>
                <w:highlight w:val="none"/>
                <w:lang w:val="en-US" w:eastAsia="zh-CN"/>
              </w:rPr>
              <w:t>意见，</w:t>
            </w:r>
            <w:r>
              <w:rPr>
                <w:rFonts w:hint="default" w:ascii="Times New Roman" w:hAnsi="Times New Roman" w:eastAsia="宋体" w:cs="Times New Roman"/>
                <w:color w:val="auto"/>
                <w:sz w:val="24"/>
                <w:szCs w:val="24"/>
                <w:highlight w:val="none"/>
              </w:rPr>
              <w:t>形成风险管控建议清单并跟踪复核。</w:t>
            </w:r>
          </w:p>
        </w:tc>
        <w:tc>
          <w:tcPr>
            <w:tcW w:w="839" w:type="pct"/>
            <w:noWrap w:val="0"/>
            <w:vAlign w:val="center"/>
          </w:tcPr>
          <w:p w14:paraId="5F656D09">
            <w:pPr>
              <w:pStyle w:val="35"/>
              <w:keepNext/>
              <w:keepLines w:val="0"/>
              <w:pageBreakBefore w:val="0"/>
              <w:widowControl w:val="0"/>
              <w:kinsoku/>
              <w:wordWrap/>
              <w:overflowPunct/>
              <w:topLinePunct w:val="0"/>
              <w:bidi w:val="0"/>
              <w:adjustRightInd w:val="0"/>
              <w:snapToGrid w:val="0"/>
              <w:spacing w:after="0" w:line="400" w:lineRule="exact"/>
              <w:ind w:left="0" w:leftChars="0" w:firstLine="0" w:firstLine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根据项目进程及时开展</w:t>
            </w:r>
            <w:r>
              <w:rPr>
                <w:rFonts w:hint="default" w:ascii="Times New Roman" w:hAnsi="Times New Roman" w:eastAsia="宋体" w:cs="Times New Roman"/>
                <w:color w:val="auto"/>
                <w:sz w:val="24"/>
                <w:szCs w:val="24"/>
                <w:highlight w:val="none"/>
                <w:lang w:eastAsia="zh-CN"/>
              </w:rPr>
              <w:t>。</w:t>
            </w:r>
          </w:p>
        </w:tc>
        <w:tc>
          <w:tcPr>
            <w:tcW w:w="1066" w:type="dxa"/>
            <w:noWrap w:val="0"/>
            <w:vAlign w:val="center"/>
          </w:tcPr>
          <w:p w14:paraId="23BB751E">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35</w:t>
            </w:r>
          </w:p>
        </w:tc>
      </w:tr>
      <w:tr w14:paraId="05E4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1" w:hRule="atLeast"/>
          <w:jc w:val="center"/>
        </w:trPr>
        <w:tc>
          <w:tcPr>
            <w:tcW w:w="279" w:type="pct"/>
            <w:noWrap w:val="0"/>
            <w:vAlign w:val="center"/>
          </w:tcPr>
          <w:p w14:paraId="16B125C5">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4</w:t>
            </w:r>
          </w:p>
        </w:tc>
        <w:tc>
          <w:tcPr>
            <w:tcW w:w="645" w:type="pct"/>
            <w:noWrap w:val="0"/>
            <w:vAlign w:val="center"/>
          </w:tcPr>
          <w:p w14:paraId="3BDF8FCD">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bidi="ar-SA"/>
              </w:rPr>
              <w:t>深化智慧化监管场景建设和实战应用</w:t>
            </w:r>
          </w:p>
        </w:tc>
        <w:tc>
          <w:tcPr>
            <w:tcW w:w="2658" w:type="pct"/>
            <w:noWrap w:val="0"/>
            <w:vAlign w:val="center"/>
          </w:tcPr>
          <w:p w14:paraId="3668BD72">
            <w:pPr>
              <w:pStyle w:val="35"/>
              <w:keepNext/>
              <w:keepLines w:val="0"/>
              <w:pageBreakBefore w:val="0"/>
              <w:widowControl w:val="0"/>
              <w:kinsoku/>
              <w:wordWrap/>
              <w:overflowPunct/>
              <w:topLinePunct w:val="0"/>
              <w:bidi w:val="0"/>
              <w:adjustRightInd w:val="0"/>
              <w:snapToGrid w:val="0"/>
              <w:spacing w:after="0" w:line="400" w:lineRule="exact"/>
              <w:ind w:left="0" w:leftChars="0" w:firstLine="0" w:firstLineChars="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围绕关键设备运行监测、异常工况识别预警、特殊作业智慧化监管、承包商作业过程管控、重大危险源线上巡查、报警及联锁异常分析等，提出场景建设需求、模型优化建议和应用评估意见，形成智慧化监管优化报告</w:t>
            </w:r>
            <w:r>
              <w:rPr>
                <w:rFonts w:hint="default" w:ascii="Times New Roman" w:hAnsi="Times New Roman" w:eastAsia="宋体" w:cs="Times New Roman"/>
                <w:color w:val="auto"/>
                <w:sz w:val="24"/>
                <w:szCs w:val="24"/>
                <w:highlight w:val="none"/>
                <w:lang w:eastAsia="zh-CN"/>
              </w:rPr>
              <w:t>。</w:t>
            </w:r>
          </w:p>
        </w:tc>
        <w:tc>
          <w:tcPr>
            <w:tcW w:w="839" w:type="pct"/>
            <w:noWrap w:val="0"/>
            <w:vAlign w:val="center"/>
          </w:tcPr>
          <w:p w14:paraId="63422D14">
            <w:pPr>
              <w:pStyle w:val="35"/>
              <w:keepNext/>
              <w:keepLines w:val="0"/>
              <w:pageBreakBefore w:val="0"/>
              <w:widowControl w:val="0"/>
              <w:kinsoku/>
              <w:wordWrap/>
              <w:overflowPunct/>
              <w:topLinePunct w:val="0"/>
              <w:bidi w:val="0"/>
              <w:adjustRightInd w:val="0"/>
              <w:snapToGrid w:val="0"/>
              <w:spacing w:after="0" w:line="400" w:lineRule="exact"/>
              <w:ind w:left="0" w:leftChars="0" w:firstLine="0" w:firstLine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适时开展，每年至少形成</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份专题成果</w:t>
            </w:r>
            <w:r>
              <w:rPr>
                <w:rFonts w:hint="default" w:ascii="Times New Roman" w:hAnsi="Times New Roman" w:eastAsia="宋体" w:cs="Times New Roman"/>
                <w:color w:val="auto"/>
                <w:sz w:val="24"/>
                <w:szCs w:val="24"/>
                <w:highlight w:val="none"/>
                <w:lang w:eastAsia="zh-CN"/>
              </w:rPr>
              <w:t>。</w:t>
            </w:r>
          </w:p>
        </w:tc>
        <w:tc>
          <w:tcPr>
            <w:tcW w:w="1066" w:type="dxa"/>
            <w:noWrap w:val="0"/>
            <w:vAlign w:val="center"/>
          </w:tcPr>
          <w:p w14:paraId="0AD89708">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sz w:val="24"/>
                <w:szCs w:val="24"/>
                <w:highlight w:val="none"/>
                <w:lang w:val="en-US" w:eastAsia="zh-CN"/>
              </w:rPr>
              <w:t>30</w:t>
            </w:r>
          </w:p>
        </w:tc>
      </w:tr>
      <w:tr w14:paraId="71B60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5"/>
            <w:noWrap w:val="0"/>
            <w:vAlign w:val="center"/>
          </w:tcPr>
          <w:p w14:paraId="0E97C9E0">
            <w:pPr>
              <w:keepNext/>
              <w:keepLines w:val="0"/>
              <w:pageBreakBefore w:val="0"/>
              <w:widowControl w:val="0"/>
              <w:kinsoku/>
              <w:wordWrap/>
              <w:overflowPunct/>
              <w:topLinePunct w:val="0"/>
              <w:bidi w:val="0"/>
              <w:adjustRightInd w:val="0"/>
              <w:snapToGrid w:val="0"/>
              <w:spacing w:line="400" w:lineRule="exact"/>
              <w:ind w:left="0" w:leftChars="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Cs/>
                <w:color w:val="auto"/>
                <w:kern w:val="0"/>
                <w:sz w:val="24"/>
                <w:szCs w:val="24"/>
                <w:highlight w:val="none"/>
              </w:rPr>
              <w:t>二、常规工作</w:t>
            </w:r>
          </w:p>
        </w:tc>
      </w:tr>
      <w:tr w14:paraId="09162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6AC3CD70">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w:t>
            </w:r>
          </w:p>
        </w:tc>
        <w:tc>
          <w:tcPr>
            <w:tcW w:w="645" w:type="pct"/>
            <w:noWrap w:val="0"/>
            <w:vAlign w:val="center"/>
          </w:tcPr>
          <w:p w14:paraId="3407EA62">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bidi="ar-SA"/>
              </w:rPr>
              <w:t>专家团队长期驻点坐班</w:t>
            </w:r>
          </w:p>
        </w:tc>
        <w:tc>
          <w:tcPr>
            <w:tcW w:w="2658" w:type="pct"/>
            <w:noWrap w:val="0"/>
            <w:vAlign w:val="center"/>
          </w:tcPr>
          <w:p w14:paraId="378DD31B">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sz w:val="24"/>
                <w:szCs w:val="24"/>
                <w:highlight w:val="none"/>
                <w:lang w:val="en-US" w:eastAsia="zh-CN"/>
              </w:rPr>
              <w:t>日常</w:t>
            </w:r>
            <w:r>
              <w:rPr>
                <w:rFonts w:hint="default" w:ascii="Times New Roman" w:hAnsi="Times New Roman" w:eastAsia="宋体" w:cs="Times New Roman"/>
                <w:color w:val="auto"/>
                <w:sz w:val="24"/>
                <w:szCs w:val="24"/>
                <w:highlight w:val="none"/>
              </w:rPr>
              <w:t>安排不少于5人的专家团队常驻，专业涵盖化工安全管理、工艺、设备、电气、仪表、消防等领域；明确1名项目负责人，按月形成工作总结、问题清单、风险提示和下步安排；根据需要调配专家开展专项支撑。</w:t>
            </w:r>
          </w:p>
        </w:tc>
        <w:tc>
          <w:tcPr>
            <w:tcW w:w="839" w:type="pct"/>
            <w:noWrap w:val="0"/>
            <w:vAlign w:val="center"/>
          </w:tcPr>
          <w:p w14:paraId="76F2FD0E">
            <w:pPr>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sz w:val="24"/>
                <w:szCs w:val="24"/>
                <w:highlight w:val="none"/>
              </w:rPr>
              <w:t>全周期驻点</w:t>
            </w:r>
            <w:r>
              <w:rPr>
                <w:rFonts w:hint="default" w:ascii="Times New Roman" w:hAnsi="Times New Roman" w:eastAsia="宋体" w:cs="Times New Roman"/>
                <w:color w:val="auto"/>
                <w:sz w:val="24"/>
                <w:szCs w:val="24"/>
                <w:highlight w:val="none"/>
                <w:lang w:eastAsia="zh-CN"/>
              </w:rPr>
              <w:t>。</w:t>
            </w:r>
          </w:p>
        </w:tc>
        <w:tc>
          <w:tcPr>
            <w:tcW w:w="576" w:type="pct"/>
            <w:vMerge w:val="restart"/>
            <w:noWrap w:val="0"/>
            <w:vAlign w:val="center"/>
          </w:tcPr>
          <w:p w14:paraId="43F1BDF4">
            <w:pPr>
              <w:keepNext/>
              <w:keepLines w:val="0"/>
              <w:pageBreakBefore w:val="0"/>
              <w:widowControl w:val="0"/>
              <w:kinsoku/>
              <w:wordWrap/>
              <w:overflowPunct/>
              <w:topLinePunct w:val="0"/>
              <w:bidi w:val="0"/>
              <w:adjustRightInd w:val="0"/>
              <w:snapToGrid w:val="0"/>
              <w:spacing w:line="400" w:lineRule="exact"/>
              <w:ind w:left="0" w:leftChars="0" w:firstLine="240" w:firstLineChars="1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175</w:t>
            </w:r>
          </w:p>
          <w:p w14:paraId="768A4883">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（35万/人/年）</w:t>
            </w:r>
          </w:p>
        </w:tc>
      </w:tr>
      <w:tr w14:paraId="0E862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6D4CEA7E">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w:t>
            </w:r>
          </w:p>
        </w:tc>
        <w:tc>
          <w:tcPr>
            <w:tcW w:w="645" w:type="pct"/>
            <w:noWrap w:val="0"/>
            <w:vAlign w:val="center"/>
          </w:tcPr>
          <w:p w14:paraId="174760F0">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bidi="ar-SA"/>
              </w:rPr>
              <w:t>深化重点领域专项治理</w:t>
            </w:r>
          </w:p>
        </w:tc>
        <w:tc>
          <w:tcPr>
            <w:tcW w:w="2658" w:type="pct"/>
            <w:noWrap w:val="0"/>
            <w:vAlign w:val="center"/>
          </w:tcPr>
          <w:p w14:paraId="4F764138">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kern w:val="0"/>
                <w:sz w:val="24"/>
                <w:szCs w:val="24"/>
                <w:highlight w:val="none"/>
                <w:lang w:val="zh-CN"/>
              </w:rPr>
            </w:pPr>
            <w:r>
              <w:rPr>
                <w:rFonts w:hint="default" w:ascii="Times New Roman" w:hAnsi="Times New Roman" w:eastAsia="宋体" w:cs="Times New Roman"/>
                <w:color w:val="auto"/>
                <w:sz w:val="24"/>
                <w:szCs w:val="24"/>
                <w:highlight w:val="none"/>
              </w:rPr>
              <w:t>围绕重大事故隐患、高危细分领域、特殊作业、承包商管理、设备带“病”运行、异常工况、屡查屡犯问题等，每月至少选择1项重点专题开展专项排查或“回头看”，形成专项检查方案、检查报告、整改建议和复核意见。</w:t>
            </w:r>
          </w:p>
        </w:tc>
        <w:tc>
          <w:tcPr>
            <w:tcW w:w="839" w:type="pct"/>
            <w:noWrap w:val="0"/>
            <w:vAlign w:val="center"/>
          </w:tcPr>
          <w:p w14:paraId="5DCCF9CF">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sz w:val="24"/>
                <w:szCs w:val="24"/>
                <w:highlight w:val="none"/>
              </w:rPr>
              <w:t>每月至少1项专题</w:t>
            </w:r>
            <w:r>
              <w:rPr>
                <w:rFonts w:hint="default" w:ascii="Times New Roman" w:hAnsi="Times New Roman" w:eastAsia="宋体" w:cs="Times New Roman"/>
                <w:color w:val="auto"/>
                <w:sz w:val="24"/>
                <w:szCs w:val="24"/>
                <w:highlight w:val="none"/>
                <w:lang w:eastAsia="zh-CN"/>
              </w:rPr>
              <w:t>。</w:t>
            </w:r>
          </w:p>
        </w:tc>
        <w:tc>
          <w:tcPr>
            <w:tcW w:w="576" w:type="pct"/>
            <w:vMerge w:val="continue"/>
            <w:noWrap w:val="0"/>
            <w:vAlign w:val="center"/>
          </w:tcPr>
          <w:p w14:paraId="6C304E70">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p>
        </w:tc>
      </w:tr>
      <w:tr w14:paraId="51B6E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267869C7">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3</w:t>
            </w:r>
          </w:p>
        </w:tc>
        <w:tc>
          <w:tcPr>
            <w:tcW w:w="645" w:type="pct"/>
            <w:noWrap w:val="0"/>
            <w:vAlign w:val="center"/>
          </w:tcPr>
          <w:p w14:paraId="14153736">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SA"/>
              </w:rPr>
              <w:t>开展“三警”服务支撑</w:t>
            </w:r>
          </w:p>
        </w:tc>
        <w:tc>
          <w:tcPr>
            <w:tcW w:w="2658" w:type="pct"/>
            <w:noWrap w:val="0"/>
            <w:vAlign w:val="center"/>
          </w:tcPr>
          <w:p w14:paraId="3A9C93D3">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围绕警醒、警戒、警示“三警”机制，及时开展外地事故信息收集研判，形成警醒提示；根据研判情况制定排查重点和检查指南，支撑开展警戒性排查检查；围绕典型事故、异常事件、未遂事件、非计划停车、报警联锁异常等形成警示案例、复盘分析和专题材料。</w:t>
            </w:r>
          </w:p>
        </w:tc>
        <w:tc>
          <w:tcPr>
            <w:tcW w:w="839" w:type="pct"/>
            <w:noWrap w:val="0"/>
            <w:vAlign w:val="center"/>
          </w:tcPr>
          <w:p w14:paraId="76305CDC">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根据需要及时开展。</w:t>
            </w:r>
          </w:p>
        </w:tc>
        <w:tc>
          <w:tcPr>
            <w:tcW w:w="576" w:type="pct"/>
            <w:vMerge w:val="continue"/>
            <w:noWrap w:val="0"/>
            <w:vAlign w:val="center"/>
          </w:tcPr>
          <w:p w14:paraId="3BE53CC7">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p>
        </w:tc>
      </w:tr>
      <w:tr w14:paraId="0A85A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598C9041">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rPr>
              <w:t>4</w:t>
            </w:r>
          </w:p>
        </w:tc>
        <w:tc>
          <w:tcPr>
            <w:tcW w:w="645" w:type="pct"/>
            <w:noWrap w:val="0"/>
            <w:vAlign w:val="center"/>
          </w:tcPr>
          <w:p w14:paraId="16F2BEFB">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lang w:val="zh-CN"/>
              </w:rPr>
            </w:pPr>
            <w:r>
              <w:rPr>
                <w:rFonts w:hint="default" w:ascii="Times New Roman" w:hAnsi="Times New Roman" w:eastAsia="宋体" w:cs="Times New Roman"/>
                <w:color w:val="auto"/>
                <w:kern w:val="0"/>
                <w:sz w:val="24"/>
                <w:szCs w:val="24"/>
                <w:highlight w:val="none"/>
                <w:lang w:val="en-US" w:eastAsia="zh-CN" w:bidi="ar-SA"/>
              </w:rPr>
              <w:t>常规安全检查技术支撑</w:t>
            </w:r>
          </w:p>
        </w:tc>
        <w:tc>
          <w:tcPr>
            <w:tcW w:w="2658" w:type="pct"/>
            <w:noWrap w:val="0"/>
            <w:vAlign w:val="center"/>
          </w:tcPr>
          <w:p w14:paraId="10DAF744">
            <w:pPr>
              <w:keepNext/>
              <w:keepLines w:val="0"/>
              <w:pageBreakBefore w:val="0"/>
              <w:widowControl w:val="0"/>
              <w:numPr>
                <w:ilvl w:val="0"/>
                <w:numId w:val="0"/>
              </w:numPr>
              <w:kinsoku/>
              <w:wordWrap/>
              <w:overflowPunct/>
              <w:topLinePunct w:val="0"/>
              <w:bidi w:val="0"/>
              <w:adjustRightInd w:val="0"/>
              <w:snapToGrid w:val="0"/>
              <w:spacing w:line="400" w:lineRule="exac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sz w:val="24"/>
                <w:szCs w:val="24"/>
                <w:highlight w:val="none"/>
              </w:rPr>
              <w:t>配合新区开展年度执法检查、安全许可换证现场核查、专项督导、临时性检查巡查等工作；配合对部、省、市及新区交办问题隐患整改情况进行复核，提出专业意见。</w:t>
            </w:r>
          </w:p>
        </w:tc>
        <w:tc>
          <w:tcPr>
            <w:tcW w:w="839" w:type="pct"/>
            <w:noWrap w:val="0"/>
            <w:vAlign w:val="center"/>
          </w:tcPr>
          <w:p w14:paraId="06B72ACD">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sz w:val="24"/>
                <w:szCs w:val="24"/>
                <w:highlight w:val="none"/>
              </w:rPr>
              <w:t>根据需要及时开展</w:t>
            </w:r>
            <w:r>
              <w:rPr>
                <w:rFonts w:hint="default" w:ascii="Times New Roman" w:hAnsi="Times New Roman" w:eastAsia="宋体" w:cs="Times New Roman"/>
                <w:color w:val="auto"/>
                <w:sz w:val="24"/>
                <w:szCs w:val="24"/>
                <w:highlight w:val="none"/>
                <w:lang w:eastAsia="zh-CN"/>
              </w:rPr>
              <w:t>。</w:t>
            </w:r>
          </w:p>
        </w:tc>
        <w:tc>
          <w:tcPr>
            <w:tcW w:w="576" w:type="pct"/>
            <w:vMerge w:val="continue"/>
            <w:noWrap w:val="0"/>
            <w:vAlign w:val="center"/>
          </w:tcPr>
          <w:p w14:paraId="0D02759C">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p>
        </w:tc>
      </w:tr>
      <w:tr w14:paraId="43941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279" w:type="pct"/>
            <w:noWrap w:val="0"/>
            <w:vAlign w:val="center"/>
          </w:tcPr>
          <w:p w14:paraId="5AADA6DA">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rPr>
              <w:t>5</w:t>
            </w:r>
          </w:p>
        </w:tc>
        <w:tc>
          <w:tcPr>
            <w:tcW w:w="645" w:type="pct"/>
            <w:noWrap w:val="0"/>
            <w:vAlign w:val="center"/>
          </w:tcPr>
          <w:p w14:paraId="11B1B3AB">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lang w:val="zh-CN"/>
              </w:rPr>
            </w:pPr>
            <w:r>
              <w:rPr>
                <w:rFonts w:hint="default" w:ascii="Times New Roman" w:hAnsi="Times New Roman" w:eastAsia="宋体" w:cs="Times New Roman"/>
                <w:color w:val="auto"/>
                <w:kern w:val="0"/>
                <w:sz w:val="24"/>
                <w:szCs w:val="24"/>
                <w:highlight w:val="none"/>
                <w:lang w:val="en-US" w:eastAsia="zh-CN" w:bidi="ar-SA"/>
              </w:rPr>
              <w:t>安全风险形势分析研判</w:t>
            </w:r>
          </w:p>
        </w:tc>
        <w:tc>
          <w:tcPr>
            <w:tcW w:w="2658" w:type="pct"/>
            <w:noWrap w:val="0"/>
            <w:vAlign w:val="center"/>
          </w:tcPr>
          <w:p w14:paraId="62440CA4">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sz w:val="24"/>
                <w:szCs w:val="24"/>
                <w:highlight w:val="none"/>
              </w:rPr>
              <w:t>每季度形成1份园区安全风险形势分析研判报告；每半年形成1份危化品企业安全运行分析报告</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提出共性问题和整改建议。</w:t>
            </w:r>
          </w:p>
        </w:tc>
        <w:tc>
          <w:tcPr>
            <w:tcW w:w="839" w:type="pct"/>
            <w:noWrap w:val="0"/>
            <w:vAlign w:val="center"/>
          </w:tcPr>
          <w:p w14:paraId="31897E6C">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sz w:val="24"/>
                <w:szCs w:val="24"/>
                <w:highlight w:val="none"/>
              </w:rPr>
              <w:t>季度1次；半年1次</w:t>
            </w:r>
            <w:r>
              <w:rPr>
                <w:rFonts w:hint="default" w:ascii="Times New Roman" w:hAnsi="Times New Roman" w:eastAsia="宋体" w:cs="Times New Roman"/>
                <w:color w:val="auto"/>
                <w:sz w:val="24"/>
                <w:szCs w:val="24"/>
                <w:highlight w:val="none"/>
                <w:lang w:eastAsia="zh-CN"/>
              </w:rPr>
              <w:t>。</w:t>
            </w:r>
          </w:p>
        </w:tc>
        <w:tc>
          <w:tcPr>
            <w:tcW w:w="576" w:type="pct"/>
            <w:vMerge w:val="continue"/>
            <w:noWrap w:val="0"/>
            <w:vAlign w:val="center"/>
          </w:tcPr>
          <w:p w14:paraId="4F2D8058">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p>
        </w:tc>
      </w:tr>
      <w:tr w14:paraId="63A37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34BEF428">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rPr>
              <w:t>6</w:t>
            </w:r>
          </w:p>
        </w:tc>
        <w:tc>
          <w:tcPr>
            <w:tcW w:w="645" w:type="pct"/>
            <w:noWrap w:val="0"/>
            <w:vAlign w:val="center"/>
          </w:tcPr>
          <w:p w14:paraId="3E64F0D0">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lang w:val="zh-CN"/>
              </w:rPr>
            </w:pPr>
            <w:r>
              <w:rPr>
                <w:rFonts w:hint="default" w:ascii="Times New Roman" w:hAnsi="Times New Roman" w:eastAsia="宋体" w:cs="Times New Roman"/>
                <w:color w:val="auto"/>
                <w:kern w:val="0"/>
                <w:sz w:val="24"/>
                <w:szCs w:val="24"/>
                <w:highlight w:val="none"/>
                <w:lang w:val="en-US" w:eastAsia="zh-CN" w:bidi="ar-SA"/>
              </w:rPr>
              <w:t>指导开展应急演练和应急能力提升</w:t>
            </w:r>
          </w:p>
        </w:tc>
        <w:tc>
          <w:tcPr>
            <w:tcW w:w="2658" w:type="pct"/>
            <w:noWrap w:val="0"/>
            <w:vAlign w:val="center"/>
          </w:tcPr>
          <w:p w14:paraId="4C8E253E">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指导新区每年开展不少于1次双盲应急演练和其他综合性、专项性应急演练；参与对危化品企业双盲应急演练的现场评估，形成问题清单、评估意见和改进建议。</w:t>
            </w:r>
          </w:p>
          <w:p w14:paraId="4F2C09AB">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根据园区需要</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每年组织应急救援方面专家开展园区应急物资和应急能力</w:t>
            </w:r>
            <w:r>
              <w:rPr>
                <w:rFonts w:hint="eastAsia" w:ascii="Times New Roman" w:hAnsi="Times New Roman" w:eastAsia="宋体" w:cs="Times New Roman"/>
                <w:color w:val="auto"/>
                <w:sz w:val="24"/>
                <w:szCs w:val="24"/>
                <w:highlight w:val="none"/>
                <w:lang w:val="en-US" w:eastAsia="zh-CN"/>
              </w:rPr>
              <w:t>检查和</w:t>
            </w:r>
            <w:r>
              <w:rPr>
                <w:rFonts w:hint="default" w:ascii="Times New Roman" w:hAnsi="Times New Roman" w:eastAsia="宋体" w:cs="Times New Roman"/>
                <w:color w:val="auto"/>
                <w:sz w:val="24"/>
                <w:szCs w:val="24"/>
                <w:highlight w:val="none"/>
                <w:lang w:val="en-US" w:eastAsia="zh-CN"/>
              </w:rPr>
              <w:t>评估。</w:t>
            </w:r>
          </w:p>
        </w:tc>
        <w:tc>
          <w:tcPr>
            <w:tcW w:w="839" w:type="pct"/>
            <w:noWrap w:val="0"/>
            <w:vAlign w:val="center"/>
          </w:tcPr>
          <w:p w14:paraId="15A542D0">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sz w:val="24"/>
                <w:szCs w:val="24"/>
                <w:highlight w:val="none"/>
              </w:rPr>
              <w:t>园区双盲演练每年</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1次；企业双盲演练评估</w:t>
            </w:r>
            <w:r>
              <w:rPr>
                <w:rFonts w:hint="default" w:ascii="Times New Roman" w:hAnsi="Times New Roman" w:eastAsia="宋体" w:cs="Times New Roman"/>
                <w:color w:val="auto"/>
                <w:sz w:val="24"/>
                <w:szCs w:val="24"/>
                <w:highlight w:val="none"/>
                <w:lang w:val="en-US" w:eastAsia="zh-CN"/>
              </w:rPr>
              <w:t>按</w:t>
            </w:r>
            <w:r>
              <w:rPr>
                <w:rFonts w:hint="default" w:ascii="Times New Roman" w:hAnsi="Times New Roman" w:eastAsia="宋体" w:cs="Times New Roman"/>
                <w:color w:val="auto"/>
                <w:sz w:val="24"/>
                <w:szCs w:val="24"/>
                <w:highlight w:val="none"/>
              </w:rPr>
              <w:t>需开展</w:t>
            </w:r>
            <w:r>
              <w:rPr>
                <w:rFonts w:hint="default" w:ascii="Times New Roman" w:hAnsi="Times New Roman" w:eastAsia="宋体" w:cs="Times New Roman"/>
                <w:color w:val="auto"/>
                <w:sz w:val="24"/>
                <w:szCs w:val="24"/>
                <w:highlight w:val="none"/>
                <w:lang w:eastAsia="zh-CN"/>
              </w:rPr>
              <w:t>。</w:t>
            </w:r>
          </w:p>
        </w:tc>
        <w:tc>
          <w:tcPr>
            <w:tcW w:w="576" w:type="pct"/>
            <w:vMerge w:val="continue"/>
            <w:noWrap w:val="0"/>
            <w:vAlign w:val="center"/>
          </w:tcPr>
          <w:p w14:paraId="63AE444D">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p>
        </w:tc>
      </w:tr>
      <w:tr w14:paraId="6D439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1BEE3CAC">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rPr>
              <w:t>7</w:t>
            </w:r>
          </w:p>
        </w:tc>
        <w:tc>
          <w:tcPr>
            <w:tcW w:w="645" w:type="pct"/>
            <w:noWrap w:val="0"/>
            <w:vAlign w:val="center"/>
          </w:tcPr>
          <w:p w14:paraId="5E105D6B">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lang w:val="zh-CN"/>
              </w:rPr>
            </w:pPr>
            <w:r>
              <w:rPr>
                <w:rFonts w:hint="default" w:ascii="Times New Roman" w:hAnsi="Times New Roman" w:eastAsia="宋体" w:cs="Times New Roman"/>
                <w:color w:val="auto"/>
                <w:kern w:val="0"/>
                <w:sz w:val="24"/>
                <w:szCs w:val="24"/>
                <w:highlight w:val="none"/>
                <w:lang w:val="en-US" w:eastAsia="zh-CN" w:bidi="ar-SA"/>
              </w:rPr>
              <w:t>开展培训交流和本土化专家队伍培养</w:t>
            </w:r>
          </w:p>
        </w:tc>
        <w:tc>
          <w:tcPr>
            <w:tcW w:w="2658" w:type="pct"/>
            <w:noWrap w:val="0"/>
            <w:vAlign w:val="center"/>
          </w:tcPr>
          <w:p w14:paraId="3032FB4C">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lang w:val="zh-CN" w:eastAsia="zh-CN"/>
              </w:rPr>
            </w:pPr>
            <w:r>
              <w:rPr>
                <w:rFonts w:hint="default" w:ascii="Times New Roman" w:hAnsi="Times New Roman" w:eastAsia="宋体" w:cs="Times New Roman"/>
                <w:color w:val="auto"/>
                <w:sz w:val="24"/>
                <w:szCs w:val="24"/>
                <w:highlight w:val="none"/>
              </w:rPr>
              <w:t>每年组织不少于5次</w:t>
            </w:r>
            <w:r>
              <w:rPr>
                <w:rFonts w:hint="default" w:ascii="Times New Roman" w:hAnsi="Times New Roman" w:eastAsia="宋体" w:cs="Times New Roman"/>
                <w:color w:val="auto"/>
                <w:sz w:val="24"/>
                <w:szCs w:val="24"/>
                <w:highlight w:val="none"/>
                <w:lang w:val="en-US" w:eastAsia="zh-CN"/>
              </w:rPr>
              <w:t>综合</w:t>
            </w:r>
            <w:r>
              <w:rPr>
                <w:rFonts w:hint="default" w:ascii="Times New Roman" w:hAnsi="Times New Roman" w:eastAsia="宋体" w:cs="Times New Roman"/>
                <w:color w:val="auto"/>
                <w:sz w:val="24"/>
                <w:szCs w:val="24"/>
                <w:highlight w:val="none"/>
              </w:rPr>
              <w:t>培训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每家企业至少开展1次差异化培训</w:t>
            </w:r>
            <w:r>
              <w:rPr>
                <w:rFonts w:hint="default" w:ascii="Times New Roman" w:hAnsi="Times New Roman" w:eastAsia="宋体" w:cs="Times New Roman"/>
                <w:color w:val="auto"/>
                <w:sz w:val="24"/>
                <w:szCs w:val="24"/>
                <w:highlight w:val="none"/>
              </w:rPr>
              <w:t>；通过联合检查、案例复盘、专题研讨、驻点跟学等方式，帮助企业培养本土化专家骨干；每半年收集汇编国内先进园区和标杆企业典型经验做法，形成专题资料。</w:t>
            </w:r>
            <w:r>
              <w:rPr>
                <w:rFonts w:hint="default" w:ascii="Times New Roman" w:hAnsi="Times New Roman" w:eastAsia="宋体" w:cs="Times New Roman"/>
                <w:color w:val="auto"/>
                <w:kern w:val="2"/>
                <w:sz w:val="24"/>
                <w:szCs w:val="24"/>
                <w:highlight w:val="none"/>
                <w:lang w:val="en-US" w:eastAsia="zh-CN" w:bidi="ar-SA"/>
              </w:rPr>
              <w:t>深化监管人员传帮带培养，提升监管人员</w:t>
            </w:r>
            <w:r>
              <w:rPr>
                <w:rFonts w:hint="eastAsia" w:ascii="Times New Roman" w:hAnsi="Times New Roman" w:eastAsia="宋体" w:cs="Times New Roman"/>
                <w:color w:val="auto"/>
                <w:kern w:val="2"/>
                <w:sz w:val="24"/>
                <w:szCs w:val="24"/>
                <w:highlight w:val="none"/>
                <w:lang w:val="en-US" w:eastAsia="zh-CN" w:bidi="ar-SA"/>
              </w:rPr>
              <w:t>安全监管</w:t>
            </w:r>
            <w:r>
              <w:rPr>
                <w:rFonts w:hint="default" w:ascii="Times New Roman" w:hAnsi="Times New Roman" w:eastAsia="宋体" w:cs="Times New Roman"/>
                <w:color w:val="auto"/>
                <w:kern w:val="2"/>
                <w:sz w:val="24"/>
                <w:szCs w:val="24"/>
                <w:highlight w:val="none"/>
                <w:lang w:val="en-US" w:eastAsia="zh-CN" w:bidi="ar-SA"/>
              </w:rPr>
              <w:t>专业履职水平。</w:t>
            </w:r>
          </w:p>
        </w:tc>
        <w:tc>
          <w:tcPr>
            <w:tcW w:w="839" w:type="pct"/>
            <w:noWrap w:val="0"/>
            <w:vAlign w:val="center"/>
          </w:tcPr>
          <w:p w14:paraId="76864972">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培训不少于5次/年；汇编1次/半年</w:t>
            </w:r>
            <w:r>
              <w:rPr>
                <w:rFonts w:hint="default" w:ascii="Times New Roman" w:hAnsi="Times New Roman" w:eastAsia="宋体" w:cs="Times New Roman"/>
                <w:color w:val="auto"/>
                <w:sz w:val="24"/>
                <w:szCs w:val="24"/>
                <w:highlight w:val="none"/>
                <w:lang w:eastAsia="zh-CN"/>
              </w:rPr>
              <w:t>。</w:t>
            </w:r>
          </w:p>
        </w:tc>
        <w:tc>
          <w:tcPr>
            <w:tcW w:w="576" w:type="pct"/>
            <w:vMerge w:val="continue"/>
            <w:noWrap w:val="0"/>
            <w:vAlign w:val="center"/>
          </w:tcPr>
          <w:p w14:paraId="7268F9FA">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p>
        </w:tc>
      </w:tr>
      <w:tr w14:paraId="0727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65A00FDC">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rPr>
              <w:t>8</w:t>
            </w:r>
          </w:p>
        </w:tc>
        <w:tc>
          <w:tcPr>
            <w:tcW w:w="645" w:type="pct"/>
            <w:noWrap w:val="0"/>
            <w:vAlign w:val="center"/>
          </w:tcPr>
          <w:p w14:paraId="67181707">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lang w:val="en-US" w:eastAsia="zh-CN" w:bidi="ar-SA"/>
              </w:rPr>
              <w:t>协助开展日常值守和重点时段值班值守</w:t>
            </w:r>
          </w:p>
        </w:tc>
        <w:tc>
          <w:tcPr>
            <w:tcW w:w="2658" w:type="pct"/>
            <w:noWrap w:val="0"/>
            <w:vAlign w:val="center"/>
          </w:tcPr>
          <w:p w14:paraId="538F0BB0">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应安排不少于2名专业技术人员在岗值班值守，参与园区每日安全运行信息研判、重点风险提醒、突发情况会商和现场技术支撑。</w:t>
            </w:r>
          </w:p>
          <w:p w14:paraId="6D9C50F9">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在法定节假日、恶劣天气、重大活动、装置集中检维修等重点时段，配合招标人安排专家在岗值守或备勤，协助新区开展重点时段安全巡查，做好突发事件应急处置准备。</w:t>
            </w:r>
          </w:p>
        </w:tc>
        <w:tc>
          <w:tcPr>
            <w:tcW w:w="839" w:type="pct"/>
            <w:noWrap w:val="0"/>
            <w:vAlign w:val="center"/>
          </w:tcPr>
          <w:p w14:paraId="4DE71C35">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根据需要及时开展</w:t>
            </w:r>
            <w:r>
              <w:rPr>
                <w:rFonts w:hint="default" w:ascii="Times New Roman" w:hAnsi="Times New Roman" w:eastAsia="宋体" w:cs="Times New Roman"/>
                <w:color w:val="auto"/>
                <w:kern w:val="0"/>
                <w:sz w:val="24"/>
                <w:szCs w:val="24"/>
                <w:highlight w:val="none"/>
                <w:lang w:eastAsia="zh-CN"/>
              </w:rPr>
              <w:t>。</w:t>
            </w:r>
          </w:p>
        </w:tc>
        <w:tc>
          <w:tcPr>
            <w:tcW w:w="576" w:type="pct"/>
            <w:vMerge w:val="continue"/>
            <w:noWrap w:val="0"/>
            <w:vAlign w:val="center"/>
          </w:tcPr>
          <w:p w14:paraId="6BA03AA6">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p>
        </w:tc>
      </w:tr>
      <w:tr w14:paraId="2CA5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6ECD38BA">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lang w:val="en-US" w:eastAsia="zh-CN"/>
              </w:rPr>
              <w:t>9</w:t>
            </w:r>
          </w:p>
        </w:tc>
        <w:tc>
          <w:tcPr>
            <w:tcW w:w="645" w:type="pct"/>
            <w:noWrap w:val="0"/>
            <w:vAlign w:val="center"/>
          </w:tcPr>
          <w:p w14:paraId="7C954A8F">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SA"/>
              </w:rPr>
              <w:t>开展园区层面安全治理机制研究和综合支撑</w:t>
            </w:r>
          </w:p>
        </w:tc>
        <w:tc>
          <w:tcPr>
            <w:tcW w:w="2658" w:type="pct"/>
            <w:noWrap w:val="0"/>
            <w:vAlign w:val="center"/>
          </w:tcPr>
          <w:p w14:paraId="3C88CFB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围绕园区层面安全管理事项，协助开展专题研究、机制评估和制度优化，形成专题报告、典型案例等成果；围绕过程安全管理、重点领域专项治理等工作，及时总结提炼成熟做法，形成机制性成果。</w:t>
            </w:r>
            <w:r>
              <w:rPr>
                <w:rFonts w:hint="eastAsia" w:ascii="Times New Roman" w:hAnsi="Times New Roman" w:eastAsia="宋体" w:cs="Times New Roman"/>
                <w:color w:val="auto"/>
                <w:sz w:val="24"/>
                <w:szCs w:val="24"/>
                <w:highlight w:val="none"/>
                <w:lang w:val="en-US" w:eastAsia="zh-CN"/>
              </w:rPr>
              <w:t>组织不少于</w:t>
            </w:r>
            <w:r>
              <w:rPr>
                <w:rFonts w:hint="default" w:ascii="Times New Roman" w:hAnsi="Times New Roman" w:eastAsia="宋体" w:cs="Times New Roman"/>
                <w:color w:val="auto"/>
                <w:sz w:val="24"/>
                <w:szCs w:val="24"/>
                <w:highlight w:val="none"/>
                <w:lang w:val="en-US" w:eastAsia="zh-CN"/>
              </w:rPr>
              <w:t>5名</w:t>
            </w:r>
            <w:r>
              <w:rPr>
                <w:rFonts w:hint="eastAsia" w:ascii="Times New Roman" w:hAnsi="Times New Roman" w:eastAsia="宋体" w:cs="Times New Roman"/>
                <w:color w:val="auto"/>
                <w:sz w:val="24"/>
                <w:szCs w:val="24"/>
                <w:highlight w:val="none"/>
                <w:lang w:val="en-US" w:eastAsia="zh-CN"/>
              </w:rPr>
              <w:t>专家，每年对新区石化产业基地开展风险等级评估，专家应参加过省级及以上化工园区评估。</w:t>
            </w:r>
          </w:p>
        </w:tc>
        <w:tc>
          <w:tcPr>
            <w:tcW w:w="839" w:type="pct"/>
            <w:noWrap w:val="0"/>
            <w:vAlign w:val="center"/>
          </w:tcPr>
          <w:p w14:paraId="581B203A">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根据</w:t>
            </w:r>
            <w:r>
              <w:rPr>
                <w:rFonts w:hint="default" w:ascii="Times New Roman" w:hAnsi="Times New Roman" w:eastAsia="宋体" w:cs="Times New Roman"/>
                <w:color w:val="auto"/>
                <w:kern w:val="0"/>
                <w:sz w:val="24"/>
                <w:szCs w:val="24"/>
                <w:highlight w:val="none"/>
                <w:lang w:val="en-US" w:eastAsia="zh-CN"/>
              </w:rPr>
              <w:t>工作安排</w:t>
            </w:r>
            <w:r>
              <w:rPr>
                <w:rFonts w:hint="default" w:ascii="Times New Roman" w:hAnsi="Times New Roman" w:eastAsia="宋体" w:cs="Times New Roman"/>
                <w:color w:val="auto"/>
                <w:kern w:val="0"/>
                <w:sz w:val="24"/>
                <w:szCs w:val="24"/>
                <w:highlight w:val="none"/>
              </w:rPr>
              <w:t>开展</w:t>
            </w:r>
            <w:r>
              <w:rPr>
                <w:rFonts w:hint="default" w:ascii="Times New Roman" w:hAnsi="Times New Roman" w:eastAsia="宋体" w:cs="Times New Roman"/>
                <w:color w:val="auto"/>
                <w:kern w:val="0"/>
                <w:sz w:val="24"/>
                <w:szCs w:val="24"/>
                <w:highlight w:val="none"/>
                <w:lang w:eastAsia="zh-CN"/>
              </w:rPr>
              <w:t>。</w:t>
            </w:r>
          </w:p>
        </w:tc>
        <w:tc>
          <w:tcPr>
            <w:tcW w:w="576" w:type="pct"/>
            <w:vMerge w:val="continue"/>
            <w:noWrap w:val="0"/>
            <w:vAlign w:val="center"/>
          </w:tcPr>
          <w:p w14:paraId="3629A0BD">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p>
        </w:tc>
      </w:tr>
      <w:tr w14:paraId="509BF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5"/>
            <w:noWrap w:val="0"/>
            <w:vAlign w:val="center"/>
          </w:tcPr>
          <w:p w14:paraId="42B96849">
            <w:pPr>
              <w:keepNext/>
              <w:keepLines w:val="0"/>
              <w:pageBreakBefore w:val="0"/>
              <w:widowControl w:val="0"/>
              <w:kinsoku/>
              <w:wordWrap/>
              <w:overflowPunct/>
              <w:topLinePunct w:val="0"/>
              <w:bidi w:val="0"/>
              <w:adjustRightInd w:val="0"/>
              <w:snapToGrid w:val="0"/>
              <w:spacing w:line="400" w:lineRule="exact"/>
              <w:ind w:left="0" w:leftChars="0"/>
              <w:jc w:val="left"/>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三、保障机制</w:t>
            </w:r>
          </w:p>
        </w:tc>
      </w:tr>
      <w:tr w14:paraId="6BA6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4870A127">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1</w:t>
            </w:r>
          </w:p>
        </w:tc>
        <w:tc>
          <w:tcPr>
            <w:tcW w:w="645" w:type="pct"/>
            <w:noWrap w:val="0"/>
            <w:vAlign w:val="center"/>
          </w:tcPr>
          <w:p w14:paraId="1923209D">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bidi="ar-SA"/>
              </w:rPr>
              <w:t>专家出行与现场服务保障</w:t>
            </w:r>
          </w:p>
        </w:tc>
        <w:tc>
          <w:tcPr>
            <w:tcW w:w="2658" w:type="pct"/>
            <w:noWrap w:val="0"/>
            <w:vAlign w:val="center"/>
          </w:tcPr>
          <w:p w14:paraId="5B6BBEDC">
            <w:pPr>
              <w:keepNext/>
              <w:keepLines w:val="0"/>
              <w:pageBreakBefore w:val="0"/>
              <w:widowControl w:val="0"/>
              <w:kinsoku/>
              <w:wordWrap/>
              <w:overflowPunct/>
              <w:topLinePunct w:val="0"/>
              <w:bidi w:val="0"/>
              <w:adjustRightInd w:val="0"/>
              <w:snapToGrid w:val="0"/>
              <w:spacing w:line="400" w:lineRule="exact"/>
              <w:ind w:left="0" w:leftChars="0"/>
              <w:jc w:val="left"/>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sz w:val="24"/>
                <w:szCs w:val="24"/>
                <w:highlight w:val="none"/>
              </w:rPr>
              <w:t>第三方服务单位应配备满足项目需要的车辆和现场服务保障条件，确保项目相关人员日常出行、夜间值守、突发情况下现场支撑及时到位。</w:t>
            </w:r>
          </w:p>
        </w:tc>
        <w:tc>
          <w:tcPr>
            <w:tcW w:w="839" w:type="pct"/>
            <w:noWrap w:val="0"/>
            <w:vAlign w:val="center"/>
          </w:tcPr>
          <w:p w14:paraId="0C40619F">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sz w:val="24"/>
                <w:szCs w:val="24"/>
                <w:highlight w:val="none"/>
              </w:rPr>
              <w:t>全周期保障</w:t>
            </w:r>
            <w:r>
              <w:rPr>
                <w:rFonts w:hint="default" w:ascii="Times New Roman" w:hAnsi="Times New Roman" w:eastAsia="宋体" w:cs="Times New Roman"/>
                <w:color w:val="auto"/>
                <w:sz w:val="24"/>
                <w:szCs w:val="24"/>
                <w:highlight w:val="none"/>
                <w:lang w:eastAsia="zh-CN"/>
              </w:rPr>
              <w:t>。</w:t>
            </w:r>
          </w:p>
        </w:tc>
        <w:tc>
          <w:tcPr>
            <w:tcW w:w="576" w:type="pct"/>
            <w:noWrap w:val="0"/>
            <w:vAlign w:val="center"/>
          </w:tcPr>
          <w:p w14:paraId="6F5ED68E">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w:t>
            </w:r>
          </w:p>
        </w:tc>
      </w:tr>
      <w:tr w14:paraId="5B204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79" w:type="pct"/>
            <w:noWrap w:val="0"/>
            <w:vAlign w:val="center"/>
          </w:tcPr>
          <w:p w14:paraId="4B62439B">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2</w:t>
            </w:r>
          </w:p>
        </w:tc>
        <w:tc>
          <w:tcPr>
            <w:tcW w:w="645" w:type="pct"/>
            <w:noWrap w:val="0"/>
            <w:vAlign w:val="center"/>
          </w:tcPr>
          <w:p w14:paraId="37C52038">
            <w:pPr>
              <w:pStyle w:val="298"/>
              <w:keepNext/>
              <w:keepLines w:val="0"/>
              <w:pageBreakBefore w:val="0"/>
              <w:widowControl w:val="0"/>
              <w:kinsoku/>
              <w:wordWrap/>
              <w:overflowPunct/>
              <w:topLinePunct w:val="0"/>
              <w:bidi w:val="0"/>
              <w:adjustRightInd w:val="0"/>
              <w:snapToGrid w:val="0"/>
              <w:spacing w:line="400" w:lineRule="exact"/>
              <w:ind w:left="0" w:leftChars="0"/>
              <w:jc w:val="both"/>
              <w:textAlignment w:val="auto"/>
              <w:rPr>
                <w:rFonts w:hint="default" w:ascii="Times New Roman" w:hAnsi="Times New Roman" w:eastAsia="宋体" w:cs="Times New Roman"/>
                <w:strike w:val="0"/>
                <w:dstrike w:val="0"/>
                <w:color w:val="auto"/>
                <w:kern w:val="0"/>
                <w:sz w:val="24"/>
                <w:szCs w:val="24"/>
                <w:highlight w:val="none"/>
              </w:rPr>
            </w:pPr>
            <w:r>
              <w:rPr>
                <w:rFonts w:hint="default" w:ascii="Times New Roman" w:hAnsi="Times New Roman" w:eastAsia="宋体" w:cs="Times New Roman"/>
                <w:strike w:val="0"/>
                <w:dstrike w:val="0"/>
                <w:color w:val="auto"/>
                <w:kern w:val="0"/>
                <w:sz w:val="24"/>
                <w:szCs w:val="24"/>
                <w:highlight w:val="none"/>
                <w:lang w:val="en-US" w:eastAsia="zh-CN" w:bidi="ar-SA"/>
              </w:rPr>
              <w:t>服务质量考核</w:t>
            </w:r>
          </w:p>
        </w:tc>
        <w:tc>
          <w:tcPr>
            <w:tcW w:w="2658" w:type="pct"/>
            <w:noWrap w:val="0"/>
            <w:vAlign w:val="center"/>
          </w:tcPr>
          <w:p w14:paraId="740A95CA">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eastAsia" w:ascii="Times New Roman" w:hAnsi="Times New Roman" w:eastAsia="宋体" w:cs="Times New Roman"/>
                <w:strike w:val="0"/>
                <w:dstrike w:val="0"/>
                <w:color w:val="auto"/>
                <w:kern w:val="0"/>
                <w:sz w:val="24"/>
                <w:szCs w:val="24"/>
                <w:highlight w:val="none"/>
                <w:lang w:eastAsia="zh-CN"/>
              </w:rPr>
            </w:pPr>
            <w:r>
              <w:rPr>
                <w:rFonts w:hint="default" w:ascii="Times New Roman" w:hAnsi="Times New Roman" w:eastAsia="宋体" w:cs="Times New Roman"/>
                <w:strike w:val="0"/>
                <w:dstrike w:val="0"/>
                <w:color w:val="auto"/>
                <w:sz w:val="24"/>
                <w:szCs w:val="24"/>
                <w:highlight w:val="none"/>
                <w:lang w:val="en-US" w:eastAsia="zh-CN"/>
              </w:rPr>
              <w:t>项目费用中50万元作为服务质量履约考核费用。考核内容主要包括任务完成、成果质量、隐患排查、整改复核、培训演练、风险研判和服务评价等。</w:t>
            </w:r>
          </w:p>
        </w:tc>
        <w:tc>
          <w:tcPr>
            <w:tcW w:w="839" w:type="pct"/>
            <w:noWrap w:val="0"/>
            <w:vAlign w:val="center"/>
          </w:tcPr>
          <w:p w14:paraId="0FFBF363">
            <w:pPr>
              <w:keepNext/>
              <w:keepLines w:val="0"/>
              <w:pageBreakBefore w:val="0"/>
              <w:widowControl w:val="0"/>
              <w:kinsoku/>
              <w:wordWrap/>
              <w:overflowPunct/>
              <w:topLinePunct w:val="0"/>
              <w:bidi w:val="0"/>
              <w:adjustRightInd w:val="0"/>
              <w:snapToGrid w:val="0"/>
              <w:spacing w:line="400" w:lineRule="exact"/>
              <w:ind w:left="0" w:leftChars="0"/>
              <w:textAlignment w:val="auto"/>
              <w:rPr>
                <w:rFonts w:hint="default" w:ascii="Times New Roman" w:hAnsi="Times New Roman" w:eastAsia="宋体" w:cs="Times New Roman"/>
                <w:strike w:val="0"/>
                <w:dstrike w:val="0"/>
                <w:color w:val="auto"/>
                <w:kern w:val="0"/>
                <w:sz w:val="24"/>
                <w:szCs w:val="24"/>
                <w:highlight w:val="none"/>
                <w:lang w:val="en-US" w:eastAsia="zh-CN"/>
              </w:rPr>
            </w:pPr>
            <w:r>
              <w:rPr>
                <w:rFonts w:hint="default" w:ascii="Times New Roman" w:hAnsi="Times New Roman" w:eastAsia="宋体" w:cs="Times New Roman"/>
                <w:strike w:val="0"/>
                <w:dstrike w:val="0"/>
                <w:color w:val="auto"/>
                <w:sz w:val="24"/>
                <w:szCs w:val="24"/>
                <w:highlight w:val="none"/>
              </w:rPr>
              <w:t>按年度考核</w:t>
            </w:r>
          </w:p>
        </w:tc>
        <w:tc>
          <w:tcPr>
            <w:tcW w:w="576" w:type="pct"/>
            <w:noWrap w:val="0"/>
            <w:vAlign w:val="center"/>
          </w:tcPr>
          <w:p w14:paraId="1AE1E8F9">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strike w:val="0"/>
                <w:dstrike w:val="0"/>
                <w:color w:val="auto"/>
                <w:kern w:val="0"/>
                <w:sz w:val="24"/>
                <w:szCs w:val="24"/>
                <w:highlight w:val="none"/>
              </w:rPr>
            </w:pPr>
            <w:r>
              <w:rPr>
                <w:rFonts w:hint="default" w:ascii="Times New Roman" w:hAnsi="Times New Roman" w:eastAsia="宋体" w:cs="Times New Roman"/>
                <w:strike w:val="0"/>
                <w:dstrike w:val="0"/>
                <w:color w:val="auto"/>
                <w:kern w:val="0"/>
                <w:sz w:val="24"/>
                <w:szCs w:val="24"/>
                <w:highlight w:val="none"/>
              </w:rPr>
              <w:t>50</w:t>
            </w:r>
          </w:p>
        </w:tc>
      </w:tr>
      <w:tr w14:paraId="6697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423" w:type="pct"/>
            <w:gridSpan w:val="4"/>
            <w:noWrap w:val="0"/>
            <w:vAlign w:val="center"/>
          </w:tcPr>
          <w:p w14:paraId="29A3D385">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eastAsia"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费用总计</w:t>
            </w:r>
            <w:r>
              <w:rPr>
                <w:rFonts w:hint="eastAsia" w:ascii="宋体" w:hAnsi="宋体" w:eastAsia="宋体" w:cs="Times New Roman"/>
                <w:color w:val="auto"/>
                <w:sz w:val="24"/>
                <w:highlight w:val="none"/>
                <w:lang w:val="en-US" w:eastAsia="zh-CN"/>
              </w:rPr>
              <w:t>（每年</w:t>
            </w:r>
            <w:r>
              <w:rPr>
                <w:rFonts w:hint="default" w:ascii="Times New Roman" w:hAnsi="Times New Roman" w:eastAsia="宋体" w:cs="Times New Roman"/>
                <w:color w:val="auto"/>
                <w:kern w:val="0"/>
                <w:sz w:val="24"/>
                <w:szCs w:val="24"/>
                <w:highlight w:val="none"/>
              </w:rPr>
              <w:t>费用</w:t>
            </w:r>
            <w:r>
              <w:rPr>
                <w:rFonts w:hint="eastAsia" w:ascii="Times New Roman" w:hAnsi="Times New Roman" w:eastAsia="宋体" w:cs="Times New Roman"/>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lang w:val="en-US" w:eastAsia="zh-CN"/>
              </w:rPr>
              <w:t>单位万元</w:t>
            </w:r>
            <w:r>
              <w:rPr>
                <w:rFonts w:hint="eastAsia" w:ascii="宋体" w:hAnsi="宋体" w:eastAsia="宋体" w:cs="Times New Roman"/>
                <w:color w:val="auto"/>
                <w:sz w:val="24"/>
                <w:highlight w:val="none"/>
                <w:lang w:val="en-US" w:eastAsia="zh-CN"/>
              </w:rPr>
              <w:t>）</w:t>
            </w:r>
          </w:p>
        </w:tc>
        <w:tc>
          <w:tcPr>
            <w:tcW w:w="576" w:type="pct"/>
            <w:noWrap w:val="0"/>
            <w:vAlign w:val="center"/>
          </w:tcPr>
          <w:p w14:paraId="31843C99">
            <w:pPr>
              <w:keepNext/>
              <w:keepLines w:val="0"/>
              <w:pageBreakBefore w:val="0"/>
              <w:widowControl w:val="0"/>
              <w:kinsoku/>
              <w:wordWrap/>
              <w:overflowPunct/>
              <w:topLinePunct w:val="0"/>
              <w:bidi w:val="0"/>
              <w:adjustRightInd w:val="0"/>
              <w:snapToGrid w:val="0"/>
              <w:spacing w:line="400" w:lineRule="exact"/>
              <w:ind w:left="0" w:leftChars="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400</w:t>
            </w:r>
          </w:p>
        </w:tc>
      </w:tr>
    </w:tbl>
    <w:p w14:paraId="35ACA06A">
      <w:pPr>
        <w:pStyle w:val="190"/>
        <w:keepLines/>
        <w:numPr>
          <w:ilvl w:val="0"/>
          <w:numId w:val="0"/>
        </w:numPr>
        <w:spacing w:line="360" w:lineRule="auto"/>
        <w:rPr>
          <w:rFonts w:hint="eastAsia" w:ascii="Times New Roman" w:hAnsi="宋体" w:eastAsia="黑体"/>
          <w:color w:val="auto"/>
          <w:sz w:val="36"/>
          <w:szCs w:val="20"/>
          <w:highlight w:val="none"/>
        </w:rPr>
      </w:pPr>
    </w:p>
    <w:p w14:paraId="465AE839">
      <w:pPr>
        <w:pStyle w:val="190"/>
        <w:keepLines/>
        <w:numPr>
          <w:ilvl w:val="0"/>
          <w:numId w:val="0"/>
        </w:numPr>
        <w:spacing w:line="360" w:lineRule="auto"/>
        <w:rPr>
          <w:rFonts w:hint="eastAsia" w:ascii="Times New Roman" w:hAnsi="宋体" w:eastAsia="黑体"/>
          <w:color w:val="auto"/>
          <w:sz w:val="36"/>
          <w:szCs w:val="20"/>
          <w:highlight w:val="none"/>
        </w:rPr>
      </w:pPr>
    </w:p>
    <w:p w14:paraId="7D63D520">
      <w:pPr>
        <w:rPr>
          <w:rFonts w:hint="eastAsia" w:ascii="Times New Roman" w:hAnsi="宋体" w:eastAsia="黑体"/>
          <w:color w:val="auto"/>
          <w:sz w:val="36"/>
          <w:szCs w:val="20"/>
          <w:highlight w:val="none"/>
        </w:rPr>
      </w:pPr>
    </w:p>
    <w:p w14:paraId="0B086152">
      <w:pPr>
        <w:rPr>
          <w:rFonts w:hint="eastAsia" w:ascii="Times New Roman" w:hAnsi="宋体" w:eastAsia="黑体"/>
          <w:color w:val="auto"/>
          <w:sz w:val="36"/>
          <w:szCs w:val="20"/>
          <w:highlight w:val="none"/>
        </w:rPr>
      </w:pPr>
    </w:p>
    <w:p w14:paraId="044CF539">
      <w:pPr>
        <w:rPr>
          <w:rFonts w:hint="eastAsia" w:ascii="Times New Roman" w:hAnsi="宋体" w:eastAsia="黑体"/>
          <w:color w:val="auto"/>
          <w:sz w:val="36"/>
          <w:szCs w:val="20"/>
          <w:highlight w:val="none"/>
        </w:rPr>
      </w:pPr>
    </w:p>
    <w:p w14:paraId="24CAE5AB">
      <w:pPr>
        <w:rPr>
          <w:rFonts w:hint="eastAsia" w:ascii="Times New Roman" w:hAnsi="宋体" w:eastAsia="黑体"/>
          <w:color w:val="auto"/>
          <w:sz w:val="36"/>
          <w:szCs w:val="20"/>
          <w:highlight w:val="none"/>
        </w:rPr>
      </w:pPr>
    </w:p>
    <w:p w14:paraId="65EB3E32">
      <w:pPr>
        <w:rPr>
          <w:rFonts w:hint="eastAsia" w:ascii="Times New Roman" w:hAnsi="宋体" w:eastAsia="黑体"/>
          <w:color w:val="auto"/>
          <w:sz w:val="36"/>
          <w:szCs w:val="20"/>
          <w:highlight w:val="none"/>
        </w:rPr>
      </w:pPr>
    </w:p>
    <w:p w14:paraId="79D980C3">
      <w:pPr>
        <w:rPr>
          <w:rFonts w:hint="eastAsia" w:ascii="Times New Roman" w:hAnsi="宋体" w:eastAsia="黑体"/>
          <w:color w:val="auto"/>
          <w:sz w:val="36"/>
          <w:szCs w:val="20"/>
          <w:highlight w:val="none"/>
        </w:rPr>
      </w:pPr>
    </w:p>
    <w:p w14:paraId="5F8C6EBE">
      <w:pPr>
        <w:rPr>
          <w:rFonts w:hint="eastAsia" w:ascii="Times New Roman" w:hAnsi="宋体" w:eastAsia="黑体"/>
          <w:color w:val="auto"/>
          <w:sz w:val="36"/>
          <w:szCs w:val="20"/>
          <w:highlight w:val="none"/>
        </w:rPr>
      </w:pPr>
    </w:p>
    <w:p w14:paraId="7C5E663D">
      <w:pPr>
        <w:rPr>
          <w:rFonts w:hint="eastAsia" w:ascii="Times New Roman" w:hAnsi="宋体" w:eastAsia="黑体"/>
          <w:color w:val="auto"/>
          <w:sz w:val="36"/>
          <w:szCs w:val="20"/>
          <w:highlight w:val="none"/>
        </w:rPr>
      </w:pPr>
    </w:p>
    <w:p w14:paraId="09111CF6">
      <w:pPr>
        <w:rPr>
          <w:rFonts w:hint="eastAsia" w:ascii="Times New Roman" w:hAnsi="宋体" w:eastAsia="黑体"/>
          <w:color w:val="auto"/>
          <w:sz w:val="36"/>
          <w:szCs w:val="20"/>
          <w:highlight w:val="none"/>
        </w:rPr>
      </w:pPr>
    </w:p>
    <w:p w14:paraId="0A5A81F6">
      <w:pPr>
        <w:rPr>
          <w:rFonts w:hint="eastAsia" w:ascii="Times New Roman" w:hAnsi="宋体" w:eastAsia="黑体"/>
          <w:color w:val="auto"/>
          <w:sz w:val="36"/>
          <w:szCs w:val="20"/>
          <w:highlight w:val="none"/>
        </w:rPr>
      </w:pPr>
    </w:p>
    <w:p w14:paraId="7E1EB63C">
      <w:pPr>
        <w:rPr>
          <w:rFonts w:hint="eastAsia" w:ascii="Times New Roman" w:hAnsi="宋体" w:eastAsia="黑体"/>
          <w:color w:val="auto"/>
          <w:sz w:val="36"/>
          <w:szCs w:val="20"/>
          <w:highlight w:val="none"/>
        </w:rPr>
      </w:pPr>
    </w:p>
    <w:p w14:paraId="1DC81B7A">
      <w:pPr>
        <w:rPr>
          <w:rFonts w:hint="eastAsia" w:ascii="Times New Roman" w:hAnsi="宋体" w:eastAsia="黑体"/>
          <w:color w:val="auto"/>
          <w:sz w:val="36"/>
          <w:szCs w:val="20"/>
          <w:highlight w:val="none"/>
        </w:rPr>
      </w:pPr>
    </w:p>
    <w:p w14:paraId="3934C207">
      <w:pPr>
        <w:rPr>
          <w:rFonts w:hint="eastAsia" w:ascii="Times New Roman" w:hAnsi="宋体" w:eastAsia="黑体"/>
          <w:color w:val="auto"/>
          <w:sz w:val="36"/>
          <w:szCs w:val="20"/>
          <w:highlight w:val="none"/>
        </w:rPr>
      </w:pPr>
    </w:p>
    <w:p w14:paraId="438EF2C4">
      <w:pPr>
        <w:rPr>
          <w:rFonts w:hint="eastAsia" w:ascii="Times New Roman" w:hAnsi="宋体" w:eastAsia="黑体"/>
          <w:color w:val="auto"/>
          <w:sz w:val="36"/>
          <w:szCs w:val="20"/>
          <w:highlight w:val="none"/>
        </w:rPr>
      </w:pPr>
    </w:p>
    <w:p w14:paraId="2884545A">
      <w:pPr>
        <w:pStyle w:val="190"/>
        <w:keepLines/>
        <w:numPr>
          <w:ilvl w:val="0"/>
          <w:numId w:val="0"/>
        </w:numPr>
        <w:spacing w:line="360" w:lineRule="auto"/>
        <w:rPr>
          <w:rFonts w:hint="eastAsia" w:ascii="宋体" w:hAnsi="宋体" w:eastAsia="宋体"/>
          <w:color w:val="auto"/>
          <w:highlight w:val="none"/>
        </w:rPr>
      </w:pPr>
      <w:r>
        <w:rPr>
          <w:rFonts w:hint="eastAsia" w:ascii="Times New Roman" w:hAnsi="宋体" w:eastAsia="黑体"/>
          <w:color w:val="auto"/>
          <w:sz w:val="36"/>
          <w:szCs w:val="20"/>
          <w:highlight w:val="none"/>
        </w:rPr>
        <w:t>第五部分  合同</w:t>
      </w:r>
      <w:bookmarkEnd w:id="137"/>
    </w:p>
    <w:p w14:paraId="520D2785">
      <w:pPr>
        <w:spacing w:line="360" w:lineRule="auto"/>
        <w:jc w:val="center"/>
        <w:rPr>
          <w:rFonts w:hint="eastAsia" w:ascii="宋体" w:hAnsi="宋体"/>
          <w:b/>
          <w:bCs/>
          <w:color w:val="auto"/>
          <w:sz w:val="52"/>
          <w:highlight w:val="none"/>
        </w:rPr>
      </w:pPr>
    </w:p>
    <w:p w14:paraId="3C2FD0D7">
      <w:pPr>
        <w:spacing w:line="360" w:lineRule="auto"/>
        <w:ind w:firstLine="2078" w:firstLineChars="398"/>
        <w:rPr>
          <w:rFonts w:hint="eastAsia" w:ascii="宋体" w:hAnsi="宋体"/>
          <w:b/>
          <w:bCs/>
          <w:color w:val="auto"/>
          <w:sz w:val="52"/>
          <w:highlight w:val="none"/>
        </w:rPr>
      </w:pPr>
      <w:bookmarkStart w:id="138" w:name="_Toc58260786"/>
      <w:bookmarkStart w:id="139" w:name="_Toc91256335"/>
      <w:bookmarkStart w:id="140" w:name="_Toc91183847"/>
      <w:r>
        <w:rPr>
          <w:rFonts w:hint="eastAsia" w:ascii="宋体" w:hAnsi="宋体"/>
          <w:b/>
          <w:bCs/>
          <w:color w:val="auto"/>
          <w:sz w:val="52"/>
          <w:highlight w:val="none"/>
        </w:rPr>
        <w:t>连 云 港 市 政 府 采 购</w:t>
      </w:r>
    </w:p>
    <w:p w14:paraId="60D676C3">
      <w:pPr>
        <w:spacing w:line="360" w:lineRule="auto"/>
        <w:ind w:firstLine="420" w:firstLineChars="200"/>
        <w:rPr>
          <w:rFonts w:hint="eastAsia" w:ascii="宋体" w:hAnsi="宋体"/>
          <w:color w:val="auto"/>
          <w:highlight w:val="none"/>
        </w:rPr>
      </w:pPr>
    </w:p>
    <w:p w14:paraId="5661A78E">
      <w:pPr>
        <w:spacing w:line="360" w:lineRule="auto"/>
        <w:ind w:firstLine="420" w:firstLineChars="200"/>
        <w:rPr>
          <w:rFonts w:hint="eastAsia" w:ascii="宋体" w:hAnsi="宋体"/>
          <w:color w:val="auto"/>
          <w:highlight w:val="none"/>
        </w:rPr>
      </w:pPr>
      <w:r>
        <w:rPr>
          <w:rFonts w:hint="eastAsia" w:ascii="宋体" w:hAnsi="宋体"/>
          <w:color w:val="auto"/>
          <w:highlight w:val="none"/>
        </w:rPr>
        <w:t xml:space="preserve">                                                 </w:t>
      </w:r>
    </w:p>
    <w:p w14:paraId="4631ADB5">
      <w:pPr>
        <w:spacing w:line="360" w:lineRule="auto"/>
        <w:jc w:val="center"/>
        <w:rPr>
          <w:rFonts w:hint="eastAsia"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合同</w:t>
      </w:r>
    </w:p>
    <w:p w14:paraId="41941790">
      <w:pPr>
        <w:spacing w:line="360" w:lineRule="auto"/>
        <w:ind w:firstLine="420" w:firstLineChars="200"/>
        <w:rPr>
          <w:rFonts w:hint="eastAsia" w:ascii="宋体" w:hAnsi="宋体"/>
          <w:color w:val="auto"/>
          <w:highlight w:val="none"/>
        </w:rPr>
      </w:pPr>
    </w:p>
    <w:p w14:paraId="3CAEDA47">
      <w:pPr>
        <w:spacing w:line="360" w:lineRule="auto"/>
        <w:ind w:firstLine="3070" w:firstLineChars="695"/>
        <w:rPr>
          <w:rFonts w:hint="eastAsia" w:ascii="宋体" w:hAnsi="宋体"/>
          <w:b/>
          <w:bCs/>
          <w:color w:val="auto"/>
          <w:sz w:val="44"/>
          <w:szCs w:val="44"/>
          <w:highlight w:val="none"/>
        </w:rPr>
      </w:pPr>
    </w:p>
    <w:p w14:paraId="07420217">
      <w:pPr>
        <w:spacing w:line="360" w:lineRule="auto"/>
        <w:ind w:firstLine="880" w:firstLineChars="200"/>
        <w:rPr>
          <w:rFonts w:hint="eastAsia" w:ascii="宋体" w:hAnsi="宋体"/>
          <w:color w:val="auto"/>
          <w:sz w:val="44"/>
          <w:szCs w:val="44"/>
          <w:highlight w:val="none"/>
        </w:rPr>
      </w:pPr>
    </w:p>
    <w:p w14:paraId="452A3393">
      <w:pPr>
        <w:spacing w:line="360" w:lineRule="auto"/>
        <w:ind w:firstLine="1966" w:firstLineChars="445"/>
        <w:rPr>
          <w:rFonts w:hint="eastAsia" w:ascii="宋体" w:hAnsi="宋体"/>
          <w:b/>
          <w:bCs/>
          <w:color w:val="auto"/>
          <w:sz w:val="44"/>
          <w:szCs w:val="44"/>
          <w:highlight w:val="none"/>
        </w:rPr>
      </w:pPr>
      <w:r>
        <w:rPr>
          <w:rFonts w:hint="eastAsia" w:ascii="宋体" w:hAnsi="宋体"/>
          <w:b/>
          <w:bCs/>
          <w:color w:val="auto"/>
          <w:sz w:val="44"/>
          <w:szCs w:val="44"/>
          <w:highlight w:val="none"/>
        </w:rPr>
        <w:t>合同编号：</w:t>
      </w:r>
    </w:p>
    <w:p w14:paraId="6176FD69">
      <w:pPr>
        <w:spacing w:line="360" w:lineRule="auto"/>
        <w:ind w:firstLine="880" w:firstLineChars="200"/>
        <w:rPr>
          <w:rFonts w:hint="eastAsia" w:ascii="宋体" w:hAnsi="宋体"/>
          <w:color w:val="auto"/>
          <w:sz w:val="44"/>
          <w:highlight w:val="none"/>
        </w:rPr>
      </w:pPr>
    </w:p>
    <w:p w14:paraId="250F88D4">
      <w:pPr>
        <w:spacing w:line="360" w:lineRule="auto"/>
        <w:ind w:firstLine="880" w:firstLineChars="200"/>
        <w:rPr>
          <w:rFonts w:hint="eastAsia" w:ascii="宋体" w:hAnsi="宋体"/>
          <w:color w:val="auto"/>
          <w:sz w:val="44"/>
          <w:highlight w:val="none"/>
        </w:rPr>
      </w:pPr>
    </w:p>
    <w:p w14:paraId="666C14DC">
      <w:pPr>
        <w:spacing w:line="360" w:lineRule="auto"/>
        <w:ind w:firstLine="880" w:firstLineChars="200"/>
        <w:rPr>
          <w:rFonts w:hint="eastAsia" w:ascii="宋体" w:hAnsi="宋体"/>
          <w:color w:val="auto"/>
          <w:sz w:val="44"/>
          <w:highlight w:val="none"/>
        </w:rPr>
      </w:pPr>
    </w:p>
    <w:p w14:paraId="269667EE">
      <w:pPr>
        <w:spacing w:line="360" w:lineRule="auto"/>
        <w:ind w:firstLine="1758" w:firstLineChars="398"/>
        <w:rPr>
          <w:rFonts w:hint="eastAsia" w:ascii="宋体" w:hAnsi="宋体"/>
          <w:b/>
          <w:bCs/>
          <w:color w:val="auto"/>
          <w:sz w:val="44"/>
          <w:highlight w:val="none"/>
        </w:rPr>
      </w:pPr>
      <w:r>
        <w:rPr>
          <w:rFonts w:hint="eastAsia" w:ascii="宋体" w:hAnsi="宋体"/>
          <w:b/>
          <w:bCs/>
          <w:color w:val="auto"/>
          <w:sz w:val="44"/>
          <w:highlight w:val="none"/>
        </w:rPr>
        <w:t>采购人：</w:t>
      </w:r>
    </w:p>
    <w:p w14:paraId="03A04A1E">
      <w:pPr>
        <w:spacing w:line="360" w:lineRule="auto"/>
        <w:ind w:firstLine="1758" w:firstLineChars="398"/>
        <w:rPr>
          <w:rFonts w:hint="eastAsia" w:ascii="宋体" w:hAnsi="宋体"/>
          <w:b/>
          <w:bCs/>
          <w:color w:val="auto"/>
          <w:sz w:val="44"/>
          <w:highlight w:val="none"/>
        </w:rPr>
      </w:pPr>
      <w:r>
        <w:rPr>
          <w:rFonts w:hint="eastAsia" w:ascii="宋体" w:hAnsi="宋体"/>
          <w:b/>
          <w:bCs/>
          <w:color w:val="auto"/>
          <w:sz w:val="44"/>
          <w:highlight w:val="none"/>
        </w:rPr>
        <w:t>中标人：</w:t>
      </w:r>
    </w:p>
    <w:p w14:paraId="6D93098C">
      <w:pPr>
        <w:spacing w:line="360" w:lineRule="auto"/>
        <w:ind w:firstLine="420" w:firstLineChars="200"/>
        <w:rPr>
          <w:rFonts w:hint="eastAsia" w:ascii="宋体" w:hAnsi="宋体"/>
          <w:color w:val="auto"/>
          <w:highlight w:val="none"/>
        </w:rPr>
      </w:pPr>
    </w:p>
    <w:p w14:paraId="180125D2">
      <w:pPr>
        <w:spacing w:line="360" w:lineRule="auto"/>
        <w:ind w:firstLine="420" w:firstLineChars="200"/>
        <w:rPr>
          <w:rFonts w:hint="eastAsia" w:ascii="宋体" w:hAnsi="宋体"/>
          <w:color w:val="auto"/>
          <w:sz w:val="28"/>
          <w:highlight w:val="none"/>
        </w:rPr>
      </w:pPr>
      <w:r>
        <w:rPr>
          <w:rFonts w:ascii="宋体" w:hAnsi="宋体"/>
          <w:color w:val="auto"/>
          <w:highlight w:val="none"/>
        </w:rPr>
        <w:br w:type="page"/>
      </w:r>
    </w:p>
    <w:p w14:paraId="7C59B59C">
      <w:pPr>
        <w:ind w:left="359" w:leftChars="171" w:firstLine="198" w:firstLineChars="71"/>
        <w:jc w:val="center"/>
        <w:rPr>
          <w:rFonts w:hint="eastAsia" w:ascii="宋体" w:hAnsi="宋体"/>
          <w:color w:val="auto"/>
          <w:sz w:val="28"/>
          <w:highlight w:val="none"/>
        </w:rPr>
      </w:pPr>
      <w:r>
        <w:rPr>
          <w:rFonts w:hint="eastAsia" w:ascii="宋体" w:hAnsi="宋体"/>
          <w:color w:val="auto"/>
          <w:sz w:val="28"/>
          <w:highlight w:val="none"/>
        </w:rPr>
        <w:t>目  录</w:t>
      </w:r>
    </w:p>
    <w:p w14:paraId="52499FFA">
      <w:pPr>
        <w:tabs>
          <w:tab w:val="left" w:pos="1170"/>
        </w:tabs>
        <w:spacing w:line="360" w:lineRule="auto"/>
        <w:ind w:left="359" w:leftChars="171" w:firstLine="198" w:firstLineChars="71"/>
        <w:rPr>
          <w:rFonts w:hint="eastAsia" w:ascii="宋体" w:hAnsi="宋体"/>
          <w:color w:val="auto"/>
          <w:sz w:val="28"/>
          <w:highlight w:val="none"/>
        </w:rPr>
      </w:pPr>
      <w:r>
        <w:rPr>
          <w:rFonts w:ascii="宋体" w:hAnsi="宋体"/>
          <w:color w:val="auto"/>
          <w:sz w:val="28"/>
          <w:highlight w:val="none"/>
        </w:rPr>
        <w:tab/>
      </w:r>
    </w:p>
    <w:p w14:paraId="64426105">
      <w:pPr>
        <w:numPr>
          <w:ilvl w:val="0"/>
          <w:numId w:val="6"/>
        </w:numPr>
        <w:spacing w:line="360" w:lineRule="auto"/>
        <w:ind w:left="357" w:firstLine="543"/>
        <w:rPr>
          <w:rFonts w:hint="eastAsia" w:ascii="宋体" w:hAnsi="宋体"/>
          <w:color w:val="auto"/>
          <w:sz w:val="28"/>
          <w:highlight w:val="none"/>
        </w:rPr>
      </w:pPr>
      <w:r>
        <w:rPr>
          <w:rFonts w:hint="eastAsia" w:ascii="宋体" w:hAnsi="宋体"/>
          <w:color w:val="auto"/>
          <w:sz w:val="28"/>
          <w:highlight w:val="none"/>
        </w:rPr>
        <w:t>合同书</w:t>
      </w:r>
    </w:p>
    <w:p w14:paraId="0139F15A">
      <w:pPr>
        <w:numPr>
          <w:ilvl w:val="0"/>
          <w:numId w:val="6"/>
        </w:numPr>
        <w:spacing w:line="360" w:lineRule="auto"/>
        <w:ind w:left="357" w:firstLine="543"/>
        <w:rPr>
          <w:rFonts w:hint="eastAsia" w:ascii="宋体" w:hAnsi="宋体"/>
          <w:color w:val="auto"/>
          <w:sz w:val="28"/>
          <w:highlight w:val="none"/>
        </w:rPr>
      </w:pPr>
      <w:r>
        <w:rPr>
          <w:rFonts w:hint="eastAsia" w:ascii="宋体" w:hAnsi="宋体"/>
          <w:color w:val="auto"/>
          <w:sz w:val="28"/>
          <w:highlight w:val="none"/>
        </w:rPr>
        <w:t>中标通知书</w:t>
      </w:r>
    </w:p>
    <w:p w14:paraId="49A03BF8">
      <w:pPr>
        <w:numPr>
          <w:ilvl w:val="0"/>
          <w:numId w:val="6"/>
        </w:numPr>
        <w:spacing w:line="360" w:lineRule="auto"/>
        <w:ind w:left="357" w:firstLine="543"/>
        <w:rPr>
          <w:rFonts w:hint="eastAsia" w:ascii="宋体" w:hAnsi="宋体"/>
          <w:color w:val="auto"/>
          <w:sz w:val="28"/>
          <w:highlight w:val="none"/>
        </w:rPr>
      </w:pPr>
      <w:r>
        <w:rPr>
          <w:rFonts w:hint="eastAsia" w:ascii="宋体" w:hAnsi="宋体"/>
          <w:color w:val="auto"/>
          <w:sz w:val="28"/>
          <w:highlight w:val="none"/>
        </w:rPr>
        <w:t>履约保证金缴纳证明</w:t>
      </w:r>
    </w:p>
    <w:p w14:paraId="2434008B">
      <w:pPr>
        <w:numPr>
          <w:ilvl w:val="0"/>
          <w:numId w:val="6"/>
        </w:numPr>
        <w:spacing w:line="360" w:lineRule="auto"/>
        <w:ind w:left="357" w:firstLine="543"/>
        <w:rPr>
          <w:rFonts w:hint="eastAsia" w:ascii="宋体" w:hAnsi="宋体"/>
          <w:color w:val="auto"/>
          <w:sz w:val="28"/>
          <w:highlight w:val="none"/>
        </w:rPr>
      </w:pPr>
      <w:r>
        <w:rPr>
          <w:rFonts w:hint="eastAsia" w:ascii="宋体" w:hAnsi="宋体"/>
          <w:color w:val="auto"/>
          <w:sz w:val="28"/>
          <w:highlight w:val="none"/>
        </w:rPr>
        <w:t>项目更改及补充文件</w:t>
      </w:r>
    </w:p>
    <w:p w14:paraId="775AD90D">
      <w:pPr>
        <w:numPr>
          <w:ilvl w:val="0"/>
          <w:numId w:val="6"/>
        </w:numPr>
        <w:spacing w:line="360" w:lineRule="auto"/>
        <w:ind w:firstLine="543"/>
        <w:rPr>
          <w:rFonts w:hint="eastAsia" w:ascii="宋体" w:hAnsi="宋体"/>
          <w:color w:val="auto"/>
          <w:sz w:val="28"/>
          <w:highlight w:val="none"/>
        </w:rPr>
      </w:pPr>
      <w:r>
        <w:rPr>
          <w:rFonts w:hint="eastAsia" w:ascii="宋体" w:hAnsi="宋体"/>
          <w:color w:val="auto"/>
          <w:sz w:val="28"/>
          <w:highlight w:val="none"/>
        </w:rPr>
        <w:t>投标报价表</w:t>
      </w:r>
    </w:p>
    <w:p w14:paraId="661CD89E">
      <w:pPr>
        <w:numPr>
          <w:ilvl w:val="0"/>
          <w:numId w:val="6"/>
        </w:numPr>
        <w:spacing w:line="360" w:lineRule="auto"/>
        <w:ind w:firstLine="543"/>
        <w:rPr>
          <w:rFonts w:hint="eastAsia" w:ascii="宋体" w:hAnsi="宋体"/>
          <w:color w:val="auto"/>
          <w:sz w:val="28"/>
          <w:highlight w:val="none"/>
        </w:rPr>
      </w:pPr>
      <w:r>
        <w:rPr>
          <w:rFonts w:hint="eastAsia" w:ascii="宋体" w:hAnsi="宋体"/>
          <w:color w:val="auto"/>
          <w:sz w:val="28"/>
          <w:highlight w:val="none"/>
        </w:rPr>
        <w:t>中标单位澄清函</w:t>
      </w:r>
    </w:p>
    <w:p w14:paraId="6304BD6D">
      <w:pPr>
        <w:spacing w:line="560" w:lineRule="exact"/>
        <w:ind w:firstLine="420" w:firstLineChars="200"/>
        <w:jc w:val="left"/>
        <w:rPr>
          <w:rFonts w:hint="default" w:ascii="Times New Roman" w:hAnsi="Times New Roman" w:cs="Times New Roman"/>
          <w:b/>
          <w:color w:val="auto"/>
          <w:sz w:val="32"/>
          <w:szCs w:val="32"/>
          <w:highlight w:val="none"/>
        </w:rPr>
      </w:pPr>
      <w:r>
        <w:rPr>
          <w:color w:val="auto"/>
          <w:highlight w:val="none"/>
        </w:rPr>
        <w:br w:type="page"/>
      </w:r>
      <w:r>
        <w:rPr>
          <w:rFonts w:hint="default" w:ascii="Times New Roman" w:hAnsi="Times New Roman" w:cs="Times New Roman"/>
          <w:bCs/>
          <w:color w:val="auto"/>
          <w:sz w:val="24"/>
          <w:highlight w:val="none"/>
        </w:rPr>
        <w:t>以下为中标后签订本项目合同的通用条款，中标供应商不得提出实质性的修改，关于专用条款将由采购人与中标供应商结合本项目具体情况协商后签订。</w:t>
      </w:r>
    </w:p>
    <w:p w14:paraId="4C0CD6C1">
      <w:pPr>
        <w:pStyle w:val="19"/>
        <w:snapToGrid w:val="0"/>
        <w:spacing w:line="560" w:lineRule="exact"/>
        <w:ind w:firstLine="360" w:firstLineChars="150"/>
        <w:jc w:val="left"/>
        <w:rPr>
          <w:rFonts w:hint="default" w:ascii="Times New Roman" w:hAnsi="Times New Roman" w:cs="Times New Roman"/>
          <w:color w:val="auto"/>
          <w:sz w:val="24"/>
          <w:szCs w:val="24"/>
          <w:highlight w:val="none"/>
        </w:rPr>
      </w:pPr>
    </w:p>
    <w:p w14:paraId="75CC10D1">
      <w:pPr>
        <w:spacing w:line="440" w:lineRule="exact"/>
        <w:jc w:val="center"/>
        <w:rPr>
          <w:rFonts w:hint="default" w:ascii="Times New Roman" w:hAnsi="Times New Roman" w:cs="Times New Roman"/>
          <w:b/>
          <w:bCs/>
          <w:color w:val="auto"/>
          <w:sz w:val="32"/>
          <w:szCs w:val="32"/>
          <w:highlight w:val="none"/>
        </w:rPr>
      </w:pPr>
      <w:r>
        <w:rPr>
          <w:rFonts w:hint="default" w:ascii="Times New Roman" w:hAnsi="Times New Roman" w:cs="Times New Roman"/>
          <w:b/>
          <w:color w:val="auto"/>
          <w:sz w:val="32"/>
          <w:szCs w:val="32"/>
          <w:highlight w:val="none"/>
        </w:rPr>
        <w:t>连云港市政府采购合同</w:t>
      </w:r>
    </w:p>
    <w:p w14:paraId="139CB9B8">
      <w:pPr>
        <w:pStyle w:val="19"/>
        <w:spacing w:line="440" w:lineRule="exact"/>
        <w:jc w:val="center"/>
        <w:rPr>
          <w:rFonts w:hint="default" w:ascii="Times New Roman" w:hAnsi="Times New Roman" w:cs="Times New Roman"/>
          <w:bCs/>
          <w:color w:val="auto"/>
          <w:sz w:val="32"/>
          <w:szCs w:val="32"/>
          <w:highlight w:val="none"/>
        </w:rPr>
      </w:pPr>
    </w:p>
    <w:p w14:paraId="41814931">
      <w:pPr>
        <w:pStyle w:val="19"/>
        <w:ind w:right="420" w:firstLine="6825" w:firstLineChars="3250"/>
        <w:rPr>
          <w:rFonts w:hint="default" w:ascii="Times New Roman" w:hAnsi="Times New Roman" w:cs="Times New Roman"/>
          <w:color w:val="auto"/>
          <w:highlight w:val="none"/>
        </w:rPr>
      </w:pPr>
      <w:r>
        <w:rPr>
          <w:rFonts w:hint="default" w:ascii="Times New Roman" w:hAnsi="Times New Roman" w:cs="Times New Roman"/>
          <w:color w:val="auto"/>
          <w:highlight w:val="none"/>
          <w:bdr w:val="single" w:color="auto" w:sz="4" w:space="0"/>
        </w:rPr>
        <w:t xml:space="preserve">合同编号：    </w:t>
      </w:r>
    </w:p>
    <w:p w14:paraId="744ABAE0">
      <w:pPr>
        <w:spacing w:line="560" w:lineRule="exact"/>
        <w:jc w:val="center"/>
        <w:rPr>
          <w:rFonts w:hint="default" w:ascii="Times New Roman" w:hAnsi="Times New Roman" w:cs="Times New Roman"/>
          <w:bCs/>
          <w:color w:val="auto"/>
          <w:sz w:val="24"/>
          <w:highlight w:val="none"/>
        </w:rPr>
      </w:pPr>
      <w:r>
        <w:rPr>
          <w:rFonts w:hint="default" w:ascii="Times New Roman" w:hAnsi="Times New Roman" w:cs="Times New Roman"/>
          <w:b/>
          <w:color w:val="auto"/>
          <w:sz w:val="32"/>
          <w:szCs w:val="32"/>
          <w:highlight w:val="none"/>
        </w:rPr>
        <w:t>政府采购合同</w:t>
      </w:r>
    </w:p>
    <w:p w14:paraId="079FE40D">
      <w:pPr>
        <w:snapToGrid w:val="0"/>
        <w:spacing w:line="360" w:lineRule="auto"/>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甲方：</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（委托方）</w:t>
      </w:r>
    </w:p>
    <w:p w14:paraId="56B6669E">
      <w:pPr>
        <w:snapToGrid w:val="0"/>
        <w:spacing w:line="360" w:lineRule="auto"/>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乙方：</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（受托方）</w:t>
      </w:r>
    </w:p>
    <w:p w14:paraId="0533EB1F">
      <w:pPr>
        <w:snapToGrid w:val="0"/>
        <w:spacing w:line="360" w:lineRule="auto"/>
        <w:ind w:firstLine="420" w:firstLineChars="200"/>
        <w:jc w:val="left"/>
        <w:rPr>
          <w:rFonts w:hint="default" w:ascii="Times New Roman" w:hAnsi="Times New Roman" w:eastAsia="宋体" w:cs="Times New Roman"/>
          <w:color w:val="auto"/>
          <w:highlight w:val="none"/>
          <w:lang w:val="en-US" w:eastAsia="zh-CN"/>
        </w:rPr>
      </w:pPr>
    </w:p>
    <w:p w14:paraId="2E422AD5">
      <w:pPr>
        <w:snapToGrid w:val="0"/>
        <w:spacing w:line="360" w:lineRule="auto"/>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甲、乙双方根据《中华人民共和国民法典》《中华人民共和国政府采购法》等相关法律法规的规定以及</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w:t>
      </w:r>
      <w:r>
        <w:rPr>
          <w:rFonts w:hint="default" w:ascii="Times New Roman" w:hAnsi="Times New Roman" w:cs="Times New Roman"/>
          <w:color w:val="auto"/>
          <w:highlight w:val="none"/>
          <w:u w:val="single"/>
        </w:rPr>
        <w:t xml:space="preserve">【标段名称】 </w:t>
      </w:r>
      <w:r>
        <w:rPr>
          <w:rFonts w:hint="default" w:ascii="Times New Roman" w:hAnsi="Times New Roman" w:cs="Times New Roman"/>
          <w:color w:val="auto"/>
          <w:highlight w:val="none"/>
        </w:rPr>
        <w:t>项目（标段编号：</w:t>
      </w:r>
      <w:r>
        <w:rPr>
          <w:rFonts w:hint="default" w:ascii="Times New Roman" w:hAnsi="Times New Roman" w:cs="Times New Roman"/>
          <w:color w:val="auto"/>
          <w:highlight w:val="none"/>
          <w:u w:val="single"/>
        </w:rPr>
        <w:t>【标段编号】</w:t>
      </w:r>
      <w:r>
        <w:rPr>
          <w:rFonts w:hint="default" w:ascii="Times New Roman" w:hAnsi="Times New Roman" w:cs="Times New Roman"/>
          <w:color w:val="auto"/>
          <w:highlight w:val="none"/>
        </w:rPr>
        <w:t>）招标的结果，签订本合同。</w:t>
      </w:r>
    </w:p>
    <w:p w14:paraId="1C16DC39">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第一款　　服务范围及内容</w:t>
      </w:r>
    </w:p>
    <w:p w14:paraId="044A1D2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1.1</w:t>
      </w:r>
      <w:r>
        <w:rPr>
          <w:rFonts w:hint="default" w:ascii="Times New Roman" w:hAnsi="Times New Roman" w:eastAsia="宋体" w:cs="Times New Roman"/>
          <w:color w:val="auto"/>
          <w:highlight w:val="none"/>
        </w:rPr>
        <w:t>派驻不少于5人的专家团队常驻</w:t>
      </w:r>
      <w:r>
        <w:rPr>
          <w:rFonts w:hint="default" w:ascii="Times New Roman" w:hAnsi="Times New Roman" w:eastAsia="宋体" w:cs="Times New Roman"/>
          <w:color w:val="auto"/>
          <w:highlight w:val="none"/>
          <w:lang w:val="en-US" w:eastAsia="zh-CN"/>
        </w:rPr>
        <w:t>徐圩</w:t>
      </w:r>
      <w:r>
        <w:rPr>
          <w:rFonts w:hint="default" w:ascii="Times New Roman" w:hAnsi="Times New Roman" w:eastAsia="宋体" w:cs="Times New Roman"/>
          <w:color w:val="auto"/>
          <w:highlight w:val="none"/>
        </w:rPr>
        <w:t>新区</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全面融入</w:t>
      </w:r>
      <w:r>
        <w:rPr>
          <w:rFonts w:hint="default" w:ascii="Times New Roman" w:hAnsi="Times New Roman" w:eastAsia="宋体" w:cs="Times New Roman"/>
          <w:color w:val="auto"/>
          <w:highlight w:val="none"/>
          <w:lang w:val="en-US" w:eastAsia="zh-CN"/>
        </w:rPr>
        <w:t>连云港</w:t>
      </w:r>
      <w:r>
        <w:rPr>
          <w:rFonts w:hint="default" w:ascii="Times New Roman" w:hAnsi="Times New Roman" w:eastAsia="宋体" w:cs="Times New Roman"/>
          <w:color w:val="auto"/>
          <w:highlight w:val="none"/>
        </w:rPr>
        <w:t>石化</w:t>
      </w:r>
      <w:r>
        <w:rPr>
          <w:rFonts w:hint="default" w:ascii="Times New Roman" w:hAnsi="Times New Roman" w:eastAsia="宋体" w:cs="Times New Roman"/>
          <w:color w:val="auto"/>
          <w:highlight w:val="none"/>
          <w:lang w:val="en-US" w:eastAsia="zh-CN"/>
        </w:rPr>
        <w:t>产业</w:t>
      </w:r>
      <w:r>
        <w:rPr>
          <w:rFonts w:hint="default" w:ascii="Times New Roman" w:hAnsi="Times New Roman" w:eastAsia="宋体" w:cs="Times New Roman"/>
          <w:color w:val="auto"/>
          <w:highlight w:val="none"/>
        </w:rPr>
        <w:t>基地</w:t>
      </w:r>
      <w:r>
        <w:rPr>
          <w:rFonts w:hint="default" w:ascii="Times New Roman" w:hAnsi="Times New Roman" w:eastAsia="宋体" w:cs="Times New Roman"/>
          <w:color w:val="auto"/>
          <w:highlight w:val="none"/>
          <w:lang w:val="en-US" w:eastAsia="zh-CN"/>
        </w:rPr>
        <w:t>危化品</w:t>
      </w:r>
      <w:r>
        <w:rPr>
          <w:rFonts w:hint="default" w:ascii="Times New Roman" w:hAnsi="Times New Roman" w:eastAsia="宋体" w:cs="Times New Roman"/>
          <w:color w:val="auto"/>
          <w:highlight w:val="none"/>
        </w:rPr>
        <w:t>安全监管各环节，围绕过程安全管理体系提升、建设项目源头风险防控、智慧化监管场景建设</w:t>
      </w:r>
      <w:r>
        <w:rPr>
          <w:rFonts w:hint="default" w:ascii="Times New Roman" w:hAnsi="Times New Roman" w:eastAsia="宋体" w:cs="Times New Roman"/>
          <w:color w:val="auto"/>
          <w:highlight w:val="none"/>
          <w:lang w:val="en-US" w:eastAsia="zh-CN"/>
        </w:rPr>
        <w:t>应用</w:t>
      </w:r>
      <w:r>
        <w:rPr>
          <w:rFonts w:hint="default" w:ascii="Times New Roman" w:hAnsi="Times New Roman" w:eastAsia="宋体" w:cs="Times New Roman"/>
          <w:color w:val="auto"/>
          <w:highlight w:val="none"/>
        </w:rPr>
        <w:t>、重点领域专项治理、应急处置支撑、监管能力提升等方面提供专业技术服务，协助新区加快构建更加精准、高效、穿透的危化品安全监管体系，推动形成具有徐圩特色的园区安全治理模式和技术成果。</w:t>
      </w:r>
    </w:p>
    <w:p w14:paraId="5C75EF3F">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1.2</w:t>
      </w:r>
      <w:r>
        <w:rPr>
          <w:rFonts w:hint="default" w:ascii="Times New Roman" w:hAnsi="Times New Roman" w:cs="Times New Roman"/>
          <w:color w:val="auto"/>
          <w:highlight w:val="none"/>
        </w:rPr>
        <w:t>项目服务内容</w:t>
      </w:r>
    </w:p>
    <w:p w14:paraId="7654F09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1.2.1</w:t>
      </w:r>
      <w:r>
        <w:rPr>
          <w:rFonts w:hint="default" w:ascii="Times New Roman" w:hAnsi="Times New Roman" w:eastAsia="宋体" w:cs="Times New Roman"/>
          <w:color w:val="auto"/>
          <w:highlight w:val="none"/>
        </w:rPr>
        <w:t>重点工作</w:t>
      </w:r>
    </w:p>
    <w:p w14:paraId="0F4B07EA">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rPr>
        <w:t>开展过程安全管理体系穿透式诊断提升</w:t>
      </w:r>
    </w:p>
    <w:p w14:paraId="0841AA7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围绕危化品企业安全主体责任落实和过程安全管理体系建设要求，结合新区企业装置规模大、连续化生产程度高、工艺链条长、关联风险复杂等特点，对已投产危化品企业开展过程安全管理体系穿透式诊断。重点围绕工艺纪律执行、设备完整性管理、仪表及联锁管理、开停车及异常工况处置、特殊作业和承包商管理、人员能力等关键要素，深入查找企业在制度设计、责任传导、现场执行等方面存在的深层次问题，形成诊断报告和问题清单，分企业编制“一企一策”提升方案，推动企业建立更加契合实际、有效运行的过程安全管理体系。</w:t>
      </w:r>
    </w:p>
    <w:p w14:paraId="480979E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合同期内，对新区已投产危化品企业实现诊断全覆盖，并结合诊断情况对重点企业开展复核评估，推动整改措施落实落地</w:t>
      </w:r>
      <w:r>
        <w:rPr>
          <w:rFonts w:hint="default" w:ascii="Times New Roman" w:hAnsi="Times New Roman" w:eastAsia="宋体" w:cs="Times New Roman"/>
          <w:color w:val="auto"/>
          <w:kern w:val="2"/>
          <w:sz w:val="21"/>
          <w:szCs w:val="24"/>
          <w:highlight w:val="none"/>
          <w:lang w:val="en-US" w:eastAsia="zh-CN" w:bidi="ar-SA"/>
        </w:rPr>
        <w:t>。</w:t>
      </w:r>
      <w:r>
        <w:rPr>
          <w:rFonts w:hint="eastAsia" w:ascii="Times New Roman" w:hAnsi="Times New Roman" w:eastAsia="宋体" w:cs="Times New Roman"/>
          <w:color w:val="auto"/>
          <w:kern w:val="2"/>
          <w:sz w:val="21"/>
          <w:szCs w:val="24"/>
          <w:highlight w:val="none"/>
          <w:lang w:val="en-US" w:eastAsia="zh-CN" w:bidi="ar-SA"/>
        </w:rPr>
        <w:t>对安全管理水平落后的企业，组织开展专项驻厂帮扶提升，补齐园区安全管理的短板。</w:t>
      </w:r>
      <w:r>
        <w:rPr>
          <w:rFonts w:hint="default" w:ascii="Times New Roman" w:hAnsi="Times New Roman" w:eastAsia="宋体" w:cs="Times New Roman"/>
          <w:color w:val="auto"/>
          <w:highlight w:val="none"/>
        </w:rPr>
        <w:t>结合企业基础条件和行业代表性，选择基础较好、示范带动作用较强的企业开展重点培育，推动形成一批过程安全管理体系建设示范企业。</w:t>
      </w:r>
    </w:p>
    <w:p w14:paraId="011F4C7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围绕本质安全提升需要，对重点监管工艺在役装置的HAZOP分析报告质量、联锁设置、自动化控制逻辑、工艺变更后风险再验证等内容开展专项诊断，推动企业将HAZOP分析成果转化为工艺优化、联锁完善、报警治理和风险防控措施，提升企业本质安全水平。</w:t>
      </w:r>
    </w:p>
    <w:p w14:paraId="0B7623D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rPr>
        <w:t>加强建设项目和重点环节源头风险防控</w:t>
      </w:r>
    </w:p>
    <w:p w14:paraId="13EDD59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围绕新区危化品建设项目准入和全过程风险防控需要，对拟</w:t>
      </w:r>
      <w:r>
        <w:rPr>
          <w:rFonts w:hint="default" w:ascii="Times New Roman" w:hAnsi="Times New Roman" w:eastAsia="宋体" w:cs="Times New Roman"/>
          <w:color w:val="auto"/>
          <w:highlight w:val="none"/>
          <w:lang w:val="en-US" w:eastAsia="zh-CN"/>
        </w:rPr>
        <w:t>入园</w:t>
      </w:r>
      <w:r>
        <w:rPr>
          <w:rFonts w:hint="default" w:ascii="Times New Roman" w:hAnsi="Times New Roman" w:eastAsia="宋体" w:cs="Times New Roman"/>
          <w:color w:val="auto"/>
          <w:highlight w:val="none"/>
        </w:rPr>
        <w:t>项目</w:t>
      </w:r>
      <w:r>
        <w:rPr>
          <w:rFonts w:hint="default" w:ascii="Times New Roman" w:hAnsi="Times New Roman" w:eastAsia="宋体" w:cs="Times New Roman"/>
          <w:color w:val="auto"/>
          <w:highlight w:val="none"/>
          <w:lang w:val="en-US" w:eastAsia="zh-CN"/>
        </w:rPr>
        <w:t>及现有企业</w:t>
      </w:r>
      <w:r>
        <w:rPr>
          <w:rFonts w:hint="default" w:ascii="Times New Roman" w:hAnsi="Times New Roman" w:eastAsia="宋体" w:cs="Times New Roman"/>
          <w:color w:val="auto"/>
          <w:highlight w:val="none"/>
        </w:rPr>
        <w:t>新建、改建、扩建项目开展安全准入技术咨询服务。重点从项目选址布局、工艺技术成熟度、物料危险性、自动化控制水平等方面进行综合分析，审阅项目可行性研究报告及相关资料，提出项目安全准入咨询意见，为新区项目招引、项目决策和风险研判提供技术支撑。</w:t>
      </w:r>
    </w:p>
    <w:p w14:paraId="1A9743E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针对危化品建设项目试生产、装置开停车、停工检维修后复产复工等高风险环节，组织具有同类装置经验的高水平专家开展现场指导服务，</w:t>
      </w:r>
      <w:r>
        <w:rPr>
          <w:rFonts w:hint="default" w:ascii="Times New Roman" w:hAnsi="Times New Roman" w:eastAsia="宋体" w:cs="Times New Roman"/>
          <w:color w:val="auto"/>
          <w:highlight w:val="none"/>
          <w:lang w:val="en-US" w:eastAsia="zh-CN"/>
        </w:rPr>
        <w:t>出具专家</w:t>
      </w:r>
      <w:r>
        <w:rPr>
          <w:rFonts w:hint="eastAsia" w:ascii="Times New Roman" w:hAnsi="Times New Roman" w:eastAsia="宋体" w:cs="Times New Roman"/>
          <w:color w:val="auto"/>
          <w:highlight w:val="none"/>
          <w:lang w:val="en-US" w:eastAsia="zh-CN"/>
        </w:rPr>
        <w:t>论证</w:t>
      </w:r>
      <w:r>
        <w:rPr>
          <w:rFonts w:hint="default" w:ascii="Times New Roman" w:hAnsi="Times New Roman" w:eastAsia="宋体" w:cs="Times New Roman"/>
          <w:color w:val="auto"/>
          <w:highlight w:val="none"/>
          <w:lang w:val="en-US" w:eastAsia="zh-CN"/>
        </w:rPr>
        <w:t>意见，</w:t>
      </w:r>
      <w:r>
        <w:rPr>
          <w:rFonts w:hint="default" w:ascii="Times New Roman" w:hAnsi="Times New Roman" w:eastAsia="宋体" w:cs="Times New Roman"/>
          <w:color w:val="auto"/>
          <w:highlight w:val="none"/>
        </w:rPr>
        <w:t>形成问题隐患和风险管控建议清单，并及时跟踪复核整改落实情况。</w:t>
      </w:r>
    </w:p>
    <w:p w14:paraId="5EB4CF1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对长周期停车后重启、重大技改后恢复运行</w:t>
      </w:r>
      <w:r>
        <w:rPr>
          <w:rFonts w:hint="default" w:ascii="Times New Roman" w:hAnsi="Times New Roman" w:eastAsia="宋体" w:cs="Times New Roman"/>
          <w:color w:val="auto"/>
          <w:highlight w:val="none"/>
          <w:lang w:val="en-US" w:eastAsia="zh-CN"/>
        </w:rPr>
        <w:t>等重点</w:t>
      </w:r>
      <w:r>
        <w:rPr>
          <w:rFonts w:hint="default" w:ascii="Times New Roman" w:hAnsi="Times New Roman" w:eastAsia="宋体" w:cs="Times New Roman"/>
          <w:color w:val="auto"/>
          <w:highlight w:val="none"/>
        </w:rPr>
        <w:t>装置，结合实际需要开展专项风险研判，为新区加强关键节点安全把关提供技术支撑。</w:t>
      </w:r>
    </w:p>
    <w:p w14:paraId="435534F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3）深化智慧化监管场景建设和实战应用</w:t>
      </w:r>
    </w:p>
    <w:p w14:paraId="6B1A237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根据新区危化品安全监管数字化、智能化转型需要，协助推进智慧化监管场景建设和实战应用，推动监管工作由事后处置向事前预警转变、由线下检查向线上线下融合转变。重点围绕关键设备运行监测、异常工况识别预警、特殊作业智慧化监管、承包商全过程管控、重大危险源线上巡查、报警及联锁异常分析等方面，研究提出场景建设需求、模型优化建议和应用评价意见，推动提升监管平台实战化、实用化水平。</w:t>
      </w:r>
    </w:p>
    <w:p w14:paraId="712C274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结合新区监管实际，协助梳理各类智慧监管场景在数据接入、规则设置、预警推送、现场核查、问题闭环等方面存在的短板，提出针对性优化建议，推动形成智慧化监管应用体系。</w:t>
      </w:r>
    </w:p>
    <w:p w14:paraId="6ABA9BB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1.2.2</w:t>
      </w:r>
      <w:r>
        <w:rPr>
          <w:rFonts w:hint="default" w:ascii="Times New Roman" w:hAnsi="Times New Roman" w:eastAsia="宋体" w:cs="Times New Roman"/>
          <w:color w:val="auto"/>
          <w:highlight w:val="none"/>
        </w:rPr>
        <w:t>常规性工作</w:t>
      </w:r>
    </w:p>
    <w:p w14:paraId="36B52A5C">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lang w:val="zh-CN"/>
        </w:rPr>
        <w:t>派驻专家团队长期驻点坐班</w:t>
      </w:r>
    </w:p>
    <w:p w14:paraId="7C6CAF6E">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派遣</w:t>
      </w:r>
      <w:r>
        <w:rPr>
          <w:rFonts w:hint="default" w:ascii="Times New Roman" w:hAnsi="Times New Roman" w:eastAsia="宋体" w:cs="Times New Roman"/>
          <w:color w:val="auto"/>
          <w:highlight w:val="none"/>
          <w:lang w:val="en-US" w:eastAsia="zh-CN"/>
        </w:rPr>
        <w:t>不少于</w:t>
      </w:r>
      <w:r>
        <w:rPr>
          <w:rFonts w:hint="default" w:ascii="Times New Roman" w:hAnsi="Times New Roman" w:eastAsia="宋体" w:cs="Times New Roman"/>
          <w:color w:val="auto"/>
          <w:highlight w:val="none"/>
        </w:rPr>
        <w:t>5名专业技术人员在徐圩新区长期驻点坐班</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专业涵盖化工安全管理、工艺、设备、电气、仪表、消防等相关</w:t>
      </w:r>
      <w:r>
        <w:rPr>
          <w:rFonts w:hint="default" w:ascii="Times New Roman" w:hAnsi="Times New Roman" w:eastAsia="宋体" w:cs="Times New Roman"/>
          <w:color w:val="auto"/>
          <w:highlight w:val="none"/>
          <w:lang w:val="en-US" w:eastAsia="zh-CN"/>
        </w:rPr>
        <w:t>领域</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其中至少配备</w:t>
      </w:r>
      <w:r>
        <w:rPr>
          <w:rFonts w:hint="default" w:ascii="Times New Roman" w:hAnsi="Times New Roman" w:eastAsia="宋体" w:cs="Times New Roman"/>
          <w:color w:val="auto"/>
          <w:highlight w:val="none"/>
        </w:rPr>
        <w:t>1名精通HAZOP</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LOPA等工艺安全分析方法</w:t>
      </w:r>
      <w:r>
        <w:rPr>
          <w:rFonts w:hint="default" w:ascii="Times New Roman" w:hAnsi="Times New Roman" w:eastAsia="宋体" w:cs="Times New Roman"/>
          <w:color w:val="auto"/>
          <w:highlight w:val="none"/>
        </w:rPr>
        <w:t>的专家，1名熟悉大型石化装置试生产、开停车及异常工况处置的专家，</w:t>
      </w:r>
      <w:r>
        <w:rPr>
          <w:rFonts w:hint="default" w:ascii="Times New Roman" w:hAnsi="Times New Roman" w:eastAsia="宋体" w:cs="Times New Roman"/>
          <w:bCs/>
          <w:color w:val="auto"/>
          <w:kern w:val="2"/>
          <w:sz w:val="24"/>
          <w:szCs w:val="24"/>
          <w:highlight w:val="none"/>
        </w:rPr>
        <w:t>1名熟悉特殊作业、承包商管理及直接作业环节安全管理的专家</w:t>
      </w:r>
      <w:r>
        <w:rPr>
          <w:rFonts w:hint="eastAsia" w:ascii="Times New Roman" w:hAnsi="Times New Roman" w:eastAsia="宋体" w:cs="Times New Roman"/>
          <w:bCs/>
          <w:color w:val="auto"/>
          <w:kern w:val="2"/>
          <w:sz w:val="24"/>
          <w:szCs w:val="24"/>
          <w:highlight w:val="none"/>
          <w:lang w:eastAsia="zh-CN"/>
        </w:rPr>
        <w:t>，</w:t>
      </w:r>
      <w:r>
        <w:rPr>
          <w:rFonts w:hint="eastAsia" w:ascii="Times New Roman" w:hAnsi="Times New Roman" w:eastAsia="宋体" w:cs="Times New Roman"/>
          <w:color w:val="auto"/>
          <w:highlight w:val="none"/>
          <w:lang w:val="en-US" w:eastAsia="zh-CN"/>
        </w:rPr>
        <w:t>确保满足新区危化品安全监管重点工作需要。</w:t>
      </w:r>
    </w:p>
    <w:p w14:paraId="6E26B71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派驻专家应具备与本项目相适应的专业背景</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项目负责人及工艺</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安全</w:t>
      </w:r>
      <w:r>
        <w:rPr>
          <w:rFonts w:hint="eastAsia" w:ascii="Times New Roman" w:hAnsi="Times New Roman" w:eastAsia="宋体" w:cs="Times New Roman"/>
          <w:color w:val="auto"/>
          <w:highlight w:val="none"/>
          <w:lang w:val="en-US" w:eastAsia="zh-CN"/>
        </w:rPr>
        <w:t>、仪表设备</w:t>
      </w:r>
      <w:r>
        <w:rPr>
          <w:rFonts w:hint="default" w:ascii="Times New Roman" w:hAnsi="Times New Roman" w:eastAsia="宋体" w:cs="Times New Roman"/>
          <w:color w:val="auto"/>
          <w:highlight w:val="none"/>
          <w:lang w:val="en-US" w:eastAsia="zh-CN"/>
        </w:rPr>
        <w:t>等核心岗位的专家，应具有相关专业</w:t>
      </w:r>
      <w:r>
        <w:rPr>
          <w:rFonts w:hint="eastAsia" w:ascii="Times New Roman" w:hAnsi="Times New Roman" w:eastAsia="宋体" w:cs="Times New Roman"/>
          <w:color w:val="auto"/>
          <w:highlight w:val="none"/>
          <w:lang w:val="en-US" w:eastAsia="zh-CN"/>
        </w:rPr>
        <w:t>本科及以上学历</w:t>
      </w:r>
      <w:r>
        <w:rPr>
          <w:rFonts w:hint="default" w:ascii="Times New Roman" w:hAnsi="Times New Roman" w:eastAsia="宋体" w:cs="Times New Roman"/>
          <w:color w:val="auto"/>
          <w:highlight w:val="none"/>
          <w:lang w:val="en-US" w:eastAsia="zh-CN"/>
        </w:rPr>
        <w:t>，具备</w:t>
      </w:r>
      <w:r>
        <w:rPr>
          <w:rFonts w:hint="eastAsia" w:ascii="Times New Roman" w:hAnsi="Times New Roman" w:eastAsia="宋体" w:cs="Times New Roman"/>
          <w:color w:val="auto"/>
          <w:highlight w:val="none"/>
          <w:lang w:val="en-US" w:eastAsia="zh-CN"/>
        </w:rPr>
        <w:t>化工类</w:t>
      </w:r>
      <w:r>
        <w:rPr>
          <w:rFonts w:hint="default" w:ascii="Times New Roman" w:hAnsi="Times New Roman" w:eastAsia="宋体" w:cs="Times New Roman"/>
          <w:color w:val="auto"/>
          <w:highlight w:val="none"/>
          <w:lang w:val="en-US" w:eastAsia="zh-CN"/>
        </w:rPr>
        <w:t>注册安全工程师、高级工程师等相关执业资格或专业技术职称，具有</w:t>
      </w:r>
      <w:r>
        <w:rPr>
          <w:rFonts w:hint="eastAsia" w:ascii="Times New Roman" w:hAnsi="Times New Roman" w:eastAsia="宋体" w:cs="Times New Roman"/>
          <w:color w:val="auto"/>
          <w:highlight w:val="none"/>
          <w:lang w:val="en-US" w:eastAsia="zh-CN"/>
        </w:rPr>
        <w:t>10年以上</w:t>
      </w:r>
      <w:r>
        <w:rPr>
          <w:rFonts w:hint="default" w:ascii="Times New Roman" w:hAnsi="Times New Roman" w:eastAsia="宋体" w:cs="Times New Roman"/>
          <w:color w:val="auto"/>
          <w:highlight w:val="none"/>
          <w:lang w:val="en-US" w:eastAsia="zh-CN"/>
        </w:rPr>
        <w:t>大型石油化工企业安全</w:t>
      </w:r>
      <w:r>
        <w:rPr>
          <w:rFonts w:hint="eastAsia" w:ascii="Times New Roman" w:hAnsi="Times New Roman" w:eastAsia="宋体" w:cs="Times New Roman"/>
          <w:color w:val="auto"/>
          <w:highlight w:val="none"/>
          <w:lang w:val="en-US" w:eastAsia="zh-CN"/>
        </w:rPr>
        <w:t>生产</w:t>
      </w:r>
      <w:r>
        <w:rPr>
          <w:rFonts w:hint="default" w:ascii="Times New Roman" w:hAnsi="Times New Roman" w:eastAsia="宋体" w:cs="Times New Roman"/>
          <w:color w:val="auto"/>
          <w:highlight w:val="none"/>
          <w:lang w:val="en-US" w:eastAsia="zh-CN"/>
        </w:rPr>
        <w:t>管理相关经验。</w:t>
      </w:r>
    </w:p>
    <w:p w14:paraId="0FBD41B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除常驻专家外，建立与项目相匹配的高水平专家支撑机制，根据新区重点工作需要，及时调配具有高危细分领域治理、重点县专家指导服务、重大项目试生产、重点装置风险研判、事故事件调查复盘等经验的专家提供技术支持。</w:t>
      </w:r>
    </w:p>
    <w:p w14:paraId="4E475A8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rPr>
        <w:t>深化重点领域专项治理</w:t>
      </w:r>
    </w:p>
    <w:p w14:paraId="3AD5C70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围绕重大事故隐患、高危细分领域、特殊作业、承包商管理、设备带“病”运行、异常工况、重大危险源、屡查屡犯问题等重点事项，制定年度专项治理计划，每月至少确定1项重点专题开展专项排查、穿透检查或“回头看”，形成专项检查方案、问题清单、整改建议和复核意见。</w:t>
      </w:r>
    </w:p>
    <w:p w14:paraId="7A46997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对重复发生、反复整改不到位、跨企业普遍存在的问题，深挖制度、责任、培训、考核、作业组织等方面根因，提出系统性整改措施和治理建议，推动问题由“点上整改”向“面上治理”转变。</w:t>
      </w:r>
    </w:p>
    <w:p w14:paraId="4DB1B45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rPr>
        <w:t>开展“三警”服务支撑</w:t>
      </w:r>
    </w:p>
    <w:p w14:paraId="4D94784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围绕警醒、警戒、警示“三警”机制落实，结合外地事故信息、园区监管重点和企业实际情况，及时开展事故信息收集研判，提出警醒提示，督促企业举一反三开展类比排查。根据前期研判情况，分类制定排查重点和检查指南，协助新区组织开展警戒性排查检查，推动隐患整改和风险防控措施落实。</w:t>
      </w:r>
    </w:p>
    <w:p w14:paraId="7E8FE54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围绕典型事故、园区内异常事件、未遂事件、非计划停车、报警联锁异常等情况，及时开展警示复盘和案例分析，提出防范措施建议，形成警示案例或专题材料，为新区强化事故警示教育和提升风险防控能力提供技术支撑。</w:t>
      </w:r>
    </w:p>
    <w:p w14:paraId="523AEE0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rPr>
        <w:t>开展常规性安全检查技术</w:t>
      </w:r>
      <w:r>
        <w:rPr>
          <w:rFonts w:hint="default" w:ascii="Times New Roman" w:hAnsi="Times New Roman" w:eastAsia="宋体" w:cs="Times New Roman"/>
          <w:color w:val="auto"/>
          <w:highlight w:val="none"/>
          <w:lang w:val="en-US" w:eastAsia="zh-CN"/>
        </w:rPr>
        <w:t>支撑</w:t>
      </w:r>
    </w:p>
    <w:p w14:paraId="6997E9E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驻点专家根据新区应急管理部门工作安排，配合开展年度执法检查、安全许可换证现场核查、临时性安全检查巡查等工作</w:t>
      </w:r>
      <w:r>
        <w:rPr>
          <w:rFonts w:hint="default" w:ascii="Times New Roman" w:hAnsi="Times New Roman" w:eastAsia="宋体" w:cs="Times New Roman"/>
          <w:color w:val="auto"/>
          <w:highlight w:val="none"/>
          <w:lang w:eastAsia="zh-CN"/>
        </w:rPr>
        <w:t>，为监管人员提供专业技术支撑和现场指导。</w:t>
      </w:r>
    </w:p>
    <w:p w14:paraId="6DC92D5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配合监管人员对上级部门检查交办的问题隐患整改情况进行复核，对整改质量不高、整改措施不实、同类问题反复出现的情形提出进一步处理建议。</w:t>
      </w:r>
    </w:p>
    <w:p w14:paraId="4F8DB17F">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提供安全风险形势分析研判</w:t>
      </w:r>
      <w:r>
        <w:rPr>
          <w:rFonts w:hint="default" w:ascii="Times New Roman" w:hAnsi="Times New Roman" w:eastAsia="宋体" w:cs="Times New Roman"/>
          <w:color w:val="auto"/>
          <w:highlight w:val="none"/>
          <w:lang w:val="en-US" w:eastAsia="zh-CN"/>
        </w:rPr>
        <w:t>服务</w:t>
      </w:r>
    </w:p>
    <w:p w14:paraId="61F92EAC">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结合检查发现的突出风险、线上监测预警信息、生产装置运行状态、同行业领域生产安全事故、季节性风险等，每季度开展1次园区安全风险形势分析研判，形成风险清单</w:t>
      </w:r>
      <w:r>
        <w:rPr>
          <w:rFonts w:hint="default" w:ascii="Times New Roman" w:hAnsi="Times New Roman" w:eastAsia="宋体" w:cs="Times New Roman"/>
          <w:color w:val="auto"/>
          <w:highlight w:val="none"/>
          <w:lang w:val="en-US" w:eastAsia="zh-CN"/>
        </w:rPr>
        <w:t>及</w:t>
      </w:r>
      <w:r>
        <w:rPr>
          <w:rFonts w:hint="default" w:ascii="Times New Roman" w:hAnsi="Times New Roman" w:eastAsia="宋体" w:cs="Times New Roman"/>
          <w:color w:val="auto"/>
          <w:highlight w:val="none"/>
        </w:rPr>
        <w:t>重点事项管控建议，为新区党工委、管委会和监管部门决策提供参考</w:t>
      </w:r>
      <w:r>
        <w:rPr>
          <w:rFonts w:hint="default" w:ascii="Times New Roman" w:hAnsi="Times New Roman" w:eastAsia="宋体" w:cs="Times New Roman"/>
          <w:color w:val="auto"/>
          <w:highlight w:val="none"/>
          <w:lang w:eastAsia="zh-CN"/>
        </w:rPr>
        <w:t>。</w:t>
      </w:r>
    </w:p>
    <w:p w14:paraId="3277931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每半年对检查发现的问题隐患</w:t>
      </w:r>
      <w:r>
        <w:rPr>
          <w:rFonts w:hint="default" w:ascii="Times New Roman" w:hAnsi="Times New Roman" w:eastAsia="宋体" w:cs="Times New Roman"/>
          <w:color w:val="auto"/>
          <w:highlight w:val="none"/>
          <w:lang w:val="en-US" w:eastAsia="zh-CN"/>
        </w:rPr>
        <w:t>开展</w:t>
      </w:r>
      <w:r>
        <w:rPr>
          <w:rFonts w:hint="default" w:ascii="Times New Roman" w:hAnsi="Times New Roman" w:eastAsia="宋体" w:cs="Times New Roman"/>
          <w:color w:val="auto"/>
          <w:highlight w:val="none"/>
        </w:rPr>
        <w:t>总结分析，形成危化品企业安全运行分析报告，梳理至少2项共性、突出问题，提出有针对性、可操作的整改提升建议。</w:t>
      </w:r>
    </w:p>
    <w:p w14:paraId="15FA30CE">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en-US" w:eastAsia="zh-CN"/>
        </w:rPr>
        <w:t>6）</w:t>
      </w:r>
      <w:r>
        <w:rPr>
          <w:rFonts w:hint="default" w:ascii="Times New Roman" w:hAnsi="Times New Roman" w:eastAsia="宋体" w:cs="Times New Roman"/>
          <w:color w:val="auto"/>
          <w:highlight w:val="none"/>
          <w:lang w:val="zh-CN"/>
        </w:rPr>
        <w:t>指导开展应急演练和应急能力提升</w:t>
      </w:r>
    </w:p>
    <w:p w14:paraId="35776CA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每年指导新区开展不少于1次</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双盲</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应急演练和其他综合性、专项性应急演练，重点检验企业先期处置、园区联动响应、专业救援协同、信息报送、应急资源调度和现场指挥能力。</w:t>
      </w:r>
      <w:r>
        <w:rPr>
          <w:rFonts w:hint="default" w:ascii="Times New Roman" w:hAnsi="Times New Roman" w:eastAsia="宋体" w:cs="Times New Roman"/>
          <w:color w:val="auto"/>
          <w:highlight w:val="none"/>
          <w:lang w:eastAsia="zh-CN"/>
        </w:rPr>
        <w:t>参与</w:t>
      </w:r>
      <w:r>
        <w:rPr>
          <w:rFonts w:hint="default" w:ascii="Times New Roman" w:hAnsi="Times New Roman" w:eastAsia="宋体" w:cs="Times New Roman"/>
          <w:color w:val="auto"/>
          <w:highlight w:val="none"/>
        </w:rPr>
        <w:t>危化品企业</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双盲</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应急演练的现场评估，指出存在问题，形成问题清单和改进建议，督促企业提升演练质量和实战能力。</w:t>
      </w:r>
    </w:p>
    <w:p w14:paraId="46BEDCCE">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结合演练评估和实际应急处置情况，对新区综合应急预案、专项预案、企业预案衔接、应急队伍建设、物资装备保障、联动响应机制等提出优化建议。</w:t>
      </w:r>
    </w:p>
    <w:p w14:paraId="7107418B">
      <w:pPr>
        <w:pStyle w:val="298"/>
        <w:keepNext w:val="0"/>
        <w:keepLines w:val="0"/>
        <w:pageBreakBefore w:val="0"/>
        <w:kinsoku/>
        <w:wordWrap/>
        <w:overflowPunct/>
        <w:topLinePunct w:val="0"/>
        <w:bidi w:val="0"/>
        <w:adjustRightInd w:val="0"/>
        <w:snapToGrid w:val="0"/>
        <w:spacing w:line="560" w:lineRule="exact"/>
        <w:ind w:firstLine="420" w:firstLineChars="200"/>
        <w:jc w:val="both"/>
        <w:textAlignment w:val="auto"/>
        <w:rPr>
          <w:rFonts w:hint="eastAsia"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根据园区需要</w:t>
      </w:r>
      <w:r>
        <w:rPr>
          <w:rFonts w:hint="eastAsia" w:ascii="Times New Roman" w:hAnsi="Times New Roman" w:eastAsia="宋体" w:cs="Times New Roman"/>
          <w:color w:val="auto"/>
          <w:kern w:val="2"/>
          <w:sz w:val="21"/>
          <w:szCs w:val="24"/>
          <w:highlight w:val="none"/>
          <w:lang w:val="en-US" w:eastAsia="zh-CN" w:bidi="ar-SA"/>
        </w:rPr>
        <w:t>，</w:t>
      </w:r>
      <w:r>
        <w:rPr>
          <w:rFonts w:hint="default" w:ascii="Times New Roman" w:hAnsi="Times New Roman" w:eastAsia="宋体" w:cs="Times New Roman"/>
          <w:color w:val="auto"/>
          <w:kern w:val="2"/>
          <w:sz w:val="21"/>
          <w:szCs w:val="24"/>
          <w:highlight w:val="none"/>
          <w:lang w:val="en-US" w:eastAsia="zh-CN" w:bidi="ar-SA"/>
        </w:rPr>
        <w:t>每年组织应急救援方面专家开展园区应急物资和应急能力</w:t>
      </w:r>
      <w:r>
        <w:rPr>
          <w:rFonts w:hint="eastAsia" w:ascii="Times New Roman" w:hAnsi="Times New Roman" w:eastAsia="宋体" w:cs="Times New Roman"/>
          <w:color w:val="auto"/>
          <w:kern w:val="2"/>
          <w:sz w:val="21"/>
          <w:szCs w:val="24"/>
          <w:highlight w:val="none"/>
          <w:lang w:val="en-US" w:eastAsia="zh-CN" w:bidi="ar-SA"/>
        </w:rPr>
        <w:t>检查和</w:t>
      </w:r>
      <w:r>
        <w:rPr>
          <w:rFonts w:hint="default" w:ascii="Times New Roman" w:hAnsi="Times New Roman" w:eastAsia="宋体" w:cs="Times New Roman"/>
          <w:color w:val="auto"/>
          <w:kern w:val="2"/>
          <w:sz w:val="21"/>
          <w:szCs w:val="24"/>
          <w:highlight w:val="none"/>
          <w:lang w:val="en-US" w:eastAsia="zh-CN" w:bidi="ar-SA"/>
        </w:rPr>
        <w:t>评估。</w:t>
      </w:r>
    </w:p>
    <w:p w14:paraId="0F8A15D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lang w:val="en-US" w:eastAsia="zh-CN"/>
        </w:rPr>
        <w:t>7）</w:t>
      </w:r>
      <w:r>
        <w:rPr>
          <w:rFonts w:hint="default" w:ascii="Times New Roman" w:hAnsi="Times New Roman" w:eastAsia="宋体" w:cs="Times New Roman"/>
          <w:color w:val="auto"/>
          <w:highlight w:val="none"/>
          <w:lang w:val="zh-CN"/>
        </w:rPr>
        <w:t>开展培训交流和本土化专家队伍培养</w:t>
      </w:r>
    </w:p>
    <w:p w14:paraId="1B2B863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围绕新区监管需求和企业实际，针对监管人员和企业重点岗位人员，分层分类制定培训计划和培训大纲，围绕过程安全管理、特殊作业和承包商管理、异常工况处置、事故调查复盘、智慧化监管应用、新法律法规和标准规范解读等内容，每年组织不少于5次</w:t>
      </w:r>
      <w:r>
        <w:rPr>
          <w:rFonts w:hint="default" w:ascii="Times New Roman" w:hAnsi="Times New Roman" w:eastAsia="宋体" w:cs="Times New Roman"/>
          <w:color w:val="auto"/>
          <w:highlight w:val="none"/>
          <w:lang w:val="en-US" w:eastAsia="zh-CN"/>
        </w:rPr>
        <w:t>综合</w:t>
      </w:r>
      <w:r>
        <w:rPr>
          <w:rFonts w:hint="default" w:ascii="Times New Roman" w:hAnsi="Times New Roman" w:eastAsia="宋体" w:cs="Times New Roman"/>
          <w:color w:val="auto"/>
          <w:highlight w:val="none"/>
        </w:rPr>
        <w:t>培训</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每家企业至少开展1次差异化培训</w:t>
      </w:r>
      <w:r>
        <w:rPr>
          <w:rFonts w:hint="default" w:ascii="Times New Roman" w:hAnsi="Times New Roman" w:eastAsia="宋体" w:cs="Times New Roman"/>
          <w:color w:val="auto"/>
          <w:highlight w:val="none"/>
        </w:rPr>
        <w:t>。</w:t>
      </w:r>
    </w:p>
    <w:p w14:paraId="67F0D19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建立“带教式”培养机制，通过联合检查、案例复盘、专题研讨、驻点跟学等方式，帮助企业培养一批熟悉工艺、设备、仪表和安全管理要求的本土化专家骨干，持续提升企业安全管理能力。</w:t>
      </w:r>
    </w:p>
    <w:p w14:paraId="3C1C48A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每半年收集汇编国内先进化工园区和标杆企业在过程安全管理、风险防控、数字化监管、应急管理等方面的典型经验做法，形成专题资料，供新区学习借鉴。根据需要，组织监管人员和有关企业赴国内先进园区、标杆企业开展对标交流学习。</w:t>
      </w:r>
    </w:p>
    <w:p w14:paraId="36B4F26C">
      <w:pPr>
        <w:pStyle w:val="298"/>
        <w:keepNext w:val="0"/>
        <w:keepLines w:val="0"/>
        <w:pageBreakBefore w:val="0"/>
        <w:kinsoku/>
        <w:wordWrap/>
        <w:overflowPunct/>
        <w:topLinePunct w:val="0"/>
        <w:bidi w:val="0"/>
        <w:adjustRightInd w:val="0"/>
        <w:snapToGrid w:val="0"/>
        <w:spacing w:line="560" w:lineRule="exact"/>
        <w:ind w:firstLine="420" w:firstLineChars="200"/>
        <w:jc w:val="both"/>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深化监管人员传帮带培养，提升监管人员</w:t>
      </w:r>
      <w:r>
        <w:rPr>
          <w:rFonts w:hint="eastAsia" w:ascii="Times New Roman" w:hAnsi="Times New Roman" w:eastAsia="宋体" w:cs="Times New Roman"/>
          <w:color w:val="auto"/>
          <w:kern w:val="2"/>
          <w:sz w:val="21"/>
          <w:szCs w:val="24"/>
          <w:highlight w:val="none"/>
          <w:lang w:val="en-US" w:eastAsia="zh-CN" w:bidi="ar-SA"/>
        </w:rPr>
        <w:t>安全监管</w:t>
      </w:r>
      <w:r>
        <w:rPr>
          <w:rFonts w:hint="default" w:ascii="Times New Roman" w:hAnsi="Times New Roman" w:eastAsia="宋体" w:cs="Times New Roman"/>
          <w:color w:val="auto"/>
          <w:kern w:val="2"/>
          <w:sz w:val="21"/>
          <w:szCs w:val="24"/>
          <w:highlight w:val="none"/>
          <w:lang w:val="en-US" w:eastAsia="zh-CN" w:bidi="ar-SA"/>
        </w:rPr>
        <w:t>专业履职水平。</w:t>
      </w:r>
    </w:p>
    <w:p w14:paraId="0D9F9DA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8）</w:t>
      </w:r>
      <w:r>
        <w:rPr>
          <w:rFonts w:hint="default" w:ascii="Times New Roman" w:hAnsi="Times New Roman" w:eastAsia="宋体" w:cs="Times New Roman"/>
          <w:color w:val="auto"/>
          <w:highlight w:val="none"/>
        </w:rPr>
        <w:t>协助开展日常值守和重点时段值班值守</w:t>
      </w:r>
    </w:p>
    <w:p w14:paraId="12A0FBD9">
      <w:pPr>
        <w:keepNext w:val="0"/>
        <w:keepLines w:val="0"/>
        <w:pageBreakBefore w:val="0"/>
        <w:kinsoku/>
        <w:wordWrap/>
        <w:overflowPunct/>
        <w:topLinePunct w:val="0"/>
        <w:bidi w:val="0"/>
        <w:adjustRightInd w:val="0"/>
        <w:snapToGrid w:val="0"/>
        <w:spacing w:line="560" w:lineRule="exact"/>
        <w:ind w:firstLine="420" w:firstLineChars="200"/>
        <w:textAlignment w:val="auto"/>
        <w:outlineLvl w:val="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应安排不少于2名专业技术人员在岗值班值守，参与园区每日安全运行信息研判、重点风险提醒、突发情况会商和现场技术支撑。</w:t>
      </w:r>
    </w:p>
    <w:p w14:paraId="0650E729">
      <w:pPr>
        <w:keepNext w:val="0"/>
        <w:keepLines w:val="0"/>
        <w:pageBreakBefore w:val="0"/>
        <w:kinsoku/>
        <w:wordWrap/>
        <w:overflowPunct/>
        <w:topLinePunct w:val="0"/>
        <w:bidi w:val="0"/>
        <w:adjustRightInd w:val="0"/>
        <w:snapToGrid w:val="0"/>
        <w:spacing w:line="560" w:lineRule="exact"/>
        <w:ind w:firstLine="420" w:firstLineChars="200"/>
        <w:textAlignment w:val="auto"/>
        <w:outlineLvl w:val="0"/>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在法定节假日、恶劣天气、重大活动、装置集中检维修等重点时段，配合招标人安排专家在岗值守或备勤，协助新区开展重点时段安全巡查，做好突发事件应急处置准备。</w:t>
      </w:r>
    </w:p>
    <w:p w14:paraId="3D5CDE2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9）</w:t>
      </w:r>
      <w:r>
        <w:rPr>
          <w:rFonts w:hint="default" w:ascii="Times New Roman" w:hAnsi="Times New Roman" w:eastAsia="宋体" w:cs="Times New Roman"/>
          <w:color w:val="auto"/>
          <w:highlight w:val="none"/>
          <w:lang w:val="en-US" w:eastAsia="zh-CN"/>
        </w:rPr>
        <w:t>开展园区层面安全治理机制研究和综合支撑</w:t>
      </w:r>
    </w:p>
    <w:p w14:paraId="7074AC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围绕园区安全治理需要，立足新区管理实际和跨部门协同需求，聚焦园区层面具有共性、反复性、牵引性的安全管理事项，协助开展专题研究、机制评估和制度优化，提出可操作的工作建议，服务新区完善园区整体安全治理体系。</w:t>
      </w:r>
    </w:p>
    <w:p w14:paraId="42627E1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结合项目实施情况，围绕过程安全管理、项目准入把关、智慧化监管、“三警”机制落实、重点领域专项治理等工作，及时总结提炼成熟做法，形成专题报告、制度建议、典型案例、工作指引等成果，为新区推动形成可复制、可推广的机制性经验做法提供技术支撑。</w:t>
      </w:r>
    </w:p>
    <w:p w14:paraId="72CA1E62">
      <w:pPr>
        <w:keepNext w:val="0"/>
        <w:keepLines w:val="0"/>
        <w:pageBreakBefore w:val="0"/>
        <w:kinsoku/>
        <w:wordWrap/>
        <w:overflowPunct/>
        <w:topLinePunct w:val="0"/>
        <w:bidi w:val="0"/>
        <w:adjustRightInd w:val="0"/>
        <w:snapToGrid w:val="0"/>
        <w:spacing w:line="560" w:lineRule="exact"/>
        <w:ind w:firstLine="420" w:firstLineChars="200"/>
        <w:textAlignment w:val="auto"/>
        <w:outlineLvl w:val="0"/>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color w:val="auto"/>
          <w:kern w:val="2"/>
          <w:sz w:val="21"/>
          <w:szCs w:val="24"/>
          <w:highlight w:val="none"/>
          <w:lang w:val="en-US" w:eastAsia="zh-CN" w:bidi="ar-SA"/>
        </w:rPr>
        <w:t>组织不少于</w:t>
      </w:r>
      <w:r>
        <w:rPr>
          <w:rFonts w:hint="default" w:ascii="Times New Roman" w:hAnsi="Times New Roman" w:eastAsia="宋体" w:cs="Times New Roman"/>
          <w:color w:val="auto"/>
          <w:kern w:val="2"/>
          <w:sz w:val="21"/>
          <w:szCs w:val="24"/>
          <w:highlight w:val="none"/>
          <w:lang w:val="en-US" w:eastAsia="zh-CN" w:bidi="ar-SA"/>
        </w:rPr>
        <w:t>5名</w:t>
      </w:r>
      <w:r>
        <w:rPr>
          <w:rFonts w:hint="eastAsia" w:ascii="Times New Roman" w:hAnsi="Times New Roman" w:eastAsia="宋体" w:cs="Times New Roman"/>
          <w:color w:val="auto"/>
          <w:kern w:val="2"/>
          <w:sz w:val="21"/>
          <w:szCs w:val="24"/>
          <w:highlight w:val="none"/>
          <w:lang w:val="en-US" w:eastAsia="zh-CN" w:bidi="ar-SA"/>
        </w:rPr>
        <w:t>专家，每年对新区石化产业基地开展风险等级评估，专家应参加过省级及以上化工园区评估。</w:t>
      </w:r>
    </w:p>
    <w:p w14:paraId="6DC297D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10）</w:t>
      </w:r>
      <w:r>
        <w:rPr>
          <w:rFonts w:hint="default" w:ascii="Times New Roman" w:hAnsi="Times New Roman" w:eastAsia="宋体" w:cs="Times New Roman"/>
          <w:color w:val="auto"/>
          <w:highlight w:val="none"/>
          <w:lang w:val="en-US" w:eastAsia="zh-CN"/>
        </w:rPr>
        <w:t>完成新区</w:t>
      </w:r>
      <w:r>
        <w:rPr>
          <w:rFonts w:hint="default" w:ascii="Times New Roman" w:hAnsi="Times New Roman" w:eastAsia="宋体" w:cs="Times New Roman"/>
          <w:color w:val="auto"/>
          <w:highlight w:val="none"/>
        </w:rPr>
        <w:t>交办的其他事项</w:t>
      </w:r>
    </w:p>
    <w:p w14:paraId="772FCC1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根据新区党工委、管委会和应急管理部门工作需要，参与安委会、专题会议、应急管理系统例会等相关会议，参加安全生产月等活动，参与突发应急事件应急处置和生产安全事故调查，完成新区交办的其他安全生产相关工作事项</w:t>
      </w:r>
      <w:r>
        <w:rPr>
          <w:rFonts w:hint="default" w:ascii="Times New Roman" w:hAnsi="Times New Roman" w:eastAsia="宋体" w:cs="Times New Roman"/>
          <w:color w:val="auto"/>
          <w:highlight w:val="none"/>
        </w:rPr>
        <w:t>。</w:t>
      </w:r>
    </w:p>
    <w:p w14:paraId="02E5DD3F">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w:t>
      </w:r>
      <w:r>
        <w:rPr>
          <w:rFonts w:hint="eastAsia"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lang w:val="en-US" w:eastAsia="zh-CN"/>
        </w:rPr>
        <w:t>项目考核推进机制</w:t>
      </w:r>
    </w:p>
    <w:p w14:paraId="5A4DB7E0">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highlight w:val="none"/>
          <w:lang w:val="en-US" w:eastAsia="zh-CN"/>
        </w:rPr>
        <w:t>专家团队能力审核</w:t>
      </w:r>
    </w:p>
    <w:p w14:paraId="0890E74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拟派驻专家应通过新区应急管理部门组织的审核后方可上岗。新区应急管理部门有权根据项目推进情况、服务成效和履职表现，对专家团队进行动态考核，并要求对不适岗、不胜任或不能满足工作需要的专家及时进行调整更换。</w:t>
      </w:r>
    </w:p>
    <w:p w14:paraId="2185960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highlight w:val="none"/>
          <w:lang w:val="en-US" w:eastAsia="zh-CN"/>
        </w:rPr>
        <w:t>工作过程跟踪和成果报送</w:t>
      </w:r>
    </w:p>
    <w:p w14:paraId="611968C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应建立规范的项目运行管理机制，按月报送工作开展情况、重点工作进展、问题清单、整改跟踪、风险提示和下步工作安排等书面材料，并根据新区要求及时开展专题汇报。</w:t>
      </w:r>
    </w:p>
    <w:p w14:paraId="23B179EE">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lang w:val="en-US" w:eastAsia="zh-CN"/>
        </w:rPr>
        <w:t>项目履约评估</w:t>
      </w:r>
    </w:p>
    <w:p w14:paraId="6CBEF40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新区可结合实际情况组织开展项目年度评估和终期评估，通过资料审查、现场核查、企业走访、服务对象评价等方式，对项目履约情况、工作质量、服务成效、专家履职情况等进行综合评估。对履约不力、成效不明显、考核不合格的，可按照合同约定采取约谈、整改、扣减费用、终止合同等措施。</w:t>
      </w:r>
    </w:p>
    <w:p w14:paraId="4ACA484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w:t>
      </w:r>
      <w:r>
        <w:rPr>
          <w:rFonts w:hint="eastAsia"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lang w:val="en-US" w:eastAsia="zh-CN"/>
        </w:rPr>
        <w:t>安全事故责任考核</w:t>
      </w:r>
    </w:p>
    <w:p w14:paraId="43A1BF3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outlineLvl w:val="9"/>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项目费用中50万元作为服务质量履约考核费用。考核内容主要包括任务完成、成果质量、隐患排查、整改复核、培训演练、风险研判和服务评价等。对未按合同约定履行服务职责、履约质量不符合要求或年度评估不合格的，按照合同约定扣减相应费用。服务期间园区发生生产安全事故或较大社会影响事件的，同步核查服务单位履职情况</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eastAsia="zh-CN"/>
        </w:rPr>
        <w:t>存在应发现未发现、应提示未提示、应报告未报告等履职不到位情形的，纳入服务质量履约考核。</w:t>
      </w:r>
    </w:p>
    <w:p w14:paraId="038C9139">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第二款　 协议期限</w:t>
      </w:r>
    </w:p>
    <w:p w14:paraId="1C93249C">
      <w:pPr>
        <w:widowControl/>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2.1服务期限为7</w:t>
      </w:r>
      <w:r>
        <w:rPr>
          <w:rFonts w:hint="default" w:ascii="Times New Roman" w:hAnsi="Times New Roman" w:cs="Times New Roman"/>
          <w:color w:val="auto"/>
          <w:highlight w:val="none"/>
          <w:lang w:val="en-US" w:eastAsia="zh-CN"/>
        </w:rPr>
        <w:t>30</w:t>
      </w:r>
      <w:r>
        <w:rPr>
          <w:rFonts w:hint="default" w:ascii="Times New Roman" w:hAnsi="Times New Roman" w:cs="Times New Roman"/>
          <w:color w:val="auto"/>
          <w:highlight w:val="none"/>
        </w:rPr>
        <w:t>天，具体为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日至</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日。乙方应在协议签订后按照人员方案全部进驻石化基地建设现场进行安全服务。</w:t>
      </w:r>
    </w:p>
    <w:p w14:paraId="27687FC1">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第三款　 甲、乙方关系</w:t>
      </w:r>
    </w:p>
    <w:p w14:paraId="7179A8C1">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3.1 在本协议期内，乙方应对控制服务履行之细节并为服务的结果负责，确保该服务之履行符合国家及甲方相关的安全管理要求。</w:t>
      </w:r>
    </w:p>
    <w:p w14:paraId="71F0B4A1">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3.2 甲方保留观察与检查的权利，以确保乙方服务满足要求。但甲方的观察与检查不得解除乙方在本协议下的义务与责任。</w:t>
      </w:r>
    </w:p>
    <w:p w14:paraId="57772783">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3.3 乙方无权代表甲方与任何其他方签订合同（或协议），未经甲方授权，乙方无权代表甲方承担或发生任何费用、债务或义务。</w:t>
      </w:r>
    </w:p>
    <w:p w14:paraId="7394E7AF">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3.4乙方若需授权另一方代表履行本协议之条款的相关服务，必须经甲方书面批准。</w:t>
      </w:r>
    </w:p>
    <w:p w14:paraId="1FDD7B0E">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3.5 无论乙方或经乙方授权的另一方代表实施本协议之条款的相关服务，乙方自担风险实施服务。</w:t>
      </w:r>
    </w:p>
    <w:p w14:paraId="2554B3CB">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w:t>
      </w:r>
      <w:r>
        <w:rPr>
          <w:rFonts w:hint="default" w:ascii="Times New Roman" w:hAnsi="Times New Roman" w:cs="Times New Roman"/>
          <w:b/>
          <w:color w:val="auto"/>
          <w:highlight w:val="none"/>
          <w:lang w:val="en-US" w:eastAsia="zh-CN"/>
        </w:rPr>
        <w:t>四</w:t>
      </w:r>
      <w:r>
        <w:rPr>
          <w:rFonts w:hint="default" w:ascii="Times New Roman" w:hAnsi="Times New Roman" w:cs="Times New Roman"/>
          <w:b/>
          <w:color w:val="auto"/>
          <w:highlight w:val="none"/>
        </w:rPr>
        <w:t>款　 服务费及支付</w:t>
      </w:r>
    </w:p>
    <w:p w14:paraId="34A36104">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rPr>
        <w:t xml:space="preserve">.1 甲方应当就乙方提供的服务按照下列要求支付乙方服务费，乙方每个工作人员的服务费所得由乙方自行决定，与甲方无关。 </w:t>
      </w:r>
    </w:p>
    <w:p w14:paraId="6977CABE">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rPr>
        <w:t xml:space="preserve">.2 乙方总的服务费包括乙方的管理费、税金、交通费、通信费、办公设备费（含考勤机）、住宿费、午餐费、人员工资、奖金、加班费用、各类津贴、评审费、专家费、编制费等全包费用。 </w:t>
      </w:r>
    </w:p>
    <w:p w14:paraId="4B51581D">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rPr>
        <w:t>.3 因乙方按照本协议履行服务而引起的针对乙方人员的任何税金（包括</w:t>
      </w:r>
      <w:r>
        <w:rPr>
          <w:rFonts w:hint="eastAsia" w:ascii="Times New Roman" w:hAnsi="Times New Roman" w:cs="Times New Roman"/>
          <w:color w:val="auto"/>
          <w:highlight w:val="none"/>
          <w:lang w:eastAsia="zh-CN"/>
        </w:rPr>
        <w:t>其他</w:t>
      </w:r>
      <w:r>
        <w:rPr>
          <w:rFonts w:hint="default" w:ascii="Times New Roman" w:hAnsi="Times New Roman" w:cs="Times New Roman"/>
          <w:color w:val="auto"/>
          <w:highlight w:val="none"/>
        </w:rPr>
        <w:t xml:space="preserve">税金、服务税等）、费用（或任何相关罚金、利息）的报告、存档与支付，乙方应予以负责并使甲方不受上述事项影响。对于因乙方按照本协议履行服务引起的、根据相关法律应予预扣并向相关税务机构缴纳的任何税金或预提金额，甲方可予以预扣，甲方应向乙方提供能够证明向上述税务机构缴纳税金或预提有关金额的所有收据。 </w:t>
      </w:r>
    </w:p>
    <w:p w14:paraId="17F1381F">
      <w:pPr>
        <w:spacing w:line="6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4</w:t>
      </w:r>
      <w:r>
        <w:rPr>
          <w:rFonts w:hint="default" w:ascii="Times New Roman" w:hAnsi="Times New Roman" w:cs="Times New Roman"/>
          <w:color w:val="auto"/>
          <w:highlight w:val="none"/>
        </w:rPr>
        <w:t>.4</w:t>
      </w:r>
      <w:r>
        <w:rPr>
          <w:rStyle w:val="41"/>
          <w:rFonts w:hint="default" w:ascii="Times New Roman" w:hAnsi="Times New Roman" w:cs="Times New Roman"/>
          <w:color w:val="auto"/>
          <w:highlight w:val="none"/>
        </w:rPr>
        <w:t>项目人员应定期、不定期组织开展各项安全检查，</w:t>
      </w:r>
      <w:r>
        <w:rPr>
          <w:rFonts w:hint="default" w:ascii="Times New Roman" w:hAnsi="Times New Roman" w:cs="Times New Roman"/>
          <w:color w:val="auto"/>
          <w:highlight w:val="none"/>
        </w:rPr>
        <w:t>并填写安全检查记录和及时下发整改单，同时进一步的督促各方责任主体及时消除安全隐患。</w:t>
      </w:r>
    </w:p>
    <w:p w14:paraId="5F5857B0">
      <w:pPr>
        <w:spacing w:line="500" w:lineRule="exact"/>
        <w:ind w:firstLine="422" w:firstLineChars="20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4</w:t>
      </w:r>
      <w:r>
        <w:rPr>
          <w:rFonts w:hint="default" w:ascii="Times New Roman" w:hAnsi="Times New Roman" w:cs="Times New Roman"/>
          <w:b/>
          <w:bCs/>
          <w:color w:val="auto"/>
          <w:highlight w:val="none"/>
        </w:rPr>
        <w:t>.</w:t>
      </w:r>
      <w:r>
        <w:rPr>
          <w:rFonts w:hint="default" w:ascii="Times New Roman" w:hAnsi="Times New Roman" w:cs="Times New Roman"/>
          <w:b/>
          <w:bCs/>
          <w:color w:val="auto"/>
          <w:highlight w:val="none"/>
          <w:lang w:val="en-US" w:eastAsia="zh-CN"/>
        </w:rPr>
        <w:t>5</w:t>
      </w:r>
      <w:r>
        <w:rPr>
          <w:rFonts w:hint="default" w:ascii="Times New Roman" w:hAnsi="Times New Roman" w:cs="Times New Roman"/>
          <w:b/>
          <w:bCs/>
          <w:color w:val="auto"/>
          <w:highlight w:val="none"/>
        </w:rPr>
        <w:t>本协议委托管理服务费：合同总价为（大写）人民币</w:t>
      </w:r>
      <w:r>
        <w:rPr>
          <w:rFonts w:hint="default" w:ascii="Times New Roman" w:hAnsi="Times New Roman" w:cs="Times New Roman"/>
          <w:b/>
          <w:bCs/>
          <w:color w:val="auto"/>
          <w:highlight w:val="none"/>
          <w:u w:val="single"/>
        </w:rPr>
        <w:t xml:space="preserve">        </w:t>
      </w:r>
      <w:r>
        <w:rPr>
          <w:rFonts w:hint="default" w:ascii="Times New Roman" w:hAnsi="Times New Roman" w:cs="Times New Roman"/>
          <w:b/>
          <w:bCs/>
          <w:color w:val="auto"/>
          <w:highlight w:val="none"/>
        </w:rPr>
        <w:t>万圆整（小写）：¥</w:t>
      </w:r>
      <w:r>
        <w:rPr>
          <w:rFonts w:hint="default" w:ascii="Times New Roman" w:hAnsi="Times New Roman" w:cs="Times New Roman"/>
          <w:b/>
          <w:bCs/>
          <w:color w:val="auto"/>
          <w:highlight w:val="none"/>
          <w:u w:val="single"/>
        </w:rPr>
        <w:t xml:space="preserve">    </w:t>
      </w:r>
      <w:r>
        <w:rPr>
          <w:rFonts w:hint="default" w:ascii="Times New Roman" w:hAnsi="Times New Roman" w:cs="Times New Roman"/>
          <w:b/>
          <w:bCs/>
          <w:color w:val="auto"/>
          <w:highlight w:val="none"/>
        </w:rPr>
        <w:t>万元，（含6%税）；</w:t>
      </w:r>
    </w:p>
    <w:p w14:paraId="01ADF658">
      <w:pPr>
        <w:spacing w:line="500" w:lineRule="exact"/>
        <w:ind w:firstLine="422" w:firstLineChars="200"/>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lang w:val="en-US" w:eastAsia="zh-CN"/>
        </w:rPr>
        <w:t>4</w:t>
      </w:r>
      <w:r>
        <w:rPr>
          <w:rFonts w:hint="default" w:ascii="Times New Roman" w:hAnsi="Times New Roman" w:cs="Times New Roman"/>
          <w:b/>
          <w:bCs/>
          <w:color w:val="auto"/>
          <w:highlight w:val="none"/>
        </w:rPr>
        <w:t>.</w:t>
      </w:r>
      <w:r>
        <w:rPr>
          <w:rFonts w:hint="default" w:ascii="Times New Roman" w:hAnsi="Times New Roman" w:cs="Times New Roman"/>
          <w:b/>
          <w:bCs/>
          <w:color w:val="auto"/>
          <w:highlight w:val="none"/>
          <w:lang w:val="en-US" w:eastAsia="zh-CN"/>
        </w:rPr>
        <w:t>6</w:t>
      </w:r>
      <w:r>
        <w:rPr>
          <w:rFonts w:hint="default" w:ascii="Times New Roman" w:hAnsi="Times New Roman" w:cs="Times New Roman"/>
          <w:b/>
          <w:bCs/>
          <w:color w:val="auto"/>
          <w:highlight w:val="none"/>
        </w:rPr>
        <w:t>支付方式及比例：项目合同签订之后支付总合同价款的20%作为预付款，项目执行每6个月支付一次费用，服务期2年共支付4次，每次支付合同总价款的20%。乙方在甲方每次付款前须向甲方提供等额的增值税专用发票，否则逾期付款的责任由乙方承担。</w:t>
      </w:r>
    </w:p>
    <w:p w14:paraId="644970CD">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w:t>
      </w:r>
      <w:r>
        <w:rPr>
          <w:rFonts w:hint="default" w:ascii="Times New Roman" w:hAnsi="Times New Roman" w:cs="Times New Roman"/>
          <w:b/>
          <w:color w:val="auto"/>
          <w:highlight w:val="none"/>
          <w:lang w:val="en-US" w:eastAsia="zh-CN"/>
        </w:rPr>
        <w:t>五</w:t>
      </w:r>
      <w:r>
        <w:rPr>
          <w:rFonts w:hint="default" w:ascii="Times New Roman" w:hAnsi="Times New Roman" w:cs="Times New Roman"/>
          <w:b/>
          <w:color w:val="auto"/>
          <w:highlight w:val="none"/>
        </w:rPr>
        <w:t>款  服务机构、内容及人员职责</w:t>
      </w:r>
    </w:p>
    <w:p w14:paraId="46673189">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5</w:t>
      </w:r>
      <w:r>
        <w:rPr>
          <w:rFonts w:hint="default" w:ascii="Times New Roman" w:hAnsi="Times New Roman" w:cs="Times New Roman"/>
          <w:color w:val="auto"/>
          <w:highlight w:val="none"/>
        </w:rPr>
        <w:t>.1总体架构为：（具体人员以投标文件为准）</w:t>
      </w:r>
    </w:p>
    <w:p w14:paraId="6BE421F3">
      <w:pPr>
        <w:spacing w:line="500" w:lineRule="exact"/>
        <w:ind w:firstLine="420" w:firstLineChars="200"/>
        <w:rPr>
          <w:rFonts w:hint="default" w:ascii="Times New Roman" w:hAnsi="Times New Roman" w:cs="Times New Roman"/>
          <w:b/>
          <w:color w:val="auto"/>
          <w:highlight w:val="none"/>
        </w:rPr>
      </w:pPr>
      <w:r>
        <w:rPr>
          <w:rFonts w:hint="default" w:ascii="Times New Roman" w:hAnsi="Times New Roman" w:cs="Times New Roman"/>
          <w:color w:val="auto"/>
          <w:highlight w:val="none"/>
          <w:lang w:val="en-US" w:eastAsia="zh-CN"/>
        </w:rPr>
        <w:t>5</w:t>
      </w:r>
      <w:r>
        <w:rPr>
          <w:rFonts w:hint="default" w:ascii="Times New Roman" w:hAnsi="Times New Roman" w:cs="Times New Roman"/>
          <w:color w:val="auto"/>
          <w:highlight w:val="none"/>
        </w:rPr>
        <w:t>.2在本协议期间，乙方的管理机构服务人员应按投标文件提供的人员名单安排到甲方工作时间和职位，并提供相关原件证明报甲方审批，</w:t>
      </w:r>
      <w:r>
        <w:rPr>
          <w:rFonts w:hint="default" w:ascii="Times New Roman" w:hAnsi="Times New Roman" w:cs="Times New Roman"/>
          <w:b/>
          <w:color w:val="auto"/>
          <w:highlight w:val="none"/>
        </w:rPr>
        <w:t>未经甲方同意</w:t>
      </w:r>
      <w:r>
        <w:rPr>
          <w:rFonts w:hint="default" w:ascii="Times New Roman" w:hAnsi="Times New Roman" w:cs="Times New Roman"/>
          <w:color w:val="auto"/>
          <w:highlight w:val="none"/>
        </w:rPr>
        <w:t>不得随意变更。</w:t>
      </w:r>
      <w:r>
        <w:rPr>
          <w:rFonts w:hint="default" w:ascii="Times New Roman" w:hAnsi="Times New Roman" w:cs="Times New Roman"/>
          <w:color w:val="auto"/>
          <w:highlight w:val="none"/>
          <w:lang w:val="en-US" w:eastAsia="zh-CN"/>
        </w:rPr>
        <w:t>甲方</w:t>
      </w:r>
      <w:r>
        <w:rPr>
          <w:rFonts w:hint="default" w:ascii="Times New Roman" w:hAnsi="Times New Roman" w:cs="Times New Roman"/>
          <w:color w:val="auto"/>
          <w:highlight w:val="none"/>
        </w:rPr>
        <w:t>每季度对服务人员的责任心、工作能力、合作性进行考核，如有考核不合格人员需立即更换，直至能满足相应岗位要求。在合同履行期间，甲方可以随时检查服务人员被派遣之后的情况。若甲方认为服务人员的经验、能力、勤奋或合作性不够，乙方应在甲方提出要求后立即将该人员调离招标人现场，且未经甲方同意，不得将该人员再次派往甲方作业现场。更换后的服务人员</w:t>
      </w:r>
      <w:r>
        <w:rPr>
          <w:rFonts w:hint="eastAsia" w:ascii="Times New Roman" w:hAnsi="Times New Roman" w:cs="Times New Roman"/>
          <w:color w:val="auto"/>
          <w:highlight w:val="none"/>
          <w:lang w:eastAsia="zh-CN"/>
        </w:rPr>
        <w:t>须</w:t>
      </w:r>
      <w:r>
        <w:rPr>
          <w:rFonts w:hint="default" w:ascii="Times New Roman" w:hAnsi="Times New Roman" w:cs="Times New Roman"/>
          <w:color w:val="auto"/>
          <w:highlight w:val="none"/>
        </w:rPr>
        <w:t>经过甲方</w:t>
      </w:r>
      <w:r>
        <w:rPr>
          <w:rFonts w:hint="default" w:ascii="Times New Roman" w:hAnsi="Times New Roman" w:cs="Times New Roman"/>
          <w:b/>
          <w:color w:val="auto"/>
          <w:highlight w:val="none"/>
        </w:rPr>
        <w:t>考核合格</w:t>
      </w:r>
      <w:r>
        <w:rPr>
          <w:rFonts w:hint="eastAsia" w:ascii="Times New Roman" w:hAnsi="Times New Roman" w:cs="Times New Roman"/>
          <w:b/>
          <w:color w:val="auto"/>
          <w:highlight w:val="none"/>
          <w:lang w:eastAsia="zh-CN"/>
        </w:rPr>
        <w:t>后方可上岗</w:t>
      </w:r>
      <w:r>
        <w:rPr>
          <w:rFonts w:hint="default" w:ascii="Times New Roman" w:hAnsi="Times New Roman" w:cs="Times New Roman"/>
          <w:color w:val="auto"/>
          <w:highlight w:val="none"/>
        </w:rPr>
        <w:t>，甲方不承担任何人员更换的额外费用</w:t>
      </w:r>
      <w:r>
        <w:rPr>
          <w:rFonts w:hint="default" w:ascii="Times New Roman" w:hAnsi="Times New Roman" w:cs="Times New Roman"/>
          <w:b/>
          <w:color w:val="auto"/>
          <w:highlight w:val="none"/>
        </w:rPr>
        <w:t>，</w:t>
      </w:r>
      <w:r>
        <w:rPr>
          <w:rFonts w:hint="eastAsia" w:ascii="Times New Roman" w:hAnsi="Times New Roman" w:cs="Times New Roman"/>
          <w:b/>
          <w:color w:val="auto"/>
          <w:highlight w:val="none"/>
          <w:lang w:val="en-US" w:eastAsia="zh-CN"/>
        </w:rPr>
        <w:t>期间</w:t>
      </w:r>
      <w:r>
        <w:rPr>
          <w:rFonts w:hint="default" w:ascii="Times New Roman" w:hAnsi="Times New Roman" w:cs="Times New Roman"/>
          <w:b/>
          <w:color w:val="auto"/>
          <w:highlight w:val="none"/>
        </w:rPr>
        <w:t>若服务人员缺位</w:t>
      </w:r>
      <w:r>
        <w:rPr>
          <w:rFonts w:hint="eastAsia" w:ascii="Times New Roman" w:hAnsi="Times New Roman" w:cs="Times New Roman"/>
          <w:b/>
          <w:color w:val="auto"/>
          <w:highlight w:val="none"/>
          <w:lang w:eastAsia="zh-CN"/>
        </w:rPr>
        <w:t>超过</w:t>
      </w:r>
      <w:r>
        <w:rPr>
          <w:rFonts w:hint="default" w:ascii="Times New Roman" w:hAnsi="Times New Roman" w:cs="Times New Roman"/>
          <w:b/>
          <w:color w:val="auto"/>
          <w:highlight w:val="none"/>
        </w:rPr>
        <w:t>3天及以上根据合同服务金额按实予以扣除。</w:t>
      </w:r>
    </w:p>
    <w:p w14:paraId="209C78F3">
      <w:pPr>
        <w:spacing w:line="500" w:lineRule="exact"/>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乙方若中标后，不得擅自更换项目负责人，如发现更换罚款10万元/次；不得擅自更换现场管理人员，如发现更换罚款5万元/次。</w:t>
      </w:r>
    </w:p>
    <w:p w14:paraId="11615B83">
      <w:pPr>
        <w:spacing w:line="500" w:lineRule="exact"/>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甲方如对现场管理人员不满，有权对人员进行更换。</w:t>
      </w:r>
    </w:p>
    <w:p w14:paraId="0F69DD4C">
      <w:pPr>
        <w:spacing w:line="500" w:lineRule="exact"/>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甲方需对新的管理机构服务人员进行考核，待考核合格</w:t>
      </w:r>
      <w:r>
        <w:rPr>
          <w:rFonts w:hint="eastAsia" w:ascii="Times New Roman" w:hAnsi="Times New Roman" w:cs="Times New Roman"/>
          <w:color w:val="auto"/>
          <w:highlight w:val="none"/>
          <w:lang w:eastAsia="zh-CN"/>
        </w:rPr>
        <w:t>后方可上岗</w:t>
      </w:r>
      <w:r>
        <w:rPr>
          <w:rFonts w:hint="default" w:ascii="Times New Roman" w:hAnsi="Times New Roman" w:cs="Times New Roman"/>
          <w:color w:val="auto"/>
          <w:highlight w:val="none"/>
        </w:rPr>
        <w:t>；若考核不合格，需重新更换人员直到考核合格为止。</w:t>
      </w:r>
    </w:p>
    <w:p w14:paraId="651230F6">
      <w:pPr>
        <w:spacing w:line="500" w:lineRule="exact"/>
        <w:ind w:firstLine="422" w:firstLineChars="200"/>
        <w:jc w:val="left"/>
        <w:rPr>
          <w:rFonts w:hint="default" w:ascii="Times New Roman" w:hAnsi="Times New Roman" w:cs="Times New Roman"/>
          <w:b/>
          <w:color w:val="auto"/>
          <w:highlight w:val="none"/>
        </w:rPr>
      </w:pPr>
      <w:r>
        <w:rPr>
          <w:rFonts w:hint="default" w:ascii="Times New Roman" w:hAnsi="Times New Roman" w:cs="Times New Roman"/>
          <w:b/>
          <w:color w:val="auto"/>
          <w:highlight w:val="none"/>
          <w:lang w:val="en-US" w:eastAsia="zh-CN"/>
        </w:rPr>
        <w:t>5</w:t>
      </w:r>
      <w:r>
        <w:rPr>
          <w:rFonts w:hint="default" w:ascii="Times New Roman" w:hAnsi="Times New Roman" w:cs="Times New Roman"/>
          <w:b/>
          <w:color w:val="auto"/>
          <w:highlight w:val="none"/>
        </w:rPr>
        <w:t>.3项目工作要求：</w:t>
      </w:r>
    </w:p>
    <w:p w14:paraId="277E7D48">
      <w:pPr>
        <w:spacing w:line="500" w:lineRule="exact"/>
        <w:ind w:firstLine="422" w:firstLineChars="200"/>
        <w:rPr>
          <w:rFonts w:hint="default" w:ascii="Times New Roman" w:hAnsi="Times New Roman" w:cs="Times New Roman"/>
          <w:b/>
          <w:color w:val="auto"/>
          <w:highlight w:val="none"/>
        </w:rPr>
      </w:pPr>
      <w:r>
        <w:rPr>
          <w:rFonts w:hint="default" w:ascii="Times New Roman" w:hAnsi="Times New Roman" w:cs="Times New Roman"/>
          <w:b/>
          <w:color w:val="auto"/>
          <w:highlight w:val="none"/>
          <w:lang w:val="en-US" w:eastAsia="zh-CN"/>
        </w:rPr>
        <w:t>5</w:t>
      </w:r>
      <w:r>
        <w:rPr>
          <w:rFonts w:hint="default" w:ascii="Times New Roman" w:hAnsi="Times New Roman" w:cs="Times New Roman"/>
          <w:b/>
          <w:color w:val="auto"/>
          <w:highlight w:val="none"/>
        </w:rPr>
        <w:t>.3.1工作内容</w:t>
      </w:r>
    </w:p>
    <w:p w14:paraId="4B2E3955">
      <w:pPr>
        <w:pStyle w:val="298"/>
        <w:snapToGrid w:val="0"/>
        <w:spacing w:line="560" w:lineRule="exact"/>
        <w:ind w:firstLine="420" w:firstLineChars="200"/>
        <w:jc w:val="both"/>
        <w:rPr>
          <w:rFonts w:hint="default"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lang w:eastAsia="zh-CN"/>
        </w:rPr>
        <w:t>1）</w:t>
      </w:r>
      <w:r>
        <w:rPr>
          <w:rFonts w:hint="default" w:ascii="Times New Roman" w:hAnsi="Times New Roman" w:cs="Times New Roman"/>
          <w:color w:val="auto"/>
          <w:kern w:val="2"/>
          <w:sz w:val="21"/>
          <w:szCs w:val="21"/>
          <w:highlight w:val="none"/>
        </w:rPr>
        <w:t>安全管家团队应按时完成各类总结、问题分析、工作进展和成效等总结性书面材料编制，根据新区相关部门的意见进行修改完善，并安排人员参加相关会议、汇报情况。</w:t>
      </w:r>
    </w:p>
    <w:p w14:paraId="244DE13E">
      <w:pPr>
        <w:pStyle w:val="298"/>
        <w:snapToGrid w:val="0"/>
        <w:spacing w:line="560" w:lineRule="exact"/>
        <w:ind w:firstLine="420" w:firstLineChars="200"/>
        <w:jc w:val="both"/>
        <w:rPr>
          <w:rFonts w:hint="default"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lang w:eastAsia="zh-CN"/>
        </w:rPr>
        <w:t>2）</w:t>
      </w:r>
      <w:r>
        <w:rPr>
          <w:rFonts w:hint="default" w:ascii="Times New Roman" w:hAnsi="Times New Roman" w:cs="Times New Roman"/>
          <w:color w:val="auto"/>
          <w:kern w:val="2"/>
          <w:sz w:val="21"/>
          <w:szCs w:val="21"/>
          <w:highlight w:val="none"/>
        </w:rPr>
        <w:t>合同期内，新区通过对派驻新区常驻的专家团队人员的责任心、工作能力、合作性进行考核，发现不合格的人员需立即更换，直至能满足相应岗位要求。</w:t>
      </w:r>
    </w:p>
    <w:p w14:paraId="651C88FE">
      <w:pPr>
        <w:pStyle w:val="298"/>
        <w:snapToGrid w:val="0"/>
        <w:spacing w:line="560" w:lineRule="exact"/>
        <w:ind w:firstLine="420" w:firstLineChars="200"/>
        <w:jc w:val="both"/>
        <w:rPr>
          <w:rFonts w:hint="default"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lang w:eastAsia="zh-CN"/>
        </w:rPr>
        <w:t>3）</w:t>
      </w:r>
      <w:r>
        <w:rPr>
          <w:rFonts w:hint="default" w:ascii="Times New Roman" w:hAnsi="Times New Roman" w:cs="Times New Roman"/>
          <w:color w:val="auto"/>
          <w:kern w:val="2"/>
          <w:sz w:val="21"/>
          <w:szCs w:val="21"/>
          <w:highlight w:val="none"/>
        </w:rPr>
        <w:t>安全管家服务团队要明确各参与项目服务人员的职责，建立项目协调沟通机制，定期与新区相关部门、企业进行沟通，跨部门多专业协调推进安全管家工作。</w:t>
      </w:r>
    </w:p>
    <w:p w14:paraId="1A22E625">
      <w:pPr>
        <w:pStyle w:val="298"/>
        <w:snapToGrid w:val="0"/>
        <w:spacing w:line="560" w:lineRule="exact"/>
        <w:ind w:firstLine="420" w:firstLineChars="200"/>
        <w:jc w:val="both"/>
        <w:rPr>
          <w:rFonts w:hint="default"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lang w:eastAsia="zh-CN"/>
        </w:rPr>
        <w:t>4）</w:t>
      </w:r>
      <w:r>
        <w:rPr>
          <w:rFonts w:hint="default" w:ascii="Times New Roman" w:hAnsi="Times New Roman" w:cs="Times New Roman"/>
          <w:color w:val="auto"/>
          <w:kern w:val="2"/>
          <w:sz w:val="21"/>
          <w:szCs w:val="21"/>
          <w:highlight w:val="none"/>
        </w:rPr>
        <w:t>安全管家团队要全方位多层级统筹协调上级安全主管部门及科研院所专家团队、专业技术、专业人才的力量，最大化、最优化依托内部资源、整合外部资源，全面提升新区安全管理水平。</w:t>
      </w:r>
    </w:p>
    <w:p w14:paraId="2933FF42">
      <w:pPr>
        <w:pStyle w:val="298"/>
        <w:snapToGrid w:val="0"/>
        <w:spacing w:line="560" w:lineRule="exact"/>
        <w:ind w:firstLine="420" w:firstLineChars="200"/>
        <w:jc w:val="both"/>
        <w:rPr>
          <w:rFonts w:hint="default"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lang w:eastAsia="zh-CN"/>
        </w:rPr>
        <w:t>5）</w:t>
      </w:r>
      <w:r>
        <w:rPr>
          <w:rFonts w:hint="default" w:ascii="Times New Roman" w:hAnsi="Times New Roman" w:cs="Times New Roman"/>
          <w:color w:val="auto"/>
          <w:kern w:val="2"/>
          <w:sz w:val="21"/>
          <w:szCs w:val="21"/>
          <w:highlight w:val="none"/>
        </w:rPr>
        <w:t>工作中</w:t>
      </w:r>
      <w:r>
        <w:rPr>
          <w:rFonts w:hint="eastAsia" w:ascii="Times New Roman" w:hAnsi="Times New Roman" w:cs="Times New Roman"/>
          <w:color w:val="auto"/>
          <w:kern w:val="2"/>
          <w:sz w:val="21"/>
          <w:szCs w:val="21"/>
          <w:highlight w:val="none"/>
          <w:lang w:eastAsia="zh-CN"/>
        </w:rPr>
        <w:t>涉及</w:t>
      </w:r>
      <w:r>
        <w:rPr>
          <w:rFonts w:hint="default" w:ascii="Times New Roman" w:hAnsi="Times New Roman" w:cs="Times New Roman"/>
          <w:color w:val="auto"/>
          <w:kern w:val="2"/>
          <w:sz w:val="21"/>
          <w:szCs w:val="21"/>
          <w:highlight w:val="none"/>
        </w:rPr>
        <w:t>的涉密和敏感图文资料、电子数据，项目服务单位应严格执行保密的相关规定，不得以任何方式向任何第三人披露、泄露或许可第三人使用。</w:t>
      </w:r>
    </w:p>
    <w:p w14:paraId="788AF438">
      <w:pPr>
        <w:pStyle w:val="298"/>
        <w:snapToGrid w:val="0"/>
        <w:spacing w:line="560" w:lineRule="exact"/>
        <w:ind w:firstLine="420" w:firstLineChars="200"/>
        <w:jc w:val="both"/>
        <w:rPr>
          <w:rFonts w:hint="default" w:ascii="Times New Roman" w:hAnsi="Times New Roman" w:cs="Times New Roman"/>
          <w:color w:val="auto"/>
          <w:kern w:val="2"/>
          <w:sz w:val="21"/>
          <w:szCs w:val="21"/>
          <w:highlight w:val="none"/>
        </w:rPr>
      </w:pPr>
      <w:r>
        <w:rPr>
          <w:rFonts w:hint="eastAsia" w:ascii="Times New Roman" w:hAnsi="Times New Roman" w:cs="Times New Roman"/>
          <w:color w:val="auto"/>
          <w:kern w:val="2"/>
          <w:sz w:val="21"/>
          <w:szCs w:val="21"/>
          <w:highlight w:val="none"/>
          <w:lang w:eastAsia="zh-CN"/>
        </w:rPr>
        <w:t>6）</w:t>
      </w:r>
      <w:r>
        <w:rPr>
          <w:rFonts w:hint="default" w:ascii="Times New Roman" w:hAnsi="Times New Roman" w:cs="Times New Roman"/>
          <w:color w:val="auto"/>
          <w:kern w:val="2"/>
          <w:sz w:val="21"/>
          <w:szCs w:val="21"/>
          <w:highlight w:val="none"/>
        </w:rPr>
        <w:t>项目费用</w:t>
      </w:r>
      <w:r>
        <w:rPr>
          <w:rFonts w:hint="eastAsia" w:ascii="Times New Roman" w:hAnsi="Times New Roman" w:cs="Times New Roman"/>
          <w:color w:val="auto"/>
          <w:kern w:val="2"/>
          <w:sz w:val="21"/>
          <w:szCs w:val="21"/>
          <w:highlight w:val="none"/>
          <w:lang w:eastAsia="zh-CN"/>
        </w:rPr>
        <w:t>包括</w:t>
      </w:r>
      <w:r>
        <w:rPr>
          <w:rFonts w:hint="default" w:ascii="Times New Roman" w:hAnsi="Times New Roman" w:cs="Times New Roman"/>
          <w:color w:val="auto"/>
          <w:kern w:val="2"/>
          <w:sz w:val="21"/>
          <w:szCs w:val="21"/>
          <w:highlight w:val="none"/>
        </w:rPr>
        <w:t>各项交通、食宿、专家评审等费用（含常驻专家的交通、食宿费用）。</w:t>
      </w:r>
    </w:p>
    <w:p w14:paraId="435F5BD7">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w:t>
      </w:r>
      <w:r>
        <w:rPr>
          <w:rFonts w:hint="default" w:ascii="Times New Roman" w:hAnsi="Times New Roman" w:cs="Times New Roman"/>
          <w:b/>
          <w:color w:val="auto"/>
          <w:highlight w:val="none"/>
          <w:lang w:val="en-US" w:eastAsia="zh-CN"/>
        </w:rPr>
        <w:t>六</w:t>
      </w:r>
      <w:r>
        <w:rPr>
          <w:rFonts w:hint="default" w:ascii="Times New Roman" w:hAnsi="Times New Roman" w:cs="Times New Roman"/>
          <w:b/>
          <w:color w:val="auto"/>
          <w:highlight w:val="none"/>
        </w:rPr>
        <w:t>款　　双方权责</w:t>
      </w:r>
    </w:p>
    <w:p w14:paraId="06FF1D7F">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 xml:space="preserve">.1 甲方有权审查（但没有义务）乙方与该服务有关的任何所有记录（除乙方的商业秘密、配方或工艺外）。乙方同意将与本协议提供之服务有关的文档与记录从提供该服务之日起保留至服务结束，按照甲方的需要提供给甲方。 </w:t>
      </w:r>
    </w:p>
    <w:p w14:paraId="083F74EB">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.2 甲方可以向乙方提前30个日历日提供书面说明的理由后，自行决定暂时中止部分或全部服务，中止使用乙方提供的</w:t>
      </w:r>
      <w:r>
        <w:rPr>
          <w:rFonts w:hint="default" w:ascii="Times New Roman" w:hAnsi="Times New Roman" w:cs="Times New Roman"/>
          <w:b/>
          <w:color w:val="auto"/>
          <w:highlight w:val="none"/>
        </w:rPr>
        <w:t>部分或全部</w:t>
      </w:r>
      <w:r>
        <w:rPr>
          <w:rFonts w:hint="default" w:ascii="Times New Roman" w:hAnsi="Times New Roman" w:cs="Times New Roman"/>
          <w:color w:val="auto"/>
          <w:highlight w:val="none"/>
        </w:rPr>
        <w:t>服务人员，该通知中应说明将要中止的服务以及预计的中止期。甲方不承担因中止服务</w:t>
      </w:r>
      <w:r>
        <w:rPr>
          <w:rFonts w:hint="eastAsia" w:ascii="Times New Roman" w:hAnsi="Times New Roman" w:cs="Times New Roman"/>
          <w:color w:val="auto"/>
          <w:highlight w:val="none"/>
          <w:lang w:eastAsia="zh-CN"/>
        </w:rPr>
        <w:t>所</w:t>
      </w:r>
      <w:r>
        <w:rPr>
          <w:rFonts w:hint="default" w:ascii="Times New Roman" w:hAnsi="Times New Roman" w:cs="Times New Roman"/>
          <w:color w:val="auto"/>
          <w:highlight w:val="none"/>
        </w:rPr>
        <w:t xml:space="preserve">发生的费用。 </w:t>
      </w:r>
    </w:p>
    <w:p w14:paraId="34E6BEA5">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.3 甲方有合理的理由认为乙方未能以勤勉、熟练、安全和相应的专业水平、良好行业作风等履行服务，甲方可书面通知乙方。若乙方在该通知发出5（五）日内未予整改，</w:t>
      </w:r>
      <w:r>
        <w:rPr>
          <w:rFonts w:hint="eastAsia" w:ascii="Times New Roman" w:hAnsi="Times New Roman" w:cs="Times New Roman"/>
          <w:color w:val="auto"/>
          <w:highlight w:val="none"/>
          <w:lang w:eastAsia="zh-CN"/>
        </w:rPr>
        <w:t>甲方</w:t>
      </w:r>
      <w:r>
        <w:rPr>
          <w:rFonts w:hint="default" w:ascii="Times New Roman" w:hAnsi="Times New Roman" w:cs="Times New Roman"/>
          <w:color w:val="auto"/>
          <w:highlight w:val="none"/>
        </w:rPr>
        <w:t xml:space="preserve">可终止乙方的服务、停止向乙方支付任何服务费用、从乙方获得所有服务成果，并由乙方负担按照甲方选择的方式完成该服务的费用。若甲方向乙方支付了某款项但乙方并未履行服务，甲方可从乙方应付款项中扣除。 </w:t>
      </w:r>
    </w:p>
    <w:p w14:paraId="717518E1">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 xml:space="preserve">.4 乙方应使甲方免受任何由于乙方的作为、不作为、疏忽或者过错，或者乙方违反本协议或者未能遵守或履行其承诺和约定，或者任何乙方的保证变得不真实而引起的所有索赔、诉讼（无论是民事还是刑事）、所有的损失、损害、伤害、成本和费用。 </w:t>
      </w:r>
    </w:p>
    <w:p w14:paraId="4B7AC569">
      <w:pPr>
        <w:pStyle w:val="19"/>
        <w:tabs>
          <w:tab w:val="left" w:pos="540"/>
        </w:tabs>
        <w:spacing w:before="120" w:after="120" w:line="360" w:lineRule="auto"/>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.5 由于乙方的过失，造成甲方、乙方、第三方经济损失均由乙方赔偿。</w:t>
      </w:r>
    </w:p>
    <w:p w14:paraId="343F6B4E">
      <w:pPr>
        <w:pStyle w:val="19"/>
        <w:tabs>
          <w:tab w:val="left" w:pos="540"/>
        </w:tabs>
        <w:spacing w:before="120" w:after="120"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.6 由于甲方的过失，造成甲方、乙方、第三方经济损失由甲方负责。</w:t>
      </w:r>
    </w:p>
    <w:p w14:paraId="092EFC98">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 xml:space="preserve">.7 在签订本协议之前，甲方应将其对乙方人员的行为要求准则告知乙方，乙方应对其人员进行有关教育，确保其遵守甲方的有关安全、防火与保安规定。 </w:t>
      </w:r>
    </w:p>
    <w:p w14:paraId="32E4B8CC">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.8 乙方在其人员到岗前应进行培训，以符合行业安全规程，并向甲方提供证明。</w:t>
      </w:r>
      <w:r>
        <w:rPr>
          <w:rFonts w:hint="default" w:ascii="Times New Roman" w:hAnsi="Times New Roman" w:cs="Times New Roman"/>
          <w:b/>
          <w:color w:val="auto"/>
          <w:highlight w:val="none"/>
        </w:rPr>
        <w:t xml:space="preserve">对于甲方提出的特殊培训要求，乙方予以满足，费用乙方自理。 </w:t>
      </w:r>
    </w:p>
    <w:p w14:paraId="43110950">
      <w:pPr>
        <w:pStyle w:val="19"/>
        <w:spacing w:before="120" w:after="120" w:line="500" w:lineRule="exact"/>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.9 乙方应定期（内容为周检检查总结和分析要求）以书面形式向甲方汇报所服务项目的工作开展情况。</w:t>
      </w:r>
    </w:p>
    <w:p w14:paraId="2B9725B4">
      <w:pPr>
        <w:pStyle w:val="19"/>
        <w:spacing w:before="120" w:after="120" w:line="500" w:lineRule="exact"/>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 xml:space="preserve">.10 </w:t>
      </w:r>
      <w:r>
        <w:rPr>
          <w:rFonts w:hint="default" w:ascii="Times New Roman" w:hAnsi="Times New Roman" w:cs="Times New Roman"/>
          <w:b/>
          <w:color w:val="auto"/>
          <w:sz w:val="21"/>
          <w:szCs w:val="21"/>
          <w:highlight w:val="none"/>
        </w:rPr>
        <w:t>乙方应每个季度最后一个月28日前向甲方</w:t>
      </w:r>
      <w:r>
        <w:rPr>
          <w:rFonts w:hint="default" w:ascii="Times New Roman" w:hAnsi="Times New Roman" w:cs="Times New Roman"/>
          <w:color w:val="auto"/>
          <w:sz w:val="21"/>
          <w:szCs w:val="21"/>
          <w:highlight w:val="none"/>
        </w:rPr>
        <w:t>提交所有与服务项目相关的安全服务资料（各种检查记录、培训资料、会议纪要、报告和体系文件、标准等文件资料）。</w:t>
      </w:r>
    </w:p>
    <w:p w14:paraId="0CE09275">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 xml:space="preserve">.11 乙方规定某设备、资料的用途或操作方法时应当使甲方免于承担因与该设备、资料的使用或操作方法有关的侵权诉讼引起的损害和费用。 </w:t>
      </w:r>
    </w:p>
    <w:p w14:paraId="55E2F561">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.12 乙方作为独立实体，在甲方允可的情况下可自行决定实施服务的方法与途径。</w:t>
      </w:r>
    </w:p>
    <w:p w14:paraId="481CC6C0">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.13乙方应落实安全措施做好自身的安全生产，在履行合同过程中导致乙方人员的身体伤害、疾病、死亡、财产损坏或遗失等情况的，均由乙方自行承担由此造成的所有责任及费用。</w:t>
      </w:r>
    </w:p>
    <w:p w14:paraId="274525C6">
      <w:pPr>
        <w:spacing w:line="500" w:lineRule="exact"/>
        <w:ind w:firstLine="420" w:firstLineChars="200"/>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6.14</w:t>
      </w:r>
      <w:r>
        <w:rPr>
          <w:rFonts w:hint="default" w:ascii="Times New Roman" w:hAnsi="Times New Roman" w:eastAsia="宋体" w:cs="Times New Roman"/>
          <w:color w:val="auto"/>
          <w:highlight w:val="none"/>
        </w:rPr>
        <w:t>在</w:t>
      </w:r>
      <w:r>
        <w:rPr>
          <w:rFonts w:hint="eastAsia" w:ascii="Times New Roman" w:hAnsi="Times New Roman" w:eastAsia="宋体" w:cs="Times New Roman"/>
          <w:color w:val="auto"/>
          <w:highlight w:val="none"/>
          <w:lang w:val="en-US" w:eastAsia="zh-CN"/>
        </w:rPr>
        <w:t>本项目合同期内，乙方原则上</w:t>
      </w:r>
      <w:r>
        <w:rPr>
          <w:rFonts w:hint="default" w:ascii="Times New Roman" w:hAnsi="Times New Roman" w:eastAsia="宋体" w:cs="Times New Roman"/>
          <w:color w:val="auto"/>
          <w:highlight w:val="none"/>
        </w:rPr>
        <w:t>不</w:t>
      </w:r>
      <w:r>
        <w:rPr>
          <w:rFonts w:hint="eastAsia" w:ascii="Times New Roman" w:hAnsi="Times New Roman" w:eastAsia="宋体" w:cs="Times New Roman"/>
          <w:color w:val="auto"/>
          <w:highlight w:val="none"/>
          <w:lang w:val="en-US" w:eastAsia="zh-CN"/>
        </w:rPr>
        <w:t>应</w:t>
      </w:r>
      <w:r>
        <w:rPr>
          <w:rFonts w:hint="default" w:ascii="Times New Roman" w:hAnsi="Times New Roman" w:eastAsia="宋体" w:cs="Times New Roman"/>
          <w:color w:val="auto"/>
          <w:highlight w:val="none"/>
        </w:rPr>
        <w:t>再承接与本项目服务对象有关的任何其他利益相关有偿业务服务，如安全评价、安全设施设计、施工、维修、技术咨询、服务等。</w:t>
      </w:r>
    </w:p>
    <w:p w14:paraId="46D15FC9">
      <w:pPr>
        <w:spacing w:line="500" w:lineRule="exact"/>
        <w:ind w:firstLine="420" w:firstLineChars="200"/>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6.15乙方应自行保障履行合同所必需的办公场所、办公设备、交通工具、专家聘请、后勤保障等。</w:t>
      </w:r>
    </w:p>
    <w:p w14:paraId="0C665D2A">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lang w:val="en-US" w:eastAsia="zh-CN"/>
        </w:rPr>
        <w:t>6</w:t>
      </w: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6</w:t>
      </w:r>
      <w:r>
        <w:rPr>
          <w:rFonts w:hint="default" w:ascii="Times New Roman" w:hAnsi="Times New Roman" w:cs="Times New Roman"/>
          <w:color w:val="auto"/>
          <w:highlight w:val="none"/>
        </w:rPr>
        <w:t>合同期限满后，甲方发现乙方提供的资料不全或资料缺失的，乙方应按甲方要求无条件配合并补齐资料。</w:t>
      </w:r>
    </w:p>
    <w:p w14:paraId="24DAB6C9">
      <w:pPr>
        <w:spacing w:line="500" w:lineRule="exact"/>
        <w:ind w:firstLine="420"/>
        <w:jc w:val="center"/>
        <w:rPr>
          <w:rFonts w:hint="eastAsia" w:ascii="Times New Roman" w:hAnsi="Times New Roman" w:eastAsia="宋体" w:cs="Times New Roman"/>
          <w:b/>
          <w:color w:val="auto"/>
          <w:highlight w:val="none"/>
          <w:lang w:eastAsia="zh-CN"/>
        </w:rPr>
      </w:pPr>
      <w:r>
        <w:rPr>
          <w:rFonts w:hint="default" w:ascii="Times New Roman" w:hAnsi="Times New Roman" w:cs="Times New Roman"/>
          <w:b/>
          <w:color w:val="auto"/>
          <w:highlight w:val="none"/>
        </w:rPr>
        <w:t>第</w:t>
      </w:r>
      <w:r>
        <w:rPr>
          <w:rFonts w:hint="eastAsia" w:ascii="Times New Roman" w:hAnsi="Times New Roman" w:cs="Times New Roman"/>
          <w:b/>
          <w:color w:val="auto"/>
          <w:highlight w:val="none"/>
          <w:lang w:val="en-US" w:eastAsia="zh-CN"/>
        </w:rPr>
        <w:t>七</w:t>
      </w:r>
      <w:r>
        <w:rPr>
          <w:rFonts w:hint="default" w:ascii="Times New Roman" w:hAnsi="Times New Roman" w:cs="Times New Roman"/>
          <w:b/>
          <w:color w:val="auto"/>
          <w:highlight w:val="none"/>
        </w:rPr>
        <w:t xml:space="preserve">款    </w:t>
      </w:r>
      <w:r>
        <w:rPr>
          <w:rFonts w:hint="eastAsia" w:ascii="Times New Roman" w:hAnsi="Times New Roman" w:cs="Times New Roman"/>
          <w:b/>
          <w:color w:val="auto"/>
          <w:highlight w:val="none"/>
          <w:lang w:val="en-US" w:eastAsia="zh-CN"/>
        </w:rPr>
        <w:t>知识产权归属</w:t>
      </w:r>
    </w:p>
    <w:p w14:paraId="4C5823EE">
      <w:pPr>
        <w:spacing w:line="500" w:lineRule="exact"/>
        <w:ind w:firstLine="420" w:firstLineChars="20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7.1</w:t>
      </w:r>
      <w:r>
        <w:rPr>
          <w:rFonts w:hint="default" w:ascii="Times New Roman" w:hAnsi="Times New Roman" w:eastAsia="宋体" w:cs="Times New Roman"/>
          <w:color w:val="auto"/>
          <w:highlight w:val="none"/>
          <w:lang w:val="en-US" w:eastAsia="zh-CN"/>
        </w:rPr>
        <w:t>双方确认，乙方在本协议服务期间，受托于甲方或者主要是利用甲方的物质技术条件、业务信息等产生的发明创造、作品、计算机软件、技术秘密或其他商业秘密信息，有关的知识产权均属于甲方享有。甲方可以在其业务范围内充分自由地利用这些发明创造、作品、计算机软件、技术秘密或其他商业秘密信息，进行生产、经营或者向第三方转让。乙方应当</w:t>
      </w:r>
      <w:r>
        <w:rPr>
          <w:rFonts w:hint="eastAsia" w:ascii="Times New Roman" w:hAnsi="Times New Roman" w:eastAsia="宋体" w:cs="Times New Roman"/>
          <w:color w:val="auto"/>
          <w:highlight w:val="none"/>
          <w:lang w:val="en-US" w:eastAsia="zh-CN"/>
        </w:rPr>
        <w:t>依据</w:t>
      </w:r>
      <w:r>
        <w:rPr>
          <w:rFonts w:hint="default" w:ascii="Times New Roman" w:hAnsi="Times New Roman" w:eastAsia="宋体" w:cs="Times New Roman"/>
          <w:color w:val="auto"/>
          <w:highlight w:val="none"/>
          <w:lang w:val="en-US" w:eastAsia="zh-CN"/>
        </w:rPr>
        <w:t>甲方的要求，提供一切必要的信息和采取一切必要的行动，协助甲方完成有关知识产权的权利申请、注册、登记和行使有关的知识产权。</w:t>
      </w:r>
    </w:p>
    <w:p w14:paraId="3DE5AFA7">
      <w:pPr>
        <w:spacing w:line="500" w:lineRule="exact"/>
        <w:ind w:firstLine="420"/>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w:t>
      </w:r>
      <w:r>
        <w:rPr>
          <w:rFonts w:hint="eastAsia" w:ascii="Times New Roman" w:hAnsi="Times New Roman" w:cs="Times New Roman"/>
          <w:b/>
          <w:color w:val="auto"/>
          <w:highlight w:val="none"/>
          <w:lang w:val="en-US" w:eastAsia="zh-CN"/>
        </w:rPr>
        <w:t>八</w:t>
      </w:r>
      <w:r>
        <w:rPr>
          <w:rFonts w:hint="default" w:ascii="Times New Roman" w:hAnsi="Times New Roman" w:cs="Times New Roman"/>
          <w:b/>
          <w:color w:val="auto"/>
          <w:highlight w:val="none"/>
        </w:rPr>
        <w:t>款    保密条款</w:t>
      </w:r>
    </w:p>
    <w:p w14:paraId="18945660">
      <w:pPr>
        <w:spacing w:line="500" w:lineRule="exact"/>
        <w:ind w:firstLine="420" w:firstLineChars="200"/>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8</w:t>
      </w:r>
      <w:r>
        <w:rPr>
          <w:rFonts w:hint="default" w:ascii="Times New Roman" w:hAnsi="Times New Roman" w:cs="Times New Roman"/>
          <w:color w:val="auto"/>
          <w:highlight w:val="none"/>
        </w:rPr>
        <w:t>.1具体见附件</w:t>
      </w:r>
      <w:r>
        <w:rPr>
          <w:rFonts w:hint="default" w:ascii="Times New Roman" w:hAnsi="Times New Roman" w:cs="Times New Roman"/>
          <w:color w:val="auto"/>
          <w:highlight w:val="none"/>
          <w:lang w:val="en-US" w:eastAsia="zh-CN"/>
        </w:rPr>
        <w:t>一</w:t>
      </w:r>
      <w:r>
        <w:rPr>
          <w:rFonts w:hint="default" w:ascii="Times New Roman" w:hAnsi="Times New Roman" w:cs="Times New Roman"/>
          <w:color w:val="auto"/>
          <w:highlight w:val="none"/>
        </w:rPr>
        <w:t>《保密协议》。</w:t>
      </w:r>
    </w:p>
    <w:p w14:paraId="2AAFC6B0">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第</w:t>
      </w:r>
      <w:r>
        <w:rPr>
          <w:rFonts w:hint="eastAsia" w:ascii="Times New Roman" w:hAnsi="Times New Roman" w:cs="Times New Roman"/>
          <w:b/>
          <w:color w:val="auto"/>
          <w:highlight w:val="none"/>
          <w:lang w:val="en-US" w:eastAsia="zh-CN"/>
        </w:rPr>
        <w:t>九</w:t>
      </w:r>
      <w:r>
        <w:rPr>
          <w:rFonts w:hint="default" w:ascii="Times New Roman" w:hAnsi="Times New Roman" w:cs="Times New Roman"/>
          <w:b/>
          <w:color w:val="auto"/>
          <w:highlight w:val="none"/>
        </w:rPr>
        <w:t>款　  保险</w:t>
      </w:r>
    </w:p>
    <w:p w14:paraId="1E0E6BE9">
      <w:pPr>
        <w:spacing w:line="500" w:lineRule="exact"/>
        <w:ind w:firstLine="420" w:firstLineChars="200"/>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9</w:t>
      </w:r>
      <w:r>
        <w:rPr>
          <w:rFonts w:hint="default" w:ascii="Times New Roman" w:hAnsi="Times New Roman" w:cs="Times New Roman"/>
          <w:color w:val="auto"/>
          <w:highlight w:val="none"/>
        </w:rPr>
        <w:t>.1 乙方在本协议期内应购买或获取并持有以下保险。相关费用已包含在每工日单价中（除非另有规定），与甲方无关。此外，在不限制乙方的义务与责任的前提下，承包人应自费保有任何其认为重要并必需的法律规定的</w:t>
      </w:r>
      <w:r>
        <w:rPr>
          <w:rFonts w:hint="eastAsia" w:ascii="Times New Roman" w:hAnsi="Times New Roman" w:cs="Times New Roman"/>
          <w:color w:val="auto"/>
          <w:highlight w:val="none"/>
          <w:lang w:eastAsia="zh-CN"/>
        </w:rPr>
        <w:t>其他</w:t>
      </w:r>
      <w:r>
        <w:rPr>
          <w:rFonts w:hint="default" w:ascii="Times New Roman" w:hAnsi="Times New Roman" w:cs="Times New Roman"/>
          <w:color w:val="auto"/>
          <w:highlight w:val="none"/>
        </w:rPr>
        <w:t xml:space="preserve">保险。 </w:t>
      </w:r>
    </w:p>
    <w:p w14:paraId="30267E08">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1）社会保险，该保险应符合与乙方人员</w:t>
      </w:r>
      <w:r>
        <w:rPr>
          <w:rFonts w:hint="eastAsia" w:ascii="Times New Roman" w:hAnsi="Times New Roman" w:cs="Times New Roman"/>
          <w:color w:val="auto"/>
          <w:highlight w:val="none"/>
          <w:lang w:eastAsia="zh-CN"/>
        </w:rPr>
        <w:t>雇佣</w:t>
      </w:r>
      <w:r>
        <w:rPr>
          <w:rFonts w:hint="default" w:ascii="Times New Roman" w:hAnsi="Times New Roman" w:cs="Times New Roman"/>
          <w:color w:val="auto"/>
          <w:highlight w:val="none"/>
        </w:rPr>
        <w:t xml:space="preserve">协议和提供服务有关的所有适用法律。 </w:t>
      </w:r>
    </w:p>
    <w:p w14:paraId="47DB88FD">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2）人身意外伤亡险由乙方全面负责。甲方不承担义务。</w:t>
      </w:r>
    </w:p>
    <w:p w14:paraId="334D21DB">
      <w:pPr>
        <w:spacing w:line="500" w:lineRule="exact"/>
        <w:ind w:firstLine="420" w:firstLineChars="200"/>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9</w:t>
      </w:r>
      <w:r>
        <w:rPr>
          <w:rFonts w:hint="default" w:ascii="Times New Roman" w:hAnsi="Times New Roman" w:cs="Times New Roman"/>
          <w:color w:val="auto"/>
          <w:highlight w:val="none"/>
        </w:rPr>
        <w:t>.2 乙方已踏勘甲方的现场，并熟悉可能影响乙方人员安全与健康的所有条件，乙方保证按照甲方的相关要求实施服务、不违反国家法规要求、不违反当地法律要求。对于因为乙方违反上述保证而造成的身体伤害、疾病、死亡、财产损坏或遗失，继而引发的需要乙方负责的所有赔偿、索赔、罚金、诉讼、成本费用，乙方同意予以赔偿，并使甲方免受上述任何损害。</w:t>
      </w:r>
    </w:p>
    <w:p w14:paraId="3F448ADF">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第十款    廉洁从业</w:t>
      </w:r>
    </w:p>
    <w:p w14:paraId="4100CA7A">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0</w:t>
      </w:r>
      <w:r>
        <w:rPr>
          <w:rFonts w:hint="default" w:ascii="Times New Roman" w:hAnsi="Times New Roman" w:cs="Times New Roman"/>
          <w:color w:val="auto"/>
          <w:highlight w:val="none"/>
        </w:rPr>
        <w:t>.1具体见附件</w:t>
      </w:r>
      <w:r>
        <w:rPr>
          <w:rFonts w:hint="default" w:ascii="Times New Roman" w:hAnsi="Times New Roman" w:cs="Times New Roman"/>
          <w:color w:val="auto"/>
          <w:highlight w:val="none"/>
          <w:lang w:val="en-US" w:eastAsia="zh-CN"/>
        </w:rPr>
        <w:t>二</w:t>
      </w:r>
      <w:r>
        <w:rPr>
          <w:rFonts w:hint="default" w:ascii="Times New Roman" w:hAnsi="Times New Roman" w:cs="Times New Roman"/>
          <w:color w:val="auto"/>
          <w:highlight w:val="none"/>
        </w:rPr>
        <w:t>《廉洁从业责任书》。</w:t>
      </w:r>
    </w:p>
    <w:p w14:paraId="0858F8E1">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第十</w:t>
      </w:r>
      <w:r>
        <w:rPr>
          <w:rFonts w:hint="eastAsia" w:ascii="Times New Roman" w:hAnsi="Times New Roman" w:cs="Times New Roman"/>
          <w:b/>
          <w:color w:val="auto"/>
          <w:highlight w:val="none"/>
          <w:lang w:val="en-US" w:eastAsia="zh-CN"/>
        </w:rPr>
        <w:t>一</w:t>
      </w:r>
      <w:r>
        <w:rPr>
          <w:rFonts w:hint="default" w:ascii="Times New Roman" w:hAnsi="Times New Roman" w:cs="Times New Roman"/>
          <w:b/>
          <w:color w:val="auto"/>
          <w:highlight w:val="none"/>
        </w:rPr>
        <w:t>款    不可抗力</w:t>
      </w:r>
    </w:p>
    <w:p w14:paraId="5164FEA3">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rPr>
        <w:t xml:space="preserve">.1 若本协议任何一方因不可控制、并非由于该方的过失的不可抗力而未能履行协议，不得被视为违约。不可抗力包括但不限于自然灾害、罢工、停产或其它行业骚乱、动乱、战争（无论是否宣战）、封锁、起义、由于政府行为而导致未能完全利用装置或设施的产能。受到不可抗力影响的一方应当立即通知另一方并采取所有必要步骤来消除引起不可抗力的因素，且在引起不可抗力的因素消除后，应当尽快恢复协议之履行，但条件是，不要求该方按照该方不接受的条件解决劳资纠纷。 </w:t>
      </w:r>
    </w:p>
    <w:p w14:paraId="6C5CBB23">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rPr>
        <w:t>.2 在发生不可抗力的情况下，除了在不可抗力事件发生之前已经完成的服务之外，乙方不得因服务中止而获得任何补偿。</w:t>
      </w:r>
    </w:p>
    <w:p w14:paraId="189A791C">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第十</w:t>
      </w:r>
      <w:r>
        <w:rPr>
          <w:rFonts w:hint="eastAsia" w:ascii="Times New Roman" w:hAnsi="Times New Roman" w:cs="Times New Roman"/>
          <w:b/>
          <w:color w:val="auto"/>
          <w:highlight w:val="none"/>
          <w:lang w:val="en-US" w:eastAsia="zh-CN"/>
        </w:rPr>
        <w:t>二</w:t>
      </w:r>
      <w:r>
        <w:rPr>
          <w:rFonts w:hint="default" w:ascii="Times New Roman" w:hAnsi="Times New Roman" w:cs="Times New Roman"/>
          <w:b/>
          <w:color w:val="auto"/>
          <w:highlight w:val="none"/>
        </w:rPr>
        <w:t>款   协议解除、违约和争议</w:t>
      </w:r>
    </w:p>
    <w:p w14:paraId="152EC8D2">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 xml:space="preserve">.1 </w:t>
      </w:r>
      <w:r>
        <w:rPr>
          <w:rFonts w:hint="default" w:ascii="Times New Roman" w:hAnsi="Times New Roman" w:eastAsia="宋体" w:cs="Times New Roman"/>
          <w:color w:val="auto"/>
          <w:highlight w:val="none"/>
        </w:rPr>
        <w:t>合同签订后</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乙方应立即组建项目部。服务期起始之时，如乙方管理团队、服务人员未能按期到岗，属于乙方逾期履约，应自逾期之日起每日按合同总价3‰向甲方计付违约金</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逾期半个月以上的，甲方有权终止合同。</w:t>
      </w:r>
    </w:p>
    <w:p w14:paraId="36B80E2B">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.2在本协议期限内，因乙方监管不力原因发生较大及以上事故的（以事故调查报告结果为准）</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lang w:val="en-US" w:eastAsia="zh-CN"/>
        </w:rPr>
        <w:t>应</w:t>
      </w:r>
      <w:r>
        <w:rPr>
          <w:rFonts w:hint="default" w:ascii="Times New Roman" w:hAnsi="Times New Roman" w:cs="Times New Roman"/>
          <w:color w:val="auto"/>
          <w:highlight w:val="none"/>
        </w:rPr>
        <w:t>立即解除合同，并由</w:t>
      </w:r>
      <w:r>
        <w:rPr>
          <w:rFonts w:hint="eastAsia" w:ascii="Times New Roman" w:hAnsi="Times New Roman" w:cs="Times New Roman"/>
          <w:color w:val="auto"/>
          <w:highlight w:val="none"/>
          <w:lang w:val="en-US" w:eastAsia="zh-CN"/>
        </w:rPr>
        <w:t>乙方</w:t>
      </w:r>
      <w:r>
        <w:rPr>
          <w:rFonts w:hint="default" w:ascii="Times New Roman" w:hAnsi="Times New Roman" w:cs="Times New Roman"/>
          <w:color w:val="auto"/>
          <w:highlight w:val="none"/>
        </w:rPr>
        <w:t>承担</w:t>
      </w:r>
      <w:r>
        <w:rPr>
          <w:rFonts w:hint="eastAsia" w:ascii="Times New Roman" w:hAnsi="Times New Roman" w:cs="Times New Roman"/>
          <w:color w:val="auto"/>
          <w:highlight w:val="none"/>
          <w:lang w:eastAsia="zh-CN"/>
        </w:rPr>
        <w:t>所有</w:t>
      </w:r>
      <w:r>
        <w:rPr>
          <w:rFonts w:hint="default" w:ascii="Times New Roman" w:hAnsi="Times New Roman" w:cs="Times New Roman"/>
          <w:color w:val="auto"/>
          <w:highlight w:val="none"/>
        </w:rPr>
        <w:t>相应费用。</w:t>
      </w:r>
    </w:p>
    <w:p w14:paraId="1E63F1FA">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3在本协议期限内，若协议一方有违约、破产、被债权人清算（合并与重组的情况例外）、由指定的接收人接收其全部或部分财产或公司处于争议的解决期，协议另一方有权通过提前七（7）天发出书面通知来终止本协议。</w:t>
      </w:r>
    </w:p>
    <w:p w14:paraId="71AEF59D">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 xml:space="preserve">.4 本协议一旦终止，乙方应立即停止正在进行的服务、并将所有工作成果和其所占有的文档、设备、物资以及甲方为乙方实施服务提供的资料交给甲方。 </w:t>
      </w:r>
    </w:p>
    <w:p w14:paraId="4CFD0341">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.5 本协议不得转包</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如发现转包</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乙方应承担</w:t>
      </w:r>
      <w:r>
        <w:rPr>
          <w:rFonts w:hint="eastAsia" w:ascii="Times New Roman" w:hAnsi="Times New Roman" w:cs="Times New Roman"/>
          <w:color w:val="auto"/>
          <w:highlight w:val="none"/>
          <w:lang w:val="en-US" w:eastAsia="zh-CN"/>
        </w:rPr>
        <w:t>本合同总价</w:t>
      </w:r>
      <w:r>
        <w:rPr>
          <w:rFonts w:hint="default" w:ascii="Times New Roman" w:hAnsi="Times New Roman" w:cs="Times New Roman"/>
          <w:color w:val="auto"/>
          <w:highlight w:val="none"/>
        </w:rPr>
        <w:t>3%的违约金</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并取消本服务项目。 </w:t>
      </w:r>
    </w:p>
    <w:p w14:paraId="4E95A456">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6本合同在执行过程中，如发生任何争端、纠纷或因违反、终止本合同而引起的对损失损害的任何赔偿，应事先协商，在甲方和乙方之间达成一致意见。如未能达成一致，再由上级主管部门进行调解，调解不成时可提交甲方所在地人民法院起诉，通过诉讼方式解决。</w:t>
      </w:r>
    </w:p>
    <w:p w14:paraId="57390C04">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rPr>
        <w:t>.7 合同的解除和转让</w:t>
      </w:r>
    </w:p>
    <w:p w14:paraId="380AC45B">
      <w:pPr>
        <w:spacing w:line="500" w:lineRule="exact"/>
        <w:ind w:firstLine="420" w:firstLineChars="200"/>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1）</w:t>
      </w:r>
      <w:r>
        <w:rPr>
          <w:rFonts w:hint="default" w:ascii="Times New Roman" w:hAnsi="Times New Roman" w:cs="Times New Roman"/>
          <w:color w:val="auto"/>
          <w:highlight w:val="none"/>
        </w:rPr>
        <w:t>甲方和乙方协商一致，可以解除合同。</w:t>
      </w:r>
    </w:p>
    <w:p w14:paraId="0EE3E3D1">
      <w:pPr>
        <w:spacing w:line="500" w:lineRule="exact"/>
        <w:ind w:firstLine="420" w:firstLineChars="200"/>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2）</w:t>
      </w:r>
      <w:r>
        <w:rPr>
          <w:rFonts w:hint="default" w:ascii="Times New Roman" w:hAnsi="Times New Roman" w:cs="Times New Roman"/>
          <w:color w:val="auto"/>
          <w:highlight w:val="none"/>
        </w:rPr>
        <w:t>有下列情形之一，合同一方可以解除合同：</w:t>
      </w:r>
    </w:p>
    <w:p w14:paraId="10B4B465">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① 因不可抗力致使不能实现合同目的，未受不可抗力影响的一方有权解除合同；</w:t>
      </w:r>
    </w:p>
    <w:p w14:paraId="262ADC3C">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② 甲方有权在乙方发生违约事实或不可抗力事件发生之后十天内书面通知对方以主张解除合同，合同在书面通知到达对方时解除。</w:t>
      </w:r>
    </w:p>
    <w:p w14:paraId="14284E6A">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③乙方进场后前2个月为试用期，如乙方在试用期内不能履行合同，甲方有权终止合同履行，乙方应承担相应的完全责任，包括赔偿因此而给甲方带来的相应损失。</w:t>
      </w:r>
    </w:p>
    <w:p w14:paraId="55C2B28A">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④乙方如出现挂靠和借用资质等情况，不符合行业主管部门的要求，甲方有权单方解除合同，同时予以通报。 </w:t>
      </w:r>
    </w:p>
    <w:p w14:paraId="62576609">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⑤合同的部分和全部都不得转让。在项目实施期间将不定期进行抽查，如发现乙方违规甲方有权解除合同。</w:t>
      </w:r>
    </w:p>
    <w:p w14:paraId="7A1A4505">
      <w:pPr>
        <w:spacing w:line="500" w:lineRule="exact"/>
        <w:ind w:firstLine="420" w:firstLineChars="200"/>
        <w:rPr>
          <w:rFonts w:hint="default" w:ascii="Times New Roman" w:hAnsi="Times New Roman" w:cs="Times New Roman"/>
          <w:color w:val="auto"/>
          <w:highlight w:val="none"/>
        </w:rPr>
      </w:pPr>
      <w:r>
        <w:rPr>
          <w:rFonts w:hint="eastAsia" w:ascii="宋体" w:hAnsi="宋体" w:eastAsia="宋体" w:cs="宋体"/>
          <w:color w:val="auto"/>
          <w:highlight w:val="none"/>
        </w:rPr>
        <w:t>⑥</w:t>
      </w:r>
      <w:r>
        <w:rPr>
          <w:rFonts w:hint="default" w:ascii="Times New Roman" w:hAnsi="Times New Roman" w:eastAsia="宋体" w:cs="Times New Roman"/>
          <w:color w:val="auto"/>
          <w:highlight w:val="none"/>
        </w:rPr>
        <w:t>因乙方违约</w:t>
      </w:r>
      <w:r>
        <w:rPr>
          <w:rFonts w:hint="default" w:ascii="Times New Roman" w:hAnsi="Times New Roman" w:cs="Times New Roman"/>
          <w:color w:val="auto"/>
          <w:highlight w:val="none"/>
        </w:rPr>
        <w:t>，</w:t>
      </w:r>
      <w:r>
        <w:rPr>
          <w:rFonts w:hint="default" w:ascii="Times New Roman" w:hAnsi="Times New Roman" w:eastAsia="宋体" w:cs="Times New Roman"/>
          <w:color w:val="auto"/>
          <w:highlight w:val="none"/>
        </w:rPr>
        <w:t>甲方解除合同的</w:t>
      </w:r>
      <w:r>
        <w:rPr>
          <w:rFonts w:hint="default" w:ascii="Times New Roman" w:hAnsi="Times New Roman" w:cs="Times New Roman"/>
          <w:color w:val="auto"/>
          <w:highlight w:val="none"/>
        </w:rPr>
        <w:t>，</w:t>
      </w:r>
      <w:r>
        <w:rPr>
          <w:rFonts w:hint="default" w:ascii="Times New Roman" w:hAnsi="Times New Roman" w:eastAsia="宋体" w:cs="Times New Roman"/>
          <w:color w:val="auto"/>
          <w:highlight w:val="none"/>
        </w:rPr>
        <w:t>乙方应向甲方支付合同总金额</w:t>
      </w:r>
      <w:r>
        <w:rPr>
          <w:rFonts w:hint="eastAsia"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rPr>
        <w:t>%的违约金</w:t>
      </w:r>
      <w:r>
        <w:rPr>
          <w:rFonts w:hint="default" w:ascii="Times New Roman" w:hAnsi="Times New Roman" w:cs="Times New Roman"/>
          <w:color w:val="auto"/>
          <w:highlight w:val="none"/>
        </w:rPr>
        <w:t>，</w:t>
      </w:r>
      <w:r>
        <w:rPr>
          <w:rFonts w:hint="default" w:ascii="Times New Roman" w:hAnsi="Times New Roman" w:eastAsia="宋体" w:cs="Times New Roman"/>
          <w:color w:val="auto"/>
          <w:highlight w:val="none"/>
        </w:rPr>
        <w:t>如造成甲方的损失超过违约金的</w:t>
      </w:r>
      <w:r>
        <w:rPr>
          <w:rFonts w:hint="default" w:ascii="Times New Roman" w:hAnsi="Times New Roman" w:cs="Times New Roman"/>
          <w:color w:val="auto"/>
          <w:highlight w:val="none"/>
        </w:rPr>
        <w:t>，</w:t>
      </w:r>
      <w:r>
        <w:rPr>
          <w:rFonts w:hint="default" w:ascii="Times New Roman" w:hAnsi="Times New Roman" w:eastAsia="宋体" w:cs="Times New Roman"/>
          <w:color w:val="auto"/>
          <w:highlight w:val="none"/>
        </w:rPr>
        <w:t>超出部分由乙方继续承担赔偿责任。</w:t>
      </w:r>
    </w:p>
    <w:p w14:paraId="7008A1E9">
      <w:pPr>
        <w:spacing w:line="500" w:lineRule="exact"/>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    第十</w:t>
      </w:r>
      <w:r>
        <w:rPr>
          <w:rFonts w:hint="eastAsia" w:ascii="Times New Roman" w:hAnsi="Times New Roman" w:cs="Times New Roman"/>
          <w:b/>
          <w:color w:val="auto"/>
          <w:highlight w:val="none"/>
          <w:lang w:val="en-US" w:eastAsia="zh-CN"/>
        </w:rPr>
        <w:t>三</w:t>
      </w:r>
      <w:r>
        <w:rPr>
          <w:rFonts w:hint="default" w:ascii="Times New Roman" w:hAnsi="Times New Roman" w:cs="Times New Roman"/>
          <w:b/>
          <w:color w:val="auto"/>
          <w:highlight w:val="none"/>
        </w:rPr>
        <w:t xml:space="preserve">款   </w:t>
      </w:r>
      <w:r>
        <w:rPr>
          <w:rFonts w:hint="eastAsia" w:ascii="Times New Roman" w:hAnsi="Times New Roman" w:cs="Times New Roman"/>
          <w:b/>
          <w:color w:val="auto"/>
          <w:highlight w:val="none"/>
          <w:lang w:eastAsia="zh-CN"/>
        </w:rPr>
        <w:t>其他</w:t>
      </w:r>
    </w:p>
    <w:p w14:paraId="742C7FA0">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 xml:space="preserve">.1 本协议正本一式十份，甲方七份，乙方三份。本协议经双方签字盖章后即生效。结清服务价款后自动终止，未尽事宜，另行协商。 </w:t>
      </w:r>
    </w:p>
    <w:p w14:paraId="22906DE2">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 xml:space="preserve">.2 本协议终止不得妨碍受害方针对另一方在协议终止前的违约行为提起诉讼的权利，本协议之保密条款、保险条款和赔偿条款等在协议终止后仍然有效。 </w:t>
      </w:r>
    </w:p>
    <w:p w14:paraId="01FEF856">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val="en-US" w:eastAsia="zh-CN"/>
        </w:rPr>
        <w:t>3</w:t>
      </w:r>
      <w:r>
        <w:rPr>
          <w:rFonts w:hint="default" w:ascii="Times New Roman" w:hAnsi="Times New Roman" w:cs="Times New Roman"/>
          <w:color w:val="auto"/>
          <w:highlight w:val="none"/>
        </w:rPr>
        <w:t>.3本合同包含附件所有内容。</w:t>
      </w:r>
    </w:p>
    <w:p w14:paraId="348F6FD4">
      <w:pPr>
        <w:pStyle w:val="14"/>
        <w:rPr>
          <w:rFonts w:hint="default" w:ascii="Times New Roman" w:hAnsi="Times New Roman" w:cs="Times New Roman"/>
          <w:color w:val="auto"/>
          <w:highlight w:val="none"/>
        </w:rPr>
      </w:pPr>
    </w:p>
    <w:p w14:paraId="0AFBF1EF">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甲方：  </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公章</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                        乙方：  </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公章</w:t>
      </w:r>
      <w:r>
        <w:rPr>
          <w:rFonts w:hint="eastAsia" w:ascii="Times New Roman" w:hAnsi="Times New Roman" w:cs="Times New Roman"/>
          <w:color w:val="auto"/>
          <w:highlight w:val="none"/>
          <w:lang w:eastAsia="zh-CN"/>
        </w:rPr>
        <w:t>）</w:t>
      </w:r>
      <w:r>
        <w:rPr>
          <w:rFonts w:hint="default" w:ascii="Times New Roman" w:hAnsi="Times New Roman" w:cs="Times New Roman"/>
          <w:color w:val="auto"/>
          <w:highlight w:val="none"/>
        </w:rPr>
        <w:t xml:space="preserve">                             </w:t>
      </w:r>
    </w:p>
    <w:p w14:paraId="6179B2E7">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法定代表人或其委托代理人：            法定代表人或其委托代理人：</w:t>
      </w:r>
    </w:p>
    <w:p w14:paraId="0EEB4A36">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（签字）                              （签字）</w:t>
      </w:r>
    </w:p>
    <w:p w14:paraId="7F688EA0">
      <w:pPr>
        <w:tabs>
          <w:tab w:val="left" w:pos="4410"/>
        </w:tabs>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组织机构代码：                        组织机构代码：                 </w:t>
      </w:r>
    </w:p>
    <w:p w14:paraId="1939464B">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地  址：                              地  址：                       </w:t>
      </w:r>
    </w:p>
    <w:p w14:paraId="54214721">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p>
    <w:p w14:paraId="14DD5F8C">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电  话：                              电  话：                       </w:t>
      </w:r>
    </w:p>
    <w:p w14:paraId="343E5498">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开户银行：                            开户银行：                     </w:t>
      </w:r>
    </w:p>
    <w:p w14:paraId="28D9E091">
      <w:pPr>
        <w:pStyle w:val="33"/>
        <w:spacing w:before="0" w:beforeAutospacing="0" w:after="0" w:afterAutospacing="0" w:line="360" w:lineRule="auto"/>
        <w:rPr>
          <w:rFonts w:hint="default" w:ascii="Times New Roman" w:hAnsi="Times New Roman" w:cs="Times New Roman"/>
          <w:color w:val="auto"/>
          <w:kern w:val="2"/>
          <w:sz w:val="21"/>
          <w:szCs w:val="21"/>
          <w:highlight w:val="none"/>
        </w:rPr>
      </w:pPr>
      <w:r>
        <w:rPr>
          <w:rFonts w:hint="default" w:ascii="Times New Roman" w:hAnsi="Times New Roman" w:cs="Times New Roman"/>
          <w:color w:val="auto"/>
          <w:kern w:val="2"/>
          <w:sz w:val="21"/>
          <w:szCs w:val="21"/>
          <w:highlight w:val="none"/>
        </w:rPr>
        <w:t xml:space="preserve">账  号：                              账  号：  </w:t>
      </w:r>
    </w:p>
    <w:p w14:paraId="22C23B5E">
      <w:pPr>
        <w:pStyle w:val="33"/>
        <w:spacing w:before="0" w:beforeAutospacing="0" w:after="0" w:afterAutospacing="0" w:line="360" w:lineRule="auto"/>
        <w:rPr>
          <w:rFonts w:hint="default" w:ascii="Times New Roman" w:hAnsi="Times New Roman" w:cs="Times New Roman"/>
          <w:color w:val="auto"/>
          <w:kern w:val="2"/>
          <w:sz w:val="21"/>
          <w:szCs w:val="21"/>
          <w:highlight w:val="none"/>
        </w:rPr>
      </w:pPr>
    </w:p>
    <w:p w14:paraId="16DA34F5">
      <w:pPr>
        <w:pStyle w:val="33"/>
        <w:spacing w:before="0" w:beforeAutospacing="0" w:after="0" w:afterAutospacing="0" w:line="360" w:lineRule="auto"/>
        <w:jc w:val="left"/>
        <w:rPr>
          <w:rFonts w:hint="default" w:ascii="Times New Roman" w:hAnsi="Times New Roman" w:eastAsia="宋体" w:cs="Times New Roman"/>
          <w:color w:val="auto"/>
          <w:sz w:val="21"/>
          <w:szCs w:val="21"/>
          <w:highlight w:val="none"/>
          <w:lang w:val="en-US" w:eastAsia="zh-CN"/>
        </w:rPr>
      </w:pPr>
    </w:p>
    <w:p w14:paraId="1300F05D">
      <w:pPr>
        <w:pStyle w:val="33"/>
        <w:spacing w:before="0" w:beforeAutospacing="0" w:after="0" w:afterAutospacing="0" w:line="360" w:lineRule="auto"/>
        <w:rPr>
          <w:rFonts w:hint="default" w:ascii="Times New Roman" w:hAnsi="Times New Roman" w:cs="Times New Roman"/>
          <w:color w:val="auto"/>
          <w:sz w:val="21"/>
          <w:szCs w:val="21"/>
          <w:highlight w:val="none"/>
        </w:rPr>
      </w:pPr>
    </w:p>
    <w:p w14:paraId="4DBAF2DD">
      <w:pPr>
        <w:pStyle w:val="33"/>
        <w:spacing w:before="0" w:beforeAutospacing="0" w:after="0" w:afterAutospacing="0" w:line="360" w:lineRule="auto"/>
        <w:ind w:firstLine="4515" w:firstLineChars="215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签订日期：202</w:t>
      </w:r>
      <w:r>
        <w:rPr>
          <w:rFonts w:hint="eastAsia" w:ascii="Times New Roman" w:hAnsi="Times New Roman" w:cs="Times New Roman"/>
          <w:color w:val="auto"/>
          <w:sz w:val="21"/>
          <w:szCs w:val="21"/>
          <w:highlight w:val="none"/>
          <w:lang w:val="en-US" w:eastAsia="zh-CN"/>
        </w:rPr>
        <w:t>6</w:t>
      </w:r>
      <w:r>
        <w:rPr>
          <w:rFonts w:hint="default" w:ascii="Times New Roman" w:hAnsi="Times New Roman" w:cs="Times New Roman"/>
          <w:color w:val="auto"/>
          <w:sz w:val="21"/>
          <w:szCs w:val="21"/>
          <w:highlight w:val="none"/>
        </w:rPr>
        <w:t>年 月  日</w:t>
      </w:r>
    </w:p>
    <w:p w14:paraId="50A2661E">
      <w:pPr>
        <w:spacing w:line="440" w:lineRule="exact"/>
        <w:rPr>
          <w:rFonts w:hint="default" w:ascii="Times New Roman" w:hAnsi="Times New Roman" w:cs="Times New Roman"/>
          <w:b/>
          <w:color w:val="auto"/>
          <w:highlight w:val="none"/>
        </w:rPr>
      </w:pPr>
      <w:r>
        <w:rPr>
          <w:rFonts w:hint="default" w:ascii="Times New Roman" w:hAnsi="Times New Roman" w:cs="Times New Roman"/>
          <w:b/>
          <w:color w:val="auto"/>
          <w:highlight w:val="none"/>
        </w:rPr>
        <w:t xml:space="preserve">附件一：保密协议 </w:t>
      </w:r>
    </w:p>
    <w:p w14:paraId="7E0FDF4B">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甲方： </w:t>
      </w:r>
    </w:p>
    <w:p w14:paraId="2CDA5F32">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 </w:t>
      </w:r>
    </w:p>
    <w:p w14:paraId="07BFF721">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经友好协商，双方就</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的服务工作签订如下保密协议： </w:t>
      </w:r>
    </w:p>
    <w:p w14:paraId="3625020E">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1.</w:t>
      </w:r>
      <w:r>
        <w:rPr>
          <w:rFonts w:hint="default" w:ascii="Times New Roman" w:hAnsi="Times New Roman" w:cs="Times New Roman"/>
          <w:color w:val="auto"/>
          <w:highlight w:val="none"/>
        </w:rPr>
        <w:t>甲方提供给乙方的所有资料（包括书面及电子版等）仅限于乙方参加甲方服务所需，资料中涉及的商业和技术等秘密，乙方负有保密的责任，乙方保证对甲方递交的资料、信息提供完善的保密措施，不得复制以上的任何资料，或向第三方泄露。乙方员工在任何时候的泄密将视为乙方的泄密。在协议终止时，乙方应归还从甲方直接获得或间接获得的所有资料，如所有图纸、说明、技术数据以及</w:t>
      </w:r>
      <w:r>
        <w:rPr>
          <w:rFonts w:hint="eastAsia" w:ascii="Times New Roman" w:hAnsi="Times New Roman" w:cs="Times New Roman"/>
          <w:color w:val="auto"/>
          <w:highlight w:val="none"/>
          <w:lang w:eastAsia="zh-CN"/>
        </w:rPr>
        <w:t>其他</w:t>
      </w:r>
      <w:r>
        <w:rPr>
          <w:rFonts w:hint="default" w:ascii="Times New Roman" w:hAnsi="Times New Roman" w:cs="Times New Roman"/>
          <w:color w:val="auto"/>
          <w:highlight w:val="none"/>
        </w:rPr>
        <w:t xml:space="preserve">任何资料。 </w:t>
      </w:r>
    </w:p>
    <w:p w14:paraId="1293B2AC">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2.</w:t>
      </w:r>
      <w:r>
        <w:rPr>
          <w:rFonts w:hint="default" w:ascii="Times New Roman" w:hAnsi="Times New Roman" w:cs="Times New Roman"/>
          <w:color w:val="auto"/>
          <w:highlight w:val="none"/>
        </w:rPr>
        <w:t xml:space="preserve">在本协议期间，乙方作为履行服务之结果，均应当为甲方之财产，且乙方应承担保密义务。 </w:t>
      </w:r>
    </w:p>
    <w:p w14:paraId="4D393C36">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3.</w:t>
      </w:r>
      <w:r>
        <w:rPr>
          <w:rFonts w:hint="default" w:ascii="Times New Roman" w:hAnsi="Times New Roman" w:cs="Times New Roman"/>
          <w:color w:val="auto"/>
          <w:highlight w:val="none"/>
        </w:rPr>
        <w:t xml:space="preserve">乙方对以下情况不承担保密责任： </w:t>
      </w:r>
    </w:p>
    <w:p w14:paraId="0B06998C">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3.1 并非因乙方之错误而成为公众可获得的信息； </w:t>
      </w:r>
    </w:p>
    <w:p w14:paraId="3B7C1C6F">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3.2 在乙方按照本协议获得该信息之前，即由乙方拥有的信息，且该信息不是直接或间接来自甲方或承担保密义务的其它方。 </w:t>
      </w:r>
    </w:p>
    <w:p w14:paraId="7D5B769B">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3.3 由乙方从某不承担保密义务的第三方获得的信息，且乙方有合理理由认为该第三方对甲方或其关联方不承担保密义务； </w:t>
      </w:r>
    </w:p>
    <w:p w14:paraId="13CB66D7">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3.4 由乙方为乙方雇员独立开发的信息，且该信息不属于上述规定的信息。 </w:t>
      </w:r>
    </w:p>
    <w:p w14:paraId="2671A13B">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3.5 乙方在按照本协议履行服务过程中可能会积累知识，并在取得甲方事先书面同意后将此类知识用于其日常业务。 </w:t>
      </w:r>
    </w:p>
    <w:p w14:paraId="27D3153B">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4.</w:t>
      </w:r>
      <w:r>
        <w:rPr>
          <w:rFonts w:hint="default" w:ascii="Times New Roman" w:hAnsi="Times New Roman" w:cs="Times New Roman"/>
          <w:color w:val="auto"/>
          <w:highlight w:val="none"/>
        </w:rPr>
        <w:t xml:space="preserve">对本协议内容的任何违反，视作违约，违约方应按中华人民共和国的相关法律法规承担违约责任。 </w:t>
      </w:r>
    </w:p>
    <w:p w14:paraId="3C072212">
      <w:pPr>
        <w:spacing w:line="50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5.</w:t>
      </w:r>
      <w:r>
        <w:rPr>
          <w:rFonts w:hint="default" w:ascii="Times New Roman" w:hAnsi="Times New Roman" w:cs="Times New Roman"/>
          <w:color w:val="auto"/>
          <w:highlight w:val="none"/>
        </w:rPr>
        <w:t xml:space="preserve">本协议有效期10年，对本协议的任何修改和变更，必须经双方书面同意，并由双方重新签章。 </w:t>
      </w:r>
    </w:p>
    <w:p w14:paraId="7D41F7B6">
      <w:pPr>
        <w:spacing w:line="440" w:lineRule="exact"/>
        <w:rPr>
          <w:rFonts w:hint="default" w:ascii="Times New Roman" w:hAnsi="Times New Roman" w:cs="Times New Roman"/>
          <w:color w:val="auto"/>
          <w:highlight w:val="none"/>
        </w:rPr>
      </w:pPr>
      <w:r>
        <w:rPr>
          <w:rFonts w:hint="eastAsia" w:ascii="Times New Roman" w:hAnsi="Times New Roman" w:cs="Times New Roman"/>
          <w:color w:val="auto"/>
          <w:highlight w:val="none"/>
          <w:lang w:eastAsia="zh-CN"/>
        </w:rPr>
        <w:t>6.</w:t>
      </w:r>
      <w:r>
        <w:rPr>
          <w:rFonts w:hint="default" w:ascii="Times New Roman" w:hAnsi="Times New Roman" w:cs="Times New Roman"/>
          <w:color w:val="auto"/>
          <w:highlight w:val="none"/>
        </w:rPr>
        <w:t xml:space="preserve">本协议一式十份，甲方执七份，乙方执三份，具有同等法律效力。本协议经甲、乙双方签章后即生效。 </w:t>
      </w:r>
    </w:p>
    <w:p w14:paraId="57DB8272">
      <w:pPr>
        <w:pStyle w:val="14"/>
        <w:rPr>
          <w:rFonts w:hint="default" w:ascii="Times New Roman" w:hAnsi="Times New Roman" w:cs="Times New Roman"/>
          <w:color w:val="auto"/>
          <w:highlight w:val="none"/>
        </w:rPr>
        <w:sectPr>
          <w:footerReference r:id="rId3" w:type="default"/>
          <w:type w:val="oddPage"/>
          <w:pgSz w:w="11906" w:h="16838"/>
          <w:pgMar w:top="2154" w:right="1531" w:bottom="2154" w:left="1531" w:header="851" w:footer="992" w:gutter="0"/>
          <w:pgNumType w:fmt="decimal"/>
          <w:cols w:space="720" w:num="1"/>
          <w:docGrid w:type="lines" w:linePitch="312" w:charSpace="0"/>
        </w:sectPr>
      </w:pPr>
    </w:p>
    <w:p w14:paraId="4D35830E">
      <w:pPr>
        <w:spacing w:line="44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 xml:space="preserve">附件二 ：廉洁从业责任书  </w:t>
      </w:r>
    </w:p>
    <w:p w14:paraId="62E3C42C">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甲方： </w:t>
      </w:r>
    </w:p>
    <w:p w14:paraId="415E1D3F">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乙方： </w:t>
      </w:r>
    </w:p>
    <w:p w14:paraId="523A7E37">
      <w:pPr>
        <w:spacing w:line="500" w:lineRule="exact"/>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为规范甲乙双方就</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服务工作的商业行为，维护公平竞争，建立健全防治商业贿赂的长效机制，深入推进反腐倡廉工作，根据国家有关法律法</w:t>
      </w:r>
      <w:r>
        <w:rPr>
          <w:rFonts w:hint="eastAsia" w:ascii="Times New Roman" w:hAnsi="Times New Roman" w:cs="Times New Roman"/>
          <w:color w:val="auto"/>
          <w:highlight w:val="none"/>
          <w:lang w:eastAsia="zh-CN"/>
        </w:rPr>
        <w:t>规和</w:t>
      </w:r>
      <w:r>
        <w:rPr>
          <w:rFonts w:hint="default" w:ascii="Times New Roman" w:hAnsi="Times New Roman" w:cs="Times New Roman"/>
          <w:color w:val="auto"/>
          <w:highlight w:val="none"/>
        </w:rPr>
        <w:t xml:space="preserve">有关规定，经双方协商，签订本廉洁从业责任书。 </w:t>
      </w:r>
    </w:p>
    <w:p w14:paraId="7D9FBA7F">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第一条</w:t>
      </w:r>
      <w:r>
        <w:rPr>
          <w:rFonts w:hint="default" w:ascii="Times New Roman" w:hAnsi="Times New Roman" w:cs="Times New Roman"/>
          <w:color w:val="auto"/>
          <w:highlight w:val="none"/>
        </w:rPr>
        <w:t xml:space="preserve">   甲乙双方共同责任  </w:t>
      </w:r>
    </w:p>
    <w:p w14:paraId="74C5AB24">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（一）严格遵守国家有关法律法规以及廉洁从业的有关规定。 </w:t>
      </w:r>
    </w:p>
    <w:p w14:paraId="40E1C2DD">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（二）严格遵守商业道德和市场规则，共同营造公平公正的商务交易环境。 </w:t>
      </w:r>
    </w:p>
    <w:p w14:paraId="1BEC350C">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（三）加强有关人员的管理和廉洁从业教育，自觉抵制不廉洁行为。在商务活动中发现对方存在违规违纪违法行为，应及时向监察部门或司法机关举报。 </w:t>
      </w:r>
    </w:p>
    <w:p w14:paraId="59EC10E8">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第二条</w:t>
      </w:r>
      <w:r>
        <w:rPr>
          <w:rFonts w:hint="default" w:ascii="Times New Roman" w:hAnsi="Times New Roman" w:cs="Times New Roman"/>
          <w:color w:val="auto"/>
          <w:highlight w:val="none"/>
        </w:rPr>
        <w:t xml:space="preserve">   甲方及其人员的责任 </w:t>
      </w:r>
    </w:p>
    <w:p w14:paraId="57A49668">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（一）不得索要或接受乙方及其相关单位和人员提供的回扣、礼金、有价证券、支付凭证、贵重物品等。 </w:t>
      </w:r>
    </w:p>
    <w:p w14:paraId="7DAD5C45">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（二）不得在乙方及其相关单位报销任何应由甲方或个人支付的费用。 </w:t>
      </w:r>
    </w:p>
    <w:p w14:paraId="7EFA0691">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（三）不得违反规定在乙方及其相关单位投资入股，不得向乙方单位及人员借款或委托买卖股票、债券等。 </w:t>
      </w:r>
    </w:p>
    <w:p w14:paraId="47D9E1F7">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（四）不得要求、暗示和接受乙方及其相关单位和个人为其购买或装修住房、婚丧嫁娶、配偶和子女的上学或工作安排以及出国（境）、旅游等提供方便。 </w:t>
      </w:r>
    </w:p>
    <w:p w14:paraId="6D52777C">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（五）不得参加乙方及其相关单位安排的可能影响公正执行公务的宴请、健身和娱乐等活动。 </w:t>
      </w:r>
    </w:p>
    <w:p w14:paraId="520FEF59">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（六）不得接受乙方及其相关单位购置或提供的通讯工具、交通工具和高档办公用品。 </w:t>
      </w:r>
    </w:p>
    <w:p w14:paraId="34989C21">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（七）不得利用职权通过乙方及其相关单位为其配偶、子女及他人谋取不正当利益。 </w:t>
      </w:r>
    </w:p>
    <w:p w14:paraId="08D5CEC7">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（八）不得违反规定在乙方或乙方相关单位兼职和领取兼职工资及报酬；不得利用甲方的商业秘密、业务渠道等谋取个人私利，或将其提供泄漏给乙方及其它企业和个人。 </w:t>
      </w:r>
    </w:p>
    <w:p w14:paraId="4F0AAB1B">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（九）不得利用职权和工作之便向乙方提出上述各项规定禁止事项或要求之外的与工作业务无关的事项或要求。 </w:t>
      </w:r>
    </w:p>
    <w:p w14:paraId="1583832E">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第三条</w:t>
      </w:r>
      <w:r>
        <w:rPr>
          <w:rFonts w:hint="default" w:ascii="Times New Roman" w:hAnsi="Times New Roman" w:cs="Times New Roman"/>
          <w:color w:val="auto"/>
          <w:highlight w:val="none"/>
        </w:rPr>
        <w:t xml:space="preserve">   乙方及其人员的责任  </w:t>
      </w:r>
    </w:p>
    <w:p w14:paraId="6EDC157C">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（一）不得向甲方及其人员提供回扣、礼金、有价礼券、支付凭证、贵重物品等。 </w:t>
      </w:r>
    </w:p>
    <w:p w14:paraId="62BF3D63">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（二）不得为甲方及其人员报销应由甲方或个人支付的费用。 </w:t>
      </w:r>
    </w:p>
    <w:p w14:paraId="6A319C6A">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（三）不得为甲方人员投资入股、个人借款或买卖股票、债券等提供方便。 </w:t>
      </w:r>
    </w:p>
    <w:p w14:paraId="451B4102">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（四）不得为甲方人员购买或装修住房、婚丧嫁娶、配偶子女上学或工作安排以及出国（境）、旅游等提供方便。 </w:t>
      </w:r>
    </w:p>
    <w:p w14:paraId="59657F95">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（五）不得为甲方人员安排有可能影响公正执行公务的宴请、健身和娱乐等活动。</w:t>
      </w:r>
    </w:p>
    <w:p w14:paraId="3B45B16D">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（六）不得为甲方及其人员购置或提供通讯工具、交通工具和高档办公用品。 </w:t>
      </w:r>
    </w:p>
    <w:p w14:paraId="2F6AFB7D">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（七）不得为甲方人员的配偶、子女及其他亲属谋取不正当利益提供方便。 </w:t>
      </w:r>
    </w:p>
    <w:p w14:paraId="2F54F28B">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（八）不得违反规定安排甲方人员在乙方或乙方相关单位兼职和领取兼职工资及报酬；不得利用非法手段向甲方人员打探有关涉及甲方的商业秘密、业务渠道等。 </w:t>
      </w:r>
    </w:p>
    <w:p w14:paraId="256F6DE2">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（九）甲方对涉嫌不廉洁的商业行为进行调查时，乙方有配合甲方提供证据、作证的义务。 </w:t>
      </w:r>
    </w:p>
    <w:p w14:paraId="73F33481">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（十）未经甲方书面同意，乙方不得向任何新闻媒体、第三人述及廉洁从业方面的评价、信息。 </w:t>
      </w:r>
    </w:p>
    <w:p w14:paraId="677F700B">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第四条</w:t>
      </w:r>
      <w:r>
        <w:rPr>
          <w:rFonts w:hint="default" w:ascii="Times New Roman" w:hAnsi="Times New Roman" w:cs="Times New Roman"/>
          <w:color w:val="auto"/>
          <w:highlight w:val="none"/>
        </w:rPr>
        <w:t xml:space="preserve">   违约责任 </w:t>
      </w:r>
    </w:p>
    <w:p w14:paraId="1E34DC86">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（一）甲方及其人员有违反本责任书第一条、第二条规定的，按照管理权限，依据有关法律法规和规定给予有关人员纪律处分或组织处理；涉嫌犯罪的，移交司法机关追究刑事责任。 </w:t>
      </w:r>
    </w:p>
    <w:p w14:paraId="7A600491">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（二）乙方及其人员有违反本责任书第一条、第三条规定的，按照管理权限，依据国家法律法规和有关规定给予纪律处分或组织处理；涉嫌犯罪的，移交司法机关追究刑事责任。 </w:t>
      </w:r>
    </w:p>
    <w:p w14:paraId="05665E97">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第五条</w:t>
      </w:r>
      <w:r>
        <w:rPr>
          <w:rFonts w:hint="default" w:ascii="Times New Roman" w:hAnsi="Times New Roman" w:cs="Times New Roman"/>
          <w:color w:val="auto"/>
          <w:highlight w:val="none"/>
        </w:rPr>
        <w:t xml:space="preserve">   本责任书经双方签署后生效。 </w:t>
      </w:r>
    </w:p>
    <w:p w14:paraId="310853FC">
      <w:pPr>
        <w:spacing w:line="50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甲乙双方通过招投标或其他方式签订交易合同的，本责任书作为交易合同的附件，与合同具有同等法律效力；如双方未签订交易合同，本责任书独立有效。 </w:t>
      </w:r>
    </w:p>
    <w:p w14:paraId="5E154934">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第六条</w:t>
      </w:r>
      <w:r>
        <w:rPr>
          <w:rFonts w:hint="default" w:ascii="Times New Roman" w:hAnsi="Times New Roman" w:cs="Times New Roman"/>
          <w:color w:val="auto"/>
          <w:highlight w:val="none"/>
        </w:rPr>
        <w:t xml:space="preserve">   甲乙双方及其人员在经济合同履行完毕后，发生或发现违反本责任书规定的行为，仍按本责任书规定处理。 </w:t>
      </w:r>
    </w:p>
    <w:p w14:paraId="25C31739">
      <w:pPr>
        <w:spacing w:line="500" w:lineRule="exact"/>
        <w:rPr>
          <w:rFonts w:hint="default" w:ascii="Times New Roman" w:hAnsi="Times New Roman" w:cs="Times New Roman"/>
          <w:color w:val="auto"/>
          <w:highlight w:val="none"/>
        </w:rPr>
      </w:pPr>
      <w:r>
        <w:rPr>
          <w:rFonts w:hint="default" w:ascii="Times New Roman" w:hAnsi="Times New Roman" w:cs="Times New Roman"/>
          <w:b/>
          <w:color w:val="auto"/>
          <w:highlight w:val="none"/>
        </w:rPr>
        <w:t>第七条</w:t>
      </w:r>
      <w:r>
        <w:rPr>
          <w:rFonts w:hint="default" w:ascii="Times New Roman" w:hAnsi="Times New Roman" w:cs="Times New Roman"/>
          <w:color w:val="auto"/>
          <w:highlight w:val="none"/>
        </w:rPr>
        <w:t xml:space="preserve">   本责任书一式十份，甲方执七份，乙方执三份，具有同等法律效力。本协议经甲、乙双方签章后即生效。  </w:t>
      </w:r>
    </w:p>
    <w:p w14:paraId="6EF63065">
      <w:pPr>
        <w:pStyle w:val="220"/>
        <w:rPr>
          <w:rFonts w:hint="eastAsia" w:ascii="宋体" w:hAnsi="宋体" w:cs="宋体"/>
          <w:color w:val="auto"/>
          <w:sz w:val="24"/>
          <w:highlight w:val="none"/>
        </w:rPr>
      </w:pPr>
    </w:p>
    <w:p w14:paraId="44AEEA77">
      <w:pPr>
        <w:rPr>
          <w:rFonts w:hint="eastAsia" w:ascii="宋体" w:hAnsi="宋体" w:cs="宋体"/>
          <w:color w:val="auto"/>
          <w:sz w:val="24"/>
          <w:highlight w:val="none"/>
        </w:rPr>
      </w:pPr>
    </w:p>
    <w:p w14:paraId="378D606D">
      <w:pPr>
        <w:rPr>
          <w:rFonts w:hint="eastAsia" w:ascii="宋体" w:hAnsi="宋体" w:cs="宋体"/>
          <w:color w:val="auto"/>
          <w:sz w:val="24"/>
          <w:highlight w:val="none"/>
        </w:rPr>
      </w:pPr>
    </w:p>
    <w:p w14:paraId="5BE20F4D">
      <w:pPr>
        <w:rPr>
          <w:rFonts w:hint="eastAsia" w:ascii="宋体" w:hAnsi="宋体" w:cs="宋体"/>
          <w:color w:val="auto"/>
          <w:sz w:val="24"/>
          <w:highlight w:val="none"/>
        </w:rPr>
      </w:pPr>
    </w:p>
    <w:p w14:paraId="488152DB">
      <w:pPr>
        <w:rPr>
          <w:rFonts w:hint="eastAsia" w:ascii="宋体" w:hAnsi="宋体" w:cs="宋体"/>
          <w:color w:val="auto"/>
          <w:sz w:val="24"/>
          <w:highlight w:val="none"/>
        </w:rPr>
      </w:pPr>
    </w:p>
    <w:p w14:paraId="29E47E30">
      <w:pPr>
        <w:rPr>
          <w:rFonts w:hint="eastAsia" w:ascii="宋体" w:hAnsi="宋体" w:cs="宋体"/>
          <w:color w:val="auto"/>
          <w:sz w:val="24"/>
          <w:highlight w:val="none"/>
        </w:rPr>
      </w:pPr>
    </w:p>
    <w:p w14:paraId="66A4DA96">
      <w:pPr>
        <w:pStyle w:val="219"/>
        <w:rPr>
          <w:rFonts w:hint="eastAsia"/>
          <w:color w:val="auto"/>
          <w:highlight w:val="none"/>
        </w:rPr>
      </w:pPr>
    </w:p>
    <w:p w14:paraId="6962B6FD">
      <w:pPr>
        <w:keepLines/>
        <w:tabs>
          <w:tab w:val="left" w:pos="360"/>
        </w:tabs>
        <w:spacing w:line="360" w:lineRule="auto"/>
        <w:jc w:val="center"/>
        <w:outlineLvl w:val="0"/>
        <w:rPr>
          <w:rFonts w:hint="eastAsia" w:hAnsi="宋体" w:eastAsia="黑体"/>
          <w:color w:val="auto"/>
          <w:sz w:val="36"/>
          <w:szCs w:val="20"/>
          <w:highlight w:val="none"/>
        </w:rPr>
      </w:pPr>
    </w:p>
    <w:p w14:paraId="2925B5B3">
      <w:pPr>
        <w:keepLines/>
        <w:tabs>
          <w:tab w:val="left" w:pos="360"/>
        </w:tabs>
        <w:spacing w:line="360" w:lineRule="auto"/>
        <w:jc w:val="center"/>
        <w:outlineLvl w:val="0"/>
        <w:rPr>
          <w:rFonts w:hint="eastAsia" w:hAnsi="宋体" w:eastAsia="黑体"/>
          <w:color w:val="auto"/>
          <w:sz w:val="36"/>
          <w:szCs w:val="20"/>
          <w:highlight w:val="none"/>
        </w:rPr>
      </w:pPr>
    </w:p>
    <w:p w14:paraId="02AD9A2C">
      <w:pPr>
        <w:keepLines/>
        <w:tabs>
          <w:tab w:val="left" w:pos="360"/>
        </w:tabs>
        <w:spacing w:line="360" w:lineRule="auto"/>
        <w:jc w:val="center"/>
        <w:outlineLvl w:val="0"/>
        <w:rPr>
          <w:rFonts w:hint="eastAsia" w:hAnsi="宋体" w:eastAsia="黑体"/>
          <w:color w:val="auto"/>
          <w:sz w:val="36"/>
          <w:szCs w:val="20"/>
          <w:highlight w:val="none"/>
        </w:rPr>
      </w:pPr>
    </w:p>
    <w:p w14:paraId="4D0C97AF">
      <w:pPr>
        <w:keepLines/>
        <w:tabs>
          <w:tab w:val="left" w:pos="360"/>
        </w:tabs>
        <w:spacing w:line="360" w:lineRule="auto"/>
        <w:jc w:val="center"/>
        <w:outlineLvl w:val="0"/>
        <w:rPr>
          <w:color w:val="auto"/>
          <w:highlight w:val="none"/>
        </w:rPr>
      </w:pPr>
      <w:r>
        <w:rPr>
          <w:rFonts w:hint="eastAsia" w:hAnsi="宋体" w:eastAsia="黑体"/>
          <w:color w:val="auto"/>
          <w:sz w:val="36"/>
          <w:szCs w:val="20"/>
          <w:highlight w:val="none"/>
        </w:rPr>
        <w:t>第六部分</w:t>
      </w:r>
      <w:bookmarkStart w:id="141" w:name="_Toc91183846"/>
      <w:bookmarkStart w:id="142" w:name="_Toc91256334"/>
      <w:r>
        <w:rPr>
          <w:rFonts w:hint="eastAsia" w:hAnsi="宋体" w:eastAsia="黑体"/>
          <w:color w:val="auto"/>
          <w:sz w:val="36"/>
          <w:szCs w:val="20"/>
          <w:highlight w:val="none"/>
        </w:rPr>
        <w:t xml:space="preserve">  投标文件格式</w:t>
      </w:r>
      <w:bookmarkEnd w:id="138"/>
      <w:bookmarkEnd w:id="141"/>
      <w:bookmarkEnd w:id="142"/>
    </w:p>
    <w:p w14:paraId="20F4BD19">
      <w:pPr>
        <w:rPr>
          <w:rFonts w:hint="eastAsia" w:ascii="宋体" w:hAnsi="宋体"/>
          <w:b/>
          <w:color w:val="auto"/>
          <w:sz w:val="52"/>
          <w:szCs w:val="52"/>
          <w:highlight w:val="none"/>
        </w:rPr>
      </w:pPr>
    </w:p>
    <w:p w14:paraId="3FBBFC01">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79F8820D">
      <w:pPr>
        <w:jc w:val="center"/>
        <w:rPr>
          <w:rFonts w:hint="eastAsia" w:ascii="宋体" w:hAnsi="宋体"/>
          <w:b/>
          <w:color w:val="auto"/>
          <w:sz w:val="72"/>
          <w:highlight w:val="none"/>
        </w:rPr>
      </w:pPr>
    </w:p>
    <w:p w14:paraId="70DB18D7">
      <w:pPr>
        <w:jc w:val="center"/>
        <w:rPr>
          <w:rFonts w:hint="eastAsia" w:ascii="宋体" w:hAnsi="宋体"/>
          <w:b/>
          <w:color w:val="auto"/>
          <w:sz w:val="72"/>
          <w:highlight w:val="none"/>
        </w:rPr>
      </w:pPr>
    </w:p>
    <w:p w14:paraId="24A8F529">
      <w:pPr>
        <w:jc w:val="center"/>
        <w:rPr>
          <w:rFonts w:hint="eastAsia" w:ascii="宋体" w:hAnsi="宋体"/>
          <w:b/>
          <w:color w:val="auto"/>
          <w:sz w:val="36"/>
          <w:highlight w:val="none"/>
        </w:rPr>
      </w:pPr>
    </w:p>
    <w:p w14:paraId="34725A75">
      <w:pPr>
        <w:jc w:val="center"/>
        <w:rPr>
          <w:rFonts w:hint="eastAsia" w:ascii="宋体" w:hAnsi="宋体"/>
          <w:b/>
          <w:color w:val="auto"/>
          <w:sz w:val="36"/>
          <w:highlight w:val="none"/>
        </w:rPr>
      </w:pPr>
    </w:p>
    <w:p w14:paraId="52A2728D">
      <w:pPr>
        <w:jc w:val="center"/>
        <w:rPr>
          <w:rFonts w:hint="eastAsia" w:ascii="宋体" w:hAnsi="宋体"/>
          <w:b/>
          <w:color w:val="auto"/>
          <w:sz w:val="36"/>
          <w:highlight w:val="none"/>
        </w:rPr>
      </w:pPr>
    </w:p>
    <w:p w14:paraId="731103B0">
      <w:pPr>
        <w:ind w:firstLine="1084"/>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16543CC2">
      <w:pPr>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05151F33">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（加盖CA电子公章）</w:t>
      </w:r>
    </w:p>
    <w:p w14:paraId="6CAB3EAD">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53C5D10E">
      <w:pPr>
        <w:rPr>
          <w:color w:val="auto"/>
          <w:sz w:val="24"/>
          <w:highlight w:val="none"/>
        </w:rPr>
      </w:pPr>
    </w:p>
    <w:p w14:paraId="1283027D">
      <w:pPr>
        <w:rPr>
          <w:color w:val="auto"/>
          <w:sz w:val="24"/>
          <w:highlight w:val="none"/>
        </w:rPr>
      </w:pPr>
    </w:p>
    <w:p w14:paraId="76949D83">
      <w:pPr>
        <w:rPr>
          <w:color w:val="auto"/>
          <w:sz w:val="24"/>
          <w:highlight w:val="none"/>
        </w:rPr>
      </w:pPr>
    </w:p>
    <w:p w14:paraId="6CB79E1B">
      <w:pPr>
        <w:rPr>
          <w:color w:val="auto"/>
          <w:sz w:val="24"/>
          <w:highlight w:val="none"/>
        </w:rPr>
      </w:pPr>
    </w:p>
    <w:p w14:paraId="03698CC6">
      <w:pPr>
        <w:rPr>
          <w:color w:val="auto"/>
          <w:sz w:val="24"/>
          <w:highlight w:val="none"/>
        </w:rPr>
      </w:pPr>
    </w:p>
    <w:p w14:paraId="10435435">
      <w:pPr>
        <w:rPr>
          <w:color w:val="auto"/>
          <w:sz w:val="24"/>
          <w:highlight w:val="none"/>
        </w:rPr>
      </w:pPr>
    </w:p>
    <w:p w14:paraId="79C61047">
      <w:pPr>
        <w:rPr>
          <w:color w:val="auto"/>
          <w:sz w:val="24"/>
          <w:highlight w:val="none"/>
        </w:rPr>
      </w:pPr>
    </w:p>
    <w:p w14:paraId="23323B71">
      <w:pPr>
        <w:rPr>
          <w:color w:val="auto"/>
          <w:sz w:val="24"/>
          <w:highlight w:val="none"/>
        </w:rPr>
      </w:pPr>
    </w:p>
    <w:p w14:paraId="316AB66E">
      <w:pPr>
        <w:rPr>
          <w:color w:val="auto"/>
          <w:sz w:val="24"/>
          <w:highlight w:val="none"/>
        </w:rPr>
      </w:pPr>
    </w:p>
    <w:p w14:paraId="3163BA24">
      <w:pPr>
        <w:rPr>
          <w:color w:val="auto"/>
          <w:sz w:val="24"/>
          <w:highlight w:val="none"/>
        </w:rPr>
      </w:pPr>
    </w:p>
    <w:p w14:paraId="41B9C5BD">
      <w:pPr>
        <w:rPr>
          <w:color w:val="auto"/>
          <w:sz w:val="24"/>
          <w:highlight w:val="none"/>
        </w:rPr>
      </w:pPr>
    </w:p>
    <w:p w14:paraId="402DA906">
      <w:pPr>
        <w:rPr>
          <w:color w:val="auto"/>
          <w:sz w:val="24"/>
          <w:highlight w:val="none"/>
        </w:rPr>
      </w:pPr>
    </w:p>
    <w:p w14:paraId="5CC748E9">
      <w:pPr>
        <w:rPr>
          <w:color w:val="auto"/>
          <w:sz w:val="24"/>
          <w:highlight w:val="none"/>
        </w:rPr>
      </w:pPr>
    </w:p>
    <w:p w14:paraId="067006BD">
      <w:pPr>
        <w:rPr>
          <w:color w:val="auto"/>
          <w:sz w:val="24"/>
          <w:highlight w:val="none"/>
        </w:rPr>
      </w:pPr>
    </w:p>
    <w:p w14:paraId="576A2565">
      <w:pPr>
        <w:rPr>
          <w:color w:val="auto"/>
          <w:sz w:val="24"/>
          <w:highlight w:val="none"/>
        </w:rPr>
      </w:pPr>
    </w:p>
    <w:p w14:paraId="70BD010C">
      <w:pPr>
        <w:rPr>
          <w:color w:val="auto"/>
          <w:sz w:val="24"/>
          <w:highlight w:val="none"/>
        </w:rPr>
      </w:pPr>
    </w:p>
    <w:p w14:paraId="5B33F337">
      <w:pPr>
        <w:rPr>
          <w:rFonts w:hint="eastAsia"/>
          <w:color w:val="auto"/>
          <w:highlight w:val="none"/>
        </w:rPr>
      </w:pPr>
      <w:r>
        <w:rPr>
          <w:color w:val="auto"/>
          <w:sz w:val="24"/>
          <w:highlight w:val="none"/>
        </w:rPr>
        <w:t>格式</w:t>
      </w:r>
      <w:r>
        <w:rPr>
          <w:rFonts w:hint="eastAsia"/>
          <w:color w:val="auto"/>
          <w:sz w:val="24"/>
          <w:highlight w:val="none"/>
        </w:rPr>
        <w:t>1、响应函</w:t>
      </w:r>
    </w:p>
    <w:p w14:paraId="470D0A57">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响 应 函</w:t>
      </w:r>
    </w:p>
    <w:p w14:paraId="5D9246AC">
      <w:pPr>
        <w:spacing w:line="360" w:lineRule="auto"/>
        <w:jc w:val="left"/>
        <w:rPr>
          <w:rFonts w:hint="eastAsia" w:ascii="宋体" w:hAnsi="宋体"/>
          <w:color w:val="auto"/>
          <w:sz w:val="24"/>
          <w:highlight w:val="none"/>
        </w:rPr>
      </w:pPr>
      <w:r>
        <w:rPr>
          <w:rFonts w:hint="eastAsia" w:ascii="宋体" w:hAnsi="宋体"/>
          <w:color w:val="auto"/>
          <w:sz w:val="24"/>
          <w:highlight w:val="none"/>
        </w:rPr>
        <w:t>致：【采购单位】</w:t>
      </w:r>
    </w:p>
    <w:p w14:paraId="7E41310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根据贵方</w:t>
      </w:r>
      <w:r>
        <w:rPr>
          <w:rFonts w:hint="eastAsia" w:ascii="宋体" w:hAnsi="宋体"/>
          <w:color w:val="auto"/>
          <w:sz w:val="24"/>
          <w:highlight w:val="none"/>
          <w:u w:val="single"/>
        </w:rPr>
        <w:t xml:space="preserve">     </w:t>
      </w:r>
      <w:r>
        <w:rPr>
          <w:rFonts w:hint="eastAsia" w:ascii="宋体" w:hAnsi="宋体"/>
          <w:color w:val="auto"/>
          <w:sz w:val="24"/>
          <w:highlight w:val="none"/>
        </w:rPr>
        <w:t>标段（标段编号：</w:t>
      </w:r>
      <w:r>
        <w:rPr>
          <w:rFonts w:hint="eastAsia" w:ascii="宋体" w:hAnsi="宋体"/>
          <w:color w:val="auto"/>
          <w:sz w:val="24"/>
          <w:highlight w:val="none"/>
          <w:u w:val="single"/>
        </w:rPr>
        <w:t xml:space="preserve">     </w:t>
      </w:r>
      <w:r>
        <w:rPr>
          <w:rFonts w:hint="eastAsia" w:ascii="宋体" w:hAnsi="宋体"/>
          <w:color w:val="auto"/>
          <w:sz w:val="24"/>
          <w:highlight w:val="none"/>
        </w:rPr>
        <w:t>）采购文件，遵照《中华人民共和国政府采购法》《中华人民共和国政府采购法实施条例》等有关规定，经研究上述采购文件的须知、合同条款、项目需求及其他条款后，正式授权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auto"/>
          <w:sz w:val="24"/>
          <w:highlight w:val="none"/>
          <w:u w:val="single"/>
        </w:rPr>
        <w:t xml:space="preserve">     </w:t>
      </w:r>
      <w:r>
        <w:rPr>
          <w:rFonts w:hint="eastAsia" w:ascii="宋体" w:hAnsi="宋体"/>
          <w:color w:val="auto"/>
          <w:sz w:val="24"/>
          <w:highlight w:val="none"/>
        </w:rPr>
        <w:t>全权代表</w:t>
      </w:r>
      <w:r>
        <w:rPr>
          <w:rFonts w:hint="eastAsia" w:ascii="宋体" w:hAnsi="宋体"/>
          <w:color w:val="auto"/>
          <w:sz w:val="24"/>
          <w:highlight w:val="none"/>
          <w:u w:val="single"/>
        </w:rPr>
        <w:t xml:space="preserve">     </w:t>
      </w:r>
      <w:r>
        <w:rPr>
          <w:rFonts w:hint="eastAsia" w:ascii="宋体" w:hAnsi="宋体"/>
          <w:color w:val="auto"/>
          <w:sz w:val="24"/>
          <w:highlight w:val="none"/>
        </w:rPr>
        <w:t>参加贵方组织的采购活动，并按照采购文件要求提交响应文件。</w:t>
      </w:r>
    </w:p>
    <w:p w14:paraId="1EC7441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据此函，签字人兹宣布同意如下：</w:t>
      </w:r>
    </w:p>
    <w:p w14:paraId="1F1F378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1.按采购文件项目需求提交响应报价，报价、交货期等详见开标一览表。</w:t>
      </w:r>
    </w:p>
    <w:p w14:paraId="39BBB9CD">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2.我方同意在本标段采购文件中规定的响应文件递交截止之日起60天内遵守本响应文件中的承诺且在此期限期满之前均具有约束力。</w:t>
      </w:r>
    </w:p>
    <w:p w14:paraId="368C841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3.我方承诺已经具备《中华人民共和国政府采购法》中规定的参加政府采购活动的供应商应当具备的条件：</w:t>
      </w:r>
    </w:p>
    <w:p w14:paraId="1AA457B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(1)具有独立承担民事责任的能力；</w:t>
      </w:r>
    </w:p>
    <w:p w14:paraId="57B0DBD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(2)具有良好的商业信誉和健全的财务会计制度；</w:t>
      </w:r>
    </w:p>
    <w:p w14:paraId="4CBE1D3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(3)具有履行合同所必需的设备和专业技术能力；</w:t>
      </w:r>
    </w:p>
    <w:p w14:paraId="09469BF2">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(4)有依法缴纳税收和社会保障资金的良好记录；</w:t>
      </w:r>
    </w:p>
    <w:p w14:paraId="3E797309">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(5)参加此项采购活动前三年内，在经营活动中没有重大违法记录。</w:t>
      </w:r>
    </w:p>
    <w:p w14:paraId="477604B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4.我方根据采购文件的规定，承担完成合同的责任和义务。</w:t>
      </w:r>
    </w:p>
    <w:p w14:paraId="4FC4BD26">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5.我方已详细审核采购文件，我方知道必须放弃提出含糊不清或误解问题的权利。</w:t>
      </w:r>
    </w:p>
    <w:p w14:paraId="3F9D8D60">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6.如果在响应文件有效期内撤回或者有其他违约行为，我方的保证金可被贵方全部或部分没收。</w:t>
      </w:r>
    </w:p>
    <w:p w14:paraId="238926E1">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7.同意应贵方要求提供与本次采购活动有关的任何数据或资料。</w:t>
      </w:r>
    </w:p>
    <w:p w14:paraId="10ECD39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8.我方完全理解，最低报价不是中标（成交）的唯一条件。</w:t>
      </w:r>
    </w:p>
    <w:p w14:paraId="5D505194">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9.若贵方需要，我方愿意提供我方作出的一切承诺的证明材料。</w:t>
      </w:r>
    </w:p>
    <w:p w14:paraId="231BE3D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25E5D87">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(1)提供虚假材料谋取中标、成交的；</w:t>
      </w:r>
    </w:p>
    <w:p w14:paraId="3E2617D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(2)采取不正当手段诋毁、排挤其他供应商的；</w:t>
      </w:r>
    </w:p>
    <w:p w14:paraId="318F9CBC">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(3)与采购人、其他供应商或者采购代理机构恶意串通的；</w:t>
      </w:r>
    </w:p>
    <w:p w14:paraId="6D471D5B">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(4)向采购人、采购代理机构行贿或者提供其他不正当利益的；</w:t>
      </w:r>
    </w:p>
    <w:p w14:paraId="2FB7813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(5)在招标采购过程中与采购人进行协商谈判的；</w:t>
      </w:r>
    </w:p>
    <w:p w14:paraId="340A61AF">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(6)拒绝有关部门监督检查或提供虚假情况的。</w:t>
      </w:r>
    </w:p>
    <w:p w14:paraId="0440742E">
      <w:pPr>
        <w:spacing w:line="360" w:lineRule="auto"/>
        <w:ind w:firstLine="480"/>
        <w:jc w:val="left"/>
        <w:rPr>
          <w:rFonts w:ascii="宋体" w:hAnsi="宋体"/>
          <w:color w:val="auto"/>
          <w:sz w:val="24"/>
          <w:highlight w:val="none"/>
        </w:rPr>
      </w:pPr>
      <w:r>
        <w:rPr>
          <w:rFonts w:ascii="宋体" w:hAnsi="宋体"/>
          <w:color w:val="auto"/>
          <w:sz w:val="24"/>
          <w:highlight w:val="none"/>
        </w:rPr>
        <w:t xml:space="preserve"> </w:t>
      </w:r>
    </w:p>
    <w:p w14:paraId="1DAF471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法定代表人签字（或盖章）：</w:t>
      </w:r>
    </w:p>
    <w:p w14:paraId="2DFE0A23">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供应商公章： </w:t>
      </w:r>
    </w:p>
    <w:p w14:paraId="52C5BEA8">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日期： </w:t>
      </w:r>
    </w:p>
    <w:p w14:paraId="576902B6">
      <w:pPr>
        <w:spacing w:line="360" w:lineRule="auto"/>
        <w:ind w:firstLine="480"/>
        <w:jc w:val="left"/>
        <w:rPr>
          <w:rFonts w:ascii="宋体" w:hAnsi="宋体"/>
          <w:color w:val="auto"/>
          <w:sz w:val="24"/>
          <w:highlight w:val="none"/>
        </w:rPr>
      </w:pPr>
      <w:r>
        <w:rPr>
          <w:rFonts w:ascii="宋体" w:hAnsi="宋体"/>
          <w:color w:val="auto"/>
          <w:sz w:val="24"/>
          <w:highlight w:val="none"/>
        </w:rPr>
        <w:t xml:space="preserve"> </w:t>
      </w:r>
    </w:p>
    <w:p w14:paraId="7E0CDC65">
      <w:pPr>
        <w:spacing w:line="360" w:lineRule="auto"/>
        <w:ind w:firstLine="480"/>
        <w:jc w:val="left"/>
        <w:rPr>
          <w:rFonts w:hint="eastAsia" w:ascii="宋体" w:hAnsi="宋体"/>
          <w:bCs/>
          <w:color w:val="auto"/>
          <w:sz w:val="24"/>
          <w:highlight w:val="none"/>
        </w:rPr>
      </w:pPr>
      <w:bookmarkStart w:id="143" w:name="_Toc91183848"/>
      <w:bookmarkStart w:id="144" w:name="_Toc91256336"/>
    </w:p>
    <w:p w14:paraId="5BF6B154">
      <w:pPr>
        <w:pStyle w:val="191"/>
        <w:numPr>
          <w:ilvl w:val="0"/>
          <w:numId w:val="0"/>
        </w:numPr>
        <w:spacing w:before="0" w:after="0" w:line="240" w:lineRule="auto"/>
        <w:rPr>
          <w:rFonts w:hint="eastAsia"/>
          <w:color w:val="auto"/>
          <w:highlight w:val="none"/>
        </w:rPr>
      </w:pPr>
      <w:r>
        <w:rPr>
          <w:color w:val="auto"/>
          <w:highlight w:val="none"/>
        </w:rPr>
        <w:br w:type="page" w:clear="all"/>
      </w:r>
      <w:r>
        <w:rPr>
          <w:color w:val="auto"/>
          <w:sz w:val="24"/>
          <w:highlight w:val="none"/>
        </w:rPr>
        <w:t>格式</w:t>
      </w:r>
      <w:r>
        <w:rPr>
          <w:rFonts w:hint="eastAsia"/>
          <w:color w:val="auto"/>
          <w:sz w:val="24"/>
          <w:highlight w:val="none"/>
        </w:rPr>
        <w:t>2、开标一览表</w:t>
      </w:r>
    </w:p>
    <w:p w14:paraId="6F89E9ED">
      <w:pPr>
        <w:jc w:val="center"/>
        <w:rPr>
          <w:rFonts w:hint="eastAsia" w:ascii="宋体" w:hAnsi="宋体"/>
          <w:bCs/>
          <w:color w:val="auto"/>
          <w:sz w:val="24"/>
          <w:highlight w:val="none"/>
        </w:rPr>
      </w:pPr>
      <w:r>
        <w:rPr>
          <w:rFonts w:ascii="黑体" w:hAnsi="黑体" w:eastAsia="黑体" w:cs="宋体"/>
          <w:bCs/>
          <w:color w:val="auto"/>
          <w:sz w:val="36"/>
          <w:szCs w:val="28"/>
          <w:highlight w:val="none"/>
        </w:rPr>
        <w:t>开标一览表</w:t>
      </w:r>
    </w:p>
    <w:p w14:paraId="14CBB1C9">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标段编号：</w:t>
      </w:r>
    </w:p>
    <w:p w14:paraId="670B2E8C">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标段名称：</w:t>
      </w:r>
    </w:p>
    <w:p w14:paraId="3C9323D8">
      <w:pPr>
        <w:pStyle w:val="298"/>
        <w:rPr>
          <w:color w:val="auto"/>
          <w:sz w:val="24"/>
          <w:highlight w:val="none"/>
        </w:rPr>
      </w:pP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653"/>
        <w:gridCol w:w="3651"/>
      </w:tblGrid>
      <w:tr w14:paraId="55E95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641837D7">
            <w:pPr>
              <w:jc w:val="center"/>
              <w:rPr>
                <w:rFonts w:ascii="宋体" w:hAnsi="宋体"/>
                <w:bCs/>
                <w:color w:val="auto"/>
                <w:sz w:val="28"/>
                <w:szCs w:val="28"/>
                <w:highlight w:val="none"/>
              </w:rPr>
            </w:pPr>
            <w:r>
              <w:rPr>
                <w:rFonts w:ascii="宋体" w:hAnsi="宋体"/>
                <w:bCs/>
                <w:color w:val="auto"/>
                <w:sz w:val="28"/>
                <w:szCs w:val="28"/>
                <w:highlight w:val="none"/>
              </w:rPr>
              <w:t>标题</w:t>
            </w:r>
          </w:p>
        </w:tc>
        <w:tc>
          <w:tcPr>
            <w:tcW w:w="3651" w:type="dxa"/>
            <w:noWrap w:val="0"/>
            <w:vAlign w:val="center"/>
          </w:tcPr>
          <w:p w14:paraId="7415F145">
            <w:pPr>
              <w:jc w:val="center"/>
              <w:rPr>
                <w:rFonts w:ascii="宋体" w:hAnsi="宋体"/>
                <w:color w:val="auto"/>
                <w:sz w:val="28"/>
                <w:szCs w:val="28"/>
                <w:highlight w:val="none"/>
              </w:rPr>
            </w:pPr>
            <w:r>
              <w:rPr>
                <w:rFonts w:ascii="宋体" w:hAnsi="宋体"/>
                <w:color w:val="auto"/>
                <w:sz w:val="28"/>
                <w:szCs w:val="28"/>
                <w:highlight w:val="none"/>
              </w:rPr>
              <w:t>内容</w:t>
            </w:r>
          </w:p>
        </w:tc>
      </w:tr>
      <w:tr w14:paraId="2EA54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3AACEDD7">
            <w:pPr>
              <w:jc w:val="center"/>
              <w:rPr>
                <w:rFonts w:ascii="宋体" w:hAnsi="宋体"/>
                <w:bCs/>
                <w:color w:val="auto"/>
                <w:sz w:val="28"/>
                <w:szCs w:val="28"/>
                <w:highlight w:val="none"/>
              </w:rPr>
            </w:pPr>
            <w:r>
              <w:rPr>
                <w:rFonts w:ascii="宋体" w:hAnsi="宋体"/>
                <w:bCs/>
                <w:color w:val="auto"/>
                <w:sz w:val="28"/>
                <w:szCs w:val="28"/>
                <w:highlight w:val="none"/>
              </w:rPr>
              <w:t>投标报价</w:t>
            </w:r>
          </w:p>
        </w:tc>
        <w:tc>
          <w:tcPr>
            <w:tcW w:w="3651" w:type="dxa"/>
            <w:noWrap w:val="0"/>
            <w:vAlign w:val="center"/>
          </w:tcPr>
          <w:p w14:paraId="7ED6D899">
            <w:pPr>
              <w:jc w:val="center"/>
              <w:rPr>
                <w:rFonts w:ascii="宋体" w:hAnsi="宋体"/>
                <w:color w:val="auto"/>
                <w:sz w:val="28"/>
                <w:szCs w:val="28"/>
                <w:highlight w:val="none"/>
              </w:rPr>
            </w:pPr>
          </w:p>
        </w:tc>
      </w:tr>
      <w:tr w14:paraId="0BC55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3418D9FA">
            <w:pPr>
              <w:jc w:val="center"/>
              <w:rPr>
                <w:rFonts w:hint="eastAsia" w:ascii="宋体" w:hAnsi="宋体"/>
                <w:bCs/>
                <w:color w:val="auto"/>
                <w:sz w:val="28"/>
                <w:szCs w:val="28"/>
                <w:highlight w:val="none"/>
              </w:rPr>
            </w:pPr>
            <w:r>
              <w:rPr>
                <w:rFonts w:ascii="宋体" w:hAnsi="宋体"/>
                <w:bCs/>
                <w:color w:val="auto"/>
                <w:sz w:val="28"/>
                <w:szCs w:val="28"/>
                <w:highlight w:val="none"/>
              </w:rPr>
              <w:t>服务</w:t>
            </w:r>
            <w:r>
              <w:rPr>
                <w:rFonts w:hint="eastAsia" w:ascii="宋体" w:hAnsi="宋体"/>
                <w:bCs/>
                <w:color w:val="auto"/>
                <w:sz w:val="28"/>
                <w:szCs w:val="28"/>
                <w:highlight w:val="none"/>
              </w:rPr>
              <w:t>时间</w:t>
            </w:r>
          </w:p>
        </w:tc>
        <w:tc>
          <w:tcPr>
            <w:tcW w:w="3651" w:type="dxa"/>
            <w:noWrap w:val="0"/>
            <w:vAlign w:val="center"/>
          </w:tcPr>
          <w:p w14:paraId="5BAA09BD">
            <w:pPr>
              <w:jc w:val="center"/>
              <w:rPr>
                <w:rFonts w:ascii="宋体" w:hAnsi="宋体"/>
                <w:color w:val="auto"/>
                <w:sz w:val="28"/>
                <w:szCs w:val="28"/>
                <w:highlight w:val="none"/>
              </w:rPr>
            </w:pPr>
          </w:p>
        </w:tc>
      </w:tr>
    </w:tbl>
    <w:p w14:paraId="0BB94081">
      <w:pPr>
        <w:spacing w:line="360" w:lineRule="auto"/>
        <w:ind w:firstLine="480"/>
        <w:jc w:val="left"/>
        <w:rPr>
          <w:rFonts w:hint="eastAsia" w:ascii="宋体" w:hAnsi="宋体"/>
          <w:bCs/>
          <w:color w:val="auto"/>
          <w:sz w:val="24"/>
          <w:highlight w:val="none"/>
        </w:rPr>
      </w:pPr>
    </w:p>
    <w:p w14:paraId="0B6EB54E">
      <w:pPr>
        <w:spacing w:line="360" w:lineRule="auto"/>
        <w:ind w:firstLine="480"/>
        <w:jc w:val="left"/>
        <w:rPr>
          <w:rFonts w:hint="eastAsia" w:ascii="宋体" w:hAnsi="宋体"/>
          <w:bCs/>
          <w:color w:val="auto"/>
          <w:sz w:val="24"/>
          <w:highlight w:val="none"/>
        </w:rPr>
      </w:pPr>
    </w:p>
    <w:p w14:paraId="0958012E">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投标人（盖章）：</w:t>
      </w:r>
    </w:p>
    <w:p w14:paraId="6C8F9EA3">
      <w:pPr>
        <w:spacing w:line="360" w:lineRule="auto"/>
        <w:ind w:firstLine="480"/>
        <w:jc w:val="left"/>
        <w:rPr>
          <w:rFonts w:hint="eastAsia" w:ascii="宋体" w:hAnsi="宋体"/>
          <w:bCs/>
          <w:color w:val="auto"/>
          <w:sz w:val="24"/>
          <w:highlight w:val="none"/>
        </w:rPr>
      </w:pPr>
      <w:r>
        <w:rPr>
          <w:rFonts w:hint="eastAsia" w:ascii="宋体" w:hAnsi="宋体"/>
          <w:bCs/>
          <w:color w:val="auto"/>
          <w:sz w:val="24"/>
          <w:highlight w:val="none"/>
        </w:rPr>
        <w:t>法定代表人或委托代理人（签字或盖章）：</w:t>
      </w:r>
    </w:p>
    <w:p w14:paraId="3F61F0C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日期：    年     月     日</w:t>
      </w:r>
    </w:p>
    <w:p w14:paraId="2AE218F3">
      <w:pPr>
        <w:spacing w:line="360" w:lineRule="auto"/>
        <w:ind w:firstLine="480"/>
        <w:rPr>
          <w:rFonts w:ascii="宋体" w:hAnsi="宋体"/>
          <w:bCs/>
          <w:color w:val="auto"/>
          <w:sz w:val="24"/>
          <w:highlight w:val="none"/>
        </w:rPr>
      </w:pPr>
    </w:p>
    <w:p w14:paraId="4D400B06">
      <w:pPr>
        <w:pStyle w:val="191"/>
        <w:numPr>
          <w:ilvl w:val="0"/>
          <w:numId w:val="0"/>
        </w:numPr>
        <w:spacing w:before="0" w:after="0" w:line="240" w:lineRule="auto"/>
        <w:rPr>
          <w:rFonts w:hint="eastAsia" w:ascii="宋体" w:hAnsi="宋体"/>
          <w:b w:val="0"/>
          <w:color w:val="auto"/>
          <w:szCs w:val="21"/>
          <w:highlight w:val="none"/>
        </w:rPr>
      </w:pPr>
      <w:r>
        <w:rPr>
          <w:rFonts w:ascii="宋体" w:hAnsi="宋体"/>
          <w:bCs w:val="0"/>
          <w:color w:val="auto"/>
          <w:sz w:val="24"/>
          <w:highlight w:val="none"/>
        </w:rPr>
        <w:br w:type="page" w:clear="all"/>
      </w:r>
      <w:r>
        <w:rPr>
          <w:color w:val="auto"/>
          <w:sz w:val="24"/>
          <w:highlight w:val="none"/>
        </w:rPr>
        <w:t>格式</w:t>
      </w:r>
      <w:r>
        <w:rPr>
          <w:rFonts w:hint="eastAsia"/>
          <w:color w:val="auto"/>
          <w:sz w:val="24"/>
          <w:highlight w:val="none"/>
        </w:rPr>
        <w:t>3、详细报价书</w:t>
      </w:r>
    </w:p>
    <w:p w14:paraId="04939482">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详细报价书</w:t>
      </w:r>
    </w:p>
    <w:bookmarkEnd w:id="143"/>
    <w:bookmarkEnd w:id="144"/>
    <w:p w14:paraId="28D90A44">
      <w:pPr>
        <w:spacing w:line="400" w:lineRule="exact"/>
        <w:jc w:val="center"/>
        <w:rPr>
          <w:rFonts w:ascii="宋体" w:hAnsi="宋体"/>
          <w:b/>
          <w:color w:val="auto"/>
          <w:sz w:val="28"/>
          <w:szCs w:val="30"/>
          <w:highlight w:val="none"/>
        </w:rPr>
      </w:pPr>
      <w:r>
        <w:rPr>
          <w:rFonts w:hint="eastAsia" w:ascii="宋体" w:hAnsi="宋体"/>
          <w:color w:val="auto"/>
          <w:sz w:val="28"/>
          <w:highlight w:val="none"/>
        </w:rPr>
        <w:t>根据招标文件报价要求报价，格式自定</w:t>
      </w:r>
    </w:p>
    <w:tbl>
      <w:tblPr>
        <w:tblStyle w:val="260"/>
        <w:tblW w:w="106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325"/>
        <w:gridCol w:w="5536"/>
        <w:gridCol w:w="1652"/>
        <w:gridCol w:w="1311"/>
      </w:tblGrid>
      <w:tr w14:paraId="7EFE54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17680CA5">
            <w:pPr>
              <w:widowControl/>
              <w:spacing w:line="400" w:lineRule="exact"/>
              <w:ind w:right="105"/>
              <w:rPr>
                <w:rFonts w:hint="eastAsia"/>
                <w:b/>
                <w:bCs/>
                <w:color w:val="auto"/>
                <w:highlight w:val="none"/>
                <w:vertAlign w:val="baseline"/>
              </w:rPr>
            </w:pPr>
            <w:r>
              <w:rPr>
                <w:rFonts w:hint="eastAsia" w:ascii="宋体" w:hAnsi="宋体" w:eastAsia="宋体" w:cs="Times New Roman"/>
                <w:color w:val="auto"/>
                <w:sz w:val="24"/>
                <w:highlight w:val="none"/>
              </w:rPr>
              <w:t>序号</w:t>
            </w:r>
          </w:p>
        </w:tc>
        <w:tc>
          <w:tcPr>
            <w:tcW w:w="1325" w:type="dxa"/>
            <w:noWrap w:val="0"/>
            <w:vAlign w:val="center"/>
          </w:tcPr>
          <w:p w14:paraId="40FBA4EA">
            <w:pPr>
              <w:widowControl/>
              <w:spacing w:line="400" w:lineRule="exact"/>
              <w:ind w:right="105"/>
              <w:rPr>
                <w:rFonts w:hint="eastAsia"/>
                <w:b/>
                <w:bCs/>
                <w:color w:val="auto"/>
                <w:highlight w:val="none"/>
                <w:vertAlign w:val="baseline"/>
              </w:rPr>
            </w:pPr>
            <w:r>
              <w:rPr>
                <w:rFonts w:hint="eastAsia" w:ascii="宋体" w:hAnsi="宋体" w:eastAsia="宋体" w:cs="Times New Roman"/>
                <w:color w:val="auto"/>
                <w:sz w:val="24"/>
                <w:highlight w:val="none"/>
              </w:rPr>
              <w:t>项目名称</w:t>
            </w:r>
          </w:p>
        </w:tc>
        <w:tc>
          <w:tcPr>
            <w:tcW w:w="5536" w:type="dxa"/>
            <w:noWrap w:val="0"/>
            <w:vAlign w:val="center"/>
          </w:tcPr>
          <w:p w14:paraId="06D1B1FB">
            <w:pPr>
              <w:widowControl/>
              <w:spacing w:line="400" w:lineRule="exact"/>
              <w:ind w:right="105" w:firstLine="420"/>
              <w:rPr>
                <w:rFonts w:hint="eastAsia"/>
                <w:b/>
                <w:bCs/>
                <w:color w:val="auto"/>
                <w:highlight w:val="none"/>
                <w:vertAlign w:val="baseline"/>
              </w:rPr>
            </w:pPr>
            <w:r>
              <w:rPr>
                <w:rFonts w:hint="eastAsia" w:ascii="宋体" w:hAnsi="宋体" w:eastAsia="宋体" w:cs="Times New Roman"/>
                <w:color w:val="auto"/>
                <w:sz w:val="24"/>
                <w:highlight w:val="none"/>
              </w:rPr>
              <w:t>工作成果</w:t>
            </w:r>
          </w:p>
        </w:tc>
        <w:tc>
          <w:tcPr>
            <w:tcW w:w="1652" w:type="dxa"/>
            <w:noWrap w:val="0"/>
            <w:vAlign w:val="center"/>
          </w:tcPr>
          <w:p w14:paraId="4092FE6E">
            <w:pPr>
              <w:widowControl/>
              <w:spacing w:line="400" w:lineRule="exact"/>
              <w:ind w:right="105"/>
              <w:rPr>
                <w:rFonts w:hint="eastAsia"/>
                <w:b/>
                <w:bCs/>
                <w:color w:val="auto"/>
                <w:highlight w:val="none"/>
                <w:vertAlign w:val="baseline"/>
              </w:rPr>
            </w:pPr>
            <w:r>
              <w:rPr>
                <w:rFonts w:hint="eastAsia" w:ascii="宋体" w:hAnsi="宋体" w:eastAsia="宋体" w:cs="Times New Roman"/>
                <w:color w:val="auto"/>
                <w:sz w:val="24"/>
                <w:highlight w:val="none"/>
              </w:rPr>
              <w:t>开展频次</w:t>
            </w:r>
          </w:p>
        </w:tc>
        <w:tc>
          <w:tcPr>
            <w:tcW w:w="1311" w:type="dxa"/>
            <w:noWrap w:val="0"/>
            <w:vAlign w:val="center"/>
          </w:tcPr>
          <w:p w14:paraId="2E5F3A4D">
            <w:pPr>
              <w:widowControl/>
              <w:spacing w:line="400" w:lineRule="exact"/>
              <w:ind w:right="105"/>
              <w:jc w:val="left"/>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投标报价</w:t>
            </w:r>
          </w:p>
        </w:tc>
      </w:tr>
      <w:tr w14:paraId="3D00E6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9" w:type="dxa"/>
            <w:gridSpan w:val="5"/>
            <w:noWrap w:val="0"/>
            <w:vAlign w:val="top"/>
          </w:tcPr>
          <w:p w14:paraId="22BCDF23">
            <w:pPr>
              <w:pStyle w:val="298"/>
              <w:jc w:val="both"/>
              <w:rPr>
                <w:rFonts w:hint="eastAsia"/>
                <w:b/>
                <w:bCs/>
                <w:color w:val="auto"/>
                <w:highlight w:val="none"/>
                <w:vertAlign w:val="baseline"/>
              </w:rPr>
            </w:pPr>
            <w:r>
              <w:rPr>
                <w:rFonts w:hint="eastAsia" w:ascii="宋体" w:hAnsi="宋体" w:eastAsia="宋体" w:cs="Times New Roman"/>
                <w:color w:val="auto"/>
                <w:sz w:val="24"/>
                <w:highlight w:val="none"/>
              </w:rPr>
              <w:t>一、重点工作</w:t>
            </w:r>
          </w:p>
        </w:tc>
      </w:tr>
      <w:tr w14:paraId="1E2A2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1105DB64">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rPr>
              <w:t>1</w:t>
            </w:r>
          </w:p>
        </w:tc>
        <w:tc>
          <w:tcPr>
            <w:tcW w:w="1325" w:type="dxa"/>
            <w:noWrap w:val="0"/>
            <w:vAlign w:val="center"/>
          </w:tcPr>
          <w:p w14:paraId="5414A69B">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开展过程安全管理体系穿透式诊断提升</w:t>
            </w:r>
          </w:p>
        </w:tc>
        <w:tc>
          <w:tcPr>
            <w:tcW w:w="5536" w:type="dxa"/>
            <w:noWrap w:val="0"/>
            <w:vAlign w:val="center"/>
          </w:tcPr>
          <w:p w14:paraId="416552FD">
            <w:pPr>
              <w:widowControl/>
              <w:spacing w:line="400" w:lineRule="exact"/>
              <w:ind w:right="105"/>
              <w:rPr>
                <w:rFonts w:hint="eastAsia"/>
                <w:b/>
                <w:bCs/>
                <w:color w:val="auto"/>
                <w:highlight w:val="none"/>
                <w:vertAlign w:val="baseline"/>
              </w:rPr>
            </w:pPr>
            <w:r>
              <w:rPr>
                <w:rFonts w:ascii="Times New Roman" w:hAnsi="Times New Roman" w:eastAsia="宋体" w:cs="Times New Roman"/>
                <w:color w:val="auto"/>
                <w:sz w:val="24"/>
                <w:highlight w:val="none"/>
              </w:rPr>
              <w:t>对新区已投产危化品生产、仓储经营、使用企业开展过程安全管理体系穿透式诊断，形成诊断报告、问题清单和“一企一策”提升方案</w:t>
            </w:r>
            <w:r>
              <w:rPr>
                <w:rFonts w:hint="eastAsia" w:ascii="Times New Roman" w:hAnsi="Times New Roman" w:eastAsia="宋体" w:cs="Times New Roman"/>
                <w:color w:val="auto"/>
                <w:sz w:val="24"/>
                <w:highlight w:val="none"/>
                <w:lang w:eastAsia="zh-CN"/>
              </w:rPr>
              <w:t>，在</w:t>
            </w:r>
            <w:r>
              <w:rPr>
                <w:rFonts w:ascii="Times New Roman" w:hAnsi="Times New Roman" w:eastAsia="宋体" w:cs="Times New Roman"/>
                <w:color w:val="auto"/>
                <w:sz w:val="24"/>
                <w:highlight w:val="none"/>
              </w:rPr>
              <w:t>合同期内，对新区已投产危化品企业实现诊断全覆盖，并结合诊断情况对重点企业开展复核评估，推动整改措施落实落地。</w:t>
            </w:r>
            <w:r>
              <w:rPr>
                <w:rFonts w:hint="eastAsia" w:ascii="Times New Roman" w:hAnsi="Times New Roman" w:eastAsia="宋体" w:cs="Times New Roman"/>
                <w:color w:val="auto"/>
                <w:sz w:val="24"/>
                <w:highlight w:val="none"/>
                <w:lang w:val="en-US" w:eastAsia="zh-CN"/>
              </w:rPr>
              <w:t>对安全管理水平落后的企业，组织开展专项驻厂帮扶提升，补齐园区安全管理的短板。</w:t>
            </w:r>
            <w:r>
              <w:rPr>
                <w:rFonts w:ascii="Times New Roman" w:hAnsi="Times New Roman" w:eastAsia="宋体" w:cs="Times New Roman"/>
                <w:color w:val="auto"/>
                <w:sz w:val="24"/>
                <w:highlight w:val="none"/>
              </w:rPr>
              <w:t>结合企业基础条件和行业代表性，选择基础较好、示范带动作用较强的企业开展重点培育，推动形成一批过程安全管理体系建设示范企业。</w:t>
            </w:r>
          </w:p>
        </w:tc>
        <w:tc>
          <w:tcPr>
            <w:tcW w:w="1652" w:type="dxa"/>
            <w:noWrap w:val="0"/>
            <w:vAlign w:val="center"/>
          </w:tcPr>
          <w:p w14:paraId="2B6AFA73">
            <w:pPr>
              <w:pStyle w:val="259"/>
              <w:keepNext/>
              <w:keepLines w:val="0"/>
              <w:pageBreakBefore w:val="0"/>
              <w:widowControl w:val="0"/>
              <w:spacing w:after="0" w:line="400" w:lineRule="exact"/>
              <w:ind w:left="0" w:firstLine="0"/>
              <w:rPr>
                <w:rFonts w:hint="eastAsia"/>
                <w:b/>
                <w:bCs/>
                <w:color w:val="auto"/>
                <w:highlight w:val="none"/>
                <w:vertAlign w:val="baseline"/>
              </w:rPr>
            </w:pPr>
            <w:r>
              <w:rPr>
                <w:rFonts w:ascii="Times New Roman" w:hAnsi="Times New Roman" w:eastAsia="宋体" w:cs="Times New Roman"/>
                <w:color w:val="auto"/>
                <w:sz w:val="24"/>
                <w:szCs w:val="24"/>
                <w:highlight w:val="none"/>
              </w:rPr>
              <w:t>合同期内全覆盖，重点企业适时复核</w:t>
            </w:r>
            <w:r>
              <w:rPr>
                <w:rFonts w:ascii="Times New Roman" w:hAnsi="Times New Roman" w:eastAsia="宋体" w:cs="Times New Roman"/>
                <w:color w:val="auto"/>
                <w:sz w:val="24"/>
                <w:szCs w:val="24"/>
                <w:highlight w:val="none"/>
                <w:lang w:eastAsia="zh-CN"/>
              </w:rPr>
              <w:t>。</w:t>
            </w:r>
          </w:p>
        </w:tc>
        <w:tc>
          <w:tcPr>
            <w:tcW w:w="1311" w:type="dxa"/>
            <w:noWrap w:val="0"/>
            <w:vAlign w:val="center"/>
          </w:tcPr>
          <w:p w14:paraId="7087BCC2">
            <w:pPr>
              <w:widowControl/>
              <w:spacing w:line="400" w:lineRule="exact"/>
              <w:ind w:right="105" w:firstLine="420"/>
              <w:rPr>
                <w:b/>
                <w:bCs/>
                <w:color w:val="auto"/>
                <w:highlight w:val="none"/>
                <w:vertAlign w:val="baseline"/>
                <w:lang w:val="en-US"/>
              </w:rPr>
            </w:pPr>
          </w:p>
        </w:tc>
      </w:tr>
      <w:tr w14:paraId="17EDC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6522A3D7">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rPr>
              <w:t>2</w:t>
            </w:r>
          </w:p>
        </w:tc>
        <w:tc>
          <w:tcPr>
            <w:tcW w:w="1325" w:type="dxa"/>
            <w:noWrap w:val="0"/>
            <w:vAlign w:val="center"/>
          </w:tcPr>
          <w:p w14:paraId="0499870B">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开展HAZOP及本质安全专项诊断</w:t>
            </w:r>
          </w:p>
        </w:tc>
        <w:tc>
          <w:tcPr>
            <w:tcW w:w="5536" w:type="dxa"/>
            <w:noWrap w:val="0"/>
            <w:vAlign w:val="center"/>
          </w:tcPr>
          <w:p w14:paraId="1E37FCEE">
            <w:pPr>
              <w:pStyle w:val="259"/>
              <w:keepNext/>
              <w:keepLines w:val="0"/>
              <w:pageBreakBefore w:val="0"/>
              <w:widowControl w:val="0"/>
              <w:spacing w:after="0" w:line="400" w:lineRule="exact"/>
              <w:ind w:left="0" w:firstLine="0"/>
              <w:rPr>
                <w:rFonts w:hint="eastAsia"/>
                <w:b/>
                <w:bCs/>
                <w:color w:val="auto"/>
                <w:highlight w:val="none"/>
                <w:vertAlign w:val="baseline"/>
              </w:rPr>
            </w:pPr>
            <w:r>
              <w:rPr>
                <w:rFonts w:ascii="Times New Roman" w:hAnsi="Times New Roman" w:eastAsia="宋体" w:cs="Times New Roman"/>
                <w:color w:val="auto"/>
                <w:sz w:val="24"/>
                <w:szCs w:val="24"/>
                <w:highlight w:val="none"/>
              </w:rPr>
              <w:t>对重点监管工艺在役装置开展HAZOP分析报告质量、报警管理、联锁设置、自动化控制逻辑、工艺变更后风险再验证等专项诊断，形成专项诊断报告，指导企业完善报警联锁、自动控制和本质安全措施。</w:t>
            </w:r>
          </w:p>
        </w:tc>
        <w:tc>
          <w:tcPr>
            <w:tcW w:w="1652" w:type="dxa"/>
            <w:noWrap w:val="0"/>
            <w:vAlign w:val="center"/>
          </w:tcPr>
          <w:p w14:paraId="71C7693F">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每年抽取不少于园区装置总数20%的典型装置</w:t>
            </w:r>
            <w:r>
              <w:rPr>
                <w:rFonts w:ascii="Times New Roman" w:hAnsi="Times New Roman" w:eastAsia="宋体" w:cs="Times New Roman"/>
                <w:color w:val="auto"/>
                <w:sz w:val="24"/>
                <w:szCs w:val="24"/>
                <w:highlight w:val="none"/>
                <w:lang w:eastAsia="zh-CN"/>
              </w:rPr>
              <w:t>。</w:t>
            </w:r>
          </w:p>
        </w:tc>
        <w:tc>
          <w:tcPr>
            <w:tcW w:w="1311" w:type="dxa"/>
            <w:noWrap w:val="0"/>
            <w:vAlign w:val="center"/>
          </w:tcPr>
          <w:p w14:paraId="29533212">
            <w:pPr>
              <w:widowControl/>
              <w:spacing w:line="400" w:lineRule="exact"/>
              <w:ind w:right="105" w:firstLine="420"/>
              <w:rPr>
                <w:rFonts w:hint="eastAsia"/>
                <w:b/>
                <w:bCs/>
                <w:color w:val="auto"/>
                <w:highlight w:val="none"/>
                <w:vertAlign w:val="baseline"/>
              </w:rPr>
            </w:pPr>
          </w:p>
        </w:tc>
      </w:tr>
      <w:tr w14:paraId="3D77E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4A6E9A5E">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3</w:t>
            </w:r>
          </w:p>
        </w:tc>
        <w:tc>
          <w:tcPr>
            <w:tcW w:w="1325" w:type="dxa"/>
            <w:noWrap w:val="0"/>
            <w:vAlign w:val="center"/>
          </w:tcPr>
          <w:p w14:paraId="5C6D118D">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加强建设项目和重点环节源头风险防控</w:t>
            </w:r>
          </w:p>
        </w:tc>
        <w:tc>
          <w:tcPr>
            <w:tcW w:w="5536" w:type="dxa"/>
            <w:noWrap w:val="0"/>
            <w:vAlign w:val="center"/>
          </w:tcPr>
          <w:p w14:paraId="3D6C9F9C">
            <w:pPr>
              <w:pStyle w:val="259"/>
              <w:keepNext/>
              <w:keepLines w:val="0"/>
              <w:pageBreakBefore w:val="0"/>
              <w:widowControl w:val="0"/>
              <w:spacing w:after="0" w:line="400" w:lineRule="exact"/>
              <w:ind w:left="0" w:firstLine="0"/>
              <w:rPr>
                <w:rFonts w:hint="eastAsia"/>
                <w:b/>
                <w:bCs/>
                <w:color w:val="auto"/>
                <w:highlight w:val="none"/>
                <w:vertAlign w:val="baseline"/>
              </w:rPr>
            </w:pPr>
            <w:r>
              <w:rPr>
                <w:rFonts w:ascii="Times New Roman" w:hAnsi="Times New Roman" w:eastAsia="宋体" w:cs="Times New Roman"/>
                <w:color w:val="auto"/>
                <w:sz w:val="24"/>
                <w:szCs w:val="24"/>
                <w:highlight w:val="none"/>
              </w:rPr>
              <w:t>对拟入园项目及现有企业新建、改建、扩建项目开展安全准入技术咨询，审阅可研等资料并提出准入咨询意见；对试生产、复产复工、开停车、重大技改后恢复运行等关键环节开展指导服务，</w:t>
            </w:r>
            <w:r>
              <w:rPr>
                <w:rFonts w:ascii="Times New Roman" w:hAnsi="Times New Roman" w:eastAsia="宋体" w:cs="Times New Roman"/>
                <w:color w:val="auto"/>
                <w:sz w:val="24"/>
                <w:szCs w:val="24"/>
                <w:highlight w:val="none"/>
                <w:lang w:val="en-US" w:eastAsia="zh-CN"/>
              </w:rPr>
              <w:t>出具专家</w:t>
            </w:r>
            <w:r>
              <w:rPr>
                <w:rFonts w:hint="eastAsia" w:ascii="Times New Roman" w:hAnsi="Times New Roman" w:eastAsia="宋体" w:cs="Times New Roman"/>
                <w:color w:val="auto"/>
                <w:sz w:val="24"/>
                <w:szCs w:val="24"/>
                <w:highlight w:val="none"/>
                <w:lang w:val="en-US" w:eastAsia="zh-CN"/>
              </w:rPr>
              <w:t>论证</w:t>
            </w:r>
            <w:r>
              <w:rPr>
                <w:rFonts w:ascii="Times New Roman" w:hAnsi="Times New Roman" w:eastAsia="宋体" w:cs="Times New Roman"/>
                <w:color w:val="auto"/>
                <w:sz w:val="24"/>
                <w:szCs w:val="24"/>
                <w:highlight w:val="none"/>
                <w:lang w:val="en-US" w:eastAsia="zh-CN"/>
              </w:rPr>
              <w:t>意见，</w:t>
            </w:r>
            <w:r>
              <w:rPr>
                <w:rFonts w:ascii="Times New Roman" w:hAnsi="Times New Roman" w:eastAsia="宋体" w:cs="Times New Roman"/>
                <w:color w:val="auto"/>
                <w:sz w:val="24"/>
                <w:szCs w:val="24"/>
                <w:highlight w:val="none"/>
              </w:rPr>
              <w:t>形成风险管控建议清单并跟踪复核。</w:t>
            </w:r>
          </w:p>
        </w:tc>
        <w:tc>
          <w:tcPr>
            <w:tcW w:w="1652" w:type="dxa"/>
            <w:noWrap w:val="0"/>
            <w:vAlign w:val="center"/>
          </w:tcPr>
          <w:p w14:paraId="47FC2617">
            <w:pPr>
              <w:pStyle w:val="259"/>
              <w:keepNext/>
              <w:keepLines w:val="0"/>
              <w:pageBreakBefore w:val="0"/>
              <w:widowControl w:val="0"/>
              <w:spacing w:after="0" w:line="400" w:lineRule="exact"/>
              <w:ind w:left="0" w:firstLine="0"/>
              <w:rPr>
                <w:rFonts w:hint="eastAsia"/>
                <w:b/>
                <w:bCs/>
                <w:color w:val="auto"/>
                <w:highlight w:val="none"/>
                <w:vertAlign w:val="baseline"/>
              </w:rPr>
            </w:pPr>
            <w:r>
              <w:rPr>
                <w:rFonts w:ascii="Times New Roman" w:hAnsi="Times New Roman" w:eastAsia="宋体" w:cs="Times New Roman"/>
                <w:color w:val="auto"/>
                <w:sz w:val="24"/>
                <w:szCs w:val="24"/>
                <w:highlight w:val="none"/>
              </w:rPr>
              <w:t>根据项目进程及时开展</w:t>
            </w:r>
            <w:r>
              <w:rPr>
                <w:rFonts w:ascii="Times New Roman" w:hAnsi="Times New Roman" w:eastAsia="宋体" w:cs="Times New Roman"/>
                <w:color w:val="auto"/>
                <w:sz w:val="24"/>
                <w:szCs w:val="24"/>
                <w:highlight w:val="none"/>
                <w:lang w:eastAsia="zh-CN"/>
              </w:rPr>
              <w:t>。</w:t>
            </w:r>
          </w:p>
        </w:tc>
        <w:tc>
          <w:tcPr>
            <w:tcW w:w="1311" w:type="dxa"/>
            <w:noWrap w:val="0"/>
            <w:vAlign w:val="center"/>
          </w:tcPr>
          <w:p w14:paraId="61F25E1A">
            <w:pPr>
              <w:widowControl/>
              <w:spacing w:line="400" w:lineRule="exact"/>
              <w:ind w:right="105" w:firstLine="420"/>
              <w:rPr>
                <w:rFonts w:hint="eastAsia"/>
                <w:b/>
                <w:bCs/>
                <w:color w:val="auto"/>
                <w:highlight w:val="none"/>
                <w:vertAlign w:val="baseline"/>
              </w:rPr>
            </w:pPr>
          </w:p>
        </w:tc>
      </w:tr>
      <w:tr w14:paraId="5B615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3551A5A0">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4</w:t>
            </w:r>
          </w:p>
        </w:tc>
        <w:tc>
          <w:tcPr>
            <w:tcW w:w="1325" w:type="dxa"/>
            <w:noWrap w:val="0"/>
            <w:vAlign w:val="center"/>
          </w:tcPr>
          <w:p w14:paraId="393CB689">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深化智慧化监管场景建设和实战应用</w:t>
            </w:r>
          </w:p>
        </w:tc>
        <w:tc>
          <w:tcPr>
            <w:tcW w:w="5536" w:type="dxa"/>
            <w:noWrap w:val="0"/>
            <w:vAlign w:val="center"/>
          </w:tcPr>
          <w:p w14:paraId="7C6EAE98">
            <w:pPr>
              <w:pStyle w:val="259"/>
              <w:keepNext/>
              <w:keepLines w:val="0"/>
              <w:pageBreakBefore w:val="0"/>
              <w:widowControl w:val="0"/>
              <w:spacing w:after="0" w:line="400" w:lineRule="exact"/>
              <w:ind w:left="0" w:firstLine="0"/>
              <w:rPr>
                <w:rFonts w:hint="eastAsia"/>
                <w:b/>
                <w:bCs/>
                <w:color w:val="auto"/>
                <w:highlight w:val="none"/>
                <w:vertAlign w:val="baseline"/>
              </w:rPr>
            </w:pPr>
            <w:r>
              <w:rPr>
                <w:rFonts w:ascii="Times New Roman" w:hAnsi="Times New Roman" w:eastAsia="宋体" w:cs="Times New Roman"/>
                <w:color w:val="auto"/>
                <w:sz w:val="24"/>
                <w:szCs w:val="24"/>
                <w:highlight w:val="none"/>
              </w:rPr>
              <w:t>围绕关键设备运行监测、异常工况识别预警、特殊作业智慧化监管、承包商作业过程管控、重大危险源线上巡查、报警及联锁异常分析等，提出场景建设需求、模型优化建议和应用评估意见，形成智慧化监管优化报告</w:t>
            </w:r>
            <w:r>
              <w:rPr>
                <w:rFonts w:ascii="Times New Roman" w:hAnsi="Times New Roman" w:eastAsia="宋体" w:cs="Times New Roman"/>
                <w:color w:val="auto"/>
                <w:sz w:val="24"/>
                <w:szCs w:val="24"/>
                <w:highlight w:val="none"/>
                <w:lang w:eastAsia="zh-CN"/>
              </w:rPr>
              <w:t>。</w:t>
            </w:r>
          </w:p>
        </w:tc>
        <w:tc>
          <w:tcPr>
            <w:tcW w:w="1652" w:type="dxa"/>
            <w:noWrap w:val="0"/>
            <w:vAlign w:val="center"/>
          </w:tcPr>
          <w:p w14:paraId="11E6937A">
            <w:pPr>
              <w:pStyle w:val="259"/>
              <w:keepNext/>
              <w:keepLines w:val="0"/>
              <w:pageBreakBefore w:val="0"/>
              <w:widowControl w:val="0"/>
              <w:spacing w:after="0" w:line="400" w:lineRule="exact"/>
              <w:ind w:left="0" w:firstLine="0"/>
              <w:rPr>
                <w:rFonts w:hint="eastAsia"/>
                <w:b/>
                <w:bCs/>
                <w:color w:val="auto"/>
                <w:highlight w:val="none"/>
                <w:vertAlign w:val="baseline"/>
              </w:rPr>
            </w:pPr>
            <w:r>
              <w:rPr>
                <w:rFonts w:ascii="Times New Roman" w:hAnsi="Times New Roman" w:eastAsia="宋体" w:cs="Times New Roman"/>
                <w:color w:val="auto"/>
                <w:sz w:val="24"/>
                <w:szCs w:val="24"/>
                <w:highlight w:val="none"/>
              </w:rPr>
              <w:t>适时开展，每年至少形成</w:t>
            </w:r>
            <w:r>
              <w:rPr>
                <w:rFonts w:ascii="Times New Roman" w:hAnsi="Times New Roman" w:eastAsia="宋体" w:cs="Times New Roman"/>
                <w:color w:val="auto"/>
                <w:sz w:val="24"/>
                <w:szCs w:val="24"/>
                <w:highlight w:val="none"/>
                <w:lang w:val="en-US" w:eastAsia="zh-CN"/>
              </w:rPr>
              <w:t>1</w:t>
            </w:r>
            <w:r>
              <w:rPr>
                <w:rFonts w:ascii="Times New Roman" w:hAnsi="Times New Roman" w:eastAsia="宋体" w:cs="Times New Roman"/>
                <w:color w:val="auto"/>
                <w:sz w:val="24"/>
                <w:szCs w:val="24"/>
                <w:highlight w:val="none"/>
              </w:rPr>
              <w:t>份专题成果</w:t>
            </w:r>
            <w:r>
              <w:rPr>
                <w:rFonts w:ascii="Times New Roman" w:hAnsi="Times New Roman" w:eastAsia="宋体" w:cs="Times New Roman"/>
                <w:color w:val="auto"/>
                <w:sz w:val="24"/>
                <w:szCs w:val="24"/>
                <w:highlight w:val="none"/>
                <w:lang w:eastAsia="zh-CN"/>
              </w:rPr>
              <w:t>。</w:t>
            </w:r>
          </w:p>
        </w:tc>
        <w:tc>
          <w:tcPr>
            <w:tcW w:w="1311" w:type="dxa"/>
            <w:noWrap w:val="0"/>
            <w:vAlign w:val="center"/>
          </w:tcPr>
          <w:p w14:paraId="09A8A71B">
            <w:pPr>
              <w:widowControl/>
              <w:spacing w:line="400" w:lineRule="exact"/>
              <w:ind w:right="105" w:firstLine="420"/>
              <w:rPr>
                <w:rFonts w:hint="eastAsia"/>
                <w:b/>
                <w:bCs/>
                <w:color w:val="auto"/>
                <w:highlight w:val="none"/>
                <w:vertAlign w:val="baseline"/>
              </w:rPr>
            </w:pPr>
          </w:p>
        </w:tc>
      </w:tr>
      <w:tr w14:paraId="28597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9" w:type="dxa"/>
            <w:gridSpan w:val="5"/>
            <w:noWrap w:val="0"/>
            <w:vAlign w:val="top"/>
          </w:tcPr>
          <w:p w14:paraId="653308A8">
            <w:pPr>
              <w:pStyle w:val="298"/>
              <w:jc w:val="both"/>
              <w:rPr>
                <w:rFonts w:hint="eastAsia"/>
                <w:b/>
                <w:bCs/>
                <w:color w:val="auto"/>
                <w:highlight w:val="none"/>
                <w:vertAlign w:val="baseline"/>
              </w:rPr>
            </w:pPr>
            <w:r>
              <w:rPr>
                <w:rFonts w:hint="eastAsia" w:ascii="宋体" w:hAnsi="宋体" w:eastAsia="宋体" w:cs="Times New Roman"/>
                <w:color w:val="auto"/>
                <w:sz w:val="24"/>
                <w:highlight w:val="none"/>
              </w:rPr>
              <w:t>二、常规工作</w:t>
            </w:r>
          </w:p>
        </w:tc>
      </w:tr>
      <w:tr w14:paraId="29680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60E0084B">
            <w:pPr>
              <w:widowControl/>
              <w:spacing w:line="400" w:lineRule="exact"/>
              <w:ind w:right="105"/>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序号</w:t>
            </w:r>
          </w:p>
        </w:tc>
        <w:tc>
          <w:tcPr>
            <w:tcW w:w="1325" w:type="dxa"/>
            <w:noWrap w:val="0"/>
            <w:vAlign w:val="center"/>
          </w:tcPr>
          <w:p w14:paraId="67A35B8C">
            <w:pPr>
              <w:widowControl/>
              <w:spacing w:line="400" w:lineRule="exact"/>
              <w:ind w:right="105"/>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项目名称</w:t>
            </w:r>
          </w:p>
        </w:tc>
        <w:tc>
          <w:tcPr>
            <w:tcW w:w="5536" w:type="dxa"/>
            <w:noWrap w:val="0"/>
            <w:vAlign w:val="center"/>
          </w:tcPr>
          <w:p w14:paraId="466B2897">
            <w:pPr>
              <w:widowControl/>
              <w:spacing w:line="400" w:lineRule="exact"/>
              <w:ind w:right="105"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工作成果</w:t>
            </w:r>
          </w:p>
        </w:tc>
        <w:tc>
          <w:tcPr>
            <w:tcW w:w="1652" w:type="dxa"/>
            <w:noWrap w:val="0"/>
            <w:vAlign w:val="center"/>
          </w:tcPr>
          <w:p w14:paraId="18E32B7D">
            <w:pPr>
              <w:widowControl/>
              <w:spacing w:line="400" w:lineRule="exact"/>
              <w:ind w:right="105"/>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开展频次</w:t>
            </w:r>
          </w:p>
        </w:tc>
        <w:tc>
          <w:tcPr>
            <w:tcW w:w="1311" w:type="dxa"/>
            <w:noWrap w:val="0"/>
            <w:vAlign w:val="center"/>
          </w:tcPr>
          <w:p w14:paraId="445415E5">
            <w:pPr>
              <w:widowControl/>
              <w:spacing w:line="400" w:lineRule="exact"/>
              <w:ind w:right="105"/>
              <w:rPr>
                <w:rFonts w:hint="eastAsia"/>
                <w:b/>
                <w:bCs/>
                <w:color w:val="auto"/>
                <w:highlight w:val="none"/>
                <w:vertAlign w:val="baseline"/>
              </w:rPr>
            </w:pPr>
            <w:r>
              <w:rPr>
                <w:rFonts w:hint="eastAsia" w:ascii="宋体" w:hAnsi="宋体" w:eastAsia="宋体" w:cs="Times New Roman"/>
                <w:color w:val="auto"/>
                <w:sz w:val="24"/>
                <w:highlight w:val="none"/>
                <w:lang w:val="en-US" w:eastAsia="zh-CN"/>
              </w:rPr>
              <w:t>投标报价</w:t>
            </w:r>
          </w:p>
        </w:tc>
      </w:tr>
      <w:tr w14:paraId="18F15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78858800">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rPr>
              <w:t>1</w:t>
            </w:r>
          </w:p>
        </w:tc>
        <w:tc>
          <w:tcPr>
            <w:tcW w:w="1325" w:type="dxa"/>
            <w:noWrap w:val="0"/>
            <w:vAlign w:val="center"/>
          </w:tcPr>
          <w:p w14:paraId="503A8FB8">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专家团队长期驻点坐班</w:t>
            </w:r>
          </w:p>
        </w:tc>
        <w:tc>
          <w:tcPr>
            <w:tcW w:w="5536" w:type="dxa"/>
            <w:noWrap w:val="0"/>
            <w:vAlign w:val="center"/>
          </w:tcPr>
          <w:p w14:paraId="4B93EE90">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日常</w:t>
            </w:r>
            <w:r>
              <w:rPr>
                <w:rFonts w:ascii="Times New Roman" w:hAnsi="Times New Roman" w:eastAsia="宋体" w:cs="Times New Roman"/>
                <w:color w:val="auto"/>
                <w:sz w:val="24"/>
                <w:szCs w:val="24"/>
                <w:highlight w:val="none"/>
              </w:rPr>
              <w:t>安排不少于5人的专家团队常驻，专业涵盖化工安全管理、工艺、设备、电气、仪表、消防等领域；明确1名项目负责人，按月形成工作总结、问题清单、风险提示和下步安排；根据需要调配专家开展专项支撑。</w:t>
            </w:r>
          </w:p>
        </w:tc>
        <w:tc>
          <w:tcPr>
            <w:tcW w:w="1652" w:type="dxa"/>
            <w:noWrap w:val="0"/>
            <w:vAlign w:val="center"/>
          </w:tcPr>
          <w:p w14:paraId="49F6B1D4">
            <w:pPr>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rPr>
              <w:t>全周期驻点</w:t>
            </w:r>
            <w:r>
              <w:rPr>
                <w:rFonts w:ascii="Times New Roman" w:hAnsi="Times New Roman" w:eastAsia="宋体" w:cs="Times New Roman"/>
                <w:color w:val="auto"/>
                <w:sz w:val="24"/>
                <w:szCs w:val="24"/>
                <w:highlight w:val="none"/>
                <w:lang w:eastAsia="zh-CN"/>
              </w:rPr>
              <w:t>。</w:t>
            </w:r>
          </w:p>
        </w:tc>
        <w:tc>
          <w:tcPr>
            <w:tcW w:w="1311" w:type="dxa"/>
            <w:vMerge w:val="restart"/>
            <w:noWrap w:val="0"/>
            <w:vAlign w:val="center"/>
          </w:tcPr>
          <w:p w14:paraId="07411D8F">
            <w:pPr>
              <w:keepNext/>
              <w:keepLines w:val="0"/>
              <w:pageBreakBefore w:val="0"/>
              <w:widowControl w:val="0"/>
              <w:spacing w:line="400" w:lineRule="exact"/>
              <w:ind w:left="0" w:firstLine="211"/>
              <w:rPr>
                <w:rFonts w:hint="eastAsia"/>
                <w:b/>
                <w:bCs/>
                <w:color w:val="auto"/>
                <w:highlight w:val="none"/>
                <w:vertAlign w:val="baseline"/>
              </w:rPr>
            </w:pPr>
          </w:p>
        </w:tc>
      </w:tr>
      <w:tr w14:paraId="07FEE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7DC93F4B">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rPr>
              <w:t>2</w:t>
            </w:r>
          </w:p>
        </w:tc>
        <w:tc>
          <w:tcPr>
            <w:tcW w:w="1325" w:type="dxa"/>
            <w:noWrap w:val="0"/>
            <w:vAlign w:val="center"/>
          </w:tcPr>
          <w:p w14:paraId="081E4A66">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深化重点领域专项治理</w:t>
            </w:r>
          </w:p>
        </w:tc>
        <w:tc>
          <w:tcPr>
            <w:tcW w:w="5536" w:type="dxa"/>
            <w:noWrap w:val="0"/>
            <w:vAlign w:val="center"/>
          </w:tcPr>
          <w:p w14:paraId="3D2330EE">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围绕重大事故隐患、高危细分领域、特殊作业、承包商管理、设备带“病”运行、异常工况、屡查屡犯问题等，每月至少选择1项重点专题开展专项排查或“回头看”，形成专项检查方案、检查报告、整改建议和复核意见。</w:t>
            </w:r>
          </w:p>
        </w:tc>
        <w:tc>
          <w:tcPr>
            <w:tcW w:w="1652" w:type="dxa"/>
            <w:noWrap w:val="0"/>
            <w:vAlign w:val="center"/>
          </w:tcPr>
          <w:p w14:paraId="708C8091">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每月至少1项专题</w:t>
            </w:r>
            <w:r>
              <w:rPr>
                <w:rFonts w:ascii="Times New Roman" w:hAnsi="Times New Roman" w:eastAsia="宋体" w:cs="Times New Roman"/>
                <w:color w:val="auto"/>
                <w:sz w:val="24"/>
                <w:szCs w:val="24"/>
                <w:highlight w:val="none"/>
                <w:lang w:eastAsia="zh-CN"/>
              </w:rPr>
              <w:t>。</w:t>
            </w:r>
          </w:p>
        </w:tc>
        <w:tc>
          <w:tcPr>
            <w:tcW w:w="1311" w:type="dxa"/>
            <w:vMerge w:val="continue"/>
            <w:noWrap w:val="0"/>
            <w:vAlign w:val="center"/>
          </w:tcPr>
          <w:p w14:paraId="309EC4E4">
            <w:pPr>
              <w:keepNext/>
              <w:keepLines w:val="0"/>
              <w:pageBreakBefore w:val="0"/>
              <w:widowControl w:val="0"/>
              <w:spacing w:line="400" w:lineRule="exact"/>
              <w:ind w:left="0"/>
              <w:jc w:val="center"/>
              <w:rPr>
                <w:rFonts w:hint="eastAsia"/>
                <w:b/>
                <w:bCs/>
                <w:color w:val="auto"/>
                <w:highlight w:val="none"/>
                <w:vertAlign w:val="baseline"/>
              </w:rPr>
            </w:pPr>
          </w:p>
        </w:tc>
      </w:tr>
      <w:tr w14:paraId="662FF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722802F6">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3</w:t>
            </w:r>
          </w:p>
        </w:tc>
        <w:tc>
          <w:tcPr>
            <w:tcW w:w="1325" w:type="dxa"/>
            <w:noWrap w:val="0"/>
            <w:vAlign w:val="center"/>
          </w:tcPr>
          <w:p w14:paraId="4436007C">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开展“三警”服务支撑</w:t>
            </w:r>
          </w:p>
        </w:tc>
        <w:tc>
          <w:tcPr>
            <w:tcW w:w="5536" w:type="dxa"/>
            <w:noWrap w:val="0"/>
            <w:vAlign w:val="center"/>
          </w:tcPr>
          <w:p w14:paraId="12B18889">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围绕警醒、警戒、警示“三警”机制，及时开展外地事故信息收集研判，形成警醒提示；根据研判情况制定排查重点和检查指南，支撑开展警戒性排查检查；围绕典型事故、异常事件、未遂事件、非计划停车、报警联锁异常等形成警示案例、复盘分析和专题材料。</w:t>
            </w:r>
          </w:p>
        </w:tc>
        <w:tc>
          <w:tcPr>
            <w:tcW w:w="1652" w:type="dxa"/>
            <w:noWrap w:val="0"/>
            <w:vAlign w:val="center"/>
          </w:tcPr>
          <w:p w14:paraId="4F30A5FB">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根据需要及时开展。</w:t>
            </w:r>
          </w:p>
        </w:tc>
        <w:tc>
          <w:tcPr>
            <w:tcW w:w="1311" w:type="dxa"/>
            <w:vMerge w:val="continue"/>
            <w:noWrap w:val="0"/>
            <w:vAlign w:val="center"/>
          </w:tcPr>
          <w:p w14:paraId="12EC7A6C">
            <w:pPr>
              <w:keepNext/>
              <w:keepLines w:val="0"/>
              <w:pageBreakBefore w:val="0"/>
              <w:widowControl w:val="0"/>
              <w:spacing w:line="400" w:lineRule="exact"/>
              <w:ind w:left="0"/>
              <w:jc w:val="center"/>
              <w:rPr>
                <w:rFonts w:hint="eastAsia"/>
                <w:b/>
                <w:bCs/>
                <w:color w:val="auto"/>
                <w:highlight w:val="none"/>
                <w:vertAlign w:val="baseline"/>
              </w:rPr>
            </w:pPr>
          </w:p>
        </w:tc>
      </w:tr>
      <w:tr w14:paraId="67F9D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551FAC0F">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4</w:t>
            </w:r>
          </w:p>
        </w:tc>
        <w:tc>
          <w:tcPr>
            <w:tcW w:w="1325" w:type="dxa"/>
            <w:noWrap w:val="0"/>
            <w:vAlign w:val="center"/>
          </w:tcPr>
          <w:p w14:paraId="4FB46E74">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常规安全检查技术支撑</w:t>
            </w:r>
          </w:p>
        </w:tc>
        <w:tc>
          <w:tcPr>
            <w:tcW w:w="5536" w:type="dxa"/>
            <w:noWrap w:val="0"/>
            <w:vAlign w:val="center"/>
          </w:tcPr>
          <w:p w14:paraId="53C96055">
            <w:pPr>
              <w:keepNext/>
              <w:keepLines w:val="0"/>
              <w:pageBreakBefore w:val="0"/>
              <w:widowControl w:val="0"/>
              <w:numPr>
                <w:ilvl w:val="0"/>
                <w:numId w:val="0"/>
              </w:numPr>
              <w:spacing w:line="400" w:lineRule="exact"/>
              <w:ind w:left="0" w:firstLine="0"/>
              <w:rPr>
                <w:rFonts w:hint="eastAsia"/>
                <w:b/>
                <w:bCs/>
                <w:color w:val="auto"/>
                <w:highlight w:val="none"/>
                <w:vertAlign w:val="baseline"/>
              </w:rPr>
            </w:pPr>
            <w:r>
              <w:rPr>
                <w:rFonts w:ascii="Times New Roman" w:hAnsi="Times New Roman" w:eastAsia="宋体" w:cs="Times New Roman"/>
                <w:color w:val="auto"/>
                <w:sz w:val="24"/>
                <w:szCs w:val="24"/>
                <w:highlight w:val="none"/>
              </w:rPr>
              <w:t>配合新区开展年度执法检查、安全许可换证现场核查、专项督导、临时性检查巡查等工作；配合对部、省、市及新区交办问题隐患整改情况进行复核，提出专业意见。</w:t>
            </w:r>
          </w:p>
        </w:tc>
        <w:tc>
          <w:tcPr>
            <w:tcW w:w="1652" w:type="dxa"/>
            <w:noWrap w:val="0"/>
            <w:vAlign w:val="center"/>
          </w:tcPr>
          <w:p w14:paraId="090C710F">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根据需要及时开展</w:t>
            </w:r>
            <w:r>
              <w:rPr>
                <w:rFonts w:ascii="Times New Roman" w:hAnsi="Times New Roman" w:eastAsia="宋体" w:cs="Times New Roman"/>
                <w:color w:val="auto"/>
                <w:sz w:val="24"/>
                <w:szCs w:val="24"/>
                <w:highlight w:val="none"/>
                <w:lang w:eastAsia="zh-CN"/>
              </w:rPr>
              <w:t>。</w:t>
            </w:r>
          </w:p>
        </w:tc>
        <w:tc>
          <w:tcPr>
            <w:tcW w:w="1311" w:type="dxa"/>
            <w:vMerge w:val="continue"/>
            <w:noWrap w:val="0"/>
            <w:vAlign w:val="center"/>
          </w:tcPr>
          <w:p w14:paraId="12739514">
            <w:pPr>
              <w:keepNext/>
              <w:keepLines w:val="0"/>
              <w:pageBreakBefore w:val="0"/>
              <w:widowControl w:val="0"/>
              <w:spacing w:line="400" w:lineRule="exact"/>
              <w:ind w:left="0"/>
              <w:jc w:val="center"/>
              <w:rPr>
                <w:rFonts w:hint="eastAsia"/>
                <w:b/>
                <w:bCs/>
                <w:color w:val="auto"/>
                <w:highlight w:val="none"/>
                <w:vertAlign w:val="baseline"/>
              </w:rPr>
            </w:pPr>
          </w:p>
        </w:tc>
      </w:tr>
      <w:tr w14:paraId="2D93B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04312AC5">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5</w:t>
            </w:r>
          </w:p>
        </w:tc>
        <w:tc>
          <w:tcPr>
            <w:tcW w:w="1325" w:type="dxa"/>
            <w:noWrap w:val="0"/>
            <w:vAlign w:val="center"/>
          </w:tcPr>
          <w:p w14:paraId="4EAAEDB1">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安全风险形势分析研判</w:t>
            </w:r>
          </w:p>
        </w:tc>
        <w:tc>
          <w:tcPr>
            <w:tcW w:w="5536" w:type="dxa"/>
            <w:noWrap w:val="0"/>
            <w:vAlign w:val="center"/>
          </w:tcPr>
          <w:p w14:paraId="33BA10C0">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每季度形成1份园区安全风险形势分析研判报告；每半年形成1份危化品企业安全运行分析报告</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rPr>
              <w:t>提出共性问题和整改建议。</w:t>
            </w:r>
          </w:p>
        </w:tc>
        <w:tc>
          <w:tcPr>
            <w:tcW w:w="1652" w:type="dxa"/>
            <w:noWrap w:val="0"/>
            <w:vAlign w:val="center"/>
          </w:tcPr>
          <w:p w14:paraId="4820ECA6">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季度1次；半年1次</w:t>
            </w:r>
            <w:r>
              <w:rPr>
                <w:rFonts w:ascii="Times New Roman" w:hAnsi="Times New Roman" w:eastAsia="宋体" w:cs="Times New Roman"/>
                <w:color w:val="auto"/>
                <w:sz w:val="24"/>
                <w:szCs w:val="24"/>
                <w:highlight w:val="none"/>
                <w:lang w:eastAsia="zh-CN"/>
              </w:rPr>
              <w:t>。</w:t>
            </w:r>
          </w:p>
        </w:tc>
        <w:tc>
          <w:tcPr>
            <w:tcW w:w="1311" w:type="dxa"/>
            <w:vMerge w:val="continue"/>
            <w:noWrap w:val="0"/>
            <w:vAlign w:val="center"/>
          </w:tcPr>
          <w:p w14:paraId="627E3B99">
            <w:pPr>
              <w:keepNext/>
              <w:keepLines w:val="0"/>
              <w:pageBreakBefore w:val="0"/>
              <w:widowControl w:val="0"/>
              <w:spacing w:line="400" w:lineRule="exact"/>
              <w:ind w:left="0"/>
              <w:jc w:val="center"/>
              <w:rPr>
                <w:rFonts w:hint="eastAsia"/>
                <w:b/>
                <w:bCs/>
                <w:color w:val="auto"/>
                <w:highlight w:val="none"/>
                <w:vertAlign w:val="baseline"/>
              </w:rPr>
            </w:pPr>
          </w:p>
        </w:tc>
      </w:tr>
      <w:tr w14:paraId="5D5A7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79065D44">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6</w:t>
            </w:r>
          </w:p>
        </w:tc>
        <w:tc>
          <w:tcPr>
            <w:tcW w:w="1325" w:type="dxa"/>
            <w:noWrap w:val="0"/>
            <w:vAlign w:val="center"/>
          </w:tcPr>
          <w:p w14:paraId="4174AACB">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指导开展应急演练和应急能力提升</w:t>
            </w:r>
          </w:p>
        </w:tc>
        <w:tc>
          <w:tcPr>
            <w:tcW w:w="5536" w:type="dxa"/>
            <w:noWrap w:val="0"/>
            <w:vAlign w:val="center"/>
          </w:tcPr>
          <w:p w14:paraId="4DC6DDE0">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指导新区每年开展不少于1次双盲应急演练和其他综合性、专项性应急演练；参与对危化品企业双盲应急演练的现场评估，形成问题清单、评估意见和改进建议。根据园区需要</w:t>
            </w:r>
            <w:r>
              <w:rPr>
                <w:rFonts w:hint="eastAsia" w:ascii="Times New Roman" w:hAnsi="Times New Roman" w:eastAsia="宋体" w:cs="Times New Roman"/>
                <w:color w:val="auto"/>
                <w:sz w:val="24"/>
                <w:szCs w:val="24"/>
                <w:highlight w:val="none"/>
                <w:lang w:val="en-US" w:eastAsia="zh-CN"/>
              </w:rPr>
              <w:t>，</w:t>
            </w:r>
            <w:r>
              <w:rPr>
                <w:rFonts w:ascii="Times New Roman" w:hAnsi="Times New Roman" w:eastAsia="宋体" w:cs="Times New Roman"/>
                <w:color w:val="auto"/>
                <w:sz w:val="24"/>
                <w:szCs w:val="24"/>
                <w:highlight w:val="none"/>
                <w:lang w:val="en-US" w:eastAsia="zh-CN"/>
              </w:rPr>
              <w:t>每年组织应急救援方面专家开展园区应急物资和应急能力</w:t>
            </w:r>
            <w:r>
              <w:rPr>
                <w:rFonts w:hint="eastAsia" w:ascii="Times New Roman" w:hAnsi="Times New Roman" w:eastAsia="宋体" w:cs="Times New Roman"/>
                <w:color w:val="auto"/>
                <w:sz w:val="24"/>
                <w:szCs w:val="24"/>
                <w:highlight w:val="none"/>
                <w:lang w:val="en-US" w:eastAsia="zh-CN"/>
              </w:rPr>
              <w:t>检查和</w:t>
            </w:r>
            <w:r>
              <w:rPr>
                <w:rFonts w:ascii="Times New Roman" w:hAnsi="Times New Roman" w:eastAsia="宋体" w:cs="Times New Roman"/>
                <w:color w:val="auto"/>
                <w:sz w:val="24"/>
                <w:szCs w:val="24"/>
                <w:highlight w:val="none"/>
                <w:lang w:val="en-US" w:eastAsia="zh-CN"/>
              </w:rPr>
              <w:t>评估。</w:t>
            </w:r>
          </w:p>
        </w:tc>
        <w:tc>
          <w:tcPr>
            <w:tcW w:w="1652" w:type="dxa"/>
            <w:noWrap w:val="0"/>
            <w:vAlign w:val="center"/>
          </w:tcPr>
          <w:p w14:paraId="7D39AC91">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园区双盲演练每年</w:t>
            </w:r>
            <w:r>
              <w:rPr>
                <w:rFonts w:ascii="Times New Roman" w:hAnsi="Times New Roman" w:eastAsia="宋体" w:cs="Times New Roman"/>
                <w:color w:val="auto"/>
                <w:sz w:val="24"/>
                <w:szCs w:val="24"/>
                <w:highlight w:val="none"/>
                <w:lang w:val="en-US" w:eastAsia="zh-CN"/>
              </w:rPr>
              <w:t>≥</w:t>
            </w:r>
            <w:r>
              <w:rPr>
                <w:rFonts w:ascii="Times New Roman" w:hAnsi="Times New Roman" w:eastAsia="宋体" w:cs="Times New Roman"/>
                <w:color w:val="auto"/>
                <w:sz w:val="24"/>
                <w:szCs w:val="24"/>
                <w:highlight w:val="none"/>
              </w:rPr>
              <w:t>1次；企业双盲演练评估</w:t>
            </w:r>
            <w:r>
              <w:rPr>
                <w:rFonts w:ascii="Times New Roman" w:hAnsi="Times New Roman" w:eastAsia="宋体" w:cs="Times New Roman"/>
                <w:color w:val="auto"/>
                <w:sz w:val="24"/>
                <w:szCs w:val="24"/>
                <w:highlight w:val="none"/>
                <w:lang w:val="en-US" w:eastAsia="zh-CN"/>
              </w:rPr>
              <w:t>按</w:t>
            </w:r>
            <w:r>
              <w:rPr>
                <w:rFonts w:ascii="Times New Roman" w:hAnsi="Times New Roman" w:eastAsia="宋体" w:cs="Times New Roman"/>
                <w:color w:val="auto"/>
                <w:sz w:val="24"/>
                <w:szCs w:val="24"/>
                <w:highlight w:val="none"/>
              </w:rPr>
              <w:t>需开展</w:t>
            </w:r>
            <w:r>
              <w:rPr>
                <w:rFonts w:ascii="Times New Roman" w:hAnsi="Times New Roman" w:eastAsia="宋体" w:cs="Times New Roman"/>
                <w:color w:val="auto"/>
                <w:sz w:val="24"/>
                <w:szCs w:val="24"/>
                <w:highlight w:val="none"/>
                <w:lang w:eastAsia="zh-CN"/>
              </w:rPr>
              <w:t>。</w:t>
            </w:r>
          </w:p>
        </w:tc>
        <w:tc>
          <w:tcPr>
            <w:tcW w:w="1311" w:type="dxa"/>
            <w:vMerge w:val="continue"/>
            <w:noWrap w:val="0"/>
            <w:vAlign w:val="center"/>
          </w:tcPr>
          <w:p w14:paraId="0E708F13">
            <w:pPr>
              <w:keepNext/>
              <w:keepLines w:val="0"/>
              <w:pageBreakBefore w:val="0"/>
              <w:widowControl w:val="0"/>
              <w:spacing w:line="400" w:lineRule="exact"/>
              <w:ind w:left="0"/>
              <w:jc w:val="center"/>
              <w:rPr>
                <w:rFonts w:hint="eastAsia"/>
                <w:b/>
                <w:bCs/>
                <w:color w:val="auto"/>
                <w:highlight w:val="none"/>
                <w:vertAlign w:val="baseline"/>
              </w:rPr>
            </w:pPr>
          </w:p>
        </w:tc>
      </w:tr>
      <w:tr w14:paraId="4164D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45D6DDF2">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7</w:t>
            </w:r>
          </w:p>
        </w:tc>
        <w:tc>
          <w:tcPr>
            <w:tcW w:w="1325" w:type="dxa"/>
            <w:noWrap w:val="0"/>
            <w:vAlign w:val="center"/>
          </w:tcPr>
          <w:p w14:paraId="48892543">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开展培训交流和本土化专家队伍培养</w:t>
            </w:r>
          </w:p>
        </w:tc>
        <w:tc>
          <w:tcPr>
            <w:tcW w:w="5536" w:type="dxa"/>
            <w:noWrap w:val="0"/>
            <w:vAlign w:val="center"/>
          </w:tcPr>
          <w:p w14:paraId="2F0B1B1A">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每年组织不少于5次</w:t>
            </w:r>
            <w:r>
              <w:rPr>
                <w:rFonts w:ascii="Times New Roman" w:hAnsi="Times New Roman" w:eastAsia="宋体" w:cs="Times New Roman"/>
                <w:color w:val="auto"/>
                <w:sz w:val="24"/>
                <w:szCs w:val="24"/>
                <w:highlight w:val="none"/>
                <w:lang w:val="en-US" w:eastAsia="zh-CN"/>
              </w:rPr>
              <w:t>综合</w:t>
            </w:r>
            <w:r>
              <w:rPr>
                <w:rFonts w:ascii="Times New Roman" w:hAnsi="Times New Roman" w:eastAsia="宋体" w:cs="Times New Roman"/>
                <w:color w:val="auto"/>
                <w:sz w:val="24"/>
                <w:szCs w:val="24"/>
                <w:highlight w:val="none"/>
              </w:rPr>
              <w:t>培训</w:t>
            </w:r>
            <w:r>
              <w:rPr>
                <w:rFonts w:ascii="Times New Roman" w:hAnsi="Times New Roman" w:eastAsia="宋体" w:cs="Times New Roman"/>
                <w:color w:val="auto"/>
                <w:sz w:val="24"/>
                <w:szCs w:val="24"/>
                <w:highlight w:val="none"/>
                <w:lang w:eastAsia="zh-CN"/>
              </w:rPr>
              <w:t>；</w:t>
            </w:r>
            <w:r>
              <w:rPr>
                <w:rFonts w:ascii="Times New Roman" w:hAnsi="Times New Roman" w:eastAsia="宋体" w:cs="Times New Roman"/>
                <w:color w:val="auto"/>
                <w:sz w:val="24"/>
                <w:szCs w:val="24"/>
                <w:highlight w:val="none"/>
                <w:lang w:val="en-US" w:eastAsia="zh-CN"/>
              </w:rPr>
              <w:t>每家企业至少开展1次差异化培训</w:t>
            </w:r>
            <w:r>
              <w:rPr>
                <w:rFonts w:ascii="Times New Roman" w:hAnsi="Times New Roman" w:eastAsia="宋体" w:cs="Times New Roman"/>
                <w:color w:val="auto"/>
                <w:sz w:val="24"/>
                <w:szCs w:val="24"/>
                <w:highlight w:val="none"/>
              </w:rPr>
              <w:t>；通过联合检查、案例复盘、专题研讨、驻点跟学等方式，帮助企业培养本土化专家骨干；每半年收集汇编国内先进园区和标杆企业典型经验做法，形成专题资料。</w:t>
            </w:r>
            <w:r>
              <w:rPr>
                <w:rFonts w:ascii="Times New Roman" w:hAnsi="Times New Roman" w:eastAsia="宋体" w:cs="Times New Roman"/>
                <w:color w:val="auto"/>
                <w:sz w:val="24"/>
                <w:szCs w:val="24"/>
                <w:highlight w:val="none"/>
                <w:lang w:val="en-US" w:eastAsia="zh-CN" w:bidi="ar-SA"/>
              </w:rPr>
              <w:t>深化监管人员传帮带培养，提升监管人员</w:t>
            </w:r>
            <w:r>
              <w:rPr>
                <w:rFonts w:hint="eastAsia" w:ascii="Times New Roman" w:hAnsi="Times New Roman" w:eastAsia="宋体" w:cs="Times New Roman"/>
                <w:color w:val="auto"/>
                <w:sz w:val="24"/>
                <w:szCs w:val="24"/>
                <w:highlight w:val="none"/>
                <w:lang w:val="en-US" w:eastAsia="zh-CN" w:bidi="ar-SA"/>
              </w:rPr>
              <w:t>安全监管</w:t>
            </w:r>
            <w:r>
              <w:rPr>
                <w:rFonts w:ascii="Times New Roman" w:hAnsi="Times New Roman" w:eastAsia="宋体" w:cs="Times New Roman"/>
                <w:color w:val="auto"/>
                <w:sz w:val="24"/>
                <w:szCs w:val="24"/>
                <w:highlight w:val="none"/>
                <w:lang w:val="en-US" w:eastAsia="zh-CN" w:bidi="ar-SA"/>
              </w:rPr>
              <w:t>专业履职水平。</w:t>
            </w:r>
          </w:p>
        </w:tc>
        <w:tc>
          <w:tcPr>
            <w:tcW w:w="1652" w:type="dxa"/>
            <w:noWrap w:val="0"/>
            <w:vAlign w:val="center"/>
          </w:tcPr>
          <w:p w14:paraId="32CE01A4">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培训不少于5次/年；汇编1次/半年</w:t>
            </w:r>
            <w:r>
              <w:rPr>
                <w:rFonts w:ascii="Times New Roman" w:hAnsi="Times New Roman" w:eastAsia="宋体" w:cs="Times New Roman"/>
                <w:color w:val="auto"/>
                <w:sz w:val="24"/>
                <w:szCs w:val="24"/>
                <w:highlight w:val="none"/>
                <w:lang w:eastAsia="zh-CN"/>
              </w:rPr>
              <w:t>。</w:t>
            </w:r>
          </w:p>
        </w:tc>
        <w:tc>
          <w:tcPr>
            <w:tcW w:w="1311" w:type="dxa"/>
            <w:vMerge w:val="continue"/>
            <w:noWrap w:val="0"/>
            <w:vAlign w:val="center"/>
          </w:tcPr>
          <w:p w14:paraId="5F85F8A8">
            <w:pPr>
              <w:keepNext/>
              <w:keepLines w:val="0"/>
              <w:pageBreakBefore w:val="0"/>
              <w:widowControl w:val="0"/>
              <w:spacing w:line="400" w:lineRule="exact"/>
              <w:ind w:left="0"/>
              <w:jc w:val="center"/>
              <w:rPr>
                <w:rFonts w:hint="eastAsia"/>
                <w:b/>
                <w:bCs/>
                <w:color w:val="auto"/>
                <w:highlight w:val="none"/>
                <w:vertAlign w:val="baseline"/>
              </w:rPr>
            </w:pPr>
          </w:p>
        </w:tc>
      </w:tr>
      <w:tr w14:paraId="5B471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0076CE7F">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8</w:t>
            </w:r>
          </w:p>
        </w:tc>
        <w:tc>
          <w:tcPr>
            <w:tcW w:w="1325" w:type="dxa"/>
            <w:noWrap w:val="0"/>
            <w:vAlign w:val="center"/>
          </w:tcPr>
          <w:p w14:paraId="36F3C28B">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协助开展日常值守和重点时段值班值守</w:t>
            </w:r>
          </w:p>
        </w:tc>
        <w:tc>
          <w:tcPr>
            <w:tcW w:w="5536" w:type="dxa"/>
            <w:noWrap w:val="0"/>
            <w:vAlign w:val="center"/>
          </w:tcPr>
          <w:p w14:paraId="78D41A62">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应安排不少于2名专业技术人员在岗值班值守，参与园区每日安全运行信息研判、重点风险提醒、突发情况会商和现场技术支撑。在法定节假日、恶劣天气、重大活动、装置集中检维修等重点时段，配合招标人安排专家在岗值守或备勤，协助新区开展重点时段安全巡查，做好突发事件应急处置准备。</w:t>
            </w:r>
          </w:p>
        </w:tc>
        <w:tc>
          <w:tcPr>
            <w:tcW w:w="1652" w:type="dxa"/>
            <w:noWrap w:val="0"/>
            <w:vAlign w:val="center"/>
          </w:tcPr>
          <w:p w14:paraId="731F78E0">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根据需要及时开展</w:t>
            </w:r>
            <w:r>
              <w:rPr>
                <w:rFonts w:ascii="Times New Roman" w:hAnsi="Times New Roman" w:eastAsia="宋体" w:cs="Times New Roman"/>
                <w:color w:val="auto"/>
                <w:sz w:val="24"/>
                <w:szCs w:val="24"/>
                <w:highlight w:val="none"/>
                <w:lang w:eastAsia="zh-CN"/>
              </w:rPr>
              <w:t>。</w:t>
            </w:r>
          </w:p>
        </w:tc>
        <w:tc>
          <w:tcPr>
            <w:tcW w:w="1311" w:type="dxa"/>
            <w:vMerge w:val="continue"/>
            <w:noWrap w:val="0"/>
            <w:vAlign w:val="center"/>
          </w:tcPr>
          <w:p w14:paraId="26731F8C">
            <w:pPr>
              <w:keepNext/>
              <w:keepLines w:val="0"/>
              <w:pageBreakBefore w:val="0"/>
              <w:widowControl w:val="0"/>
              <w:spacing w:line="400" w:lineRule="exact"/>
              <w:ind w:left="0"/>
              <w:jc w:val="center"/>
              <w:rPr>
                <w:rFonts w:hint="eastAsia"/>
                <w:b/>
                <w:bCs/>
                <w:color w:val="auto"/>
                <w:highlight w:val="none"/>
                <w:vertAlign w:val="baseline"/>
              </w:rPr>
            </w:pPr>
          </w:p>
        </w:tc>
      </w:tr>
      <w:tr w14:paraId="59662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32D4DADC">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9</w:t>
            </w:r>
          </w:p>
        </w:tc>
        <w:tc>
          <w:tcPr>
            <w:tcW w:w="1325" w:type="dxa"/>
            <w:noWrap w:val="0"/>
            <w:vAlign w:val="center"/>
          </w:tcPr>
          <w:p w14:paraId="3A670718">
            <w:pPr>
              <w:pStyle w:val="298"/>
              <w:keepNext/>
              <w:keepLines w:val="0"/>
              <w:pageBreakBefore w:val="0"/>
              <w:widowControl w:val="0"/>
              <w:spacing w:line="400" w:lineRule="exact"/>
              <w:ind w:left="0"/>
              <w:jc w:val="both"/>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bidi="ar-SA"/>
              </w:rPr>
              <w:t>开展园区层面安全治理机制研究和综合支撑</w:t>
            </w:r>
          </w:p>
        </w:tc>
        <w:tc>
          <w:tcPr>
            <w:tcW w:w="5536" w:type="dxa"/>
            <w:noWrap w:val="0"/>
            <w:vAlign w:val="center"/>
          </w:tcPr>
          <w:p w14:paraId="5E2D27BE">
            <w:pPr>
              <w:keepNext w:val="0"/>
              <w:keepLines w:val="0"/>
              <w:pageBreakBefore w:val="0"/>
              <w:widowControl w:val="0"/>
              <w:spacing w:line="400" w:lineRule="exact"/>
              <w:outlineLvl w:val="9"/>
              <w:rPr>
                <w:rFonts w:hint="eastAsia"/>
                <w:b/>
                <w:bCs/>
                <w:color w:val="auto"/>
                <w:highlight w:val="none"/>
                <w:vertAlign w:val="baseline"/>
              </w:rPr>
            </w:pPr>
            <w:r>
              <w:rPr>
                <w:rFonts w:ascii="Times New Roman" w:hAnsi="Times New Roman" w:eastAsia="宋体" w:cs="Times New Roman"/>
                <w:color w:val="auto"/>
                <w:sz w:val="24"/>
                <w:szCs w:val="24"/>
                <w:highlight w:val="none"/>
                <w:lang w:val="en-US" w:eastAsia="zh-CN"/>
              </w:rPr>
              <w:t>围绕园区层面安全管理事项，协助开展专题研究、机制评估和制度优化，形成专题报告、典型案例等成果；围绕过程安全管理、重点领域专项治理等工作，及时总结提炼成熟做法，形成机制性成果。</w:t>
            </w:r>
            <w:r>
              <w:rPr>
                <w:rFonts w:hint="eastAsia" w:ascii="Times New Roman" w:hAnsi="Times New Roman" w:eastAsia="宋体" w:cs="Times New Roman"/>
                <w:color w:val="auto"/>
                <w:sz w:val="24"/>
                <w:szCs w:val="24"/>
                <w:highlight w:val="none"/>
                <w:lang w:val="en-US" w:eastAsia="zh-CN"/>
              </w:rPr>
              <w:t>组织不少于</w:t>
            </w:r>
            <w:r>
              <w:rPr>
                <w:rFonts w:ascii="Times New Roman" w:hAnsi="Times New Roman" w:eastAsia="宋体" w:cs="Times New Roman"/>
                <w:color w:val="auto"/>
                <w:sz w:val="24"/>
                <w:szCs w:val="24"/>
                <w:highlight w:val="none"/>
                <w:lang w:val="en-US" w:eastAsia="zh-CN"/>
              </w:rPr>
              <w:t>5名</w:t>
            </w:r>
            <w:r>
              <w:rPr>
                <w:rFonts w:hint="eastAsia" w:ascii="Times New Roman" w:hAnsi="Times New Roman" w:eastAsia="宋体" w:cs="Times New Roman"/>
                <w:color w:val="auto"/>
                <w:sz w:val="24"/>
                <w:szCs w:val="24"/>
                <w:highlight w:val="none"/>
                <w:lang w:val="en-US" w:eastAsia="zh-CN"/>
              </w:rPr>
              <w:t>专家，每年对新区石化产业基地开展风险等级评估，专家应参加过省级及以上化工园区评估。</w:t>
            </w:r>
          </w:p>
        </w:tc>
        <w:tc>
          <w:tcPr>
            <w:tcW w:w="1652" w:type="dxa"/>
            <w:noWrap w:val="0"/>
            <w:vAlign w:val="center"/>
          </w:tcPr>
          <w:p w14:paraId="7A752974">
            <w:pPr>
              <w:keepNext/>
              <w:keepLines w:val="0"/>
              <w:pageBreakBefore w:val="0"/>
              <w:widowControl w:val="0"/>
              <w:spacing w:line="400" w:lineRule="exact"/>
              <w:ind w:left="0"/>
              <w:rPr>
                <w:rFonts w:hint="eastAsia"/>
                <w:b/>
                <w:bCs/>
                <w:color w:val="auto"/>
                <w:highlight w:val="none"/>
                <w:vertAlign w:val="baseline"/>
              </w:rPr>
            </w:pPr>
            <w:r>
              <w:rPr>
                <w:rFonts w:ascii="Times New Roman" w:hAnsi="Times New Roman" w:eastAsia="宋体" w:cs="Times New Roman"/>
                <w:color w:val="auto"/>
                <w:sz w:val="24"/>
                <w:szCs w:val="24"/>
                <w:highlight w:val="none"/>
              </w:rPr>
              <w:t>根据</w:t>
            </w:r>
            <w:r>
              <w:rPr>
                <w:rFonts w:ascii="Times New Roman" w:hAnsi="Times New Roman" w:eastAsia="宋体" w:cs="Times New Roman"/>
                <w:color w:val="auto"/>
                <w:sz w:val="24"/>
                <w:szCs w:val="24"/>
                <w:highlight w:val="none"/>
                <w:lang w:val="en-US" w:eastAsia="zh-CN"/>
              </w:rPr>
              <w:t>工作安排</w:t>
            </w:r>
            <w:r>
              <w:rPr>
                <w:rFonts w:ascii="Times New Roman" w:hAnsi="Times New Roman" w:eastAsia="宋体" w:cs="Times New Roman"/>
                <w:color w:val="auto"/>
                <w:sz w:val="24"/>
                <w:szCs w:val="24"/>
                <w:highlight w:val="none"/>
              </w:rPr>
              <w:t>开展</w:t>
            </w:r>
            <w:r>
              <w:rPr>
                <w:rFonts w:ascii="Times New Roman" w:hAnsi="Times New Roman" w:eastAsia="宋体" w:cs="Times New Roman"/>
                <w:color w:val="auto"/>
                <w:sz w:val="24"/>
                <w:szCs w:val="24"/>
                <w:highlight w:val="none"/>
                <w:lang w:eastAsia="zh-CN"/>
              </w:rPr>
              <w:t>。</w:t>
            </w:r>
          </w:p>
        </w:tc>
        <w:tc>
          <w:tcPr>
            <w:tcW w:w="1311" w:type="dxa"/>
            <w:vMerge w:val="continue"/>
            <w:noWrap w:val="0"/>
            <w:vAlign w:val="center"/>
          </w:tcPr>
          <w:p w14:paraId="67F20D12">
            <w:pPr>
              <w:keepNext/>
              <w:keepLines w:val="0"/>
              <w:pageBreakBefore w:val="0"/>
              <w:widowControl w:val="0"/>
              <w:spacing w:line="400" w:lineRule="exact"/>
              <w:ind w:left="0"/>
              <w:jc w:val="center"/>
              <w:rPr>
                <w:rFonts w:hint="eastAsia"/>
                <w:b/>
                <w:bCs/>
                <w:color w:val="auto"/>
                <w:highlight w:val="none"/>
                <w:vertAlign w:val="baseline"/>
              </w:rPr>
            </w:pPr>
          </w:p>
        </w:tc>
      </w:tr>
      <w:tr w14:paraId="2858C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0669" w:type="dxa"/>
            <w:gridSpan w:val="5"/>
            <w:noWrap w:val="0"/>
            <w:vAlign w:val="center"/>
          </w:tcPr>
          <w:p w14:paraId="2EDDC8D4">
            <w:pPr>
              <w:keepNext/>
              <w:keepLines w:val="0"/>
              <w:pageBreakBefore w:val="0"/>
              <w:widowControl w:val="0"/>
              <w:spacing w:line="400" w:lineRule="exact"/>
              <w:ind w:left="0"/>
              <w:jc w:val="left"/>
              <w:rPr>
                <w:rFonts w:hint="eastAsia" w:eastAsia="宋体"/>
                <w:b/>
                <w:bCs/>
                <w:color w:val="auto"/>
                <w:highlight w:val="none"/>
                <w:vertAlign w:val="baseline"/>
                <w:lang w:eastAsia="zh-CN"/>
              </w:rPr>
            </w:pPr>
            <w:r>
              <w:rPr>
                <w:rFonts w:hint="eastAsia" w:ascii="宋体" w:hAnsi="宋体" w:eastAsia="宋体" w:cs="Times New Roman"/>
                <w:color w:val="auto"/>
                <w:sz w:val="24"/>
                <w:highlight w:val="none"/>
                <w:lang w:val="en-US" w:eastAsia="zh-CN"/>
              </w:rPr>
              <w:t>三</w:t>
            </w:r>
            <w:r>
              <w:rPr>
                <w:rFonts w:hint="eastAsia" w:ascii="宋体" w:hAnsi="宋体" w:eastAsia="宋体" w:cs="Times New Roman"/>
                <w:color w:val="auto"/>
                <w:sz w:val="24"/>
                <w:highlight w:val="none"/>
              </w:rPr>
              <w:t>、</w:t>
            </w:r>
            <w:r>
              <w:rPr>
                <w:rFonts w:hint="eastAsia" w:ascii="宋体" w:hAnsi="宋体" w:eastAsia="宋体" w:cs="Times New Roman"/>
                <w:color w:val="auto"/>
                <w:sz w:val="24"/>
                <w:highlight w:val="none"/>
                <w:lang w:val="en-US" w:eastAsia="zh-CN"/>
              </w:rPr>
              <w:t>保障机制</w:t>
            </w:r>
          </w:p>
        </w:tc>
      </w:tr>
      <w:tr w14:paraId="40AA3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33D4BD5C">
            <w:pPr>
              <w:keepNext/>
              <w:keepLines w:val="0"/>
              <w:pageBreakBefore w:val="0"/>
              <w:widowControl w:val="0"/>
              <w:spacing w:line="400" w:lineRule="exact"/>
              <w:ind w:left="0"/>
              <w:jc w:val="center"/>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1</w:t>
            </w:r>
          </w:p>
        </w:tc>
        <w:tc>
          <w:tcPr>
            <w:tcW w:w="1325" w:type="dxa"/>
            <w:noWrap w:val="0"/>
            <w:vAlign w:val="center"/>
          </w:tcPr>
          <w:p w14:paraId="2731314C">
            <w:pPr>
              <w:pStyle w:val="298"/>
              <w:keepNext/>
              <w:keepLines w:val="0"/>
              <w:pageBreakBefore w:val="0"/>
              <w:widowControl w:val="0"/>
              <w:spacing w:line="400" w:lineRule="exact"/>
              <w:ind w:left="0"/>
              <w:jc w:val="both"/>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专家出行与现场服务保障</w:t>
            </w:r>
          </w:p>
        </w:tc>
        <w:tc>
          <w:tcPr>
            <w:tcW w:w="5536" w:type="dxa"/>
            <w:noWrap w:val="0"/>
            <w:vAlign w:val="center"/>
          </w:tcPr>
          <w:p w14:paraId="098D4FEE">
            <w:pPr>
              <w:keepNext/>
              <w:keepLines w:val="0"/>
              <w:pageBreakBefore w:val="0"/>
              <w:widowControl w:val="0"/>
              <w:spacing w:line="400" w:lineRule="exact"/>
              <w:ind w:left="0"/>
              <w:jc w:val="left"/>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第三方服务单位应配备满足项目需要的车辆和现场服务保障条件，确保项目相关人员日常出行、夜间值守、突发情况下现场支撑及时到位。</w:t>
            </w:r>
          </w:p>
        </w:tc>
        <w:tc>
          <w:tcPr>
            <w:tcW w:w="1652" w:type="dxa"/>
            <w:noWrap w:val="0"/>
            <w:vAlign w:val="center"/>
          </w:tcPr>
          <w:p w14:paraId="671BE751">
            <w:pPr>
              <w:keepNext/>
              <w:keepLines w:val="0"/>
              <w:pageBreakBefore w:val="0"/>
              <w:widowControl w:val="0"/>
              <w:spacing w:line="400" w:lineRule="exact"/>
              <w:ind w:left="0"/>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全周期保障</w:t>
            </w:r>
            <w:r>
              <w:rPr>
                <w:rFonts w:ascii="Times New Roman" w:hAnsi="Times New Roman" w:eastAsia="宋体" w:cs="Times New Roman"/>
                <w:color w:val="auto"/>
                <w:sz w:val="24"/>
                <w:szCs w:val="24"/>
                <w:highlight w:val="none"/>
                <w:lang w:eastAsia="zh-CN"/>
              </w:rPr>
              <w:t>。</w:t>
            </w:r>
          </w:p>
        </w:tc>
        <w:tc>
          <w:tcPr>
            <w:tcW w:w="1311" w:type="dxa"/>
            <w:noWrap w:val="0"/>
            <w:vAlign w:val="center"/>
          </w:tcPr>
          <w:p w14:paraId="5C22DA48">
            <w:pPr>
              <w:keepNext/>
              <w:keepLines w:val="0"/>
              <w:pageBreakBefore w:val="0"/>
              <w:widowControl w:val="0"/>
              <w:spacing w:line="400" w:lineRule="exact"/>
              <w:ind w:left="0"/>
              <w:jc w:val="center"/>
              <w:rPr>
                <w:rFonts w:hint="eastAsia"/>
                <w:b/>
                <w:bCs/>
                <w:color w:val="auto"/>
                <w:highlight w:val="none"/>
                <w:vertAlign w:val="baseline"/>
              </w:rPr>
            </w:pPr>
          </w:p>
        </w:tc>
      </w:tr>
      <w:tr w14:paraId="2282A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45" w:type="dxa"/>
            <w:noWrap w:val="0"/>
            <w:vAlign w:val="center"/>
          </w:tcPr>
          <w:p w14:paraId="5E8B0132">
            <w:pPr>
              <w:keepNext/>
              <w:keepLines w:val="0"/>
              <w:pageBreakBefore w:val="0"/>
              <w:widowControl w:val="0"/>
              <w:spacing w:line="400" w:lineRule="exact"/>
              <w:ind w:left="0"/>
              <w:jc w:val="center"/>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val="en-US" w:eastAsia="zh-CN"/>
              </w:rPr>
              <w:t>2</w:t>
            </w:r>
          </w:p>
        </w:tc>
        <w:tc>
          <w:tcPr>
            <w:tcW w:w="1325" w:type="dxa"/>
            <w:noWrap w:val="0"/>
            <w:vAlign w:val="center"/>
          </w:tcPr>
          <w:p w14:paraId="03910B41">
            <w:pPr>
              <w:pStyle w:val="298"/>
              <w:keepNext/>
              <w:keepLines w:val="0"/>
              <w:pageBreakBefore w:val="0"/>
              <w:widowControl w:val="0"/>
              <w:spacing w:line="400" w:lineRule="exact"/>
              <w:ind w:left="0"/>
              <w:jc w:val="both"/>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服务质量考核</w:t>
            </w:r>
          </w:p>
        </w:tc>
        <w:tc>
          <w:tcPr>
            <w:tcW w:w="5536" w:type="dxa"/>
            <w:noWrap w:val="0"/>
            <w:vAlign w:val="center"/>
          </w:tcPr>
          <w:p w14:paraId="0D674150">
            <w:pPr>
              <w:keepNext/>
              <w:keepLines w:val="0"/>
              <w:pageBreakBefore w:val="0"/>
              <w:widowControl w:val="0"/>
              <w:spacing w:line="400" w:lineRule="exact"/>
              <w:ind w:left="0"/>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合同期内，被指导、排查企业无亡人事故发生。</w:t>
            </w:r>
          </w:p>
        </w:tc>
        <w:tc>
          <w:tcPr>
            <w:tcW w:w="1652" w:type="dxa"/>
            <w:noWrap w:val="0"/>
            <w:vAlign w:val="center"/>
          </w:tcPr>
          <w:p w14:paraId="17C65FE8">
            <w:pPr>
              <w:keepNext/>
              <w:keepLines w:val="0"/>
              <w:pageBreakBefore w:val="0"/>
              <w:widowControl w:val="0"/>
              <w:spacing w:line="400" w:lineRule="exact"/>
              <w:ind w:left="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按年度考核</w:t>
            </w:r>
          </w:p>
        </w:tc>
        <w:tc>
          <w:tcPr>
            <w:tcW w:w="1311" w:type="dxa"/>
            <w:noWrap w:val="0"/>
            <w:vAlign w:val="center"/>
          </w:tcPr>
          <w:p w14:paraId="2DCD54EA">
            <w:pPr>
              <w:keepNext/>
              <w:keepLines w:val="0"/>
              <w:pageBreakBefore w:val="0"/>
              <w:widowControl w:val="0"/>
              <w:spacing w:line="400" w:lineRule="exact"/>
              <w:ind w:left="0"/>
              <w:jc w:val="center"/>
              <w:rPr>
                <w:rFonts w:hint="eastAsia"/>
                <w:b/>
                <w:bCs/>
                <w:color w:val="auto"/>
                <w:highlight w:val="none"/>
                <w:vertAlign w:val="baseline"/>
              </w:rPr>
            </w:pPr>
            <w:r>
              <w:rPr>
                <w:rFonts w:ascii="Times New Roman" w:hAnsi="Times New Roman" w:eastAsia="宋体" w:cs="Times New Roman"/>
                <w:color w:val="auto"/>
                <w:sz w:val="24"/>
                <w:szCs w:val="24"/>
                <w:highlight w:val="none"/>
              </w:rPr>
              <w:t>50</w:t>
            </w:r>
          </w:p>
        </w:tc>
      </w:tr>
      <w:tr w14:paraId="0EB42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5" w:hRule="atLeast"/>
          <w:jc w:val="center"/>
        </w:trPr>
        <w:tc>
          <w:tcPr>
            <w:tcW w:w="9358" w:type="dxa"/>
            <w:gridSpan w:val="4"/>
            <w:noWrap w:val="0"/>
            <w:vAlign w:val="center"/>
          </w:tcPr>
          <w:p w14:paraId="6241903D">
            <w:pPr>
              <w:widowControl/>
              <w:spacing w:line="400" w:lineRule="exact"/>
              <w:ind w:right="105"/>
              <w:jc w:val="center"/>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合计（每年</w:t>
            </w:r>
            <w:r>
              <w:rPr>
                <w:rFonts w:ascii="Times New Roman" w:hAnsi="Times New Roman" w:eastAsia="宋体" w:cs="Times New Roman"/>
                <w:color w:val="auto"/>
                <w:sz w:val="24"/>
                <w:szCs w:val="24"/>
                <w:highlight w:val="none"/>
              </w:rPr>
              <w:t>费用</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单位万元</w:t>
            </w:r>
            <w:r>
              <w:rPr>
                <w:rFonts w:hint="eastAsia" w:ascii="宋体" w:hAnsi="宋体" w:eastAsia="宋体" w:cs="Times New Roman"/>
                <w:color w:val="auto"/>
                <w:sz w:val="24"/>
                <w:highlight w:val="none"/>
                <w:lang w:val="en-US" w:eastAsia="zh-CN"/>
              </w:rPr>
              <w:t>）</w:t>
            </w:r>
          </w:p>
        </w:tc>
        <w:tc>
          <w:tcPr>
            <w:tcW w:w="1311" w:type="dxa"/>
            <w:noWrap w:val="0"/>
            <w:vAlign w:val="center"/>
          </w:tcPr>
          <w:p w14:paraId="3BCBAD58">
            <w:pPr>
              <w:pStyle w:val="298"/>
              <w:jc w:val="center"/>
              <w:rPr>
                <w:rFonts w:hint="eastAsia" w:ascii="宋体" w:hAnsi="宋体" w:eastAsia="宋体" w:cs="Times New Roman"/>
                <w:color w:val="auto"/>
                <w:sz w:val="24"/>
                <w:highlight w:val="none"/>
                <w:lang w:val="en-US" w:eastAsia="zh-CN"/>
              </w:rPr>
            </w:pPr>
          </w:p>
        </w:tc>
      </w:tr>
    </w:tbl>
    <w:p w14:paraId="391BA742">
      <w:pPr>
        <w:pStyle w:val="191"/>
        <w:numPr>
          <w:ilvl w:val="0"/>
          <w:numId w:val="0"/>
        </w:numPr>
        <w:spacing w:before="0" w:after="0" w:line="240" w:lineRule="auto"/>
        <w:rPr>
          <w:rFonts w:hint="eastAsia"/>
          <w:color w:val="auto"/>
          <w:highlight w:val="none"/>
        </w:rPr>
      </w:pPr>
      <w:r>
        <w:rPr>
          <w:color w:val="auto"/>
          <w:sz w:val="24"/>
          <w:highlight w:val="none"/>
        </w:rPr>
        <w:br w:type="page" w:clear="all"/>
      </w:r>
      <w:r>
        <w:rPr>
          <w:color w:val="auto"/>
          <w:sz w:val="24"/>
          <w:highlight w:val="none"/>
        </w:rPr>
        <w:t>格式</w:t>
      </w:r>
      <w:r>
        <w:rPr>
          <w:rFonts w:hint="eastAsia"/>
          <w:color w:val="auto"/>
          <w:sz w:val="24"/>
          <w:highlight w:val="none"/>
        </w:rPr>
        <w:t>4、中小企业声明函</w:t>
      </w:r>
    </w:p>
    <w:p w14:paraId="6F7747F9">
      <w:pPr>
        <w:spacing w:before="312" w:after="312"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中小企业声明函</w:t>
      </w:r>
    </w:p>
    <w:p w14:paraId="4455D43B">
      <w:pPr>
        <w:spacing w:line="360" w:lineRule="auto"/>
        <w:ind w:firstLine="480"/>
        <w:rPr>
          <w:rFonts w:ascii="宋体" w:hAnsi="宋体"/>
          <w:color w:val="auto"/>
          <w:sz w:val="24"/>
          <w:highlight w:val="none"/>
        </w:rPr>
      </w:pPr>
      <w:r>
        <w:rPr>
          <w:rFonts w:ascii="宋体" w:hAnsi="宋体"/>
          <w:color w:val="auto"/>
          <w:sz w:val="24"/>
          <w:highlight w:val="none"/>
        </w:rPr>
        <w:t>本公司郑重声明，根据《政府采购促进中小企业发展管理办法》（财库﹝2020﹞46号）的规定，本公司参加</w:t>
      </w:r>
      <w:r>
        <w:rPr>
          <w:rFonts w:ascii="宋体" w:hAnsi="宋体"/>
          <w:color w:val="auto"/>
          <w:sz w:val="24"/>
          <w:highlight w:val="none"/>
          <w:u w:val="single"/>
        </w:rPr>
        <w:t>（单位名称）</w:t>
      </w:r>
      <w:r>
        <w:rPr>
          <w:rFonts w:ascii="宋体" w:hAnsi="宋体"/>
          <w:color w:val="auto"/>
          <w:sz w:val="24"/>
          <w:highlight w:val="none"/>
        </w:rPr>
        <w:t>的</w:t>
      </w:r>
      <w:r>
        <w:rPr>
          <w:rFonts w:ascii="宋体" w:hAnsi="宋体"/>
          <w:color w:val="auto"/>
          <w:sz w:val="24"/>
          <w:highlight w:val="none"/>
          <w:u w:val="single"/>
        </w:rPr>
        <w:t>（项目名称）</w:t>
      </w:r>
      <w:r>
        <w:rPr>
          <w:rFonts w:ascii="宋体" w:hAnsi="宋体"/>
          <w:color w:val="auto"/>
          <w:sz w:val="24"/>
          <w:highlight w:val="none"/>
        </w:rPr>
        <w:t>采购活动，服务全部由符合政策要求的中小企业承接。</w:t>
      </w:r>
    </w:p>
    <w:p w14:paraId="31EC0503">
      <w:pPr>
        <w:spacing w:line="360" w:lineRule="auto"/>
        <w:ind w:firstLine="480"/>
        <w:rPr>
          <w:rFonts w:ascii="宋体" w:hAnsi="宋体"/>
          <w:color w:val="auto"/>
          <w:sz w:val="24"/>
          <w:highlight w:val="none"/>
        </w:rPr>
      </w:pPr>
      <w:r>
        <w:rPr>
          <w:rFonts w:ascii="宋体" w:hAnsi="宋体"/>
          <w:color w:val="auto"/>
          <w:sz w:val="24"/>
          <w:highlight w:val="none"/>
          <w:u w:val="single"/>
        </w:rPr>
        <w:t xml:space="preserve">（标的名称） </w:t>
      </w:r>
      <w:r>
        <w:rPr>
          <w:rFonts w:ascii="宋体" w:hAnsi="宋体"/>
          <w:color w:val="auto"/>
          <w:sz w:val="24"/>
          <w:highlight w:val="none"/>
        </w:rPr>
        <w:t>，属于</w:t>
      </w:r>
      <w:r>
        <w:rPr>
          <w:rFonts w:ascii="宋体" w:hAnsi="宋体"/>
          <w:color w:val="auto"/>
          <w:sz w:val="24"/>
          <w:highlight w:val="none"/>
          <w:u w:val="single"/>
        </w:rPr>
        <w:t xml:space="preserve">（采购文件中明确的所属行业） </w:t>
      </w:r>
      <w:r>
        <w:rPr>
          <w:rFonts w:ascii="宋体" w:hAnsi="宋体"/>
          <w:color w:val="auto"/>
          <w:sz w:val="24"/>
          <w:highlight w:val="none"/>
        </w:rPr>
        <w:t>行业；</w:t>
      </w:r>
      <w:r>
        <w:rPr>
          <w:rFonts w:hint="eastAsia" w:ascii="宋体" w:hAnsi="宋体"/>
          <w:color w:val="auto"/>
          <w:sz w:val="24"/>
          <w:highlight w:val="none"/>
        </w:rPr>
        <w:t>承接企业</w:t>
      </w:r>
      <w:r>
        <w:rPr>
          <w:rFonts w:ascii="宋体" w:hAnsi="宋体"/>
          <w:color w:val="auto"/>
          <w:sz w:val="24"/>
          <w:highlight w:val="none"/>
        </w:rPr>
        <w:t>为</w:t>
      </w:r>
      <w:r>
        <w:rPr>
          <w:rFonts w:ascii="宋体" w:hAnsi="宋体"/>
          <w:color w:val="auto"/>
          <w:sz w:val="24"/>
          <w:highlight w:val="none"/>
          <w:u w:val="single"/>
        </w:rPr>
        <w:t>（企业名称）</w:t>
      </w:r>
      <w:r>
        <w:rPr>
          <w:rFonts w:ascii="宋体" w:hAnsi="宋体"/>
          <w:color w:val="auto"/>
          <w:sz w:val="24"/>
          <w:highlight w:val="none"/>
        </w:rPr>
        <w:t>，从业人员</w:t>
      </w:r>
      <w:r>
        <w:rPr>
          <w:rFonts w:ascii="宋体" w:hAnsi="宋体"/>
          <w:color w:val="auto"/>
          <w:sz w:val="24"/>
          <w:highlight w:val="none"/>
          <w:u w:val="single"/>
        </w:rPr>
        <w:t xml:space="preserve">   </w:t>
      </w:r>
      <w:r>
        <w:rPr>
          <w:rFonts w:ascii="宋体" w:hAnsi="宋体"/>
          <w:color w:val="auto"/>
          <w:sz w:val="24"/>
          <w:highlight w:val="none"/>
        </w:rPr>
        <w:t>人，营业收入为</w:t>
      </w:r>
      <w:r>
        <w:rPr>
          <w:rFonts w:ascii="宋体" w:hAnsi="宋体"/>
          <w:color w:val="auto"/>
          <w:sz w:val="24"/>
          <w:highlight w:val="none"/>
          <w:u w:val="single"/>
        </w:rPr>
        <w:t xml:space="preserve">   </w:t>
      </w:r>
      <w:r>
        <w:rPr>
          <w:rFonts w:ascii="宋体" w:hAnsi="宋体"/>
          <w:color w:val="auto"/>
          <w:sz w:val="24"/>
          <w:highlight w:val="none"/>
        </w:rPr>
        <w:t>万元，资产总额为</w:t>
      </w:r>
      <w:r>
        <w:rPr>
          <w:rFonts w:ascii="宋体" w:hAnsi="宋体"/>
          <w:color w:val="auto"/>
          <w:sz w:val="24"/>
          <w:highlight w:val="none"/>
          <w:u w:val="single"/>
        </w:rPr>
        <w:t xml:space="preserve">   </w:t>
      </w:r>
      <w:r>
        <w:rPr>
          <w:rFonts w:ascii="宋体" w:hAnsi="宋体"/>
          <w:color w:val="auto"/>
          <w:sz w:val="24"/>
          <w:highlight w:val="none"/>
        </w:rPr>
        <w:t>万元，属于</w:t>
      </w:r>
      <w:r>
        <w:rPr>
          <w:rFonts w:ascii="宋体" w:hAnsi="宋体"/>
          <w:color w:val="auto"/>
          <w:sz w:val="24"/>
          <w:highlight w:val="none"/>
          <w:u w:val="single"/>
        </w:rPr>
        <w:t>（小型企业、微型企业）</w:t>
      </w:r>
      <w:r>
        <w:rPr>
          <w:rFonts w:ascii="宋体" w:hAnsi="宋体"/>
          <w:color w:val="auto"/>
          <w:sz w:val="24"/>
          <w:highlight w:val="none"/>
        </w:rPr>
        <w:t xml:space="preserve">； </w:t>
      </w:r>
    </w:p>
    <w:p w14:paraId="7A2AB55F">
      <w:pPr>
        <w:spacing w:line="360" w:lineRule="auto"/>
        <w:ind w:firstLine="480"/>
        <w:rPr>
          <w:rFonts w:ascii="宋体" w:hAnsi="宋体"/>
          <w:color w:val="auto"/>
          <w:sz w:val="24"/>
          <w:highlight w:val="none"/>
        </w:rPr>
      </w:pPr>
      <w:r>
        <w:rPr>
          <w:rFonts w:ascii="宋体" w:hAnsi="宋体"/>
          <w:color w:val="auto"/>
          <w:sz w:val="24"/>
          <w:highlight w:val="none"/>
        </w:rPr>
        <w:t>以上企业，不属于大企业的分支机构，不存在控股股东为大企业的情形，也不存在与大企业的负责人为同一人的情形。</w:t>
      </w:r>
    </w:p>
    <w:p w14:paraId="332A0997">
      <w:pPr>
        <w:spacing w:line="360" w:lineRule="auto"/>
        <w:ind w:firstLine="480"/>
        <w:rPr>
          <w:rFonts w:ascii="宋体" w:hAnsi="宋体"/>
          <w:color w:val="auto"/>
          <w:sz w:val="24"/>
          <w:highlight w:val="none"/>
        </w:rPr>
      </w:pPr>
      <w:r>
        <w:rPr>
          <w:rFonts w:ascii="宋体" w:hAnsi="宋体"/>
          <w:color w:val="auto"/>
          <w:sz w:val="24"/>
          <w:highlight w:val="none"/>
        </w:rPr>
        <w:t xml:space="preserve">本企业对上述声明内容的真实性负责。如有虚假，将依法承担相应责任。 </w:t>
      </w:r>
    </w:p>
    <w:p w14:paraId="192D161E">
      <w:pPr>
        <w:spacing w:line="360" w:lineRule="auto"/>
        <w:ind w:firstLine="480"/>
        <w:rPr>
          <w:rFonts w:ascii="宋体" w:hAnsi="宋体"/>
          <w:color w:val="auto"/>
          <w:sz w:val="24"/>
          <w:highlight w:val="none"/>
        </w:rPr>
      </w:pPr>
    </w:p>
    <w:p w14:paraId="302D782E">
      <w:pPr>
        <w:spacing w:line="360" w:lineRule="auto"/>
        <w:ind w:right="480" w:firstLine="4920"/>
        <w:rPr>
          <w:rFonts w:ascii="宋体" w:hAnsi="宋体"/>
          <w:color w:val="auto"/>
          <w:sz w:val="24"/>
          <w:highlight w:val="none"/>
        </w:rPr>
      </w:pPr>
    </w:p>
    <w:p w14:paraId="66A52885">
      <w:pPr>
        <w:spacing w:line="360" w:lineRule="auto"/>
        <w:ind w:right="480" w:firstLine="4920"/>
        <w:rPr>
          <w:rFonts w:ascii="宋体" w:hAnsi="宋体"/>
          <w:color w:val="auto"/>
          <w:sz w:val="24"/>
          <w:highlight w:val="none"/>
        </w:rPr>
      </w:pPr>
      <w:r>
        <w:rPr>
          <w:rFonts w:ascii="宋体" w:hAnsi="宋体"/>
          <w:color w:val="auto"/>
          <w:sz w:val="24"/>
          <w:highlight w:val="none"/>
        </w:rPr>
        <w:t xml:space="preserve">企业名称（盖章）： </w:t>
      </w:r>
    </w:p>
    <w:p w14:paraId="6CD583F4">
      <w:pPr>
        <w:spacing w:line="360" w:lineRule="auto"/>
        <w:ind w:right="480" w:firstLine="4920"/>
        <w:rPr>
          <w:rFonts w:ascii="宋体" w:hAnsi="宋体"/>
          <w:color w:val="auto"/>
          <w:sz w:val="24"/>
          <w:highlight w:val="none"/>
        </w:rPr>
      </w:pPr>
      <w:r>
        <w:rPr>
          <w:rFonts w:ascii="宋体" w:hAnsi="宋体"/>
          <w:color w:val="auto"/>
          <w:sz w:val="24"/>
          <w:highlight w:val="none"/>
        </w:rPr>
        <w:t>日 期：</w:t>
      </w:r>
    </w:p>
    <w:p w14:paraId="347BC592">
      <w:pPr>
        <w:spacing w:line="360" w:lineRule="auto"/>
        <w:ind w:right="480" w:firstLine="4920"/>
        <w:rPr>
          <w:rFonts w:ascii="宋体" w:hAnsi="宋体"/>
          <w:color w:val="auto"/>
          <w:sz w:val="24"/>
          <w:highlight w:val="none"/>
        </w:rPr>
      </w:pPr>
    </w:p>
    <w:p w14:paraId="0B45F5DF">
      <w:pPr>
        <w:spacing w:line="360" w:lineRule="auto"/>
        <w:ind w:right="480"/>
        <w:rPr>
          <w:rFonts w:hint="eastAsia" w:ascii="宋体" w:hAnsi="宋体"/>
          <w:color w:val="auto"/>
          <w:sz w:val="24"/>
          <w:highlight w:val="none"/>
        </w:rPr>
      </w:pPr>
    </w:p>
    <w:p w14:paraId="4370FA4B">
      <w:pPr>
        <w:spacing w:line="360" w:lineRule="auto"/>
        <w:ind w:right="480"/>
        <w:rPr>
          <w:rFonts w:hint="eastAsia" w:ascii="宋体" w:hAnsi="宋体"/>
          <w:color w:val="auto"/>
          <w:sz w:val="24"/>
          <w:highlight w:val="none"/>
        </w:rPr>
      </w:pPr>
    </w:p>
    <w:p w14:paraId="40511EE8">
      <w:pPr>
        <w:spacing w:line="360" w:lineRule="auto"/>
        <w:ind w:right="480"/>
        <w:rPr>
          <w:rFonts w:hint="eastAsia" w:ascii="宋体" w:hAnsi="宋体"/>
          <w:color w:val="auto"/>
          <w:sz w:val="24"/>
          <w:highlight w:val="none"/>
        </w:rPr>
      </w:pPr>
    </w:p>
    <w:p w14:paraId="32591DDC">
      <w:pPr>
        <w:spacing w:line="360" w:lineRule="auto"/>
        <w:ind w:right="480" w:firstLine="480"/>
        <w:rPr>
          <w:rFonts w:hint="eastAsia" w:ascii="宋体" w:hAnsi="宋体"/>
          <w:color w:val="auto"/>
          <w:sz w:val="24"/>
          <w:highlight w:val="none"/>
        </w:rPr>
      </w:pPr>
      <w:r>
        <w:rPr>
          <w:rFonts w:hint="eastAsia" w:ascii="宋体" w:hAnsi="宋体"/>
          <w:color w:val="auto"/>
          <w:sz w:val="24"/>
          <w:highlight w:val="none"/>
        </w:rPr>
        <w:t>填报说明：</w:t>
      </w:r>
    </w:p>
    <w:p w14:paraId="685A455A">
      <w:pPr>
        <w:spacing w:line="360" w:lineRule="auto"/>
        <w:ind w:right="480"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从业人员、营业收入、资产总额填报上一年度数据，无上一年度数据的新成立企业可不填报。</w:t>
      </w:r>
    </w:p>
    <w:p w14:paraId="06ED5F1F">
      <w:pPr>
        <w:spacing w:line="360" w:lineRule="auto"/>
        <w:ind w:firstLine="480"/>
        <w:rPr>
          <w:rFonts w:hint="eastAsia" w:ascii="宋体" w:hAnsi="宋体"/>
          <w:color w:val="auto"/>
          <w:sz w:val="24"/>
          <w:highlight w:val="none"/>
        </w:rPr>
      </w:pPr>
      <w:r>
        <w:rPr>
          <w:rFonts w:hint="eastAsia" w:ascii="宋体" w:hAnsi="宋体"/>
          <w:color w:val="auto"/>
          <w:sz w:val="24"/>
          <w:highlight w:val="none"/>
        </w:rPr>
        <w:t>2、请供应商如实填写，所填内容将作为评审的依据。如填写不完整或填写有误，将不享受扶持政策。</w:t>
      </w:r>
    </w:p>
    <w:p w14:paraId="0EA3F2DE">
      <w:pPr>
        <w:spacing w:line="360" w:lineRule="auto"/>
        <w:ind w:firstLine="480"/>
        <w:rPr>
          <w:rFonts w:ascii="宋体" w:hAnsi="宋体"/>
          <w:color w:val="auto"/>
          <w:sz w:val="24"/>
          <w:highlight w:val="none"/>
        </w:rPr>
      </w:pPr>
      <w:r>
        <w:rPr>
          <w:rFonts w:hint="eastAsia" w:ascii="宋体" w:hAnsi="宋体"/>
          <w:color w:val="auto"/>
          <w:sz w:val="24"/>
          <w:highlight w:val="none"/>
        </w:rPr>
        <w:t>3、中标供应商的《中小企业声明函》随中标结果公开。</w:t>
      </w:r>
    </w:p>
    <w:p w14:paraId="54608C29">
      <w:pPr>
        <w:pStyle w:val="191"/>
        <w:numPr>
          <w:ilvl w:val="0"/>
          <w:numId w:val="0"/>
        </w:numPr>
        <w:spacing w:before="0" w:after="0" w:line="240" w:lineRule="auto"/>
        <w:rPr>
          <w:rFonts w:hint="eastAsia"/>
          <w:color w:val="auto"/>
          <w:highlight w:val="none"/>
        </w:rPr>
      </w:pPr>
      <w:r>
        <w:rPr>
          <w:color w:val="auto"/>
          <w:highlight w:val="none"/>
        </w:rPr>
        <w:br w:type="page" w:clear="all"/>
      </w:r>
      <w:r>
        <w:rPr>
          <w:color w:val="auto"/>
          <w:sz w:val="24"/>
          <w:highlight w:val="none"/>
        </w:rPr>
        <w:t>格式</w:t>
      </w:r>
      <w:r>
        <w:rPr>
          <w:rFonts w:hint="eastAsia"/>
          <w:color w:val="auto"/>
          <w:sz w:val="24"/>
          <w:highlight w:val="none"/>
        </w:rPr>
        <w:t>5、残疾人福利性单位声明函</w:t>
      </w:r>
    </w:p>
    <w:p w14:paraId="758161A2">
      <w:pPr>
        <w:spacing w:before="312" w:after="312"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残疾人福利性单位声明函</w:t>
      </w:r>
    </w:p>
    <w:p w14:paraId="193055EA">
      <w:pPr>
        <w:spacing w:line="360" w:lineRule="auto"/>
        <w:ind w:firstLine="480"/>
        <w:rPr>
          <w:color w:val="auto"/>
          <w:sz w:val="24"/>
          <w:highlight w:val="none"/>
        </w:rPr>
      </w:pPr>
      <w:r>
        <w:rPr>
          <w:rFonts w:hint="eastAsia"/>
          <w:color w:val="auto"/>
          <w:sz w:val="24"/>
          <w:highlight w:val="none"/>
        </w:rPr>
        <w:t>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p>
    <w:p w14:paraId="2B0E57EB">
      <w:pPr>
        <w:spacing w:line="360" w:lineRule="auto"/>
        <w:ind w:firstLine="480"/>
        <w:rPr>
          <w:color w:val="auto"/>
          <w:sz w:val="24"/>
          <w:highlight w:val="none"/>
        </w:rPr>
      </w:pPr>
      <w:r>
        <w:rPr>
          <w:rFonts w:hint="eastAsia"/>
          <w:color w:val="auto"/>
          <w:sz w:val="24"/>
          <w:highlight w:val="none"/>
        </w:rPr>
        <w:t>本单位对上述声明的真实性负责。如有虚假，将依法承担相应责任。</w:t>
      </w:r>
    </w:p>
    <w:p w14:paraId="25960389">
      <w:pPr>
        <w:spacing w:line="360" w:lineRule="auto"/>
        <w:ind w:firstLine="480"/>
        <w:rPr>
          <w:color w:val="auto"/>
          <w:sz w:val="24"/>
          <w:highlight w:val="none"/>
        </w:rPr>
      </w:pPr>
    </w:p>
    <w:p w14:paraId="164CF751">
      <w:pPr>
        <w:spacing w:line="360" w:lineRule="auto"/>
        <w:ind w:firstLine="480"/>
        <w:rPr>
          <w:color w:val="auto"/>
          <w:sz w:val="24"/>
          <w:highlight w:val="none"/>
        </w:rPr>
      </w:pPr>
    </w:p>
    <w:p w14:paraId="5224B6D4">
      <w:pPr>
        <w:spacing w:line="360" w:lineRule="auto"/>
        <w:ind w:right="480" w:firstLine="4560"/>
        <w:rPr>
          <w:rFonts w:ascii="宋体" w:hAnsi="宋体"/>
          <w:color w:val="auto"/>
          <w:sz w:val="24"/>
          <w:highlight w:val="none"/>
        </w:rPr>
      </w:pPr>
      <w:r>
        <w:rPr>
          <w:rFonts w:ascii="宋体" w:hAnsi="宋体"/>
          <w:color w:val="auto"/>
          <w:sz w:val="24"/>
          <w:highlight w:val="none"/>
        </w:rPr>
        <w:t xml:space="preserve">企业名称（盖章）： </w:t>
      </w:r>
    </w:p>
    <w:p w14:paraId="5EE15E3D">
      <w:pPr>
        <w:spacing w:line="360" w:lineRule="auto"/>
        <w:ind w:firstLine="4560"/>
        <w:jc w:val="left"/>
        <w:rPr>
          <w:rFonts w:hint="eastAsia"/>
          <w:color w:val="auto"/>
          <w:sz w:val="24"/>
          <w:highlight w:val="none"/>
        </w:rPr>
      </w:pPr>
      <w:r>
        <w:rPr>
          <w:rFonts w:ascii="宋体" w:hAnsi="宋体"/>
          <w:color w:val="auto"/>
          <w:sz w:val="24"/>
          <w:highlight w:val="none"/>
        </w:rPr>
        <w:t>日 期：</w:t>
      </w:r>
    </w:p>
    <w:p w14:paraId="4D0AAF89">
      <w:pPr>
        <w:spacing w:line="360" w:lineRule="auto"/>
        <w:ind w:firstLine="480"/>
        <w:jc w:val="left"/>
        <w:rPr>
          <w:rFonts w:hint="eastAsia"/>
          <w:color w:val="auto"/>
          <w:sz w:val="24"/>
          <w:highlight w:val="none"/>
        </w:rPr>
      </w:pPr>
    </w:p>
    <w:p w14:paraId="58843763">
      <w:pPr>
        <w:spacing w:line="360" w:lineRule="auto"/>
        <w:ind w:firstLine="480"/>
        <w:jc w:val="left"/>
        <w:rPr>
          <w:rFonts w:hint="eastAsia"/>
          <w:color w:val="auto"/>
          <w:sz w:val="24"/>
          <w:highlight w:val="none"/>
        </w:rPr>
      </w:pPr>
    </w:p>
    <w:p w14:paraId="66367F89">
      <w:pPr>
        <w:spacing w:line="360" w:lineRule="auto"/>
        <w:ind w:firstLine="480"/>
        <w:jc w:val="left"/>
        <w:rPr>
          <w:rFonts w:hint="eastAsia"/>
          <w:color w:val="auto"/>
          <w:sz w:val="24"/>
          <w:highlight w:val="none"/>
        </w:rPr>
      </w:pPr>
    </w:p>
    <w:p w14:paraId="382159B5">
      <w:pPr>
        <w:spacing w:line="360" w:lineRule="auto"/>
        <w:ind w:firstLine="480"/>
        <w:jc w:val="left"/>
        <w:rPr>
          <w:rFonts w:hint="eastAsia"/>
          <w:color w:val="auto"/>
          <w:sz w:val="24"/>
          <w:highlight w:val="none"/>
        </w:rPr>
      </w:pPr>
    </w:p>
    <w:p w14:paraId="750970C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填报说明：</w:t>
      </w:r>
    </w:p>
    <w:p w14:paraId="4DD33D4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1、请供应商如实填写，所填内容将作为评审的依据。</w:t>
      </w:r>
      <w:r>
        <w:rPr>
          <w:rFonts w:hint="eastAsia" w:ascii="宋体" w:hAnsi="宋体"/>
          <w:color w:val="auto"/>
          <w:sz w:val="24"/>
          <w:highlight w:val="none"/>
        </w:rPr>
        <w:t>如填写不完整或填写有误，将不享受扶</w:t>
      </w:r>
      <w:r>
        <w:rPr>
          <w:rFonts w:hint="eastAsia" w:ascii="宋体" w:hAnsi="宋体"/>
          <w:bCs/>
          <w:color w:val="auto"/>
          <w:sz w:val="24"/>
          <w:highlight w:val="none"/>
        </w:rPr>
        <w:t>持政策。</w:t>
      </w:r>
    </w:p>
    <w:p w14:paraId="3A46AA0B">
      <w:pPr>
        <w:spacing w:line="360" w:lineRule="auto"/>
        <w:ind w:firstLine="480"/>
        <w:jc w:val="left"/>
        <w:rPr>
          <w:rFonts w:hint="eastAsia"/>
          <w:color w:val="auto"/>
          <w:sz w:val="24"/>
          <w:highlight w:val="none"/>
        </w:rPr>
      </w:pPr>
      <w:r>
        <w:rPr>
          <w:rFonts w:hint="eastAsia" w:ascii="宋体" w:hAnsi="宋体"/>
          <w:bCs/>
          <w:color w:val="auto"/>
          <w:sz w:val="24"/>
          <w:highlight w:val="none"/>
        </w:rPr>
        <w:t>2、中标供应商的《残疾人福利性单位声明函》随中标结果公开。</w:t>
      </w:r>
    </w:p>
    <w:p w14:paraId="5C78B563">
      <w:pPr>
        <w:pStyle w:val="191"/>
        <w:numPr>
          <w:ilvl w:val="0"/>
          <w:numId w:val="0"/>
        </w:numPr>
        <w:spacing w:before="0" w:after="0" w:line="240" w:lineRule="auto"/>
        <w:rPr>
          <w:rFonts w:hint="eastAsia"/>
          <w:color w:val="auto"/>
          <w:sz w:val="24"/>
          <w:highlight w:val="none"/>
        </w:rPr>
      </w:pPr>
      <w:r>
        <w:rPr>
          <w:color w:val="auto"/>
          <w:sz w:val="24"/>
          <w:highlight w:val="none"/>
        </w:rPr>
        <w:br w:type="page" w:clear="all"/>
      </w:r>
      <w:r>
        <w:rPr>
          <w:color w:val="auto"/>
          <w:sz w:val="24"/>
          <w:highlight w:val="none"/>
        </w:rPr>
        <w:t>格式</w:t>
      </w:r>
      <w:r>
        <w:rPr>
          <w:rFonts w:hint="eastAsia"/>
          <w:color w:val="auto"/>
          <w:sz w:val="24"/>
          <w:highlight w:val="none"/>
        </w:rPr>
        <w:t>6、具备履行合同所必需的设备和专业技术能力的声明及证明材料</w:t>
      </w:r>
    </w:p>
    <w:p w14:paraId="411C0777">
      <w:pPr>
        <w:rPr>
          <w:rFonts w:hint="eastAsia"/>
          <w:color w:val="auto"/>
          <w:highlight w:val="none"/>
        </w:rPr>
      </w:pPr>
    </w:p>
    <w:bookmarkEnd w:id="139"/>
    <w:bookmarkEnd w:id="140"/>
    <w:p w14:paraId="3C4443CC">
      <w:pPr>
        <w:jc w:val="center"/>
        <w:rPr>
          <w:color w:val="auto"/>
          <w:highlight w:val="none"/>
        </w:rPr>
      </w:pPr>
      <w:r>
        <w:rPr>
          <w:rFonts w:hint="eastAsia" w:ascii="黑体" w:hAnsi="黑体" w:eastAsia="黑体" w:cs="宋体"/>
          <w:bCs/>
          <w:color w:val="auto"/>
          <w:sz w:val="36"/>
          <w:szCs w:val="28"/>
          <w:highlight w:val="none"/>
        </w:rPr>
        <w:t>具备履行合同所必需的设备和专业技术能力的声明</w:t>
      </w:r>
    </w:p>
    <w:p w14:paraId="152CE545">
      <w:pPr>
        <w:spacing w:line="360" w:lineRule="auto"/>
        <w:ind w:firstLine="480"/>
        <w:rPr>
          <w:color w:val="auto"/>
          <w:sz w:val="24"/>
          <w:highlight w:val="none"/>
        </w:rPr>
      </w:pPr>
      <w:r>
        <w:rPr>
          <w:rFonts w:hint="eastAsia"/>
          <w:color w:val="auto"/>
          <w:sz w:val="24"/>
          <w:highlight w:val="none"/>
          <w:u w:val="single"/>
        </w:rPr>
        <w:t>（供应商名称）</w:t>
      </w:r>
      <w:r>
        <w:rPr>
          <w:rFonts w:hint="eastAsia"/>
          <w:color w:val="auto"/>
          <w:sz w:val="24"/>
          <w:highlight w:val="none"/>
        </w:rPr>
        <w:t>郑重声明：我单位具备履行本项采购合同所必需的设备和专业技术能力，为履行本项采购合同我单位具备如下主要设备和主要专业技术能力：</w:t>
      </w:r>
    </w:p>
    <w:p w14:paraId="30D793D7">
      <w:pPr>
        <w:spacing w:line="360" w:lineRule="auto"/>
        <w:ind w:firstLine="480"/>
        <w:rPr>
          <w:color w:val="auto"/>
          <w:sz w:val="24"/>
          <w:highlight w:val="none"/>
        </w:rPr>
      </w:pPr>
      <w:r>
        <w:rPr>
          <w:rFonts w:hint="eastAsia"/>
          <w:color w:val="auto"/>
          <w:sz w:val="24"/>
          <w:highlight w:val="none"/>
        </w:rPr>
        <w:t>主要设备有：</w:t>
      </w:r>
      <w:r>
        <w:rPr>
          <w:rFonts w:hint="eastAsia"/>
          <w:color w:val="auto"/>
          <w:sz w:val="24"/>
          <w:highlight w:val="none"/>
          <w:u w:val="single"/>
        </w:rPr>
        <w:t xml:space="preserve">                                  </w:t>
      </w:r>
      <w:r>
        <w:rPr>
          <w:rFonts w:hint="eastAsia"/>
          <w:color w:val="auto"/>
          <w:sz w:val="24"/>
          <w:highlight w:val="none"/>
        </w:rPr>
        <w:t>。</w:t>
      </w:r>
    </w:p>
    <w:p w14:paraId="66624CFB">
      <w:pPr>
        <w:spacing w:line="360" w:lineRule="auto"/>
        <w:ind w:firstLine="480"/>
        <w:rPr>
          <w:rFonts w:hint="eastAsia"/>
          <w:color w:val="auto"/>
          <w:sz w:val="24"/>
          <w:highlight w:val="none"/>
        </w:rPr>
      </w:pPr>
      <w:r>
        <w:rPr>
          <w:rFonts w:hint="eastAsia"/>
          <w:color w:val="auto"/>
          <w:sz w:val="24"/>
          <w:highlight w:val="none"/>
        </w:rPr>
        <w:t>主要专业技术能力有：</w:t>
      </w:r>
      <w:r>
        <w:rPr>
          <w:rFonts w:hint="eastAsia"/>
          <w:color w:val="auto"/>
          <w:sz w:val="24"/>
          <w:highlight w:val="none"/>
          <w:u w:val="single"/>
        </w:rPr>
        <w:t xml:space="preserve">                          </w:t>
      </w:r>
      <w:r>
        <w:rPr>
          <w:rFonts w:hint="eastAsia"/>
          <w:color w:val="auto"/>
          <w:sz w:val="24"/>
          <w:highlight w:val="none"/>
        </w:rPr>
        <w:t>。</w:t>
      </w:r>
    </w:p>
    <w:p w14:paraId="4DEA067D">
      <w:pPr>
        <w:spacing w:line="360" w:lineRule="auto"/>
        <w:ind w:firstLine="482"/>
        <w:rPr>
          <w:b/>
          <w:color w:val="auto"/>
          <w:sz w:val="24"/>
          <w:highlight w:val="none"/>
        </w:rPr>
      </w:pPr>
      <w:r>
        <w:rPr>
          <w:rFonts w:hint="eastAsia"/>
          <w:b/>
          <w:color w:val="auto"/>
          <w:sz w:val="24"/>
          <w:highlight w:val="none"/>
        </w:rPr>
        <w:t>注：须附证明材料。</w:t>
      </w:r>
    </w:p>
    <w:p w14:paraId="622F3AEE">
      <w:pPr>
        <w:spacing w:line="360" w:lineRule="auto"/>
        <w:ind w:firstLine="480"/>
        <w:rPr>
          <w:color w:val="auto"/>
          <w:sz w:val="24"/>
          <w:highlight w:val="none"/>
        </w:rPr>
      </w:pPr>
    </w:p>
    <w:p w14:paraId="7CFE8304">
      <w:pPr>
        <w:spacing w:line="360" w:lineRule="auto"/>
        <w:ind w:firstLine="480"/>
        <w:rPr>
          <w:color w:val="auto"/>
          <w:sz w:val="24"/>
          <w:highlight w:val="none"/>
        </w:rPr>
      </w:pPr>
    </w:p>
    <w:p w14:paraId="54983E81">
      <w:pPr>
        <w:spacing w:line="360" w:lineRule="auto"/>
        <w:ind w:firstLine="480"/>
        <w:rPr>
          <w:color w:val="auto"/>
          <w:sz w:val="24"/>
          <w:highlight w:val="none"/>
        </w:rPr>
      </w:pPr>
      <w:r>
        <w:rPr>
          <w:rFonts w:hint="eastAsia"/>
          <w:color w:val="auto"/>
          <w:sz w:val="24"/>
          <w:highlight w:val="none"/>
        </w:rPr>
        <w:t>声明人（盖章）：</w:t>
      </w:r>
    </w:p>
    <w:p w14:paraId="20051CB4">
      <w:pPr>
        <w:spacing w:line="360" w:lineRule="auto"/>
        <w:ind w:firstLine="480"/>
        <w:rPr>
          <w:color w:val="auto"/>
          <w:sz w:val="24"/>
          <w:highlight w:val="none"/>
        </w:rPr>
      </w:pPr>
      <w:r>
        <w:rPr>
          <w:rFonts w:hint="eastAsia"/>
          <w:color w:val="auto"/>
          <w:sz w:val="24"/>
          <w:highlight w:val="none"/>
        </w:rPr>
        <w:t>日期：  年   月  日</w:t>
      </w:r>
    </w:p>
    <w:p w14:paraId="66E23F8B">
      <w:pPr>
        <w:spacing w:line="460" w:lineRule="exact"/>
        <w:ind w:firstLine="422"/>
        <w:rPr>
          <w:rFonts w:hint="eastAsia"/>
          <w:b/>
          <w:color w:val="auto"/>
          <w:highlight w:val="none"/>
        </w:rPr>
      </w:pPr>
    </w:p>
    <w:p w14:paraId="6FA07E9F">
      <w:pPr>
        <w:pStyle w:val="191"/>
        <w:numPr>
          <w:ilvl w:val="0"/>
          <w:numId w:val="0"/>
        </w:numPr>
        <w:spacing w:before="0" w:after="0" w:line="240" w:lineRule="auto"/>
        <w:rPr>
          <w:rFonts w:hint="eastAsia"/>
          <w:b w:val="0"/>
          <w:color w:val="auto"/>
          <w:highlight w:val="none"/>
        </w:rPr>
      </w:pPr>
      <w:r>
        <w:rPr>
          <w:b w:val="0"/>
          <w:color w:val="auto"/>
          <w:highlight w:val="none"/>
        </w:rPr>
        <w:br w:type="page" w:clear="all"/>
      </w:r>
      <w:r>
        <w:rPr>
          <w:color w:val="auto"/>
          <w:sz w:val="24"/>
          <w:highlight w:val="none"/>
        </w:rPr>
        <w:t>格式</w:t>
      </w:r>
      <w:r>
        <w:rPr>
          <w:rFonts w:hint="eastAsia"/>
          <w:color w:val="auto"/>
          <w:sz w:val="24"/>
          <w:highlight w:val="none"/>
        </w:rPr>
        <w:t>7、参加政府采购活动前3年内在经营活动中没有重大违法记录的书面声明</w:t>
      </w:r>
    </w:p>
    <w:p w14:paraId="661F790B">
      <w:pPr>
        <w:spacing w:line="460" w:lineRule="exact"/>
        <w:ind w:firstLine="422"/>
        <w:rPr>
          <w:rFonts w:hint="eastAsia"/>
          <w:b/>
          <w:color w:val="auto"/>
          <w:highlight w:val="none"/>
        </w:rPr>
      </w:pPr>
    </w:p>
    <w:p w14:paraId="11D71D2F">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声  明</w:t>
      </w:r>
    </w:p>
    <w:p w14:paraId="15BE99BB">
      <w:pPr>
        <w:spacing w:line="360" w:lineRule="auto"/>
        <w:ind w:firstLine="480"/>
        <w:rPr>
          <w:rFonts w:ascii="宋体" w:hAnsi="宋体"/>
          <w:color w:val="auto"/>
          <w:sz w:val="24"/>
          <w:highlight w:val="none"/>
        </w:rPr>
      </w:pPr>
      <w:r>
        <w:rPr>
          <w:rFonts w:hint="eastAsia" w:ascii="宋体" w:hAnsi="宋体"/>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66367203">
      <w:pPr>
        <w:spacing w:line="360" w:lineRule="auto"/>
        <w:ind w:firstLine="480"/>
        <w:rPr>
          <w:rFonts w:ascii="宋体" w:hAnsi="宋体"/>
          <w:bCs/>
          <w:color w:val="auto"/>
          <w:sz w:val="24"/>
          <w:highlight w:val="none"/>
        </w:rPr>
      </w:pPr>
    </w:p>
    <w:p w14:paraId="5AE7017E">
      <w:pPr>
        <w:spacing w:line="360" w:lineRule="auto"/>
        <w:ind w:firstLine="480"/>
        <w:rPr>
          <w:rFonts w:ascii="宋体" w:hAnsi="宋体"/>
          <w:color w:val="auto"/>
          <w:sz w:val="24"/>
          <w:highlight w:val="none"/>
        </w:rPr>
      </w:pPr>
      <w:r>
        <w:rPr>
          <w:rFonts w:hint="eastAsia" w:ascii="宋体" w:hAnsi="宋体"/>
          <w:color w:val="auto"/>
          <w:sz w:val="24"/>
          <w:highlight w:val="none"/>
        </w:rPr>
        <w:t>投标人（盖章）：</w:t>
      </w:r>
    </w:p>
    <w:p w14:paraId="16AAC8A9">
      <w:pPr>
        <w:spacing w:line="360" w:lineRule="auto"/>
        <w:ind w:firstLine="480"/>
        <w:rPr>
          <w:rFonts w:ascii="宋体" w:hAnsi="宋体"/>
          <w:color w:val="auto"/>
          <w:sz w:val="24"/>
          <w:highlight w:val="none"/>
        </w:rPr>
      </w:pPr>
      <w:r>
        <w:rPr>
          <w:rFonts w:hint="eastAsia" w:ascii="宋体" w:hAnsi="宋体"/>
          <w:color w:val="auto"/>
          <w:sz w:val="24"/>
          <w:highlight w:val="none"/>
        </w:rPr>
        <w:t>法定代表人或委托代理人（签字或盖章）：</w:t>
      </w:r>
    </w:p>
    <w:p w14:paraId="7CAAD0E7">
      <w:pPr>
        <w:spacing w:line="360" w:lineRule="auto"/>
        <w:ind w:firstLine="480"/>
        <w:rPr>
          <w:rFonts w:hint="eastAsia" w:ascii="宋体" w:hAnsi="宋体"/>
          <w:color w:val="auto"/>
          <w:sz w:val="24"/>
          <w:highlight w:val="none"/>
        </w:rPr>
      </w:pPr>
      <w:r>
        <w:rPr>
          <w:rFonts w:hint="eastAsia" w:ascii="宋体" w:hAnsi="宋体"/>
          <w:color w:val="auto"/>
          <w:sz w:val="24"/>
          <w:highlight w:val="none"/>
        </w:rPr>
        <w:t>日期：    年     月     日</w:t>
      </w:r>
    </w:p>
    <w:p w14:paraId="766BC00B">
      <w:pPr>
        <w:pStyle w:val="191"/>
        <w:numPr>
          <w:ilvl w:val="0"/>
          <w:numId w:val="0"/>
        </w:numPr>
        <w:spacing w:before="0" w:after="0" w:line="240" w:lineRule="auto"/>
        <w:rPr>
          <w:rFonts w:hint="eastAsia" w:eastAsia="宋体"/>
          <w:color w:val="auto"/>
          <w:highlight w:val="none"/>
        </w:rPr>
      </w:pPr>
      <w:r>
        <w:rPr>
          <w:rFonts w:ascii="宋体" w:hAnsi="宋体"/>
          <w:color w:val="auto"/>
          <w:sz w:val="24"/>
          <w:highlight w:val="none"/>
        </w:rPr>
        <w:br w:type="page" w:clear="all"/>
      </w:r>
      <w:r>
        <w:rPr>
          <w:rFonts w:hint="eastAsia"/>
          <w:color w:val="auto"/>
          <w:sz w:val="24"/>
          <w:highlight w:val="none"/>
        </w:rPr>
        <w:t>格式8、法定代表人授权委托书</w:t>
      </w:r>
    </w:p>
    <w:p w14:paraId="3D1CD6F7">
      <w:pPr>
        <w:ind w:firstLine="720"/>
        <w:jc w:val="center"/>
        <w:rPr>
          <w:rFonts w:hint="eastAsia" w:ascii="黑体" w:hAnsi="黑体" w:eastAsia="黑体" w:cs="宋体"/>
          <w:bCs/>
          <w:color w:val="auto"/>
          <w:sz w:val="36"/>
          <w:szCs w:val="28"/>
          <w:highlight w:val="none"/>
        </w:rPr>
      </w:pPr>
    </w:p>
    <w:p w14:paraId="5E8E30FF">
      <w:pPr>
        <w:ind w:firstLine="72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法定代表人授权委托书</w:t>
      </w:r>
    </w:p>
    <w:p w14:paraId="2D720213">
      <w:pPr>
        <w:pStyle w:val="226"/>
        <w:spacing w:line="360" w:lineRule="auto"/>
        <w:rPr>
          <w:rFonts w:hAnsi="宋体"/>
          <w:b/>
          <w:bCs/>
          <w:color w:val="auto"/>
          <w:sz w:val="24"/>
          <w:szCs w:val="24"/>
          <w:highlight w:val="none"/>
        </w:rPr>
      </w:pPr>
      <w:r>
        <w:rPr>
          <w:rFonts w:hint="eastAsia" w:hAnsi="宋体"/>
          <w:color w:val="auto"/>
          <w:sz w:val="24"/>
          <w:szCs w:val="24"/>
          <w:highlight w:val="none"/>
        </w:rPr>
        <w:t>【采购单位】：</w:t>
      </w:r>
    </w:p>
    <w:p w14:paraId="4659B1A4">
      <w:pPr>
        <w:pStyle w:val="226"/>
        <w:spacing w:line="360" w:lineRule="auto"/>
        <w:ind w:firstLine="480"/>
        <w:rPr>
          <w:rFonts w:hAnsi="宋体"/>
          <w:color w:val="auto"/>
          <w:sz w:val="24"/>
          <w:szCs w:val="24"/>
          <w:highlight w:val="none"/>
        </w:rPr>
      </w:pPr>
      <w:r>
        <w:rPr>
          <w:rFonts w:hint="eastAsia" w:hAnsi="宋体"/>
          <w:color w:val="auto"/>
          <w:sz w:val="24"/>
          <w:szCs w:val="24"/>
          <w:highlight w:val="none"/>
        </w:rPr>
        <w:t>本授权书声明：注册于</w:t>
      </w:r>
      <w:r>
        <w:rPr>
          <w:rFonts w:hint="eastAsia" w:hAnsi="宋体"/>
          <w:color w:val="auto"/>
          <w:sz w:val="24"/>
          <w:szCs w:val="24"/>
          <w:highlight w:val="none"/>
          <w:u w:val="single"/>
        </w:rPr>
        <w:t xml:space="preserve">  （委托单位全称） </w:t>
      </w:r>
      <w:r>
        <w:rPr>
          <w:rFonts w:hint="eastAsia" w:hAnsi="宋体"/>
          <w:color w:val="auto"/>
          <w:sz w:val="24"/>
          <w:szCs w:val="24"/>
          <w:highlight w:val="none"/>
        </w:rPr>
        <w:t>的法定代表人</w:t>
      </w:r>
      <w:r>
        <w:rPr>
          <w:rFonts w:hint="eastAsia" w:hAnsi="宋体"/>
          <w:color w:val="auto"/>
          <w:sz w:val="24"/>
          <w:szCs w:val="24"/>
          <w:highlight w:val="none"/>
          <w:u w:val="single"/>
        </w:rPr>
        <w:t xml:space="preserve">         </w:t>
      </w:r>
      <w:r>
        <w:rPr>
          <w:rFonts w:hint="eastAsia" w:hAnsi="宋体"/>
          <w:color w:val="auto"/>
          <w:sz w:val="24"/>
          <w:szCs w:val="24"/>
          <w:highlight w:val="none"/>
        </w:rPr>
        <w:t>代表本公司授权</w:t>
      </w:r>
      <w:r>
        <w:rPr>
          <w:rFonts w:hint="eastAsia" w:hAnsi="宋体"/>
          <w:color w:val="auto"/>
          <w:sz w:val="24"/>
          <w:szCs w:val="24"/>
          <w:highlight w:val="none"/>
          <w:u w:val="single"/>
        </w:rPr>
        <w:t>（姓名和职务）</w:t>
      </w:r>
      <w:r>
        <w:rPr>
          <w:rFonts w:hint="eastAsia" w:hAnsi="宋体"/>
          <w:color w:val="auto"/>
          <w:sz w:val="24"/>
          <w:szCs w:val="24"/>
          <w:highlight w:val="none"/>
        </w:rPr>
        <w:t>为本公司合法代理人，就贵方组织的有关</w:t>
      </w:r>
      <w:r>
        <w:rPr>
          <w:rFonts w:hint="eastAsia" w:hAnsi="宋体"/>
          <w:color w:val="auto"/>
          <w:sz w:val="24"/>
          <w:szCs w:val="24"/>
          <w:highlight w:val="none"/>
          <w:u w:val="single"/>
        </w:rPr>
        <w:t>【标段名称】</w:t>
      </w:r>
      <w:r>
        <w:rPr>
          <w:rFonts w:hint="eastAsia" w:hAnsi="宋体"/>
          <w:color w:val="auto"/>
          <w:sz w:val="24"/>
          <w:szCs w:val="24"/>
          <w:highlight w:val="none"/>
        </w:rPr>
        <w:t>项目（标段编号：</w:t>
      </w:r>
      <w:r>
        <w:rPr>
          <w:rFonts w:hint="eastAsia" w:hAnsi="宋体"/>
          <w:color w:val="auto"/>
          <w:sz w:val="24"/>
          <w:szCs w:val="24"/>
          <w:highlight w:val="none"/>
          <w:u w:val="single"/>
        </w:rPr>
        <w:t>【标段编号】</w:t>
      </w:r>
      <w:r>
        <w:rPr>
          <w:rFonts w:hint="eastAsia" w:hAnsi="宋体"/>
          <w:color w:val="auto"/>
          <w:sz w:val="24"/>
          <w:szCs w:val="24"/>
          <w:highlight w:val="none"/>
        </w:rPr>
        <w:t>）的招标采购及合同签订、执行、完成，以本单位名义处理一切与之有关的事务。</w:t>
      </w:r>
    </w:p>
    <w:p w14:paraId="7B64E410">
      <w:pPr>
        <w:pStyle w:val="226"/>
        <w:spacing w:line="360" w:lineRule="auto"/>
        <w:ind w:firstLine="480"/>
        <w:rPr>
          <w:rFonts w:hAnsi="宋体"/>
          <w:color w:val="auto"/>
          <w:sz w:val="24"/>
          <w:szCs w:val="24"/>
          <w:highlight w:val="none"/>
        </w:rPr>
      </w:pPr>
      <w:r>
        <w:rPr>
          <w:rFonts w:hint="eastAsia" w:hAnsi="宋体"/>
          <w:color w:val="auto"/>
          <w:sz w:val="24"/>
          <w:szCs w:val="24"/>
          <w:highlight w:val="none"/>
        </w:rPr>
        <w:t>本授权书于</w:t>
      </w:r>
      <w:r>
        <w:rPr>
          <w:rFonts w:hint="eastAsia" w:hAnsi="宋体"/>
          <w:color w:val="auto"/>
          <w:spacing w:val="10"/>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日签字（或盖章）生效，特此声明。</w:t>
      </w:r>
    </w:p>
    <w:p w14:paraId="3DD5EFC6">
      <w:pPr>
        <w:pStyle w:val="226"/>
        <w:spacing w:line="360" w:lineRule="auto"/>
        <w:ind w:firstLine="480"/>
        <w:rPr>
          <w:rFonts w:hAnsi="宋体"/>
          <w:color w:val="auto"/>
          <w:sz w:val="24"/>
          <w:szCs w:val="24"/>
          <w:highlight w:val="none"/>
        </w:rPr>
      </w:pPr>
    </w:p>
    <w:p w14:paraId="017FA6CA">
      <w:pPr>
        <w:pStyle w:val="226"/>
        <w:spacing w:line="360" w:lineRule="auto"/>
        <w:ind w:firstLine="480"/>
        <w:rPr>
          <w:rFonts w:hAnsi="宋体"/>
          <w:color w:val="auto"/>
          <w:sz w:val="24"/>
          <w:szCs w:val="24"/>
          <w:highlight w:val="none"/>
        </w:rPr>
      </w:pPr>
      <w:r>
        <w:rPr>
          <w:rFonts w:hint="eastAsia" w:hAnsi="宋体"/>
          <w:color w:val="auto"/>
          <w:sz w:val="24"/>
          <w:szCs w:val="24"/>
          <w:highlight w:val="none"/>
        </w:rPr>
        <w:t>委托单位（盖章）：                      法定代表人（签字或盖章）：</w:t>
      </w:r>
    </w:p>
    <w:p w14:paraId="754337A1">
      <w:pPr>
        <w:pStyle w:val="226"/>
        <w:spacing w:line="360" w:lineRule="auto"/>
        <w:ind w:firstLine="480"/>
        <w:rPr>
          <w:rFonts w:hAnsi="宋体"/>
          <w:color w:val="auto"/>
          <w:sz w:val="24"/>
          <w:szCs w:val="24"/>
          <w:highlight w:val="none"/>
        </w:rPr>
      </w:pPr>
    </w:p>
    <w:p w14:paraId="13BE9FDF">
      <w:pPr>
        <w:pStyle w:val="226"/>
        <w:spacing w:line="360" w:lineRule="auto"/>
        <w:ind w:firstLine="480"/>
        <w:rPr>
          <w:rFonts w:hint="eastAsia" w:hAnsi="宋体"/>
          <w:color w:val="auto"/>
          <w:sz w:val="24"/>
          <w:szCs w:val="24"/>
          <w:highlight w:val="none"/>
        </w:rPr>
      </w:pPr>
      <w:r>
        <w:rPr>
          <w:rFonts w:hint="eastAsia" w:hAnsi="宋体"/>
          <w:color w:val="auto"/>
          <w:sz w:val="24"/>
          <w:szCs w:val="24"/>
          <w:highlight w:val="none"/>
        </w:rPr>
        <w:t>签发日期：</w:t>
      </w:r>
      <w:r>
        <w:rPr>
          <w:rFonts w:hint="eastAsia" w:hAnsi="宋体"/>
          <w:color w:val="auto"/>
          <w:sz w:val="24"/>
          <w:szCs w:val="24"/>
          <w:highlight w:val="none"/>
          <w:u w:val="single"/>
        </w:rPr>
        <w:t xml:space="preserve">     </w:t>
      </w:r>
      <w:r>
        <w:rPr>
          <w:rFonts w:hint="eastAsia" w:hAnsi="宋体"/>
          <w:color w:val="auto"/>
          <w:sz w:val="24"/>
          <w:szCs w:val="24"/>
          <w:highlight w:val="none"/>
        </w:rPr>
        <w:t>年</w:t>
      </w:r>
      <w:r>
        <w:rPr>
          <w:rFonts w:hint="eastAsia" w:hAnsi="宋体"/>
          <w:color w:val="auto"/>
          <w:sz w:val="24"/>
          <w:szCs w:val="24"/>
          <w:highlight w:val="none"/>
          <w:u w:val="single"/>
        </w:rPr>
        <w:t xml:space="preserve">    </w:t>
      </w:r>
      <w:r>
        <w:rPr>
          <w:rFonts w:hint="eastAsia" w:hAnsi="宋体"/>
          <w:color w:val="auto"/>
          <w:sz w:val="24"/>
          <w:szCs w:val="24"/>
          <w:highlight w:val="none"/>
        </w:rPr>
        <w:t>月</w:t>
      </w:r>
      <w:r>
        <w:rPr>
          <w:rFonts w:hint="eastAsia" w:hAnsi="宋体"/>
          <w:color w:val="auto"/>
          <w:sz w:val="24"/>
          <w:szCs w:val="24"/>
          <w:highlight w:val="none"/>
          <w:u w:val="single"/>
        </w:rPr>
        <w:t xml:space="preserve">    </w:t>
      </w:r>
      <w:r>
        <w:rPr>
          <w:rFonts w:hint="eastAsia" w:hAnsi="宋体"/>
          <w:color w:val="auto"/>
          <w:sz w:val="24"/>
          <w:szCs w:val="24"/>
          <w:highlight w:val="none"/>
        </w:rPr>
        <w:t>日</w:t>
      </w:r>
    </w:p>
    <w:p w14:paraId="53E708DB">
      <w:pPr>
        <w:pStyle w:val="226"/>
        <w:spacing w:line="360" w:lineRule="auto"/>
        <w:ind w:firstLine="482"/>
        <w:rPr>
          <w:rFonts w:hint="eastAsia" w:hAnsi="宋体"/>
          <w:b/>
          <w:color w:val="auto"/>
          <w:sz w:val="24"/>
          <w:szCs w:val="24"/>
          <w:highlight w:val="none"/>
        </w:rPr>
      </w:pPr>
      <w:r>
        <w:rPr>
          <w:rFonts w:hint="eastAsia" w:hAnsi="宋体"/>
          <w:b/>
          <w:color w:val="auto"/>
          <w:sz w:val="24"/>
          <w:szCs w:val="24"/>
          <w:highlight w:val="none"/>
        </w:rPr>
        <w:t>附法定代表人与委托代理人身份证明正反面电子件。</w:t>
      </w:r>
    </w:p>
    <w:p w14:paraId="473FBAEA">
      <w:pPr>
        <w:pStyle w:val="226"/>
        <w:spacing w:line="360" w:lineRule="auto"/>
        <w:ind w:firstLine="480"/>
        <w:rPr>
          <w:rFonts w:hAnsi="宋体"/>
          <w:color w:val="auto"/>
          <w:sz w:val="24"/>
          <w:szCs w:val="24"/>
          <w:highlight w:val="none"/>
        </w:rPr>
      </w:pPr>
    </w:p>
    <w:p w14:paraId="3CB46041">
      <w:pPr>
        <w:pStyle w:val="226"/>
        <w:spacing w:line="360" w:lineRule="auto"/>
        <w:ind w:firstLine="480"/>
        <w:rPr>
          <w:rFonts w:hint="eastAsia" w:hAnsi="宋体"/>
          <w:color w:val="auto"/>
          <w:sz w:val="24"/>
          <w:szCs w:val="24"/>
          <w:highlight w:val="none"/>
        </w:rPr>
      </w:pPr>
    </w:p>
    <w:p w14:paraId="308C03E3">
      <w:pPr>
        <w:pStyle w:val="226"/>
        <w:spacing w:line="360" w:lineRule="auto"/>
        <w:ind w:firstLine="480"/>
        <w:rPr>
          <w:rFonts w:hint="eastAsia" w:hAnsi="宋体"/>
          <w:color w:val="auto"/>
          <w:sz w:val="24"/>
          <w:szCs w:val="24"/>
          <w:highlight w:val="none"/>
        </w:rPr>
      </w:pPr>
    </w:p>
    <w:p w14:paraId="173D22AE">
      <w:pPr>
        <w:pStyle w:val="226"/>
        <w:spacing w:line="360" w:lineRule="auto"/>
        <w:ind w:firstLine="480"/>
        <w:rPr>
          <w:rFonts w:hint="eastAsia" w:hAnsi="宋体"/>
          <w:color w:val="auto"/>
          <w:sz w:val="24"/>
          <w:szCs w:val="24"/>
          <w:highlight w:val="none"/>
        </w:rPr>
      </w:pPr>
    </w:p>
    <w:p w14:paraId="372B6944">
      <w:pPr>
        <w:pStyle w:val="226"/>
        <w:spacing w:line="360" w:lineRule="auto"/>
        <w:ind w:firstLine="480"/>
        <w:rPr>
          <w:rFonts w:hint="eastAsia" w:hAnsi="宋体"/>
          <w:color w:val="auto"/>
          <w:sz w:val="24"/>
          <w:szCs w:val="24"/>
          <w:highlight w:val="none"/>
        </w:rPr>
      </w:pPr>
      <w:r>
        <w:rPr>
          <w:rFonts w:hint="eastAsia" w:hAnsi="宋体"/>
          <w:color w:val="auto"/>
          <w:sz w:val="24"/>
          <w:szCs w:val="24"/>
          <w:highlight w:val="none"/>
        </w:rPr>
        <w:t>说明：</w:t>
      </w:r>
    </w:p>
    <w:p w14:paraId="4912CF22">
      <w:pPr>
        <w:pStyle w:val="226"/>
        <w:spacing w:line="360" w:lineRule="auto"/>
        <w:ind w:firstLine="480"/>
        <w:rPr>
          <w:rFonts w:hAnsi="宋体"/>
          <w:color w:val="auto"/>
          <w:sz w:val="24"/>
          <w:szCs w:val="24"/>
          <w:highlight w:val="none"/>
        </w:rPr>
      </w:pPr>
      <w:r>
        <w:rPr>
          <w:rFonts w:hint="eastAsia" w:hAnsi="宋体"/>
          <w:color w:val="auto"/>
          <w:sz w:val="24"/>
          <w:szCs w:val="24"/>
          <w:highlight w:val="none"/>
        </w:rPr>
        <w:t>1．委托书内容填写应当明确、文字工整清楚，涂改无效。</w:t>
      </w:r>
    </w:p>
    <w:p w14:paraId="29794531">
      <w:pPr>
        <w:pStyle w:val="226"/>
        <w:spacing w:line="360" w:lineRule="auto"/>
        <w:ind w:firstLine="480"/>
        <w:rPr>
          <w:rFonts w:hint="eastAsia" w:hAnsi="宋体"/>
          <w:color w:val="auto"/>
          <w:sz w:val="24"/>
          <w:szCs w:val="24"/>
          <w:highlight w:val="none"/>
        </w:rPr>
      </w:pPr>
      <w:r>
        <w:rPr>
          <w:rFonts w:hint="eastAsia" w:hAnsi="宋体"/>
          <w:color w:val="auto"/>
          <w:sz w:val="24"/>
          <w:szCs w:val="24"/>
          <w:highlight w:val="none"/>
        </w:rPr>
        <w:t>2．委托书不得转借、转让、买卖。</w:t>
      </w:r>
    </w:p>
    <w:p w14:paraId="00CA21B5">
      <w:pPr>
        <w:pStyle w:val="226"/>
        <w:spacing w:line="360" w:lineRule="auto"/>
        <w:ind w:firstLine="480"/>
        <w:rPr>
          <w:rFonts w:hAnsi="宋体"/>
          <w:color w:val="auto"/>
          <w:sz w:val="24"/>
          <w:szCs w:val="24"/>
          <w:highlight w:val="none"/>
        </w:rPr>
      </w:pPr>
      <w:r>
        <w:rPr>
          <w:rFonts w:hint="eastAsia" w:hAnsi="宋体"/>
          <w:color w:val="auto"/>
          <w:sz w:val="24"/>
          <w:szCs w:val="24"/>
          <w:highlight w:val="none"/>
        </w:rPr>
        <w:t>3．委托代理人根据授权范围，以委托单位的名义签订合同，并将此委托书提交给采购单位作为合同附件。</w:t>
      </w:r>
    </w:p>
    <w:p w14:paraId="2D9DBAF3">
      <w:pPr>
        <w:pStyle w:val="191"/>
        <w:numPr>
          <w:ilvl w:val="0"/>
          <w:numId w:val="0"/>
        </w:numPr>
        <w:spacing w:before="0" w:after="0" w:line="240" w:lineRule="auto"/>
        <w:rPr>
          <w:b w:val="0"/>
          <w:bCs w:val="0"/>
          <w:color w:val="auto"/>
          <w:szCs w:val="21"/>
          <w:highlight w:val="none"/>
        </w:rPr>
      </w:pPr>
      <w:r>
        <w:rPr>
          <w:rFonts w:ascii="宋体" w:hAnsi="宋体"/>
          <w:color w:val="auto"/>
          <w:sz w:val="24"/>
          <w:highlight w:val="none"/>
        </w:rPr>
        <w:br w:type="page" w:clear="all"/>
      </w:r>
      <w:r>
        <w:rPr>
          <w:rFonts w:hint="eastAsia"/>
          <w:color w:val="auto"/>
          <w:sz w:val="24"/>
          <w:highlight w:val="none"/>
        </w:rPr>
        <w:t>格式9、商务条款偏离表</w:t>
      </w:r>
    </w:p>
    <w:p w14:paraId="7F0FFEB4">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商务条款偏离表</w:t>
      </w:r>
    </w:p>
    <w:p w14:paraId="7E17E064">
      <w:pPr>
        <w:spacing w:line="360" w:lineRule="auto"/>
        <w:ind w:firstLine="480"/>
        <w:rPr>
          <w:rFonts w:ascii="宋体" w:hAnsi="宋体"/>
          <w:b/>
          <w:bCs/>
          <w:color w:val="auto"/>
          <w:sz w:val="24"/>
          <w:highlight w:val="none"/>
        </w:rPr>
      </w:pPr>
      <w:r>
        <w:rPr>
          <w:rFonts w:hint="eastAsia" w:ascii="宋体" w:hAnsi="宋体"/>
          <w:color w:val="auto"/>
          <w:sz w:val="24"/>
          <w:highlight w:val="none"/>
        </w:rPr>
        <w:t>请逐条对应采购文件“项目需求”等内容要求的商务条件，填写该表。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0"/>
        <w:gridCol w:w="2602"/>
        <w:gridCol w:w="2746"/>
        <w:gridCol w:w="2293"/>
      </w:tblGrid>
      <w:tr w14:paraId="5F556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center"/>
          </w:tcPr>
          <w:p w14:paraId="24F25AAF">
            <w:pPr>
              <w:spacing w:line="360" w:lineRule="auto"/>
              <w:jc w:val="center"/>
              <w:rPr>
                <w:rFonts w:ascii="宋体" w:hAnsi="宋体"/>
                <w:color w:val="auto"/>
                <w:sz w:val="24"/>
                <w:highlight w:val="none"/>
              </w:rPr>
            </w:pPr>
            <w:r>
              <w:rPr>
                <w:rFonts w:hint="eastAsia" w:ascii="宋体" w:hAnsi="宋体"/>
                <w:color w:val="auto"/>
                <w:sz w:val="24"/>
                <w:highlight w:val="none"/>
              </w:rPr>
              <w:t>项号</w:t>
            </w:r>
          </w:p>
        </w:tc>
        <w:tc>
          <w:tcPr>
            <w:tcW w:w="2602" w:type="dxa"/>
            <w:noWrap w:val="0"/>
            <w:vAlign w:val="center"/>
          </w:tcPr>
          <w:p w14:paraId="56796FC8">
            <w:pPr>
              <w:spacing w:line="360" w:lineRule="auto"/>
              <w:jc w:val="center"/>
              <w:rPr>
                <w:rFonts w:ascii="宋体" w:hAnsi="宋体"/>
                <w:color w:val="auto"/>
                <w:sz w:val="24"/>
                <w:highlight w:val="none"/>
              </w:rPr>
            </w:pPr>
            <w:r>
              <w:rPr>
                <w:rFonts w:hint="eastAsia" w:ascii="宋体" w:hAnsi="宋体"/>
                <w:color w:val="auto"/>
                <w:sz w:val="24"/>
                <w:highlight w:val="none"/>
              </w:rPr>
              <w:t>采购文件的商务条款</w:t>
            </w:r>
          </w:p>
        </w:tc>
        <w:tc>
          <w:tcPr>
            <w:tcW w:w="2746" w:type="dxa"/>
            <w:noWrap w:val="0"/>
            <w:vAlign w:val="center"/>
          </w:tcPr>
          <w:p w14:paraId="10935F63">
            <w:pPr>
              <w:spacing w:line="360" w:lineRule="auto"/>
              <w:jc w:val="center"/>
              <w:rPr>
                <w:rFonts w:ascii="宋体" w:hAnsi="宋体"/>
                <w:color w:val="auto"/>
                <w:sz w:val="24"/>
                <w:highlight w:val="none"/>
              </w:rPr>
            </w:pPr>
            <w:r>
              <w:rPr>
                <w:rFonts w:hint="eastAsia" w:ascii="宋体" w:hAnsi="宋体"/>
                <w:color w:val="auto"/>
                <w:sz w:val="24"/>
                <w:highlight w:val="none"/>
              </w:rPr>
              <w:t>响应文件的商务条款</w:t>
            </w:r>
          </w:p>
        </w:tc>
        <w:tc>
          <w:tcPr>
            <w:tcW w:w="2293" w:type="dxa"/>
            <w:noWrap w:val="0"/>
            <w:vAlign w:val="center"/>
          </w:tcPr>
          <w:p w14:paraId="5574DF47">
            <w:pPr>
              <w:spacing w:line="360" w:lineRule="auto"/>
              <w:jc w:val="center"/>
              <w:rPr>
                <w:rFonts w:ascii="宋体" w:hAnsi="宋体"/>
                <w:color w:val="auto"/>
                <w:sz w:val="24"/>
                <w:highlight w:val="none"/>
              </w:rPr>
            </w:pPr>
            <w:r>
              <w:rPr>
                <w:rFonts w:hint="eastAsia" w:ascii="宋体" w:hAnsi="宋体"/>
                <w:color w:val="auto"/>
                <w:sz w:val="24"/>
                <w:highlight w:val="none"/>
              </w:rPr>
              <w:t>偏离说明</w:t>
            </w:r>
          </w:p>
        </w:tc>
      </w:tr>
      <w:tr w14:paraId="1D623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365CC16E">
            <w:pPr>
              <w:spacing w:line="360" w:lineRule="auto"/>
              <w:ind w:firstLine="480"/>
              <w:jc w:val="center"/>
              <w:rPr>
                <w:rFonts w:ascii="宋体" w:hAnsi="宋体"/>
                <w:color w:val="auto"/>
                <w:sz w:val="24"/>
                <w:highlight w:val="none"/>
              </w:rPr>
            </w:pPr>
          </w:p>
        </w:tc>
        <w:tc>
          <w:tcPr>
            <w:tcW w:w="2602" w:type="dxa"/>
            <w:noWrap w:val="0"/>
            <w:vAlign w:val="top"/>
          </w:tcPr>
          <w:p w14:paraId="6E83306A">
            <w:pPr>
              <w:spacing w:line="360" w:lineRule="auto"/>
              <w:ind w:firstLine="480"/>
              <w:jc w:val="center"/>
              <w:rPr>
                <w:rFonts w:ascii="宋体" w:hAnsi="宋体"/>
                <w:color w:val="auto"/>
                <w:sz w:val="24"/>
                <w:highlight w:val="none"/>
              </w:rPr>
            </w:pPr>
          </w:p>
        </w:tc>
        <w:tc>
          <w:tcPr>
            <w:tcW w:w="2746" w:type="dxa"/>
            <w:noWrap w:val="0"/>
            <w:vAlign w:val="top"/>
          </w:tcPr>
          <w:p w14:paraId="2058A2CB">
            <w:pPr>
              <w:spacing w:line="360" w:lineRule="auto"/>
              <w:ind w:firstLine="480"/>
              <w:jc w:val="center"/>
              <w:rPr>
                <w:rFonts w:ascii="宋体" w:hAnsi="宋体"/>
                <w:color w:val="auto"/>
                <w:sz w:val="24"/>
                <w:highlight w:val="none"/>
              </w:rPr>
            </w:pPr>
          </w:p>
        </w:tc>
        <w:tc>
          <w:tcPr>
            <w:tcW w:w="2293" w:type="dxa"/>
            <w:noWrap w:val="0"/>
            <w:vAlign w:val="top"/>
          </w:tcPr>
          <w:p w14:paraId="5888179C">
            <w:pPr>
              <w:spacing w:line="360" w:lineRule="auto"/>
              <w:ind w:firstLine="480"/>
              <w:jc w:val="center"/>
              <w:rPr>
                <w:rFonts w:ascii="宋体" w:hAnsi="宋体"/>
                <w:color w:val="auto"/>
                <w:sz w:val="24"/>
                <w:highlight w:val="none"/>
              </w:rPr>
            </w:pPr>
          </w:p>
        </w:tc>
      </w:tr>
      <w:tr w14:paraId="756EE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5390378C">
            <w:pPr>
              <w:spacing w:line="360" w:lineRule="auto"/>
              <w:ind w:firstLine="480"/>
              <w:jc w:val="center"/>
              <w:rPr>
                <w:rFonts w:ascii="宋体" w:hAnsi="宋体"/>
                <w:color w:val="auto"/>
                <w:sz w:val="24"/>
                <w:highlight w:val="none"/>
              </w:rPr>
            </w:pPr>
          </w:p>
        </w:tc>
        <w:tc>
          <w:tcPr>
            <w:tcW w:w="2602" w:type="dxa"/>
            <w:noWrap w:val="0"/>
            <w:vAlign w:val="top"/>
          </w:tcPr>
          <w:p w14:paraId="531DAD4F">
            <w:pPr>
              <w:spacing w:line="360" w:lineRule="auto"/>
              <w:ind w:firstLine="480"/>
              <w:jc w:val="center"/>
              <w:rPr>
                <w:rFonts w:ascii="宋体" w:hAnsi="宋体"/>
                <w:color w:val="auto"/>
                <w:sz w:val="24"/>
                <w:highlight w:val="none"/>
              </w:rPr>
            </w:pPr>
          </w:p>
        </w:tc>
        <w:tc>
          <w:tcPr>
            <w:tcW w:w="2746" w:type="dxa"/>
            <w:noWrap w:val="0"/>
            <w:vAlign w:val="top"/>
          </w:tcPr>
          <w:p w14:paraId="14C609EF">
            <w:pPr>
              <w:spacing w:line="360" w:lineRule="auto"/>
              <w:ind w:firstLine="480"/>
              <w:jc w:val="center"/>
              <w:rPr>
                <w:rFonts w:ascii="宋体" w:hAnsi="宋体"/>
                <w:color w:val="auto"/>
                <w:sz w:val="24"/>
                <w:highlight w:val="none"/>
              </w:rPr>
            </w:pPr>
          </w:p>
        </w:tc>
        <w:tc>
          <w:tcPr>
            <w:tcW w:w="2293" w:type="dxa"/>
            <w:noWrap w:val="0"/>
            <w:vAlign w:val="top"/>
          </w:tcPr>
          <w:p w14:paraId="114A4E39">
            <w:pPr>
              <w:spacing w:line="360" w:lineRule="auto"/>
              <w:ind w:firstLine="480"/>
              <w:jc w:val="center"/>
              <w:rPr>
                <w:rFonts w:ascii="宋体" w:hAnsi="宋体"/>
                <w:color w:val="auto"/>
                <w:sz w:val="24"/>
                <w:highlight w:val="none"/>
              </w:rPr>
            </w:pPr>
          </w:p>
        </w:tc>
      </w:tr>
      <w:tr w14:paraId="0AF54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53D0F6D7">
            <w:pPr>
              <w:spacing w:line="360" w:lineRule="auto"/>
              <w:ind w:firstLine="480"/>
              <w:jc w:val="center"/>
              <w:rPr>
                <w:rFonts w:ascii="宋体" w:hAnsi="宋体"/>
                <w:color w:val="auto"/>
                <w:sz w:val="24"/>
                <w:highlight w:val="none"/>
              </w:rPr>
            </w:pPr>
          </w:p>
        </w:tc>
        <w:tc>
          <w:tcPr>
            <w:tcW w:w="2602" w:type="dxa"/>
            <w:noWrap w:val="0"/>
            <w:vAlign w:val="top"/>
          </w:tcPr>
          <w:p w14:paraId="28B84A8C">
            <w:pPr>
              <w:spacing w:line="360" w:lineRule="auto"/>
              <w:ind w:firstLine="480"/>
              <w:jc w:val="center"/>
              <w:rPr>
                <w:rFonts w:ascii="宋体" w:hAnsi="宋体"/>
                <w:color w:val="auto"/>
                <w:sz w:val="24"/>
                <w:highlight w:val="none"/>
              </w:rPr>
            </w:pPr>
          </w:p>
        </w:tc>
        <w:tc>
          <w:tcPr>
            <w:tcW w:w="2746" w:type="dxa"/>
            <w:noWrap w:val="0"/>
            <w:vAlign w:val="top"/>
          </w:tcPr>
          <w:p w14:paraId="03F61F3D">
            <w:pPr>
              <w:spacing w:line="360" w:lineRule="auto"/>
              <w:ind w:firstLine="480"/>
              <w:jc w:val="center"/>
              <w:rPr>
                <w:rFonts w:ascii="宋体" w:hAnsi="宋体"/>
                <w:color w:val="auto"/>
                <w:sz w:val="24"/>
                <w:highlight w:val="none"/>
              </w:rPr>
            </w:pPr>
          </w:p>
        </w:tc>
        <w:tc>
          <w:tcPr>
            <w:tcW w:w="2293" w:type="dxa"/>
            <w:noWrap w:val="0"/>
            <w:vAlign w:val="top"/>
          </w:tcPr>
          <w:p w14:paraId="17846E4E">
            <w:pPr>
              <w:spacing w:line="360" w:lineRule="auto"/>
              <w:ind w:firstLine="480"/>
              <w:jc w:val="center"/>
              <w:rPr>
                <w:rFonts w:ascii="宋体" w:hAnsi="宋体"/>
                <w:color w:val="auto"/>
                <w:sz w:val="24"/>
                <w:highlight w:val="none"/>
              </w:rPr>
            </w:pPr>
          </w:p>
        </w:tc>
      </w:tr>
      <w:tr w14:paraId="50813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4A2FA891">
            <w:pPr>
              <w:spacing w:line="360" w:lineRule="auto"/>
              <w:ind w:firstLine="480"/>
              <w:jc w:val="center"/>
              <w:rPr>
                <w:rFonts w:ascii="宋体" w:hAnsi="宋体"/>
                <w:color w:val="auto"/>
                <w:sz w:val="24"/>
                <w:highlight w:val="none"/>
              </w:rPr>
            </w:pPr>
          </w:p>
        </w:tc>
        <w:tc>
          <w:tcPr>
            <w:tcW w:w="2602" w:type="dxa"/>
            <w:noWrap w:val="0"/>
            <w:vAlign w:val="top"/>
          </w:tcPr>
          <w:p w14:paraId="3AD03455">
            <w:pPr>
              <w:spacing w:line="360" w:lineRule="auto"/>
              <w:ind w:firstLine="480"/>
              <w:jc w:val="center"/>
              <w:rPr>
                <w:rFonts w:ascii="宋体" w:hAnsi="宋体"/>
                <w:color w:val="auto"/>
                <w:sz w:val="24"/>
                <w:highlight w:val="none"/>
              </w:rPr>
            </w:pPr>
          </w:p>
        </w:tc>
        <w:tc>
          <w:tcPr>
            <w:tcW w:w="2746" w:type="dxa"/>
            <w:noWrap w:val="0"/>
            <w:vAlign w:val="top"/>
          </w:tcPr>
          <w:p w14:paraId="44CB3763">
            <w:pPr>
              <w:spacing w:line="360" w:lineRule="auto"/>
              <w:ind w:firstLine="480"/>
              <w:jc w:val="center"/>
              <w:rPr>
                <w:rFonts w:ascii="宋体" w:hAnsi="宋体"/>
                <w:color w:val="auto"/>
                <w:sz w:val="24"/>
                <w:highlight w:val="none"/>
              </w:rPr>
            </w:pPr>
          </w:p>
        </w:tc>
        <w:tc>
          <w:tcPr>
            <w:tcW w:w="2293" w:type="dxa"/>
            <w:noWrap w:val="0"/>
            <w:vAlign w:val="top"/>
          </w:tcPr>
          <w:p w14:paraId="4229F050">
            <w:pPr>
              <w:spacing w:line="360" w:lineRule="auto"/>
              <w:ind w:firstLine="480"/>
              <w:jc w:val="center"/>
              <w:rPr>
                <w:rFonts w:ascii="宋体" w:hAnsi="宋体"/>
                <w:color w:val="auto"/>
                <w:sz w:val="24"/>
                <w:highlight w:val="none"/>
              </w:rPr>
            </w:pPr>
          </w:p>
        </w:tc>
      </w:tr>
      <w:tr w14:paraId="0902E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0856E7D2">
            <w:pPr>
              <w:spacing w:line="360" w:lineRule="auto"/>
              <w:ind w:firstLine="480"/>
              <w:jc w:val="center"/>
              <w:rPr>
                <w:rFonts w:ascii="宋体" w:hAnsi="宋体"/>
                <w:color w:val="auto"/>
                <w:sz w:val="24"/>
                <w:highlight w:val="none"/>
              </w:rPr>
            </w:pPr>
          </w:p>
        </w:tc>
        <w:tc>
          <w:tcPr>
            <w:tcW w:w="2602" w:type="dxa"/>
            <w:noWrap w:val="0"/>
            <w:vAlign w:val="top"/>
          </w:tcPr>
          <w:p w14:paraId="6467DEDF">
            <w:pPr>
              <w:spacing w:line="360" w:lineRule="auto"/>
              <w:ind w:firstLine="480"/>
              <w:jc w:val="center"/>
              <w:rPr>
                <w:rFonts w:ascii="宋体" w:hAnsi="宋体"/>
                <w:color w:val="auto"/>
                <w:sz w:val="24"/>
                <w:highlight w:val="none"/>
              </w:rPr>
            </w:pPr>
          </w:p>
        </w:tc>
        <w:tc>
          <w:tcPr>
            <w:tcW w:w="2746" w:type="dxa"/>
            <w:noWrap w:val="0"/>
            <w:vAlign w:val="top"/>
          </w:tcPr>
          <w:p w14:paraId="489E3379">
            <w:pPr>
              <w:spacing w:line="360" w:lineRule="auto"/>
              <w:ind w:firstLine="480"/>
              <w:jc w:val="center"/>
              <w:rPr>
                <w:rFonts w:ascii="宋体" w:hAnsi="宋体"/>
                <w:color w:val="auto"/>
                <w:sz w:val="24"/>
                <w:highlight w:val="none"/>
              </w:rPr>
            </w:pPr>
          </w:p>
        </w:tc>
        <w:tc>
          <w:tcPr>
            <w:tcW w:w="2293" w:type="dxa"/>
            <w:noWrap w:val="0"/>
            <w:vAlign w:val="top"/>
          </w:tcPr>
          <w:p w14:paraId="73939CDD">
            <w:pPr>
              <w:spacing w:line="360" w:lineRule="auto"/>
              <w:ind w:firstLine="480"/>
              <w:jc w:val="center"/>
              <w:rPr>
                <w:rFonts w:ascii="宋体" w:hAnsi="宋体"/>
                <w:color w:val="auto"/>
                <w:sz w:val="24"/>
                <w:highlight w:val="none"/>
              </w:rPr>
            </w:pPr>
          </w:p>
        </w:tc>
      </w:tr>
      <w:tr w14:paraId="20E67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13375004">
            <w:pPr>
              <w:spacing w:line="360" w:lineRule="auto"/>
              <w:ind w:firstLine="480"/>
              <w:jc w:val="center"/>
              <w:rPr>
                <w:rFonts w:ascii="宋体" w:hAnsi="宋体"/>
                <w:color w:val="auto"/>
                <w:sz w:val="24"/>
                <w:highlight w:val="none"/>
              </w:rPr>
            </w:pPr>
          </w:p>
        </w:tc>
        <w:tc>
          <w:tcPr>
            <w:tcW w:w="2602" w:type="dxa"/>
            <w:noWrap w:val="0"/>
            <w:vAlign w:val="top"/>
          </w:tcPr>
          <w:p w14:paraId="3EC3E0FD">
            <w:pPr>
              <w:spacing w:line="360" w:lineRule="auto"/>
              <w:ind w:firstLine="480"/>
              <w:jc w:val="center"/>
              <w:rPr>
                <w:rFonts w:ascii="宋体" w:hAnsi="宋体"/>
                <w:color w:val="auto"/>
                <w:sz w:val="24"/>
                <w:highlight w:val="none"/>
              </w:rPr>
            </w:pPr>
          </w:p>
        </w:tc>
        <w:tc>
          <w:tcPr>
            <w:tcW w:w="2746" w:type="dxa"/>
            <w:noWrap w:val="0"/>
            <w:vAlign w:val="top"/>
          </w:tcPr>
          <w:p w14:paraId="3B53A006">
            <w:pPr>
              <w:spacing w:line="360" w:lineRule="auto"/>
              <w:ind w:firstLine="480"/>
              <w:jc w:val="center"/>
              <w:rPr>
                <w:rFonts w:ascii="宋体" w:hAnsi="宋体"/>
                <w:color w:val="auto"/>
                <w:sz w:val="24"/>
                <w:highlight w:val="none"/>
              </w:rPr>
            </w:pPr>
          </w:p>
        </w:tc>
        <w:tc>
          <w:tcPr>
            <w:tcW w:w="2293" w:type="dxa"/>
            <w:noWrap w:val="0"/>
            <w:vAlign w:val="top"/>
          </w:tcPr>
          <w:p w14:paraId="4CB69598">
            <w:pPr>
              <w:spacing w:line="360" w:lineRule="auto"/>
              <w:ind w:firstLine="480"/>
              <w:jc w:val="center"/>
              <w:rPr>
                <w:rFonts w:ascii="宋体" w:hAnsi="宋体"/>
                <w:color w:val="auto"/>
                <w:sz w:val="24"/>
                <w:highlight w:val="none"/>
              </w:rPr>
            </w:pPr>
          </w:p>
        </w:tc>
      </w:tr>
      <w:tr w14:paraId="6B8EF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38C27E27">
            <w:pPr>
              <w:spacing w:line="360" w:lineRule="auto"/>
              <w:ind w:firstLine="480"/>
              <w:jc w:val="center"/>
              <w:rPr>
                <w:rFonts w:ascii="宋体" w:hAnsi="宋体"/>
                <w:color w:val="auto"/>
                <w:sz w:val="24"/>
                <w:highlight w:val="none"/>
              </w:rPr>
            </w:pPr>
          </w:p>
        </w:tc>
        <w:tc>
          <w:tcPr>
            <w:tcW w:w="2602" w:type="dxa"/>
            <w:noWrap w:val="0"/>
            <w:vAlign w:val="top"/>
          </w:tcPr>
          <w:p w14:paraId="66226A4B">
            <w:pPr>
              <w:spacing w:line="360" w:lineRule="auto"/>
              <w:ind w:firstLine="480"/>
              <w:jc w:val="center"/>
              <w:rPr>
                <w:rFonts w:ascii="宋体" w:hAnsi="宋体"/>
                <w:color w:val="auto"/>
                <w:sz w:val="24"/>
                <w:highlight w:val="none"/>
              </w:rPr>
            </w:pPr>
          </w:p>
        </w:tc>
        <w:tc>
          <w:tcPr>
            <w:tcW w:w="2746" w:type="dxa"/>
            <w:noWrap w:val="0"/>
            <w:vAlign w:val="top"/>
          </w:tcPr>
          <w:p w14:paraId="4479558B">
            <w:pPr>
              <w:spacing w:line="360" w:lineRule="auto"/>
              <w:ind w:firstLine="480"/>
              <w:jc w:val="center"/>
              <w:rPr>
                <w:rFonts w:ascii="宋体" w:hAnsi="宋体"/>
                <w:color w:val="auto"/>
                <w:sz w:val="24"/>
                <w:highlight w:val="none"/>
              </w:rPr>
            </w:pPr>
          </w:p>
        </w:tc>
        <w:tc>
          <w:tcPr>
            <w:tcW w:w="2293" w:type="dxa"/>
            <w:noWrap w:val="0"/>
            <w:vAlign w:val="top"/>
          </w:tcPr>
          <w:p w14:paraId="7C8C9FBF">
            <w:pPr>
              <w:spacing w:line="360" w:lineRule="auto"/>
              <w:ind w:firstLine="480"/>
              <w:jc w:val="center"/>
              <w:rPr>
                <w:rFonts w:ascii="宋体" w:hAnsi="宋体"/>
                <w:color w:val="auto"/>
                <w:sz w:val="24"/>
                <w:highlight w:val="none"/>
              </w:rPr>
            </w:pPr>
          </w:p>
        </w:tc>
      </w:tr>
      <w:tr w14:paraId="1F93B5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5058B542">
            <w:pPr>
              <w:spacing w:line="360" w:lineRule="auto"/>
              <w:ind w:firstLine="480"/>
              <w:jc w:val="center"/>
              <w:rPr>
                <w:rFonts w:ascii="宋体" w:hAnsi="宋体"/>
                <w:color w:val="auto"/>
                <w:sz w:val="24"/>
                <w:highlight w:val="none"/>
              </w:rPr>
            </w:pPr>
          </w:p>
        </w:tc>
        <w:tc>
          <w:tcPr>
            <w:tcW w:w="2602" w:type="dxa"/>
            <w:noWrap w:val="0"/>
            <w:vAlign w:val="top"/>
          </w:tcPr>
          <w:p w14:paraId="3AE843A6">
            <w:pPr>
              <w:spacing w:line="360" w:lineRule="auto"/>
              <w:ind w:firstLine="480"/>
              <w:jc w:val="center"/>
              <w:rPr>
                <w:rFonts w:ascii="宋体" w:hAnsi="宋体"/>
                <w:color w:val="auto"/>
                <w:sz w:val="24"/>
                <w:highlight w:val="none"/>
              </w:rPr>
            </w:pPr>
          </w:p>
        </w:tc>
        <w:tc>
          <w:tcPr>
            <w:tcW w:w="2746" w:type="dxa"/>
            <w:noWrap w:val="0"/>
            <w:vAlign w:val="top"/>
          </w:tcPr>
          <w:p w14:paraId="07EAA899">
            <w:pPr>
              <w:spacing w:line="360" w:lineRule="auto"/>
              <w:ind w:firstLine="480"/>
              <w:jc w:val="center"/>
              <w:rPr>
                <w:rFonts w:ascii="宋体" w:hAnsi="宋体"/>
                <w:color w:val="auto"/>
                <w:sz w:val="24"/>
                <w:highlight w:val="none"/>
              </w:rPr>
            </w:pPr>
          </w:p>
        </w:tc>
        <w:tc>
          <w:tcPr>
            <w:tcW w:w="2293" w:type="dxa"/>
            <w:noWrap w:val="0"/>
            <w:vAlign w:val="top"/>
          </w:tcPr>
          <w:p w14:paraId="62C3A744">
            <w:pPr>
              <w:spacing w:line="360" w:lineRule="auto"/>
              <w:ind w:firstLine="480"/>
              <w:jc w:val="center"/>
              <w:rPr>
                <w:rFonts w:ascii="宋体" w:hAnsi="宋体"/>
                <w:color w:val="auto"/>
                <w:sz w:val="24"/>
                <w:highlight w:val="none"/>
              </w:rPr>
            </w:pPr>
          </w:p>
        </w:tc>
      </w:tr>
      <w:tr w14:paraId="7B45B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4BA1DE3A">
            <w:pPr>
              <w:spacing w:line="360" w:lineRule="auto"/>
              <w:ind w:firstLine="480"/>
              <w:jc w:val="center"/>
              <w:rPr>
                <w:rFonts w:ascii="宋体" w:hAnsi="宋体"/>
                <w:color w:val="auto"/>
                <w:sz w:val="24"/>
                <w:highlight w:val="none"/>
              </w:rPr>
            </w:pPr>
          </w:p>
        </w:tc>
        <w:tc>
          <w:tcPr>
            <w:tcW w:w="2602" w:type="dxa"/>
            <w:noWrap w:val="0"/>
            <w:vAlign w:val="top"/>
          </w:tcPr>
          <w:p w14:paraId="65E5E93C">
            <w:pPr>
              <w:spacing w:line="360" w:lineRule="auto"/>
              <w:ind w:firstLine="480"/>
              <w:jc w:val="center"/>
              <w:rPr>
                <w:rFonts w:ascii="宋体" w:hAnsi="宋体"/>
                <w:color w:val="auto"/>
                <w:sz w:val="24"/>
                <w:highlight w:val="none"/>
              </w:rPr>
            </w:pPr>
          </w:p>
        </w:tc>
        <w:tc>
          <w:tcPr>
            <w:tcW w:w="2746" w:type="dxa"/>
            <w:noWrap w:val="0"/>
            <w:vAlign w:val="top"/>
          </w:tcPr>
          <w:p w14:paraId="5AB6D127">
            <w:pPr>
              <w:spacing w:line="360" w:lineRule="auto"/>
              <w:ind w:firstLine="480"/>
              <w:jc w:val="center"/>
              <w:rPr>
                <w:rFonts w:ascii="宋体" w:hAnsi="宋体"/>
                <w:color w:val="auto"/>
                <w:sz w:val="24"/>
                <w:highlight w:val="none"/>
              </w:rPr>
            </w:pPr>
          </w:p>
        </w:tc>
        <w:tc>
          <w:tcPr>
            <w:tcW w:w="2293" w:type="dxa"/>
            <w:noWrap w:val="0"/>
            <w:vAlign w:val="top"/>
          </w:tcPr>
          <w:p w14:paraId="298F4043">
            <w:pPr>
              <w:spacing w:line="360" w:lineRule="auto"/>
              <w:ind w:firstLine="480"/>
              <w:jc w:val="center"/>
              <w:rPr>
                <w:rFonts w:ascii="宋体" w:hAnsi="宋体"/>
                <w:color w:val="auto"/>
                <w:sz w:val="24"/>
                <w:highlight w:val="none"/>
              </w:rPr>
            </w:pPr>
          </w:p>
        </w:tc>
      </w:tr>
      <w:tr w14:paraId="6682B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6" w:hRule="atLeast"/>
          <w:jc w:val="center"/>
        </w:trPr>
        <w:tc>
          <w:tcPr>
            <w:tcW w:w="1010" w:type="dxa"/>
            <w:noWrap w:val="0"/>
            <w:vAlign w:val="top"/>
          </w:tcPr>
          <w:p w14:paraId="1D6461CA">
            <w:pPr>
              <w:spacing w:line="360" w:lineRule="auto"/>
              <w:ind w:firstLine="480"/>
              <w:jc w:val="center"/>
              <w:rPr>
                <w:rFonts w:ascii="宋体" w:hAnsi="宋体"/>
                <w:color w:val="auto"/>
                <w:sz w:val="24"/>
                <w:highlight w:val="none"/>
              </w:rPr>
            </w:pPr>
          </w:p>
        </w:tc>
        <w:tc>
          <w:tcPr>
            <w:tcW w:w="2602" w:type="dxa"/>
            <w:noWrap w:val="0"/>
            <w:vAlign w:val="top"/>
          </w:tcPr>
          <w:p w14:paraId="2B6570E1">
            <w:pPr>
              <w:spacing w:line="360" w:lineRule="auto"/>
              <w:ind w:firstLine="480"/>
              <w:jc w:val="center"/>
              <w:rPr>
                <w:rFonts w:ascii="宋体" w:hAnsi="宋体"/>
                <w:color w:val="auto"/>
                <w:sz w:val="24"/>
                <w:highlight w:val="none"/>
              </w:rPr>
            </w:pPr>
          </w:p>
        </w:tc>
        <w:tc>
          <w:tcPr>
            <w:tcW w:w="2746" w:type="dxa"/>
            <w:noWrap w:val="0"/>
            <w:vAlign w:val="top"/>
          </w:tcPr>
          <w:p w14:paraId="3F52A789">
            <w:pPr>
              <w:spacing w:line="360" w:lineRule="auto"/>
              <w:ind w:firstLine="480"/>
              <w:jc w:val="center"/>
              <w:rPr>
                <w:rFonts w:ascii="宋体" w:hAnsi="宋体"/>
                <w:color w:val="auto"/>
                <w:sz w:val="24"/>
                <w:highlight w:val="none"/>
              </w:rPr>
            </w:pPr>
          </w:p>
        </w:tc>
        <w:tc>
          <w:tcPr>
            <w:tcW w:w="2293" w:type="dxa"/>
            <w:noWrap w:val="0"/>
            <w:vAlign w:val="top"/>
          </w:tcPr>
          <w:p w14:paraId="1CF4A1FE">
            <w:pPr>
              <w:spacing w:line="360" w:lineRule="auto"/>
              <w:ind w:firstLine="480"/>
              <w:jc w:val="center"/>
              <w:rPr>
                <w:rFonts w:ascii="宋体" w:hAnsi="宋体"/>
                <w:color w:val="auto"/>
                <w:sz w:val="24"/>
                <w:highlight w:val="none"/>
              </w:rPr>
            </w:pPr>
          </w:p>
        </w:tc>
      </w:tr>
    </w:tbl>
    <w:p w14:paraId="35A0EB83">
      <w:pPr>
        <w:pStyle w:val="226"/>
        <w:spacing w:line="400" w:lineRule="exact"/>
        <w:rPr>
          <w:rFonts w:hAnsi="宋体"/>
          <w:color w:val="auto"/>
          <w:highlight w:val="none"/>
        </w:rPr>
      </w:pPr>
      <w:r>
        <w:rPr>
          <w:rFonts w:hint="eastAsia" w:hAnsi="宋体"/>
          <w:color w:val="auto"/>
          <w:sz w:val="24"/>
          <w:szCs w:val="24"/>
          <w:highlight w:val="none"/>
        </w:rPr>
        <w:t>注：“偏离说明”填写“正偏离”“负偏离”或“无偏离”。</w:t>
      </w:r>
    </w:p>
    <w:p w14:paraId="35D6A1E3">
      <w:pPr>
        <w:spacing w:line="360" w:lineRule="auto"/>
        <w:ind w:firstLine="480"/>
        <w:jc w:val="left"/>
        <w:rPr>
          <w:rFonts w:hint="eastAsia" w:ascii="宋体" w:hAnsi="宋体"/>
          <w:bCs/>
          <w:color w:val="auto"/>
          <w:sz w:val="24"/>
          <w:highlight w:val="none"/>
        </w:rPr>
      </w:pPr>
    </w:p>
    <w:p w14:paraId="710E48F7">
      <w:pPr>
        <w:spacing w:line="360" w:lineRule="auto"/>
        <w:ind w:firstLine="480"/>
        <w:rPr>
          <w:color w:val="auto"/>
          <w:sz w:val="24"/>
          <w:highlight w:val="none"/>
        </w:rPr>
      </w:pPr>
      <w:r>
        <w:rPr>
          <w:rFonts w:hint="eastAsia"/>
          <w:color w:val="auto"/>
          <w:sz w:val="24"/>
          <w:highlight w:val="none"/>
        </w:rPr>
        <w:t>投标人（盖章）：</w:t>
      </w:r>
    </w:p>
    <w:p w14:paraId="78AE88A3">
      <w:pPr>
        <w:spacing w:line="360" w:lineRule="auto"/>
        <w:ind w:firstLine="480"/>
        <w:rPr>
          <w:color w:val="auto"/>
          <w:sz w:val="24"/>
          <w:highlight w:val="none"/>
        </w:rPr>
      </w:pPr>
      <w:r>
        <w:rPr>
          <w:rFonts w:hint="eastAsia"/>
          <w:color w:val="auto"/>
          <w:sz w:val="24"/>
          <w:highlight w:val="none"/>
        </w:rPr>
        <w:t>法定代表人或委托代理人（签字或盖章）：</w:t>
      </w:r>
    </w:p>
    <w:p w14:paraId="34B4CAF2">
      <w:pPr>
        <w:pStyle w:val="226"/>
        <w:spacing w:line="360" w:lineRule="auto"/>
        <w:ind w:firstLine="480"/>
        <w:rPr>
          <w:color w:val="auto"/>
          <w:sz w:val="24"/>
          <w:szCs w:val="24"/>
          <w:highlight w:val="none"/>
        </w:rPr>
      </w:pPr>
      <w:r>
        <w:rPr>
          <w:rFonts w:hint="eastAsia"/>
          <w:color w:val="auto"/>
          <w:sz w:val="24"/>
          <w:szCs w:val="24"/>
          <w:highlight w:val="none"/>
        </w:rPr>
        <w:t>日期：    年     月     日</w:t>
      </w:r>
    </w:p>
    <w:p w14:paraId="04D5A2F4">
      <w:pPr>
        <w:pStyle w:val="191"/>
        <w:numPr>
          <w:ilvl w:val="0"/>
          <w:numId w:val="0"/>
        </w:numPr>
        <w:spacing w:before="0" w:after="0" w:line="240" w:lineRule="auto"/>
        <w:rPr>
          <w:rFonts w:hAnsi="宋体"/>
          <w:color w:val="auto"/>
          <w:szCs w:val="21"/>
          <w:highlight w:val="none"/>
        </w:rPr>
      </w:pPr>
      <w:r>
        <w:rPr>
          <w:color w:val="auto"/>
          <w:highlight w:val="none"/>
        </w:rPr>
        <w:br w:type="page" w:clear="all"/>
      </w:r>
      <w:r>
        <w:rPr>
          <w:rFonts w:hint="eastAsia"/>
          <w:color w:val="auto"/>
          <w:sz w:val="24"/>
          <w:highlight w:val="none"/>
        </w:rPr>
        <w:t>格式10、售后服务承诺书</w:t>
      </w:r>
    </w:p>
    <w:p w14:paraId="4C06C8F6">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售后服务承诺书</w:t>
      </w:r>
    </w:p>
    <w:p w14:paraId="7650891A">
      <w:pPr>
        <w:pStyle w:val="226"/>
        <w:spacing w:line="360" w:lineRule="auto"/>
        <w:ind w:firstLine="480"/>
        <w:jc w:val="center"/>
        <w:rPr>
          <w:rFonts w:hAnsi="宋体"/>
          <w:color w:val="auto"/>
          <w:sz w:val="24"/>
          <w:szCs w:val="24"/>
          <w:highlight w:val="none"/>
        </w:rPr>
      </w:pPr>
      <w:r>
        <w:rPr>
          <w:rFonts w:hint="eastAsia" w:hAnsi="宋体"/>
          <w:color w:val="auto"/>
          <w:sz w:val="24"/>
          <w:highlight w:val="none"/>
        </w:rPr>
        <w:t>（供应商按“项目需求”等内容要求自行填写，格式自定)</w:t>
      </w:r>
    </w:p>
    <w:p w14:paraId="4914AC9B">
      <w:pPr>
        <w:spacing w:line="360" w:lineRule="auto"/>
        <w:ind w:firstLine="480"/>
        <w:rPr>
          <w:rFonts w:ascii="宋体" w:hAnsi="宋体"/>
          <w:color w:val="auto"/>
          <w:sz w:val="24"/>
          <w:highlight w:val="none"/>
        </w:rPr>
      </w:pPr>
    </w:p>
    <w:p w14:paraId="6462AA97">
      <w:pPr>
        <w:spacing w:line="360" w:lineRule="auto"/>
        <w:ind w:firstLine="480"/>
        <w:rPr>
          <w:rFonts w:ascii="宋体" w:hAnsi="宋体"/>
          <w:color w:val="auto"/>
          <w:sz w:val="24"/>
          <w:highlight w:val="none"/>
        </w:rPr>
      </w:pPr>
    </w:p>
    <w:p w14:paraId="17EB3EE1">
      <w:pPr>
        <w:spacing w:line="360" w:lineRule="auto"/>
        <w:ind w:firstLine="480"/>
        <w:rPr>
          <w:rFonts w:ascii="宋体" w:hAnsi="宋体"/>
          <w:color w:val="auto"/>
          <w:sz w:val="24"/>
          <w:highlight w:val="none"/>
        </w:rPr>
      </w:pPr>
    </w:p>
    <w:p w14:paraId="54B5BB6A">
      <w:pPr>
        <w:spacing w:line="360" w:lineRule="auto"/>
        <w:ind w:firstLine="480"/>
        <w:rPr>
          <w:rFonts w:ascii="宋体" w:hAnsi="宋体"/>
          <w:color w:val="auto"/>
          <w:sz w:val="24"/>
          <w:highlight w:val="none"/>
        </w:rPr>
      </w:pPr>
    </w:p>
    <w:p w14:paraId="7DE9AA1D">
      <w:pPr>
        <w:spacing w:line="360" w:lineRule="auto"/>
        <w:ind w:firstLine="480"/>
        <w:rPr>
          <w:rFonts w:ascii="宋体" w:hAnsi="宋体"/>
          <w:color w:val="auto"/>
          <w:sz w:val="24"/>
          <w:highlight w:val="none"/>
        </w:rPr>
      </w:pPr>
    </w:p>
    <w:p w14:paraId="473BD592">
      <w:pPr>
        <w:spacing w:line="360" w:lineRule="auto"/>
        <w:ind w:firstLine="480"/>
        <w:rPr>
          <w:rFonts w:ascii="宋体" w:hAnsi="宋体"/>
          <w:color w:val="auto"/>
          <w:sz w:val="24"/>
          <w:highlight w:val="none"/>
        </w:rPr>
      </w:pPr>
    </w:p>
    <w:p w14:paraId="28E6A3B3">
      <w:pPr>
        <w:spacing w:line="360" w:lineRule="auto"/>
        <w:ind w:firstLine="480"/>
        <w:rPr>
          <w:rFonts w:ascii="宋体" w:hAnsi="宋体"/>
          <w:color w:val="auto"/>
          <w:sz w:val="24"/>
          <w:highlight w:val="none"/>
        </w:rPr>
      </w:pPr>
    </w:p>
    <w:p w14:paraId="147A8AAC">
      <w:pPr>
        <w:spacing w:line="360" w:lineRule="auto"/>
        <w:ind w:firstLine="480"/>
        <w:rPr>
          <w:rFonts w:ascii="宋体" w:hAnsi="宋体"/>
          <w:color w:val="auto"/>
          <w:sz w:val="24"/>
          <w:highlight w:val="none"/>
        </w:rPr>
      </w:pPr>
    </w:p>
    <w:p w14:paraId="6B9F5C3B">
      <w:pPr>
        <w:spacing w:line="360" w:lineRule="auto"/>
        <w:ind w:firstLine="480"/>
        <w:rPr>
          <w:rFonts w:ascii="宋体" w:hAnsi="宋体"/>
          <w:color w:val="auto"/>
          <w:sz w:val="24"/>
          <w:highlight w:val="none"/>
        </w:rPr>
      </w:pPr>
    </w:p>
    <w:p w14:paraId="1174C729">
      <w:pPr>
        <w:spacing w:line="360" w:lineRule="auto"/>
        <w:ind w:firstLine="480"/>
        <w:rPr>
          <w:rFonts w:ascii="宋体" w:hAnsi="宋体"/>
          <w:color w:val="auto"/>
          <w:sz w:val="24"/>
          <w:highlight w:val="none"/>
        </w:rPr>
      </w:pPr>
    </w:p>
    <w:p w14:paraId="5A3363AF">
      <w:pPr>
        <w:spacing w:line="360" w:lineRule="auto"/>
        <w:ind w:firstLine="480"/>
        <w:rPr>
          <w:rFonts w:ascii="宋体" w:hAnsi="宋体"/>
          <w:color w:val="auto"/>
          <w:sz w:val="24"/>
          <w:highlight w:val="none"/>
        </w:rPr>
      </w:pPr>
    </w:p>
    <w:p w14:paraId="0404E5A8">
      <w:pPr>
        <w:spacing w:line="360" w:lineRule="auto"/>
        <w:ind w:firstLine="480"/>
        <w:rPr>
          <w:rFonts w:hint="eastAsia" w:ascii="宋体" w:hAnsi="宋体"/>
          <w:color w:val="auto"/>
          <w:sz w:val="24"/>
          <w:highlight w:val="none"/>
        </w:rPr>
      </w:pPr>
    </w:p>
    <w:p w14:paraId="302A39D0">
      <w:pPr>
        <w:spacing w:line="360" w:lineRule="auto"/>
        <w:ind w:firstLine="480"/>
        <w:rPr>
          <w:rFonts w:hint="eastAsia" w:ascii="宋体" w:hAnsi="宋体"/>
          <w:color w:val="auto"/>
          <w:sz w:val="24"/>
          <w:highlight w:val="none"/>
        </w:rPr>
      </w:pPr>
    </w:p>
    <w:p w14:paraId="6C7151EE">
      <w:pPr>
        <w:spacing w:line="360" w:lineRule="auto"/>
        <w:ind w:firstLine="480"/>
        <w:rPr>
          <w:rFonts w:hint="eastAsia" w:ascii="宋体" w:hAnsi="宋体"/>
          <w:color w:val="auto"/>
          <w:sz w:val="24"/>
          <w:highlight w:val="none"/>
        </w:rPr>
      </w:pPr>
    </w:p>
    <w:p w14:paraId="6C00F035">
      <w:pPr>
        <w:spacing w:line="360" w:lineRule="auto"/>
        <w:ind w:firstLine="480"/>
        <w:rPr>
          <w:rFonts w:hint="eastAsia" w:ascii="宋体" w:hAnsi="宋体"/>
          <w:color w:val="auto"/>
          <w:sz w:val="24"/>
          <w:highlight w:val="none"/>
        </w:rPr>
      </w:pPr>
    </w:p>
    <w:p w14:paraId="7AEDBCA7">
      <w:pPr>
        <w:spacing w:line="360" w:lineRule="auto"/>
        <w:ind w:firstLine="480"/>
        <w:rPr>
          <w:rFonts w:hint="eastAsia" w:ascii="宋体" w:hAnsi="宋体"/>
          <w:color w:val="auto"/>
          <w:sz w:val="24"/>
          <w:highlight w:val="none"/>
        </w:rPr>
      </w:pPr>
    </w:p>
    <w:p w14:paraId="36F18CDA">
      <w:pPr>
        <w:spacing w:line="360" w:lineRule="auto"/>
        <w:ind w:firstLine="480"/>
        <w:rPr>
          <w:rFonts w:hint="eastAsia" w:ascii="宋体" w:hAnsi="宋体"/>
          <w:color w:val="auto"/>
          <w:sz w:val="24"/>
          <w:highlight w:val="none"/>
        </w:rPr>
      </w:pPr>
    </w:p>
    <w:p w14:paraId="6C099D95">
      <w:pPr>
        <w:spacing w:line="360" w:lineRule="auto"/>
        <w:ind w:firstLine="480"/>
        <w:rPr>
          <w:rFonts w:hint="eastAsia" w:ascii="宋体" w:hAnsi="宋体"/>
          <w:color w:val="auto"/>
          <w:sz w:val="24"/>
          <w:highlight w:val="none"/>
        </w:rPr>
      </w:pPr>
    </w:p>
    <w:p w14:paraId="7153F7AC">
      <w:pPr>
        <w:spacing w:line="360" w:lineRule="auto"/>
        <w:ind w:firstLine="480"/>
        <w:rPr>
          <w:rFonts w:hint="eastAsia" w:ascii="宋体" w:hAnsi="宋体"/>
          <w:color w:val="auto"/>
          <w:sz w:val="24"/>
          <w:highlight w:val="none"/>
        </w:rPr>
      </w:pPr>
    </w:p>
    <w:p w14:paraId="72F06444">
      <w:pPr>
        <w:spacing w:line="360" w:lineRule="auto"/>
        <w:ind w:firstLine="480"/>
        <w:rPr>
          <w:rFonts w:ascii="宋体" w:hAnsi="宋体"/>
          <w:color w:val="auto"/>
          <w:sz w:val="24"/>
          <w:highlight w:val="none"/>
        </w:rPr>
      </w:pPr>
    </w:p>
    <w:p w14:paraId="68E62CCB">
      <w:pPr>
        <w:spacing w:line="360" w:lineRule="auto"/>
        <w:ind w:firstLine="480"/>
        <w:rPr>
          <w:rFonts w:ascii="宋体" w:hAnsi="宋体"/>
          <w:color w:val="auto"/>
          <w:sz w:val="24"/>
          <w:highlight w:val="none"/>
        </w:rPr>
      </w:pPr>
    </w:p>
    <w:p w14:paraId="331290CE">
      <w:pPr>
        <w:spacing w:line="360" w:lineRule="auto"/>
        <w:ind w:firstLine="480"/>
        <w:rPr>
          <w:color w:val="auto"/>
          <w:sz w:val="24"/>
          <w:highlight w:val="none"/>
        </w:rPr>
      </w:pPr>
      <w:r>
        <w:rPr>
          <w:rFonts w:hint="eastAsia"/>
          <w:color w:val="auto"/>
          <w:sz w:val="24"/>
          <w:highlight w:val="none"/>
        </w:rPr>
        <w:t>投标人（盖章）：</w:t>
      </w:r>
    </w:p>
    <w:p w14:paraId="69255772">
      <w:pPr>
        <w:spacing w:line="360" w:lineRule="auto"/>
        <w:ind w:firstLine="480"/>
        <w:rPr>
          <w:color w:val="auto"/>
          <w:sz w:val="24"/>
          <w:highlight w:val="none"/>
        </w:rPr>
      </w:pPr>
      <w:r>
        <w:rPr>
          <w:rFonts w:hint="eastAsia"/>
          <w:color w:val="auto"/>
          <w:sz w:val="24"/>
          <w:highlight w:val="none"/>
        </w:rPr>
        <w:t>法定代表人或委托代理人（签字或盖章）：</w:t>
      </w:r>
    </w:p>
    <w:p w14:paraId="5D4DD6BD">
      <w:pPr>
        <w:pStyle w:val="226"/>
        <w:spacing w:line="360" w:lineRule="auto"/>
        <w:ind w:firstLine="480"/>
        <w:rPr>
          <w:rFonts w:hint="eastAsia"/>
          <w:color w:val="auto"/>
          <w:sz w:val="24"/>
          <w:szCs w:val="24"/>
          <w:highlight w:val="none"/>
        </w:rPr>
      </w:pPr>
      <w:r>
        <w:rPr>
          <w:rFonts w:hint="eastAsia"/>
          <w:color w:val="auto"/>
          <w:sz w:val="24"/>
          <w:szCs w:val="24"/>
          <w:highlight w:val="none"/>
        </w:rPr>
        <w:t>日期：    年     月     日</w:t>
      </w:r>
    </w:p>
    <w:p w14:paraId="59940F2A">
      <w:pPr>
        <w:pStyle w:val="191"/>
        <w:numPr>
          <w:ilvl w:val="0"/>
          <w:numId w:val="0"/>
        </w:numPr>
        <w:spacing w:before="0" w:after="0" w:line="240" w:lineRule="auto"/>
        <w:rPr>
          <w:rFonts w:hAnsi="宋体"/>
          <w:color w:val="auto"/>
          <w:szCs w:val="21"/>
          <w:highlight w:val="none"/>
        </w:rPr>
      </w:pPr>
      <w:r>
        <w:rPr>
          <w:color w:val="auto"/>
          <w:highlight w:val="none"/>
        </w:rPr>
        <w:br w:type="page" w:clear="all"/>
      </w:r>
      <w:r>
        <w:rPr>
          <w:rFonts w:hint="eastAsia"/>
          <w:color w:val="auto"/>
          <w:sz w:val="24"/>
          <w:highlight w:val="none"/>
        </w:rPr>
        <w:t>格式11、项目团队人员一览表</w:t>
      </w:r>
    </w:p>
    <w:p w14:paraId="0476E3FA">
      <w:pPr>
        <w:spacing w:line="520" w:lineRule="exact"/>
        <w:ind w:firstLine="3233"/>
        <w:rPr>
          <w:rFonts w:hint="eastAsia" w:ascii="宋体" w:hAnsi="宋体"/>
          <w:b/>
          <w:bCs/>
          <w:color w:val="auto"/>
          <w:sz w:val="28"/>
          <w:highlight w:val="none"/>
        </w:rPr>
      </w:pPr>
    </w:p>
    <w:p w14:paraId="26FF67ED">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tbl>
      <w:tblPr>
        <w:tblStyle w:val="36"/>
        <w:tblpPr w:leftFromText="180" w:rightFromText="180" w:vertAnchor="text" w:horzAnchor="margin" w:tblpXSpec="left"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0"/>
        <w:gridCol w:w="1905"/>
        <w:gridCol w:w="1127"/>
        <w:gridCol w:w="896"/>
        <w:gridCol w:w="896"/>
        <w:gridCol w:w="2814"/>
      </w:tblGrid>
      <w:tr w14:paraId="2F8A6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trPr>
        <w:tc>
          <w:tcPr>
            <w:tcW w:w="1470" w:type="dxa"/>
            <w:noWrap w:val="0"/>
            <w:vAlign w:val="center"/>
          </w:tcPr>
          <w:p w14:paraId="5EDEECC3">
            <w:pPr>
              <w:spacing w:line="520" w:lineRule="exact"/>
              <w:jc w:val="center"/>
              <w:rPr>
                <w:rFonts w:hint="eastAsia" w:ascii="宋体" w:hAnsi="宋体"/>
                <w:color w:val="auto"/>
                <w:highlight w:val="none"/>
              </w:rPr>
            </w:pPr>
            <w:r>
              <w:rPr>
                <w:rFonts w:hint="eastAsia" w:ascii="宋体" w:hAnsi="宋体"/>
                <w:color w:val="auto"/>
                <w:highlight w:val="none"/>
              </w:rPr>
              <w:t>姓  名</w:t>
            </w:r>
          </w:p>
        </w:tc>
        <w:tc>
          <w:tcPr>
            <w:tcW w:w="1905" w:type="dxa"/>
            <w:noWrap w:val="0"/>
            <w:vAlign w:val="center"/>
          </w:tcPr>
          <w:p w14:paraId="1E8A79F5">
            <w:pPr>
              <w:spacing w:line="520" w:lineRule="exact"/>
              <w:jc w:val="center"/>
              <w:rPr>
                <w:rFonts w:hint="eastAsia" w:ascii="宋体" w:hAnsi="宋体"/>
                <w:color w:val="auto"/>
                <w:highlight w:val="none"/>
              </w:rPr>
            </w:pPr>
            <w:r>
              <w:rPr>
                <w:rFonts w:hint="eastAsia" w:ascii="宋体" w:hAnsi="宋体"/>
                <w:color w:val="auto"/>
                <w:highlight w:val="none"/>
              </w:rPr>
              <w:t>本项目拟任</w:t>
            </w:r>
          </w:p>
          <w:p w14:paraId="1BE2AA7D">
            <w:pPr>
              <w:spacing w:line="520" w:lineRule="exact"/>
              <w:jc w:val="center"/>
              <w:rPr>
                <w:rFonts w:hint="eastAsia" w:ascii="宋体" w:hAnsi="宋体"/>
                <w:color w:val="auto"/>
                <w:highlight w:val="none"/>
              </w:rPr>
            </w:pPr>
            <w:r>
              <w:rPr>
                <w:rFonts w:hint="eastAsia" w:ascii="宋体" w:hAnsi="宋体"/>
                <w:color w:val="auto"/>
                <w:highlight w:val="none"/>
              </w:rPr>
              <w:t>职  务</w:t>
            </w:r>
          </w:p>
        </w:tc>
        <w:tc>
          <w:tcPr>
            <w:tcW w:w="1127" w:type="dxa"/>
            <w:noWrap w:val="0"/>
            <w:vAlign w:val="center"/>
          </w:tcPr>
          <w:p w14:paraId="415A8143">
            <w:pPr>
              <w:spacing w:line="520" w:lineRule="exact"/>
              <w:jc w:val="center"/>
              <w:rPr>
                <w:rFonts w:hint="eastAsia" w:ascii="宋体" w:hAnsi="宋体"/>
                <w:color w:val="auto"/>
                <w:highlight w:val="none"/>
              </w:rPr>
            </w:pPr>
            <w:r>
              <w:rPr>
                <w:rFonts w:hint="eastAsia" w:ascii="宋体" w:hAnsi="宋体"/>
                <w:color w:val="auto"/>
                <w:highlight w:val="none"/>
              </w:rPr>
              <w:t>技术</w:t>
            </w:r>
          </w:p>
          <w:p w14:paraId="18934AF3">
            <w:pPr>
              <w:spacing w:line="520" w:lineRule="exact"/>
              <w:jc w:val="center"/>
              <w:rPr>
                <w:rFonts w:hint="eastAsia" w:ascii="宋体" w:hAnsi="宋体"/>
                <w:color w:val="auto"/>
                <w:highlight w:val="none"/>
              </w:rPr>
            </w:pPr>
            <w:r>
              <w:rPr>
                <w:rFonts w:hint="eastAsia" w:ascii="宋体" w:hAnsi="宋体"/>
                <w:color w:val="auto"/>
                <w:highlight w:val="none"/>
              </w:rPr>
              <w:t>职称</w:t>
            </w:r>
          </w:p>
        </w:tc>
        <w:tc>
          <w:tcPr>
            <w:tcW w:w="896" w:type="dxa"/>
            <w:noWrap w:val="0"/>
            <w:vAlign w:val="center"/>
          </w:tcPr>
          <w:p w14:paraId="1D6D6820">
            <w:pPr>
              <w:spacing w:line="520" w:lineRule="exact"/>
              <w:jc w:val="center"/>
              <w:rPr>
                <w:rFonts w:hint="eastAsia" w:ascii="宋体" w:hAnsi="宋体"/>
                <w:color w:val="auto"/>
                <w:highlight w:val="none"/>
              </w:rPr>
            </w:pPr>
            <w:r>
              <w:rPr>
                <w:rFonts w:hint="eastAsia" w:ascii="宋体" w:hAnsi="宋体"/>
                <w:color w:val="auto"/>
                <w:highlight w:val="none"/>
              </w:rPr>
              <w:t>年龄</w:t>
            </w:r>
          </w:p>
        </w:tc>
        <w:tc>
          <w:tcPr>
            <w:tcW w:w="896" w:type="dxa"/>
            <w:noWrap w:val="0"/>
            <w:vAlign w:val="center"/>
          </w:tcPr>
          <w:p w14:paraId="1CB0DCB2">
            <w:pPr>
              <w:spacing w:line="520" w:lineRule="exact"/>
              <w:jc w:val="center"/>
              <w:rPr>
                <w:rFonts w:hint="eastAsia" w:ascii="宋体" w:hAnsi="宋体"/>
                <w:color w:val="auto"/>
                <w:highlight w:val="none"/>
              </w:rPr>
            </w:pPr>
            <w:r>
              <w:rPr>
                <w:rFonts w:hint="eastAsia" w:ascii="宋体" w:hAnsi="宋体"/>
                <w:color w:val="auto"/>
                <w:highlight w:val="none"/>
              </w:rPr>
              <w:t>学历</w:t>
            </w:r>
          </w:p>
        </w:tc>
        <w:tc>
          <w:tcPr>
            <w:tcW w:w="2814" w:type="dxa"/>
            <w:noWrap w:val="0"/>
            <w:vAlign w:val="center"/>
          </w:tcPr>
          <w:p w14:paraId="286EFA9D">
            <w:pPr>
              <w:spacing w:line="520" w:lineRule="exact"/>
              <w:jc w:val="center"/>
              <w:rPr>
                <w:rFonts w:hint="eastAsia" w:ascii="宋体" w:hAnsi="宋体"/>
                <w:color w:val="auto"/>
                <w:highlight w:val="none"/>
              </w:rPr>
            </w:pPr>
            <w:r>
              <w:rPr>
                <w:rFonts w:hint="eastAsia" w:ascii="宋体" w:hAnsi="宋体"/>
                <w:color w:val="auto"/>
                <w:highlight w:val="none"/>
              </w:rPr>
              <w:t>主要资历及担任过的职务</w:t>
            </w:r>
          </w:p>
        </w:tc>
      </w:tr>
      <w:tr w14:paraId="1DC84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6E95C5A9">
            <w:pPr>
              <w:spacing w:line="520" w:lineRule="exact"/>
              <w:jc w:val="center"/>
              <w:rPr>
                <w:rFonts w:hint="eastAsia" w:ascii="宋体" w:hAnsi="宋体"/>
                <w:color w:val="auto"/>
                <w:sz w:val="28"/>
                <w:highlight w:val="none"/>
              </w:rPr>
            </w:pPr>
          </w:p>
        </w:tc>
        <w:tc>
          <w:tcPr>
            <w:tcW w:w="1905" w:type="dxa"/>
            <w:noWrap w:val="0"/>
            <w:vAlign w:val="center"/>
          </w:tcPr>
          <w:p w14:paraId="3C77D076">
            <w:pPr>
              <w:spacing w:line="520" w:lineRule="exact"/>
              <w:jc w:val="center"/>
              <w:rPr>
                <w:rFonts w:hint="eastAsia" w:ascii="宋体" w:hAnsi="宋体"/>
                <w:color w:val="auto"/>
                <w:sz w:val="28"/>
                <w:highlight w:val="none"/>
              </w:rPr>
            </w:pPr>
          </w:p>
        </w:tc>
        <w:tc>
          <w:tcPr>
            <w:tcW w:w="1127" w:type="dxa"/>
            <w:noWrap w:val="0"/>
            <w:vAlign w:val="center"/>
          </w:tcPr>
          <w:p w14:paraId="494B413C">
            <w:pPr>
              <w:spacing w:line="520" w:lineRule="exact"/>
              <w:jc w:val="center"/>
              <w:rPr>
                <w:rFonts w:hint="eastAsia" w:ascii="宋体" w:hAnsi="宋体"/>
                <w:color w:val="auto"/>
                <w:sz w:val="28"/>
                <w:highlight w:val="none"/>
              </w:rPr>
            </w:pPr>
          </w:p>
        </w:tc>
        <w:tc>
          <w:tcPr>
            <w:tcW w:w="896" w:type="dxa"/>
            <w:noWrap w:val="0"/>
            <w:vAlign w:val="center"/>
          </w:tcPr>
          <w:p w14:paraId="4E6605C9">
            <w:pPr>
              <w:spacing w:line="520" w:lineRule="exact"/>
              <w:jc w:val="center"/>
              <w:rPr>
                <w:rFonts w:hint="eastAsia" w:ascii="宋体" w:hAnsi="宋体"/>
                <w:color w:val="auto"/>
                <w:sz w:val="28"/>
                <w:highlight w:val="none"/>
              </w:rPr>
            </w:pPr>
          </w:p>
        </w:tc>
        <w:tc>
          <w:tcPr>
            <w:tcW w:w="896" w:type="dxa"/>
            <w:noWrap w:val="0"/>
            <w:vAlign w:val="center"/>
          </w:tcPr>
          <w:p w14:paraId="08A01502">
            <w:pPr>
              <w:spacing w:line="520" w:lineRule="exact"/>
              <w:jc w:val="center"/>
              <w:rPr>
                <w:rFonts w:hint="eastAsia" w:ascii="宋体" w:hAnsi="宋体"/>
                <w:color w:val="auto"/>
                <w:sz w:val="28"/>
                <w:highlight w:val="none"/>
              </w:rPr>
            </w:pPr>
          </w:p>
        </w:tc>
        <w:tc>
          <w:tcPr>
            <w:tcW w:w="2814" w:type="dxa"/>
            <w:noWrap w:val="0"/>
            <w:vAlign w:val="center"/>
          </w:tcPr>
          <w:p w14:paraId="4EB81328">
            <w:pPr>
              <w:spacing w:line="520" w:lineRule="exact"/>
              <w:jc w:val="center"/>
              <w:rPr>
                <w:rFonts w:hint="eastAsia" w:ascii="宋体" w:hAnsi="宋体"/>
                <w:color w:val="auto"/>
                <w:sz w:val="28"/>
                <w:highlight w:val="none"/>
              </w:rPr>
            </w:pPr>
          </w:p>
        </w:tc>
      </w:tr>
      <w:tr w14:paraId="59468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68AC18F9">
            <w:pPr>
              <w:spacing w:line="520" w:lineRule="exact"/>
              <w:jc w:val="center"/>
              <w:rPr>
                <w:rFonts w:hint="eastAsia" w:ascii="宋体" w:hAnsi="宋体"/>
                <w:color w:val="auto"/>
                <w:sz w:val="28"/>
                <w:highlight w:val="none"/>
              </w:rPr>
            </w:pPr>
          </w:p>
        </w:tc>
        <w:tc>
          <w:tcPr>
            <w:tcW w:w="1905" w:type="dxa"/>
            <w:noWrap w:val="0"/>
            <w:vAlign w:val="center"/>
          </w:tcPr>
          <w:p w14:paraId="1B21348F">
            <w:pPr>
              <w:spacing w:line="520" w:lineRule="exact"/>
              <w:jc w:val="center"/>
              <w:rPr>
                <w:rFonts w:hint="eastAsia" w:ascii="宋体" w:hAnsi="宋体"/>
                <w:color w:val="auto"/>
                <w:sz w:val="28"/>
                <w:highlight w:val="none"/>
              </w:rPr>
            </w:pPr>
          </w:p>
        </w:tc>
        <w:tc>
          <w:tcPr>
            <w:tcW w:w="1127" w:type="dxa"/>
            <w:noWrap w:val="0"/>
            <w:vAlign w:val="center"/>
          </w:tcPr>
          <w:p w14:paraId="0C74B05B">
            <w:pPr>
              <w:spacing w:line="520" w:lineRule="exact"/>
              <w:jc w:val="center"/>
              <w:rPr>
                <w:rFonts w:hint="eastAsia" w:ascii="宋体" w:hAnsi="宋体"/>
                <w:color w:val="auto"/>
                <w:sz w:val="28"/>
                <w:highlight w:val="none"/>
              </w:rPr>
            </w:pPr>
          </w:p>
        </w:tc>
        <w:tc>
          <w:tcPr>
            <w:tcW w:w="896" w:type="dxa"/>
            <w:noWrap w:val="0"/>
            <w:vAlign w:val="center"/>
          </w:tcPr>
          <w:p w14:paraId="74563801">
            <w:pPr>
              <w:spacing w:line="520" w:lineRule="exact"/>
              <w:jc w:val="center"/>
              <w:rPr>
                <w:rFonts w:hint="eastAsia" w:ascii="宋体" w:hAnsi="宋体"/>
                <w:color w:val="auto"/>
                <w:sz w:val="28"/>
                <w:highlight w:val="none"/>
              </w:rPr>
            </w:pPr>
          </w:p>
        </w:tc>
        <w:tc>
          <w:tcPr>
            <w:tcW w:w="896" w:type="dxa"/>
            <w:noWrap w:val="0"/>
            <w:vAlign w:val="center"/>
          </w:tcPr>
          <w:p w14:paraId="79EF294B">
            <w:pPr>
              <w:spacing w:line="520" w:lineRule="exact"/>
              <w:jc w:val="center"/>
              <w:rPr>
                <w:rFonts w:hint="eastAsia" w:ascii="宋体" w:hAnsi="宋体"/>
                <w:color w:val="auto"/>
                <w:sz w:val="28"/>
                <w:highlight w:val="none"/>
              </w:rPr>
            </w:pPr>
          </w:p>
        </w:tc>
        <w:tc>
          <w:tcPr>
            <w:tcW w:w="2814" w:type="dxa"/>
            <w:noWrap w:val="0"/>
            <w:vAlign w:val="center"/>
          </w:tcPr>
          <w:p w14:paraId="61E04D31">
            <w:pPr>
              <w:spacing w:line="520" w:lineRule="exact"/>
              <w:jc w:val="center"/>
              <w:rPr>
                <w:rFonts w:hint="eastAsia" w:ascii="宋体" w:hAnsi="宋体"/>
                <w:color w:val="auto"/>
                <w:sz w:val="28"/>
                <w:highlight w:val="none"/>
              </w:rPr>
            </w:pPr>
          </w:p>
        </w:tc>
      </w:tr>
      <w:tr w14:paraId="3B097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3F622465">
            <w:pPr>
              <w:spacing w:line="520" w:lineRule="exact"/>
              <w:jc w:val="center"/>
              <w:rPr>
                <w:rFonts w:hint="eastAsia" w:ascii="宋体" w:hAnsi="宋体"/>
                <w:color w:val="auto"/>
                <w:sz w:val="28"/>
                <w:highlight w:val="none"/>
              </w:rPr>
            </w:pPr>
          </w:p>
        </w:tc>
        <w:tc>
          <w:tcPr>
            <w:tcW w:w="1905" w:type="dxa"/>
            <w:noWrap w:val="0"/>
            <w:vAlign w:val="center"/>
          </w:tcPr>
          <w:p w14:paraId="41FFA64C">
            <w:pPr>
              <w:spacing w:line="520" w:lineRule="exact"/>
              <w:jc w:val="center"/>
              <w:rPr>
                <w:rFonts w:hint="eastAsia" w:ascii="宋体" w:hAnsi="宋体"/>
                <w:color w:val="auto"/>
                <w:sz w:val="28"/>
                <w:highlight w:val="none"/>
              </w:rPr>
            </w:pPr>
          </w:p>
        </w:tc>
        <w:tc>
          <w:tcPr>
            <w:tcW w:w="1127" w:type="dxa"/>
            <w:noWrap w:val="0"/>
            <w:vAlign w:val="center"/>
          </w:tcPr>
          <w:p w14:paraId="112DC420">
            <w:pPr>
              <w:spacing w:line="520" w:lineRule="exact"/>
              <w:jc w:val="center"/>
              <w:rPr>
                <w:rFonts w:hint="eastAsia" w:ascii="宋体" w:hAnsi="宋体"/>
                <w:color w:val="auto"/>
                <w:sz w:val="28"/>
                <w:highlight w:val="none"/>
              </w:rPr>
            </w:pPr>
          </w:p>
        </w:tc>
        <w:tc>
          <w:tcPr>
            <w:tcW w:w="896" w:type="dxa"/>
            <w:noWrap w:val="0"/>
            <w:vAlign w:val="center"/>
          </w:tcPr>
          <w:p w14:paraId="31B7FCAD">
            <w:pPr>
              <w:spacing w:line="520" w:lineRule="exact"/>
              <w:jc w:val="center"/>
              <w:rPr>
                <w:rFonts w:hint="eastAsia" w:ascii="宋体" w:hAnsi="宋体"/>
                <w:color w:val="auto"/>
                <w:sz w:val="28"/>
                <w:highlight w:val="none"/>
              </w:rPr>
            </w:pPr>
          </w:p>
        </w:tc>
        <w:tc>
          <w:tcPr>
            <w:tcW w:w="896" w:type="dxa"/>
            <w:noWrap w:val="0"/>
            <w:vAlign w:val="center"/>
          </w:tcPr>
          <w:p w14:paraId="4E5957F2">
            <w:pPr>
              <w:spacing w:line="520" w:lineRule="exact"/>
              <w:jc w:val="center"/>
              <w:rPr>
                <w:rFonts w:hint="eastAsia" w:ascii="宋体" w:hAnsi="宋体"/>
                <w:color w:val="auto"/>
                <w:sz w:val="28"/>
                <w:highlight w:val="none"/>
              </w:rPr>
            </w:pPr>
          </w:p>
        </w:tc>
        <w:tc>
          <w:tcPr>
            <w:tcW w:w="2814" w:type="dxa"/>
            <w:noWrap w:val="0"/>
            <w:vAlign w:val="center"/>
          </w:tcPr>
          <w:p w14:paraId="52C5E423">
            <w:pPr>
              <w:spacing w:line="520" w:lineRule="exact"/>
              <w:jc w:val="center"/>
              <w:rPr>
                <w:rFonts w:hint="eastAsia" w:ascii="宋体" w:hAnsi="宋体"/>
                <w:color w:val="auto"/>
                <w:sz w:val="28"/>
                <w:highlight w:val="none"/>
              </w:rPr>
            </w:pPr>
          </w:p>
        </w:tc>
      </w:tr>
      <w:tr w14:paraId="50A6D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015830AB">
            <w:pPr>
              <w:spacing w:line="520" w:lineRule="exact"/>
              <w:jc w:val="center"/>
              <w:rPr>
                <w:rFonts w:hint="eastAsia" w:ascii="宋体" w:hAnsi="宋体"/>
                <w:color w:val="auto"/>
                <w:sz w:val="28"/>
                <w:highlight w:val="none"/>
              </w:rPr>
            </w:pPr>
          </w:p>
        </w:tc>
        <w:tc>
          <w:tcPr>
            <w:tcW w:w="1905" w:type="dxa"/>
            <w:noWrap w:val="0"/>
            <w:vAlign w:val="center"/>
          </w:tcPr>
          <w:p w14:paraId="69DB48AE">
            <w:pPr>
              <w:spacing w:line="520" w:lineRule="exact"/>
              <w:jc w:val="center"/>
              <w:rPr>
                <w:rFonts w:hint="eastAsia" w:ascii="宋体" w:hAnsi="宋体"/>
                <w:color w:val="auto"/>
                <w:sz w:val="28"/>
                <w:highlight w:val="none"/>
              </w:rPr>
            </w:pPr>
          </w:p>
        </w:tc>
        <w:tc>
          <w:tcPr>
            <w:tcW w:w="1127" w:type="dxa"/>
            <w:noWrap w:val="0"/>
            <w:vAlign w:val="center"/>
          </w:tcPr>
          <w:p w14:paraId="19D62A59">
            <w:pPr>
              <w:spacing w:line="520" w:lineRule="exact"/>
              <w:jc w:val="center"/>
              <w:rPr>
                <w:rFonts w:hint="eastAsia" w:ascii="宋体" w:hAnsi="宋体"/>
                <w:color w:val="auto"/>
                <w:sz w:val="28"/>
                <w:highlight w:val="none"/>
              </w:rPr>
            </w:pPr>
          </w:p>
        </w:tc>
        <w:tc>
          <w:tcPr>
            <w:tcW w:w="896" w:type="dxa"/>
            <w:noWrap w:val="0"/>
            <w:vAlign w:val="center"/>
          </w:tcPr>
          <w:p w14:paraId="59CA86E3">
            <w:pPr>
              <w:spacing w:line="520" w:lineRule="exact"/>
              <w:jc w:val="center"/>
              <w:rPr>
                <w:rFonts w:hint="eastAsia" w:ascii="宋体" w:hAnsi="宋体"/>
                <w:color w:val="auto"/>
                <w:sz w:val="28"/>
                <w:highlight w:val="none"/>
              </w:rPr>
            </w:pPr>
          </w:p>
        </w:tc>
        <w:tc>
          <w:tcPr>
            <w:tcW w:w="896" w:type="dxa"/>
            <w:noWrap w:val="0"/>
            <w:vAlign w:val="center"/>
          </w:tcPr>
          <w:p w14:paraId="75F09307">
            <w:pPr>
              <w:spacing w:line="520" w:lineRule="exact"/>
              <w:jc w:val="center"/>
              <w:rPr>
                <w:rFonts w:hint="eastAsia" w:ascii="宋体" w:hAnsi="宋体"/>
                <w:color w:val="auto"/>
                <w:sz w:val="28"/>
                <w:highlight w:val="none"/>
              </w:rPr>
            </w:pPr>
          </w:p>
        </w:tc>
        <w:tc>
          <w:tcPr>
            <w:tcW w:w="2814" w:type="dxa"/>
            <w:noWrap w:val="0"/>
            <w:vAlign w:val="center"/>
          </w:tcPr>
          <w:p w14:paraId="50F974E6">
            <w:pPr>
              <w:spacing w:line="520" w:lineRule="exact"/>
              <w:jc w:val="center"/>
              <w:rPr>
                <w:rFonts w:hint="eastAsia" w:ascii="宋体" w:hAnsi="宋体"/>
                <w:color w:val="auto"/>
                <w:sz w:val="28"/>
                <w:highlight w:val="none"/>
              </w:rPr>
            </w:pPr>
          </w:p>
        </w:tc>
      </w:tr>
      <w:tr w14:paraId="03D19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275D7A9B">
            <w:pPr>
              <w:spacing w:line="520" w:lineRule="exact"/>
              <w:jc w:val="center"/>
              <w:rPr>
                <w:rFonts w:hint="eastAsia" w:ascii="宋体" w:hAnsi="宋体"/>
                <w:color w:val="auto"/>
                <w:sz w:val="28"/>
                <w:highlight w:val="none"/>
              </w:rPr>
            </w:pPr>
          </w:p>
        </w:tc>
        <w:tc>
          <w:tcPr>
            <w:tcW w:w="1905" w:type="dxa"/>
            <w:noWrap w:val="0"/>
            <w:vAlign w:val="center"/>
          </w:tcPr>
          <w:p w14:paraId="2FA0CCA0">
            <w:pPr>
              <w:spacing w:line="520" w:lineRule="exact"/>
              <w:jc w:val="center"/>
              <w:rPr>
                <w:rFonts w:hint="eastAsia" w:ascii="宋体" w:hAnsi="宋体"/>
                <w:color w:val="auto"/>
                <w:sz w:val="28"/>
                <w:highlight w:val="none"/>
              </w:rPr>
            </w:pPr>
          </w:p>
        </w:tc>
        <w:tc>
          <w:tcPr>
            <w:tcW w:w="1127" w:type="dxa"/>
            <w:noWrap w:val="0"/>
            <w:vAlign w:val="center"/>
          </w:tcPr>
          <w:p w14:paraId="60B9C6E5">
            <w:pPr>
              <w:spacing w:line="520" w:lineRule="exact"/>
              <w:jc w:val="center"/>
              <w:rPr>
                <w:rFonts w:hint="eastAsia" w:ascii="宋体" w:hAnsi="宋体"/>
                <w:color w:val="auto"/>
                <w:sz w:val="28"/>
                <w:highlight w:val="none"/>
              </w:rPr>
            </w:pPr>
          </w:p>
        </w:tc>
        <w:tc>
          <w:tcPr>
            <w:tcW w:w="896" w:type="dxa"/>
            <w:noWrap w:val="0"/>
            <w:vAlign w:val="center"/>
          </w:tcPr>
          <w:p w14:paraId="17C942E5">
            <w:pPr>
              <w:spacing w:line="520" w:lineRule="exact"/>
              <w:jc w:val="center"/>
              <w:rPr>
                <w:rFonts w:hint="eastAsia" w:ascii="宋体" w:hAnsi="宋体"/>
                <w:color w:val="auto"/>
                <w:sz w:val="28"/>
                <w:highlight w:val="none"/>
              </w:rPr>
            </w:pPr>
          </w:p>
        </w:tc>
        <w:tc>
          <w:tcPr>
            <w:tcW w:w="896" w:type="dxa"/>
            <w:noWrap w:val="0"/>
            <w:vAlign w:val="center"/>
          </w:tcPr>
          <w:p w14:paraId="71FBB9A5">
            <w:pPr>
              <w:spacing w:line="520" w:lineRule="exact"/>
              <w:jc w:val="center"/>
              <w:rPr>
                <w:rFonts w:hint="eastAsia" w:ascii="宋体" w:hAnsi="宋体"/>
                <w:color w:val="auto"/>
                <w:sz w:val="28"/>
                <w:highlight w:val="none"/>
              </w:rPr>
            </w:pPr>
          </w:p>
        </w:tc>
        <w:tc>
          <w:tcPr>
            <w:tcW w:w="2814" w:type="dxa"/>
            <w:noWrap w:val="0"/>
            <w:vAlign w:val="center"/>
          </w:tcPr>
          <w:p w14:paraId="7DD61856">
            <w:pPr>
              <w:spacing w:line="520" w:lineRule="exact"/>
              <w:jc w:val="center"/>
              <w:rPr>
                <w:rFonts w:hint="eastAsia" w:ascii="宋体" w:hAnsi="宋体"/>
                <w:color w:val="auto"/>
                <w:sz w:val="28"/>
                <w:highlight w:val="none"/>
              </w:rPr>
            </w:pPr>
          </w:p>
        </w:tc>
      </w:tr>
      <w:tr w14:paraId="4240D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173201CF">
            <w:pPr>
              <w:spacing w:line="520" w:lineRule="exact"/>
              <w:jc w:val="center"/>
              <w:rPr>
                <w:rFonts w:hint="eastAsia" w:ascii="宋体" w:hAnsi="宋体"/>
                <w:color w:val="auto"/>
                <w:sz w:val="28"/>
                <w:highlight w:val="none"/>
              </w:rPr>
            </w:pPr>
          </w:p>
        </w:tc>
        <w:tc>
          <w:tcPr>
            <w:tcW w:w="1905" w:type="dxa"/>
            <w:noWrap w:val="0"/>
            <w:vAlign w:val="center"/>
          </w:tcPr>
          <w:p w14:paraId="73BAEE3D">
            <w:pPr>
              <w:spacing w:line="520" w:lineRule="exact"/>
              <w:jc w:val="center"/>
              <w:rPr>
                <w:rFonts w:hint="eastAsia" w:ascii="宋体" w:hAnsi="宋体"/>
                <w:color w:val="auto"/>
                <w:sz w:val="28"/>
                <w:highlight w:val="none"/>
              </w:rPr>
            </w:pPr>
          </w:p>
        </w:tc>
        <w:tc>
          <w:tcPr>
            <w:tcW w:w="1127" w:type="dxa"/>
            <w:noWrap w:val="0"/>
            <w:vAlign w:val="center"/>
          </w:tcPr>
          <w:p w14:paraId="4AA37D50">
            <w:pPr>
              <w:spacing w:line="520" w:lineRule="exact"/>
              <w:jc w:val="center"/>
              <w:rPr>
                <w:rFonts w:hint="eastAsia" w:ascii="宋体" w:hAnsi="宋体"/>
                <w:color w:val="auto"/>
                <w:sz w:val="28"/>
                <w:highlight w:val="none"/>
              </w:rPr>
            </w:pPr>
          </w:p>
        </w:tc>
        <w:tc>
          <w:tcPr>
            <w:tcW w:w="896" w:type="dxa"/>
            <w:noWrap w:val="0"/>
            <w:vAlign w:val="center"/>
          </w:tcPr>
          <w:p w14:paraId="47614E51">
            <w:pPr>
              <w:spacing w:line="520" w:lineRule="exact"/>
              <w:jc w:val="center"/>
              <w:rPr>
                <w:rFonts w:hint="eastAsia" w:ascii="宋体" w:hAnsi="宋体"/>
                <w:color w:val="auto"/>
                <w:sz w:val="28"/>
                <w:highlight w:val="none"/>
              </w:rPr>
            </w:pPr>
          </w:p>
        </w:tc>
        <w:tc>
          <w:tcPr>
            <w:tcW w:w="896" w:type="dxa"/>
            <w:noWrap w:val="0"/>
            <w:vAlign w:val="center"/>
          </w:tcPr>
          <w:p w14:paraId="17EE66BB">
            <w:pPr>
              <w:spacing w:line="520" w:lineRule="exact"/>
              <w:jc w:val="center"/>
              <w:rPr>
                <w:rFonts w:hint="eastAsia" w:ascii="宋体" w:hAnsi="宋体"/>
                <w:color w:val="auto"/>
                <w:sz w:val="28"/>
                <w:highlight w:val="none"/>
              </w:rPr>
            </w:pPr>
          </w:p>
        </w:tc>
        <w:tc>
          <w:tcPr>
            <w:tcW w:w="2814" w:type="dxa"/>
            <w:noWrap w:val="0"/>
            <w:vAlign w:val="center"/>
          </w:tcPr>
          <w:p w14:paraId="17C262F2">
            <w:pPr>
              <w:spacing w:line="520" w:lineRule="exact"/>
              <w:jc w:val="center"/>
              <w:rPr>
                <w:rFonts w:hint="eastAsia" w:ascii="宋体" w:hAnsi="宋体"/>
                <w:color w:val="auto"/>
                <w:sz w:val="28"/>
                <w:highlight w:val="none"/>
              </w:rPr>
            </w:pPr>
          </w:p>
        </w:tc>
      </w:tr>
      <w:tr w14:paraId="0DB3B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40D6A3CE">
            <w:pPr>
              <w:spacing w:line="520" w:lineRule="exact"/>
              <w:jc w:val="center"/>
              <w:rPr>
                <w:rFonts w:hint="eastAsia" w:ascii="宋体" w:hAnsi="宋体"/>
                <w:color w:val="auto"/>
                <w:sz w:val="28"/>
                <w:highlight w:val="none"/>
              </w:rPr>
            </w:pPr>
          </w:p>
        </w:tc>
        <w:tc>
          <w:tcPr>
            <w:tcW w:w="1905" w:type="dxa"/>
            <w:noWrap w:val="0"/>
            <w:vAlign w:val="center"/>
          </w:tcPr>
          <w:p w14:paraId="3AD587F9">
            <w:pPr>
              <w:spacing w:line="520" w:lineRule="exact"/>
              <w:jc w:val="center"/>
              <w:rPr>
                <w:rFonts w:hint="eastAsia" w:ascii="宋体" w:hAnsi="宋体"/>
                <w:color w:val="auto"/>
                <w:sz w:val="28"/>
                <w:highlight w:val="none"/>
              </w:rPr>
            </w:pPr>
          </w:p>
        </w:tc>
        <w:tc>
          <w:tcPr>
            <w:tcW w:w="1127" w:type="dxa"/>
            <w:noWrap w:val="0"/>
            <w:vAlign w:val="center"/>
          </w:tcPr>
          <w:p w14:paraId="61568884">
            <w:pPr>
              <w:spacing w:line="520" w:lineRule="exact"/>
              <w:jc w:val="center"/>
              <w:rPr>
                <w:rFonts w:hint="eastAsia" w:ascii="宋体" w:hAnsi="宋体"/>
                <w:color w:val="auto"/>
                <w:sz w:val="28"/>
                <w:highlight w:val="none"/>
              </w:rPr>
            </w:pPr>
          </w:p>
        </w:tc>
        <w:tc>
          <w:tcPr>
            <w:tcW w:w="896" w:type="dxa"/>
            <w:noWrap w:val="0"/>
            <w:vAlign w:val="center"/>
          </w:tcPr>
          <w:p w14:paraId="1EABE8E5">
            <w:pPr>
              <w:spacing w:line="520" w:lineRule="exact"/>
              <w:jc w:val="center"/>
              <w:rPr>
                <w:rFonts w:hint="eastAsia" w:ascii="宋体" w:hAnsi="宋体"/>
                <w:color w:val="auto"/>
                <w:sz w:val="28"/>
                <w:highlight w:val="none"/>
              </w:rPr>
            </w:pPr>
          </w:p>
        </w:tc>
        <w:tc>
          <w:tcPr>
            <w:tcW w:w="896" w:type="dxa"/>
            <w:noWrap w:val="0"/>
            <w:vAlign w:val="center"/>
          </w:tcPr>
          <w:p w14:paraId="79903F33">
            <w:pPr>
              <w:spacing w:line="520" w:lineRule="exact"/>
              <w:jc w:val="center"/>
              <w:rPr>
                <w:rFonts w:hint="eastAsia" w:ascii="宋体" w:hAnsi="宋体"/>
                <w:color w:val="auto"/>
                <w:sz w:val="28"/>
                <w:highlight w:val="none"/>
              </w:rPr>
            </w:pPr>
          </w:p>
        </w:tc>
        <w:tc>
          <w:tcPr>
            <w:tcW w:w="2814" w:type="dxa"/>
            <w:noWrap w:val="0"/>
            <w:vAlign w:val="center"/>
          </w:tcPr>
          <w:p w14:paraId="1D00AE68">
            <w:pPr>
              <w:spacing w:line="520" w:lineRule="exact"/>
              <w:jc w:val="center"/>
              <w:rPr>
                <w:rFonts w:hint="eastAsia" w:ascii="宋体" w:hAnsi="宋体"/>
                <w:color w:val="auto"/>
                <w:sz w:val="28"/>
                <w:highlight w:val="none"/>
              </w:rPr>
            </w:pPr>
          </w:p>
        </w:tc>
      </w:tr>
      <w:tr w14:paraId="577F5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6495ED65">
            <w:pPr>
              <w:spacing w:line="520" w:lineRule="exact"/>
              <w:jc w:val="center"/>
              <w:rPr>
                <w:rFonts w:hint="eastAsia" w:ascii="宋体" w:hAnsi="宋体"/>
                <w:color w:val="auto"/>
                <w:sz w:val="28"/>
                <w:highlight w:val="none"/>
              </w:rPr>
            </w:pPr>
          </w:p>
        </w:tc>
        <w:tc>
          <w:tcPr>
            <w:tcW w:w="1905" w:type="dxa"/>
            <w:noWrap w:val="0"/>
            <w:vAlign w:val="center"/>
          </w:tcPr>
          <w:p w14:paraId="34E12196">
            <w:pPr>
              <w:spacing w:line="520" w:lineRule="exact"/>
              <w:jc w:val="center"/>
              <w:rPr>
                <w:rFonts w:hint="eastAsia" w:ascii="宋体" w:hAnsi="宋体"/>
                <w:color w:val="auto"/>
                <w:sz w:val="28"/>
                <w:highlight w:val="none"/>
              </w:rPr>
            </w:pPr>
          </w:p>
        </w:tc>
        <w:tc>
          <w:tcPr>
            <w:tcW w:w="1127" w:type="dxa"/>
            <w:noWrap w:val="0"/>
            <w:vAlign w:val="center"/>
          </w:tcPr>
          <w:p w14:paraId="70D7461A">
            <w:pPr>
              <w:spacing w:line="520" w:lineRule="exact"/>
              <w:jc w:val="center"/>
              <w:rPr>
                <w:rFonts w:hint="eastAsia" w:ascii="宋体" w:hAnsi="宋体"/>
                <w:color w:val="auto"/>
                <w:sz w:val="28"/>
                <w:highlight w:val="none"/>
              </w:rPr>
            </w:pPr>
          </w:p>
        </w:tc>
        <w:tc>
          <w:tcPr>
            <w:tcW w:w="896" w:type="dxa"/>
            <w:noWrap w:val="0"/>
            <w:vAlign w:val="center"/>
          </w:tcPr>
          <w:p w14:paraId="569258B6">
            <w:pPr>
              <w:spacing w:line="520" w:lineRule="exact"/>
              <w:jc w:val="center"/>
              <w:rPr>
                <w:rFonts w:hint="eastAsia" w:ascii="宋体" w:hAnsi="宋体"/>
                <w:color w:val="auto"/>
                <w:sz w:val="28"/>
                <w:highlight w:val="none"/>
              </w:rPr>
            </w:pPr>
          </w:p>
        </w:tc>
        <w:tc>
          <w:tcPr>
            <w:tcW w:w="896" w:type="dxa"/>
            <w:noWrap w:val="0"/>
            <w:vAlign w:val="center"/>
          </w:tcPr>
          <w:p w14:paraId="015DAD9E">
            <w:pPr>
              <w:spacing w:line="520" w:lineRule="exact"/>
              <w:jc w:val="center"/>
              <w:rPr>
                <w:rFonts w:hint="eastAsia" w:ascii="宋体" w:hAnsi="宋体"/>
                <w:color w:val="auto"/>
                <w:sz w:val="28"/>
                <w:highlight w:val="none"/>
              </w:rPr>
            </w:pPr>
          </w:p>
        </w:tc>
        <w:tc>
          <w:tcPr>
            <w:tcW w:w="2814" w:type="dxa"/>
            <w:noWrap w:val="0"/>
            <w:vAlign w:val="center"/>
          </w:tcPr>
          <w:p w14:paraId="4DFE1415">
            <w:pPr>
              <w:spacing w:line="520" w:lineRule="exact"/>
              <w:jc w:val="center"/>
              <w:rPr>
                <w:rFonts w:hint="eastAsia" w:ascii="宋体" w:hAnsi="宋体"/>
                <w:color w:val="auto"/>
                <w:sz w:val="28"/>
                <w:highlight w:val="none"/>
              </w:rPr>
            </w:pPr>
          </w:p>
        </w:tc>
      </w:tr>
      <w:tr w14:paraId="20000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1470" w:type="dxa"/>
            <w:noWrap w:val="0"/>
            <w:vAlign w:val="center"/>
          </w:tcPr>
          <w:p w14:paraId="7494FE47">
            <w:pPr>
              <w:spacing w:line="520" w:lineRule="exact"/>
              <w:jc w:val="center"/>
              <w:rPr>
                <w:rFonts w:hint="eastAsia" w:ascii="宋体" w:hAnsi="宋体"/>
                <w:color w:val="auto"/>
                <w:sz w:val="28"/>
                <w:highlight w:val="none"/>
              </w:rPr>
            </w:pPr>
          </w:p>
        </w:tc>
        <w:tc>
          <w:tcPr>
            <w:tcW w:w="1905" w:type="dxa"/>
            <w:noWrap w:val="0"/>
            <w:vAlign w:val="center"/>
          </w:tcPr>
          <w:p w14:paraId="26DB1F76">
            <w:pPr>
              <w:spacing w:line="520" w:lineRule="exact"/>
              <w:jc w:val="center"/>
              <w:rPr>
                <w:rFonts w:hint="eastAsia" w:ascii="宋体" w:hAnsi="宋体"/>
                <w:color w:val="auto"/>
                <w:sz w:val="28"/>
                <w:highlight w:val="none"/>
              </w:rPr>
            </w:pPr>
          </w:p>
        </w:tc>
        <w:tc>
          <w:tcPr>
            <w:tcW w:w="1127" w:type="dxa"/>
            <w:noWrap w:val="0"/>
            <w:vAlign w:val="center"/>
          </w:tcPr>
          <w:p w14:paraId="3B7E6011">
            <w:pPr>
              <w:spacing w:line="520" w:lineRule="exact"/>
              <w:jc w:val="center"/>
              <w:rPr>
                <w:rFonts w:hint="eastAsia" w:ascii="宋体" w:hAnsi="宋体"/>
                <w:color w:val="auto"/>
                <w:sz w:val="28"/>
                <w:highlight w:val="none"/>
              </w:rPr>
            </w:pPr>
          </w:p>
        </w:tc>
        <w:tc>
          <w:tcPr>
            <w:tcW w:w="896" w:type="dxa"/>
            <w:noWrap w:val="0"/>
            <w:vAlign w:val="center"/>
          </w:tcPr>
          <w:p w14:paraId="42AE2718">
            <w:pPr>
              <w:spacing w:line="520" w:lineRule="exact"/>
              <w:jc w:val="center"/>
              <w:rPr>
                <w:rFonts w:hint="eastAsia" w:ascii="宋体" w:hAnsi="宋体"/>
                <w:color w:val="auto"/>
                <w:sz w:val="28"/>
                <w:highlight w:val="none"/>
              </w:rPr>
            </w:pPr>
          </w:p>
        </w:tc>
        <w:tc>
          <w:tcPr>
            <w:tcW w:w="896" w:type="dxa"/>
            <w:noWrap w:val="0"/>
            <w:vAlign w:val="center"/>
          </w:tcPr>
          <w:p w14:paraId="6EB30353">
            <w:pPr>
              <w:spacing w:line="520" w:lineRule="exact"/>
              <w:jc w:val="center"/>
              <w:rPr>
                <w:rFonts w:hint="eastAsia" w:ascii="宋体" w:hAnsi="宋体"/>
                <w:color w:val="auto"/>
                <w:sz w:val="28"/>
                <w:highlight w:val="none"/>
              </w:rPr>
            </w:pPr>
          </w:p>
        </w:tc>
        <w:tc>
          <w:tcPr>
            <w:tcW w:w="2814" w:type="dxa"/>
            <w:noWrap w:val="0"/>
            <w:vAlign w:val="center"/>
          </w:tcPr>
          <w:p w14:paraId="3477CC29">
            <w:pPr>
              <w:spacing w:line="520" w:lineRule="exact"/>
              <w:jc w:val="center"/>
              <w:rPr>
                <w:rFonts w:hint="eastAsia" w:ascii="宋体" w:hAnsi="宋体"/>
                <w:color w:val="auto"/>
                <w:sz w:val="28"/>
                <w:highlight w:val="none"/>
              </w:rPr>
            </w:pPr>
          </w:p>
        </w:tc>
      </w:tr>
    </w:tbl>
    <w:p w14:paraId="2218D5FD">
      <w:pPr>
        <w:spacing w:line="400" w:lineRule="exact"/>
        <w:rPr>
          <w:rFonts w:hint="eastAsia" w:ascii="宋体" w:hAnsi="宋体"/>
          <w:b/>
          <w:color w:val="auto"/>
          <w:sz w:val="28"/>
          <w:szCs w:val="30"/>
          <w:highlight w:val="none"/>
        </w:rPr>
      </w:pPr>
    </w:p>
    <w:p w14:paraId="4DFEBB56">
      <w:pPr>
        <w:spacing w:line="400" w:lineRule="exact"/>
        <w:jc w:val="center"/>
        <w:rPr>
          <w:rFonts w:hint="eastAsia" w:ascii="宋体" w:hAnsi="宋体"/>
          <w:b/>
          <w:color w:val="auto"/>
          <w:sz w:val="28"/>
          <w:szCs w:val="30"/>
          <w:highlight w:val="none"/>
        </w:rPr>
      </w:pPr>
    </w:p>
    <w:p w14:paraId="67C5C59F">
      <w:pPr>
        <w:spacing w:line="400" w:lineRule="exact"/>
        <w:jc w:val="center"/>
        <w:rPr>
          <w:rFonts w:hint="eastAsia" w:ascii="宋体" w:hAnsi="宋体"/>
          <w:b/>
          <w:color w:val="auto"/>
          <w:sz w:val="28"/>
          <w:szCs w:val="30"/>
          <w:highlight w:val="none"/>
        </w:rPr>
      </w:pPr>
    </w:p>
    <w:p w14:paraId="5C0FB0CA">
      <w:pPr>
        <w:spacing w:line="360" w:lineRule="auto"/>
        <w:ind w:firstLine="480"/>
        <w:rPr>
          <w:color w:val="auto"/>
          <w:sz w:val="24"/>
          <w:highlight w:val="none"/>
        </w:rPr>
      </w:pPr>
      <w:r>
        <w:rPr>
          <w:rFonts w:hint="eastAsia"/>
          <w:color w:val="auto"/>
          <w:sz w:val="24"/>
          <w:highlight w:val="none"/>
        </w:rPr>
        <w:t>投标人（盖章）：</w:t>
      </w:r>
    </w:p>
    <w:p w14:paraId="27C621CF">
      <w:pPr>
        <w:spacing w:line="360" w:lineRule="auto"/>
        <w:ind w:firstLine="480"/>
        <w:rPr>
          <w:color w:val="auto"/>
          <w:sz w:val="24"/>
          <w:highlight w:val="none"/>
        </w:rPr>
      </w:pPr>
      <w:r>
        <w:rPr>
          <w:rFonts w:hint="eastAsia"/>
          <w:color w:val="auto"/>
          <w:sz w:val="24"/>
          <w:highlight w:val="none"/>
        </w:rPr>
        <w:t>法定代表人或委托代理人（签字或盖章）：</w:t>
      </w:r>
    </w:p>
    <w:p w14:paraId="1F88208F">
      <w:pPr>
        <w:pStyle w:val="226"/>
        <w:spacing w:line="360" w:lineRule="auto"/>
        <w:ind w:firstLine="480"/>
        <w:rPr>
          <w:rFonts w:hint="eastAsia"/>
          <w:color w:val="auto"/>
          <w:sz w:val="24"/>
          <w:szCs w:val="24"/>
          <w:highlight w:val="none"/>
        </w:rPr>
      </w:pPr>
      <w:r>
        <w:rPr>
          <w:rFonts w:hint="eastAsia"/>
          <w:color w:val="auto"/>
          <w:sz w:val="24"/>
          <w:szCs w:val="24"/>
          <w:highlight w:val="none"/>
        </w:rPr>
        <w:t>日期：    年     月     日</w:t>
      </w:r>
    </w:p>
    <w:p w14:paraId="43133799">
      <w:pPr>
        <w:pStyle w:val="226"/>
        <w:spacing w:line="360" w:lineRule="auto"/>
        <w:ind w:firstLine="480"/>
        <w:rPr>
          <w:rFonts w:hint="eastAsia"/>
          <w:color w:val="auto"/>
          <w:sz w:val="24"/>
          <w:szCs w:val="24"/>
          <w:highlight w:val="none"/>
        </w:rPr>
      </w:pPr>
    </w:p>
    <w:p w14:paraId="7C5ED2AF">
      <w:pPr>
        <w:pStyle w:val="191"/>
        <w:numPr>
          <w:ilvl w:val="0"/>
          <w:numId w:val="0"/>
        </w:numPr>
        <w:spacing w:before="0" w:after="0" w:line="240" w:lineRule="auto"/>
        <w:rPr>
          <w:rFonts w:hint="eastAsia"/>
          <w:color w:val="auto"/>
          <w:highlight w:val="none"/>
        </w:rPr>
      </w:pPr>
      <w:r>
        <w:rPr>
          <w:color w:val="auto"/>
          <w:highlight w:val="none"/>
        </w:rPr>
        <w:br w:type="page" w:clear="all"/>
      </w:r>
      <w:r>
        <w:rPr>
          <w:rFonts w:hint="eastAsia"/>
          <w:color w:val="auto"/>
          <w:sz w:val="24"/>
          <w:highlight w:val="none"/>
        </w:rPr>
        <w:t>格式12、类似项目业绩一览表</w:t>
      </w:r>
    </w:p>
    <w:p w14:paraId="05DB559D">
      <w:pPr>
        <w:spacing w:line="520" w:lineRule="exact"/>
        <w:jc w:val="center"/>
        <w:rPr>
          <w:rFonts w:hint="eastAsia" w:ascii="宋体" w:hAnsi="宋体"/>
          <w:b/>
          <w:bCs/>
          <w:color w:val="auto"/>
          <w:sz w:val="28"/>
          <w:highlight w:val="none"/>
        </w:rPr>
      </w:pPr>
    </w:p>
    <w:p w14:paraId="7BB3C2A4">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14"/>
        <w:gridCol w:w="2439"/>
        <w:gridCol w:w="2135"/>
        <w:gridCol w:w="1358"/>
        <w:gridCol w:w="2418"/>
      </w:tblGrid>
      <w:tr w14:paraId="36B63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5BB50709">
            <w:pPr>
              <w:spacing w:line="520" w:lineRule="exact"/>
              <w:jc w:val="center"/>
              <w:rPr>
                <w:rFonts w:hint="eastAsia" w:ascii="宋体" w:hAnsi="宋体"/>
                <w:color w:val="auto"/>
                <w:sz w:val="28"/>
                <w:highlight w:val="none"/>
              </w:rPr>
            </w:pPr>
            <w:r>
              <w:rPr>
                <w:rFonts w:hint="eastAsia" w:ascii="宋体" w:hAnsi="宋体"/>
                <w:color w:val="auto"/>
                <w:sz w:val="28"/>
                <w:highlight w:val="none"/>
              </w:rPr>
              <w:t>序号</w:t>
            </w:r>
          </w:p>
        </w:tc>
        <w:tc>
          <w:tcPr>
            <w:tcW w:w="2439" w:type="dxa"/>
            <w:noWrap w:val="0"/>
            <w:vAlign w:val="center"/>
          </w:tcPr>
          <w:p w14:paraId="13C177C6">
            <w:pPr>
              <w:spacing w:line="520" w:lineRule="exact"/>
              <w:jc w:val="center"/>
              <w:rPr>
                <w:rFonts w:hint="eastAsia" w:ascii="宋体" w:hAnsi="宋体"/>
                <w:color w:val="auto"/>
                <w:sz w:val="28"/>
                <w:highlight w:val="none"/>
              </w:rPr>
            </w:pPr>
            <w:r>
              <w:rPr>
                <w:rFonts w:hint="eastAsia" w:ascii="宋体" w:hAnsi="宋体"/>
                <w:color w:val="auto"/>
                <w:sz w:val="28"/>
                <w:highlight w:val="none"/>
              </w:rPr>
              <w:t>项目名称</w:t>
            </w:r>
          </w:p>
        </w:tc>
        <w:tc>
          <w:tcPr>
            <w:tcW w:w="2135" w:type="dxa"/>
            <w:noWrap w:val="0"/>
            <w:vAlign w:val="center"/>
          </w:tcPr>
          <w:p w14:paraId="52BA6D4D">
            <w:pPr>
              <w:spacing w:line="520" w:lineRule="exact"/>
              <w:jc w:val="center"/>
              <w:rPr>
                <w:rFonts w:hint="eastAsia" w:ascii="宋体" w:hAnsi="宋体"/>
                <w:color w:val="auto"/>
                <w:sz w:val="28"/>
                <w:highlight w:val="none"/>
              </w:rPr>
            </w:pPr>
            <w:r>
              <w:rPr>
                <w:rFonts w:hint="eastAsia" w:ascii="宋体" w:hAnsi="宋体"/>
                <w:color w:val="auto"/>
                <w:sz w:val="28"/>
                <w:highlight w:val="none"/>
              </w:rPr>
              <w:t>签订时间</w:t>
            </w:r>
          </w:p>
        </w:tc>
        <w:tc>
          <w:tcPr>
            <w:tcW w:w="1358" w:type="dxa"/>
            <w:noWrap w:val="0"/>
            <w:vAlign w:val="center"/>
          </w:tcPr>
          <w:p w14:paraId="0F84B18E">
            <w:pPr>
              <w:spacing w:line="520" w:lineRule="exact"/>
              <w:jc w:val="center"/>
              <w:rPr>
                <w:rFonts w:hint="eastAsia" w:ascii="宋体" w:hAnsi="宋体"/>
                <w:color w:val="auto"/>
                <w:sz w:val="28"/>
                <w:highlight w:val="none"/>
              </w:rPr>
            </w:pPr>
            <w:r>
              <w:rPr>
                <w:rFonts w:hint="eastAsia" w:ascii="宋体" w:hAnsi="宋体"/>
                <w:color w:val="auto"/>
                <w:sz w:val="28"/>
                <w:highlight w:val="none"/>
              </w:rPr>
              <w:t>采购单位</w:t>
            </w:r>
          </w:p>
        </w:tc>
        <w:tc>
          <w:tcPr>
            <w:tcW w:w="2418" w:type="dxa"/>
            <w:noWrap w:val="0"/>
            <w:vAlign w:val="center"/>
          </w:tcPr>
          <w:p w14:paraId="620C2797">
            <w:pPr>
              <w:spacing w:line="520" w:lineRule="exact"/>
              <w:jc w:val="center"/>
              <w:rPr>
                <w:rFonts w:hint="eastAsia" w:ascii="宋体" w:hAnsi="宋体"/>
                <w:color w:val="auto"/>
                <w:sz w:val="28"/>
                <w:highlight w:val="none"/>
              </w:rPr>
            </w:pPr>
            <w:r>
              <w:rPr>
                <w:rFonts w:hint="eastAsia" w:ascii="宋体" w:hAnsi="宋体"/>
                <w:color w:val="auto"/>
                <w:sz w:val="28"/>
                <w:highlight w:val="none"/>
              </w:rPr>
              <w:t>合同金额</w:t>
            </w:r>
          </w:p>
        </w:tc>
      </w:tr>
      <w:tr w14:paraId="1AF28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3453443">
            <w:pPr>
              <w:spacing w:line="520" w:lineRule="exact"/>
              <w:jc w:val="center"/>
              <w:rPr>
                <w:rFonts w:hint="eastAsia" w:ascii="宋体" w:hAnsi="宋体"/>
                <w:color w:val="auto"/>
                <w:sz w:val="28"/>
                <w:highlight w:val="none"/>
              </w:rPr>
            </w:pPr>
          </w:p>
        </w:tc>
        <w:tc>
          <w:tcPr>
            <w:tcW w:w="2439" w:type="dxa"/>
            <w:noWrap w:val="0"/>
            <w:vAlign w:val="center"/>
          </w:tcPr>
          <w:p w14:paraId="19196F6C">
            <w:pPr>
              <w:spacing w:line="520" w:lineRule="exact"/>
              <w:jc w:val="center"/>
              <w:rPr>
                <w:rFonts w:hint="eastAsia" w:ascii="宋体" w:hAnsi="宋体"/>
                <w:color w:val="auto"/>
                <w:sz w:val="28"/>
                <w:highlight w:val="none"/>
              </w:rPr>
            </w:pPr>
          </w:p>
        </w:tc>
        <w:tc>
          <w:tcPr>
            <w:tcW w:w="2135" w:type="dxa"/>
            <w:noWrap w:val="0"/>
            <w:vAlign w:val="center"/>
          </w:tcPr>
          <w:p w14:paraId="18F65D17">
            <w:pPr>
              <w:spacing w:line="520" w:lineRule="exact"/>
              <w:jc w:val="center"/>
              <w:rPr>
                <w:rFonts w:hint="eastAsia" w:ascii="宋体" w:hAnsi="宋体"/>
                <w:color w:val="auto"/>
                <w:sz w:val="28"/>
                <w:highlight w:val="none"/>
              </w:rPr>
            </w:pPr>
          </w:p>
        </w:tc>
        <w:tc>
          <w:tcPr>
            <w:tcW w:w="1358" w:type="dxa"/>
            <w:noWrap w:val="0"/>
            <w:vAlign w:val="center"/>
          </w:tcPr>
          <w:p w14:paraId="63FA40EB">
            <w:pPr>
              <w:spacing w:line="520" w:lineRule="exact"/>
              <w:jc w:val="center"/>
              <w:rPr>
                <w:rFonts w:hint="eastAsia" w:ascii="宋体" w:hAnsi="宋体"/>
                <w:color w:val="auto"/>
                <w:sz w:val="28"/>
                <w:highlight w:val="none"/>
              </w:rPr>
            </w:pPr>
          </w:p>
        </w:tc>
        <w:tc>
          <w:tcPr>
            <w:tcW w:w="2418" w:type="dxa"/>
            <w:noWrap w:val="0"/>
            <w:vAlign w:val="center"/>
          </w:tcPr>
          <w:p w14:paraId="7069A3CB">
            <w:pPr>
              <w:spacing w:line="520" w:lineRule="exact"/>
              <w:jc w:val="center"/>
              <w:rPr>
                <w:rFonts w:hint="eastAsia" w:ascii="宋体" w:hAnsi="宋体"/>
                <w:color w:val="auto"/>
                <w:sz w:val="28"/>
                <w:highlight w:val="none"/>
              </w:rPr>
            </w:pPr>
          </w:p>
        </w:tc>
      </w:tr>
      <w:tr w14:paraId="47185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619D4664">
            <w:pPr>
              <w:spacing w:line="520" w:lineRule="exact"/>
              <w:jc w:val="center"/>
              <w:rPr>
                <w:rFonts w:hint="eastAsia" w:ascii="宋体" w:hAnsi="宋体"/>
                <w:color w:val="auto"/>
                <w:sz w:val="28"/>
                <w:highlight w:val="none"/>
              </w:rPr>
            </w:pPr>
          </w:p>
        </w:tc>
        <w:tc>
          <w:tcPr>
            <w:tcW w:w="2439" w:type="dxa"/>
            <w:noWrap w:val="0"/>
            <w:vAlign w:val="center"/>
          </w:tcPr>
          <w:p w14:paraId="56AE58D5">
            <w:pPr>
              <w:spacing w:line="520" w:lineRule="exact"/>
              <w:jc w:val="center"/>
              <w:rPr>
                <w:rFonts w:hint="eastAsia" w:ascii="宋体" w:hAnsi="宋体"/>
                <w:color w:val="auto"/>
                <w:sz w:val="28"/>
                <w:highlight w:val="none"/>
              </w:rPr>
            </w:pPr>
          </w:p>
        </w:tc>
        <w:tc>
          <w:tcPr>
            <w:tcW w:w="2135" w:type="dxa"/>
            <w:noWrap w:val="0"/>
            <w:vAlign w:val="center"/>
          </w:tcPr>
          <w:p w14:paraId="11E76093">
            <w:pPr>
              <w:spacing w:line="520" w:lineRule="exact"/>
              <w:jc w:val="center"/>
              <w:rPr>
                <w:rFonts w:hint="eastAsia" w:ascii="宋体" w:hAnsi="宋体"/>
                <w:color w:val="auto"/>
                <w:sz w:val="28"/>
                <w:highlight w:val="none"/>
              </w:rPr>
            </w:pPr>
          </w:p>
        </w:tc>
        <w:tc>
          <w:tcPr>
            <w:tcW w:w="1358" w:type="dxa"/>
            <w:noWrap w:val="0"/>
            <w:vAlign w:val="center"/>
          </w:tcPr>
          <w:p w14:paraId="270BF649">
            <w:pPr>
              <w:spacing w:line="520" w:lineRule="exact"/>
              <w:jc w:val="center"/>
              <w:rPr>
                <w:rFonts w:hint="eastAsia" w:ascii="宋体" w:hAnsi="宋体"/>
                <w:color w:val="auto"/>
                <w:sz w:val="28"/>
                <w:highlight w:val="none"/>
              </w:rPr>
            </w:pPr>
          </w:p>
        </w:tc>
        <w:tc>
          <w:tcPr>
            <w:tcW w:w="2418" w:type="dxa"/>
            <w:noWrap w:val="0"/>
            <w:vAlign w:val="center"/>
          </w:tcPr>
          <w:p w14:paraId="1A41D8DB">
            <w:pPr>
              <w:spacing w:line="520" w:lineRule="exact"/>
              <w:jc w:val="center"/>
              <w:rPr>
                <w:rFonts w:hint="eastAsia" w:ascii="宋体" w:hAnsi="宋体"/>
                <w:color w:val="auto"/>
                <w:sz w:val="28"/>
                <w:highlight w:val="none"/>
              </w:rPr>
            </w:pPr>
          </w:p>
        </w:tc>
      </w:tr>
      <w:tr w14:paraId="00F11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7AD7D62">
            <w:pPr>
              <w:spacing w:line="520" w:lineRule="exact"/>
              <w:jc w:val="center"/>
              <w:rPr>
                <w:rFonts w:hint="eastAsia" w:ascii="宋体" w:hAnsi="宋体"/>
                <w:color w:val="auto"/>
                <w:sz w:val="28"/>
                <w:highlight w:val="none"/>
              </w:rPr>
            </w:pPr>
          </w:p>
        </w:tc>
        <w:tc>
          <w:tcPr>
            <w:tcW w:w="2439" w:type="dxa"/>
            <w:noWrap w:val="0"/>
            <w:vAlign w:val="center"/>
          </w:tcPr>
          <w:p w14:paraId="35F3CC03">
            <w:pPr>
              <w:spacing w:line="520" w:lineRule="exact"/>
              <w:jc w:val="center"/>
              <w:rPr>
                <w:rFonts w:hint="eastAsia" w:ascii="宋体" w:hAnsi="宋体"/>
                <w:color w:val="auto"/>
                <w:sz w:val="28"/>
                <w:highlight w:val="none"/>
              </w:rPr>
            </w:pPr>
          </w:p>
        </w:tc>
        <w:tc>
          <w:tcPr>
            <w:tcW w:w="2135" w:type="dxa"/>
            <w:noWrap w:val="0"/>
            <w:vAlign w:val="center"/>
          </w:tcPr>
          <w:p w14:paraId="60283306">
            <w:pPr>
              <w:spacing w:line="520" w:lineRule="exact"/>
              <w:jc w:val="center"/>
              <w:rPr>
                <w:rFonts w:hint="eastAsia" w:ascii="宋体" w:hAnsi="宋体"/>
                <w:color w:val="auto"/>
                <w:sz w:val="28"/>
                <w:highlight w:val="none"/>
              </w:rPr>
            </w:pPr>
          </w:p>
        </w:tc>
        <w:tc>
          <w:tcPr>
            <w:tcW w:w="1358" w:type="dxa"/>
            <w:noWrap w:val="0"/>
            <w:vAlign w:val="center"/>
          </w:tcPr>
          <w:p w14:paraId="3B06A782">
            <w:pPr>
              <w:spacing w:line="520" w:lineRule="exact"/>
              <w:jc w:val="center"/>
              <w:rPr>
                <w:rFonts w:hint="eastAsia" w:ascii="宋体" w:hAnsi="宋体"/>
                <w:color w:val="auto"/>
                <w:sz w:val="28"/>
                <w:highlight w:val="none"/>
              </w:rPr>
            </w:pPr>
          </w:p>
        </w:tc>
        <w:tc>
          <w:tcPr>
            <w:tcW w:w="2418" w:type="dxa"/>
            <w:noWrap w:val="0"/>
            <w:vAlign w:val="center"/>
          </w:tcPr>
          <w:p w14:paraId="7C4856A5">
            <w:pPr>
              <w:spacing w:line="520" w:lineRule="exact"/>
              <w:jc w:val="center"/>
              <w:rPr>
                <w:rFonts w:hint="eastAsia" w:ascii="宋体" w:hAnsi="宋体"/>
                <w:color w:val="auto"/>
                <w:sz w:val="28"/>
                <w:highlight w:val="none"/>
              </w:rPr>
            </w:pPr>
          </w:p>
        </w:tc>
      </w:tr>
      <w:tr w14:paraId="7F3D1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4B16CB19">
            <w:pPr>
              <w:spacing w:line="520" w:lineRule="exact"/>
              <w:jc w:val="center"/>
              <w:rPr>
                <w:rFonts w:hint="eastAsia" w:ascii="宋体" w:hAnsi="宋体"/>
                <w:color w:val="auto"/>
                <w:sz w:val="28"/>
                <w:highlight w:val="none"/>
              </w:rPr>
            </w:pPr>
          </w:p>
        </w:tc>
        <w:tc>
          <w:tcPr>
            <w:tcW w:w="2439" w:type="dxa"/>
            <w:noWrap w:val="0"/>
            <w:vAlign w:val="center"/>
          </w:tcPr>
          <w:p w14:paraId="10B87E91">
            <w:pPr>
              <w:spacing w:line="520" w:lineRule="exact"/>
              <w:jc w:val="center"/>
              <w:rPr>
                <w:rFonts w:hint="eastAsia" w:ascii="宋体" w:hAnsi="宋体"/>
                <w:color w:val="auto"/>
                <w:sz w:val="28"/>
                <w:highlight w:val="none"/>
              </w:rPr>
            </w:pPr>
          </w:p>
        </w:tc>
        <w:tc>
          <w:tcPr>
            <w:tcW w:w="2135" w:type="dxa"/>
            <w:noWrap w:val="0"/>
            <w:vAlign w:val="center"/>
          </w:tcPr>
          <w:p w14:paraId="5E2745FB">
            <w:pPr>
              <w:spacing w:line="520" w:lineRule="exact"/>
              <w:jc w:val="center"/>
              <w:rPr>
                <w:rFonts w:hint="eastAsia" w:ascii="宋体" w:hAnsi="宋体"/>
                <w:color w:val="auto"/>
                <w:sz w:val="28"/>
                <w:highlight w:val="none"/>
              </w:rPr>
            </w:pPr>
          </w:p>
        </w:tc>
        <w:tc>
          <w:tcPr>
            <w:tcW w:w="1358" w:type="dxa"/>
            <w:noWrap w:val="0"/>
            <w:vAlign w:val="center"/>
          </w:tcPr>
          <w:p w14:paraId="13500553">
            <w:pPr>
              <w:spacing w:line="520" w:lineRule="exact"/>
              <w:jc w:val="center"/>
              <w:rPr>
                <w:rFonts w:hint="eastAsia" w:ascii="宋体" w:hAnsi="宋体"/>
                <w:color w:val="auto"/>
                <w:sz w:val="28"/>
                <w:highlight w:val="none"/>
              </w:rPr>
            </w:pPr>
          </w:p>
        </w:tc>
        <w:tc>
          <w:tcPr>
            <w:tcW w:w="2418" w:type="dxa"/>
            <w:noWrap w:val="0"/>
            <w:vAlign w:val="center"/>
          </w:tcPr>
          <w:p w14:paraId="3B000A5E">
            <w:pPr>
              <w:spacing w:line="520" w:lineRule="exact"/>
              <w:jc w:val="center"/>
              <w:rPr>
                <w:rFonts w:hint="eastAsia" w:ascii="宋体" w:hAnsi="宋体"/>
                <w:color w:val="auto"/>
                <w:sz w:val="28"/>
                <w:highlight w:val="none"/>
              </w:rPr>
            </w:pPr>
          </w:p>
        </w:tc>
      </w:tr>
      <w:tr w14:paraId="4ADDE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419181AA">
            <w:pPr>
              <w:spacing w:line="520" w:lineRule="exact"/>
              <w:jc w:val="center"/>
              <w:rPr>
                <w:rFonts w:hint="eastAsia" w:ascii="宋体" w:hAnsi="宋体"/>
                <w:color w:val="auto"/>
                <w:sz w:val="28"/>
                <w:highlight w:val="none"/>
              </w:rPr>
            </w:pPr>
          </w:p>
        </w:tc>
        <w:tc>
          <w:tcPr>
            <w:tcW w:w="2439" w:type="dxa"/>
            <w:noWrap w:val="0"/>
            <w:vAlign w:val="center"/>
          </w:tcPr>
          <w:p w14:paraId="1C2E6502">
            <w:pPr>
              <w:spacing w:line="520" w:lineRule="exact"/>
              <w:jc w:val="center"/>
              <w:rPr>
                <w:rFonts w:hint="eastAsia" w:ascii="宋体" w:hAnsi="宋体"/>
                <w:color w:val="auto"/>
                <w:sz w:val="28"/>
                <w:highlight w:val="none"/>
              </w:rPr>
            </w:pPr>
          </w:p>
        </w:tc>
        <w:tc>
          <w:tcPr>
            <w:tcW w:w="2135" w:type="dxa"/>
            <w:noWrap w:val="0"/>
            <w:vAlign w:val="center"/>
          </w:tcPr>
          <w:p w14:paraId="4468A6C4">
            <w:pPr>
              <w:spacing w:line="520" w:lineRule="exact"/>
              <w:jc w:val="center"/>
              <w:rPr>
                <w:rFonts w:hint="eastAsia" w:ascii="宋体" w:hAnsi="宋体"/>
                <w:color w:val="auto"/>
                <w:sz w:val="28"/>
                <w:highlight w:val="none"/>
              </w:rPr>
            </w:pPr>
          </w:p>
        </w:tc>
        <w:tc>
          <w:tcPr>
            <w:tcW w:w="1358" w:type="dxa"/>
            <w:noWrap w:val="0"/>
            <w:vAlign w:val="center"/>
          </w:tcPr>
          <w:p w14:paraId="721BE3D4">
            <w:pPr>
              <w:spacing w:line="520" w:lineRule="exact"/>
              <w:jc w:val="center"/>
              <w:rPr>
                <w:rFonts w:hint="eastAsia" w:ascii="宋体" w:hAnsi="宋体"/>
                <w:color w:val="auto"/>
                <w:sz w:val="28"/>
                <w:highlight w:val="none"/>
              </w:rPr>
            </w:pPr>
          </w:p>
        </w:tc>
        <w:tc>
          <w:tcPr>
            <w:tcW w:w="2418" w:type="dxa"/>
            <w:noWrap w:val="0"/>
            <w:vAlign w:val="center"/>
          </w:tcPr>
          <w:p w14:paraId="47CE904E">
            <w:pPr>
              <w:spacing w:line="520" w:lineRule="exact"/>
              <w:jc w:val="center"/>
              <w:rPr>
                <w:rFonts w:hint="eastAsia" w:ascii="宋体" w:hAnsi="宋体"/>
                <w:color w:val="auto"/>
                <w:sz w:val="28"/>
                <w:highlight w:val="none"/>
              </w:rPr>
            </w:pPr>
          </w:p>
        </w:tc>
      </w:tr>
      <w:tr w14:paraId="4676A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05D5DB10">
            <w:pPr>
              <w:spacing w:line="520" w:lineRule="exact"/>
              <w:jc w:val="center"/>
              <w:rPr>
                <w:rFonts w:hint="eastAsia" w:ascii="宋体" w:hAnsi="宋体"/>
                <w:color w:val="auto"/>
                <w:sz w:val="28"/>
                <w:highlight w:val="none"/>
              </w:rPr>
            </w:pPr>
          </w:p>
        </w:tc>
        <w:tc>
          <w:tcPr>
            <w:tcW w:w="2439" w:type="dxa"/>
            <w:noWrap w:val="0"/>
            <w:vAlign w:val="center"/>
          </w:tcPr>
          <w:p w14:paraId="2E28C964">
            <w:pPr>
              <w:spacing w:line="520" w:lineRule="exact"/>
              <w:jc w:val="center"/>
              <w:rPr>
                <w:rFonts w:hint="eastAsia" w:ascii="宋体" w:hAnsi="宋体"/>
                <w:color w:val="auto"/>
                <w:sz w:val="28"/>
                <w:highlight w:val="none"/>
              </w:rPr>
            </w:pPr>
          </w:p>
        </w:tc>
        <w:tc>
          <w:tcPr>
            <w:tcW w:w="2135" w:type="dxa"/>
            <w:noWrap w:val="0"/>
            <w:vAlign w:val="center"/>
          </w:tcPr>
          <w:p w14:paraId="3860C765">
            <w:pPr>
              <w:spacing w:line="520" w:lineRule="exact"/>
              <w:jc w:val="center"/>
              <w:rPr>
                <w:rFonts w:hint="eastAsia" w:ascii="宋体" w:hAnsi="宋体"/>
                <w:color w:val="auto"/>
                <w:sz w:val="28"/>
                <w:highlight w:val="none"/>
              </w:rPr>
            </w:pPr>
          </w:p>
        </w:tc>
        <w:tc>
          <w:tcPr>
            <w:tcW w:w="1358" w:type="dxa"/>
            <w:noWrap w:val="0"/>
            <w:vAlign w:val="center"/>
          </w:tcPr>
          <w:p w14:paraId="7F3CBEFE">
            <w:pPr>
              <w:spacing w:line="520" w:lineRule="exact"/>
              <w:jc w:val="center"/>
              <w:rPr>
                <w:rFonts w:hint="eastAsia" w:ascii="宋体" w:hAnsi="宋体"/>
                <w:color w:val="auto"/>
                <w:sz w:val="28"/>
                <w:highlight w:val="none"/>
              </w:rPr>
            </w:pPr>
          </w:p>
        </w:tc>
        <w:tc>
          <w:tcPr>
            <w:tcW w:w="2418" w:type="dxa"/>
            <w:noWrap w:val="0"/>
            <w:vAlign w:val="center"/>
          </w:tcPr>
          <w:p w14:paraId="15CF1024">
            <w:pPr>
              <w:spacing w:line="520" w:lineRule="exact"/>
              <w:jc w:val="center"/>
              <w:rPr>
                <w:rFonts w:hint="eastAsia" w:ascii="宋体" w:hAnsi="宋体"/>
                <w:color w:val="auto"/>
                <w:sz w:val="28"/>
                <w:highlight w:val="none"/>
              </w:rPr>
            </w:pPr>
          </w:p>
        </w:tc>
      </w:tr>
      <w:tr w14:paraId="647D1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78DB7A1C">
            <w:pPr>
              <w:spacing w:line="520" w:lineRule="exact"/>
              <w:jc w:val="center"/>
              <w:rPr>
                <w:rFonts w:hint="eastAsia" w:ascii="宋体" w:hAnsi="宋体"/>
                <w:color w:val="auto"/>
                <w:sz w:val="28"/>
                <w:highlight w:val="none"/>
              </w:rPr>
            </w:pPr>
          </w:p>
        </w:tc>
        <w:tc>
          <w:tcPr>
            <w:tcW w:w="2439" w:type="dxa"/>
            <w:noWrap w:val="0"/>
            <w:vAlign w:val="center"/>
          </w:tcPr>
          <w:p w14:paraId="49C4E76F">
            <w:pPr>
              <w:spacing w:line="520" w:lineRule="exact"/>
              <w:jc w:val="center"/>
              <w:rPr>
                <w:rFonts w:hint="eastAsia" w:ascii="宋体" w:hAnsi="宋体"/>
                <w:color w:val="auto"/>
                <w:sz w:val="28"/>
                <w:highlight w:val="none"/>
              </w:rPr>
            </w:pPr>
          </w:p>
        </w:tc>
        <w:tc>
          <w:tcPr>
            <w:tcW w:w="2135" w:type="dxa"/>
            <w:noWrap w:val="0"/>
            <w:vAlign w:val="center"/>
          </w:tcPr>
          <w:p w14:paraId="65070D83">
            <w:pPr>
              <w:spacing w:line="520" w:lineRule="exact"/>
              <w:jc w:val="center"/>
              <w:rPr>
                <w:rFonts w:hint="eastAsia" w:ascii="宋体" w:hAnsi="宋体"/>
                <w:color w:val="auto"/>
                <w:sz w:val="28"/>
                <w:highlight w:val="none"/>
              </w:rPr>
            </w:pPr>
          </w:p>
        </w:tc>
        <w:tc>
          <w:tcPr>
            <w:tcW w:w="1358" w:type="dxa"/>
            <w:noWrap w:val="0"/>
            <w:vAlign w:val="center"/>
          </w:tcPr>
          <w:p w14:paraId="4DBA13E3">
            <w:pPr>
              <w:spacing w:line="520" w:lineRule="exact"/>
              <w:jc w:val="center"/>
              <w:rPr>
                <w:rFonts w:hint="eastAsia" w:ascii="宋体" w:hAnsi="宋体"/>
                <w:color w:val="auto"/>
                <w:sz w:val="28"/>
                <w:highlight w:val="none"/>
              </w:rPr>
            </w:pPr>
          </w:p>
        </w:tc>
        <w:tc>
          <w:tcPr>
            <w:tcW w:w="2418" w:type="dxa"/>
            <w:noWrap w:val="0"/>
            <w:vAlign w:val="center"/>
          </w:tcPr>
          <w:p w14:paraId="12511162">
            <w:pPr>
              <w:spacing w:line="520" w:lineRule="exact"/>
              <w:jc w:val="center"/>
              <w:rPr>
                <w:rFonts w:hint="eastAsia" w:ascii="宋体" w:hAnsi="宋体"/>
                <w:color w:val="auto"/>
                <w:sz w:val="28"/>
                <w:highlight w:val="none"/>
              </w:rPr>
            </w:pPr>
          </w:p>
        </w:tc>
      </w:tr>
      <w:tr w14:paraId="2267D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2BB3353F">
            <w:pPr>
              <w:spacing w:line="520" w:lineRule="exact"/>
              <w:jc w:val="center"/>
              <w:rPr>
                <w:rFonts w:hint="eastAsia" w:ascii="宋体" w:hAnsi="宋体"/>
                <w:color w:val="auto"/>
                <w:sz w:val="28"/>
                <w:highlight w:val="none"/>
              </w:rPr>
            </w:pPr>
          </w:p>
        </w:tc>
        <w:tc>
          <w:tcPr>
            <w:tcW w:w="2439" w:type="dxa"/>
            <w:noWrap w:val="0"/>
            <w:vAlign w:val="center"/>
          </w:tcPr>
          <w:p w14:paraId="1901B798">
            <w:pPr>
              <w:spacing w:line="520" w:lineRule="exact"/>
              <w:jc w:val="center"/>
              <w:rPr>
                <w:rFonts w:hint="eastAsia" w:ascii="宋体" w:hAnsi="宋体"/>
                <w:color w:val="auto"/>
                <w:sz w:val="28"/>
                <w:highlight w:val="none"/>
              </w:rPr>
            </w:pPr>
          </w:p>
        </w:tc>
        <w:tc>
          <w:tcPr>
            <w:tcW w:w="2135" w:type="dxa"/>
            <w:noWrap w:val="0"/>
            <w:vAlign w:val="center"/>
          </w:tcPr>
          <w:p w14:paraId="1EC041DD">
            <w:pPr>
              <w:spacing w:line="520" w:lineRule="exact"/>
              <w:jc w:val="center"/>
              <w:rPr>
                <w:rFonts w:hint="eastAsia" w:ascii="宋体" w:hAnsi="宋体"/>
                <w:color w:val="auto"/>
                <w:sz w:val="28"/>
                <w:highlight w:val="none"/>
              </w:rPr>
            </w:pPr>
          </w:p>
        </w:tc>
        <w:tc>
          <w:tcPr>
            <w:tcW w:w="1358" w:type="dxa"/>
            <w:noWrap w:val="0"/>
            <w:vAlign w:val="center"/>
          </w:tcPr>
          <w:p w14:paraId="06A24DB1">
            <w:pPr>
              <w:spacing w:line="520" w:lineRule="exact"/>
              <w:jc w:val="center"/>
              <w:rPr>
                <w:rFonts w:hint="eastAsia" w:ascii="宋体" w:hAnsi="宋体"/>
                <w:color w:val="auto"/>
                <w:sz w:val="28"/>
                <w:highlight w:val="none"/>
              </w:rPr>
            </w:pPr>
          </w:p>
        </w:tc>
        <w:tc>
          <w:tcPr>
            <w:tcW w:w="2418" w:type="dxa"/>
            <w:noWrap w:val="0"/>
            <w:vAlign w:val="center"/>
          </w:tcPr>
          <w:p w14:paraId="0ACF7D90">
            <w:pPr>
              <w:spacing w:line="520" w:lineRule="exact"/>
              <w:jc w:val="center"/>
              <w:rPr>
                <w:rFonts w:hint="eastAsia" w:ascii="宋体" w:hAnsi="宋体"/>
                <w:color w:val="auto"/>
                <w:sz w:val="28"/>
                <w:highlight w:val="none"/>
              </w:rPr>
            </w:pPr>
          </w:p>
        </w:tc>
      </w:tr>
      <w:tr w14:paraId="33DF5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14" w:type="dxa"/>
            <w:noWrap w:val="0"/>
            <w:vAlign w:val="center"/>
          </w:tcPr>
          <w:p w14:paraId="10E0E694">
            <w:pPr>
              <w:spacing w:line="520" w:lineRule="exact"/>
              <w:jc w:val="center"/>
              <w:rPr>
                <w:rFonts w:hint="eastAsia" w:ascii="宋体" w:hAnsi="宋体"/>
                <w:color w:val="auto"/>
                <w:sz w:val="28"/>
                <w:highlight w:val="none"/>
              </w:rPr>
            </w:pPr>
          </w:p>
        </w:tc>
        <w:tc>
          <w:tcPr>
            <w:tcW w:w="2439" w:type="dxa"/>
            <w:noWrap w:val="0"/>
            <w:vAlign w:val="center"/>
          </w:tcPr>
          <w:p w14:paraId="7051FA99">
            <w:pPr>
              <w:spacing w:line="520" w:lineRule="exact"/>
              <w:jc w:val="center"/>
              <w:rPr>
                <w:rFonts w:hint="eastAsia" w:ascii="宋体" w:hAnsi="宋体"/>
                <w:color w:val="auto"/>
                <w:sz w:val="28"/>
                <w:highlight w:val="none"/>
              </w:rPr>
            </w:pPr>
          </w:p>
        </w:tc>
        <w:tc>
          <w:tcPr>
            <w:tcW w:w="2135" w:type="dxa"/>
            <w:noWrap w:val="0"/>
            <w:vAlign w:val="center"/>
          </w:tcPr>
          <w:p w14:paraId="7666AAA9">
            <w:pPr>
              <w:spacing w:line="520" w:lineRule="exact"/>
              <w:jc w:val="center"/>
              <w:rPr>
                <w:rFonts w:hint="eastAsia" w:ascii="宋体" w:hAnsi="宋体"/>
                <w:color w:val="auto"/>
                <w:sz w:val="28"/>
                <w:highlight w:val="none"/>
              </w:rPr>
            </w:pPr>
          </w:p>
        </w:tc>
        <w:tc>
          <w:tcPr>
            <w:tcW w:w="1358" w:type="dxa"/>
            <w:noWrap w:val="0"/>
            <w:vAlign w:val="center"/>
          </w:tcPr>
          <w:p w14:paraId="4DE37D23">
            <w:pPr>
              <w:spacing w:line="520" w:lineRule="exact"/>
              <w:jc w:val="center"/>
              <w:rPr>
                <w:rFonts w:hint="eastAsia" w:ascii="宋体" w:hAnsi="宋体"/>
                <w:color w:val="auto"/>
                <w:sz w:val="28"/>
                <w:highlight w:val="none"/>
              </w:rPr>
            </w:pPr>
          </w:p>
        </w:tc>
        <w:tc>
          <w:tcPr>
            <w:tcW w:w="2418" w:type="dxa"/>
            <w:noWrap w:val="0"/>
            <w:vAlign w:val="center"/>
          </w:tcPr>
          <w:p w14:paraId="6BEE32D7">
            <w:pPr>
              <w:spacing w:line="520" w:lineRule="exact"/>
              <w:jc w:val="center"/>
              <w:rPr>
                <w:rFonts w:hint="eastAsia" w:ascii="宋体" w:hAnsi="宋体"/>
                <w:color w:val="auto"/>
                <w:sz w:val="28"/>
                <w:highlight w:val="none"/>
              </w:rPr>
            </w:pPr>
          </w:p>
        </w:tc>
      </w:tr>
      <w:tr w14:paraId="0BF36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14" w:type="dxa"/>
            <w:noWrap w:val="0"/>
            <w:vAlign w:val="center"/>
          </w:tcPr>
          <w:p w14:paraId="4D8B5A9C">
            <w:pPr>
              <w:spacing w:line="520" w:lineRule="exact"/>
              <w:jc w:val="center"/>
              <w:rPr>
                <w:rFonts w:hint="eastAsia" w:ascii="宋体" w:hAnsi="宋体"/>
                <w:color w:val="auto"/>
                <w:sz w:val="28"/>
                <w:highlight w:val="none"/>
              </w:rPr>
            </w:pPr>
          </w:p>
        </w:tc>
        <w:tc>
          <w:tcPr>
            <w:tcW w:w="2439" w:type="dxa"/>
            <w:noWrap w:val="0"/>
            <w:vAlign w:val="center"/>
          </w:tcPr>
          <w:p w14:paraId="24A4C970">
            <w:pPr>
              <w:spacing w:line="520" w:lineRule="exact"/>
              <w:jc w:val="center"/>
              <w:rPr>
                <w:rFonts w:hint="eastAsia" w:ascii="宋体" w:hAnsi="宋体"/>
                <w:color w:val="auto"/>
                <w:sz w:val="28"/>
                <w:highlight w:val="none"/>
              </w:rPr>
            </w:pPr>
          </w:p>
        </w:tc>
        <w:tc>
          <w:tcPr>
            <w:tcW w:w="2135" w:type="dxa"/>
            <w:noWrap w:val="0"/>
            <w:vAlign w:val="center"/>
          </w:tcPr>
          <w:p w14:paraId="63686AC7">
            <w:pPr>
              <w:spacing w:line="520" w:lineRule="exact"/>
              <w:jc w:val="center"/>
              <w:rPr>
                <w:rFonts w:hint="eastAsia" w:ascii="宋体" w:hAnsi="宋体"/>
                <w:color w:val="auto"/>
                <w:sz w:val="28"/>
                <w:highlight w:val="none"/>
              </w:rPr>
            </w:pPr>
          </w:p>
        </w:tc>
        <w:tc>
          <w:tcPr>
            <w:tcW w:w="1358" w:type="dxa"/>
            <w:noWrap w:val="0"/>
            <w:vAlign w:val="center"/>
          </w:tcPr>
          <w:p w14:paraId="474A26FB">
            <w:pPr>
              <w:spacing w:line="520" w:lineRule="exact"/>
              <w:jc w:val="center"/>
              <w:rPr>
                <w:rFonts w:hint="eastAsia" w:ascii="宋体" w:hAnsi="宋体"/>
                <w:color w:val="auto"/>
                <w:sz w:val="28"/>
                <w:highlight w:val="none"/>
              </w:rPr>
            </w:pPr>
          </w:p>
        </w:tc>
        <w:tc>
          <w:tcPr>
            <w:tcW w:w="2418" w:type="dxa"/>
            <w:noWrap w:val="0"/>
            <w:vAlign w:val="center"/>
          </w:tcPr>
          <w:p w14:paraId="3F858CC2">
            <w:pPr>
              <w:spacing w:line="520" w:lineRule="exact"/>
              <w:jc w:val="center"/>
              <w:rPr>
                <w:rFonts w:hint="eastAsia" w:ascii="宋体" w:hAnsi="宋体"/>
                <w:color w:val="auto"/>
                <w:sz w:val="28"/>
                <w:highlight w:val="none"/>
              </w:rPr>
            </w:pPr>
          </w:p>
        </w:tc>
      </w:tr>
    </w:tbl>
    <w:p w14:paraId="3923F1B8">
      <w:pPr>
        <w:spacing w:line="400" w:lineRule="exact"/>
        <w:jc w:val="center"/>
        <w:rPr>
          <w:rFonts w:hint="eastAsia" w:ascii="宋体" w:hAnsi="宋体"/>
          <w:b/>
          <w:color w:val="auto"/>
          <w:sz w:val="28"/>
          <w:szCs w:val="30"/>
          <w:highlight w:val="none"/>
        </w:rPr>
      </w:pPr>
    </w:p>
    <w:p w14:paraId="5DC5A600">
      <w:pPr>
        <w:spacing w:line="400" w:lineRule="exact"/>
        <w:rPr>
          <w:rFonts w:hint="eastAsia" w:ascii="宋体" w:hAnsi="宋体"/>
          <w:b/>
          <w:color w:val="auto"/>
          <w:sz w:val="28"/>
          <w:szCs w:val="30"/>
          <w:highlight w:val="none"/>
        </w:rPr>
      </w:pPr>
    </w:p>
    <w:p w14:paraId="74C0B9E0">
      <w:pPr>
        <w:spacing w:line="360" w:lineRule="auto"/>
        <w:ind w:firstLine="480"/>
        <w:rPr>
          <w:color w:val="auto"/>
          <w:sz w:val="24"/>
          <w:highlight w:val="none"/>
        </w:rPr>
      </w:pPr>
      <w:r>
        <w:rPr>
          <w:rFonts w:hint="eastAsia"/>
          <w:color w:val="auto"/>
          <w:sz w:val="24"/>
          <w:highlight w:val="none"/>
        </w:rPr>
        <w:t>投标人（盖章）：</w:t>
      </w:r>
    </w:p>
    <w:p w14:paraId="6AB826A7">
      <w:pPr>
        <w:spacing w:line="360" w:lineRule="auto"/>
        <w:ind w:firstLine="480"/>
        <w:rPr>
          <w:color w:val="auto"/>
          <w:sz w:val="24"/>
          <w:highlight w:val="none"/>
        </w:rPr>
      </w:pPr>
      <w:r>
        <w:rPr>
          <w:rFonts w:hint="eastAsia"/>
          <w:color w:val="auto"/>
          <w:sz w:val="24"/>
          <w:highlight w:val="none"/>
        </w:rPr>
        <w:t>法定代表人或委托代理人（签字或盖章）：</w:t>
      </w:r>
    </w:p>
    <w:p w14:paraId="21FF6B4E">
      <w:pPr>
        <w:pStyle w:val="226"/>
        <w:spacing w:line="360" w:lineRule="auto"/>
        <w:ind w:firstLine="480"/>
        <w:rPr>
          <w:rFonts w:hint="eastAsia"/>
          <w:color w:val="auto"/>
          <w:sz w:val="24"/>
          <w:szCs w:val="24"/>
          <w:highlight w:val="none"/>
        </w:rPr>
      </w:pPr>
      <w:r>
        <w:rPr>
          <w:rFonts w:hint="eastAsia"/>
          <w:color w:val="auto"/>
          <w:sz w:val="24"/>
          <w:szCs w:val="24"/>
          <w:highlight w:val="none"/>
        </w:rPr>
        <w:t>日期：    年     月     日</w:t>
      </w:r>
    </w:p>
    <w:p w14:paraId="3C9AD2A9">
      <w:pPr>
        <w:pStyle w:val="226"/>
        <w:spacing w:line="360" w:lineRule="auto"/>
        <w:ind w:firstLine="480"/>
        <w:rPr>
          <w:rFonts w:hint="eastAsia"/>
          <w:color w:val="auto"/>
          <w:sz w:val="24"/>
          <w:szCs w:val="24"/>
          <w:highlight w:val="none"/>
        </w:rPr>
      </w:pPr>
    </w:p>
    <w:p w14:paraId="2289B459">
      <w:pPr>
        <w:pStyle w:val="191"/>
        <w:numPr>
          <w:ilvl w:val="0"/>
          <w:numId w:val="0"/>
        </w:numPr>
        <w:spacing w:before="0" w:after="0" w:line="240" w:lineRule="auto"/>
        <w:rPr>
          <w:rFonts w:hint="eastAsia"/>
          <w:color w:val="auto"/>
          <w:highlight w:val="none"/>
        </w:rPr>
      </w:pPr>
      <w:r>
        <w:rPr>
          <w:color w:val="auto"/>
          <w:highlight w:val="none"/>
        </w:rPr>
        <w:br w:type="page" w:clear="all"/>
      </w:r>
      <w:r>
        <w:rPr>
          <w:rFonts w:hint="eastAsia"/>
          <w:color w:val="auto"/>
          <w:sz w:val="24"/>
          <w:highlight w:val="none"/>
        </w:rPr>
        <w:t>格式13、项目需求响应</w:t>
      </w:r>
    </w:p>
    <w:p w14:paraId="5F89452B">
      <w:pPr>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项目需求响应</w:t>
      </w:r>
    </w:p>
    <w:p w14:paraId="04A7A64B">
      <w:pPr>
        <w:spacing w:line="520" w:lineRule="exact"/>
        <w:jc w:val="center"/>
        <w:rPr>
          <w:rFonts w:hint="eastAsia" w:ascii="宋体" w:hAnsi="宋体"/>
          <w:color w:val="auto"/>
          <w:sz w:val="24"/>
          <w:highlight w:val="none"/>
        </w:rPr>
      </w:pPr>
      <w:r>
        <w:rPr>
          <w:rFonts w:hint="eastAsia" w:ascii="宋体" w:hAnsi="宋体"/>
          <w:color w:val="auto"/>
          <w:highlight w:val="none"/>
        </w:rPr>
        <w:t>（供应商按“项目需求”等内容要求自行填写，格式自定）</w:t>
      </w:r>
    </w:p>
    <w:p w14:paraId="56B19150">
      <w:pPr>
        <w:spacing w:line="520" w:lineRule="exact"/>
        <w:rPr>
          <w:rFonts w:hint="eastAsia" w:ascii="宋体" w:hAnsi="宋体"/>
          <w:color w:val="auto"/>
          <w:sz w:val="24"/>
          <w:highlight w:val="none"/>
        </w:rPr>
      </w:pPr>
    </w:p>
    <w:p w14:paraId="2E5A9126">
      <w:pPr>
        <w:spacing w:line="520" w:lineRule="exact"/>
        <w:rPr>
          <w:rFonts w:hint="eastAsia" w:ascii="宋体" w:hAnsi="宋体"/>
          <w:color w:val="auto"/>
          <w:sz w:val="24"/>
          <w:highlight w:val="none"/>
        </w:rPr>
      </w:pPr>
    </w:p>
    <w:p w14:paraId="28C91479">
      <w:pPr>
        <w:spacing w:line="520" w:lineRule="exact"/>
        <w:rPr>
          <w:rFonts w:hint="eastAsia" w:ascii="宋体" w:hAnsi="宋体"/>
          <w:color w:val="auto"/>
          <w:sz w:val="24"/>
          <w:highlight w:val="none"/>
        </w:rPr>
      </w:pPr>
    </w:p>
    <w:p w14:paraId="20F0D553">
      <w:pPr>
        <w:spacing w:line="520" w:lineRule="exact"/>
        <w:rPr>
          <w:rFonts w:hint="eastAsia" w:ascii="宋体" w:hAnsi="宋体"/>
          <w:color w:val="auto"/>
          <w:sz w:val="24"/>
          <w:highlight w:val="none"/>
        </w:rPr>
      </w:pPr>
    </w:p>
    <w:p w14:paraId="1F056022">
      <w:pPr>
        <w:spacing w:line="520" w:lineRule="exact"/>
        <w:rPr>
          <w:rFonts w:hint="eastAsia" w:ascii="宋体" w:hAnsi="宋体"/>
          <w:color w:val="auto"/>
          <w:sz w:val="24"/>
          <w:highlight w:val="none"/>
        </w:rPr>
      </w:pPr>
    </w:p>
    <w:p w14:paraId="6419808F">
      <w:pPr>
        <w:spacing w:line="520" w:lineRule="exact"/>
        <w:rPr>
          <w:rFonts w:hint="eastAsia" w:ascii="宋体" w:hAnsi="宋体"/>
          <w:color w:val="auto"/>
          <w:sz w:val="24"/>
          <w:highlight w:val="none"/>
        </w:rPr>
      </w:pPr>
    </w:p>
    <w:p w14:paraId="4868EBFE">
      <w:pPr>
        <w:spacing w:line="520" w:lineRule="exact"/>
        <w:rPr>
          <w:rFonts w:hint="eastAsia" w:ascii="宋体" w:hAnsi="宋体"/>
          <w:color w:val="auto"/>
          <w:sz w:val="24"/>
          <w:highlight w:val="none"/>
        </w:rPr>
      </w:pPr>
    </w:p>
    <w:p w14:paraId="1D29EB42">
      <w:pPr>
        <w:spacing w:line="520" w:lineRule="exact"/>
        <w:rPr>
          <w:rFonts w:hint="eastAsia" w:ascii="宋体" w:hAnsi="宋体"/>
          <w:color w:val="auto"/>
          <w:sz w:val="24"/>
          <w:highlight w:val="none"/>
        </w:rPr>
      </w:pPr>
    </w:p>
    <w:p w14:paraId="4A8A2870">
      <w:pPr>
        <w:spacing w:line="520" w:lineRule="exact"/>
        <w:rPr>
          <w:rFonts w:hint="eastAsia" w:ascii="宋体" w:hAnsi="宋体"/>
          <w:color w:val="auto"/>
          <w:sz w:val="24"/>
          <w:highlight w:val="none"/>
        </w:rPr>
      </w:pPr>
    </w:p>
    <w:p w14:paraId="344FC8DD">
      <w:pPr>
        <w:spacing w:line="520" w:lineRule="exact"/>
        <w:rPr>
          <w:rFonts w:hint="eastAsia" w:ascii="宋体" w:hAnsi="宋体"/>
          <w:color w:val="auto"/>
          <w:sz w:val="24"/>
          <w:highlight w:val="none"/>
        </w:rPr>
      </w:pPr>
    </w:p>
    <w:p w14:paraId="3226324A">
      <w:pPr>
        <w:spacing w:line="520" w:lineRule="exact"/>
        <w:rPr>
          <w:rFonts w:hint="eastAsia" w:ascii="宋体" w:hAnsi="宋体"/>
          <w:color w:val="auto"/>
          <w:sz w:val="24"/>
          <w:highlight w:val="none"/>
        </w:rPr>
      </w:pPr>
    </w:p>
    <w:p w14:paraId="1E0C9175">
      <w:pPr>
        <w:spacing w:line="520" w:lineRule="exact"/>
        <w:rPr>
          <w:rFonts w:hint="eastAsia" w:ascii="宋体" w:hAnsi="宋体"/>
          <w:color w:val="auto"/>
          <w:sz w:val="24"/>
          <w:highlight w:val="none"/>
        </w:rPr>
      </w:pPr>
    </w:p>
    <w:p w14:paraId="17738176">
      <w:pPr>
        <w:spacing w:line="520" w:lineRule="exact"/>
        <w:rPr>
          <w:rFonts w:hint="eastAsia" w:ascii="宋体" w:hAnsi="宋体"/>
          <w:color w:val="auto"/>
          <w:sz w:val="24"/>
          <w:highlight w:val="none"/>
        </w:rPr>
      </w:pPr>
    </w:p>
    <w:p w14:paraId="330023C1">
      <w:pPr>
        <w:spacing w:line="520" w:lineRule="exact"/>
        <w:rPr>
          <w:rFonts w:hint="eastAsia" w:ascii="宋体" w:hAnsi="宋体"/>
          <w:color w:val="auto"/>
          <w:sz w:val="24"/>
          <w:highlight w:val="none"/>
        </w:rPr>
      </w:pPr>
    </w:p>
    <w:p w14:paraId="49FA8697">
      <w:pPr>
        <w:spacing w:line="520" w:lineRule="exact"/>
        <w:rPr>
          <w:rFonts w:hint="eastAsia" w:ascii="宋体" w:hAnsi="宋体"/>
          <w:color w:val="auto"/>
          <w:sz w:val="24"/>
          <w:highlight w:val="none"/>
        </w:rPr>
      </w:pPr>
    </w:p>
    <w:p w14:paraId="1710AE28">
      <w:pPr>
        <w:spacing w:line="520" w:lineRule="exact"/>
        <w:rPr>
          <w:rFonts w:hint="eastAsia" w:ascii="宋体" w:hAnsi="宋体"/>
          <w:color w:val="auto"/>
          <w:sz w:val="24"/>
          <w:highlight w:val="none"/>
        </w:rPr>
      </w:pPr>
    </w:p>
    <w:p w14:paraId="69E2602F">
      <w:pPr>
        <w:spacing w:line="520" w:lineRule="exact"/>
        <w:rPr>
          <w:rFonts w:hint="eastAsia" w:ascii="宋体" w:hAnsi="宋体"/>
          <w:color w:val="auto"/>
          <w:sz w:val="24"/>
          <w:highlight w:val="none"/>
        </w:rPr>
      </w:pPr>
    </w:p>
    <w:p w14:paraId="7B0FB561">
      <w:pPr>
        <w:spacing w:line="520" w:lineRule="exact"/>
        <w:rPr>
          <w:rFonts w:hint="eastAsia" w:ascii="宋体" w:hAnsi="宋体"/>
          <w:color w:val="auto"/>
          <w:sz w:val="24"/>
          <w:highlight w:val="none"/>
        </w:rPr>
      </w:pPr>
    </w:p>
    <w:p w14:paraId="17B3E8EC">
      <w:pPr>
        <w:spacing w:line="400" w:lineRule="exact"/>
        <w:rPr>
          <w:rFonts w:hint="eastAsia" w:ascii="宋体" w:hAnsi="宋体"/>
          <w:b/>
          <w:color w:val="auto"/>
          <w:sz w:val="28"/>
          <w:szCs w:val="30"/>
          <w:highlight w:val="none"/>
        </w:rPr>
      </w:pPr>
    </w:p>
    <w:p w14:paraId="05F5D61C">
      <w:pPr>
        <w:spacing w:line="360" w:lineRule="auto"/>
        <w:ind w:firstLine="480"/>
        <w:rPr>
          <w:color w:val="auto"/>
          <w:sz w:val="24"/>
          <w:highlight w:val="none"/>
        </w:rPr>
      </w:pPr>
      <w:r>
        <w:rPr>
          <w:rFonts w:hint="eastAsia"/>
          <w:color w:val="auto"/>
          <w:sz w:val="24"/>
          <w:highlight w:val="none"/>
        </w:rPr>
        <w:t>投标人（盖章）：</w:t>
      </w:r>
    </w:p>
    <w:p w14:paraId="67735474">
      <w:pPr>
        <w:spacing w:line="360" w:lineRule="auto"/>
        <w:ind w:firstLine="480"/>
        <w:rPr>
          <w:color w:val="auto"/>
          <w:sz w:val="24"/>
          <w:highlight w:val="none"/>
        </w:rPr>
      </w:pPr>
      <w:r>
        <w:rPr>
          <w:rFonts w:hint="eastAsia"/>
          <w:color w:val="auto"/>
          <w:sz w:val="24"/>
          <w:highlight w:val="none"/>
        </w:rPr>
        <w:t>法定代表人或委托代理人（签字或盖章）：</w:t>
      </w:r>
    </w:p>
    <w:p w14:paraId="68954C51">
      <w:pPr>
        <w:pStyle w:val="226"/>
        <w:spacing w:line="360" w:lineRule="auto"/>
        <w:ind w:firstLine="480"/>
        <w:rPr>
          <w:rFonts w:hint="eastAsia"/>
          <w:color w:val="auto"/>
          <w:sz w:val="24"/>
          <w:szCs w:val="24"/>
          <w:highlight w:val="none"/>
        </w:rPr>
      </w:pPr>
      <w:r>
        <w:rPr>
          <w:rFonts w:hint="eastAsia"/>
          <w:color w:val="auto"/>
          <w:sz w:val="24"/>
          <w:szCs w:val="24"/>
          <w:highlight w:val="none"/>
        </w:rPr>
        <w:t>日期：    年     月     日</w:t>
      </w:r>
    </w:p>
    <w:p w14:paraId="1AE98EED">
      <w:pPr>
        <w:spacing w:line="520" w:lineRule="exact"/>
        <w:jc w:val="left"/>
        <w:rPr>
          <w:rFonts w:hint="eastAsia" w:ascii="宋体" w:hAnsi="宋体"/>
          <w:b/>
          <w:color w:val="auto"/>
          <w:szCs w:val="21"/>
          <w:highlight w:val="none"/>
        </w:rPr>
      </w:pPr>
    </w:p>
    <w:p w14:paraId="49E2958A">
      <w:pPr>
        <w:pStyle w:val="226"/>
        <w:spacing w:line="360" w:lineRule="auto"/>
        <w:rPr>
          <w:rFonts w:hint="eastAsia"/>
          <w:color w:val="auto"/>
          <w:sz w:val="24"/>
          <w:szCs w:val="24"/>
          <w:highlight w:val="none"/>
        </w:rPr>
      </w:pPr>
    </w:p>
    <w:p w14:paraId="17DD8281">
      <w:pPr>
        <w:pStyle w:val="191"/>
        <w:numPr>
          <w:ilvl w:val="0"/>
          <w:numId w:val="0"/>
        </w:numPr>
        <w:spacing w:before="0" w:after="0" w:line="240" w:lineRule="auto"/>
        <w:rPr>
          <w:rFonts w:hint="eastAsia"/>
          <w:color w:val="auto"/>
          <w:sz w:val="24"/>
          <w:highlight w:val="none"/>
        </w:rPr>
      </w:pPr>
      <w:r>
        <w:rPr>
          <w:rFonts w:hint="eastAsia"/>
          <w:color w:val="auto"/>
          <w:sz w:val="24"/>
          <w:highlight w:val="none"/>
        </w:rPr>
        <w:t>格式14、其他材料</w:t>
      </w:r>
    </w:p>
    <w:p w14:paraId="14DAD8CB">
      <w:pPr>
        <w:spacing w:line="520" w:lineRule="exact"/>
        <w:jc w:val="center"/>
        <w:rPr>
          <w:rFonts w:hint="eastAsia" w:ascii="宋体" w:hAnsi="宋体"/>
          <w:color w:val="auto"/>
          <w:sz w:val="24"/>
          <w:highlight w:val="none"/>
        </w:rPr>
      </w:pPr>
      <w:r>
        <w:rPr>
          <w:rFonts w:hint="eastAsia" w:ascii="宋体" w:hAnsi="宋体"/>
          <w:color w:val="auto"/>
          <w:sz w:val="24"/>
          <w:highlight w:val="none"/>
          <w:lang w:eastAsia="zh-CN"/>
        </w:rPr>
        <w:t>其他</w:t>
      </w:r>
      <w:r>
        <w:rPr>
          <w:rFonts w:hint="eastAsia" w:ascii="宋体" w:hAnsi="宋体"/>
          <w:color w:val="auto"/>
          <w:sz w:val="24"/>
          <w:highlight w:val="none"/>
        </w:rPr>
        <w:t>材料</w:t>
      </w:r>
    </w:p>
    <w:p w14:paraId="32EB8A94">
      <w:pPr>
        <w:spacing w:line="520" w:lineRule="exact"/>
        <w:jc w:val="center"/>
        <w:rPr>
          <w:rFonts w:hint="eastAsia" w:ascii="宋体" w:hAnsi="宋体"/>
          <w:color w:val="auto"/>
          <w:sz w:val="24"/>
          <w:highlight w:val="none"/>
        </w:rPr>
      </w:pPr>
      <w:r>
        <w:rPr>
          <w:rFonts w:hint="eastAsia" w:ascii="宋体" w:hAnsi="宋体"/>
          <w:color w:val="auto"/>
          <w:sz w:val="24"/>
          <w:highlight w:val="none"/>
        </w:rPr>
        <w:t>（投标人对招标文件响应有必要提供的材料或评标办法中要求提供的材料）</w:t>
      </w:r>
    </w:p>
    <w:p w14:paraId="2403D32B">
      <w:pPr>
        <w:spacing w:line="520" w:lineRule="exact"/>
        <w:rPr>
          <w:rFonts w:hint="eastAsia" w:ascii="宋体" w:hAnsi="宋体"/>
          <w:color w:val="auto"/>
          <w:sz w:val="24"/>
          <w:highlight w:val="none"/>
        </w:rPr>
      </w:pPr>
    </w:p>
    <w:p w14:paraId="039D9C03">
      <w:pPr>
        <w:spacing w:line="520" w:lineRule="exact"/>
        <w:rPr>
          <w:rFonts w:hint="eastAsia" w:ascii="宋体" w:hAnsi="宋体"/>
          <w:color w:val="auto"/>
          <w:sz w:val="24"/>
          <w:highlight w:val="none"/>
        </w:rPr>
      </w:pPr>
    </w:p>
    <w:p w14:paraId="07D33592">
      <w:pPr>
        <w:spacing w:line="520" w:lineRule="exact"/>
        <w:rPr>
          <w:rFonts w:hint="eastAsia" w:ascii="宋体" w:hAnsi="宋体"/>
          <w:color w:val="auto"/>
          <w:sz w:val="24"/>
          <w:highlight w:val="none"/>
        </w:rPr>
      </w:pPr>
    </w:p>
    <w:p w14:paraId="6A220627">
      <w:pPr>
        <w:spacing w:line="520" w:lineRule="exact"/>
        <w:rPr>
          <w:rFonts w:hint="eastAsia" w:ascii="宋体" w:hAnsi="宋体"/>
          <w:color w:val="auto"/>
          <w:sz w:val="24"/>
          <w:highlight w:val="none"/>
        </w:rPr>
      </w:pPr>
    </w:p>
    <w:p w14:paraId="46A8F771">
      <w:pPr>
        <w:spacing w:line="520" w:lineRule="exact"/>
        <w:rPr>
          <w:rFonts w:hint="eastAsia" w:ascii="宋体" w:hAnsi="宋体"/>
          <w:color w:val="auto"/>
          <w:sz w:val="24"/>
          <w:highlight w:val="none"/>
        </w:rPr>
      </w:pPr>
    </w:p>
    <w:p w14:paraId="45406F9E">
      <w:pPr>
        <w:spacing w:line="520" w:lineRule="exact"/>
        <w:rPr>
          <w:rFonts w:hint="eastAsia" w:ascii="宋体" w:hAnsi="宋体"/>
          <w:color w:val="auto"/>
          <w:sz w:val="24"/>
          <w:highlight w:val="none"/>
        </w:rPr>
      </w:pPr>
    </w:p>
    <w:p w14:paraId="51C66732">
      <w:pPr>
        <w:spacing w:line="520" w:lineRule="exact"/>
        <w:rPr>
          <w:rFonts w:hint="eastAsia" w:ascii="宋体" w:hAnsi="宋体"/>
          <w:color w:val="auto"/>
          <w:sz w:val="24"/>
          <w:highlight w:val="none"/>
        </w:rPr>
      </w:pPr>
    </w:p>
    <w:p w14:paraId="6EA0663D">
      <w:pPr>
        <w:spacing w:line="520" w:lineRule="exact"/>
        <w:rPr>
          <w:rFonts w:hint="eastAsia" w:ascii="宋体" w:hAnsi="宋体"/>
          <w:color w:val="auto"/>
          <w:sz w:val="24"/>
          <w:highlight w:val="none"/>
        </w:rPr>
      </w:pPr>
    </w:p>
    <w:p w14:paraId="3C758D2C">
      <w:pPr>
        <w:spacing w:line="520" w:lineRule="exact"/>
        <w:rPr>
          <w:rFonts w:hint="eastAsia" w:ascii="宋体" w:hAnsi="宋体"/>
          <w:color w:val="auto"/>
          <w:sz w:val="24"/>
          <w:highlight w:val="none"/>
        </w:rPr>
      </w:pPr>
    </w:p>
    <w:p w14:paraId="762C67EB">
      <w:pPr>
        <w:spacing w:line="520" w:lineRule="exact"/>
        <w:rPr>
          <w:rFonts w:hint="eastAsia" w:ascii="宋体" w:hAnsi="宋体"/>
          <w:color w:val="auto"/>
          <w:sz w:val="24"/>
          <w:highlight w:val="none"/>
        </w:rPr>
      </w:pPr>
    </w:p>
    <w:p w14:paraId="5BF94E22">
      <w:pPr>
        <w:spacing w:line="520" w:lineRule="exact"/>
        <w:rPr>
          <w:rFonts w:hint="eastAsia" w:ascii="宋体" w:hAnsi="宋体"/>
          <w:color w:val="auto"/>
          <w:sz w:val="24"/>
          <w:highlight w:val="none"/>
        </w:rPr>
      </w:pPr>
    </w:p>
    <w:p w14:paraId="2EE15185">
      <w:pPr>
        <w:spacing w:line="520" w:lineRule="exact"/>
        <w:rPr>
          <w:rFonts w:hint="eastAsia" w:ascii="宋体" w:hAnsi="宋体"/>
          <w:color w:val="auto"/>
          <w:sz w:val="24"/>
          <w:highlight w:val="none"/>
        </w:rPr>
      </w:pPr>
    </w:p>
    <w:p w14:paraId="29511650">
      <w:pPr>
        <w:spacing w:line="520" w:lineRule="exact"/>
        <w:rPr>
          <w:rFonts w:hint="eastAsia" w:ascii="宋体" w:hAnsi="宋体"/>
          <w:color w:val="auto"/>
          <w:sz w:val="24"/>
          <w:highlight w:val="none"/>
        </w:rPr>
      </w:pPr>
    </w:p>
    <w:p w14:paraId="66125E39">
      <w:pPr>
        <w:spacing w:line="520" w:lineRule="exact"/>
        <w:rPr>
          <w:rFonts w:hint="eastAsia" w:ascii="宋体" w:hAnsi="宋体"/>
          <w:color w:val="auto"/>
          <w:sz w:val="24"/>
          <w:highlight w:val="none"/>
        </w:rPr>
      </w:pPr>
    </w:p>
    <w:p w14:paraId="75D6798F">
      <w:pPr>
        <w:spacing w:line="520" w:lineRule="exact"/>
        <w:rPr>
          <w:rFonts w:hint="eastAsia" w:ascii="宋体" w:hAnsi="宋体"/>
          <w:color w:val="auto"/>
          <w:sz w:val="24"/>
          <w:highlight w:val="none"/>
        </w:rPr>
      </w:pPr>
    </w:p>
    <w:p w14:paraId="1E8F1169">
      <w:pPr>
        <w:spacing w:line="520" w:lineRule="exact"/>
        <w:rPr>
          <w:rFonts w:hint="eastAsia" w:ascii="宋体" w:hAnsi="宋体"/>
          <w:color w:val="auto"/>
          <w:sz w:val="24"/>
          <w:highlight w:val="none"/>
        </w:rPr>
      </w:pPr>
    </w:p>
    <w:p w14:paraId="05288506">
      <w:pPr>
        <w:spacing w:line="520" w:lineRule="exact"/>
        <w:rPr>
          <w:rFonts w:hint="eastAsia" w:ascii="宋体" w:hAnsi="宋体"/>
          <w:color w:val="auto"/>
          <w:sz w:val="24"/>
          <w:highlight w:val="none"/>
        </w:rPr>
      </w:pPr>
    </w:p>
    <w:p w14:paraId="76783306">
      <w:pPr>
        <w:spacing w:line="400" w:lineRule="exact"/>
        <w:rPr>
          <w:rFonts w:hint="eastAsia" w:ascii="宋体" w:hAnsi="宋体"/>
          <w:b/>
          <w:color w:val="auto"/>
          <w:sz w:val="28"/>
          <w:szCs w:val="30"/>
          <w:highlight w:val="none"/>
        </w:rPr>
      </w:pPr>
    </w:p>
    <w:p w14:paraId="399DD11D">
      <w:pPr>
        <w:spacing w:line="360" w:lineRule="auto"/>
        <w:ind w:firstLine="480"/>
        <w:rPr>
          <w:color w:val="auto"/>
          <w:sz w:val="24"/>
          <w:highlight w:val="none"/>
        </w:rPr>
      </w:pPr>
      <w:r>
        <w:rPr>
          <w:rFonts w:hint="eastAsia"/>
          <w:color w:val="auto"/>
          <w:sz w:val="24"/>
          <w:highlight w:val="none"/>
        </w:rPr>
        <w:t>投标人（盖章）：</w:t>
      </w:r>
    </w:p>
    <w:p w14:paraId="04EB9683">
      <w:pPr>
        <w:spacing w:line="360" w:lineRule="auto"/>
        <w:ind w:firstLine="480"/>
        <w:rPr>
          <w:color w:val="auto"/>
          <w:sz w:val="24"/>
          <w:highlight w:val="none"/>
        </w:rPr>
      </w:pPr>
      <w:r>
        <w:rPr>
          <w:rFonts w:hint="eastAsia"/>
          <w:color w:val="auto"/>
          <w:sz w:val="24"/>
          <w:highlight w:val="none"/>
        </w:rPr>
        <w:t>法定代表人或委托代理人（签字或盖章）：</w:t>
      </w:r>
    </w:p>
    <w:p w14:paraId="7D178510">
      <w:pPr>
        <w:pStyle w:val="226"/>
        <w:spacing w:line="360" w:lineRule="auto"/>
        <w:ind w:firstLine="480"/>
        <w:rPr>
          <w:rFonts w:hint="eastAsia"/>
          <w:color w:val="auto"/>
          <w:sz w:val="24"/>
          <w:szCs w:val="24"/>
          <w:highlight w:val="none"/>
        </w:rPr>
      </w:pPr>
      <w:r>
        <w:rPr>
          <w:rFonts w:hint="eastAsia"/>
          <w:color w:val="auto"/>
          <w:sz w:val="24"/>
          <w:szCs w:val="24"/>
          <w:highlight w:val="none"/>
        </w:rPr>
        <w:t>日期：    年     月     日</w:t>
      </w:r>
    </w:p>
    <w:p w14:paraId="488EE95D">
      <w:pPr>
        <w:pStyle w:val="226"/>
        <w:spacing w:line="360" w:lineRule="auto"/>
        <w:ind w:firstLine="480"/>
        <w:rPr>
          <w:rFonts w:hint="eastAsia"/>
          <w:color w:val="auto"/>
          <w:sz w:val="24"/>
          <w:szCs w:val="24"/>
          <w:highlight w:val="none"/>
        </w:rPr>
      </w:pPr>
    </w:p>
    <w:p w14:paraId="385D11AD">
      <w:pPr>
        <w:pStyle w:val="226"/>
        <w:spacing w:line="360" w:lineRule="auto"/>
        <w:ind w:firstLine="480"/>
        <w:rPr>
          <w:rFonts w:hint="eastAsia"/>
          <w:color w:val="auto"/>
          <w:sz w:val="24"/>
          <w:szCs w:val="24"/>
          <w:highlight w:val="none"/>
        </w:rPr>
      </w:pPr>
    </w:p>
    <w:p w14:paraId="7906B540">
      <w:pPr>
        <w:pStyle w:val="226"/>
        <w:spacing w:line="360" w:lineRule="auto"/>
        <w:ind w:firstLine="480"/>
        <w:rPr>
          <w:rFonts w:hint="eastAsia"/>
          <w:color w:val="auto"/>
          <w:sz w:val="24"/>
          <w:szCs w:val="24"/>
          <w:highlight w:val="none"/>
        </w:rPr>
      </w:pPr>
    </w:p>
    <w:p w14:paraId="32C31A3E">
      <w:pPr>
        <w:pStyle w:val="226"/>
        <w:spacing w:line="360" w:lineRule="auto"/>
        <w:ind w:firstLine="480"/>
        <w:rPr>
          <w:rFonts w:hint="eastAsia"/>
          <w:color w:val="auto"/>
          <w:sz w:val="24"/>
          <w:szCs w:val="24"/>
          <w:highlight w:val="none"/>
        </w:rPr>
      </w:pPr>
    </w:p>
    <w:p w14:paraId="159402BD">
      <w:pPr>
        <w:keepNext/>
        <w:keepLines/>
        <w:outlineLvl w:val="1"/>
        <w:rPr>
          <w:rFonts w:ascii="Arial" w:hAnsi="Arial" w:eastAsia="黑体"/>
          <w:b/>
          <w:bCs/>
          <w:color w:val="auto"/>
          <w:sz w:val="24"/>
          <w:szCs w:val="32"/>
          <w:highlight w:val="none"/>
        </w:rPr>
      </w:pPr>
      <w:r>
        <w:rPr>
          <w:rFonts w:hint="eastAsia" w:ascii="Arial" w:hAnsi="Arial" w:eastAsia="黑体"/>
          <w:b/>
          <w:bCs/>
          <w:color w:val="auto"/>
          <w:sz w:val="24"/>
          <w:szCs w:val="32"/>
          <w:highlight w:val="none"/>
        </w:rPr>
        <w:t>格式1</w:t>
      </w:r>
      <w:r>
        <w:rPr>
          <w:rFonts w:hint="eastAsia" w:ascii="Arial" w:hAnsi="Arial" w:eastAsia="黑体"/>
          <w:b/>
          <w:bCs/>
          <w:color w:val="auto"/>
          <w:sz w:val="24"/>
          <w:szCs w:val="32"/>
          <w:highlight w:val="none"/>
          <w:lang w:val="en-US" w:eastAsia="zh-CN"/>
        </w:rPr>
        <w:t>5</w:t>
      </w:r>
      <w:r>
        <w:rPr>
          <w:rFonts w:hint="eastAsia" w:ascii="Arial" w:hAnsi="Arial" w:eastAsia="黑体"/>
          <w:b/>
          <w:bCs/>
          <w:color w:val="auto"/>
          <w:sz w:val="24"/>
          <w:szCs w:val="32"/>
          <w:highlight w:val="none"/>
        </w:rPr>
        <w:t>、财务状况报告及税收、社会保障资金缴纳情况承诺函</w:t>
      </w:r>
    </w:p>
    <w:p w14:paraId="09F1AB53">
      <w:pPr>
        <w:spacing w:line="360" w:lineRule="auto"/>
        <w:jc w:val="center"/>
        <w:rPr>
          <w:rFonts w:ascii="黑体" w:hAnsi="黑体" w:eastAsia="黑体"/>
          <w:bCs/>
          <w:color w:val="auto"/>
          <w:sz w:val="36"/>
          <w:szCs w:val="28"/>
          <w:highlight w:val="none"/>
        </w:rPr>
      </w:pPr>
      <w:r>
        <w:rPr>
          <w:rFonts w:hint="eastAsia" w:ascii="黑体" w:hAnsi="黑体" w:eastAsia="黑体"/>
          <w:bCs/>
          <w:color w:val="auto"/>
          <w:sz w:val="36"/>
          <w:szCs w:val="28"/>
          <w:highlight w:val="none"/>
        </w:rPr>
        <w:t>财务状况报告及税收、社会保障资金</w:t>
      </w:r>
    </w:p>
    <w:p w14:paraId="48BA9279">
      <w:pPr>
        <w:spacing w:line="360" w:lineRule="auto"/>
        <w:jc w:val="center"/>
        <w:rPr>
          <w:rFonts w:ascii="黑体" w:hAnsi="黑体" w:eastAsia="黑体"/>
          <w:bCs/>
          <w:color w:val="auto"/>
          <w:sz w:val="36"/>
          <w:szCs w:val="28"/>
          <w:highlight w:val="none"/>
        </w:rPr>
      </w:pPr>
      <w:r>
        <w:rPr>
          <w:rFonts w:hint="eastAsia" w:ascii="黑体" w:hAnsi="黑体" w:eastAsia="黑体"/>
          <w:bCs/>
          <w:color w:val="auto"/>
          <w:sz w:val="36"/>
          <w:szCs w:val="28"/>
          <w:highlight w:val="none"/>
        </w:rPr>
        <w:t>缴纳情况承诺函</w:t>
      </w:r>
    </w:p>
    <w:p w14:paraId="6B531A7B">
      <w:pPr>
        <w:keepNext/>
        <w:spacing w:line="360" w:lineRule="auto"/>
        <w:outlineLvl w:val="1"/>
        <w:rPr>
          <w:rFonts w:ascii="宋体" w:hAnsi="宋体"/>
          <w:color w:val="auto"/>
          <w:szCs w:val="21"/>
          <w:highlight w:val="none"/>
        </w:rPr>
      </w:pPr>
      <w:r>
        <w:rPr>
          <w:rFonts w:hint="eastAsia" w:ascii="宋体" w:hAnsi="宋体"/>
          <w:color w:val="auto"/>
          <w:szCs w:val="21"/>
          <w:highlight w:val="none"/>
        </w:rPr>
        <w:t>致：采购人名称</w:t>
      </w:r>
    </w:p>
    <w:p w14:paraId="7DD9C82E">
      <w:pPr>
        <w:spacing w:line="560" w:lineRule="exact"/>
        <w:ind w:firstLine="420"/>
        <w:rPr>
          <w:rFonts w:ascii="宋体" w:hAnsi="宋体"/>
          <w:color w:val="auto"/>
          <w:szCs w:val="21"/>
          <w:highlight w:val="none"/>
        </w:rPr>
      </w:pPr>
      <w:r>
        <w:rPr>
          <w:rFonts w:hint="eastAsia" w:ascii="宋体" w:hAnsi="宋体"/>
          <w:color w:val="auto"/>
          <w:szCs w:val="21"/>
          <w:highlight w:val="none"/>
        </w:rPr>
        <w:t>我方</w:t>
      </w:r>
      <w:r>
        <w:rPr>
          <w:rFonts w:hint="eastAsia" w:ascii="宋体" w:hAnsi="宋体"/>
          <w:color w:val="auto"/>
          <w:szCs w:val="21"/>
          <w:highlight w:val="none"/>
          <w:u w:val="single"/>
        </w:rPr>
        <w:t>供应商名称</w:t>
      </w:r>
      <w:r>
        <w:rPr>
          <w:rFonts w:hint="eastAsia" w:ascii="宋体" w:hAnsi="宋体"/>
          <w:color w:val="auto"/>
          <w:szCs w:val="21"/>
          <w:highlight w:val="none"/>
        </w:rPr>
        <w:t>参加</w:t>
      </w:r>
      <w:r>
        <w:rPr>
          <w:rFonts w:hint="eastAsia" w:ascii="宋体" w:hAnsi="宋体"/>
          <w:color w:val="auto"/>
          <w:szCs w:val="21"/>
          <w:highlight w:val="none"/>
          <w:u w:val="single"/>
        </w:rPr>
        <w:t>项目名称</w:t>
      </w:r>
      <w:r>
        <w:rPr>
          <w:rFonts w:hint="eastAsia" w:ascii="宋体" w:hAnsi="宋体"/>
          <w:color w:val="auto"/>
          <w:szCs w:val="21"/>
          <w:highlight w:val="none"/>
        </w:rPr>
        <w:t>（项目编号：</w:t>
      </w:r>
      <w:r>
        <w:rPr>
          <w:rFonts w:hint="eastAsia" w:ascii="宋体" w:hAnsi="宋体"/>
          <w:color w:val="auto"/>
          <w:szCs w:val="21"/>
          <w:highlight w:val="none"/>
          <w:u w:val="single"/>
        </w:rPr>
        <w:t>项目编号</w:t>
      </w:r>
      <w:r>
        <w:rPr>
          <w:rFonts w:hint="eastAsia" w:ascii="宋体" w:hAnsi="宋体"/>
          <w:color w:val="auto"/>
          <w:szCs w:val="21"/>
          <w:highlight w:val="none"/>
        </w:rPr>
        <w:t>）采购，根据《</w:t>
      </w:r>
      <w:r>
        <w:rPr>
          <w:rFonts w:hint="eastAsia" w:ascii="宋体" w:hAnsi="宋体" w:cs="Segoe UI"/>
          <w:bCs/>
          <w:color w:val="auto"/>
          <w:szCs w:val="21"/>
          <w:highlight w:val="none"/>
        </w:rPr>
        <w:t>关于简化政府采购供应商资格审查有关事项的通知</w:t>
      </w:r>
      <w:r>
        <w:rPr>
          <w:rFonts w:hint="eastAsia" w:ascii="宋体" w:hAnsi="宋体"/>
          <w:color w:val="auto"/>
          <w:szCs w:val="21"/>
          <w:highlight w:val="none"/>
        </w:rPr>
        <w:t>》（连财购〔2023〕4号），我方承诺具备</w:t>
      </w:r>
      <w:r>
        <w:rPr>
          <w:rFonts w:hint="eastAsia" w:ascii="宋体" w:hAnsi="宋体" w:cs="仿宋_GB2312"/>
          <w:color w:val="auto"/>
          <w:szCs w:val="21"/>
          <w:highlight w:val="none"/>
        </w:rPr>
        <w:t>《中华人民共和国政府采购法》第二十二条第（二）、第（四）项，《中华人民共和国政府采购法实施条例》第十七条第（二）项规定条件的，</w:t>
      </w:r>
      <w:r>
        <w:rPr>
          <w:rFonts w:hint="eastAsia" w:ascii="宋体" w:hAnsi="宋体"/>
          <w:color w:val="auto"/>
          <w:szCs w:val="21"/>
          <w:highlight w:val="none"/>
        </w:rPr>
        <w:t>具体包括：</w:t>
      </w:r>
    </w:p>
    <w:p w14:paraId="24BD0ECB">
      <w:pPr>
        <w:spacing w:line="560" w:lineRule="exact"/>
        <w:ind w:left="360" w:firstLine="210"/>
        <w:rPr>
          <w:rFonts w:ascii="宋体" w:hAnsi="宋体"/>
          <w:color w:val="auto"/>
          <w:szCs w:val="21"/>
          <w:highlight w:val="none"/>
        </w:rPr>
      </w:pPr>
      <w:r>
        <w:rPr>
          <w:rFonts w:hint="eastAsia" w:ascii="宋体" w:hAnsi="宋体"/>
          <w:color w:val="auto"/>
          <w:szCs w:val="21"/>
          <w:highlight w:val="none"/>
        </w:rPr>
        <w:t>（1）具有良好的商业信誉和健全的财务会计制度（财务状况报告）；</w:t>
      </w:r>
    </w:p>
    <w:p w14:paraId="24764303">
      <w:pPr>
        <w:spacing w:line="560" w:lineRule="exact"/>
        <w:ind w:left="360" w:firstLine="210"/>
        <w:rPr>
          <w:rFonts w:ascii="宋体" w:hAnsi="宋体"/>
          <w:color w:val="auto"/>
          <w:szCs w:val="21"/>
          <w:highlight w:val="none"/>
        </w:rPr>
      </w:pPr>
      <w:r>
        <w:rPr>
          <w:rFonts w:hint="eastAsia" w:ascii="宋体" w:hAnsi="宋体"/>
          <w:color w:val="auto"/>
          <w:szCs w:val="21"/>
          <w:highlight w:val="none"/>
        </w:rPr>
        <w:t>（2）有依法缴纳税收和社会保障资金的良好记录。</w:t>
      </w:r>
    </w:p>
    <w:p w14:paraId="5DB4E270">
      <w:pPr>
        <w:widowControl/>
        <w:spacing w:line="560" w:lineRule="exact"/>
        <w:ind w:firstLine="420"/>
        <w:jc w:val="left"/>
        <w:rPr>
          <w:rFonts w:ascii="宋体" w:hAnsi="宋体"/>
          <w:color w:val="auto"/>
          <w:szCs w:val="21"/>
          <w:highlight w:val="none"/>
        </w:rPr>
      </w:pPr>
      <w:r>
        <w:rPr>
          <w:rFonts w:hint="eastAsia" w:ascii="宋体" w:hAnsi="宋体"/>
          <w:color w:val="auto"/>
          <w:szCs w:val="21"/>
          <w:highlight w:val="none"/>
        </w:rPr>
        <w:t>我方对上述承诺的真实性负责，如有虚假，将依法承担提供虚假材料谋取中标、成交责任，同时同意有关主管部门将相关失信信息记入公共信用信息系统并在相关政府门户网站公开。</w:t>
      </w:r>
    </w:p>
    <w:p w14:paraId="4A82A007">
      <w:pPr>
        <w:widowControl/>
        <w:spacing w:line="560" w:lineRule="exact"/>
        <w:ind w:firstLine="420"/>
        <w:jc w:val="left"/>
        <w:rPr>
          <w:rFonts w:ascii="宋体" w:hAnsi="宋体"/>
          <w:color w:val="auto"/>
          <w:szCs w:val="21"/>
          <w:highlight w:val="none"/>
        </w:rPr>
      </w:pPr>
      <w:r>
        <w:rPr>
          <w:rFonts w:hint="eastAsia" w:ascii="宋体" w:hAnsi="宋体"/>
          <w:color w:val="auto"/>
          <w:szCs w:val="21"/>
          <w:highlight w:val="none"/>
        </w:rPr>
        <w:t>特此承诺</w:t>
      </w:r>
    </w:p>
    <w:p w14:paraId="10D39F1C">
      <w:pPr>
        <w:spacing w:line="560" w:lineRule="exact"/>
        <w:ind w:left="360" w:firstLine="405"/>
        <w:rPr>
          <w:rFonts w:ascii="宋体" w:hAnsi="宋体"/>
          <w:color w:val="auto"/>
          <w:szCs w:val="21"/>
          <w:highlight w:val="none"/>
        </w:rPr>
      </w:pPr>
    </w:p>
    <w:p w14:paraId="0390384D">
      <w:pPr>
        <w:spacing w:line="560" w:lineRule="exact"/>
        <w:ind w:left="360" w:firstLine="405"/>
        <w:rPr>
          <w:rFonts w:ascii="宋体" w:hAnsi="宋体"/>
          <w:color w:val="auto"/>
          <w:szCs w:val="21"/>
          <w:highlight w:val="none"/>
        </w:rPr>
      </w:pPr>
    </w:p>
    <w:p w14:paraId="55003E54">
      <w:pPr>
        <w:spacing w:line="560" w:lineRule="exact"/>
        <w:ind w:left="360" w:firstLine="405"/>
        <w:rPr>
          <w:rFonts w:ascii="宋体" w:hAnsi="宋体"/>
          <w:color w:val="auto"/>
          <w:szCs w:val="21"/>
          <w:highlight w:val="none"/>
        </w:rPr>
      </w:pPr>
      <w:r>
        <w:rPr>
          <w:rFonts w:hint="eastAsia" w:ascii="宋体" w:hAnsi="宋体"/>
          <w:color w:val="auto"/>
          <w:szCs w:val="21"/>
          <w:highlight w:val="none"/>
        </w:rPr>
        <w:t xml:space="preserve">投标人（公章）：          </w:t>
      </w:r>
    </w:p>
    <w:p w14:paraId="69F5633E">
      <w:pPr>
        <w:spacing w:line="560" w:lineRule="exact"/>
        <w:ind w:left="360" w:firstLine="405"/>
        <w:rPr>
          <w:rFonts w:ascii="宋体" w:hAnsi="宋体"/>
          <w:color w:val="auto"/>
          <w:szCs w:val="21"/>
          <w:highlight w:val="none"/>
        </w:rPr>
      </w:pPr>
    </w:p>
    <w:p w14:paraId="5B0700B0">
      <w:pPr>
        <w:spacing w:line="560" w:lineRule="exact"/>
        <w:ind w:left="360" w:firstLine="405"/>
        <w:rPr>
          <w:rFonts w:ascii="宋体" w:hAnsi="宋体"/>
          <w:color w:val="auto"/>
          <w:szCs w:val="21"/>
          <w:highlight w:val="none"/>
        </w:rPr>
      </w:pPr>
      <w:r>
        <w:rPr>
          <w:rFonts w:hint="eastAsia" w:ascii="宋体" w:hAnsi="宋体"/>
          <w:color w:val="auto"/>
          <w:szCs w:val="21"/>
          <w:highlight w:val="none"/>
        </w:rPr>
        <w:t>法定代表人或其委托代理人（签名或签章）：</w:t>
      </w:r>
    </w:p>
    <w:p w14:paraId="41DB6F71">
      <w:pPr>
        <w:spacing w:line="560" w:lineRule="exact"/>
        <w:ind w:left="360" w:firstLine="405"/>
        <w:rPr>
          <w:rFonts w:ascii="宋体" w:hAnsi="宋体"/>
          <w:color w:val="auto"/>
          <w:szCs w:val="21"/>
          <w:highlight w:val="none"/>
        </w:rPr>
      </w:pPr>
    </w:p>
    <w:p w14:paraId="58301279">
      <w:pPr>
        <w:spacing w:line="560" w:lineRule="exact"/>
        <w:ind w:left="360" w:firstLine="405"/>
        <w:rPr>
          <w:rFonts w:ascii="宋体" w:hAnsi="宋体"/>
          <w:color w:val="auto"/>
          <w:szCs w:val="21"/>
          <w:highlight w:val="none"/>
        </w:rPr>
      </w:pPr>
      <w:r>
        <w:rPr>
          <w:rFonts w:hint="eastAsia" w:ascii="宋体" w:hAnsi="宋体"/>
          <w:color w:val="auto"/>
          <w:szCs w:val="21"/>
          <w:highlight w:val="none"/>
        </w:rPr>
        <w:t>日期：</w:t>
      </w:r>
    </w:p>
    <w:p w14:paraId="1BA2BB84">
      <w:pPr>
        <w:rPr>
          <w:color w:val="auto"/>
          <w:highlight w:val="none"/>
        </w:rPr>
      </w:pPr>
    </w:p>
    <w:p w14:paraId="187D0114">
      <w:pPr>
        <w:pStyle w:val="191"/>
        <w:numPr>
          <w:ilvl w:val="0"/>
          <w:numId w:val="0"/>
        </w:numPr>
        <w:spacing w:before="0" w:after="0" w:line="240" w:lineRule="auto"/>
        <w:rPr>
          <w:rFonts w:hint="eastAsia"/>
          <w:color w:val="auto"/>
          <w:sz w:val="24"/>
          <w:highlight w:val="none"/>
        </w:rPr>
      </w:pPr>
    </w:p>
    <w:p w14:paraId="3D9A1B29">
      <w:pPr>
        <w:pStyle w:val="226"/>
        <w:spacing w:line="360" w:lineRule="auto"/>
        <w:ind w:firstLine="480"/>
        <w:rPr>
          <w:rFonts w:hint="eastAsia"/>
          <w:color w:val="auto"/>
          <w:sz w:val="24"/>
          <w:szCs w:val="24"/>
          <w:highlight w:val="none"/>
        </w:rPr>
      </w:pPr>
    </w:p>
    <w:sectPr>
      <w:headerReference r:id="rId4" w:type="default"/>
      <w:footerReference r:id="rId5" w:type="default"/>
      <w:footerReference r:id="rId6" w:type="even"/>
      <w:type w:val="oddPage"/>
      <w:pgSz w:w="11906" w:h="16838"/>
      <w:pgMar w:top="1440" w:right="1134" w:bottom="1440" w:left="1418" w:header="851" w:footer="992"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华文中宋">
    <w:altName w:val="宋体"/>
    <w:panose1 w:val="02010600040101010101"/>
    <w:charset w:val="00"/>
    <w:family w:val="auto"/>
    <w:pitch w:val="default"/>
    <w:sig w:usb0="00000000" w:usb1="00000000" w:usb2="00000000" w:usb3="00000000" w:csb0="00000000" w:csb1="00000000"/>
  </w:font>
  <w:font w:name="MS Mincho">
    <w:panose1 w:val="02020609040205080304"/>
    <w:charset w:val="80"/>
    <w:family w:val="auto"/>
    <w:pitch w:val="default"/>
    <w:sig w:usb0="E00002FF" w:usb1="6AC7FDFB" w:usb2="00000012" w:usb3="00000000" w:csb0="4002009F" w:csb1="DFD70000"/>
  </w:font>
  <w:font w:name="Century Schoolbook">
    <w:altName w:val="Segoe Print"/>
    <w:panose1 w:val="0204060405050502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Arial"/>
    <w:panose1 w:val="020B0604020202020204"/>
    <w:charset w:val="00"/>
    <w:family w:val="auto"/>
    <w:pitch w:val="default"/>
    <w:sig w:usb0="00000000" w:usb1="00000000" w:usb2="00000000" w:usb3="00000000" w:csb0="00000000" w:csb1="00000000"/>
  </w:font>
  <w:font w:name="隶书">
    <w:altName w:val="微软雅黑"/>
    <w:panose1 w:val="0201050906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696DA">
    <w:pPr>
      <w:pStyle w:val="22"/>
      <w:tabs>
        <w:tab w:val="center" w:pos="4153"/>
        <w:tab w:val="right" w:pos="8306"/>
        <w:tab w:val="clear" w:pos="7143"/>
        <w:tab w:val="clear" w:pos="14287"/>
      </w:tabs>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40AB47">
                          <w:pPr>
                            <w:pStyle w:val="22"/>
                            <w:tabs>
                              <w:tab w:val="center" w:pos="4153"/>
                              <w:tab w:val="right" w:pos="8306"/>
                              <w:tab w:val="clear" w:pos="7143"/>
                              <w:tab w:val="clear" w:pos="14287"/>
                            </w:tabs>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F40AB47">
                    <w:pPr>
                      <w:pStyle w:val="22"/>
                      <w:tabs>
                        <w:tab w:val="center" w:pos="4153"/>
                        <w:tab w:val="right" w:pos="8306"/>
                        <w:tab w:val="clear" w:pos="7143"/>
                        <w:tab w:val="clear" w:pos="14287"/>
                      </w:tabs>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690DE">
    <w:pPr>
      <w:pStyle w:val="23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D9C3CA6">
                          <w:pPr>
                            <w:pStyle w:val="236"/>
                            <w:tabs>
                              <w:tab w:val="clear" w:pos="4153"/>
                              <w:tab w:val="clear" w:pos="8306"/>
                            </w:tabs>
                          </w:pPr>
                          <w:r>
                            <w:t xml:space="preserve">— </w:t>
                          </w:r>
                          <w:r>
                            <w:fldChar w:fldCharType="begin"/>
                          </w:r>
                          <w:r>
                            <w:instrText xml:space="preserve"> PAGE  \* MERGEFORMAT </w:instrText>
                          </w:r>
                          <w:r>
                            <w:fldChar w:fldCharType="separate"/>
                          </w:r>
                          <w:r>
                            <w:t>2</w:t>
                          </w:r>
                          <w:r>
                            <w:fldChar w:fldCharType="end"/>
                          </w:r>
                          <w:r>
                            <w:t xml:space="preserve"> —</w:t>
                          </w:r>
                        </w:p>
                        <w:p w14:paraId="69D4316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D9C3CA6">
                    <w:pPr>
                      <w:pStyle w:val="236"/>
                      <w:tabs>
                        <w:tab w:val="clear" w:pos="4153"/>
                        <w:tab w:val="clear" w:pos="8306"/>
                      </w:tabs>
                    </w:pPr>
                    <w:r>
                      <w:t xml:space="preserve">— </w:t>
                    </w:r>
                    <w:r>
                      <w:fldChar w:fldCharType="begin"/>
                    </w:r>
                    <w:r>
                      <w:instrText xml:space="preserve"> PAGE  \* MERGEFORMAT </w:instrText>
                    </w:r>
                    <w:r>
                      <w:fldChar w:fldCharType="separate"/>
                    </w:r>
                    <w:r>
                      <w:t>2</w:t>
                    </w:r>
                    <w:r>
                      <w:fldChar w:fldCharType="end"/>
                    </w:r>
                    <w:r>
                      <w:t xml:space="preserve"> —</w:t>
                    </w:r>
                  </w:p>
                  <w:p w14:paraId="69D4316A"/>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93156">
    <w:pPr>
      <w:pStyle w:val="236"/>
      <w:framePr w:wrap="around" w:vAnchor="text" w:hAnchor="margin" w:xAlign="center" w:y="1"/>
      <w:rPr>
        <w:rStyle w:val="261"/>
      </w:rPr>
    </w:pPr>
    <w:r>
      <w:fldChar w:fldCharType="begin"/>
    </w:r>
    <w:r>
      <w:rPr>
        <w:rStyle w:val="261"/>
      </w:rPr>
      <w:instrText xml:space="preserve">PAGE  </w:instrText>
    </w:r>
    <w:r>
      <w:fldChar w:fldCharType="end"/>
    </w:r>
  </w:p>
  <w:p w14:paraId="48556510">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0EBFF">
    <w:pPr>
      <w:pStyle w:val="238"/>
      <w:tabs>
        <w:tab w:val="left" w:pos="7485"/>
      </w:tabs>
      <w:jc w:val="both"/>
    </w:pPr>
    <w:r>
      <w:rPr>
        <w:rFonts w:hint="eastAsia"/>
        <w:lang w:val="zh-CN"/>
      </w:rPr>
      <w:t>江苏万达工程造价事务所有限公司                                                              公开招标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bullet"/>
      <w:pStyle w:val="316"/>
      <w:lvlText w:val=""/>
      <w:lvlJc w:val="left"/>
      <w:pPr>
        <w:tabs>
          <w:tab w:val="left" w:pos="360"/>
        </w:tabs>
        <w:ind w:left="360" w:hanging="360"/>
      </w:pPr>
      <w:rPr>
        <w:rFonts w:ascii="Symbol" w:hAnsi="Symbol"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000010"/>
    <w:multiLevelType w:val="multilevel"/>
    <w:tmpl w:val="00000010"/>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53208E"/>
    <w:multiLevelType w:val="multilevel"/>
    <w:tmpl w:val="0053208E"/>
    <w:lvl w:ilvl="0" w:tentative="0">
      <w:start w:val="1"/>
      <w:numFmt w:val="decimal"/>
      <w:pStyle w:val="190"/>
      <w:lvlText w:val="%1"/>
      <w:lvlJc w:val="left"/>
      <w:pPr>
        <w:tabs>
          <w:tab w:val="left" w:pos="360"/>
        </w:tabs>
        <w:ind w:left="284" w:hanging="284"/>
      </w:pPr>
      <w:rPr>
        <w:rFonts w:ascii="Times New Roman" w:hAnsi="Times New Roman"/>
        <w:b/>
        <w:i w:val="0"/>
        <w:sz w:val="28"/>
      </w:rPr>
    </w:lvl>
    <w:lvl w:ilvl="1" w:tentative="0">
      <w:start w:val="1"/>
      <w:numFmt w:val="decimal"/>
      <w:pStyle w:val="191"/>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588"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4">
    <w:nsid w:val="454E187D"/>
    <w:multiLevelType w:val="singleLevel"/>
    <w:tmpl w:val="454E187D"/>
    <w:lvl w:ilvl="0" w:tentative="0">
      <w:start w:val="2"/>
      <w:numFmt w:val="decimal"/>
      <w:lvlText w:val="%1."/>
      <w:lvlJc w:val="left"/>
      <w:pPr>
        <w:tabs>
          <w:tab w:val="left" w:pos="312"/>
        </w:tabs>
      </w:pPr>
    </w:lvl>
  </w:abstractNum>
  <w:abstractNum w:abstractNumId="5">
    <w:nsid w:val="59ADCABA"/>
    <w:multiLevelType w:val="multilevel"/>
    <w:tmpl w:val="59ADCABA"/>
    <w:lvl w:ilvl="0" w:tentative="0">
      <w:start w:val="1"/>
      <w:numFmt w:val="decimal"/>
      <w:pStyle w:val="371"/>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5C516D"/>
    <w:rsid w:val="3A5F3EC2"/>
    <w:rsid w:val="4D2C7DC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uiPriority w:val="0"/>
    <w:pPr>
      <w:autoSpaceDE w:val="0"/>
      <w:autoSpaceDN w:val="0"/>
      <w:adjustRightInd w:val="0"/>
    </w:pPr>
    <w:rPr>
      <w:rFonts w:eastAsia="楷体_GB2312"/>
      <w:b/>
      <w:bCs/>
      <w:color w:val="FF0000"/>
      <w:sz w:val="32"/>
      <w:szCs w:val="32"/>
      <w:lang w:val="zh-CN"/>
    </w:rPr>
  </w:style>
  <w:style w:type="paragraph" w:styleId="15">
    <w:name w:val="Body Text First Indent"/>
    <w:basedOn w:val="14"/>
    <w:next w:val="1"/>
    <w:qFormat/>
    <w:uiPriority w:val="99"/>
    <w:pPr>
      <w:tabs>
        <w:tab w:val="left" w:pos="567"/>
      </w:tabs>
      <w:ind w:firstLine="420" w:firstLineChars="100"/>
    </w:pPr>
  </w:style>
  <w:style w:type="paragraph" w:styleId="16">
    <w:name w:val="Body Text Indent"/>
    <w:basedOn w:val="1"/>
    <w:next w:val="12"/>
    <w:qFormat/>
    <w:uiPriority w:val="0"/>
    <w:pPr>
      <w:ind w:firstLine="600" w:firstLineChars="200"/>
    </w:pPr>
    <w:rPr>
      <w:rFonts w:eastAsia="仿宋_GB2312"/>
      <w:sz w:val="30"/>
      <w:szCs w:val="30"/>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szCs w:val="20"/>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8"/>
    <w:semiHidden/>
    <w:unhideWhenUsed/>
    <w:qFormat/>
    <w:uiPriority w:val="99"/>
    <w:pPr>
      <w:spacing w:after="0" w:line="240" w:lineRule="auto"/>
    </w:pPr>
    <w:rPr>
      <w:sz w:val="20"/>
    </w:rPr>
  </w:style>
  <w:style w:type="paragraph" w:styleId="22">
    <w:name w:val="footer"/>
    <w:basedOn w:val="1"/>
    <w:link w:val="61"/>
    <w:unhideWhenUsed/>
    <w:qFormat/>
    <w:uiPriority w:val="99"/>
    <w:pPr>
      <w:tabs>
        <w:tab w:val="center" w:pos="7143"/>
        <w:tab w:val="right" w:pos="14287"/>
      </w:tabs>
      <w:spacing w:after="0" w:line="240" w:lineRule="auto"/>
    </w:pPr>
  </w:style>
  <w:style w:type="paragraph" w:styleId="23">
    <w:name w:val="header"/>
    <w:basedOn w:val="1"/>
    <w:link w:val="59"/>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HTML Preformatted"/>
    <w:basedOn w:val="1"/>
    <w:link w:val="2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33">
    <w:name w:val="Normal (Web)"/>
    <w:basedOn w:val="1"/>
    <w:unhideWhenUsed/>
    <w:qFormat/>
    <w:uiPriority w:val="0"/>
    <w:pPr>
      <w:spacing w:before="100" w:beforeAutospacing="1" w:after="100" w:afterAutospacing="1"/>
      <w:jc w:val="left"/>
    </w:pPr>
    <w:rPr>
      <w:kern w:val="0"/>
      <w:sz w:val="24"/>
      <w:szCs w:val="20"/>
    </w:rPr>
  </w:style>
  <w:style w:type="paragraph" w:styleId="34">
    <w:name w:val="Title"/>
    <w:basedOn w:val="1"/>
    <w:next w:val="1"/>
    <w:link w:val="53"/>
    <w:qFormat/>
    <w:uiPriority w:val="10"/>
    <w:pPr>
      <w:spacing w:before="300" w:after="200"/>
      <w:contextualSpacing/>
    </w:pPr>
    <w:rPr>
      <w:sz w:val="48"/>
      <w:szCs w:val="48"/>
    </w:rPr>
  </w:style>
  <w:style w:type="paragraph" w:styleId="35">
    <w:name w:val="Body Text First Indent 2"/>
    <w:basedOn w:val="16"/>
    <w:unhideWhenUsed/>
    <w:qFormat/>
    <w:uiPriority w:val="0"/>
    <w:pPr>
      <w:spacing w:after="0" w:line="560" w:lineRule="exact"/>
      <w:ind w:left="1120" w:leftChars="0" w:firstLine="420" w:firstLineChars="200"/>
    </w:pPr>
    <w:rPr>
      <w:rFonts w:ascii="Times New Roman" w:hAnsi="Times New Roman" w:eastAsia="仿宋_GB2312"/>
      <w:sz w:val="32"/>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qFormat/>
    <w:uiPriority w:val="99"/>
    <w:rPr>
      <w:sz w:val="21"/>
      <w:szCs w:val="21"/>
    </w:rPr>
  </w:style>
  <w:style w:type="character" w:styleId="42">
    <w:name w:val="footnote reference"/>
    <w:unhideWhenUsed/>
    <w:qFormat/>
    <w:uiPriority w:val="99"/>
    <w:rPr>
      <w:vertAlign w:val="superscript"/>
    </w:rPr>
  </w:style>
  <w:style w:type="character" w:customStyle="1" w:styleId="43">
    <w:name w:val="Heading 1 Char"/>
    <w:link w:val="2"/>
    <w:qFormat/>
    <w:uiPriority w:val="9"/>
    <w:rPr>
      <w:rFonts w:ascii="Arial" w:hAnsi="Arial" w:eastAsia="Arial" w:cs="Arial"/>
      <w:sz w:val="40"/>
      <w:szCs w:val="40"/>
    </w:rPr>
  </w:style>
  <w:style w:type="character" w:customStyle="1" w:styleId="44">
    <w:name w:val="Heading 2 Char"/>
    <w:link w:val="3"/>
    <w:qFormat/>
    <w:uiPriority w:val="9"/>
    <w:rPr>
      <w:rFonts w:ascii="Arial" w:hAnsi="Arial" w:eastAsia="Arial" w:cs="Arial"/>
      <w:sz w:val="34"/>
    </w:rPr>
  </w:style>
  <w:style w:type="character" w:customStyle="1" w:styleId="45">
    <w:name w:val="Heading 3 Char"/>
    <w:link w:val="4"/>
    <w:qFormat/>
    <w:uiPriority w:val="9"/>
    <w:rPr>
      <w:rFonts w:ascii="Arial" w:hAnsi="Arial" w:eastAsia="Arial" w:cs="Arial"/>
      <w:sz w:val="30"/>
      <w:szCs w:val="30"/>
    </w:rPr>
  </w:style>
  <w:style w:type="character" w:customStyle="1" w:styleId="46">
    <w:name w:val="Heading 4 Char"/>
    <w:link w:val="5"/>
    <w:qFormat/>
    <w:uiPriority w:val="9"/>
    <w:rPr>
      <w:rFonts w:ascii="Arial" w:hAnsi="Arial" w:eastAsia="Arial" w:cs="Arial"/>
      <w:b/>
      <w:bCs/>
      <w:sz w:val="26"/>
      <w:szCs w:val="26"/>
    </w:rPr>
  </w:style>
  <w:style w:type="character" w:customStyle="1" w:styleId="47">
    <w:name w:val="Heading 5 Char"/>
    <w:link w:val="6"/>
    <w:qFormat/>
    <w:uiPriority w:val="9"/>
    <w:rPr>
      <w:rFonts w:ascii="Arial" w:hAnsi="Arial" w:eastAsia="Arial" w:cs="Arial"/>
      <w:b/>
      <w:bCs/>
      <w:sz w:val="24"/>
      <w:szCs w:val="24"/>
    </w:rPr>
  </w:style>
  <w:style w:type="character" w:customStyle="1" w:styleId="48">
    <w:name w:val="Heading 6 Char"/>
    <w:link w:val="7"/>
    <w:qFormat/>
    <w:uiPriority w:val="9"/>
    <w:rPr>
      <w:rFonts w:ascii="Arial" w:hAnsi="Arial" w:eastAsia="Arial" w:cs="Arial"/>
      <w:b/>
      <w:bCs/>
      <w:sz w:val="22"/>
      <w:szCs w:val="22"/>
    </w:rPr>
  </w:style>
  <w:style w:type="character" w:customStyle="1" w:styleId="49">
    <w:name w:val="Heading 7 Char"/>
    <w:link w:val="8"/>
    <w:qFormat/>
    <w:uiPriority w:val="9"/>
    <w:rPr>
      <w:rFonts w:ascii="Arial" w:hAnsi="Arial" w:eastAsia="Arial" w:cs="Arial"/>
      <w:b/>
      <w:bCs/>
      <w:i/>
      <w:iCs/>
      <w:sz w:val="22"/>
      <w:szCs w:val="22"/>
    </w:rPr>
  </w:style>
  <w:style w:type="character" w:customStyle="1" w:styleId="50">
    <w:name w:val="Heading 8 Char"/>
    <w:link w:val="9"/>
    <w:qFormat/>
    <w:uiPriority w:val="9"/>
    <w:rPr>
      <w:rFonts w:ascii="Arial" w:hAnsi="Arial" w:eastAsia="Arial" w:cs="Arial"/>
      <w:i/>
      <w:iCs/>
      <w:sz w:val="22"/>
      <w:szCs w:val="22"/>
    </w:rPr>
  </w:style>
  <w:style w:type="character" w:customStyle="1" w:styleId="51">
    <w:name w:val="Heading 9 Char"/>
    <w:link w:val="10"/>
    <w:qFormat/>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4"/>
    <w:qFormat/>
    <w:uiPriority w:val="10"/>
    <w:rPr>
      <w:sz w:val="48"/>
      <w:szCs w:val="48"/>
    </w:rPr>
  </w:style>
  <w:style w:type="character" w:customStyle="1" w:styleId="54">
    <w:name w:val="Subtitle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3"/>
    <w:qFormat/>
    <w:uiPriority w:val="99"/>
  </w:style>
  <w:style w:type="character" w:customStyle="1" w:styleId="60">
    <w:name w:val="Footer Char"/>
    <w:link w:val="22"/>
    <w:qFormat/>
    <w:uiPriority w:val="99"/>
  </w:style>
  <w:style w:type="character" w:customStyle="1" w:styleId="61">
    <w:name w:val="Caption Char"/>
    <w:link w:val="22"/>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1"/>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1"/>
    <w:qFormat/>
    <w:uiPriority w:val="0"/>
    <w:pPr>
      <w:keepNext/>
      <w:numPr>
        <w:ilvl w:val="0"/>
        <w:numId w:val="1"/>
      </w:numPr>
      <w:jc w:val="center"/>
      <w:outlineLvl w:val="0"/>
    </w:pPr>
    <w:rPr>
      <w:rFonts w:ascii="仿宋_GB2312" w:eastAsia="仿宋_GB2312"/>
      <w:sz w:val="28"/>
    </w:rPr>
  </w:style>
  <w:style w:type="paragraph" w:customStyle="1" w:styleId="191">
    <w:name w:val="标题 21"/>
    <w:basedOn w:val="1"/>
    <w:next w:val="1"/>
    <w:link w:val="202"/>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92">
    <w:name w:val="标题 311"/>
    <w:basedOn w:val="1"/>
    <w:next w:val="1"/>
    <w:link w:val="203"/>
    <w:qFormat/>
    <w:uiPriority w:val="0"/>
    <w:pPr>
      <w:keepNext/>
      <w:keepLines/>
      <w:spacing w:before="260" w:after="260" w:line="416" w:lineRule="auto"/>
      <w:outlineLvl w:val="2"/>
    </w:pPr>
    <w:rPr>
      <w:b/>
      <w:bCs/>
      <w:sz w:val="32"/>
      <w:szCs w:val="32"/>
    </w:rPr>
  </w:style>
  <w:style w:type="paragraph" w:customStyle="1" w:styleId="193">
    <w:name w:val="标题 411"/>
    <w:next w:val="1"/>
    <w:link w:val="204"/>
    <w:qFormat/>
    <w:uiPriority w:val="0"/>
    <w:pPr>
      <w:keepNext/>
      <w:keepLines/>
      <w:spacing w:before="280" w:after="290" w:line="376" w:lineRule="auto"/>
      <w:outlineLvl w:val="3"/>
    </w:pPr>
    <w:rPr>
      <w:rFonts w:hint="default" w:ascii="Arial" w:hAnsi="Arial" w:eastAsia="黑体" w:cs="Times New Roman"/>
      <w:b/>
      <w:bCs/>
      <w:sz w:val="28"/>
      <w:szCs w:val="28"/>
      <w:lang w:val="en-US" w:eastAsia="zh-CN" w:bidi="ar-SA"/>
    </w:rPr>
  </w:style>
  <w:style w:type="paragraph" w:customStyle="1" w:styleId="194">
    <w:name w:val="标题 51"/>
    <w:next w:val="1"/>
    <w:link w:val="205"/>
    <w:qFormat/>
    <w:uiPriority w:val="0"/>
    <w:pPr>
      <w:keepNext/>
      <w:keepLines/>
      <w:spacing w:before="280" w:after="290" w:line="376" w:lineRule="auto"/>
      <w:outlineLvl w:val="4"/>
    </w:pPr>
    <w:rPr>
      <w:rFonts w:hint="default" w:ascii="Times New Roman" w:hAnsi="Times New Roman" w:eastAsia="黑体" w:cs="Times New Roman"/>
      <w:b/>
      <w:bCs/>
      <w:sz w:val="28"/>
      <w:szCs w:val="28"/>
      <w:lang w:val="en-US" w:eastAsia="zh-CN" w:bidi="ar-SA"/>
    </w:rPr>
  </w:style>
  <w:style w:type="paragraph" w:customStyle="1" w:styleId="195">
    <w:name w:val="标题 61"/>
    <w:basedOn w:val="1"/>
    <w:next w:val="1"/>
    <w:link w:val="206"/>
    <w:qFormat/>
    <w:uiPriority w:val="0"/>
    <w:pPr>
      <w:keepNext/>
      <w:keepLines/>
      <w:spacing w:before="240" w:after="64" w:line="320" w:lineRule="auto"/>
      <w:outlineLvl w:val="5"/>
    </w:pPr>
    <w:rPr>
      <w:rFonts w:ascii="Arial" w:hAnsi="Arial" w:eastAsia="黑体"/>
      <w:b/>
      <w:bCs/>
      <w:sz w:val="24"/>
    </w:rPr>
  </w:style>
  <w:style w:type="paragraph" w:customStyle="1" w:styleId="196">
    <w:name w:val="标题 71"/>
    <w:basedOn w:val="1"/>
    <w:next w:val="1"/>
    <w:link w:val="207"/>
    <w:qFormat/>
    <w:uiPriority w:val="0"/>
    <w:pPr>
      <w:keepNext/>
      <w:keepLines/>
      <w:spacing w:before="240" w:after="64" w:line="320" w:lineRule="auto"/>
      <w:outlineLvl w:val="6"/>
    </w:pPr>
    <w:rPr>
      <w:b/>
      <w:bCs/>
      <w:sz w:val="24"/>
    </w:rPr>
  </w:style>
  <w:style w:type="paragraph" w:customStyle="1" w:styleId="197">
    <w:name w:val="标题 81"/>
    <w:basedOn w:val="1"/>
    <w:next w:val="1"/>
    <w:link w:val="208"/>
    <w:qFormat/>
    <w:uiPriority w:val="0"/>
    <w:pPr>
      <w:keepNext/>
      <w:keepLines/>
      <w:spacing w:before="240" w:after="64" w:line="320" w:lineRule="auto"/>
      <w:outlineLvl w:val="7"/>
    </w:pPr>
    <w:rPr>
      <w:rFonts w:ascii="Arial" w:hAnsi="Arial" w:eastAsia="黑体"/>
      <w:sz w:val="24"/>
    </w:rPr>
  </w:style>
  <w:style w:type="paragraph" w:customStyle="1" w:styleId="198">
    <w:name w:val="标题 91"/>
    <w:basedOn w:val="1"/>
    <w:next w:val="1"/>
    <w:link w:val="209"/>
    <w:qFormat/>
    <w:uiPriority w:val="0"/>
    <w:pPr>
      <w:keepNext/>
      <w:keepLines/>
      <w:spacing w:before="240" w:after="64" w:line="320" w:lineRule="auto"/>
      <w:outlineLvl w:val="8"/>
    </w:pPr>
    <w:rPr>
      <w:rFonts w:ascii="Arial" w:hAnsi="Arial" w:eastAsia="黑体"/>
      <w:szCs w:val="21"/>
    </w:rPr>
  </w:style>
  <w:style w:type="character" w:customStyle="1" w:styleId="199">
    <w:name w:val="默认段落字体1"/>
    <w:link w:val="1"/>
    <w:unhideWhenUsed/>
    <w:qFormat/>
    <w:uiPriority w:val="0"/>
  </w:style>
  <w:style w:type="table" w:customStyle="1" w:styleId="200">
    <w:name w:val="普通表格1"/>
    <w:semiHidden/>
    <w:qFormat/>
    <w:uiPriority w:val="0"/>
  </w:style>
  <w:style w:type="character" w:customStyle="1" w:styleId="201">
    <w:name w:val="标题 1 Char"/>
    <w:basedOn w:val="199"/>
    <w:link w:val="190"/>
    <w:qFormat/>
    <w:uiPriority w:val="0"/>
    <w:rPr>
      <w:rFonts w:ascii="仿宋_GB2312" w:eastAsia="仿宋_GB2312"/>
      <w:sz w:val="28"/>
      <w:szCs w:val="24"/>
    </w:rPr>
  </w:style>
  <w:style w:type="character" w:customStyle="1" w:styleId="202">
    <w:name w:val="标题 2 Char"/>
    <w:basedOn w:val="199"/>
    <w:link w:val="191"/>
    <w:qFormat/>
    <w:uiPriority w:val="0"/>
    <w:rPr>
      <w:rFonts w:ascii="Arial" w:hAnsi="Arial" w:eastAsia="黑体"/>
      <w:b/>
      <w:bCs/>
      <w:sz w:val="32"/>
      <w:szCs w:val="32"/>
    </w:rPr>
  </w:style>
  <w:style w:type="character" w:customStyle="1" w:styleId="203">
    <w:name w:val="标题 3 Char"/>
    <w:basedOn w:val="199"/>
    <w:link w:val="192"/>
    <w:qFormat/>
    <w:uiPriority w:val="0"/>
    <w:rPr>
      <w:b/>
      <w:bCs/>
      <w:sz w:val="32"/>
      <w:szCs w:val="32"/>
    </w:rPr>
  </w:style>
  <w:style w:type="character" w:customStyle="1" w:styleId="204">
    <w:name w:val="标题 4 Char"/>
    <w:basedOn w:val="199"/>
    <w:link w:val="193"/>
    <w:qFormat/>
    <w:uiPriority w:val="0"/>
    <w:rPr>
      <w:rFonts w:ascii="Arial" w:hAnsi="Arial" w:eastAsia="黑体"/>
      <w:b/>
      <w:bCs/>
      <w:sz w:val="28"/>
      <w:szCs w:val="28"/>
      <w:lang w:val="en-US" w:eastAsia="zh-CN" w:bidi="ar-SA"/>
    </w:rPr>
  </w:style>
  <w:style w:type="character" w:customStyle="1" w:styleId="205">
    <w:name w:val="标题 5 Char"/>
    <w:basedOn w:val="199"/>
    <w:link w:val="194"/>
    <w:qFormat/>
    <w:uiPriority w:val="0"/>
    <w:rPr>
      <w:rFonts w:eastAsia="黑体"/>
      <w:b/>
      <w:bCs/>
      <w:sz w:val="28"/>
      <w:szCs w:val="28"/>
      <w:lang w:val="en-US" w:eastAsia="zh-CN" w:bidi="ar-SA"/>
    </w:rPr>
  </w:style>
  <w:style w:type="character" w:customStyle="1" w:styleId="206">
    <w:name w:val="标题 6 Char"/>
    <w:basedOn w:val="199"/>
    <w:link w:val="195"/>
    <w:qFormat/>
    <w:uiPriority w:val="0"/>
    <w:rPr>
      <w:rFonts w:ascii="Arial" w:hAnsi="Arial" w:eastAsia="黑体"/>
      <w:b/>
      <w:bCs/>
      <w:sz w:val="24"/>
      <w:szCs w:val="24"/>
    </w:rPr>
  </w:style>
  <w:style w:type="character" w:customStyle="1" w:styleId="207">
    <w:name w:val="标题 7 Char"/>
    <w:basedOn w:val="199"/>
    <w:link w:val="196"/>
    <w:qFormat/>
    <w:uiPriority w:val="0"/>
    <w:rPr>
      <w:b/>
      <w:bCs/>
      <w:sz w:val="24"/>
      <w:szCs w:val="24"/>
    </w:rPr>
  </w:style>
  <w:style w:type="character" w:customStyle="1" w:styleId="208">
    <w:name w:val="标题 8 Char"/>
    <w:basedOn w:val="199"/>
    <w:link w:val="197"/>
    <w:qFormat/>
    <w:uiPriority w:val="0"/>
    <w:rPr>
      <w:rFonts w:ascii="Arial" w:hAnsi="Arial" w:eastAsia="黑体"/>
      <w:sz w:val="24"/>
      <w:szCs w:val="24"/>
    </w:rPr>
  </w:style>
  <w:style w:type="character" w:customStyle="1" w:styleId="209">
    <w:name w:val="标题 9 Char"/>
    <w:basedOn w:val="199"/>
    <w:link w:val="198"/>
    <w:qFormat/>
    <w:uiPriority w:val="0"/>
    <w:rPr>
      <w:rFonts w:ascii="Arial" w:hAnsi="Arial" w:eastAsia="黑体"/>
      <w:sz w:val="21"/>
      <w:szCs w:val="21"/>
    </w:rPr>
  </w:style>
  <w:style w:type="paragraph" w:customStyle="1" w:styleId="210">
    <w:name w:val="目录 71"/>
    <w:basedOn w:val="1"/>
    <w:next w:val="1"/>
    <w:qFormat/>
    <w:uiPriority w:val="0"/>
    <w:pPr>
      <w:ind w:left="1050"/>
      <w:jc w:val="left"/>
    </w:pPr>
    <w:rPr>
      <w:rFonts w:ascii="Calibri" w:hAnsi="Calibri"/>
      <w:sz w:val="20"/>
      <w:szCs w:val="20"/>
    </w:rPr>
  </w:style>
  <w:style w:type="paragraph" w:customStyle="1" w:styleId="211">
    <w:name w:val="正文缩进11"/>
    <w:basedOn w:val="1"/>
    <w:link w:val="212"/>
    <w:qFormat/>
    <w:uiPriority w:val="0"/>
    <w:pPr>
      <w:ind w:firstLine="420"/>
    </w:pPr>
    <w:rPr>
      <w:szCs w:val="20"/>
    </w:rPr>
  </w:style>
  <w:style w:type="character" w:customStyle="1" w:styleId="212">
    <w:name w:val="正文缩进 Char"/>
    <w:link w:val="211"/>
    <w:qFormat/>
    <w:uiPriority w:val="0"/>
    <w:rPr>
      <w:sz w:val="21"/>
    </w:rPr>
  </w:style>
  <w:style w:type="paragraph" w:customStyle="1" w:styleId="213">
    <w:name w:val="文档结构图1"/>
    <w:basedOn w:val="1"/>
    <w:link w:val="214"/>
    <w:semiHidden/>
    <w:qFormat/>
    <w:uiPriority w:val="0"/>
    <w:pPr>
      <w:shd w:val="clear" w:color="auto" w:fill="000080"/>
    </w:pPr>
  </w:style>
  <w:style w:type="character" w:customStyle="1" w:styleId="214">
    <w:name w:val="文档结构图 Char"/>
    <w:basedOn w:val="199"/>
    <w:link w:val="213"/>
    <w:semiHidden/>
    <w:qFormat/>
    <w:uiPriority w:val="0"/>
    <w:rPr>
      <w:sz w:val="21"/>
      <w:szCs w:val="24"/>
      <w:shd w:val="clear" w:color="auto" w:fill="000080"/>
    </w:rPr>
  </w:style>
  <w:style w:type="paragraph" w:customStyle="1" w:styleId="215">
    <w:name w:val="批注文字1"/>
    <w:basedOn w:val="1"/>
    <w:link w:val="216"/>
    <w:qFormat/>
    <w:uiPriority w:val="99"/>
    <w:pPr>
      <w:jc w:val="left"/>
    </w:pPr>
  </w:style>
  <w:style w:type="character" w:customStyle="1" w:styleId="216">
    <w:name w:val="批注文字 Char"/>
    <w:link w:val="215"/>
    <w:qFormat/>
    <w:uiPriority w:val="99"/>
    <w:rPr>
      <w:sz w:val="21"/>
      <w:szCs w:val="24"/>
    </w:rPr>
  </w:style>
  <w:style w:type="paragraph" w:customStyle="1" w:styleId="217">
    <w:name w:val="正文文本 31"/>
    <w:basedOn w:val="1"/>
    <w:link w:val="218"/>
    <w:qFormat/>
    <w:uiPriority w:val="0"/>
    <w:pPr>
      <w:spacing w:line="560" w:lineRule="exact"/>
    </w:pPr>
    <w:rPr>
      <w:rFonts w:ascii="仿宋_GB2312" w:eastAsia="仿宋_GB2312"/>
      <w:b/>
      <w:bCs/>
      <w:color w:val="FF0000"/>
      <w:sz w:val="28"/>
    </w:rPr>
  </w:style>
  <w:style w:type="character" w:customStyle="1" w:styleId="218">
    <w:name w:val="正文文本 3 Char"/>
    <w:basedOn w:val="199"/>
    <w:link w:val="217"/>
    <w:qFormat/>
    <w:uiPriority w:val="0"/>
    <w:rPr>
      <w:rFonts w:ascii="仿宋_GB2312" w:eastAsia="仿宋_GB2312"/>
      <w:b/>
      <w:bCs/>
      <w:color w:val="FF0000"/>
      <w:sz w:val="28"/>
      <w:szCs w:val="24"/>
    </w:rPr>
  </w:style>
  <w:style w:type="paragraph" w:customStyle="1" w:styleId="219">
    <w:name w:val="正文文本1"/>
    <w:basedOn w:val="1"/>
    <w:next w:val="220"/>
    <w:link w:val="221"/>
    <w:qFormat/>
    <w:uiPriority w:val="0"/>
    <w:rPr>
      <w:rFonts w:eastAsia="楷体_GB2312"/>
      <w:b/>
      <w:bCs/>
      <w:color w:val="FF0000"/>
      <w:sz w:val="32"/>
      <w:szCs w:val="32"/>
      <w:lang w:val="zh-CN"/>
    </w:rPr>
  </w:style>
  <w:style w:type="paragraph" w:customStyle="1" w:styleId="220">
    <w:name w:val="正文首行缩进1"/>
    <w:basedOn w:val="219"/>
    <w:next w:val="1"/>
    <w:qFormat/>
    <w:uiPriority w:val="99"/>
    <w:pPr>
      <w:tabs>
        <w:tab w:val="left" w:pos="567"/>
      </w:tabs>
      <w:ind w:firstLine="420"/>
    </w:pPr>
  </w:style>
  <w:style w:type="character" w:customStyle="1" w:styleId="221">
    <w:name w:val="正文文本 Char"/>
    <w:basedOn w:val="199"/>
    <w:link w:val="219"/>
    <w:qFormat/>
    <w:uiPriority w:val="0"/>
    <w:rPr>
      <w:rFonts w:eastAsia="楷体_GB2312"/>
      <w:b/>
      <w:bCs/>
      <w:color w:val="FF0000"/>
      <w:sz w:val="32"/>
      <w:szCs w:val="32"/>
      <w:lang w:val="zh-CN"/>
    </w:rPr>
  </w:style>
  <w:style w:type="paragraph" w:customStyle="1" w:styleId="222">
    <w:name w:val="正文文本缩进1"/>
    <w:basedOn w:val="1"/>
    <w:next w:val="211"/>
    <w:link w:val="223"/>
    <w:qFormat/>
    <w:uiPriority w:val="0"/>
    <w:pPr>
      <w:ind w:firstLine="600"/>
    </w:pPr>
    <w:rPr>
      <w:rFonts w:eastAsia="仿宋_GB2312"/>
      <w:sz w:val="30"/>
      <w:szCs w:val="30"/>
    </w:rPr>
  </w:style>
  <w:style w:type="character" w:customStyle="1" w:styleId="223">
    <w:name w:val="正文文本缩进 Char"/>
    <w:basedOn w:val="199"/>
    <w:link w:val="222"/>
    <w:qFormat/>
    <w:uiPriority w:val="0"/>
    <w:rPr>
      <w:rFonts w:eastAsia="仿宋_GB2312"/>
      <w:sz w:val="30"/>
      <w:szCs w:val="30"/>
    </w:rPr>
  </w:style>
  <w:style w:type="paragraph" w:customStyle="1" w:styleId="224">
    <w:name w:val="目录 51"/>
    <w:basedOn w:val="1"/>
    <w:next w:val="1"/>
    <w:qFormat/>
    <w:uiPriority w:val="0"/>
    <w:pPr>
      <w:ind w:left="630"/>
      <w:jc w:val="left"/>
    </w:pPr>
    <w:rPr>
      <w:rFonts w:ascii="Calibri" w:hAnsi="Calibri"/>
      <w:sz w:val="20"/>
      <w:szCs w:val="20"/>
    </w:rPr>
  </w:style>
  <w:style w:type="paragraph" w:customStyle="1" w:styleId="225">
    <w:name w:val="目录 31"/>
    <w:basedOn w:val="1"/>
    <w:next w:val="1"/>
    <w:unhideWhenUsed/>
    <w:qFormat/>
    <w:uiPriority w:val="39"/>
    <w:pPr>
      <w:ind w:left="210"/>
      <w:jc w:val="left"/>
    </w:pPr>
    <w:rPr>
      <w:rFonts w:ascii="Calibri" w:hAnsi="Calibri"/>
      <w:sz w:val="20"/>
      <w:szCs w:val="20"/>
    </w:rPr>
  </w:style>
  <w:style w:type="paragraph" w:customStyle="1" w:styleId="226">
    <w:name w:val="纯文本11"/>
    <w:basedOn w:val="1"/>
    <w:link w:val="227"/>
    <w:qFormat/>
    <w:uiPriority w:val="0"/>
    <w:rPr>
      <w:rFonts w:ascii="宋体" w:hAnsi="Courier New"/>
      <w:szCs w:val="20"/>
    </w:rPr>
  </w:style>
  <w:style w:type="character" w:customStyle="1" w:styleId="227">
    <w:name w:val="纯文本 Char"/>
    <w:link w:val="226"/>
    <w:qFormat/>
    <w:uiPriority w:val="0"/>
    <w:rPr>
      <w:rFonts w:ascii="宋体" w:hAnsi="Courier New" w:eastAsia="宋体"/>
      <w:sz w:val="21"/>
      <w:lang w:val="en-US" w:eastAsia="zh-CN" w:bidi="ar-SA"/>
    </w:rPr>
  </w:style>
  <w:style w:type="paragraph" w:customStyle="1" w:styleId="228">
    <w:name w:val="目录 81"/>
    <w:basedOn w:val="1"/>
    <w:next w:val="1"/>
    <w:qFormat/>
    <w:uiPriority w:val="0"/>
    <w:pPr>
      <w:ind w:left="1260"/>
      <w:jc w:val="left"/>
    </w:pPr>
    <w:rPr>
      <w:rFonts w:ascii="Calibri" w:hAnsi="Calibri"/>
      <w:sz w:val="20"/>
      <w:szCs w:val="20"/>
    </w:rPr>
  </w:style>
  <w:style w:type="paragraph" w:customStyle="1" w:styleId="229">
    <w:name w:val="日期1"/>
    <w:basedOn w:val="1"/>
    <w:next w:val="230"/>
    <w:link w:val="231"/>
    <w:qFormat/>
    <w:uiPriority w:val="0"/>
    <w:rPr>
      <w:szCs w:val="20"/>
    </w:rPr>
  </w:style>
  <w:style w:type="paragraph" w:customStyle="1" w:styleId="230">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231">
    <w:name w:val="日期 Char"/>
    <w:basedOn w:val="199"/>
    <w:link w:val="229"/>
    <w:qFormat/>
    <w:uiPriority w:val="0"/>
    <w:rPr>
      <w:sz w:val="21"/>
    </w:rPr>
  </w:style>
  <w:style w:type="paragraph" w:customStyle="1" w:styleId="232">
    <w:name w:val="正文文本缩进 21"/>
    <w:basedOn w:val="1"/>
    <w:link w:val="233"/>
    <w:qFormat/>
    <w:uiPriority w:val="0"/>
    <w:pPr>
      <w:ind w:firstLine="420"/>
    </w:pPr>
    <w:rPr>
      <w:rFonts w:ascii="宋体"/>
      <w:color w:val="000000"/>
      <w:sz w:val="24"/>
    </w:rPr>
  </w:style>
  <w:style w:type="character" w:customStyle="1" w:styleId="233">
    <w:name w:val="正文文本缩进 2 Char"/>
    <w:basedOn w:val="199"/>
    <w:link w:val="232"/>
    <w:qFormat/>
    <w:uiPriority w:val="0"/>
    <w:rPr>
      <w:rFonts w:ascii="宋体"/>
      <w:color w:val="000000"/>
      <w:sz w:val="24"/>
      <w:szCs w:val="24"/>
    </w:rPr>
  </w:style>
  <w:style w:type="paragraph" w:customStyle="1" w:styleId="234">
    <w:name w:val="批注框文本1"/>
    <w:basedOn w:val="1"/>
    <w:link w:val="235"/>
    <w:qFormat/>
    <w:uiPriority w:val="0"/>
    <w:rPr>
      <w:sz w:val="18"/>
      <w:szCs w:val="18"/>
    </w:rPr>
  </w:style>
  <w:style w:type="character" w:customStyle="1" w:styleId="235">
    <w:name w:val="批注框文本 Char"/>
    <w:basedOn w:val="199"/>
    <w:link w:val="234"/>
    <w:qFormat/>
    <w:uiPriority w:val="0"/>
    <w:rPr>
      <w:sz w:val="18"/>
      <w:szCs w:val="18"/>
    </w:rPr>
  </w:style>
  <w:style w:type="paragraph" w:customStyle="1" w:styleId="236">
    <w:name w:val="页脚1"/>
    <w:basedOn w:val="1"/>
    <w:link w:val="237"/>
    <w:qFormat/>
    <w:uiPriority w:val="0"/>
    <w:pPr>
      <w:tabs>
        <w:tab w:val="center" w:pos="4153"/>
        <w:tab w:val="right" w:pos="8306"/>
      </w:tabs>
      <w:jc w:val="left"/>
    </w:pPr>
    <w:rPr>
      <w:sz w:val="18"/>
      <w:szCs w:val="18"/>
    </w:rPr>
  </w:style>
  <w:style w:type="character" w:customStyle="1" w:styleId="237">
    <w:name w:val="页脚 Char"/>
    <w:basedOn w:val="199"/>
    <w:link w:val="236"/>
    <w:qFormat/>
    <w:uiPriority w:val="0"/>
    <w:rPr>
      <w:sz w:val="18"/>
      <w:szCs w:val="18"/>
    </w:rPr>
  </w:style>
  <w:style w:type="paragraph" w:customStyle="1" w:styleId="238">
    <w:name w:val="页眉1"/>
    <w:basedOn w:val="1"/>
    <w:link w:val="239"/>
    <w:qFormat/>
    <w:uiPriority w:val="0"/>
    <w:pPr>
      <w:pBdr>
        <w:bottom w:val="single" w:color="000000" w:sz="6" w:space="1"/>
      </w:pBdr>
      <w:tabs>
        <w:tab w:val="center" w:pos="4153"/>
        <w:tab w:val="right" w:pos="8306"/>
      </w:tabs>
      <w:jc w:val="center"/>
    </w:pPr>
    <w:rPr>
      <w:sz w:val="18"/>
      <w:szCs w:val="18"/>
    </w:rPr>
  </w:style>
  <w:style w:type="character" w:customStyle="1" w:styleId="239">
    <w:name w:val="页眉 Char"/>
    <w:basedOn w:val="199"/>
    <w:link w:val="238"/>
    <w:qFormat/>
    <w:uiPriority w:val="0"/>
    <w:rPr>
      <w:sz w:val="18"/>
      <w:szCs w:val="18"/>
    </w:rPr>
  </w:style>
  <w:style w:type="paragraph" w:customStyle="1" w:styleId="240">
    <w:name w:val="目录 11"/>
    <w:basedOn w:val="1"/>
    <w:next w:val="1"/>
    <w:qFormat/>
    <w:uiPriority w:val="39"/>
    <w:pPr>
      <w:spacing w:before="360"/>
      <w:jc w:val="left"/>
    </w:pPr>
    <w:rPr>
      <w:rFonts w:ascii="Cambria" w:hAnsi="Cambria"/>
      <w:b/>
      <w:bCs/>
      <w:caps/>
      <w:sz w:val="24"/>
    </w:rPr>
  </w:style>
  <w:style w:type="paragraph" w:customStyle="1" w:styleId="241">
    <w:name w:val="目录 41"/>
    <w:basedOn w:val="1"/>
    <w:next w:val="1"/>
    <w:qFormat/>
    <w:uiPriority w:val="0"/>
    <w:pPr>
      <w:ind w:left="420"/>
      <w:jc w:val="left"/>
    </w:pPr>
    <w:rPr>
      <w:rFonts w:ascii="Calibri" w:hAnsi="Calibri"/>
      <w:sz w:val="20"/>
      <w:szCs w:val="20"/>
    </w:rPr>
  </w:style>
  <w:style w:type="paragraph" w:customStyle="1" w:styleId="242">
    <w:name w:val="副标题11"/>
    <w:basedOn w:val="1"/>
    <w:next w:val="1"/>
    <w:link w:val="243"/>
    <w:qFormat/>
    <w:uiPriority w:val="0"/>
    <w:pPr>
      <w:spacing w:before="240" w:after="60" w:line="312" w:lineRule="auto"/>
      <w:jc w:val="center"/>
      <w:outlineLvl w:val="1"/>
    </w:pPr>
    <w:rPr>
      <w:rFonts w:ascii="Cambria" w:hAnsi="Cambria"/>
      <w:b/>
      <w:bCs/>
      <w:sz w:val="32"/>
      <w:szCs w:val="32"/>
    </w:rPr>
  </w:style>
  <w:style w:type="character" w:customStyle="1" w:styleId="243">
    <w:name w:val="副标题 Char"/>
    <w:link w:val="242"/>
    <w:qFormat/>
    <w:uiPriority w:val="0"/>
    <w:rPr>
      <w:rFonts w:ascii="Cambria" w:hAnsi="Cambria"/>
      <w:b/>
      <w:bCs/>
      <w:sz w:val="32"/>
      <w:szCs w:val="32"/>
    </w:rPr>
  </w:style>
  <w:style w:type="paragraph" w:customStyle="1" w:styleId="244">
    <w:name w:val="目录 61"/>
    <w:basedOn w:val="1"/>
    <w:next w:val="1"/>
    <w:qFormat/>
    <w:uiPriority w:val="0"/>
    <w:pPr>
      <w:ind w:left="840"/>
      <w:jc w:val="left"/>
    </w:pPr>
    <w:rPr>
      <w:rFonts w:ascii="Calibri" w:hAnsi="Calibri"/>
      <w:sz w:val="20"/>
      <w:szCs w:val="20"/>
    </w:rPr>
  </w:style>
  <w:style w:type="paragraph" w:customStyle="1" w:styleId="245">
    <w:name w:val="正文文本缩进 31"/>
    <w:basedOn w:val="1"/>
    <w:link w:val="246"/>
    <w:qFormat/>
    <w:uiPriority w:val="0"/>
    <w:pPr>
      <w:spacing w:after="120"/>
      <w:ind w:left="420"/>
    </w:pPr>
    <w:rPr>
      <w:sz w:val="16"/>
      <w:szCs w:val="16"/>
    </w:rPr>
  </w:style>
  <w:style w:type="character" w:customStyle="1" w:styleId="246">
    <w:name w:val="正文文本缩进 3 Char"/>
    <w:basedOn w:val="199"/>
    <w:link w:val="245"/>
    <w:qFormat/>
    <w:uiPriority w:val="0"/>
    <w:rPr>
      <w:sz w:val="16"/>
      <w:szCs w:val="16"/>
    </w:rPr>
  </w:style>
  <w:style w:type="paragraph" w:customStyle="1" w:styleId="247">
    <w:name w:val="目录 21"/>
    <w:basedOn w:val="1"/>
    <w:next w:val="1"/>
    <w:unhideWhenUsed/>
    <w:qFormat/>
    <w:uiPriority w:val="39"/>
    <w:pPr>
      <w:spacing w:before="240"/>
      <w:jc w:val="left"/>
    </w:pPr>
    <w:rPr>
      <w:rFonts w:ascii="Calibri" w:hAnsi="Calibri"/>
      <w:b/>
      <w:bCs/>
      <w:sz w:val="20"/>
      <w:szCs w:val="20"/>
    </w:rPr>
  </w:style>
  <w:style w:type="paragraph" w:customStyle="1" w:styleId="248">
    <w:name w:val="目录 91"/>
    <w:basedOn w:val="1"/>
    <w:next w:val="1"/>
    <w:qFormat/>
    <w:uiPriority w:val="0"/>
    <w:pPr>
      <w:ind w:left="1470"/>
      <w:jc w:val="left"/>
    </w:pPr>
    <w:rPr>
      <w:rFonts w:ascii="Calibri" w:hAnsi="Calibri"/>
      <w:sz w:val="20"/>
      <w:szCs w:val="20"/>
    </w:rPr>
  </w:style>
  <w:style w:type="paragraph" w:customStyle="1" w:styleId="249">
    <w:name w:val="正文文本 21"/>
    <w:basedOn w:val="1"/>
    <w:link w:val="250"/>
    <w:qFormat/>
    <w:uiPriority w:val="0"/>
    <w:pPr>
      <w:spacing w:line="560" w:lineRule="exact"/>
    </w:pPr>
    <w:rPr>
      <w:rFonts w:ascii="仿宋_GB2312" w:eastAsia="仿宋_GB2312"/>
      <w:sz w:val="28"/>
      <w:szCs w:val="30"/>
    </w:rPr>
  </w:style>
  <w:style w:type="character" w:customStyle="1" w:styleId="250">
    <w:name w:val="正文文本 2 Char"/>
    <w:basedOn w:val="199"/>
    <w:link w:val="249"/>
    <w:qFormat/>
    <w:uiPriority w:val="0"/>
    <w:rPr>
      <w:rFonts w:ascii="仿宋_GB2312" w:eastAsia="仿宋_GB2312"/>
      <w:sz w:val="28"/>
      <w:szCs w:val="30"/>
    </w:rPr>
  </w:style>
  <w:style w:type="paragraph" w:customStyle="1" w:styleId="251">
    <w:name w:val="HTML 预设格式1111"/>
    <w:basedOn w:val="1"/>
    <w:link w:val="25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2">
    <w:name w:val="HTML 预设格式 Char1"/>
    <w:basedOn w:val="199"/>
    <w:link w:val="251"/>
    <w:qFormat/>
    <w:uiPriority w:val="0"/>
    <w:rPr>
      <w:rFonts w:ascii="宋体" w:hAnsi="宋体" w:cs="宋体"/>
      <w:sz w:val="24"/>
      <w:szCs w:val="24"/>
    </w:rPr>
  </w:style>
  <w:style w:type="paragraph" w:customStyle="1" w:styleId="253">
    <w:name w:val="普通(网站)1"/>
    <w:basedOn w:val="1"/>
    <w:unhideWhenUsed/>
    <w:qFormat/>
    <w:uiPriority w:val="0"/>
    <w:pPr>
      <w:spacing w:before="100" w:beforeAutospacing="1" w:after="100" w:afterAutospacing="1"/>
      <w:jc w:val="left"/>
    </w:pPr>
    <w:rPr>
      <w:sz w:val="24"/>
      <w:szCs w:val="20"/>
    </w:rPr>
  </w:style>
  <w:style w:type="paragraph" w:customStyle="1" w:styleId="254">
    <w:name w:val="索引 11"/>
    <w:basedOn w:val="1"/>
    <w:next w:val="1"/>
    <w:semiHidden/>
    <w:qFormat/>
    <w:uiPriority w:val="0"/>
    <w:rPr>
      <w:b/>
      <w:bCs/>
      <w:color w:val="0000FF"/>
    </w:rPr>
  </w:style>
  <w:style w:type="paragraph" w:customStyle="1" w:styleId="255">
    <w:name w:val="标题11"/>
    <w:basedOn w:val="1"/>
    <w:next w:val="1"/>
    <w:link w:val="256"/>
    <w:qFormat/>
    <w:uiPriority w:val="0"/>
    <w:pPr>
      <w:spacing w:before="240" w:after="60"/>
      <w:jc w:val="center"/>
      <w:outlineLvl w:val="0"/>
    </w:pPr>
    <w:rPr>
      <w:rFonts w:ascii="Cambria" w:hAnsi="Cambria" w:eastAsia="宋体" w:cs="Times New Roman"/>
      <w:b/>
      <w:bCs/>
      <w:sz w:val="32"/>
      <w:szCs w:val="32"/>
    </w:rPr>
  </w:style>
  <w:style w:type="character" w:customStyle="1" w:styleId="256">
    <w:name w:val="标题 Char"/>
    <w:basedOn w:val="199"/>
    <w:link w:val="255"/>
    <w:qFormat/>
    <w:uiPriority w:val="0"/>
    <w:rPr>
      <w:rFonts w:ascii="Cambria" w:hAnsi="Cambria"/>
      <w:b/>
      <w:bCs/>
      <w:sz w:val="32"/>
      <w:szCs w:val="32"/>
    </w:rPr>
  </w:style>
  <w:style w:type="paragraph" w:customStyle="1" w:styleId="257">
    <w:name w:val="批注主题11"/>
    <w:basedOn w:val="215"/>
    <w:next w:val="215"/>
    <w:link w:val="258"/>
    <w:qFormat/>
    <w:uiPriority w:val="0"/>
    <w:rPr>
      <w:b/>
      <w:bCs/>
    </w:rPr>
  </w:style>
  <w:style w:type="character" w:customStyle="1" w:styleId="258">
    <w:name w:val="批注主题 Char"/>
    <w:link w:val="257"/>
    <w:qFormat/>
    <w:uiPriority w:val="0"/>
    <w:rPr>
      <w:b/>
      <w:bCs/>
      <w:sz w:val="21"/>
      <w:szCs w:val="24"/>
    </w:rPr>
  </w:style>
  <w:style w:type="paragraph" w:customStyle="1" w:styleId="259">
    <w:name w:val="正文首行缩进 21"/>
    <w:basedOn w:val="222"/>
    <w:unhideWhenUsed/>
    <w:qFormat/>
    <w:uiPriority w:val="0"/>
    <w:pPr>
      <w:spacing w:after="0" w:line="560" w:lineRule="exact"/>
      <w:ind w:left="1120" w:firstLine="420"/>
    </w:pPr>
    <w:rPr>
      <w:rFonts w:ascii="Times New Roman" w:hAnsi="Times New Roman" w:eastAsia="仿宋_GB2312"/>
      <w:sz w:val="32"/>
    </w:rPr>
  </w:style>
  <w:style w:type="table" w:customStyle="1" w:styleId="260">
    <w:name w:val="网格型11"/>
    <w:basedOn w:val="200"/>
    <w:qFormat/>
    <w:uiPriority w:val="0"/>
    <w:pPr>
      <w:widowControl w:val="0"/>
      <w:jc w:val="both"/>
    </w:pPr>
  </w:style>
  <w:style w:type="character" w:customStyle="1" w:styleId="261">
    <w:name w:val="页码1"/>
    <w:link w:val="1"/>
    <w:qFormat/>
    <w:uiPriority w:val="0"/>
  </w:style>
  <w:style w:type="character" w:customStyle="1" w:styleId="262">
    <w:name w:val="强调1"/>
    <w:basedOn w:val="199"/>
    <w:link w:val="1"/>
    <w:qFormat/>
    <w:uiPriority w:val="0"/>
    <w:rPr>
      <w:i/>
    </w:rPr>
  </w:style>
  <w:style w:type="character" w:customStyle="1" w:styleId="263">
    <w:name w:val="超链接1"/>
    <w:link w:val="1"/>
    <w:qFormat/>
    <w:uiPriority w:val="0"/>
    <w:rPr>
      <w:color w:val="0000FF"/>
      <w:u w:val="single"/>
    </w:rPr>
  </w:style>
  <w:style w:type="character" w:customStyle="1" w:styleId="264">
    <w:name w:val="批注引用1"/>
    <w:link w:val="1"/>
    <w:qFormat/>
    <w:uiPriority w:val="99"/>
    <w:rPr>
      <w:sz w:val="21"/>
      <w:szCs w:val="21"/>
    </w:rPr>
  </w:style>
  <w:style w:type="character" w:customStyle="1" w:styleId="265">
    <w:name w:val="批注文字 Char1"/>
    <w:basedOn w:val="199"/>
    <w:link w:val="1"/>
    <w:qFormat/>
    <w:uiPriority w:val="99"/>
  </w:style>
  <w:style w:type="character" w:customStyle="1" w:styleId="266">
    <w:name w:val="副标题 Char1"/>
    <w:basedOn w:val="199"/>
    <w:link w:val="1"/>
    <w:qFormat/>
    <w:uiPriority w:val="11"/>
    <w:rPr>
      <w:rFonts w:ascii="Cambria" w:hAnsi="Cambria" w:eastAsia="宋体" w:cs="Times New Roman"/>
      <w:b/>
      <w:bCs/>
      <w:sz w:val="32"/>
      <w:szCs w:val="32"/>
    </w:rPr>
  </w:style>
  <w:style w:type="character" w:customStyle="1" w:styleId="267">
    <w:name w:val="Char Char1"/>
    <w:link w:val="1"/>
    <w:qFormat/>
    <w:uiPriority w:val="0"/>
    <w:rPr>
      <w:sz w:val="18"/>
      <w:szCs w:val="18"/>
    </w:rPr>
  </w:style>
  <w:style w:type="character" w:customStyle="1" w:styleId="268">
    <w:name w:val="副标题 Char2"/>
    <w:link w:val="1"/>
    <w:qFormat/>
    <w:uiPriority w:val="11"/>
    <w:rPr>
      <w:rFonts w:ascii="Cambria" w:hAnsi="Cambria" w:eastAsia="宋体" w:cs="Times New Roman"/>
      <w:b/>
      <w:bCs/>
      <w:sz w:val="32"/>
      <w:szCs w:val="32"/>
    </w:rPr>
  </w:style>
  <w:style w:type="character" w:customStyle="1" w:styleId="269">
    <w:name w:val=" Char Char2"/>
    <w:link w:val="1"/>
    <w:qFormat/>
    <w:uiPriority w:val="0"/>
    <w:rPr>
      <w:rFonts w:ascii="Arial" w:hAnsi="Arial" w:eastAsia="黑体"/>
      <w:sz w:val="21"/>
      <w:szCs w:val="21"/>
    </w:rPr>
  </w:style>
  <w:style w:type="character" w:customStyle="1" w:styleId="270">
    <w:name w:val="标题 Char1"/>
    <w:link w:val="1"/>
    <w:qFormat/>
    <w:uiPriority w:val="0"/>
    <w:rPr>
      <w:rFonts w:ascii="Cambria" w:hAnsi="Cambria" w:cs="Times New Roman"/>
      <w:b/>
      <w:bCs/>
      <w:sz w:val="32"/>
      <w:szCs w:val="32"/>
    </w:rPr>
  </w:style>
  <w:style w:type="character" w:customStyle="1" w:styleId="271">
    <w:name w:val="Char Char2"/>
    <w:link w:val="1"/>
    <w:qFormat/>
    <w:uiPriority w:val="0"/>
    <w:rPr>
      <w:rFonts w:ascii="Arial" w:hAnsi="Arial" w:eastAsia="黑体"/>
      <w:sz w:val="21"/>
      <w:szCs w:val="21"/>
    </w:rPr>
  </w:style>
  <w:style w:type="character" w:customStyle="1" w:styleId="272">
    <w:name w:val="副标题 字符"/>
    <w:link w:val="1"/>
    <w:qFormat/>
    <w:uiPriority w:val="0"/>
    <w:rPr>
      <w:rFonts w:ascii="Cambria" w:hAnsi="Cambria"/>
      <w:b/>
      <w:bCs/>
      <w:sz w:val="32"/>
      <w:szCs w:val="32"/>
    </w:rPr>
  </w:style>
  <w:style w:type="character" w:customStyle="1" w:styleId="273">
    <w:name w:val="Char Char311"/>
    <w:link w:val="1"/>
    <w:qFormat/>
    <w:uiPriority w:val="0"/>
    <w:rPr>
      <w:rFonts w:ascii="Arial" w:hAnsi="Arial" w:eastAsia="黑体"/>
      <w:sz w:val="24"/>
      <w:szCs w:val="24"/>
    </w:rPr>
  </w:style>
  <w:style w:type="character" w:customStyle="1" w:styleId="274">
    <w:name w:val="Char Char31"/>
    <w:link w:val="1"/>
    <w:qFormat/>
    <w:uiPriority w:val="0"/>
    <w:rPr>
      <w:rFonts w:ascii="Arial" w:hAnsi="Arial" w:eastAsia="黑体"/>
      <w:sz w:val="24"/>
      <w:szCs w:val="24"/>
    </w:rPr>
  </w:style>
  <w:style w:type="character" w:customStyle="1" w:styleId="275">
    <w:name w:val="HTML 预设格式 Char"/>
    <w:link w:val="32"/>
    <w:qFormat/>
    <w:uiPriority w:val="0"/>
    <w:rPr>
      <w:rFonts w:ascii="宋体" w:hAnsi="宋体" w:eastAsia="宋体"/>
      <w:sz w:val="24"/>
      <w:szCs w:val="24"/>
      <w:lang w:bidi="ar-SA"/>
    </w:rPr>
  </w:style>
  <w:style w:type="character" w:customStyle="1" w:styleId="276">
    <w:name w:val="font01"/>
    <w:basedOn w:val="199"/>
    <w:link w:val="1"/>
    <w:qFormat/>
    <w:uiPriority w:val="0"/>
    <w:rPr>
      <w:rFonts w:hint="eastAsia" w:ascii="宋体" w:hAnsi="宋体" w:eastAsia="宋体" w:cs="宋体"/>
      <w:color w:val="FF0000"/>
      <w:sz w:val="24"/>
      <w:szCs w:val="24"/>
      <w:u w:val="none"/>
    </w:rPr>
  </w:style>
  <w:style w:type="character" w:customStyle="1" w:styleId="277">
    <w:name w:val=" Char Char"/>
    <w:link w:val="1"/>
    <w:qFormat/>
    <w:uiPriority w:val="0"/>
    <w:rPr>
      <w:sz w:val="18"/>
      <w:szCs w:val="18"/>
    </w:rPr>
  </w:style>
  <w:style w:type="character" w:customStyle="1" w:styleId="278">
    <w:name w:val="Char Char211"/>
    <w:link w:val="1"/>
    <w:qFormat/>
    <w:uiPriority w:val="0"/>
    <w:rPr>
      <w:rFonts w:ascii="Arial" w:hAnsi="Arial" w:eastAsia="黑体"/>
      <w:sz w:val="21"/>
      <w:szCs w:val="21"/>
    </w:rPr>
  </w:style>
  <w:style w:type="character" w:customStyle="1" w:styleId="279">
    <w:name w:val="纯文本 Char1"/>
    <w:link w:val="1"/>
    <w:qFormat/>
    <w:uiPriority w:val="99"/>
    <w:rPr>
      <w:rFonts w:ascii="宋体" w:hAnsi="Courier New"/>
      <w:sz w:val="21"/>
    </w:rPr>
  </w:style>
  <w:style w:type="character" w:customStyle="1" w:styleId="280">
    <w:name w:val="Char Char41"/>
    <w:link w:val="1"/>
    <w:qFormat/>
    <w:uiPriority w:val="0"/>
    <w:rPr>
      <w:b/>
      <w:bCs/>
      <w:sz w:val="24"/>
      <w:szCs w:val="24"/>
    </w:rPr>
  </w:style>
  <w:style w:type="character" w:customStyle="1" w:styleId="281">
    <w:name w:val="第*章 Char"/>
    <w:link w:val="1"/>
    <w:qFormat/>
    <w:uiPriority w:val="0"/>
    <w:rPr>
      <w:rFonts w:ascii="Arial" w:hAnsi="Arial" w:eastAsia="黑体"/>
      <w:b/>
      <w:bCs/>
      <w:sz w:val="32"/>
      <w:szCs w:val="32"/>
    </w:rPr>
  </w:style>
  <w:style w:type="character" w:customStyle="1" w:styleId="282">
    <w:name w:val="Char Char4"/>
    <w:link w:val="1"/>
    <w:qFormat/>
    <w:uiPriority w:val="0"/>
    <w:rPr>
      <w:b/>
      <w:bCs/>
      <w:sz w:val="24"/>
      <w:szCs w:val="24"/>
    </w:rPr>
  </w:style>
  <w:style w:type="character" w:customStyle="1" w:styleId="283">
    <w:name w:val=" Char Char1"/>
    <w:link w:val="1"/>
    <w:qFormat/>
    <w:uiPriority w:val="0"/>
    <w:rPr>
      <w:sz w:val="18"/>
      <w:szCs w:val="18"/>
    </w:rPr>
  </w:style>
  <w:style w:type="character" w:customStyle="1" w:styleId="284">
    <w:name w:val="纯文本 Char2"/>
    <w:link w:val="1"/>
    <w:semiHidden/>
    <w:qFormat/>
    <w:uiPriority w:val="99"/>
    <w:rPr>
      <w:rFonts w:ascii="宋体" w:hAnsi="Courier New" w:eastAsia="宋体" w:cs="Courier New"/>
      <w:szCs w:val="21"/>
    </w:rPr>
  </w:style>
  <w:style w:type="character" w:customStyle="1" w:styleId="285">
    <w:name w:val="wj1"/>
    <w:link w:val="1"/>
    <w:qFormat/>
    <w:uiPriority w:val="0"/>
    <w:rPr>
      <w:color w:val="000000"/>
      <w:spacing w:val="260"/>
      <w:sz w:val="18"/>
      <w:szCs w:val="18"/>
      <w:u w:val="none"/>
    </w:rPr>
  </w:style>
  <w:style w:type="character" w:customStyle="1" w:styleId="286">
    <w:name w:val="三级标题 Char"/>
    <w:link w:val="287"/>
    <w:qFormat/>
    <w:uiPriority w:val="0"/>
    <w:rPr>
      <w:rFonts w:ascii="华文中宋" w:hAnsi="华文中宋" w:eastAsia="华文中宋"/>
      <w:sz w:val="24"/>
      <w:szCs w:val="24"/>
      <w:lang w:bidi="ar-SA"/>
    </w:rPr>
  </w:style>
  <w:style w:type="paragraph" w:customStyle="1" w:styleId="287">
    <w:name w:val="三级标题"/>
    <w:basedOn w:val="1"/>
    <w:next w:val="1"/>
    <w:link w:val="286"/>
    <w:qFormat/>
    <w:uiPriority w:val="0"/>
    <w:pPr>
      <w:spacing w:line="360" w:lineRule="auto"/>
      <w:outlineLvl w:val="2"/>
    </w:pPr>
    <w:rPr>
      <w:rFonts w:ascii="华文中宋" w:hAnsi="华文中宋" w:eastAsia="华文中宋"/>
      <w:sz w:val="24"/>
    </w:rPr>
  </w:style>
  <w:style w:type="character" w:customStyle="1" w:styleId="288">
    <w:name w:val="普通正文 Char"/>
    <w:link w:val="289"/>
    <w:qFormat/>
    <w:uiPriority w:val="0"/>
    <w:rPr>
      <w:rFonts w:ascii="Arial" w:hAnsi="Arial"/>
      <w:sz w:val="24"/>
      <w:szCs w:val="24"/>
    </w:rPr>
  </w:style>
  <w:style w:type="paragraph" w:customStyle="1" w:styleId="289">
    <w:name w:val="普通正文"/>
    <w:basedOn w:val="1"/>
    <w:link w:val="288"/>
    <w:qFormat/>
    <w:uiPriority w:val="0"/>
    <w:pPr>
      <w:spacing w:before="120" w:after="120" w:line="360" w:lineRule="auto"/>
      <w:ind w:firstLine="480"/>
      <w:jc w:val="left"/>
    </w:pPr>
    <w:rPr>
      <w:rFonts w:ascii="Arial" w:hAnsi="Arial"/>
      <w:sz w:val="24"/>
    </w:rPr>
  </w:style>
  <w:style w:type="character" w:customStyle="1" w:styleId="290">
    <w:name w:val="批注主题 Char2"/>
    <w:link w:val="1"/>
    <w:semiHidden/>
    <w:qFormat/>
    <w:uiPriority w:val="99"/>
    <w:rPr>
      <w:rFonts w:ascii="Times New Roman" w:hAnsi="Times New Roman" w:eastAsia="宋体" w:cs="Times New Roman"/>
      <w:b/>
      <w:bCs/>
      <w:szCs w:val="24"/>
    </w:rPr>
  </w:style>
  <w:style w:type="character" w:customStyle="1" w:styleId="291">
    <w:name w:val="标题 Char3"/>
    <w:basedOn w:val="199"/>
    <w:link w:val="1"/>
    <w:qFormat/>
    <w:uiPriority w:val="10"/>
    <w:rPr>
      <w:rFonts w:ascii="Cambria" w:hAnsi="Cambria" w:eastAsia="宋体" w:cs="Times New Roman"/>
      <w:b/>
      <w:bCs/>
      <w:sz w:val="32"/>
      <w:szCs w:val="32"/>
    </w:rPr>
  </w:style>
  <w:style w:type="character" w:customStyle="1" w:styleId="292">
    <w:name w:val=" Char Char4"/>
    <w:link w:val="1"/>
    <w:qFormat/>
    <w:uiPriority w:val="0"/>
    <w:rPr>
      <w:b/>
      <w:bCs/>
      <w:sz w:val="24"/>
      <w:szCs w:val="24"/>
    </w:rPr>
  </w:style>
  <w:style w:type="character" w:customStyle="1" w:styleId="293">
    <w:name w:val="纯文本 Char3"/>
    <w:link w:val="1"/>
    <w:qFormat/>
    <w:uiPriority w:val="0"/>
    <w:rPr>
      <w:rFonts w:ascii="宋体" w:hAnsi="Courier New" w:eastAsia="宋体"/>
    </w:rPr>
  </w:style>
  <w:style w:type="character" w:customStyle="1" w:styleId="294">
    <w:name w:val="二级标题2 Char"/>
    <w:link w:val="295"/>
    <w:qFormat/>
    <w:uiPriority w:val="0"/>
    <w:rPr>
      <w:rFonts w:ascii="华文中宋" w:hAnsi="华文中宋" w:eastAsia="华文中宋"/>
      <w:b/>
      <w:bCs/>
      <w:sz w:val="24"/>
      <w:szCs w:val="24"/>
    </w:rPr>
  </w:style>
  <w:style w:type="paragraph" w:customStyle="1" w:styleId="295">
    <w:name w:val="二级标题2"/>
    <w:basedOn w:val="191"/>
    <w:next w:val="219"/>
    <w:link w:val="294"/>
    <w:qFormat/>
    <w:uiPriority w:val="0"/>
    <w:pPr>
      <w:spacing w:before="0" w:after="0" w:line="360" w:lineRule="auto"/>
    </w:pPr>
    <w:rPr>
      <w:rFonts w:ascii="华文中宋" w:hAnsi="华文中宋" w:eastAsia="华文中宋"/>
      <w:sz w:val="24"/>
      <w:szCs w:val="24"/>
    </w:rPr>
  </w:style>
  <w:style w:type="character" w:customStyle="1" w:styleId="296">
    <w:name w:val="font31"/>
    <w:link w:val="1"/>
    <w:qFormat/>
    <w:uiPriority w:val="0"/>
    <w:rPr>
      <w:rFonts w:hint="eastAsia" w:ascii="宋体" w:hAnsi="宋体" w:eastAsia="宋体" w:cs="宋体"/>
      <w:color w:val="000000"/>
      <w:sz w:val="22"/>
      <w:szCs w:val="22"/>
      <w:u w:val="none"/>
    </w:rPr>
  </w:style>
  <w:style w:type="character" w:customStyle="1" w:styleId="297">
    <w:name w:val="Default Char"/>
    <w:link w:val="298"/>
    <w:qFormat/>
    <w:uiPriority w:val="99"/>
    <w:rPr>
      <w:rFonts w:ascii="MS Mincho" w:hAnsi="Calibri"/>
      <w:color w:val="000000"/>
      <w:sz w:val="21"/>
      <w:szCs w:val="24"/>
      <w:lang w:val="en-US" w:eastAsia="zh-CN" w:bidi="ar-SA"/>
    </w:rPr>
  </w:style>
  <w:style w:type="paragraph" w:customStyle="1" w:styleId="298">
    <w:name w:val="Default"/>
    <w:link w:val="297"/>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99">
    <w:name w:val="Char Char51"/>
    <w:link w:val="1"/>
    <w:qFormat/>
    <w:uiPriority w:val="0"/>
    <w:rPr>
      <w:sz w:val="18"/>
      <w:szCs w:val="18"/>
    </w:rPr>
  </w:style>
  <w:style w:type="character" w:customStyle="1" w:styleId="300">
    <w:name w:val="H4 Char"/>
    <w:link w:val="1"/>
    <w:qFormat/>
    <w:uiPriority w:val="0"/>
    <w:rPr>
      <w:rFonts w:ascii="Arial" w:hAnsi="Arial" w:eastAsia="黑体"/>
      <w:b/>
      <w:bCs/>
      <w:sz w:val="28"/>
      <w:szCs w:val="28"/>
      <w:lang w:val="en-US" w:eastAsia="zh-CN" w:bidi="ar-SA"/>
    </w:rPr>
  </w:style>
  <w:style w:type="character" w:customStyle="1" w:styleId="301">
    <w:name w:val="Char Char21"/>
    <w:link w:val="1"/>
    <w:qFormat/>
    <w:uiPriority w:val="0"/>
    <w:rPr>
      <w:rFonts w:ascii="Arial" w:hAnsi="Arial" w:eastAsia="黑体"/>
      <w:sz w:val="21"/>
      <w:szCs w:val="21"/>
    </w:rPr>
  </w:style>
  <w:style w:type="character" w:customStyle="1" w:styleId="302">
    <w:name w:val="Char Char11"/>
    <w:link w:val="1"/>
    <w:qFormat/>
    <w:uiPriority w:val="0"/>
    <w:rPr>
      <w:sz w:val="18"/>
      <w:szCs w:val="18"/>
    </w:rPr>
  </w:style>
  <w:style w:type="character" w:customStyle="1" w:styleId="303">
    <w:name w:val="Char Char"/>
    <w:link w:val="1"/>
    <w:qFormat/>
    <w:uiPriority w:val="0"/>
    <w:rPr>
      <w:sz w:val="18"/>
      <w:szCs w:val="18"/>
    </w:rPr>
  </w:style>
  <w:style w:type="character" w:customStyle="1" w:styleId="304">
    <w:name w:val="批注主题 Char1"/>
    <w:basedOn w:val="265"/>
    <w:link w:val="1"/>
    <w:semiHidden/>
    <w:qFormat/>
    <w:uiPriority w:val="99"/>
    <w:rPr>
      <w:b/>
      <w:bCs/>
    </w:rPr>
  </w:style>
  <w:style w:type="character" w:customStyle="1" w:styleId="305">
    <w:name w:val="H5 Char"/>
    <w:link w:val="1"/>
    <w:qFormat/>
    <w:uiPriority w:val="0"/>
    <w:rPr>
      <w:rFonts w:eastAsia="黑体"/>
      <w:b/>
      <w:bCs/>
      <w:sz w:val="28"/>
      <w:szCs w:val="28"/>
      <w:lang w:val="en-US" w:eastAsia="zh-CN" w:bidi="ar-SA"/>
    </w:rPr>
  </w:style>
  <w:style w:type="character" w:customStyle="1" w:styleId="306">
    <w:name w:val="链接"/>
    <w:link w:val="1"/>
    <w:qFormat/>
    <w:uiPriority w:val="0"/>
    <w:rPr>
      <w:rFonts w:ascii="Times New Roman" w:eastAsia="宋体"/>
      <w:color w:val="0000FF"/>
      <w:sz w:val="21"/>
      <w:u w:val="single"/>
      <w:vertAlign w:val="baseline"/>
      <w:lang w:val="en-US" w:eastAsia="zh-CN"/>
    </w:rPr>
  </w:style>
  <w:style w:type="character" w:customStyle="1" w:styleId="307">
    <w:name w:val=" Char Char3"/>
    <w:link w:val="1"/>
    <w:qFormat/>
    <w:uiPriority w:val="0"/>
    <w:rPr>
      <w:rFonts w:ascii="Arial" w:hAnsi="Arial" w:eastAsia="黑体"/>
      <w:sz w:val="24"/>
      <w:szCs w:val="24"/>
    </w:rPr>
  </w:style>
  <w:style w:type="character" w:customStyle="1" w:styleId="308">
    <w:name w:val="Char Char411"/>
    <w:link w:val="1"/>
    <w:qFormat/>
    <w:uiPriority w:val="0"/>
    <w:rPr>
      <w:b/>
      <w:bCs/>
      <w:sz w:val="24"/>
      <w:szCs w:val="24"/>
    </w:rPr>
  </w:style>
  <w:style w:type="character" w:customStyle="1" w:styleId="309">
    <w:name w:val="标题 Char2"/>
    <w:link w:val="1"/>
    <w:qFormat/>
    <w:uiPriority w:val="10"/>
    <w:rPr>
      <w:rFonts w:ascii="Cambria" w:hAnsi="Cambria" w:eastAsia="宋体" w:cs="Times New Roman"/>
      <w:b/>
      <w:bCs/>
      <w:sz w:val="32"/>
      <w:szCs w:val="32"/>
    </w:rPr>
  </w:style>
  <w:style w:type="character" w:customStyle="1" w:styleId="310">
    <w:name w:val="无间隔 Char"/>
    <w:link w:val="1"/>
    <w:qFormat/>
    <w:uiPriority w:val="0"/>
    <w:rPr>
      <w:rFonts w:ascii="Calibri" w:hAnsi="Calibri"/>
      <w:sz w:val="22"/>
      <w:szCs w:val="22"/>
      <w:lang w:val="en-US" w:eastAsia="zh-CN" w:bidi="ar-SA"/>
    </w:rPr>
  </w:style>
  <w:style w:type="character" w:customStyle="1" w:styleId="311">
    <w:name w:val="Char Char3"/>
    <w:link w:val="1"/>
    <w:qFormat/>
    <w:uiPriority w:val="0"/>
    <w:rPr>
      <w:rFonts w:ascii="Arial" w:hAnsi="Arial" w:eastAsia="黑体"/>
      <w:sz w:val="24"/>
      <w:szCs w:val="24"/>
    </w:rPr>
  </w:style>
  <w:style w:type="character" w:customStyle="1" w:styleId="312">
    <w:name w:val="h3 Char"/>
    <w:link w:val="1"/>
    <w:qFormat/>
    <w:uiPriority w:val="0"/>
    <w:rPr>
      <w:b/>
      <w:bCs/>
      <w:sz w:val="32"/>
      <w:szCs w:val="32"/>
    </w:rPr>
  </w:style>
  <w:style w:type="character" w:customStyle="1" w:styleId="313">
    <w:name w:val="Char Char5"/>
    <w:link w:val="1"/>
    <w:qFormat/>
    <w:uiPriority w:val="0"/>
    <w:rPr>
      <w:sz w:val="18"/>
      <w:szCs w:val="18"/>
    </w:rPr>
  </w:style>
  <w:style w:type="character" w:customStyle="1" w:styleId="314">
    <w:name w:val="Char Char111"/>
    <w:link w:val="1"/>
    <w:qFormat/>
    <w:uiPriority w:val="0"/>
    <w:rPr>
      <w:sz w:val="18"/>
      <w:szCs w:val="18"/>
    </w:rPr>
  </w:style>
  <w:style w:type="character" w:customStyle="1" w:styleId="315">
    <w:name w:val="H6 Char"/>
    <w:link w:val="1"/>
    <w:qFormat/>
    <w:uiPriority w:val="0"/>
    <w:rPr>
      <w:rFonts w:ascii="Arial" w:hAnsi="Arial" w:eastAsia="黑体"/>
      <w:b/>
      <w:bCs/>
      <w:sz w:val="24"/>
      <w:szCs w:val="24"/>
    </w:rPr>
  </w:style>
  <w:style w:type="paragraph" w:customStyle="1" w:styleId="316">
    <w:name w:val="Sourcetext bullet"/>
    <w:basedOn w:val="317"/>
    <w:qFormat/>
    <w:uiPriority w:val="0"/>
    <w:pPr>
      <w:numPr>
        <w:ilvl w:val="0"/>
        <w:numId w:val="2"/>
      </w:numPr>
      <w:ind w:left="2160"/>
    </w:pPr>
  </w:style>
  <w:style w:type="paragraph" w:customStyle="1" w:styleId="317">
    <w:name w:val="Sourcetext"/>
    <w:basedOn w:val="1"/>
    <w:qFormat/>
    <w:uiPriority w:val="0"/>
    <w:pPr>
      <w:widowControl/>
      <w:spacing w:after="120"/>
      <w:ind w:left="2160"/>
      <w:jc w:val="left"/>
    </w:pPr>
    <w:rPr>
      <w:rFonts w:ascii="Century Schoolbook" w:hAnsi="Century Schoolbook"/>
      <w:sz w:val="20"/>
      <w:szCs w:val="20"/>
    </w:rPr>
  </w:style>
  <w:style w:type="paragraph" w:customStyle="1" w:styleId="318">
    <w:name w:val=" Char Char1 Char Char Char"/>
    <w:basedOn w:val="1"/>
    <w:qFormat/>
    <w:uiPriority w:val="0"/>
    <w:rPr>
      <w:szCs w:val="20"/>
    </w:rPr>
  </w:style>
  <w:style w:type="paragraph" w:customStyle="1" w:styleId="319">
    <w:name w:val="文章总标题"/>
    <w:basedOn w:val="1"/>
    <w:qFormat/>
    <w:uiPriority w:val="0"/>
    <w:pPr>
      <w:widowControl/>
      <w:spacing w:before="566" w:after="544" w:line="566" w:lineRule="atLeast"/>
      <w:jc w:val="center"/>
    </w:pPr>
    <w:rPr>
      <w:rFonts w:ascii="Arial" w:eastAsia="黑体"/>
      <w:color w:val="000000"/>
      <w:sz w:val="54"/>
      <w:szCs w:val="20"/>
    </w:rPr>
  </w:style>
  <w:style w:type="paragraph" w:customStyle="1" w:styleId="320">
    <w:name w:val="xl27"/>
    <w:basedOn w:val="1"/>
    <w:qFormat/>
    <w:uiPriority w:val="0"/>
    <w:pPr>
      <w:widowControl/>
      <w:pBdr>
        <w:left w:val="single" w:color="000000" w:sz="4" w:space="0"/>
        <w:right w:val="single" w:color="000000" w:sz="4" w:space="0"/>
      </w:pBdr>
      <w:spacing w:before="100" w:beforeAutospacing="1" w:after="100" w:afterAutospacing="1"/>
      <w:jc w:val="right"/>
    </w:pPr>
    <w:rPr>
      <w:rFonts w:ascii="Arial" w:hAnsi="Arial" w:eastAsia="Arial Unicode MS" w:cs="Arial"/>
      <w:sz w:val="18"/>
      <w:szCs w:val="18"/>
    </w:rPr>
  </w:style>
  <w:style w:type="paragraph" w:customStyle="1" w:styleId="321">
    <w:name w:val="font8"/>
    <w:basedOn w:val="1"/>
    <w:qFormat/>
    <w:uiPriority w:val="0"/>
    <w:pPr>
      <w:widowControl/>
      <w:spacing w:before="100" w:beforeAutospacing="1" w:after="100" w:afterAutospacing="1"/>
      <w:jc w:val="left"/>
    </w:pPr>
    <w:rPr>
      <w:rFonts w:hint="eastAsia" w:ascii="隶书" w:hAnsi="Arial Unicode MS" w:eastAsia="隶书" w:cs="Arial Unicode MS"/>
      <w:sz w:val="18"/>
      <w:szCs w:val="18"/>
    </w:rPr>
  </w:style>
  <w:style w:type="paragraph" w:customStyle="1" w:styleId="322">
    <w:name w:val="无间隔"/>
    <w:qFormat/>
    <w:uiPriority w:val="0"/>
    <w:rPr>
      <w:rFonts w:hint="default" w:ascii="Calibri" w:hAnsi="Calibri" w:eastAsia="宋体" w:cs="Times New Roman"/>
      <w:sz w:val="22"/>
      <w:szCs w:val="22"/>
      <w:lang w:val="en-US" w:eastAsia="zh-CN" w:bidi="ar-SA"/>
    </w:rPr>
  </w:style>
  <w:style w:type="paragraph" w:customStyle="1" w:styleId="323">
    <w:name w:val="font5"/>
    <w:basedOn w:val="1"/>
    <w:qFormat/>
    <w:uiPriority w:val="0"/>
    <w:pPr>
      <w:widowControl/>
      <w:spacing w:before="100" w:beforeAutospacing="1" w:after="100" w:afterAutospacing="1"/>
      <w:jc w:val="left"/>
    </w:pPr>
    <w:rPr>
      <w:rFonts w:ascii="Arial" w:hAnsi="Arial" w:eastAsia="Arial Unicode MS" w:cs="Arial"/>
      <w:sz w:val="20"/>
      <w:szCs w:val="20"/>
    </w:rPr>
  </w:style>
  <w:style w:type="paragraph" w:customStyle="1" w:styleId="324">
    <w:name w:val="章标题"/>
    <w:basedOn w:val="1"/>
    <w:qFormat/>
    <w:uiPriority w:val="0"/>
    <w:pPr>
      <w:widowControl/>
      <w:spacing w:before="158" w:after="153" w:line="323" w:lineRule="atLeast"/>
      <w:jc w:val="center"/>
    </w:pPr>
    <w:rPr>
      <w:rFonts w:ascii="Arial" w:eastAsia="黑体"/>
      <w:color w:val="000000"/>
      <w:sz w:val="31"/>
      <w:szCs w:val="20"/>
    </w:rPr>
  </w:style>
  <w:style w:type="paragraph" w:customStyle="1" w:styleId="325">
    <w:name w:val="font11"/>
    <w:basedOn w:val="1"/>
    <w:qFormat/>
    <w:uiPriority w:val="0"/>
    <w:pPr>
      <w:widowControl/>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326">
    <w:name w:val="xl46"/>
    <w:basedOn w:val="1"/>
    <w:qFormat/>
    <w:uiPriority w:val="0"/>
    <w:pPr>
      <w:widowControl/>
      <w:pBdr>
        <w:left w:val="single" w:color="000000" w:sz="4" w:space="0"/>
        <w:bottom w:val="single" w:color="000000" w:sz="4" w:space="0"/>
      </w:pBdr>
      <w:spacing w:before="100" w:beforeAutospacing="1" w:after="100" w:afterAutospacing="1"/>
      <w:jc w:val="center"/>
    </w:pPr>
    <w:rPr>
      <w:rFonts w:ascii="Arial" w:hAnsi="Arial" w:eastAsia="Arial Unicode MS" w:cs="Arial"/>
      <w:b/>
      <w:bCs/>
      <w:sz w:val="16"/>
      <w:szCs w:val="16"/>
    </w:rPr>
  </w:style>
  <w:style w:type="paragraph" w:customStyle="1" w:styleId="327">
    <w:name w:val="xl51"/>
    <w:basedOn w:val="1"/>
    <w:qFormat/>
    <w:uiPriority w:val="0"/>
    <w:pPr>
      <w:widowControl/>
      <w:pBdr>
        <w:left w:val="single" w:color="000000" w:sz="4" w:space="0"/>
        <w:bottom w:val="single" w:color="000000" w:sz="4" w:space="0"/>
      </w:pBdr>
      <w:spacing w:before="100" w:beforeAutospacing="1" w:after="100" w:afterAutospacing="1"/>
      <w:jc w:val="right"/>
    </w:pPr>
    <w:rPr>
      <w:rFonts w:ascii="Arial" w:hAnsi="Arial" w:eastAsia="Arial Unicode MS" w:cs="Arial"/>
      <w:sz w:val="18"/>
      <w:szCs w:val="18"/>
    </w:rPr>
  </w:style>
  <w:style w:type="paragraph" w:customStyle="1" w:styleId="328">
    <w:name w:val="xl55"/>
    <w:basedOn w:val="1"/>
    <w:qFormat/>
    <w:uiPriority w:val="0"/>
    <w:pPr>
      <w:widowControl/>
      <w:spacing w:before="100" w:beforeAutospacing="1" w:after="100" w:afterAutospacing="1"/>
      <w:jc w:val="center"/>
    </w:pPr>
    <w:rPr>
      <w:rFonts w:ascii="Arial" w:hAnsi="Arial" w:eastAsia="Arial Unicode MS" w:cs="Arial"/>
      <w:sz w:val="24"/>
    </w:rPr>
  </w:style>
  <w:style w:type="paragraph" w:customStyle="1" w:styleId="329">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00"/>
      <w:jc w:val="left"/>
    </w:pPr>
    <w:rPr>
      <w:rFonts w:ascii="Courier New" w:hAnsi="Courier New" w:eastAsia="宋体" w:cs="Courier New"/>
      <w:sz w:val="20"/>
      <w:szCs w:val="20"/>
    </w:rPr>
  </w:style>
  <w:style w:type="paragraph" w:customStyle="1" w:styleId="330">
    <w:name w:val="xl66"/>
    <w:basedOn w:val="1"/>
    <w:qFormat/>
    <w:uiPriority w:val="0"/>
    <w:pPr>
      <w:widowControl/>
      <w:pBdr>
        <w:bottom w:val="single" w:color="000000" w:sz="4" w:space="0"/>
      </w:pBdr>
      <w:spacing w:before="100" w:beforeAutospacing="1" w:after="100" w:afterAutospacing="1"/>
      <w:jc w:val="left"/>
    </w:pPr>
    <w:rPr>
      <w:rFonts w:ascii="Arial" w:hAnsi="Arial" w:eastAsia="Arial Unicode MS" w:cs="Arial"/>
      <w:b/>
      <w:bCs/>
      <w:sz w:val="18"/>
      <w:szCs w:val="18"/>
    </w:rPr>
  </w:style>
  <w:style w:type="paragraph" w:customStyle="1" w:styleId="331">
    <w:name w:val="xl2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w:hAnsi="Arial" w:eastAsia="Arial Unicode MS" w:cs="Arial"/>
      <w:sz w:val="18"/>
      <w:szCs w:val="18"/>
    </w:rPr>
  </w:style>
  <w:style w:type="paragraph" w:customStyle="1" w:styleId="332">
    <w:name w:val="Char Char1 Char Char Char"/>
    <w:basedOn w:val="1"/>
    <w:qFormat/>
    <w:uiPriority w:val="0"/>
    <w:rPr>
      <w:szCs w:val="20"/>
    </w:rPr>
  </w:style>
  <w:style w:type="paragraph" w:customStyle="1" w:styleId="333">
    <w:name w:val="列出段落3"/>
    <w:basedOn w:val="1"/>
    <w:qFormat/>
    <w:uiPriority w:val="34"/>
    <w:pPr>
      <w:ind w:firstLine="420"/>
    </w:pPr>
  </w:style>
  <w:style w:type="paragraph" w:customStyle="1" w:styleId="334">
    <w:name w:val="样式1"/>
    <w:basedOn w:val="1"/>
    <w:qFormat/>
    <w:uiPriority w:val="0"/>
    <w:pPr>
      <w:tabs>
        <w:tab w:val="left" w:pos="709"/>
      </w:tabs>
      <w:ind w:left="709" w:hanging="709"/>
    </w:pPr>
    <w:rPr>
      <w:rFonts w:ascii="宋体" w:hAnsi="宋体"/>
      <w:szCs w:val="21"/>
    </w:rPr>
  </w:style>
  <w:style w:type="paragraph" w:customStyle="1" w:styleId="335">
    <w:name w:val="xl31"/>
    <w:basedOn w:val="1"/>
    <w:qFormat/>
    <w:uiPriority w:val="0"/>
    <w:pPr>
      <w:widowControl/>
      <w:pBdr>
        <w:left w:val="single" w:color="000000" w:sz="4" w:space="0"/>
        <w:right w:val="single" w:color="000000" w:sz="4" w:space="0"/>
      </w:pBdr>
      <w:spacing w:before="100" w:beforeAutospacing="1" w:after="100" w:afterAutospacing="1"/>
      <w:jc w:val="right"/>
    </w:pPr>
    <w:rPr>
      <w:rFonts w:ascii="Arial" w:hAnsi="Arial" w:eastAsia="Arial Unicode MS" w:cs="Arial"/>
      <w:sz w:val="18"/>
      <w:szCs w:val="18"/>
    </w:rPr>
  </w:style>
  <w:style w:type="paragraph" w:customStyle="1" w:styleId="336">
    <w:name w:val="IBM 正文"/>
    <w:basedOn w:val="1"/>
    <w:qFormat/>
    <w:uiPriority w:val="0"/>
    <w:pPr>
      <w:spacing w:line="360" w:lineRule="exact"/>
    </w:pPr>
    <w:rPr>
      <w:sz w:val="24"/>
      <w:szCs w:val="20"/>
    </w:rPr>
  </w:style>
  <w:style w:type="paragraph" w:customStyle="1" w:styleId="337">
    <w:name w:val="font10"/>
    <w:basedOn w:val="1"/>
    <w:qFormat/>
    <w:uiPriority w:val="0"/>
    <w:pPr>
      <w:widowControl/>
      <w:spacing w:before="100" w:beforeAutospacing="1" w:after="100" w:afterAutospacing="1"/>
      <w:jc w:val="left"/>
    </w:pPr>
    <w:rPr>
      <w:rFonts w:ascii="Arial" w:hAnsi="Arial" w:eastAsia="Arial Unicode MS" w:cs="Arial"/>
      <w:b/>
      <w:bCs/>
      <w:sz w:val="18"/>
      <w:szCs w:val="18"/>
    </w:rPr>
  </w:style>
  <w:style w:type="paragraph" w:customStyle="1" w:styleId="338">
    <w:name w:val="Char Char1 Char Char Char11"/>
    <w:basedOn w:val="1"/>
    <w:qFormat/>
    <w:uiPriority w:val="0"/>
    <w:pPr>
      <w:spacing w:line="360" w:lineRule="auto"/>
      <w:ind w:firstLine="200"/>
    </w:pPr>
    <w:rPr>
      <w:sz w:val="24"/>
      <w:szCs w:val="20"/>
    </w:rPr>
  </w:style>
  <w:style w:type="paragraph" w:customStyle="1" w:styleId="339">
    <w:name w:val="xl29"/>
    <w:basedOn w:val="1"/>
    <w:qFormat/>
    <w:uiPriority w:val="0"/>
    <w:pPr>
      <w:widowControl/>
      <w:pBdr>
        <w:left w:val="single" w:color="000000" w:sz="4" w:space="0"/>
        <w:right w:val="single" w:color="000000" w:sz="4" w:space="0"/>
      </w:pBdr>
      <w:spacing w:before="100" w:beforeAutospacing="1" w:after="100" w:afterAutospacing="1"/>
      <w:jc w:val="center"/>
    </w:pPr>
    <w:rPr>
      <w:rFonts w:ascii="Arial" w:hAnsi="Arial" w:eastAsia="Arial Unicode MS" w:cs="Arial"/>
      <w:sz w:val="18"/>
      <w:szCs w:val="18"/>
    </w:rPr>
  </w:style>
  <w:style w:type="paragraph" w:customStyle="1" w:styleId="340">
    <w:name w:val="默认段落字体 Para Char Char Char Char Char Char Char"/>
    <w:basedOn w:val="213"/>
    <w:qFormat/>
    <w:uiPriority w:val="0"/>
    <w:pPr>
      <w:spacing w:line="436" w:lineRule="exact"/>
      <w:ind w:left="357"/>
      <w:jc w:val="left"/>
      <w:outlineLvl w:val="3"/>
    </w:pPr>
    <w:rPr>
      <w:rFonts w:ascii="Tahoma" w:hAnsi="Tahoma"/>
      <w:b/>
      <w:sz w:val="24"/>
    </w:rPr>
  </w:style>
  <w:style w:type="paragraph" w:customStyle="1" w:styleId="341">
    <w:name w:val="xl38"/>
    <w:basedOn w:val="1"/>
    <w:qFormat/>
    <w:uiPriority w:val="0"/>
    <w:pPr>
      <w:widowControl/>
      <w:pBdr>
        <w:left w:val="single" w:color="000000" w:sz="4" w:space="0"/>
        <w:right w:val="single" w:color="000000" w:sz="4" w:space="0"/>
      </w:pBdr>
      <w:spacing w:before="100" w:beforeAutospacing="1" w:after="100" w:afterAutospacing="1"/>
      <w:jc w:val="center"/>
    </w:pPr>
    <w:rPr>
      <w:rFonts w:ascii="Arial" w:hAnsi="Arial" w:eastAsia="Arial Unicode MS" w:cs="Arial"/>
      <w:b/>
      <w:bCs/>
      <w:sz w:val="16"/>
      <w:szCs w:val="16"/>
    </w:rPr>
  </w:style>
  <w:style w:type="paragraph" w:customStyle="1" w:styleId="342">
    <w:name w:val="xl57"/>
    <w:basedOn w:val="1"/>
    <w:qFormat/>
    <w:uiPriority w:val="0"/>
    <w:pPr>
      <w:widowControl/>
      <w:pBdr>
        <w:top w:val="single" w:color="000000" w:sz="8" w:space="0"/>
        <w:left w:val="single" w:color="000000" w:sz="8" w:space="0"/>
      </w:pBdr>
      <w:spacing w:before="100" w:beforeAutospacing="1" w:after="100" w:afterAutospacing="1"/>
      <w:jc w:val="left"/>
    </w:pPr>
    <w:rPr>
      <w:rFonts w:ascii="Arial" w:hAnsi="Arial" w:eastAsia="Arial Unicode MS" w:cs="Arial"/>
      <w:sz w:val="24"/>
    </w:rPr>
  </w:style>
  <w:style w:type="paragraph" w:customStyle="1" w:styleId="343">
    <w:name w:val="??"/>
    <w:qFormat/>
    <w:uiPriority w:val="0"/>
    <w:pPr>
      <w:widowControl w:val="0"/>
      <w:jc w:val="both"/>
    </w:pPr>
    <w:rPr>
      <w:rFonts w:hint="default" w:ascii="Times New Roman" w:hAnsi="Times New Roman" w:eastAsia="宋体" w:cs="Times New Roman"/>
      <w:sz w:val="21"/>
      <w:szCs w:val="21"/>
      <w:lang w:val="en-US" w:eastAsia="en-US" w:bidi="ar-SA"/>
    </w:rPr>
  </w:style>
  <w:style w:type="paragraph" w:customStyle="1" w:styleId="344">
    <w:name w:val="xl62"/>
    <w:basedOn w:val="1"/>
    <w:qFormat/>
    <w:uiPriority w:val="0"/>
    <w:pPr>
      <w:widowControl/>
      <w:spacing w:before="100" w:beforeAutospacing="1" w:after="100" w:afterAutospacing="1"/>
      <w:jc w:val="center"/>
    </w:pPr>
    <w:rPr>
      <w:rFonts w:ascii="Arial" w:hAnsi="Arial" w:eastAsia="Arial Unicode MS" w:cs="Arial"/>
      <w:sz w:val="24"/>
    </w:rPr>
  </w:style>
  <w:style w:type="paragraph" w:customStyle="1" w:styleId="345">
    <w:name w:val="font12"/>
    <w:basedOn w:val="1"/>
    <w:qFormat/>
    <w:uiPriority w:val="0"/>
    <w:pPr>
      <w:widowControl/>
      <w:spacing w:before="100" w:beforeAutospacing="1" w:after="100" w:afterAutospacing="1"/>
      <w:jc w:val="left"/>
    </w:pPr>
    <w:rPr>
      <w:rFonts w:hint="eastAsia" w:ascii="楷体_GB2312" w:hAnsi="Arial Unicode MS" w:eastAsia="楷体_GB2312" w:cs="Arial Unicode MS"/>
      <w:sz w:val="20"/>
      <w:szCs w:val="20"/>
    </w:rPr>
  </w:style>
  <w:style w:type="paragraph" w:customStyle="1" w:styleId="346">
    <w:name w:val="标题1"/>
    <w:basedOn w:val="1"/>
    <w:next w:val="1"/>
    <w:qFormat/>
    <w:uiPriority w:val="0"/>
    <w:pPr>
      <w:spacing w:before="240" w:after="60"/>
      <w:jc w:val="center"/>
      <w:outlineLvl w:val="0"/>
    </w:pPr>
    <w:rPr>
      <w:rFonts w:ascii="Cambria" w:hAnsi="Cambria"/>
      <w:b/>
      <w:bCs/>
      <w:sz w:val="32"/>
      <w:szCs w:val="32"/>
    </w:rPr>
  </w:style>
  <w:style w:type="paragraph" w:customStyle="1" w:styleId="347">
    <w:name w:val="xl69"/>
    <w:basedOn w:val="1"/>
    <w:qFormat/>
    <w:uiPriority w:val="0"/>
    <w:pPr>
      <w:widowControl/>
      <w:pBdr>
        <w:top w:val="single" w:color="000000" w:sz="4" w:space="0"/>
      </w:pBdr>
      <w:spacing w:before="100" w:beforeAutospacing="1" w:after="100" w:afterAutospacing="1"/>
      <w:jc w:val="left"/>
    </w:pPr>
    <w:rPr>
      <w:rFonts w:ascii="Arial" w:hAnsi="Arial" w:eastAsia="Arial Unicode MS" w:cs="Arial"/>
      <w:b/>
      <w:bCs/>
      <w:sz w:val="18"/>
      <w:szCs w:val="18"/>
    </w:rPr>
  </w:style>
  <w:style w:type="paragraph" w:customStyle="1" w:styleId="348">
    <w:name w:val="正文 New"/>
    <w:qFormat/>
    <w:uiPriority w:val="0"/>
    <w:pPr>
      <w:widowControl w:val="0"/>
      <w:jc w:val="both"/>
    </w:pPr>
    <w:rPr>
      <w:rFonts w:hint="default" w:ascii="Calibri" w:hAnsi="Calibri" w:eastAsia="宋体" w:cs="Times New Roman"/>
      <w:sz w:val="21"/>
      <w:lang w:val="en-US" w:eastAsia="zh-CN" w:bidi="ar-SA"/>
    </w:rPr>
  </w:style>
  <w:style w:type="paragraph" w:customStyle="1" w:styleId="349">
    <w:name w:val="xl56"/>
    <w:basedOn w:val="1"/>
    <w:qFormat/>
    <w:uiPriority w:val="0"/>
    <w:pPr>
      <w:widowControl/>
      <w:spacing w:before="100" w:beforeAutospacing="1" w:after="100" w:afterAutospacing="1"/>
      <w:jc w:val="right"/>
    </w:pPr>
    <w:rPr>
      <w:rFonts w:ascii="Arial" w:hAnsi="Arial" w:eastAsia="Arial Unicode MS" w:cs="Arial"/>
      <w:sz w:val="24"/>
    </w:rPr>
  </w:style>
  <w:style w:type="paragraph" w:customStyle="1" w:styleId="350">
    <w:name w:val="纯文本1"/>
    <w:basedOn w:val="1"/>
    <w:next w:val="226"/>
    <w:qFormat/>
    <w:uiPriority w:val="0"/>
    <w:rPr>
      <w:rFonts w:ascii="宋体" w:hAnsi="Courier New"/>
      <w:szCs w:val="22"/>
    </w:rPr>
  </w:style>
  <w:style w:type="paragraph" w:customStyle="1" w:styleId="351">
    <w:name w:val="xl73"/>
    <w:basedOn w:val="1"/>
    <w:qFormat/>
    <w:uiPriority w:val="0"/>
    <w:pPr>
      <w:widowControl/>
      <w:pBdr>
        <w:top w:val="single" w:color="000000" w:sz="4" w:space="0"/>
        <w:left w:val="single" w:color="000000" w:sz="4" w:space="0"/>
      </w:pBdr>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352">
    <w:name w:val="列出段落2"/>
    <w:basedOn w:val="1"/>
    <w:qFormat/>
    <w:uiPriority w:val="34"/>
    <w:pPr>
      <w:ind w:firstLine="420"/>
    </w:pPr>
  </w:style>
  <w:style w:type="paragraph" w:customStyle="1" w:styleId="353">
    <w:name w:val="xl7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54">
    <w:name w:val="目录3"/>
    <w:basedOn w:val="1"/>
    <w:qFormat/>
    <w:uiPriority w:val="0"/>
    <w:pPr>
      <w:widowControl/>
      <w:tabs>
        <w:tab w:val="left" w:leader="dot" w:pos="7370"/>
      </w:tabs>
      <w:spacing w:line="317" w:lineRule="atLeast"/>
      <w:ind w:firstLine="419"/>
    </w:pPr>
    <w:rPr>
      <w:color w:val="000000"/>
      <w:szCs w:val="20"/>
    </w:rPr>
  </w:style>
  <w:style w:type="paragraph" w:customStyle="1" w:styleId="355">
    <w:name w:val="xl44"/>
    <w:basedOn w:val="1"/>
    <w:qFormat/>
    <w:uiPriority w:val="0"/>
    <w:pPr>
      <w:widowControl/>
      <w:pBdr>
        <w:left w:val="single" w:color="000000" w:sz="4" w:space="0"/>
      </w:pBdr>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356">
    <w:name w:val="xl47"/>
    <w:basedOn w:val="1"/>
    <w:qFormat/>
    <w:uiPriority w:val="0"/>
    <w:pPr>
      <w:widowControl/>
      <w:pBdr>
        <w:left w:val="single" w:color="000000" w:sz="4" w:space="0"/>
        <w:bottom w:val="single" w:color="000000" w:sz="4" w:space="0"/>
      </w:pBdr>
      <w:spacing w:before="100" w:beforeAutospacing="1" w:after="100" w:afterAutospacing="1"/>
      <w:jc w:val="center"/>
    </w:pPr>
    <w:rPr>
      <w:rFonts w:ascii="Arial" w:hAnsi="Arial" w:eastAsia="Arial Unicode MS" w:cs="Arial"/>
      <w:b/>
      <w:bCs/>
      <w:sz w:val="16"/>
      <w:szCs w:val="16"/>
    </w:rPr>
  </w:style>
  <w:style w:type="paragraph" w:customStyle="1" w:styleId="357">
    <w:name w:val="列出段落"/>
    <w:basedOn w:val="1"/>
    <w:qFormat/>
    <w:uiPriority w:val="34"/>
    <w:pPr>
      <w:ind w:firstLine="420"/>
    </w:pPr>
    <w:rPr>
      <w:rFonts w:ascii="Calibri" w:hAnsi="Calibri"/>
    </w:rPr>
  </w:style>
  <w:style w:type="paragraph" w:customStyle="1" w:styleId="358">
    <w:name w:val="xl49"/>
    <w:basedOn w:val="1"/>
    <w:qFormat/>
    <w:uiPriority w:val="0"/>
    <w:pPr>
      <w:widowControl/>
      <w:pBdr>
        <w:left w:val="single" w:color="000000" w:sz="4" w:space="0"/>
        <w:bottom w:val="single" w:color="000000" w:sz="4" w:space="0"/>
      </w:pBdr>
      <w:spacing w:before="100" w:beforeAutospacing="1" w:after="100" w:afterAutospacing="1"/>
      <w:jc w:val="center"/>
    </w:pPr>
    <w:rPr>
      <w:rFonts w:ascii="Arial" w:hAnsi="Arial" w:eastAsia="Arial Unicode MS" w:cs="Arial"/>
      <w:b/>
      <w:bCs/>
      <w:sz w:val="16"/>
      <w:szCs w:val="16"/>
    </w:rPr>
  </w:style>
  <w:style w:type="paragraph" w:customStyle="1" w:styleId="359">
    <w:name w:val="xl34"/>
    <w:basedOn w:val="1"/>
    <w:qFormat/>
    <w:uiPriority w:val="0"/>
    <w:pPr>
      <w:widowControl/>
      <w:pBdr>
        <w:left w:val="single" w:color="000000" w:sz="4" w:space="0"/>
        <w:right w:val="single" w:color="000000" w:sz="4" w:space="0"/>
      </w:pBdr>
      <w:spacing w:before="100" w:beforeAutospacing="1" w:after="100" w:afterAutospacing="1"/>
      <w:jc w:val="left"/>
    </w:pPr>
    <w:rPr>
      <w:rFonts w:ascii="Arial" w:hAnsi="Arial" w:eastAsia="Arial Unicode MS" w:cs="Arial"/>
      <w:sz w:val="18"/>
      <w:szCs w:val="18"/>
    </w:rPr>
  </w:style>
  <w:style w:type="paragraph" w:customStyle="1" w:styleId="360">
    <w:name w:val="目录标题"/>
    <w:basedOn w:val="1"/>
    <w:qFormat/>
    <w:uiPriority w:val="0"/>
    <w:pPr>
      <w:widowControl/>
      <w:spacing w:before="566" w:after="544" w:line="566" w:lineRule="atLeast"/>
      <w:ind w:firstLine="419"/>
      <w:jc w:val="center"/>
    </w:pPr>
    <w:rPr>
      <w:rFonts w:ascii="Arial" w:eastAsia="黑体"/>
      <w:color w:val="000000"/>
      <w:spacing w:val="566"/>
      <w:sz w:val="54"/>
      <w:szCs w:val="20"/>
    </w:rPr>
  </w:style>
  <w:style w:type="paragraph" w:customStyle="1" w:styleId="361">
    <w:name w:val="xl39"/>
    <w:basedOn w:val="1"/>
    <w:qFormat/>
    <w:uiPriority w:val="0"/>
    <w:pPr>
      <w:widowControl/>
      <w:pBdr>
        <w:top w:val="single" w:color="000000" w:sz="4" w:space="0"/>
        <w:right w:val="single" w:color="000000" w:sz="4" w:space="0"/>
      </w:pBdr>
      <w:spacing w:before="100" w:beforeAutospacing="1" w:after="100" w:afterAutospacing="1"/>
      <w:jc w:val="center"/>
    </w:pPr>
    <w:rPr>
      <w:rFonts w:ascii="Arial" w:hAnsi="Arial" w:eastAsia="Arial Unicode MS" w:cs="Arial"/>
      <w:b/>
      <w:bCs/>
      <w:sz w:val="16"/>
      <w:szCs w:val="16"/>
    </w:rPr>
  </w:style>
  <w:style w:type="paragraph" w:customStyle="1" w:styleId="362">
    <w:name w:val="节标题"/>
    <w:basedOn w:val="1"/>
    <w:qFormat/>
    <w:uiPriority w:val="0"/>
    <w:pPr>
      <w:widowControl/>
      <w:spacing w:line="289" w:lineRule="atLeast"/>
      <w:jc w:val="center"/>
    </w:pPr>
    <w:rPr>
      <w:color w:val="000000"/>
      <w:sz w:val="28"/>
      <w:szCs w:val="20"/>
    </w:rPr>
  </w:style>
  <w:style w:type="paragraph" w:customStyle="1" w:styleId="363">
    <w:name w:val="xl5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w:hAnsi="Arial" w:eastAsia="Arial Unicode MS" w:cs="Arial"/>
      <w:sz w:val="18"/>
      <w:szCs w:val="18"/>
    </w:rPr>
  </w:style>
  <w:style w:type="paragraph" w:customStyle="1" w:styleId="364">
    <w:name w:val="xl32"/>
    <w:basedOn w:val="1"/>
    <w:qFormat/>
    <w:uiPriority w:val="0"/>
    <w:pPr>
      <w:widowControl/>
      <w:pBdr>
        <w:left w:val="single" w:color="000000" w:sz="4" w:space="0"/>
        <w:right w:val="single" w:color="000000" w:sz="4" w:space="0"/>
      </w:pBdr>
      <w:spacing w:before="100" w:beforeAutospacing="1" w:after="100" w:afterAutospacing="1"/>
      <w:jc w:val="center"/>
    </w:pPr>
    <w:rPr>
      <w:rFonts w:ascii="Arial" w:hAnsi="Arial" w:eastAsia="Arial Unicode MS" w:cs="Arial"/>
      <w:sz w:val="18"/>
      <w:szCs w:val="18"/>
    </w:rPr>
  </w:style>
  <w:style w:type="paragraph" w:customStyle="1" w:styleId="365">
    <w:name w:val="Char Char1 Char Char Char2"/>
    <w:basedOn w:val="1"/>
    <w:qFormat/>
    <w:uiPriority w:val="0"/>
    <w:rPr>
      <w:szCs w:val="20"/>
    </w:rPr>
  </w:style>
  <w:style w:type="paragraph" w:customStyle="1" w:styleId="366">
    <w:name w:val="标题 41"/>
    <w:basedOn w:val="1"/>
    <w:next w:val="367"/>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367">
    <w:name w:val="正文缩进1"/>
    <w:basedOn w:val="1"/>
    <w:qFormat/>
    <w:uiPriority w:val="0"/>
    <w:pPr>
      <w:ind w:firstLine="420"/>
    </w:pPr>
  </w:style>
  <w:style w:type="paragraph" w:customStyle="1" w:styleId="368">
    <w:name w:val="Char"/>
    <w:basedOn w:val="1"/>
    <w:qFormat/>
    <w:uiPriority w:val="0"/>
    <w:pPr>
      <w:keepNext/>
      <w:keepLines/>
      <w:pageBreakBefore/>
      <w:tabs>
        <w:tab w:val="left" w:pos="360"/>
      </w:tabs>
      <w:ind w:left="360" w:hanging="360"/>
    </w:pPr>
    <w:rPr>
      <w:sz w:val="22"/>
    </w:rPr>
  </w:style>
  <w:style w:type="paragraph" w:customStyle="1" w:styleId="369">
    <w:name w:val="xl45"/>
    <w:basedOn w:val="1"/>
    <w:qFormat/>
    <w:uiPriority w:val="0"/>
    <w:pPr>
      <w:widowControl/>
      <w:pBdr>
        <w:left w:val="single" w:color="000000" w:sz="4" w:space="0"/>
        <w:right w:val="single" w:color="000000" w:sz="4" w:space="0"/>
      </w:pBdr>
      <w:spacing w:before="100" w:beforeAutospacing="1" w:after="100" w:afterAutospacing="1"/>
      <w:jc w:val="left"/>
    </w:pPr>
    <w:rPr>
      <w:rFonts w:hint="eastAsia" w:ascii="宋体" w:hAnsi="宋体" w:cs="Arial Unicode MS"/>
      <w:sz w:val="18"/>
      <w:szCs w:val="18"/>
    </w:rPr>
  </w:style>
  <w:style w:type="paragraph" w:customStyle="1" w:styleId="370">
    <w:name w:val="xl5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w:hAnsi="Arial" w:eastAsia="Arial Unicode MS" w:cs="Arial"/>
      <w:sz w:val="18"/>
      <w:szCs w:val="18"/>
    </w:rPr>
  </w:style>
  <w:style w:type="paragraph" w:customStyle="1" w:styleId="371">
    <w:name w:val="题目项目"/>
    <w:basedOn w:val="1"/>
    <w:qFormat/>
    <w:uiPriority w:val="0"/>
    <w:pPr>
      <w:numPr>
        <w:ilvl w:val="0"/>
        <w:numId w:val="3"/>
      </w:numPr>
    </w:pPr>
  </w:style>
  <w:style w:type="paragraph" w:customStyle="1" w:styleId="372">
    <w:name w:val="xl5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Arial" w:hAnsi="Arial" w:eastAsia="Arial Unicode MS" w:cs="Arial"/>
      <w:sz w:val="18"/>
      <w:szCs w:val="18"/>
    </w:rPr>
  </w:style>
  <w:style w:type="paragraph" w:customStyle="1" w:styleId="373">
    <w:name w:val="xl4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b/>
      <w:bCs/>
      <w:sz w:val="16"/>
      <w:szCs w:val="16"/>
    </w:rPr>
  </w:style>
  <w:style w:type="paragraph" w:customStyle="1" w:styleId="374">
    <w:name w:val="p0"/>
    <w:basedOn w:val="1"/>
    <w:qFormat/>
    <w:uiPriority w:val="99"/>
    <w:pPr>
      <w:widowControl/>
    </w:pPr>
    <w:rPr>
      <w:rFonts w:ascii="Calibri" w:hAnsi="Calibri"/>
      <w:szCs w:val="21"/>
    </w:rPr>
  </w:style>
  <w:style w:type="paragraph" w:customStyle="1" w:styleId="375">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font9"/>
    <w:basedOn w:val="1"/>
    <w:qFormat/>
    <w:uiPriority w:val="0"/>
    <w:pPr>
      <w:widowControl/>
      <w:spacing w:before="100" w:beforeAutospacing="1" w:after="100" w:afterAutospacing="1"/>
      <w:jc w:val="left"/>
    </w:pPr>
    <w:rPr>
      <w:rFonts w:hint="eastAsia" w:ascii="楷体_GB2312" w:hAnsi="Arial Unicode MS" w:eastAsia="楷体_GB2312" w:cs="Arial Unicode MS"/>
      <w:sz w:val="18"/>
      <w:szCs w:val="18"/>
    </w:rPr>
  </w:style>
  <w:style w:type="paragraph" w:customStyle="1" w:styleId="377">
    <w:name w:val="font6"/>
    <w:basedOn w:val="1"/>
    <w:qFormat/>
    <w:uiPriority w:val="0"/>
    <w:pPr>
      <w:widowControl/>
      <w:spacing w:before="100" w:beforeAutospacing="1" w:after="100" w:afterAutospacing="1"/>
      <w:jc w:val="left"/>
    </w:pPr>
    <w:rPr>
      <w:rFonts w:ascii="Arial" w:hAnsi="Arial" w:eastAsia="Arial Unicode MS" w:cs="Arial"/>
      <w:sz w:val="18"/>
      <w:szCs w:val="18"/>
    </w:rPr>
  </w:style>
  <w:style w:type="paragraph" w:customStyle="1" w:styleId="378">
    <w:name w:val="默认段落字体 Para Char"/>
    <w:basedOn w:val="1"/>
    <w:qFormat/>
    <w:uiPriority w:val="0"/>
    <w:pPr>
      <w:spacing w:line="360" w:lineRule="auto"/>
    </w:pPr>
    <w:rPr>
      <w:sz w:val="24"/>
      <w:szCs w:val="20"/>
    </w:rPr>
  </w:style>
  <w:style w:type="paragraph" w:customStyle="1" w:styleId="379">
    <w:name w:val="xl59"/>
    <w:basedOn w:val="1"/>
    <w:qFormat/>
    <w:uiPriority w:val="0"/>
    <w:pPr>
      <w:widowControl/>
      <w:pBdr>
        <w:top w:val="single" w:color="000000" w:sz="8" w:space="0"/>
      </w:pBdr>
      <w:spacing w:before="100" w:beforeAutospacing="1" w:after="100" w:afterAutospacing="1"/>
      <w:jc w:val="left"/>
    </w:pPr>
    <w:rPr>
      <w:rFonts w:hint="eastAsia" w:ascii="宋体" w:hAnsi="宋体" w:cs="Arial Unicode MS"/>
      <w:sz w:val="24"/>
    </w:rPr>
  </w:style>
  <w:style w:type="paragraph" w:customStyle="1" w:styleId="380">
    <w:name w:val="font7"/>
    <w:basedOn w:val="1"/>
    <w:qFormat/>
    <w:uiPriority w:val="0"/>
    <w:pPr>
      <w:widowControl/>
      <w:spacing w:before="100" w:beforeAutospacing="1" w:after="100" w:afterAutospacing="1"/>
      <w:jc w:val="left"/>
    </w:pPr>
    <w:rPr>
      <w:rFonts w:hint="eastAsia" w:ascii="宋体" w:hAnsi="宋体" w:cs="Arial Unicode MS"/>
      <w:sz w:val="18"/>
      <w:szCs w:val="18"/>
    </w:rPr>
  </w:style>
  <w:style w:type="paragraph" w:customStyle="1" w:styleId="381">
    <w:name w:val="xl74"/>
    <w:basedOn w:val="1"/>
    <w:qFormat/>
    <w:uiPriority w:val="0"/>
    <w:pPr>
      <w:widowControl/>
      <w:pBdr>
        <w:top w:val="single" w:color="000000" w:sz="4" w:space="0"/>
      </w:pBdr>
      <w:spacing w:before="100" w:beforeAutospacing="1" w:after="100" w:afterAutospacing="1"/>
      <w:jc w:val="left"/>
    </w:pPr>
    <w:rPr>
      <w:rFonts w:ascii="Arial" w:hAnsi="Arial" w:eastAsia="Arial Unicode MS" w:cs="Arial"/>
      <w:b/>
      <w:bCs/>
      <w:sz w:val="18"/>
      <w:szCs w:val="18"/>
    </w:rPr>
  </w:style>
  <w:style w:type="paragraph" w:customStyle="1" w:styleId="382">
    <w:name w:val="xl36"/>
    <w:basedOn w:val="1"/>
    <w:qFormat/>
    <w:uiPriority w:val="0"/>
    <w:pPr>
      <w:widowControl/>
      <w:pBdr>
        <w:left w:val="single" w:color="000000" w:sz="4" w:space="0"/>
        <w:right w:val="single" w:color="000000" w:sz="4" w:space="0"/>
      </w:pBdr>
      <w:spacing w:before="100" w:beforeAutospacing="1" w:after="100" w:afterAutospacing="1"/>
      <w:jc w:val="left"/>
    </w:pPr>
    <w:rPr>
      <w:rFonts w:ascii="Arial" w:hAnsi="Arial" w:eastAsia="Arial Unicode MS" w:cs="Arial"/>
      <w:sz w:val="18"/>
      <w:szCs w:val="18"/>
    </w:rPr>
  </w:style>
  <w:style w:type="paragraph" w:customStyle="1" w:styleId="383">
    <w:name w:val="xl65"/>
    <w:basedOn w:val="1"/>
    <w:qFormat/>
    <w:uiPriority w:val="0"/>
    <w:pPr>
      <w:widowControl/>
      <w:pBdr>
        <w:left w:val="single" w:color="000000" w:sz="4" w:space="0"/>
        <w:bottom w:val="single" w:color="000000" w:sz="4" w:space="0"/>
      </w:pBdr>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384">
    <w:name w:val="TOC 标题"/>
    <w:basedOn w:val="190"/>
    <w:next w:val="1"/>
    <w:qFormat/>
    <w:uiPriority w:val="39"/>
    <w:pPr>
      <w:keepLines/>
      <w:widowControl/>
      <w:spacing w:before="480" w:line="276" w:lineRule="auto"/>
      <w:jc w:val="left"/>
      <w:outlineLvl w:val="9"/>
    </w:pPr>
    <w:rPr>
      <w:rFonts w:ascii="Cambria" w:hAnsi="Cambria" w:eastAsia="宋体" w:cs="Times New Roman"/>
      <w:b/>
      <w:bCs/>
      <w:color w:val="365F91"/>
      <w:szCs w:val="28"/>
    </w:rPr>
  </w:style>
  <w:style w:type="paragraph" w:styleId="385">
    <w:name w:val="List Paragraph"/>
    <w:basedOn w:val="1"/>
    <w:qFormat/>
    <w:uiPriority w:val="34"/>
    <w:pPr>
      <w:ind w:firstLine="420"/>
    </w:pPr>
  </w:style>
  <w:style w:type="paragraph" w:customStyle="1" w:styleId="386">
    <w:name w:val="xl42"/>
    <w:basedOn w:val="1"/>
    <w:qFormat/>
    <w:uiPriority w:val="0"/>
    <w:pPr>
      <w:widowControl/>
      <w:spacing w:before="100" w:beforeAutospacing="1" w:after="100" w:afterAutospacing="1"/>
      <w:jc w:val="left"/>
    </w:pPr>
    <w:rPr>
      <w:rFonts w:hint="eastAsia" w:ascii="楷体_GB2312" w:hAnsi="Arial Unicode MS" w:eastAsia="楷体_GB2312" w:cs="Arial Unicode MS"/>
      <w:sz w:val="24"/>
    </w:rPr>
  </w:style>
  <w:style w:type="paragraph" w:customStyle="1" w:styleId="387">
    <w:name w:val="目录2"/>
    <w:basedOn w:val="1"/>
    <w:qFormat/>
    <w:uiPriority w:val="0"/>
    <w:pPr>
      <w:widowControl/>
      <w:tabs>
        <w:tab w:val="left" w:leader="dot" w:pos="7370"/>
      </w:tabs>
      <w:spacing w:line="317" w:lineRule="atLeast"/>
      <w:ind w:firstLine="209"/>
    </w:pPr>
    <w:rPr>
      <w:color w:val="000000"/>
      <w:szCs w:val="20"/>
    </w:rPr>
  </w:style>
  <w:style w:type="paragraph" w:customStyle="1" w:styleId="388">
    <w:name w:val="xl37"/>
    <w:basedOn w:val="1"/>
    <w:qFormat/>
    <w:uiPriority w:val="0"/>
    <w:pPr>
      <w:widowControl/>
      <w:pBdr>
        <w:left w:val="single" w:color="000000" w:sz="4" w:space="0"/>
      </w:pBdr>
      <w:spacing w:before="100" w:beforeAutospacing="1" w:after="100" w:afterAutospacing="1"/>
      <w:jc w:val="center"/>
    </w:pPr>
    <w:rPr>
      <w:rFonts w:ascii="Arial" w:hAnsi="Arial" w:eastAsia="Arial Unicode MS" w:cs="Arial"/>
      <w:b/>
      <w:bCs/>
      <w:sz w:val="16"/>
      <w:szCs w:val="16"/>
    </w:rPr>
  </w:style>
  <w:style w:type="paragraph" w:customStyle="1" w:styleId="389">
    <w:name w:val="Char Char1 Char Char Char1"/>
    <w:basedOn w:val="1"/>
    <w:qFormat/>
    <w:uiPriority w:val="0"/>
    <w:rPr>
      <w:szCs w:val="20"/>
    </w:rPr>
  </w:style>
  <w:style w:type="paragraph" w:customStyle="1" w:styleId="390">
    <w:name w:val="标题 31"/>
    <w:basedOn w:val="1"/>
    <w:next w:val="367"/>
    <w:qFormat/>
    <w:uiPriority w:val="0"/>
    <w:pPr>
      <w:keepNext/>
      <w:keepLines/>
      <w:spacing w:before="260" w:after="260" w:line="416" w:lineRule="auto"/>
      <w:outlineLvl w:val="2"/>
    </w:pPr>
    <w:rPr>
      <w:b/>
      <w:bCs/>
      <w:sz w:val="32"/>
      <w:szCs w:val="32"/>
    </w:rPr>
  </w:style>
  <w:style w:type="paragraph" w:customStyle="1" w:styleId="391">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92">
    <w:name w:val="文章附标题"/>
    <w:basedOn w:val="1"/>
    <w:qFormat/>
    <w:uiPriority w:val="0"/>
    <w:pPr>
      <w:widowControl/>
      <w:spacing w:before="187" w:after="175" w:line="374" w:lineRule="atLeast"/>
      <w:jc w:val="center"/>
    </w:pPr>
    <w:rPr>
      <w:color w:val="000000"/>
      <w:sz w:val="36"/>
      <w:szCs w:val="20"/>
    </w:rPr>
  </w:style>
  <w:style w:type="paragraph" w:customStyle="1" w:styleId="393">
    <w:name w:val="xl60"/>
    <w:basedOn w:val="1"/>
    <w:qFormat/>
    <w:uiPriority w:val="0"/>
    <w:pPr>
      <w:widowControl/>
      <w:pBdr>
        <w:top w:val="single" w:color="000000" w:sz="8" w:space="0"/>
        <w:right w:val="single" w:color="000000" w:sz="8" w:space="0"/>
      </w:pBdr>
      <w:spacing w:before="100" w:beforeAutospacing="1" w:after="100" w:afterAutospacing="1"/>
      <w:jc w:val="left"/>
    </w:pPr>
    <w:rPr>
      <w:rFonts w:ascii="Arial" w:hAnsi="Arial" w:eastAsia="Arial Unicode MS" w:cs="Arial"/>
      <w:sz w:val="24"/>
    </w:rPr>
  </w:style>
  <w:style w:type="paragraph" w:customStyle="1" w:styleId="394">
    <w:name w:val="xl40"/>
    <w:basedOn w:val="1"/>
    <w:qFormat/>
    <w:uiPriority w:val="0"/>
    <w:pPr>
      <w:widowControl/>
      <w:spacing w:before="100" w:beforeAutospacing="1" w:after="100" w:afterAutospacing="1"/>
      <w:jc w:val="left"/>
    </w:pPr>
    <w:rPr>
      <w:rFonts w:ascii="Arial" w:hAnsi="Arial" w:eastAsia="Arial Unicode MS" w:cs="Arial"/>
      <w:b/>
      <w:bCs/>
      <w:sz w:val="18"/>
      <w:szCs w:val="18"/>
    </w:rPr>
  </w:style>
  <w:style w:type="paragraph" w:customStyle="1" w:styleId="395">
    <w:name w:val="xl68"/>
    <w:basedOn w:val="1"/>
    <w:qFormat/>
    <w:uiPriority w:val="0"/>
    <w:pPr>
      <w:widowControl/>
      <w:pBdr>
        <w:top w:val="single" w:color="000000" w:sz="4" w:space="0"/>
        <w:left w:val="single" w:color="000000" w:sz="4" w:space="0"/>
      </w:pBdr>
      <w:spacing w:before="100" w:beforeAutospacing="1" w:after="100" w:afterAutospacing="1"/>
      <w:jc w:val="left"/>
    </w:pPr>
    <w:rPr>
      <w:rFonts w:hint="eastAsia" w:ascii="楷体_GB2312" w:hAnsi="Arial Unicode MS" w:eastAsia="楷体_GB2312" w:cs="Arial Unicode MS"/>
      <w:b/>
      <w:bCs/>
      <w:sz w:val="18"/>
      <w:szCs w:val="18"/>
    </w:rPr>
  </w:style>
  <w:style w:type="paragraph" w:customStyle="1" w:styleId="396">
    <w:name w:val="目录1"/>
    <w:basedOn w:val="1"/>
    <w:qFormat/>
    <w:uiPriority w:val="0"/>
    <w:pPr>
      <w:widowControl/>
      <w:tabs>
        <w:tab w:val="left" w:leader="dot" w:pos="8503"/>
      </w:tabs>
      <w:spacing w:after="136" w:line="289" w:lineRule="atLeast"/>
      <w:jc w:val="left"/>
    </w:pPr>
    <w:rPr>
      <w:rFonts w:ascii="Arial" w:eastAsia="黑体"/>
      <w:color w:val="000000"/>
      <w:sz w:val="28"/>
      <w:szCs w:val="20"/>
    </w:rPr>
  </w:style>
  <w:style w:type="paragraph" w:customStyle="1" w:styleId="397">
    <w:name w:val="NAP Normal"/>
    <w:basedOn w:val="1"/>
    <w:qFormat/>
    <w:uiPriority w:val="0"/>
    <w:pPr>
      <w:spacing w:line="240" w:lineRule="exact"/>
    </w:pPr>
    <w:rPr>
      <w:sz w:val="22"/>
      <w:szCs w:val="22"/>
    </w:rPr>
  </w:style>
  <w:style w:type="paragraph" w:customStyle="1" w:styleId="398">
    <w:name w:val="xl30"/>
    <w:basedOn w:val="1"/>
    <w:qFormat/>
    <w:uiPriority w:val="0"/>
    <w:pPr>
      <w:widowControl/>
      <w:spacing w:before="100" w:beforeAutospacing="1" w:after="100" w:afterAutospacing="1"/>
      <w:jc w:val="left"/>
    </w:pPr>
    <w:rPr>
      <w:rFonts w:ascii="Arial" w:hAnsi="Arial" w:eastAsia="Arial Unicode MS" w:cs="Arial"/>
      <w:sz w:val="18"/>
      <w:szCs w:val="18"/>
    </w:rPr>
  </w:style>
  <w:style w:type="paragraph" w:customStyle="1" w:styleId="399">
    <w:name w:val="批注主题1"/>
    <w:basedOn w:val="215"/>
    <w:next w:val="215"/>
    <w:qFormat/>
    <w:uiPriority w:val="0"/>
    <w:rPr>
      <w:rFonts w:ascii="Calibri" w:hAnsi="Calibri" w:eastAsia="宋体" w:cs="Times New Roman"/>
      <w:b/>
      <w:bCs/>
      <w:lang w:val="en-US" w:eastAsia="zh-CN"/>
    </w:rPr>
  </w:style>
  <w:style w:type="paragraph" w:customStyle="1" w:styleId="400">
    <w:name w:val="小节标题"/>
    <w:basedOn w:val="1"/>
    <w:qFormat/>
    <w:uiPriority w:val="0"/>
    <w:pPr>
      <w:widowControl/>
      <w:spacing w:before="175" w:after="102" w:line="351" w:lineRule="atLeast"/>
    </w:pPr>
    <w:rPr>
      <w:rFonts w:eastAsia="黑体"/>
      <w:color w:val="000000"/>
      <w:szCs w:val="20"/>
    </w:rPr>
  </w:style>
  <w:style w:type="paragraph" w:customStyle="1" w:styleId="401">
    <w:name w:val="xl61"/>
    <w:basedOn w:val="1"/>
    <w:qFormat/>
    <w:uiPriority w:val="0"/>
    <w:pPr>
      <w:widowControl/>
      <w:pBdr>
        <w:left w:val="single" w:color="000000" w:sz="8" w:space="0"/>
      </w:pBdr>
      <w:spacing w:before="100" w:beforeAutospacing="1" w:after="100" w:afterAutospacing="1"/>
      <w:jc w:val="center"/>
    </w:pPr>
    <w:rPr>
      <w:rFonts w:ascii="Arial" w:hAnsi="Arial" w:eastAsia="Arial Unicode MS" w:cs="Arial"/>
      <w:sz w:val="24"/>
    </w:rPr>
  </w:style>
  <w:style w:type="paragraph" w:customStyle="1" w:styleId="402">
    <w:name w:val="xl67"/>
    <w:basedOn w:val="1"/>
    <w:qFormat/>
    <w:uiPriority w:val="0"/>
    <w:pPr>
      <w:widowControl/>
      <w:pBdr>
        <w:bottom w:val="single" w:color="000000" w:sz="4" w:space="0"/>
        <w:right w:val="single" w:color="000000" w:sz="4" w:space="0"/>
      </w:pBdr>
      <w:spacing w:before="100" w:beforeAutospacing="1" w:after="100" w:afterAutospacing="1"/>
      <w:jc w:val="left"/>
    </w:pPr>
    <w:rPr>
      <w:rFonts w:ascii="Arial" w:hAnsi="Arial" w:eastAsia="Arial Unicode MS" w:cs="Arial"/>
      <w:b/>
      <w:bCs/>
      <w:sz w:val="18"/>
      <w:szCs w:val="18"/>
    </w:rPr>
  </w:style>
  <w:style w:type="paragraph" w:customStyle="1" w:styleId="403">
    <w:name w:val="xl33"/>
    <w:basedOn w:val="1"/>
    <w:qFormat/>
    <w:uiPriority w:val="0"/>
    <w:pPr>
      <w:widowControl/>
      <w:pBdr>
        <w:left w:val="single" w:color="000000" w:sz="4" w:space="0"/>
      </w:pBdr>
      <w:spacing w:before="100" w:beforeAutospacing="1" w:after="100" w:afterAutospacing="1"/>
      <w:jc w:val="right"/>
    </w:pPr>
    <w:rPr>
      <w:rFonts w:ascii="Arial" w:hAnsi="Arial" w:eastAsia="Arial Unicode MS" w:cs="Arial"/>
      <w:sz w:val="18"/>
      <w:szCs w:val="18"/>
    </w:rPr>
  </w:style>
  <w:style w:type="paragraph" w:customStyle="1" w:styleId="404">
    <w:name w:val="HTML 预设格式2"/>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405">
    <w:name w:val="xl63"/>
    <w:basedOn w:val="1"/>
    <w:qFormat/>
    <w:uiPriority w:val="0"/>
    <w:pPr>
      <w:widowControl/>
      <w:spacing w:before="100" w:beforeAutospacing="1" w:after="100" w:afterAutospacing="1"/>
      <w:jc w:val="left"/>
    </w:pPr>
    <w:rPr>
      <w:rFonts w:hint="eastAsia" w:ascii="宋体" w:hAnsi="宋体" w:cs="Arial Unicode MS"/>
      <w:sz w:val="24"/>
    </w:rPr>
  </w:style>
  <w:style w:type="paragraph" w:customStyle="1" w:styleId="406">
    <w:name w:val="xl43"/>
    <w:basedOn w:val="1"/>
    <w:qFormat/>
    <w:uiPriority w:val="0"/>
    <w:pPr>
      <w:widowControl/>
      <w:pBdr>
        <w:right w:val="single" w:color="000000" w:sz="4" w:space="0"/>
      </w:pBdr>
      <w:spacing w:before="100" w:beforeAutospacing="1" w:after="100" w:afterAutospacing="1"/>
      <w:jc w:val="left"/>
    </w:pPr>
    <w:rPr>
      <w:rFonts w:ascii="Arial" w:hAnsi="Arial" w:eastAsia="Arial Unicode MS" w:cs="Arial"/>
      <w:b/>
      <w:bCs/>
      <w:sz w:val="18"/>
      <w:szCs w:val="18"/>
    </w:rPr>
  </w:style>
  <w:style w:type="paragraph" w:customStyle="1" w:styleId="407">
    <w:name w:val="xl35"/>
    <w:basedOn w:val="1"/>
    <w:qFormat/>
    <w:uiPriority w:val="0"/>
    <w:pPr>
      <w:widowControl/>
      <w:spacing w:before="100" w:beforeAutospacing="1" w:after="100" w:afterAutospacing="1"/>
      <w:jc w:val="left"/>
    </w:pPr>
    <w:rPr>
      <w:rFonts w:hint="eastAsia" w:ascii="楷体_GB2312" w:hAnsi="Arial Unicode MS" w:eastAsia="楷体_GB2312" w:cs="Arial Unicode MS"/>
      <w:sz w:val="18"/>
      <w:szCs w:val="18"/>
    </w:rPr>
  </w:style>
  <w:style w:type="paragraph" w:customStyle="1" w:styleId="408">
    <w:name w:val="HTML 预设格式1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微软雅黑"/>
      <w:sz w:val="24"/>
    </w:rPr>
  </w:style>
  <w:style w:type="paragraph" w:customStyle="1" w:styleId="409">
    <w:name w:val="副标题1"/>
    <w:basedOn w:val="1"/>
    <w:next w:val="1"/>
    <w:qFormat/>
    <w:uiPriority w:val="0"/>
    <w:pPr>
      <w:spacing w:before="240" w:after="60" w:line="312" w:lineRule="auto"/>
      <w:jc w:val="center"/>
      <w:outlineLvl w:val="1"/>
    </w:pPr>
    <w:rPr>
      <w:rFonts w:ascii="Cambria" w:hAnsi="Cambria"/>
      <w:b/>
      <w:bCs/>
      <w:sz w:val="32"/>
      <w:szCs w:val="32"/>
    </w:rPr>
  </w:style>
  <w:style w:type="paragraph" w:customStyle="1" w:styleId="410">
    <w:name w:val="目录4"/>
    <w:basedOn w:val="1"/>
    <w:qFormat/>
    <w:uiPriority w:val="0"/>
    <w:pPr>
      <w:widowControl/>
      <w:tabs>
        <w:tab w:val="left" w:leader="dot" w:pos="7370"/>
      </w:tabs>
      <w:spacing w:line="317" w:lineRule="atLeast"/>
      <w:ind w:firstLine="629"/>
    </w:pPr>
    <w:rPr>
      <w:color w:val="000000"/>
      <w:szCs w:val="20"/>
    </w:rPr>
  </w:style>
  <w:style w:type="paragraph" w:customStyle="1" w:styleId="411">
    <w:name w:val="TOC 标题1"/>
    <w:basedOn w:val="190"/>
    <w:next w:val="1"/>
    <w:qFormat/>
    <w:uiPriority w:val="39"/>
    <w:pPr>
      <w:keepLines/>
      <w:widowControl/>
      <w:numPr>
        <w:ilvl w:val="0"/>
        <w:numId w:val="0"/>
      </w:numPr>
      <w:tabs>
        <w:tab w:val="clear" w:pos="360"/>
      </w:tabs>
      <w:spacing w:before="480" w:line="276" w:lineRule="auto"/>
      <w:jc w:val="left"/>
      <w:outlineLvl w:val="9"/>
    </w:pPr>
    <w:rPr>
      <w:rFonts w:ascii="Cambria" w:hAnsi="Cambria" w:eastAsia="宋体"/>
      <w:b/>
      <w:bCs/>
      <w:color w:val="365F91"/>
      <w:sz w:val="36"/>
      <w:szCs w:val="28"/>
    </w:rPr>
  </w:style>
  <w:style w:type="paragraph" w:customStyle="1" w:styleId="412">
    <w:name w:val="xl41"/>
    <w:basedOn w:val="1"/>
    <w:qFormat/>
    <w:uiPriority w:val="0"/>
    <w:pPr>
      <w:widowControl/>
      <w:pBdr>
        <w:right w:val="single" w:color="000000" w:sz="4" w:space="0"/>
      </w:pBdr>
      <w:spacing w:before="100" w:beforeAutospacing="1" w:after="100" w:afterAutospacing="1"/>
      <w:jc w:val="left"/>
    </w:pPr>
    <w:rPr>
      <w:rFonts w:ascii="Arial" w:hAnsi="Arial" w:eastAsia="Arial Unicode MS" w:cs="Arial"/>
      <w:sz w:val="18"/>
      <w:szCs w:val="18"/>
    </w:rPr>
  </w:style>
  <w:style w:type="paragraph" w:customStyle="1" w:styleId="413">
    <w:name w:val="xl64"/>
    <w:basedOn w:val="1"/>
    <w:qFormat/>
    <w:uiPriority w:val="0"/>
    <w:pPr>
      <w:widowControl/>
      <w:pBdr>
        <w:right w:val="single" w:color="000000" w:sz="8" w:space="0"/>
      </w:pBdr>
      <w:spacing w:before="100" w:beforeAutospacing="1" w:after="100" w:afterAutospacing="1"/>
      <w:jc w:val="right"/>
    </w:pPr>
    <w:rPr>
      <w:rFonts w:ascii="Arial" w:hAnsi="Arial" w:eastAsia="Arial Unicode MS" w:cs="Arial"/>
      <w:sz w:val="24"/>
    </w:rPr>
  </w:style>
  <w:style w:type="paragraph" w:customStyle="1" w:styleId="414">
    <w:name w:val="font13"/>
    <w:basedOn w:val="1"/>
    <w:qFormat/>
    <w:uiPriority w:val="0"/>
    <w:pPr>
      <w:widowControl/>
      <w:spacing w:before="100" w:beforeAutospacing="1" w:after="100" w:afterAutospacing="1"/>
      <w:jc w:val="left"/>
    </w:pPr>
    <w:rPr>
      <w:rFonts w:hint="eastAsia" w:ascii="宋体" w:hAnsi="宋体" w:cs="Arial Unicode MS"/>
      <w:sz w:val="20"/>
      <w:szCs w:val="20"/>
    </w:rPr>
  </w:style>
  <w:style w:type="paragraph" w:customStyle="1" w:styleId="415">
    <w:name w:val="black1"/>
    <w:basedOn w:val="1"/>
    <w:qFormat/>
    <w:uiPriority w:val="0"/>
    <w:pPr>
      <w:widowControl/>
      <w:spacing w:before="100" w:beforeAutospacing="1" w:after="100" w:afterAutospacing="1" w:line="280" w:lineRule="atLeast"/>
      <w:jc w:val="left"/>
    </w:pPr>
    <w:rPr>
      <w:rFonts w:ascii="Arial" w:hAnsi="Arial" w:eastAsia="Arial Unicode MS" w:cs="Arial"/>
      <w:color w:val="000000"/>
      <w:sz w:val="18"/>
      <w:szCs w:val="18"/>
    </w:rPr>
  </w:style>
  <w:style w:type="paragraph" w:customStyle="1" w:styleId="416">
    <w:name w:val="HTML 预设格式11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417">
    <w:name w:val="xl70"/>
    <w:basedOn w:val="1"/>
    <w:qFormat/>
    <w:uiPriority w:val="0"/>
    <w:pPr>
      <w:widowControl/>
      <w:pBdr>
        <w:top w:val="single" w:color="000000" w:sz="4" w:space="0"/>
        <w:right w:val="single" w:color="000000" w:sz="4" w:space="0"/>
      </w:pBdr>
      <w:spacing w:before="100" w:beforeAutospacing="1" w:after="100" w:afterAutospacing="1"/>
      <w:jc w:val="left"/>
    </w:pPr>
    <w:rPr>
      <w:rFonts w:ascii="Arial" w:hAnsi="Arial" w:eastAsia="Arial Unicode MS" w:cs="Arial"/>
      <w:b/>
      <w:bCs/>
      <w:sz w:val="18"/>
      <w:szCs w:val="18"/>
    </w:rPr>
  </w:style>
  <w:style w:type="paragraph" w:customStyle="1" w:styleId="418">
    <w:name w:val="xl50"/>
    <w:basedOn w:val="1"/>
    <w:qFormat/>
    <w:uiPriority w:val="0"/>
    <w:pPr>
      <w:widowControl/>
      <w:pBdr>
        <w:bottom w:val="single" w:color="000000" w:sz="4" w:space="0"/>
        <w:right w:val="single" w:color="000000" w:sz="4" w:space="0"/>
      </w:pBdr>
      <w:spacing w:before="100" w:beforeAutospacing="1" w:after="100" w:afterAutospacing="1"/>
      <w:jc w:val="left"/>
    </w:pPr>
    <w:rPr>
      <w:rFonts w:ascii="Arial" w:hAnsi="Arial" w:eastAsia="Arial Unicode MS" w:cs="Arial"/>
      <w:sz w:val="18"/>
      <w:szCs w:val="18"/>
    </w:rPr>
  </w:style>
  <w:style w:type="paragraph" w:customStyle="1" w:styleId="419">
    <w:name w:val="列出段落1"/>
    <w:basedOn w:val="1"/>
    <w:qFormat/>
    <w:uiPriority w:val="34"/>
    <w:pPr>
      <w:ind w:firstLine="420"/>
    </w:pPr>
  </w:style>
  <w:style w:type="paragraph" w:customStyle="1" w:styleId="420">
    <w:name w:val="xl71"/>
    <w:basedOn w:val="1"/>
    <w:qFormat/>
    <w:uiPriority w:val="0"/>
    <w:pPr>
      <w:widowControl/>
      <w:pBdr>
        <w:top w:val="single" w:color="000000" w:sz="4" w:space="0"/>
        <w:bottom w:val="single" w:color="000000" w:sz="4" w:space="0"/>
      </w:pBdr>
      <w:spacing w:before="100" w:beforeAutospacing="1" w:after="100" w:afterAutospacing="1"/>
      <w:jc w:val="left"/>
    </w:pPr>
    <w:rPr>
      <w:rFonts w:ascii="Arial" w:hAnsi="Arial" w:eastAsia="Arial Unicode MS" w:cs="Arial"/>
      <w:sz w:val="16"/>
      <w:szCs w:val="16"/>
    </w:rPr>
  </w:style>
  <w:style w:type="paragraph" w:customStyle="1" w:styleId="421">
    <w:name w:val="xl58"/>
    <w:basedOn w:val="1"/>
    <w:qFormat/>
    <w:uiPriority w:val="0"/>
    <w:pPr>
      <w:widowControl/>
      <w:pBdr>
        <w:top w:val="single" w:color="000000" w:sz="8" w:space="0"/>
      </w:pBdr>
      <w:spacing w:before="100" w:beforeAutospacing="1" w:after="100" w:afterAutospacing="1"/>
      <w:jc w:val="left"/>
    </w:pPr>
    <w:rPr>
      <w:rFonts w:ascii="Arial" w:hAnsi="Arial" w:eastAsia="Arial Unicode MS" w:cs="Arial"/>
      <w:sz w:val="24"/>
    </w:rPr>
  </w:style>
  <w:style w:type="table" w:customStyle="1" w:styleId="422">
    <w:name w:val="网格型1"/>
    <w:basedOn w:val="200"/>
    <w:qFormat/>
    <w:uiPriority w:val="59"/>
    <w:rPr>
      <w:rFonts w:ascii="Calibri" w:hAnsi="Calibri"/>
    </w:rPr>
  </w:style>
  <w:style w:type="table" w:customStyle="1" w:styleId="423">
    <w:name w:val="网格型4"/>
    <w:basedOn w:val="200"/>
    <w:qFormat/>
    <w:uiPriority w:val="0"/>
    <w:pPr>
      <w:widowControl w:val="0"/>
      <w:jc w:val="both"/>
    </w:pPr>
  </w:style>
  <w:style w:type="table" w:customStyle="1" w:styleId="424">
    <w:name w:val="网格型31"/>
    <w:basedOn w:val="200"/>
    <w:qFormat/>
    <w:uiPriority w:val="59"/>
    <w:rPr>
      <w:rFonts w:ascii="Calibri" w:hAnsi="Calibri"/>
    </w:rPr>
  </w:style>
  <w:style w:type="table" w:customStyle="1" w:styleId="425">
    <w:name w:val="网格型3"/>
    <w:basedOn w:val="200"/>
    <w:qFormat/>
    <w:uiPriority w:val="59"/>
    <w:rPr>
      <w:rFonts w:ascii="Calibri" w:hAnsi="Calibri"/>
    </w:rPr>
  </w:style>
  <w:style w:type="table" w:customStyle="1" w:styleId="426">
    <w:name w:val="网格型2"/>
    <w:basedOn w:val="200"/>
    <w:qFormat/>
    <w:uiPriority w:val="59"/>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76</Pages>
  <Words>17244</Words>
  <Characters>18346</Characters>
  <TotalTime>5</TotalTime>
  <ScaleCrop>false</ScaleCrop>
  <LinksUpToDate>false</LinksUpToDate>
  <CharactersWithSpaces>18510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2023-03-15T09:31:00Z</dcterms:created>
  <dc:creator>hh</dc:creator>
  <cp:lastModifiedBy>！...！</cp:lastModifiedBy>
  <dcterms:modified xsi:type="dcterms:W3CDTF">2026-07-24T07:06:35Z</dcterms:modified>
  <dc:subject>2007XX</dc:subject>
  <dc:title>政府采购</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eyJoZGlkIjoiNjg3OGM3NGUxNTY3MDRjYmQ2ODFmNzk3ZGExM2JiMjgiLCJ1c2VySWQiOiIyMjY1MDY3MTIifQ==</vt:lpwstr>
  </property>
  <property fmtid="{D5CDD505-2E9C-101B-9397-08002B2CF9AE}" pid="3" name="KSOProductBuildVer">
    <vt:lpwstr>2052-12.1.0.26895</vt:lpwstr>
  </property>
  <property fmtid="{D5CDD505-2E9C-101B-9397-08002B2CF9AE}" pid="4" name="ICV">
    <vt:lpwstr>E311C7A170C54639A5AAF8427CB7827E_12</vt:lpwstr>
  </property>
</Properties>
</file>