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cs="宋体"/>
          <w:color w:val="auto"/>
          <w:sz w:val="76"/>
          <w:szCs w:val="76"/>
          <w:highlight w:val="none"/>
        </w:rPr>
      </w:pPr>
      <w:r>
        <w:t xml:space="preserve">  </w:t>
      </w:r>
      <w:bookmarkStart w:id="126" w:name="_GoBack"/>
      <w:r/>
      <w:r/>
    </w:p>
    <w:p>
      <w:pPr>
        <w:jc w:val="center"/>
        <w:spacing w:line="360" w:lineRule="auto"/>
        <w:tabs>
          <w:tab w:val="left" w:pos="390" w:leader="none"/>
          <w:tab w:val="center" w:pos="4404" w:leader="none"/>
        </w:tabs>
        <w:rPr>
          <w:rFonts w:hint="eastAsia" w:ascii="宋体" w:hAnsi="宋体" w:cs="宋体"/>
          <w:b/>
          <w:bCs/>
          <w:color w:val="auto"/>
          <w:sz w:val="76"/>
          <w:szCs w:val="76"/>
          <w:highlight w:val="none"/>
        </w:rPr>
      </w:pPr>
      <w:r>
        <w:rPr>
          <w:rFonts w:hint="eastAsia" w:ascii="宋体" w:hAnsi="宋体" w:cs="宋体"/>
          <w:b/>
          <w:bCs/>
          <w:color w:val="auto"/>
          <w:sz w:val="76"/>
          <w:szCs w:val="76"/>
          <w:highlight w:val="none"/>
        </w:rPr>
        <w:t xml:space="preserve">公开招标文件</w:t>
      </w:r>
      <w:r/>
    </w:p>
    <w:p>
      <w:pPr>
        <w:jc w:val="right"/>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r>
      <w:r/>
    </w:p>
    <w:tbl>
      <w:tblPr>
        <w:tblStyle w:val="689"/>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ind w:firstLine="883"/>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t xml:space="preserve">项目编号：JSZC-320192-JHRA-G2026-0022</w:t>
            </w:r>
            <w:r>
              <w:rPr>
                <w:rFonts w:hint="eastAsia" w:ascii="宋体" w:hAnsi="宋体" w:cs="宋体"/>
                <w:b/>
                <w:bCs/>
                <w:color w:val="auto"/>
                <w:sz w:val="44"/>
                <w:highlight w:val="none"/>
              </w:rPr>
              <w:tab/>
            </w:r>
            <w:r>
              <w:rPr>
                <w:rFonts w:hint="eastAsia" w:ascii="宋体" w:hAnsi="宋体" w:cs="宋体"/>
                <w:b/>
                <w:bCs/>
                <w:color w:val="auto"/>
                <w:sz w:val="44"/>
                <w:highlight w:val="none"/>
              </w:rPr>
              <w:t xml:space="preserve"> </w:t>
            </w:r>
            <w:r/>
          </w:p>
          <w:p>
            <w:pPr>
              <w:ind w:left="3087" w:hanging="2209"/>
              <w:spacing w:line="288" w:lineRule="auto"/>
              <w:widowControl/>
              <w:rPr>
                <w:rFonts w:hint="eastAsia" w:ascii="宋体" w:hAnsi="宋体" w:cs="宋体"/>
                <w:b/>
                <w:bCs/>
                <w:color w:val="auto"/>
                <w:sz w:val="44"/>
                <w:highlight w:val="none"/>
                <w:lang w:val="zh-CN"/>
              </w:rPr>
            </w:pPr>
            <w:r>
              <w:rPr>
                <w:rFonts w:hint="eastAsia" w:ascii="宋体" w:hAnsi="宋体" w:cs="宋体"/>
                <w:b/>
                <w:bCs/>
                <w:color w:val="auto"/>
                <w:sz w:val="44"/>
                <w:highlight w:val="none"/>
              </w:rPr>
              <w:t xml:space="preserve">项目名称：</w:t>
            </w:r>
            <w:r>
              <w:rPr>
                <w:rFonts w:hint="eastAsia" w:ascii="宋体" w:hAnsi="宋体" w:cs="宋体"/>
                <w:b/>
                <w:bCs/>
                <w:color w:val="auto"/>
                <w:sz w:val="44"/>
                <w:highlight w:val="none"/>
                <w:lang w:val="zh-CN"/>
              </w:rPr>
              <w:t xml:space="preserve">南京师范大学附属中学江北新区学校新建工程项目功能室设备采购</w:t>
            </w:r>
            <w:r/>
          </w:p>
          <w:p>
            <w:pPr>
              <w:pStyle w:val="690"/>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left="3087" w:hanging="2209"/>
              <w:spacing w:line="360" w:lineRule="auto"/>
              <w:rPr>
                <w:rFonts w:hint="eastAsia" w:ascii="宋体" w:hAnsi="宋体" w:cs="宋体"/>
                <w:b/>
                <w:bCs/>
                <w:color w:val="auto"/>
                <w:sz w:val="44"/>
                <w:szCs w:val="44"/>
                <w:highlight w:val="none"/>
                <w:lang w:val="zh-CN"/>
              </w:rPr>
            </w:pPr>
            <w:r>
              <w:rPr>
                <w:rFonts w:hint="eastAsia" w:ascii="宋体" w:hAnsi="宋体" w:cs="宋体"/>
                <w:b/>
                <w:bCs/>
                <w:color w:val="auto"/>
                <w:sz w:val="44"/>
                <w:szCs w:val="44"/>
                <w:highlight w:val="none"/>
                <w:lang w:val="zh-CN"/>
              </w:rPr>
            </w:r>
            <w:r/>
          </w:p>
        </w:tc>
      </w:tr>
    </w:tbl>
    <w:p>
      <w:pPr>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690"/>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690"/>
        <w:rPr>
          <w:rFonts w:hint="eastAsia"/>
          <w:color w:val="auto"/>
          <w:highlight w:val="none"/>
        </w:rPr>
      </w:pPr>
      <w:r>
        <w:rPr>
          <w:rFonts w:hint="eastAsia"/>
          <w:color w:val="auto"/>
          <w:highlight w:val="none"/>
        </w:rPr>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879"/>
        <w:jc w:val="left"/>
        <w:spacing w:line="288" w:lineRule="auto"/>
        <w:widowControl/>
        <w:rPr>
          <w:rFonts w:hint="eastAsia"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采购人：</w:t>
      </w:r>
      <w:bookmarkStart w:id="0" w:name="OLE_LINK29"/>
      <w:r/>
      <w:bookmarkStart w:id="1" w:name="OLE_LINK28"/>
      <w:r>
        <w:rPr>
          <w:rFonts w:hint="eastAsia" w:ascii="宋体" w:hAnsi="宋体" w:cs="宋体"/>
          <w:b/>
          <w:bCs/>
          <w:color w:val="auto"/>
          <w:sz w:val="36"/>
          <w:szCs w:val="16"/>
          <w:highlight w:val="none"/>
          <w:lang w:val="zh-CN"/>
        </w:rPr>
        <w:t xml:space="preserve">南京江北新区管理委员会教育局</w:t>
      </w:r>
      <w:bookmarkEnd w:id="0"/>
      <w:r/>
      <w:bookmarkEnd w:id="1"/>
      <w:r/>
      <w:r/>
    </w:p>
    <w:p>
      <w:pPr>
        <w:ind w:left="879"/>
        <w:jc w:val="left"/>
        <w:spacing w:line="288" w:lineRule="auto"/>
        <w:widowControl/>
        <w:rPr>
          <w:rFonts w:hint="eastAsia"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采购代理机构：捷宏润安工程顾问（江苏）有限公司</w:t>
      </w:r>
      <w:r/>
    </w:p>
    <w:p>
      <w:pPr>
        <w:ind w:left="879"/>
        <w:jc w:val="left"/>
        <w:spacing w:line="288" w:lineRule="auto"/>
        <w:widowControl/>
        <w:rPr>
          <w:rFonts w:hint="eastAsia"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日期：二〇二六年六月</w:t>
      </w:r>
      <w:r/>
    </w:p>
    <w:p>
      <w:pPr>
        <w:jc w:val="center"/>
        <w:rPr>
          <w:b/>
          <w:bCs/>
          <w:color w:val="auto"/>
          <w:sz w:val="48"/>
          <w:szCs w:val="48"/>
          <w:highlight w:val="none"/>
        </w:rPr>
      </w:pPr>
      <w:r>
        <w:rPr>
          <w:rFonts w:ascii="宋体" w:hAnsi="宋体"/>
          <w:color w:val="auto"/>
          <w:highlight w:val="none"/>
        </w:rPr>
        <w:br w:type="page" w:clear="all"/>
      </w:r>
      <w:r>
        <w:rPr>
          <w:rFonts w:ascii="宋体" w:hAnsi="宋体"/>
          <w:b/>
          <w:bCs/>
          <w:color w:val="auto"/>
          <w:sz w:val="48"/>
          <w:szCs w:val="48"/>
          <w:highlight w:val="none"/>
        </w:rPr>
        <w:t xml:space="preserve">目录</w:t>
      </w:r>
      <w:r/>
    </w:p>
    <w:p>
      <w:pPr>
        <w:pStyle w:val="772"/>
        <w:spacing w:before="0" w:after="0" w:line="360" w:lineRule="auto"/>
        <w:tabs>
          <w:tab w:val="right" w:pos="9514" w:leader="dot"/>
        </w:tabs>
        <w:rPr>
          <w:rFonts w:ascii="宋体" w:hAnsi="宋体"/>
          <w:caps w:val="0"/>
          <w:color w:val="auto"/>
          <w:sz w:val="24"/>
          <w:szCs w:val="24"/>
          <w:highlight w:val="none"/>
        </w:rPr>
      </w:pPr>
      <w:r>
        <w:rPr>
          <w:rFonts w:hint="eastAsia" w:ascii="宋体" w:hAnsi="宋体" w:cs="宋体"/>
          <w:b w:val="0"/>
          <w:bCs/>
          <w:color w:val="auto"/>
          <w:spacing w:val="-10"/>
          <w:sz w:val="24"/>
          <w:szCs w:val="24"/>
          <w:highlight w:val="none"/>
        </w:rPr>
        <w:fldChar w:fldCharType="begin"/>
      </w:r>
      <w:r>
        <w:rPr>
          <w:rFonts w:hint="eastAsia" w:ascii="宋体" w:hAnsi="宋体" w:cs="宋体"/>
          <w:b w:val="0"/>
          <w:bCs/>
          <w:color w:val="auto"/>
          <w:spacing w:val="-10"/>
          <w:sz w:val="24"/>
          <w:szCs w:val="24"/>
          <w:highlight w:val="none"/>
        </w:rPr>
        <w:instrText xml:space="preserve">TOC \o "1-3" \h \u </w:instrText>
      </w:r>
      <w:r>
        <w:rPr>
          <w:rFonts w:hint="eastAsia" w:ascii="宋体" w:hAnsi="宋体" w:cs="宋体"/>
          <w:b w:val="0"/>
          <w:bCs/>
          <w:color w:val="auto"/>
          <w:spacing w:val="-10"/>
          <w:sz w:val="24"/>
          <w:szCs w:val="24"/>
          <w:highlight w:val="none"/>
        </w:rPr>
        <w:fldChar w:fldCharType="separate"/>
      </w: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"_Toc228350056"</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pacing w:val="-10"/>
          <w:sz w:val="24"/>
          <w:szCs w:val="24"/>
          <w:highlight w:val="none"/>
        </w:rPr>
        <w:t xml:space="preserve">第一章</w:t>
      </w:r>
      <w:r>
        <w:rPr>
          <w:rStyle w:val="807"/>
          <w:rFonts w:ascii="宋体" w:hAnsi="宋体" w:cs="宋体"/>
          <w:bCs/>
          <w:color w:val="auto"/>
          <w:spacing w:val="-10"/>
          <w:sz w:val="24"/>
          <w:szCs w:val="24"/>
          <w:highlight w:val="none"/>
        </w:rPr>
        <w:t xml:space="preserve">  </w:t>
      </w:r>
      <w:r>
        <w:rPr>
          <w:rStyle w:val="807"/>
          <w:rFonts w:hint="eastAsia" w:ascii="宋体" w:hAnsi="宋体" w:cs="宋体"/>
          <w:bCs/>
          <w:color w:val="auto"/>
          <w:spacing w:val="-10"/>
          <w:sz w:val="24"/>
          <w:szCs w:val="24"/>
          <w:highlight w:val="none"/>
        </w:rPr>
        <w:t xml:space="preserve">投标邀请</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"_Toc228350057"</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一、项目基本情况：</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"_Toc228350058"</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二、申请人的资格要求：</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"_Toc228350059"</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三、获取招标文件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"_Toc228350060"</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四、提交投标文件开始时间、开标时间</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"_Toc228350061"</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五、开启</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"_Toc228350062"</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六、公告期限</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"_Toc228350063"</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七、其他补充事宜</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72"/>
        <w:spacing w:before="0" w:after="0" w:line="360" w:lineRule="auto"/>
        <w:tabs>
          <w:tab w:val="right" w:pos="9514" w:leader="dot"/>
        </w:tabs>
        <w:rPr>
          <w:rFonts w:ascii="宋体" w:hAnsi="宋体"/>
          <w: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"_Toc228350064"</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pacing w:val="-10"/>
          <w:sz w:val="24"/>
          <w:szCs w:val="24"/>
          <w:highlight w:val="none"/>
        </w:rPr>
        <w:t xml:space="preserve">第二章</w:t>
      </w:r>
      <w:r>
        <w:rPr>
          <w:rStyle w:val="807"/>
          <w:rFonts w:ascii="宋体" w:hAnsi="宋体" w:cs="宋体"/>
          <w:bCs/>
          <w:color w:val="auto"/>
          <w:spacing w:val="-10"/>
          <w:sz w:val="24"/>
          <w:szCs w:val="24"/>
          <w:highlight w:val="none"/>
        </w:rPr>
        <w:t xml:space="preserve">  </w:t>
      </w:r>
      <w:r>
        <w:rPr>
          <w:rStyle w:val="807"/>
          <w:rFonts w:hint="eastAsia" w:ascii="宋体" w:hAnsi="宋体" w:cs="宋体"/>
          <w:bCs/>
          <w:color w:val="auto"/>
          <w:spacing w:val="-10"/>
          <w:sz w:val="24"/>
          <w:szCs w:val="24"/>
          <w:highlight w:val="none"/>
        </w:rPr>
        <w:t xml:space="preserve">供应商须知</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"_Toc228350065"</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一、总则</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"_Toc228350066"</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二、招标文件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11</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"_Toc228350067"</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三、投标</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11</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"_Toc228350068"</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四、开标、评标与确定中标供应商</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15</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"_Toc228350069"</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五、签订合同</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20</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"_Toc228350070"</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rPr>
        <w:t xml:space="preserve">六、质疑和投诉</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21</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72"/>
        <w:spacing w:before="0" w:after="0" w:line="360" w:lineRule="auto"/>
        <w:tabs>
          <w:tab w:val="right" w:pos="9514" w:leader="dot"/>
        </w:tabs>
        <w:rPr>
          <w:rFonts w:ascii="宋体" w:hAnsi="宋体"/>
          <w: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"_Toc228350071"</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pacing w:val="-10"/>
          <w:sz w:val="24"/>
          <w:szCs w:val="24"/>
          <w:highlight w:val="none"/>
          <w:lang w:val="zh-CN"/>
        </w:rPr>
        <w:t xml:space="preserve">第三章</w:t>
      </w:r>
      <w:r>
        <w:rPr>
          <w:rStyle w:val="807"/>
          <w:rFonts w:ascii="宋体" w:hAnsi="宋体" w:cs="宋体"/>
          <w:bCs/>
          <w:color w:val="auto"/>
          <w:spacing w:val="-10"/>
          <w:sz w:val="24"/>
          <w:szCs w:val="24"/>
          <w:highlight w:val="none"/>
        </w:rPr>
        <w:t xml:space="preserve">  </w:t>
      </w:r>
      <w:r>
        <w:rPr>
          <w:rStyle w:val="807"/>
          <w:rFonts w:hint="eastAsia" w:ascii="宋体" w:hAnsi="宋体" w:cs="宋体"/>
          <w:bCs/>
          <w:color w:val="auto"/>
          <w:spacing w:val="-10"/>
          <w:sz w:val="24"/>
          <w:szCs w:val="24"/>
          <w:highlight w:val="none"/>
          <w:lang w:val="zh-CN"/>
        </w:rPr>
        <w:t xml:space="preserve">评</w:t>
      </w:r>
      <w:bookmarkStart w:id="2" w:name="_Hlt231396303"/>
      <w:r/>
      <w:bookmarkStart w:id="3" w:name="_Hlt231396302"/>
      <w:r>
        <w:rPr>
          <w:rStyle w:val="807"/>
          <w:rFonts w:hint="eastAsia" w:ascii="宋体" w:hAnsi="宋体" w:cs="宋体"/>
          <w:bCs/>
          <w:color w:val="auto"/>
          <w:spacing w:val="-10"/>
          <w:sz w:val="24"/>
          <w:szCs w:val="24"/>
          <w:highlight w:val="none"/>
          <w:lang w:val="zh-CN"/>
        </w:rPr>
        <w:t xml:space="preserve">标</w:t>
      </w:r>
      <w:bookmarkEnd w:id="2"/>
      <w:r/>
      <w:bookmarkEnd w:id="3"/>
      <w:r>
        <w:rPr>
          <w:rStyle w:val="807"/>
          <w:rFonts w:hint="eastAsia" w:ascii="宋体" w:hAnsi="宋体" w:cs="宋体"/>
          <w:bCs/>
          <w:color w:val="auto"/>
          <w:spacing w:val="-10"/>
          <w:sz w:val="24"/>
          <w:szCs w:val="24"/>
          <w:highlight w:val="none"/>
          <w:lang w:val="zh-CN"/>
        </w:rPr>
        <w:t xml:space="preserve">方</w:t>
      </w:r>
      <w:bookmarkStart w:id="4" w:name="_Hlt231809925"/>
      <w:r/>
      <w:bookmarkStart w:id="5" w:name="_Hlt231809924"/>
      <w:r>
        <w:rPr>
          <w:rStyle w:val="807"/>
          <w:rFonts w:hint="eastAsia" w:ascii="宋体" w:hAnsi="宋体" w:cs="宋体"/>
          <w:bCs/>
          <w:color w:val="auto"/>
          <w:spacing w:val="-10"/>
          <w:sz w:val="24"/>
          <w:szCs w:val="24"/>
          <w:highlight w:val="none"/>
          <w:lang w:val="zh-CN"/>
        </w:rPr>
        <w:t xml:space="preserve">法</w:t>
      </w:r>
      <w:bookmarkEnd w:id="4"/>
      <w:r/>
      <w:bookmarkEnd w:id="5"/>
      <w:r>
        <w:rPr>
          <w:rStyle w:val="807"/>
          <w:rFonts w:hint="eastAsia" w:ascii="宋体" w:hAnsi="宋体" w:cs="宋体"/>
          <w:bCs/>
          <w:color w:val="auto"/>
          <w:spacing w:val="-10"/>
          <w:sz w:val="24"/>
          <w:szCs w:val="24"/>
          <w:highlight w:val="none"/>
          <w:lang w:val="zh-CN"/>
        </w:rPr>
        <w:t xml:space="preserve">和标准</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"_Toc228350072"</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lang w:val="zh-CN"/>
        </w:rPr>
        <w:t xml:space="preserve">一、采用综合评分法</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"_Toc228350073"</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z w:val="24"/>
          <w:szCs w:val="24"/>
          <w:highlight w:val="none"/>
          <w:lang w:val="zh-CN"/>
        </w:rPr>
        <w:t xml:space="preserve">二、综合评分法评审评分细则</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72"/>
        <w:spacing w:before="0" w:after="0" w:line="360" w:lineRule="auto"/>
        <w:tabs>
          <w:tab w:val="right" w:pos="9514" w:leader="dot"/>
        </w:tabs>
        <w:rPr>
          <w:rFonts w:ascii="宋体" w:hAnsi="宋体"/>
          <w: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"_Toc228350074"</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pacing w:val="-10"/>
          <w:sz w:val="24"/>
          <w:szCs w:val="24"/>
          <w:highlight w:val="none"/>
          <w:lang w:val="zh-CN"/>
        </w:rPr>
        <w:t xml:space="preserve">第四章</w:t>
      </w:r>
      <w:r>
        <w:rPr>
          <w:rStyle w:val="807"/>
          <w:rFonts w:ascii="宋体" w:hAnsi="宋体" w:cs="宋体"/>
          <w:bCs/>
          <w:color w:val="auto"/>
          <w:spacing w:val="-10"/>
          <w:sz w:val="24"/>
          <w:szCs w:val="24"/>
          <w:highlight w:val="none"/>
          <w:lang w:val="zh-CN"/>
        </w:rPr>
        <w:t xml:space="preserve">  </w:t>
      </w:r>
      <w:r>
        <w:rPr>
          <w:rStyle w:val="807"/>
          <w:rFonts w:hint="eastAsia" w:ascii="宋体" w:hAnsi="宋体" w:cs="宋体"/>
          <w:bCs/>
          <w:color w:val="auto"/>
          <w:spacing w:val="-10"/>
          <w:sz w:val="24"/>
          <w:szCs w:val="24"/>
          <w:highlight w:val="none"/>
          <w:lang w:val="zh-CN"/>
        </w:rPr>
        <w:t xml:space="preserve">采购需求</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32</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72"/>
        <w:spacing w:before="0" w:after="0" w:line="360" w:lineRule="auto"/>
        <w:tabs>
          <w:tab w:val="right" w:pos="9514" w:leader="dot"/>
        </w:tabs>
        <w:rPr>
          <w:rFonts w:ascii="宋体" w:hAnsi="宋体"/>
          <w: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"_Toc228350075"</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bCs/>
          <w:color w:val="auto"/>
          <w:spacing w:val="-10"/>
          <w:sz w:val="24"/>
          <w:szCs w:val="24"/>
          <w:highlight w:val="none"/>
          <w:lang w:val="zh-CN"/>
        </w:rPr>
        <w:t xml:space="preserve">第五章</w:t>
      </w:r>
      <w:r>
        <w:rPr>
          <w:rStyle w:val="807"/>
          <w:rFonts w:ascii="宋体" w:hAnsi="宋体" w:cs="宋体"/>
          <w:bCs/>
          <w:color w:val="auto"/>
          <w:spacing w:val="-10"/>
          <w:sz w:val="24"/>
          <w:szCs w:val="24"/>
          <w:highlight w:val="none"/>
          <w:lang w:val="zh-CN"/>
        </w:rPr>
        <w:t xml:space="preserve">  </w:t>
      </w:r>
      <w:r>
        <w:rPr>
          <w:rStyle w:val="807"/>
          <w:rFonts w:hint="eastAsia" w:ascii="宋体" w:hAnsi="宋体" w:cs="宋体"/>
          <w:bCs/>
          <w:color w:val="auto"/>
          <w:spacing w:val="-10"/>
          <w:sz w:val="24"/>
          <w:szCs w:val="24"/>
          <w:highlight w:val="none"/>
          <w:lang w:val="zh-CN"/>
        </w:rPr>
        <w:t xml:space="preserve">合同主要条款及格式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276</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72"/>
        <w:spacing w:before="0" w:after="0" w:line="360" w:lineRule="auto"/>
        <w:tabs>
          <w:tab w:val="right" w:pos="9514" w:leader="dot"/>
        </w:tabs>
        <w:rPr>
          <w:rFonts w:ascii="宋体" w:hAnsi="宋体"/>
          <w:b w:val="0"/>
          <w:caps w:val="0"/>
          <w:color w:val="auto"/>
          <w:sz w:val="24"/>
          <w:szCs w:val="24"/>
          <w:highlight w:val="none"/>
        </w:rPr>
      </w:pPr>
      <w:r>
        <w:rPr>
          <w:rStyle w:val="807"/>
          <w:rFonts w:ascii="宋体" w:hAnsi="宋体"/>
          <w:b/>
          <w:color w:val="auto"/>
          <w:sz w:val="24"/>
          <w:szCs w:val="24"/>
          <w:highlight w:val="none"/>
        </w:rPr>
        <w:fldChar w:fldCharType="begin"/>
      </w:r>
      <w:r>
        <w:rPr>
          <w:rStyle w:val="807"/>
          <w:rFonts w:ascii="宋体" w:hAnsi="宋体"/>
          <w:b/>
          <w:color w:val="auto"/>
          <w:sz w:val="24"/>
          <w:szCs w:val="24"/>
          <w:highlight w:val="none"/>
        </w:rPr>
        <w:instrText xml:space="preserve"> </w:instrText>
      </w:r>
      <w:r>
        <w:rPr>
          <w:rFonts w:ascii="宋体" w:hAnsi="宋体"/>
          <w:b w:val="0"/>
          <w:color w:val="auto"/>
          <w:sz w:val="24"/>
          <w:szCs w:val="24"/>
          <w:highlight w:val="none"/>
        </w:rPr>
        <w:instrText xml:space="preserve">HYPERLINK \l "_Toc228350076"</w:instrText>
      </w:r>
      <w:r>
        <w:rPr>
          <w:rStyle w:val="807"/>
          <w:rFonts w:ascii="宋体" w:hAnsi="宋体"/>
          <w:b/>
          <w:color w:val="auto"/>
          <w:sz w:val="24"/>
          <w:szCs w:val="24"/>
          <w:highlight w:val="none"/>
        </w:rPr>
        <w:instrText xml:space="preserve"> </w:instrText>
      </w:r>
      <w:r>
        <w:rPr>
          <w:rStyle w:val="807"/>
          <w:rFonts w:ascii="宋体" w:hAnsi="宋体"/>
          <w:b/>
          <w:color w:val="auto"/>
          <w:sz w:val="24"/>
          <w:szCs w:val="24"/>
          <w:highlight w:val="none"/>
        </w:rPr>
        <w:fldChar w:fldCharType="separate"/>
      </w:r>
      <w:r>
        <w:rPr>
          <w:rStyle w:val="807"/>
          <w:rFonts w:hint="eastAsia" w:ascii="宋体" w:hAnsi="宋体" w:cs="宋体"/>
          <w:b/>
          <w:bCs/>
          <w:color w:val="auto"/>
          <w:sz w:val="24"/>
          <w:szCs w:val="24"/>
          <w:highlight w:val="none"/>
          <w:lang w:val="zh-CN"/>
        </w:rPr>
        <w:t xml:space="preserve">第六章</w:t>
      </w:r>
      <w:r>
        <w:rPr>
          <w:rStyle w:val="807"/>
          <w:rFonts w:ascii="宋体" w:hAnsi="宋体" w:cs="宋体"/>
          <w:b/>
          <w:bCs/>
          <w:color w:val="auto"/>
          <w:sz w:val="24"/>
          <w:szCs w:val="24"/>
          <w:highlight w:val="none"/>
          <w:lang w:val="zh-CN"/>
        </w:rPr>
        <w:t xml:space="preserve">  </w:t>
      </w:r>
      <w:r>
        <w:rPr>
          <w:rStyle w:val="807"/>
          <w:rFonts w:hint="eastAsia" w:ascii="宋体" w:hAnsi="宋体" w:cs="宋体"/>
          <w:b/>
          <w:bCs/>
          <w:color w:val="auto"/>
          <w:sz w:val="24"/>
          <w:szCs w:val="24"/>
          <w:highlight w:val="none"/>
        </w:rPr>
        <w:t xml:space="preserve">投标文件</w:t>
      </w:r>
      <w:r>
        <w:rPr>
          <w:rStyle w:val="807"/>
          <w:rFonts w:hint="eastAsia" w:ascii="宋体" w:hAnsi="宋体" w:cs="宋体"/>
          <w:b/>
          <w:bCs/>
          <w:color w:val="auto"/>
          <w:sz w:val="24"/>
          <w:szCs w:val="24"/>
          <w:highlight w:val="none"/>
          <w:lang w:val="zh-CN"/>
        </w:rPr>
        <w:t xml:space="preserve">格式及附件</w:t>
      </w:r>
      <w:r>
        <w:rPr>
          <w:rFonts w:ascii="宋体" w:hAnsi="宋体"/>
          <w:b w:val="0"/>
          <w:color w:val="auto"/>
          <w:sz w:val="24"/>
          <w:szCs w:val="24"/>
          <w:highlight w:val="none"/>
        </w:rPr>
        <w:tab/>
      </w:r>
      <w:r>
        <w:rPr>
          <w:rFonts w:ascii="宋体" w:hAnsi="宋体"/>
          <w:b w:val="0"/>
          <w:color w:val="auto"/>
          <w:sz w:val="24"/>
          <w:szCs w:val="24"/>
          <w:highlight w:val="none"/>
        </w:rPr>
        <w:fldChar w:fldCharType="begin"/>
      </w:r>
      <w:r>
        <w:rPr>
          <w:rFonts w:ascii="宋体" w:hAnsi="宋体"/>
          <w:b w:val="0"/>
          <w:color w:val="auto"/>
          <w:sz w:val="24"/>
          <w:szCs w:val="24"/>
          <w:highlight w:val="none"/>
        </w:rPr>
        <w:instrText xml:space="preserve"> PAGEREF _Toc228350076 \h </w:instrText>
      </w:r>
      <w:r>
        <w:rPr>
          <w:rFonts w:ascii="宋体" w:hAnsi="宋体"/>
          <w:b w:val="0"/>
          <w:color w:val="auto"/>
          <w:sz w:val="24"/>
          <w:szCs w:val="24"/>
          <w:highlight w:val="none"/>
        </w:rPr>
        <w:fldChar w:fldCharType="separate"/>
      </w:r>
      <w:r>
        <w:rPr>
          <w:rFonts w:ascii="宋体" w:hAnsi="宋体"/>
          <w:b w:val="0"/>
          <w:color w:val="auto"/>
          <w:sz w:val="24"/>
          <w:szCs w:val="24"/>
          <w:highlight w:val="none"/>
        </w:rPr>
        <w:t xml:space="preserve">287</w:t>
      </w:r>
      <w:r>
        <w:rPr>
          <w:rFonts w:ascii="宋体" w:hAnsi="宋体"/>
          <w:b w:val="0"/>
          <w:color w:val="auto"/>
          <w:sz w:val="24"/>
          <w:szCs w:val="24"/>
          <w:highlight w:val="none"/>
        </w:rPr>
        <w:fldChar w:fldCharType="end"/>
      </w:r>
      <w:r>
        <w:rPr>
          <w:rStyle w:val="807"/>
          <w:rFonts w:ascii="宋体" w:hAnsi="宋体"/>
          <w:b/>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"_Toc228350077"</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附件一、投标申请及声明格式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288</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"_Toc228350078"</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附件二、法定代表人授权书格式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290</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"_Toc228350079"</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附件三、开标一览表格式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291</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"_Toc228350080"</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附件五、技术条款偏离表格式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294</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"_Toc228350081"</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附件六、商务条款偏离表格式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295</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"_Toc228350082"</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附件七、核心产品品牌一览表（实质性格式）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296</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"_Toc228350083"</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附件八、供应商类似业绩表</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297</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"_Toc228350084"</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附件九、服务方案</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298</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"_Toc228350085"</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附件十、资格证明文件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299</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"_Toc228350086"</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附件十一、政府采购政策</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301</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"_Toc228350087"</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附件十二、南京市政府采购供应商信用记录表暨信用承诺书</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304</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"_Toc228350088"</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附件十三、供应商资格承诺声明函</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305</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"_Toc228350089"</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附件十四、联合体协议</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308</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pStyle w:val="785"/>
        <w:ind w:left="0"/>
        <w:spacing w:line="360" w:lineRule="auto"/>
        <w:tabs>
          <w:tab w:val="right" w:pos="9514" w:leader="dot"/>
        </w:tabs>
        <w:rPr>
          <w:rFonts w:ascii="宋体" w:hAnsi="宋体"/>
          <w:smallCaps w:val="0"/>
          <w:color w:val="auto"/>
          <w:sz w:val="24"/>
          <w:szCs w:val="24"/>
          <w:highlight w:val="none"/>
        </w:rPr>
      </w:pPr>
      <w:r>
        <w:rPr>
          <w:rStyle w:val="807"/>
          <w:rFonts w:ascii="宋体" w:hAnsi="宋体"/>
          <w:color w:val="auto"/>
          <w:sz w:val="24"/>
          <w:szCs w:val="24"/>
          <w:highlight w:val="none"/>
        </w:rPr>
        <w:fldChar w:fldCharType="begin"/>
      </w:r>
      <w:r>
        <w:rPr>
          <w:rStyle w:val="807"/>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"_Toc228350090"</w:instrText>
      </w:r>
      <w:r>
        <w:rPr>
          <w:rStyle w:val="807"/>
          <w:rFonts w:ascii="宋体" w:hAnsi="宋体"/>
          <w:color w:val="auto"/>
          <w:sz w:val="24"/>
          <w:szCs w:val="24"/>
          <w:highlight w:val="none"/>
        </w:rPr>
        <w:instrText xml:space="preserve"> </w:instrText>
      </w:r>
      <w:r>
        <w:rPr>
          <w:rStyle w:val="807"/>
          <w:rFonts w:ascii="宋体" w:hAnsi="宋体"/>
          <w:color w:val="auto"/>
          <w:sz w:val="24"/>
          <w:szCs w:val="24"/>
          <w:highlight w:val="none"/>
        </w:rPr>
        <w:fldChar w:fldCharType="separate"/>
      </w:r>
      <w:r>
        <w:rPr>
          <w:rStyle w:val="807"/>
          <w:rFonts w:hint="eastAsia" w:ascii="宋体" w:hAnsi="宋体" w:cs="宋体"/>
          <w:color w:val="auto"/>
          <w:sz w:val="24"/>
          <w:szCs w:val="24"/>
          <w:highlight w:val="none"/>
          <w:lang w:val="zh-CN"/>
        </w:rPr>
        <w:t xml:space="preserve">附件十五、关于符合本国产品标准的声明函</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_Toc228350090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309</w:t>
      </w:r>
      <w:r>
        <w:rPr>
          <w:rFonts w:ascii="宋体" w:hAnsi="宋体"/>
          <w:color w:val="auto"/>
          <w:sz w:val="24"/>
          <w:szCs w:val="24"/>
          <w:highlight w:val="none"/>
        </w:rPr>
        <w:fldChar w:fldCharType="end"/>
      </w:r>
      <w:r>
        <w:rPr>
          <w:rStyle w:val="807"/>
          <w:rFonts w:ascii="宋体" w:hAnsi="宋体"/>
          <w:color w:val="auto"/>
          <w:sz w:val="24"/>
          <w:szCs w:val="24"/>
          <w:highlight w:val="none"/>
        </w:rPr>
        <w:fldChar w:fldCharType="end"/>
      </w:r>
      <w:r/>
    </w:p>
    <w:p>
      <w:pPr>
        <w:jc w:val="left"/>
        <w:spacing w:line="360" w:lineRule="auto"/>
        <w:rPr>
          <w:rFonts w:hint="eastAsia" w:ascii="宋体" w:hAnsi="宋体" w:cs="宋体"/>
          <w:bCs/>
          <w:color w:val="auto"/>
          <w:spacing w:val="-10"/>
          <w:sz w:val="24"/>
          <w:szCs w:val="24"/>
          <w:highlight w:val="none"/>
        </w:rPr>
      </w:pPr>
      <w:r>
        <w:rPr>
          <w:rFonts w:hint="eastAsia" w:ascii="宋体" w:hAnsi="宋体" w:cs="宋体"/>
          <w:bCs/>
          <w:color w:val="auto"/>
          <w:spacing w:val="-10"/>
          <w:sz w:val="24"/>
          <w:szCs w:val="24"/>
          <w:highlight w:val="none"/>
        </w:rPr>
        <w:fldChar w:fldCharType="end"/>
      </w:r>
      <w:r/>
    </w:p>
    <w:p>
      <w:pPr>
        <w:jc w:val="center"/>
        <w:spacing w:line="360" w:lineRule="auto"/>
        <w:rPr>
          <w:rFonts w:hint="eastAsia" w:ascii="宋体" w:hAnsi="宋体" w:cs="宋体"/>
          <w:bCs/>
          <w:color w:val="auto"/>
          <w:spacing w:val="-10"/>
          <w:szCs w:val="36"/>
          <w:highlight w:val="none"/>
        </w:rPr>
      </w:pPr>
      <w:r>
        <w:rPr>
          <w:rFonts w:hint="eastAsia" w:ascii="宋体" w:hAnsi="宋体" w:cs="宋体"/>
          <w:bCs/>
          <w:color w:val="auto"/>
          <w:spacing w:val="-10"/>
          <w:szCs w:val="36"/>
          <w:highlight w:val="none"/>
        </w:rPr>
      </w:r>
      <w:r/>
    </w:p>
    <w:p>
      <w:pPr>
        <w:jc w:val="center"/>
        <w:spacing w:line="360" w:lineRule="auto"/>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r>
      <w:r/>
    </w:p>
    <w:p>
      <w:pPr>
        <w:jc w:val="center"/>
        <w:spacing w:line="360" w:lineRule="auto"/>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r>
      <w:r/>
    </w:p>
    <w:p>
      <w:pPr>
        <w:jc w:val="center"/>
        <w:spacing w:line="360" w:lineRule="auto"/>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r>
      <w:r/>
    </w:p>
    <w:p>
      <w:pPr>
        <w:jc w:val="center"/>
        <w:spacing w:line="360" w:lineRule="auto"/>
        <w:rPr>
          <w:rFonts w:hint="eastAsia" w:ascii="宋体" w:hAnsi="宋体" w:cs="宋体"/>
          <w:b/>
          <w:bCs/>
          <w:color w:val="auto"/>
          <w:sz w:val="36"/>
          <w:szCs w:val="36"/>
          <w:highlight w:val="none"/>
          <w:lang w:val="zh-CN"/>
        </w:rPr>
        <w:outlineLvl w:val="0"/>
      </w:pPr>
      <w:r>
        <w:rPr>
          <w:rFonts w:ascii="宋体" w:hAnsi="宋体" w:cs="宋体"/>
          <w:b/>
          <w:bCs/>
          <w:color w:val="auto"/>
          <w:spacing w:val="-10"/>
          <w:sz w:val="36"/>
          <w:szCs w:val="36"/>
          <w:highlight w:val="none"/>
        </w:rPr>
        <w:br w:type="page" w:clear="all"/>
      </w:r>
      <w:bookmarkStart w:id="6" w:name="_Toc228350056"/>
      <w:r>
        <w:rPr>
          <w:rFonts w:hint="eastAsia" w:ascii="宋体" w:hAnsi="宋体" w:cs="宋体"/>
          <w:b/>
          <w:bCs/>
          <w:color w:val="auto"/>
          <w:spacing w:val="-10"/>
          <w:sz w:val="36"/>
          <w:szCs w:val="36"/>
          <w:highlight w:val="none"/>
        </w:rPr>
        <w:t xml:space="preserve">第一章  投标邀请</w:t>
      </w:r>
      <w:bookmarkEnd w:id="6"/>
      <w:r/>
      <w:r/>
    </w:p>
    <w:p>
      <w:pPr>
        <w:ind w:firstLine="482"/>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捷宏润安工程顾问（江苏）有限公司</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代理机构名称，</w:t>
      </w:r>
      <w:r>
        <w:rPr>
          <w:rFonts w:hint="eastAsia" w:ascii="宋体" w:hAnsi="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rPr>
        <w:t xml:space="preserve">南京江北新区管理委员会教育局</w:t>
      </w:r>
      <w:r>
        <w:rPr>
          <w:rFonts w:hint="eastAsia" w:ascii="宋体" w:hAnsi="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rPr>
        <w:t xml:space="preserve">南京师范大学附属中学江北新区学校新建工程项目功能室设备采购</w:t>
      </w:r>
      <w:r>
        <w:rPr>
          <w:rFonts w:hint="eastAsia" w:ascii="宋体" w:hAnsi="宋体" w:cs="宋体"/>
          <w:bCs/>
          <w:color w:val="auto"/>
          <w:sz w:val="24"/>
          <w:szCs w:val="24"/>
          <w:highlight w:val="none"/>
        </w:rPr>
        <w:t xml:space="preserve">（项目名称）进行公开招标，</w:t>
      </w:r>
      <w:r>
        <w:rPr>
          <w:rFonts w:hint="eastAsia" w:ascii="宋体" w:hAnsi="宋体" w:cs="宋体"/>
          <w:bCs/>
          <w:color w:val="auto"/>
          <w:sz w:val="24"/>
          <w:szCs w:val="24"/>
          <w:highlight w:val="none"/>
          <w:lang w:val="zh-CN"/>
        </w:rPr>
        <w:t xml:space="preserve">兹邀请符合资格条件的供应商投标。</w:t>
      </w:r>
      <w:r/>
    </w:p>
    <w:p>
      <w:pPr>
        <w:ind w:firstLine="482"/>
        <w:jc w:val="left"/>
        <w:spacing w:before="120" w:line="360" w:lineRule="auto"/>
        <w:shd w:val="clear" w:color="auto" w:fill="ffffff"/>
        <w:widowControl/>
        <w:rPr>
          <w:rFonts w:hint="eastAsia" w:ascii="宋体" w:hAnsi="宋体" w:cs="宋体"/>
          <w:color w:val="auto"/>
          <w:sz w:val="24"/>
          <w:szCs w:val="24"/>
          <w:highlight w:val="none"/>
        </w:rPr>
        <w:outlineLvl w:val="1"/>
      </w:pPr>
      <w:r/>
      <w:bookmarkStart w:id="7" w:name="_Toc228350057"/>
      <w:r>
        <w:rPr>
          <w:rFonts w:hint="eastAsia" w:ascii="宋体" w:hAnsi="宋体" w:cs="宋体"/>
          <w:b/>
          <w:bCs/>
          <w:color w:val="auto"/>
          <w:sz w:val="24"/>
          <w:szCs w:val="24"/>
          <w:highlight w:val="none"/>
        </w:rPr>
        <w:t xml:space="preserve">一、项目基本情况：</w:t>
      </w:r>
      <w:bookmarkEnd w:id="7"/>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1、项目编号：JSZC-320192-JHRA-G2026-0022</w:t>
      </w:r>
      <w:r>
        <w:rPr>
          <w:rFonts w:hint="eastAsia" w:ascii="宋体" w:hAnsi="宋体" w:cs="宋体"/>
          <w:bCs/>
          <w:color w:val="auto"/>
          <w:sz w:val="24"/>
          <w:szCs w:val="24"/>
          <w:highlight w:val="none"/>
          <w:lang w:val="zh-CN"/>
        </w:rPr>
        <w:tab/>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2、项目名称：南京师范大学附属中学江北新区学校新建工程项目功能室设备采购</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3、采购需求：</w:t>
      </w:r>
      <w:r>
        <w:rPr>
          <w:rFonts w:hint="eastAsia" w:ascii="宋体" w:hAnsi="宋体" w:cs="宋体"/>
          <w:bCs/>
          <w:color w:val="auto"/>
          <w:sz w:val="24"/>
          <w:szCs w:val="24"/>
          <w:highlight w:val="none"/>
        </w:rPr>
        <w:t xml:space="preserve">南京师范大学附属中学江北新区学校新建工程项目功能室设备采购</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详见采购文件。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4、采购方式：公开招标</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采购预算：</w:t>
      </w:r>
      <w:r>
        <w:rPr>
          <w:rFonts w:ascii="宋体" w:hAnsi="宋体" w:cs="宋体"/>
          <w:bCs/>
          <w:color w:val="auto"/>
          <w:sz w:val="24"/>
          <w:szCs w:val="24"/>
          <w:highlight w:val="none"/>
        </w:rPr>
        <w:t xml:space="preserve">597.2638</w:t>
      </w:r>
      <w:r>
        <w:rPr>
          <w:rFonts w:hint="eastAsia" w:ascii="宋体" w:hAnsi="宋体" w:cs="宋体"/>
          <w:bCs/>
          <w:color w:val="auto"/>
          <w:sz w:val="24"/>
          <w:szCs w:val="24"/>
          <w:highlight w:val="none"/>
        </w:rPr>
        <w:t xml:space="preserve">万元</w:t>
      </w:r>
      <w:r/>
    </w:p>
    <w:p>
      <w:pPr>
        <w:ind w:firstLine="482"/>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6、最高限价：</w:t>
      </w:r>
      <w:r>
        <w:rPr>
          <w:rFonts w:ascii="宋体" w:hAnsi="宋体" w:cs="宋体"/>
          <w:b/>
          <w:color w:val="auto"/>
          <w:sz w:val="24"/>
          <w:szCs w:val="24"/>
          <w:highlight w:val="none"/>
        </w:rPr>
        <w:t xml:space="preserve">597.2638</w:t>
      </w:r>
      <w:r>
        <w:rPr>
          <w:rFonts w:hint="eastAsia" w:ascii="宋体" w:hAnsi="宋体" w:cs="宋体"/>
          <w:b/>
          <w:color w:val="auto"/>
          <w:sz w:val="24"/>
          <w:szCs w:val="24"/>
          <w:highlight w:val="none"/>
        </w:rPr>
        <w:t xml:space="preserve">万元</w:t>
      </w:r>
      <w:r>
        <w:rPr>
          <w:rFonts w:hint="eastAsia" w:ascii="宋体" w:hAnsi="宋体" w:cs="宋体"/>
          <w:color w:val="auto"/>
          <w:sz w:val="24"/>
          <w:szCs w:val="24"/>
          <w:highlight w:val="none"/>
        </w:rPr>
        <w:t xml:space="preserve">（超过最高限价的投标报价将被作为无效标处理）</w:t>
      </w:r>
      <w:r/>
    </w:p>
    <w:p>
      <w:pPr>
        <w:ind w:firstLine="480"/>
        <w:spacing w:line="360" w:lineRule="auto"/>
        <w:rPr>
          <w:rFonts w:hint="eastAsia"/>
          <w:color w:val="auto"/>
          <w:highlight w:val="none"/>
        </w:rPr>
      </w:pPr>
      <w:r>
        <w:rPr>
          <w:rFonts w:hint="eastAsia" w:ascii="宋体" w:hAnsi="宋体" w:cs="宋体"/>
          <w:bCs/>
          <w:color w:val="auto"/>
          <w:sz w:val="24"/>
          <w:szCs w:val="24"/>
          <w:highlight w:val="none"/>
          <w:lang w:val="zh-CN"/>
        </w:rPr>
        <w:t xml:space="preserve">7、合同履行期限：</w:t>
      </w:r>
      <w:r>
        <w:rPr>
          <w:rFonts w:hint="eastAsia" w:ascii="宋体" w:hAnsi="宋体" w:cs="宋体"/>
          <w:bCs/>
          <w:color w:val="auto"/>
          <w:sz w:val="24"/>
          <w:szCs w:val="24"/>
          <w:highlight w:val="none"/>
        </w:rPr>
        <w:t xml:space="preserve">收到采购人指令后30个日历天内安装调试完毕，并投入正常使用。</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本项目不接受联合体。</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8" w:name="_Toc28359090"/>
      <w:r/>
      <w:bookmarkStart w:id="9" w:name="_Toc28359013"/>
      <w:r/>
      <w:bookmarkStart w:id="10" w:name="_Toc228350058"/>
      <w:r/>
      <w:bookmarkStart w:id="11" w:name="_Toc35393630"/>
      <w:r/>
      <w:bookmarkStart w:id="12" w:name="_Toc35393799"/>
      <w:r>
        <w:rPr>
          <w:rFonts w:hint="eastAsia" w:ascii="宋体" w:hAnsi="宋体" w:cs="宋体"/>
          <w:b/>
          <w:bCs/>
          <w:color w:val="auto"/>
          <w:sz w:val="24"/>
          <w:szCs w:val="24"/>
          <w:highlight w:val="none"/>
        </w:rPr>
        <w:t xml:space="preserve">二、申请人的资格要求：</w:t>
      </w:r>
      <w:bookmarkEnd w:id="8"/>
      <w:r/>
      <w:bookmarkEnd w:id="9"/>
      <w:r/>
      <w:bookmarkEnd w:id="10"/>
      <w:r/>
      <w:bookmarkEnd w:id="11"/>
      <w:r/>
      <w:bookmarkEnd w:id="12"/>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zh-CN"/>
        </w:rPr>
        <w:t xml:space="preserve">、满足《中华人民共和国政府采购法》第二十二条规定。</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（2）具有良好的商业信誉和健全的财务会计制度（提供2024年经审计的财务报告或2024年财务报表，或投标文件提交截止时间前六个月内银行出具的资信证明，成立不满一年无需提供）。</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（3）具有履行合同所必需的设备和专业技术能力（供应商根据履行采购项目合同需要，提供履行合同所必需的设备和专业技术能力的证明材料）。</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firstLine="482"/>
        <w:jc w:val="left"/>
        <w:spacing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2、落实政府采购政策需满足的资格要求：</w:t>
      </w:r>
      <w:bookmarkStart w:id="13" w:name="OLE_LINK2"/>
      <w:r>
        <w:rPr>
          <w:rFonts w:hint="eastAsia" w:ascii="宋体" w:hAnsi="宋体" w:cs="宋体"/>
          <w:bCs/>
          <w:color w:val="auto"/>
          <w:spacing w:val="8"/>
          <w:sz w:val="24"/>
          <w:szCs w:val="24"/>
          <w:highlight w:val="none"/>
        </w:rPr>
        <w:t xml:space="preserve">本项目为非预留份额的采购项目或采购包，执行价格扣除优惠政策，具体详见招标文件第三章评标标准。</w:t>
      </w:r>
      <w:bookmarkEnd w:id="13"/>
      <w:r/>
      <w:r/>
    </w:p>
    <w:p>
      <w:pPr>
        <w:pStyle w:val="1117"/>
        <w:ind w:firstLine="482"/>
        <w:spacing w:line="360" w:lineRule="auto"/>
        <w:rPr>
          <w:rFonts w:hint="eastAsia" w:hAnsi="宋体"/>
          <w:b/>
          <w:bCs/>
          <w:color w:val="auto"/>
          <w:highlight w:val="none"/>
        </w:rPr>
      </w:pPr>
      <w:r>
        <w:rPr>
          <w:rFonts w:hint="eastAsia" w:hAnsi="宋体"/>
          <w:b/>
          <w:bCs/>
          <w:color w:val="auto"/>
          <w:highlight w:val="none"/>
        </w:rPr>
        <w:t xml:space="preserve">3、</w:t>
      </w:r>
      <w:r>
        <w:rPr>
          <w:rFonts w:hint="eastAsia" w:hAnsi="宋体"/>
          <w:b/>
          <w:bCs/>
          <w:color w:val="auto"/>
          <w:highlight w:val="none"/>
          <w:lang w:val="zh-CN"/>
        </w:rPr>
        <w:t xml:space="preserve">本项目的特定资格：</w:t>
      </w:r>
      <w:r>
        <w:rPr>
          <w:rFonts w:hint="eastAsia" w:hAnsi="宋体"/>
          <w:b/>
          <w:bCs/>
          <w:color w:val="auto"/>
          <w:highlight w:val="none"/>
        </w:rPr>
        <w:t xml:space="preserve">无</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4、拒绝下述供应商参加本次采购活动：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（3）拒绝列入失信被执行人、重大税收违法案件当事人名单、政府采购严重违法失信行为记录名单中的供应商参与本项目的采购活动。</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5、是否接受进口产品：否。</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4" w:name="_Toc228350059"/>
      <w:r>
        <w:rPr>
          <w:rFonts w:hint="eastAsia" w:ascii="宋体" w:hAnsi="宋体" w:cs="宋体"/>
          <w:b/>
          <w:bCs/>
          <w:color w:val="auto"/>
          <w:sz w:val="24"/>
          <w:szCs w:val="24"/>
          <w:highlight w:val="none"/>
        </w:rPr>
        <w:t xml:space="preserve">三、获取招标文件</w:t>
      </w:r>
      <w:bookmarkEnd w:id="14"/>
      <w:r/>
      <w:r/>
    </w:p>
    <w:p>
      <w:pPr>
        <w:ind w:firstLine="426"/>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时间：自</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获取方式：网上下载</w:t>
      </w:r>
      <w:r/>
    </w:p>
    <w:p>
      <w:pPr>
        <w:ind w:firstLine="426"/>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售价：0.00元</w:t>
      </w:r>
      <w:r/>
    </w:p>
    <w:p>
      <w:pPr>
        <w:ind w:firstLine="426"/>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5" w:name="_Toc228350060"/>
      <w:r>
        <w:rPr>
          <w:rFonts w:hint="eastAsia" w:ascii="宋体" w:hAnsi="宋体" w:cs="宋体"/>
          <w:b/>
          <w:bCs/>
          <w:color w:val="auto"/>
          <w:sz w:val="24"/>
          <w:szCs w:val="24"/>
          <w:highlight w:val="none"/>
        </w:rPr>
        <w:t xml:space="preserve">四、提交投标文件开始时间、开标时间</w:t>
      </w:r>
      <w:bookmarkEnd w:id="15"/>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提交投标文件开始时间：</w:t>
      </w:r>
      <w:r>
        <w:rPr>
          <w:rFonts w:hint="eastAsia" w:ascii="宋体" w:hAnsi="宋体" w:cs="宋体"/>
          <w:b/>
          <w:color w:val="auto"/>
          <w:sz w:val="24"/>
          <w:szCs w:val="24"/>
          <w:highlight w:val="none"/>
        </w:rPr>
        <w:t xml:space="preserve">2026年7月14日</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时</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分（北京时间）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提交投标文件截止时间及开标时间：</w:t>
      </w:r>
      <w:r>
        <w:rPr>
          <w:rFonts w:hint="eastAsia" w:ascii="宋体" w:hAnsi="宋体" w:cs="宋体"/>
          <w:b/>
          <w:color w:val="auto"/>
          <w:sz w:val="24"/>
          <w:szCs w:val="24"/>
          <w:highlight w:val="none"/>
        </w:rPr>
        <w:t xml:space="preserve">2026年7月14日</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时</w:t>
      </w:r>
      <w:r>
        <w:rPr>
          <w:rFonts w:hint="eastAsia" w:ascii="宋体" w:hAnsi="宋体" w:cs="宋体"/>
          <w:b/>
          <w:color w:val="auto"/>
          <w:sz w:val="24"/>
          <w:szCs w:val="24"/>
          <w:highlight w:val="none"/>
          <w:lang w:val="en-US" w:eastAsia="zh-CN"/>
        </w:rPr>
        <w:t xml:space="preserve">00</w:t>
      </w:r>
      <w:r>
        <w:rPr>
          <w:rFonts w:hint="eastAsia" w:ascii="宋体" w:hAnsi="宋体" w:cs="宋体"/>
          <w:b/>
          <w:color w:val="auto"/>
          <w:sz w:val="24"/>
          <w:szCs w:val="24"/>
          <w:highlight w:val="none"/>
        </w:rPr>
        <w:t xml:space="preserve">分（北京时间）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递交</w:t>
      </w:r>
      <w:r>
        <w:rPr>
          <w:rFonts w:hint="eastAsia" w:ascii="宋体" w:hAnsi="宋体" w:cs="宋体"/>
          <w:bCs/>
          <w:color w:val="auto"/>
          <w:sz w:val="24"/>
          <w:szCs w:val="24"/>
          <w:highlight w:val="none"/>
        </w:rPr>
        <w:t xml:space="preserve">投标文件</w:t>
      </w:r>
      <w:r>
        <w:rPr>
          <w:rFonts w:hint="eastAsia" w:ascii="宋体" w:hAnsi="宋体" w:cs="宋体"/>
          <w:bCs/>
          <w:color w:val="auto"/>
          <w:sz w:val="24"/>
          <w:szCs w:val="24"/>
          <w:highlight w:val="none"/>
          <w:lang w:val="zh-CN"/>
        </w:rPr>
        <w:t xml:space="preserve">、开标地点：</w:t>
      </w:r>
      <w:r>
        <w:rPr>
          <w:rFonts w:hint="eastAsia" w:ascii="宋体" w:hAnsi="宋体" w:cs="宋体"/>
          <w:color w:val="auto"/>
          <w:sz w:val="24"/>
          <w:szCs w:val="24"/>
          <w:highlight w:val="none"/>
        </w:rPr>
        <w:t xml:space="preserve">江苏省政府采购管理交易系统（苏采云）</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6" w:name="_Toc228350061"/>
      <w:r>
        <w:rPr>
          <w:rFonts w:hint="eastAsia" w:ascii="宋体" w:hAnsi="宋体" w:cs="宋体"/>
          <w:b/>
          <w:bCs/>
          <w:color w:val="auto"/>
          <w:sz w:val="24"/>
          <w:szCs w:val="24"/>
          <w:highlight w:val="none"/>
        </w:rPr>
        <w:t xml:space="preserve">五、开启</w:t>
      </w:r>
      <w:bookmarkEnd w:id="16"/>
      <w:r/>
      <w:r/>
    </w:p>
    <w:p>
      <w:pPr>
        <w:ind w:firstLine="420"/>
        <w:spacing w:line="360" w:lineRule="auto"/>
        <w:rPr>
          <w:rFonts w:hint="eastAsia" w:ascii="宋体" w:hAnsi="宋体" w:cs="宋体"/>
          <w:color w:val="auto"/>
          <w:spacing w:val="8"/>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b/>
          <w:color w:val="auto"/>
          <w:sz w:val="24"/>
          <w:szCs w:val="24"/>
          <w:highlight w:val="none"/>
        </w:rPr>
        <w:t xml:space="preserve">2026年7月14日</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时</w:t>
      </w:r>
      <w:r>
        <w:rPr>
          <w:rFonts w:hint="eastAsia" w:ascii="宋体" w:hAnsi="宋体" w:cs="宋体"/>
          <w:b/>
          <w:color w:val="auto"/>
          <w:sz w:val="24"/>
          <w:szCs w:val="24"/>
          <w:highlight w:val="none"/>
          <w:lang w:val="en-US" w:eastAsia="zh-CN"/>
        </w:rPr>
        <w:t xml:space="preserve">00</w:t>
      </w:r>
      <w:r>
        <w:rPr>
          <w:rFonts w:hint="eastAsia" w:ascii="宋体" w:hAnsi="宋体" w:cs="宋体"/>
          <w:b/>
          <w:color w:val="auto"/>
          <w:sz w:val="24"/>
          <w:szCs w:val="24"/>
          <w:highlight w:val="none"/>
        </w:rPr>
        <w:t xml:space="preserve">分（北京时间）</w:t>
      </w:r>
      <w:r/>
    </w:p>
    <w:p>
      <w:pPr>
        <w:ind w:firstLine="420"/>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地点：</w:t>
      </w:r>
      <w:r>
        <w:rPr>
          <w:rFonts w:hint="eastAsia" w:ascii="宋体" w:hAnsi="宋体" w:cs="宋体"/>
          <w:color w:val="auto"/>
          <w:sz w:val="24"/>
          <w:szCs w:val="24"/>
          <w:highlight w:val="none"/>
        </w:rPr>
        <w:t xml:space="preserve">“苏采云”网上开标大厅</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7" w:name="_Toc228350062"/>
      <w:r>
        <w:rPr>
          <w:rFonts w:hint="eastAsia" w:ascii="宋体" w:hAnsi="宋体" w:cs="宋体"/>
          <w:b/>
          <w:bCs/>
          <w:color w:val="auto"/>
          <w:sz w:val="24"/>
          <w:szCs w:val="24"/>
          <w:highlight w:val="none"/>
        </w:rPr>
        <w:t xml:space="preserve">六、公告期限</w:t>
      </w:r>
      <w:bookmarkEnd w:id="17"/>
      <w:r/>
      <w:r/>
    </w:p>
    <w:p>
      <w:pPr>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自本公告在法定媒体发布之日起五个工作日</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8" w:name="_Toc228350063"/>
      <w:r>
        <w:rPr>
          <w:rFonts w:hint="eastAsia" w:ascii="宋体" w:hAnsi="宋体" w:cs="宋体"/>
          <w:b/>
          <w:bCs/>
          <w:color w:val="auto"/>
          <w:sz w:val="24"/>
          <w:szCs w:val="24"/>
          <w:highlight w:val="none"/>
        </w:rPr>
        <w:t xml:space="preserve">七、其他补充事宜</w:t>
      </w:r>
      <w:bookmarkEnd w:id="18"/>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1．是否接受进口产品：不接受。</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3．政府采购信用承诺</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（1）符合国家相关规定的财务状况报告；</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（2）依法缴纳税收的证明材料；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（3）依法缴纳社会保障资金的证明材料；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供应商涉及以下情形的，不适用信用承诺：</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（1）供应商被列入严重失信主体名单；</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供应商对信用承诺内容的真实性、合法性、有效性负责。如作出虚假信用承诺，视同为“提供虚假材料谋取中标、成交”的违法行为。</w:t>
      </w:r>
      <w:r/>
    </w:p>
    <w:p>
      <w:pPr>
        <w:numPr>
          <w:ilvl w:val="0"/>
          <w:numId w:val="6"/>
        </w:num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numPr>
          <w:ilvl w:val="0"/>
          <w:numId w:val="6"/>
        </w:num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本项目采购公告在江苏政府采购网、南京公共采购信息网发布。有关本次采购的事项若存在变动或修改，敬请及时关注在“江苏政府采购网”发布的更正公告。</w:t>
      </w:r>
      <w:r/>
    </w:p>
    <w:p>
      <w:pPr>
        <w:numPr>
          <w:ilvl w:val="0"/>
          <w:numId w:val="6"/>
        </w:numPr>
        <w:ind w:firstLine="482"/>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八、对本次招标提出询问，请按以下方式联系</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名称：南京江北新区管理委员会教育局</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地址：南京市浦口区行知路8号</w:t>
      </w:r>
      <w:r/>
    </w:p>
    <w:p>
      <w:pPr>
        <w:ind w:firstLine="480"/>
        <w:spacing w:line="360" w:lineRule="auto"/>
        <w:shd w:val="clear" w:color="auto" w:fill="ffffff"/>
        <w:widowControl/>
        <w:rPr>
          <w:rFonts w:ascii="宋体" w:hAnsi="宋体" w:cs="宋体"/>
          <w:color w:val="auto"/>
          <w:sz w:val="24"/>
          <w:szCs w:val="24"/>
          <w:highlight w:val="none"/>
        </w:rPr>
      </w:pPr>
      <w:r/>
      <w:bookmarkStart w:id="19" w:name="OLE_LINK17"/>
      <w:r/>
      <w:bookmarkStart w:id="20" w:name="OLE_LINK33"/>
      <w:r/>
      <w:bookmarkStart w:id="21" w:name="OLE_LINK14"/>
      <w:r>
        <w:rPr>
          <w:rFonts w:hint="eastAsia" w:ascii="宋体" w:hAnsi="宋体" w:cs="宋体"/>
          <w:color w:val="auto"/>
          <w:sz w:val="24"/>
          <w:szCs w:val="24"/>
          <w:highlight w:val="none"/>
        </w:rPr>
        <w:t xml:space="preserve">联系人：奚老师</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bookmarkEnd w:id="19"/>
      <w:r/>
      <w:bookmarkEnd w:id="20"/>
      <w:r/>
      <w:bookmarkEnd w:id="21"/>
      <w:r>
        <w:rPr>
          <w:rFonts w:hint="eastAsia" w:ascii="宋体" w:hAnsi="宋体" w:cs="宋体"/>
          <w:color w:val="auto"/>
          <w:sz w:val="24"/>
          <w:szCs w:val="24"/>
          <w:highlight w:val="none"/>
        </w:rPr>
        <w:t xml:space="preserve">025-58111956</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名称：捷宏润安工程顾问（江苏）有限公司</w:t>
      </w:r>
      <w:r/>
    </w:p>
    <w:p>
      <w:pPr>
        <w:ind w:firstLine="480"/>
        <w:spacing w:line="360" w:lineRule="auto"/>
        <w:shd w:val="clear" w:color="auto" w:fill="ffffff"/>
        <w:widowControl/>
        <w:rPr>
          <w:rFonts w:hint="eastAsia" w:ascii="宋体" w:hAnsi="宋体" w:cs="宋体"/>
          <w:color w:val="auto"/>
          <w:sz w:val="24"/>
          <w:szCs w:val="24"/>
          <w:highlight w:val="none"/>
        </w:rPr>
      </w:pPr>
      <w:r/>
      <w:bookmarkStart w:id="22" w:name="OLE_LINK20"/>
      <w:r>
        <w:rPr>
          <w:rFonts w:hint="eastAsia" w:ascii="宋体" w:hAnsi="宋体" w:cs="宋体"/>
          <w:color w:val="auto"/>
          <w:sz w:val="24"/>
          <w:szCs w:val="24"/>
          <w:highlight w:val="none"/>
        </w:rPr>
        <w:t xml:space="preserve">地址：</w:t>
      </w:r>
      <w:bookmarkStart w:id="23" w:name="OLE_LINK19"/>
      <w:r/>
      <w:bookmarkStart w:id="24" w:name="OLE_LINK18"/>
      <w:r>
        <w:rPr>
          <w:rFonts w:hint="eastAsia" w:ascii="宋体" w:hAnsi="宋体" w:cs="宋体"/>
          <w:color w:val="auto"/>
          <w:sz w:val="24"/>
          <w:szCs w:val="24"/>
          <w:highlight w:val="none"/>
        </w:rPr>
        <w:t xml:space="preserve">南京市玄武区板仓街9号B7栋三楼</w:t>
      </w:r>
      <w:bookmarkEnd w:id="23"/>
      <w:r/>
      <w:bookmarkEnd w:id="24"/>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联系人：费星宇</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联系方式：15951749695</w:t>
      </w:r>
      <w:bookmarkEnd w:id="22"/>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项目联系人：费星宇</w:t>
      </w:r>
      <w:r/>
    </w:p>
    <w:p>
      <w:pPr>
        <w:ind w:firstLine="480"/>
        <w:jc w:val="left"/>
        <w:shd w:val="clear" w:color="auto" w:fill="ffffff"/>
        <w:widowControl/>
        <w:rPr>
          <w:rFonts w:hint="eastAsia" w:ascii="宋体" w:hAnsi="宋体" w:cs="宋体"/>
          <w:b/>
          <w:bCs/>
          <w:color w:val="auto"/>
          <w:spacing w:val="-10"/>
          <w:sz w:val="10"/>
          <w:szCs w:val="10"/>
          <w:highlight w:val="none"/>
        </w:rPr>
      </w:pPr>
      <w:r>
        <w:rPr>
          <w:rFonts w:hint="eastAsia" w:ascii="宋体" w:hAnsi="宋体" w:cs="宋体"/>
          <w:color w:val="auto"/>
          <w:sz w:val="24"/>
          <w:szCs w:val="24"/>
          <w:highlight w:val="none"/>
        </w:rPr>
        <w:t xml:space="preserve">电话：15951749695</w:t>
      </w:r>
      <w:r>
        <w:rPr>
          <w:rFonts w:ascii="宋体" w:hAnsi="宋体" w:cs="宋体"/>
          <w:b/>
          <w:bCs/>
          <w:color w:val="auto"/>
          <w:spacing w:val="-10"/>
          <w:sz w:val="36"/>
          <w:szCs w:val="36"/>
          <w:highlight w:val="none"/>
        </w:rPr>
        <w:br w:type="page" w:clear="all"/>
      </w:r>
      <w:bookmarkStart w:id="25" w:name="_Toc228350064"/>
      <w:r/>
      <w:r/>
    </w:p>
    <w:p>
      <w:pPr>
        <w:ind w:firstLine="683"/>
        <w:jc w:val="center"/>
        <w:spacing w:line="360" w:lineRule="auto"/>
        <w:shd w:val="clear" w:color="auto" w:fill="ffffff"/>
        <w:widowControl/>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t xml:space="preserve">第二章  供应商须知</w:t>
      </w:r>
      <w:bookmarkEnd w:id="25"/>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26" w:name="_Toc228350065"/>
      <w:r/>
      <w:bookmarkStart w:id="27" w:name="_Hlk156125564"/>
      <w:r>
        <w:rPr>
          <w:rFonts w:hint="eastAsia" w:ascii="宋体" w:hAnsi="宋体" w:cs="宋体"/>
          <w:b/>
          <w:bCs/>
          <w:color w:val="auto"/>
          <w:sz w:val="24"/>
          <w:szCs w:val="24"/>
          <w:highlight w:val="none"/>
        </w:rPr>
        <w:t xml:space="preserve">一、总则</w:t>
      </w:r>
      <w:bookmarkEnd w:id="26"/>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1.适用法律</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1.1《中华人民共和国政府采购法》《中华人民共和国政府采购法实施条例》《政府采购货物和服务招标投标管理办法》等法律、法规、规章和规定。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2.定义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“供应商”“投标人”是指参加投标竞争，并符合招标文件规定资格条件的法人、其他组织或者自然人。</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3.政策功能</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3.1促进中小企业发展。在政府采购活动中，供应商提供的货物、工程或者服务符合下列情形的，享受中小企业扶持政策：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（1）在货物采购项目中，货物由中小企业制造，即货物由中小企业生产且使用该中小企业商号或者注册商标；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（2）在工程采购项目中，工程由中小企业承建，即工程施工单位为中小企业；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（3）在服务采购项目中，服务由中小企业承接，即提供服务的人员为中小企业依照《中华人民共和国劳动合同法》订立劳动合同的从业人员。</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82"/>
        <w:jc w:val="left"/>
        <w:spacing w:line="360" w:lineRule="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特别说明：</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在货物采购项目中，供应商提供的货物既有中小企业制造货物，也有大型企业制造货物的，不享受中小企业扶持政策。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中小企业供应商参加政府采购活动，应当出具《中小企业声明函》，否则不享受相关中小企业扶持政策。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3.7绿色包装规定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（2）本项目中涉及涂料、胶黏剂、油墨、清洗剂等挥发性有机物产品的，属于强制性标准的，供应商应当提供符合国家和江苏省相关VOCs含量限制标准的产品。</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3.8实施本国产品标准及相关政策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3.8.2本国产品应当符合以下条件：</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（1）在中国境内生产</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（2）在中国境内生产的组件成本占比达到规定比例</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特定产品的关键组件、关键工序符合相关要求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3.8.3本国产品标准的适用范围</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3.8.4对本国产品的支持政策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3.8.5政策执行要求</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28" w:name="_Toc228350066"/>
      <w:r>
        <w:rPr>
          <w:rFonts w:hint="eastAsia" w:ascii="宋体" w:hAnsi="宋体" w:cs="宋体"/>
          <w:b/>
          <w:bCs/>
          <w:color w:val="auto"/>
          <w:sz w:val="24"/>
          <w:szCs w:val="24"/>
          <w:highlight w:val="none"/>
        </w:rPr>
        <w:t xml:space="preserve">二、招标文件</w:t>
      </w:r>
      <w:bookmarkEnd w:id="28"/>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4.招标文件组成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4.1招标文件由投标邀请、供应商须知、评标办法、采购需求、合同条款、附件等组成。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5.招标文件的澄清修改</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5.1</w:t>
      </w:r>
      <w:r>
        <w:rPr>
          <w:rFonts w:hint="eastAsia" w:ascii="宋体" w:hAnsi="宋体" w:cs="宋体"/>
          <w:bCs/>
          <w:color w:val="auto"/>
          <w:sz w:val="24"/>
          <w:szCs w:val="24"/>
          <w:highlight w:val="none"/>
          <w:lang w:val="zh-CN"/>
        </w:rPr>
        <w:t xml:space="preserve">代理机构</w:t>
      </w:r>
      <w:r>
        <w:rPr>
          <w:rFonts w:hint="eastAsia" w:ascii="宋体" w:hAnsi="宋体" w:cs="宋体"/>
          <w:color w:val="auto"/>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5.2</w:t>
      </w:r>
      <w:r>
        <w:rPr>
          <w:rFonts w:hint="eastAsia" w:ascii="宋体" w:hAnsi="宋体" w:cs="宋体"/>
          <w:bCs/>
          <w:color w:val="auto"/>
          <w:sz w:val="24"/>
          <w:szCs w:val="24"/>
          <w:highlight w:val="none"/>
          <w:lang w:val="zh-CN"/>
        </w:rPr>
        <w:t xml:space="preserve">代理机构</w:t>
      </w:r>
      <w:r>
        <w:rPr>
          <w:rFonts w:hint="eastAsia" w:ascii="宋体" w:hAnsi="宋体" w:cs="宋体"/>
          <w:color w:val="auto"/>
          <w:sz w:val="24"/>
          <w:szCs w:val="24"/>
          <w:highlight w:val="none"/>
          <w:lang w:bidi="ar"/>
        </w:rPr>
        <w:t xml:space="preserve">在招标文件要求提交投标文件截止时间前，有权决定延长投标截止时间和开标时间，并在原采购信息发布媒体上发布变更公告。</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5.3供应商应在投标截止时间前关注原采购信息发布媒体有关本招标项目有无变更公告。</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29" w:name="_Toc228350067"/>
      <w:r>
        <w:rPr>
          <w:rFonts w:hint="eastAsia" w:ascii="宋体" w:hAnsi="宋体" w:cs="宋体"/>
          <w:b/>
          <w:bCs/>
          <w:color w:val="auto"/>
          <w:sz w:val="24"/>
          <w:szCs w:val="24"/>
          <w:highlight w:val="none"/>
        </w:rPr>
        <w:t xml:space="preserve">三、投标</w:t>
      </w:r>
      <w:bookmarkEnd w:id="29"/>
      <w:r/>
      <w:r/>
    </w:p>
    <w:p>
      <w:pPr>
        <w:ind w:firstLine="482"/>
        <w:jc w:val="left"/>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6</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投标</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6.1供应商应由其法定代表人或法定代表人授权委托人在规定的投标时间内，按时递交投标文件。</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供应商应当对招标文件提出的要求和条件作出实质性响应，</w:t>
      </w:r>
      <w:r>
        <w:rPr>
          <w:rFonts w:hint="eastAsia" w:ascii="宋体" w:hAnsi="宋体" w:cs="宋体"/>
          <w:bCs/>
          <w:color w:val="auto"/>
          <w:sz w:val="24"/>
          <w:szCs w:val="24"/>
          <w:highlight w:val="none"/>
        </w:rPr>
        <w:t xml:space="preserve">并在投标文件中逐条应答。</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供应商应当提供的资格证明文件（如资质证书、资格证书）、技术资料（如白皮书、彩页、手册、检测报告等）。</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zh-CN"/>
        </w:rPr>
        <w:t xml:space="preserve">供应商应逐一说明投标产品品牌、型号、产地、性能参数。</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投标产品属于国家认定的节能产品、环保产品、信息安全产品，应附认证证书扫描件。</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6供应商符合《政府采购促进中小企业发展管理办法》（财库【2020】46号）规定的，应按要求在投标文件中填写《中小企业声明函》，否则不享受相应政策。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7</w:t>
      </w:r>
      <w:r>
        <w:rPr>
          <w:rFonts w:hint="eastAsia" w:ascii="宋体" w:hAnsi="宋体" w:cs="宋体"/>
          <w:bCs/>
          <w:color w:val="auto"/>
          <w:sz w:val="24"/>
          <w:szCs w:val="24"/>
          <w:highlight w:val="none"/>
          <w:lang w:val="zh-CN"/>
        </w:rPr>
        <w:t xml:space="preserve">供应商拟在中标后将中标项目的非主体、非关键性工作交由他人完成的，应当在投标文件中载明。</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7.投标文件的语言、计量单位、货币、技术标准和编制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7.2供应商所使用的计量单位应为国家法定计量单位。</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7.3供应商应用人民币报价。</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7.4供应商所使用的技术标准应遵循国家最新标准及规范。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8.联合投标和分包</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8.1采购项目如接受联合体投标的，两个以上的自然人、法人或者其他组织可以组成一个联合体，以一个供应商的身份共同参加投标。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8.5享受中小企业扶持政策获得政府采购合同的，小微企业不得将合同分包给大中型企业，中型企业不得将合同分包给大型企业。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9.投标费用</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9.1供应商应承担所有与准备和参加投标有关的费用，无论采购结果如何，代理机构和采购人在任何情况下均无义务和责任承担这些费用。</w:t>
      </w:r>
      <w:r/>
    </w:p>
    <w:p>
      <w:pPr>
        <w:ind w:firstLine="482"/>
        <w:jc w:val="left"/>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 xml:space="preserve">9.2</w:t>
      </w:r>
      <w:bookmarkStart w:id="30" w:name="OLE_LINK32"/>
      <w:r/>
      <w:bookmarkStart w:id="31" w:name="OLE_LINK34"/>
      <w:r>
        <w:rPr>
          <w:rFonts w:hint="eastAsia" w:ascii="宋体" w:hAnsi="宋体" w:cs="宋体"/>
          <w:b/>
          <w:bCs/>
          <w:color w:val="auto"/>
          <w:sz w:val="24"/>
          <w:szCs w:val="24"/>
          <w:highlight w:val="none"/>
        </w:rPr>
        <w:t xml:space="preserve">本项目</w:t>
      </w:r>
      <w:r>
        <w:rPr>
          <w:rFonts w:hint="eastAsia" w:ascii="宋体" w:hAnsi="宋体" w:cs="宋体"/>
          <w:b/>
          <w:color w:val="auto"/>
          <w:sz w:val="24"/>
          <w:szCs w:val="24"/>
          <w:highlight w:val="none"/>
        </w:rPr>
        <w:t xml:space="preserve">招标代理费</w:t>
      </w:r>
      <w:r>
        <w:rPr>
          <w:rFonts w:hint="eastAsia" w:ascii="宋体" w:hAnsi="宋体" w:cs="宋体"/>
          <w:b/>
          <w:bCs/>
          <w:color w:val="auto"/>
          <w:sz w:val="24"/>
          <w:szCs w:val="24"/>
          <w:highlight w:val="none"/>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30"/>
      <w:r/>
      <w:bookmarkEnd w:id="31"/>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10.投标文件组成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投标文件由商务部分、技术部分、价格部分，以及其他部分组成。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11.投标文件的商务部分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（1）★投标函（投标申请及声明，格式见附件）；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（2）★法定代表人授权委托书（格式见附件）及委托代理人的身份证扫描件；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（3）★第一章投标邀请第六条第1款规定的资格证明材料；</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（4）★《南京市政府采购供应商信用记录表暨信用承诺书》；</w:t>
      </w:r>
      <w:r/>
    </w:p>
    <w:p>
      <w:pPr>
        <w:ind w:firstLine="480"/>
        <w:jc w:val="left"/>
        <w:spacing w:line="360" w:lineRule="auto"/>
        <w:widowControl/>
        <w:rPr>
          <w:rFonts w:hint="eastAsia"/>
          <w:color w:val="auto"/>
          <w:highlight w:val="none"/>
        </w:rPr>
      </w:pPr>
      <w:r>
        <w:rPr>
          <w:rFonts w:hint="eastAsia" w:ascii="宋体" w:hAnsi="宋体" w:cs="宋体"/>
          <w:color w:val="auto"/>
          <w:sz w:val="24"/>
          <w:szCs w:val="24"/>
          <w:highlight w:val="none"/>
          <w:lang w:bidi="ar"/>
        </w:rPr>
        <w:t xml:space="preserve">（5）★《关于符合本国产品标准的声明函》</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（6）供应商认为需要提供的其他资格证明文件和商务资料。</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12.投标文件的技术部分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12.2若技术性能无特殊说明，则按国家有关部门最新颁布的标准及规范为准。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12.3提供的技术如与招标文件要求有不符之处，应说明其差别之所在并逐条说明。</w:t>
      </w:r>
      <w:r>
        <w:rPr>
          <w:rFonts w:hint="eastAsia" w:ascii="宋体" w:hAnsi="宋体" w:cs="宋体"/>
          <w:b/>
          <w:color w:val="auto"/>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bidi="ar"/>
        </w:rPr>
        <w:t xml:space="preserve">12.4</w:t>
      </w:r>
      <w:r>
        <w:rPr>
          <w:rFonts w:hint="eastAsia" w:ascii="宋体" w:hAnsi="宋体" w:cs="宋体"/>
          <w:bCs/>
          <w:color w:val="auto"/>
          <w:sz w:val="24"/>
          <w:szCs w:val="24"/>
          <w:highlight w:val="none"/>
          <w:lang w:val="zh-CN"/>
        </w:rPr>
        <w:t xml:space="preserve">投标文件应按照招标文件要求技术资料、文件和有关证明，</w:t>
      </w:r>
      <w:r>
        <w:rPr>
          <w:rFonts w:hint="eastAsia" w:ascii="宋体" w:hAnsi="宋体" w:cs="宋体"/>
          <w:color w:val="auto"/>
          <w:sz w:val="24"/>
          <w:szCs w:val="24"/>
          <w:highlight w:val="none"/>
          <w:lang w:val="zh-CN"/>
        </w:rPr>
        <w:t xml:space="preserve">包括但不限于下列文件，其中加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项目不得有缺失或无效：</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（1）★服务方案（格式自拟）；</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（2）★《技术条款偏离表》；</w:t>
      </w:r>
      <w:r/>
    </w:p>
    <w:p>
      <w:pPr>
        <w:pStyle w:val="797"/>
        <w:ind w:firstLine="480"/>
        <w:jc w:val="left"/>
        <w:spacing w:after="0"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）★《供货一览表》；</w:t>
      </w:r>
      <w:r/>
    </w:p>
    <w:p>
      <w:pPr>
        <w:pStyle w:val="797"/>
        <w:ind w:firstLine="480"/>
        <w:jc w:val="left"/>
        <w:spacing w:after="0"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）★货物质量保证承诺书；</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）验收标准；</w:t>
      </w:r>
      <w:r/>
    </w:p>
    <w:p>
      <w:pPr>
        <w:ind w:firstLine="480"/>
        <w:jc w:val="left"/>
        <w:spacing w:line="360" w:lineRule="auto"/>
        <w:rPr>
          <w:rFonts w:hint="eastAsia" w:ascii="宋体" w:hAnsi="宋体" w:cs="宋体"/>
          <w:b/>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）供应商认为需要提供的其他技术资料。</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13.投标文件的价格部分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13.1供应商应对清单中的产品和服务分别报价，每一项产品和服务仅接受一个价格。</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13.3供应商的任何错漏、优惠、竞争性报价不得作为减轻责任、减少服务、增加收费、降低质量的理由。</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14.投标文件的其他部分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供应商编制投标文件需要提供的其他相关文件。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15.投标保证金</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本项目不收取保证金。</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16.投标有效期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16.1自开标之日起九十日内投标有效。</w:t>
      </w:r>
      <w:r/>
    </w:p>
    <w:p>
      <w:pPr>
        <w:ind w:firstLine="480"/>
        <w:jc w:val="left"/>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17.投标报价</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17.1供应商应对招标文件内的《产品清单》分别报价，并汇总报价。</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7</w:t>
      </w:r>
      <w:r>
        <w:rPr>
          <w:rFonts w:hint="eastAsia" w:ascii="宋体" w:hAnsi="宋体" w:cs="宋体"/>
          <w:b/>
          <w:bCs/>
          <w:color w:val="auto"/>
          <w:sz w:val="24"/>
          <w:szCs w:val="24"/>
          <w:highlight w:val="none"/>
          <w:lang w:val="zh-CN"/>
        </w:rPr>
        <w:t xml:space="preserve">、投标文件的递交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.1供应商应当按照《操作手册》规定，在</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公告规定的提交</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文件截止时间前制作并上传电子</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应充分考虑网络环境、网络带宽等因素可能对投标产生的影响，如因供应商自身原因造成的电子投标文件上传不成功的，按照本招标文件第二章第21.2.2.4条规定做无效响应处理。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.3采购代理机构可以按照规定，通过修改</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文件酌情延长提交</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文件截止日期，在此情况下，</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的所有权利和义务均以延长后新的截止日期为准。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文件应加盖投标供应商公章。</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文件中注明须签字的地方应由</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的法定代表人或委托代理人签字，如为委托代理人签字的应附“法定代表人授权委托书”。</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18</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文件的拒收</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18.1</w:t>
      </w:r>
      <w:r>
        <w:rPr>
          <w:rFonts w:hint="eastAsia" w:ascii="宋体" w:hAnsi="宋体" w:cs="宋体"/>
          <w:color w:val="auto"/>
          <w:sz w:val="24"/>
          <w:szCs w:val="24"/>
          <w:highlight w:val="none"/>
          <w:lang w:val="zh-CN"/>
        </w:rPr>
        <w:t xml:space="preserve">采购代理机构拒绝接收提交投标文件截止时间后上传的任何电子投标文件。</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9</w:t>
      </w:r>
      <w:r>
        <w:rPr>
          <w:rFonts w:hint="eastAsia" w:ascii="宋体" w:hAnsi="宋体" w:cs="宋体"/>
          <w:b/>
          <w:bCs/>
          <w:color w:val="auto"/>
          <w:sz w:val="24"/>
          <w:szCs w:val="24"/>
          <w:highlight w:val="none"/>
          <w:lang w:val="zh-CN"/>
        </w:rPr>
        <w:t xml:space="preserve">.投标文件的修改和撤回</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9</w:t>
      </w:r>
      <w:r>
        <w:rPr>
          <w:rFonts w:hint="eastAsia" w:ascii="宋体" w:hAnsi="宋体" w:cs="宋体"/>
          <w:b/>
          <w:bCs/>
          <w:color w:val="auto"/>
          <w:sz w:val="24"/>
          <w:szCs w:val="24"/>
          <w:highlight w:val="none"/>
          <w:lang w:val="zh-CN"/>
        </w:rPr>
        <w:t xml:space="preserve">.1投标文件的撤回</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（1）投标人可在提交投标文件截止时间前撤回其电子投标文件，具体操作方法见《操作手册》。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（2）投标人撤回电子投标文件，则认为其不再参与本项目投标活动。</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.2投标文件的修改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（1）投标人可在提交投标文件截止时间前对其电子投标文件进行修改，具体操作方法见《操作手册》。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（2）提交投标文件截止时间之后，投标人不得对其电子投标文件作任何修改。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.3在提交投标文件截止时间至招标文件中规定的投标有效期满之间的这段时间内，投标人不得撤回其投标文件。</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32" w:name="_Toc228350068"/>
      <w:r>
        <w:rPr>
          <w:rFonts w:hint="eastAsia" w:ascii="宋体" w:hAnsi="宋体" w:cs="宋体"/>
          <w:b/>
          <w:bCs/>
          <w:color w:val="auto"/>
          <w:sz w:val="24"/>
          <w:szCs w:val="24"/>
          <w:highlight w:val="none"/>
        </w:rPr>
        <w:t xml:space="preserve">四、开标、评标与确定中标供应商</w:t>
      </w:r>
      <w:bookmarkEnd w:id="32"/>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20</w:t>
      </w:r>
      <w:r>
        <w:rPr>
          <w:rFonts w:hint="eastAsia" w:ascii="宋体" w:hAnsi="宋体" w:cs="宋体"/>
          <w:b/>
          <w:bCs/>
          <w:color w:val="auto"/>
          <w:sz w:val="24"/>
          <w:szCs w:val="24"/>
          <w:highlight w:val="none"/>
          <w:lang w:val="zh-CN"/>
        </w:rPr>
        <w:t xml:space="preserve">.开标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.2投标人在开标过程中涉及到的投标文件解密、开标结果确认等工作，应按照《操作手册》规定执行。</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.3投标人如果对开标过程和开标结果有疑义，应当根据《操作手册》规定提出，苏采云系统中《开标一览表》公布后5分钟内未提出的，视同认可开标结果。</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21.评标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21.1评标组织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21.1.1评标工作由代理机构组织，具体评标事务由依法组建的评标委员会负责，并独立履行下列职责：</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审查、评价投标文件是否符合招标文件的商务、技术等实质性要求；</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要求投标人对投标文件有关事项作出澄清或者说明；</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对投标文件进行比较和评价；</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推荐中标候选人或根据采购人委托直接确定中标供应商；</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向采购人、财政部门报告评标中发现的违法行为。</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21.2评标程序</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21.2.1投标文件的资格审查</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21.2.1.1采购人代表依法对投标人的资格进行审查。</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21.2.1.4投标文件有下列情况之一的，在资格性审查时按照无效投标处理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（1）不具备招标文件规定资格条件的；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21.2.2投标文件的符合性审查</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21.2.2.2实质性要求是指本招标文件中带“★”的商务和技术要求。</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p>
    <w:p>
      <w:pPr>
        <w:ind w:firstLine="482"/>
        <w:jc w:val="left"/>
        <w:spacing w:line="360" w:lineRule="auto"/>
        <w:rPr>
          <w:rFonts w:hint="eastAsia" w:ascii="宋体" w:hAnsi="宋体" w:cs="宋体"/>
          <w:color w:val="auto"/>
          <w:sz w:val="24"/>
          <w:szCs w:val="24"/>
          <w:highlight w:val="none"/>
          <w:lang w:val="zh-CN"/>
        </w:rPr>
      </w:pPr>
      <w:r>
        <w:rPr>
          <w:rFonts w:hint="eastAsia" w:ascii="宋体" w:hAnsi="宋体" w:cs="宋体"/>
          <w:b/>
          <w:bCs/>
          <w:color w:val="auto"/>
          <w:sz w:val="24"/>
          <w:szCs w:val="24"/>
          <w:highlight w:val="none"/>
          <w:lang w:val="zh-CN"/>
        </w:rPr>
        <w:t xml:space="preserve">21.2.2.4投标文件有下列情况之一的，在符合性审查时按照无效投标处理：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（1）没有按照招标文件要求盖章或签字的；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（2）投标总价超出采购项目预算或者最高限价的；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（3）不同供应商的投标文件由同一单位或者个人编制；</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（4）不同供应商委托同一单位或者个人办理投标事宜；</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（5）不同供应商的投标文件载明的项目管理成员为同一人；</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（6）不同供应商的投标文件异常一致或者投标报价呈规律性差异；</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）不同供应商的法定代表人或委托代理人有夫妻、直系血亲关系的；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）不同供应商的负责人为同一人或者存在控股、管理关系的；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）不同供应商的委托代理人(或法定代表人、项目负责人等)在招标文件发布日上月至投标截止日当月在同一单位缴纳社会保险的；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属于投标邀请中第六条第2款拒绝参加本次采购活动供应商的</w:t>
      </w:r>
      <w:r>
        <w:rPr>
          <w:rFonts w:hint="eastAsia" w:ascii="宋体" w:hAnsi="宋体" w:cs="宋体"/>
          <w:color w:val="auto"/>
          <w:sz w:val="24"/>
          <w:szCs w:val="24"/>
          <w:highlight w:val="none"/>
          <w:lang w:val="zh-CN"/>
        </w:rPr>
        <w:t xml:space="preserve">；</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zh-CN"/>
        </w:rPr>
        <w:t xml:space="preserve">）没有逐一说明投标产品品牌、型号、产地、性能参数，而是直接拷贝招标文件技术要求的；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）投标文件含有采购人不能接受的附加条件的；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21.2.2.5有下列情形之一的予以废标：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（1）符合资格条件的供应商或者对招标文件作实质性响应的供应商不足三家的；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（2）出现影响采购公正的违法、违规行为的；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（3）供应商的报价均超过了采购预算或最高限价，采购人不能支付的；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（4）因重大变故，采购任务取消的；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（5）招标文件存在歧义、重大缺陷，或者招标文件内容违反国家有关强制性规定的。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（6）预留份额的采购项目或采购包，通过发布公告方式邀请供应商后，符合资格条件的中小企业数量不足3家的。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）因苏采云系统故障造成开标不成功。</w:t>
      </w:r>
      <w:r/>
    </w:p>
    <w:p>
      <w:pPr>
        <w:ind w:firstLine="480"/>
        <w:spacing w:line="360" w:lineRule="auto"/>
        <w:rPr>
          <w:rFonts w:hint="eastAsia" w:ascii="宋体" w:hAnsi="宋体" w:cs="宋体"/>
          <w:color w:val="auto"/>
          <w:sz w:val="24"/>
          <w:szCs w:val="24"/>
          <w:highlight w:val="none"/>
        </w:rPr>
      </w:pPr>
      <w:r/>
      <w:bookmarkStart w:id="33" w:name="OLE_LINK44"/>
      <w:r>
        <w:rPr>
          <w:rFonts w:hint="eastAsia" w:ascii="宋体" w:hAnsi="宋体" w:cs="宋体"/>
          <w:color w:val="auto"/>
          <w:sz w:val="24"/>
          <w:szCs w:val="24"/>
          <w:highlight w:val="none"/>
        </w:rPr>
        <w:t xml:space="preserve">21.2.2.6根据财政部《关于推动解决政府采购异常低价问题的通知》(财库【2026】2号)要求，评审过程中出现下列情形之一的，评审委员会应当启动异常低价投标(响应)审查程序: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（3）投标(响应)报价低于采购项目最高限价45%的，即投标(响应)报价＜采购项目最高限价×45%；</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具体要求按《关于推动解决政府采购异常低价问题的通知》(财库【2026】2号)执行。</w:t>
      </w:r>
      <w:bookmarkEnd w:id="33"/>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如出现投标截止时间后参加的投标人或者对招标文件作出实质性响应的各包投标人不足三家的情况，按政府采购相关规定执行。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澄清有关问题。</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投标人的澄清、说明或者补正不得超出投标文件的范围或者改变投标文件的实质性内容。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评标委员会并非对每个投标人都做澄清要求。</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）接到评标委员会澄清、说明和补正要求的，投标人如未按规定作出澄清、说明和补正，其风险由投标人自行承担。</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21.2.</w:t>
      </w: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投标文件报价出现前后不一致的，除招标文件另有规定外，按照下列规定修正：</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（1）投标文件中开标一览表内容与投标文件中相应内容不一致的，以开标一览表为准；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（2）大写金额和小写金额不一致的，以大写金额为准；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（3）单价金额小数点或者百分比有明显错位的，以开标一览表的总价为准，并修改单价；</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（4）总价金额与按单价汇总金额不一致的，以单价金额计算结果为准。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同时出现两种以上不一致的，按照前款规定的顺序修正。</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21.2.5比较与评价。</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按照招标文件中规定的评标方法和标准，对资格性检查和符合性检查合格的投标文件进行商务和技术评估，综合比较与评价。</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w:t>
      </w:r>
      <w:r>
        <w:rPr>
          <w:rFonts w:hint="eastAsia" w:ascii="宋体" w:hAnsi="宋体" w:cs="宋体"/>
          <w:b/>
          <w:bCs/>
          <w:color w:val="auto"/>
          <w:sz w:val="24"/>
          <w:szCs w:val="24"/>
          <w:highlight w:val="none"/>
        </w:rPr>
        <w:t xml:space="preserve">1.2.6</w:t>
      </w:r>
      <w:r>
        <w:rPr>
          <w:rFonts w:hint="eastAsia" w:ascii="宋体" w:hAnsi="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21.3评标方法和标准</w:t>
      </w:r>
      <w:r/>
    </w:p>
    <w:p>
      <w:pPr>
        <w:ind w:firstLine="482"/>
        <w:jc w:val="left"/>
        <w:spacing w:line="360" w:lineRule="auto"/>
        <w:rPr>
          <w:rFonts w:hint="eastAsia" w:ascii="宋体" w:hAnsi="宋体" w:cs="宋体"/>
          <w:b/>
          <w:color w:val="auto"/>
          <w:sz w:val="24"/>
          <w:szCs w:val="24"/>
          <w:highlight w:val="none"/>
          <w:lang w:val="zh-CN"/>
        </w:rPr>
      </w:pPr>
      <w:r>
        <w:rPr>
          <w:rFonts w:hint="eastAsia" w:ascii="宋体" w:hAnsi="宋体" w:cs="宋体"/>
          <w:b/>
          <w:bCs/>
          <w:color w:val="auto"/>
          <w:sz w:val="24"/>
          <w:szCs w:val="24"/>
          <w:highlight w:val="none"/>
          <w:lang w:val="zh-CN"/>
        </w:rPr>
        <w:t xml:space="preserve">21.3.2</w:t>
      </w:r>
      <w:r>
        <w:rPr>
          <w:rFonts w:hint="eastAsia" w:ascii="宋体" w:hAnsi="宋体" w:cs="宋体"/>
          <w:b/>
          <w:bCs/>
          <w:color w:val="auto"/>
          <w:sz w:val="24"/>
          <w:szCs w:val="24"/>
          <w:highlight w:val="none"/>
        </w:rPr>
        <w:t xml:space="preserve">本次采购采用综合评分法，评标方法和标准，详见本招标文件第三章。</w:t>
      </w:r>
      <w:r>
        <w:rPr>
          <w:rFonts w:hint="eastAsia" w:ascii="宋体" w:hAnsi="宋体" w:cs="宋体"/>
          <w:color w:val="auto"/>
          <w:sz w:val="24"/>
          <w:szCs w:val="24"/>
          <w:highlight w:val="none"/>
        </w:rPr>
        <w:t xml:space="preserve">综合评分法，是指投标文件满足招标文件全部实质性要求，且按照评审因素的量化指标评审得分最高的投标人为中标候选人的评标方法。</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22.确定中标供应商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cs="宋体"/>
          <w:color w:val="auto"/>
          <w:sz w:val="24"/>
          <w:szCs w:val="24"/>
          <w:highlight w:val="none"/>
        </w:rPr>
        <w:t xml:space="preserve">投标文件满足招标文件全部实质性要求，</w:t>
      </w:r>
      <w:bookmarkEnd w:id="34"/>
      <w:r/>
      <w:bookmarkStart w:id="35" w:name="_Hlk128053036"/>
      <w:r>
        <w:rPr>
          <w:rFonts w:hint="eastAsia" w:ascii="宋体" w:hAnsi="宋体" w:cs="宋体"/>
          <w:color w:val="auto"/>
          <w:sz w:val="24"/>
          <w:szCs w:val="24"/>
          <w:highlight w:val="none"/>
        </w:rPr>
        <w:t xml:space="preserve">且按照评审因素的量化指标评审得分，经采购人授权，评标委员会确定中标人。</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22.2中标人确定后，采购代理机构在</w:t>
      </w:r>
      <w:r>
        <w:rPr>
          <w:rFonts w:hint="eastAsia" w:ascii="宋体" w:hAnsi="宋体" w:cs="宋体"/>
          <w:color w:val="auto"/>
          <w:sz w:val="24"/>
          <w:szCs w:val="24"/>
          <w:highlight w:val="none"/>
          <w:lang w:val="zh-CN"/>
        </w:rPr>
        <w:t xml:space="preserve">“江苏政府采购网”发布</w:t>
      </w:r>
      <w:r>
        <w:rPr>
          <w:rFonts w:hint="eastAsia" w:ascii="宋体" w:hAnsi="宋体" w:cs="宋体"/>
          <w:color w:val="auto"/>
          <w:sz w:val="24"/>
          <w:szCs w:val="24"/>
          <w:highlight w:val="none"/>
        </w:rPr>
        <w:t xml:space="preserve">中标公告，公告期限为1个工作日。</w:t>
      </w:r>
      <w:bookmarkEnd w:id="35"/>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23.中标通知书</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23.l中标结果确定后，采购代理机构将向中标人发出中标通知书。中标人可在中标结果公告届满之日起三十日内,登录苏采云系统下载。</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23.3中标人在领取中标通知书时，需向采购代理机构提供纸质版投标文件一式叁份（盖章版本），投标文件提倡按照A4幅面打印或复印并进行装订（采用胶装形式递交）。</w:t>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24.评标过程的保密性</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24.1采购人和采购代理机构将采取必要措施，保证评标在严格保密的情况下进行。</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24.2任何单位和个人不得非法干预、影响评标办法的确定，以及评标过程和结果。</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24.3凡是与审查、澄清、评价和比较投标的有关资料等，均不向投标人及与评标无关的其他人员透露。</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24.4采购代理机构和评标委员会不向未中标的投标人解释未中标原因，也不公布评标过程中的相关细节。</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36" w:name="_Hlk176188663"/>
      <w:r/>
      <w:bookmarkStart w:id="37" w:name="_Toc228350069"/>
      <w:r>
        <w:rPr>
          <w:rFonts w:hint="eastAsia" w:ascii="宋体" w:hAnsi="宋体" w:cs="宋体"/>
          <w:b/>
          <w:bCs/>
          <w:color w:val="auto"/>
          <w:sz w:val="24"/>
          <w:szCs w:val="24"/>
          <w:highlight w:val="none"/>
        </w:rPr>
        <w:t xml:space="preserve">五、签订合同</w:t>
      </w:r>
      <w:bookmarkEnd w:id="36"/>
      <w:r/>
      <w:bookmarkEnd w:id="37"/>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25.签订合同</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25.2采购人不得向中标人提出任何不合理的要求作为签订合同的条件。</w:t>
      </w:r>
      <w:r/>
    </w:p>
    <w:p>
      <w:pPr>
        <w:ind w:firstLine="480"/>
        <w:jc w:val="left"/>
        <w:spacing w:line="360" w:lineRule="auto"/>
        <w:shd w:val="clear" w:color="auto" w:fill="ffffff"/>
        <w:widowControl/>
        <w:rPr>
          <w:rFonts w:hint="eastAsia" w:ascii="宋体" w:hAnsi="宋体" w:cs="宋体"/>
          <w:color w:val="auto"/>
          <w:sz w:val="24"/>
          <w:szCs w:val="24"/>
          <w:highlight w:val="none"/>
        </w:rPr>
      </w:pPr>
      <w:r/>
      <w:bookmarkStart w:id="38" w:name="_Hlk128053131"/>
      <w:r>
        <w:rPr>
          <w:rFonts w:hint="eastAsia" w:ascii="宋体" w:hAnsi="宋体" w:cs="宋体"/>
          <w:color w:val="auto"/>
          <w:sz w:val="24"/>
          <w:szCs w:val="24"/>
          <w:highlight w:val="none"/>
        </w:rPr>
        <w:t xml:space="preserve">25.3</w:t>
      </w:r>
      <w:bookmarkStart w:id="39" w:name="_Hlk134712780"/>
      <w:r>
        <w:rPr>
          <w:rFonts w:hint="eastAsia" w:ascii="宋体" w:hAnsi="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8"/>
      <w:r/>
      <w:bookmarkEnd w:id="39"/>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25.4政府采购合同履行中，采购人需追加与合同标的相同的</w:t>
      </w:r>
      <w:bookmarkStart w:id="40" w:name="_Hlk176352307"/>
      <w:r>
        <w:rPr>
          <w:rFonts w:hint="eastAsia" w:ascii="宋体" w:hAnsi="宋体" w:cs="宋体"/>
          <w:color w:val="auto"/>
          <w:sz w:val="24"/>
          <w:szCs w:val="24"/>
          <w:highlight w:val="none"/>
        </w:rPr>
        <w:t xml:space="preserve">服务（包含与服务相关的货物）</w:t>
      </w:r>
      <w:bookmarkEnd w:id="40"/>
      <w:r>
        <w:rPr>
          <w:rFonts w:hint="eastAsia" w:ascii="宋体" w:hAnsi="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25.5招标文件、中标人的投标文件及招标过程中有关澄清、承诺文件均作为合同附件。</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25.6采购人与中标人应当根据合同的约定依法履行合同义务。</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41" w:name="_Toc228350070"/>
      <w:r>
        <w:rPr>
          <w:rFonts w:hint="eastAsia" w:ascii="宋体" w:hAnsi="宋体" w:cs="宋体"/>
          <w:b/>
          <w:bCs/>
          <w:color w:val="auto"/>
          <w:sz w:val="24"/>
          <w:szCs w:val="24"/>
          <w:highlight w:val="none"/>
        </w:rPr>
        <w:t xml:space="preserve">六、质疑和投诉</w:t>
      </w:r>
      <w:bookmarkEnd w:id="41"/>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26.质疑</w:t>
      </w:r>
      <w:r/>
    </w:p>
    <w:p>
      <w:pPr>
        <w:ind w:firstLine="480"/>
        <w:jc w:val="left"/>
        <w:spacing w:line="360" w:lineRule="auto"/>
        <w:shd w:val="clear" w:color="auto" w:fill="ffffff"/>
        <w:widowControl/>
        <w:rPr>
          <w:rFonts w:hint="eastAsia" w:ascii="宋体" w:hAnsi="宋体" w:cs="宋体"/>
          <w:color w:val="auto"/>
          <w:sz w:val="24"/>
          <w:szCs w:val="24"/>
          <w:highlight w:val="none"/>
        </w:rPr>
      </w:pPr>
      <w:r/>
      <w:bookmarkStart w:id="42" w:name="_Hlk135041925"/>
      <w:r>
        <w:rPr>
          <w:rFonts w:hint="eastAsia" w:ascii="宋体" w:hAnsi="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以联合体形式参加政府采购活动的，其质疑应当由组成联合体的所有投标人共同提出，联合体各方均须按要求加盖公章。</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投标人必须在法定质疑期内一次性提出针对同一采购程序环节的质疑。</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26.4投标人提出质疑应当按照《政府采购质疑和投诉办法》的规定提交质疑函和必要的证明材料。质疑函应当包括下列内容：</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（1）投标人的姓名或者名称、地址、邮编、联系人及联系电话；</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（3）具体、明确的质疑事项和与质疑事项相关的请求（具体条款）；</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（4）事实依据（具体条款）；</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（5）必要的法律依据（具体条款）；</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26.5质疑函应当现场提交至采购代理机构联系人处，提交时应出示有效身份证明。未按上述要求提交质疑函的，质疑不予受理。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26.7采购代理机构在收到投标人的书面质疑后将及时组织调查核实，在</w:t>
      </w:r>
      <w:r>
        <w:rPr>
          <w:rFonts w:hint="eastAsia" w:ascii="宋体" w:hAnsi="宋体" w:cs="宋体"/>
          <w:b/>
          <w:bCs/>
          <w:color w:val="auto"/>
          <w:sz w:val="24"/>
          <w:szCs w:val="24"/>
          <w:highlight w:val="none"/>
        </w:rPr>
        <w:t xml:space="preserve">七个工作日内</w:t>
      </w:r>
      <w:r>
        <w:rPr>
          <w:rFonts w:hint="eastAsia" w:ascii="宋体" w:hAnsi="宋体" w:cs="宋体"/>
          <w:color w:val="auto"/>
          <w:sz w:val="24"/>
          <w:szCs w:val="24"/>
          <w:highlight w:val="none"/>
        </w:rPr>
        <w:t xml:space="preserve">作出答复，并以书面或在网站公告形式通知质疑投标人和其他有关投标人，答复的内容不涉及商业秘密。</w:t>
      </w:r>
      <w:bookmarkEnd w:id="42"/>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27.投诉</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27.2投标人投诉应当有明确的请求和必要的证明材料。投标人投诉的事项不得超出已质疑事项的范围。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27.4投诉人在全国范围12个月内3次以上投诉查无实据的，由财政部门列入不良行为记录名单。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27.5投诉人有下列行为之一的，属于虚假、恶意投诉，由财政部门列入不良行为记录名单，禁止其1至3年内参加政府采购活动：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（1）捏造事实；</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（2）提供虚假材料；</w:t>
      </w:r>
      <w:r/>
    </w:p>
    <w:p>
      <w:pPr>
        <w:ind w:firstLine="480"/>
        <w:jc w:val="center"/>
        <w:spacing w:line="360" w:lineRule="auto"/>
        <w:rPr>
          <w:rFonts w:hint="eastAsia" w:ascii="宋体" w:hAnsi="宋体" w:cs="宋体"/>
          <w:b/>
          <w:bCs/>
          <w:color w:val="auto"/>
          <w:spacing w:val="-10"/>
          <w:sz w:val="36"/>
          <w:szCs w:val="36"/>
          <w:highlight w:val="none"/>
          <w:lang w:val="zh-CN"/>
        </w:rPr>
      </w:pPr>
      <w:r>
        <w:rPr>
          <w:rFonts w:hint="eastAsia" w:ascii="宋体" w:hAnsi="宋体" w:cs="宋体"/>
          <w:color w:val="auto"/>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b/>
          <w:bCs/>
          <w:color w:val="auto"/>
          <w:spacing w:val="-10"/>
          <w:sz w:val="36"/>
          <w:szCs w:val="36"/>
          <w:highlight w:val="none"/>
          <w:lang w:val="zh-CN"/>
        </w:rPr>
        <w:br w:type="page" w:clear="all"/>
      </w:r>
      <w:bookmarkStart w:id="43" w:name="_Toc228350071"/>
      <w:r>
        <w:rPr>
          <w:rFonts w:hint="eastAsia" w:ascii="宋体" w:hAnsi="宋体" w:cs="宋体"/>
          <w:b/>
          <w:bCs/>
          <w:color w:val="auto"/>
          <w:spacing w:val="-10"/>
          <w:sz w:val="36"/>
          <w:szCs w:val="36"/>
          <w:highlight w:val="none"/>
          <w:lang w:val="zh-CN"/>
        </w:rPr>
        <w:t xml:space="preserve">第三章</w:t>
      </w:r>
      <w:r>
        <w:rPr>
          <w:rFonts w:hint="eastAsia" w:ascii="宋体" w:hAnsi="宋体" w:cs="宋体"/>
          <w:b/>
          <w:bCs/>
          <w:color w:val="auto"/>
          <w:spacing w:val="-10"/>
          <w:sz w:val="36"/>
          <w:szCs w:val="36"/>
          <w:highlight w:val="none"/>
        </w:rPr>
        <w:t xml:space="preserve">  </w:t>
      </w:r>
      <w:r>
        <w:rPr>
          <w:rFonts w:hint="eastAsia" w:ascii="宋体" w:hAnsi="宋体" w:cs="宋体"/>
          <w:b/>
          <w:bCs/>
          <w:color w:val="auto"/>
          <w:spacing w:val="-10"/>
          <w:sz w:val="36"/>
          <w:szCs w:val="36"/>
          <w:highlight w:val="none"/>
          <w:lang w:val="zh-CN"/>
        </w:rPr>
        <w:t xml:space="preserve">评标方法和标准</w:t>
      </w:r>
      <w:bookmarkEnd w:id="43"/>
      <w:r/>
      <w:r/>
    </w:p>
    <w:p>
      <w:pPr>
        <w:jc w:val="left"/>
        <w:spacing w:line="360" w:lineRule="auto"/>
        <w:rPr>
          <w:rFonts w:hint="eastAsia" w:ascii="宋体" w:hAnsi="宋体" w:cs="宋体"/>
          <w:b/>
          <w:bCs/>
          <w:color w:val="auto"/>
          <w:sz w:val="24"/>
          <w:szCs w:val="24"/>
          <w:highlight w:val="none"/>
          <w:lang w:val="zh-CN"/>
        </w:rPr>
        <w:outlineLvl w:val="1"/>
      </w:pPr>
      <w:r/>
      <w:bookmarkStart w:id="44" w:name="_Toc228350072"/>
      <w:r>
        <w:rPr>
          <w:rFonts w:hint="eastAsia" w:ascii="宋体" w:hAnsi="宋体" w:cs="宋体"/>
          <w:b/>
          <w:bCs/>
          <w:color w:val="auto"/>
          <w:sz w:val="24"/>
          <w:szCs w:val="24"/>
          <w:highlight w:val="none"/>
          <w:lang w:val="zh-CN"/>
        </w:rPr>
        <w:t xml:space="preserve">一、采用综合评分法</w:t>
      </w:r>
      <w:bookmarkEnd w:id="44"/>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jc w:val="left"/>
        <w:spacing w:line="360" w:lineRule="auto"/>
        <w:rPr>
          <w:rFonts w:ascii="宋体" w:hAnsi="宋体" w:cs="宋体"/>
          <w:b/>
          <w:bCs/>
          <w:color w:val="auto"/>
          <w:sz w:val="24"/>
          <w:szCs w:val="24"/>
          <w:highlight w:val="none"/>
          <w:lang w:val="zh-CN"/>
        </w:rPr>
        <w:outlineLvl w:val="1"/>
      </w:pPr>
      <w:r/>
      <w:bookmarkStart w:id="45" w:name="_Toc228350073"/>
      <w:r/>
      <w:bookmarkStart w:id="46" w:name="OLE_LINK6"/>
      <w:r/>
      <w:bookmarkStart w:id="47" w:name="OLE_LINK3"/>
      <w:r/>
      <w:bookmarkStart w:id="48" w:name="OLE_LINK7"/>
      <w:r/>
      <w:bookmarkStart w:id="49" w:name="OLE_LINK4"/>
      <w:r>
        <w:rPr>
          <w:rFonts w:hint="eastAsia" w:ascii="宋体" w:hAnsi="宋体" w:cs="宋体"/>
          <w:b/>
          <w:bCs/>
          <w:color w:val="auto"/>
          <w:sz w:val="24"/>
          <w:szCs w:val="24"/>
          <w:highlight w:val="none"/>
          <w:lang w:val="zh-CN"/>
        </w:rPr>
        <w:t xml:space="preserve">二、综合评分法评审评分细则</w:t>
      </w:r>
      <w:bookmarkEnd w:id="45"/>
      <w:r/>
      <w:r/>
    </w:p>
    <w:p>
      <w:pPr>
        <w:pStyle w:val="813"/>
        <w:rPr>
          <w:rFonts w:hint="eastAsia" w:cs="宋体"/>
          <w:color w:val="auto"/>
          <w:szCs w:val="21"/>
          <w:highlight w:val="none"/>
        </w:rPr>
      </w:pPr>
      <w:r>
        <w:rPr>
          <w:rFonts w:hint="eastAsia" w:cs="宋体"/>
          <w:color w:val="auto"/>
          <w:szCs w:val="21"/>
          <w:highlight w:val="none"/>
        </w:rPr>
      </w:r>
      <w:r/>
    </w:p>
    <w:tbl>
      <w:tblPr>
        <w:tblStyle w:val="689"/>
        <w:tblW w:w="98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7"/>
        <w:gridCol w:w="6238"/>
        <w:gridCol w:w="709"/>
        <w:gridCol w:w="993"/>
      </w:tblGrid>
      <w:tr>
        <w:trPr>
          <w:jc w:val="center"/>
          <w:trHeight w:val="454"/>
          <w:tblHeader/>
        </w:trPr>
        <w:tc>
          <w:tcPr>
            <w:tcW w:w="623"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序号</w:t>
            </w:r>
            <w:r/>
          </w:p>
        </w:tc>
        <w:tc>
          <w:tcPr>
            <w:tcW w:w="1277"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评审因素</w:t>
            </w:r>
            <w:r/>
          </w:p>
        </w:tc>
        <w:tc>
          <w:tcPr>
            <w:tcW w:w="6238"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评审细则</w:t>
            </w:r>
            <w:r/>
          </w:p>
        </w:tc>
        <w:tc>
          <w:tcPr>
            <w:tcW w:w="709"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分值</w:t>
            </w:r>
            <w:r/>
          </w:p>
        </w:tc>
        <w:tc>
          <w:tcPr>
            <w:tcW w:w="993"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类型</w:t>
            </w:r>
            <w:r/>
          </w:p>
        </w:tc>
      </w:tr>
      <w:tr>
        <w:trPr>
          <w:jc w:val="center"/>
          <w:trHeight w:val="460"/>
        </w:trPr>
        <w:tc>
          <w:tcPr>
            <w:gridSpan w:val="5"/>
            <w:tcW w:w="9840" w:type="dxa"/>
            <w:vAlign w:val="top"/>
            <w:textDirection w:val="lrTb"/>
            <w:noWrap w:val="false"/>
          </w:tcPr>
          <w:p>
            <w:pPr>
              <w:ind w:left="114"/>
              <w:spacing w:before="122"/>
              <w:rPr>
                <w:rFonts w:ascii="宋体" w:hAnsi="宋体" w:cs="宋体"/>
                <w:color w:val="auto"/>
                <w:highlight w:val="none"/>
              </w:rPr>
            </w:pPr>
            <w:r>
              <w:rPr>
                <w:rFonts w:hint="eastAsia" w:ascii="宋体" w:hAnsi="宋体" w:cs="宋体"/>
                <w:b/>
                <w:bCs/>
                <w:color w:val="auto"/>
                <w:spacing w:val="-3"/>
                <w:highlight w:val="none"/>
              </w:rPr>
              <w:t xml:space="preserve">1.价</w:t>
            </w:r>
            <w:r>
              <w:rPr>
                <w:rFonts w:hint="eastAsia" w:ascii="宋体" w:hAnsi="宋体" w:cs="宋体"/>
                <w:b/>
                <w:bCs/>
                <w:color w:val="auto"/>
                <w:spacing w:val="-2"/>
                <w:highlight w:val="none"/>
              </w:rPr>
              <w:t xml:space="preserve">格</w:t>
            </w:r>
            <w:r/>
          </w:p>
        </w:tc>
      </w:tr>
      <w:tr>
        <w:trPr>
          <w:jc w:val="center"/>
          <w:trHeight w:val="1030"/>
        </w:trPr>
        <w:tc>
          <w:tcPr>
            <w:tcW w:w="623"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spacing w:val="-6"/>
                <w:highlight w:val="none"/>
              </w:rPr>
              <w:t xml:space="preserve">1</w:t>
            </w:r>
            <w:r>
              <w:rPr>
                <w:rFonts w:hint="eastAsia" w:ascii="宋体" w:hAnsi="宋体" w:cs="宋体"/>
                <w:color w:val="auto"/>
                <w:spacing w:val="-5"/>
                <w:highlight w:val="none"/>
              </w:rPr>
              <w:t xml:space="preserve">.1</w:t>
            </w:r>
            <w:r/>
          </w:p>
        </w:tc>
        <w:tc>
          <w:tcPr>
            <w:tcW w:w="1277"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spacing w:val="-2"/>
                <w:highlight w:val="none"/>
              </w:rPr>
              <w:t xml:space="preserve">价格分</w:t>
            </w:r>
            <w:r/>
          </w:p>
        </w:tc>
        <w:tc>
          <w:tcPr>
            <w:tcW w:w="6238" w:type="dxa"/>
            <w:vAlign w:val="center"/>
            <w:textDirection w:val="lrTb"/>
            <w:noWrap w:val="false"/>
          </w:tcPr>
          <w:p>
            <w:pPr>
              <w:ind w:firstLine="212"/>
              <w:jc w:val="left"/>
              <w:spacing w:line="360" w:lineRule="auto"/>
              <w:rPr>
                <w:rFonts w:ascii="宋体" w:hAnsi="宋体" w:cs="宋体"/>
                <w:color w:val="auto"/>
                <w:highlight w:val="none"/>
              </w:rPr>
            </w:pPr>
            <w:r>
              <w:rPr>
                <w:rFonts w:hint="eastAsia" w:ascii="宋体" w:hAnsi="宋体" w:cs="宋体"/>
                <w:color w:val="auto"/>
                <w:spacing w:val="1"/>
                <w:highlight w:val="none"/>
              </w:rPr>
              <w:t xml:space="preserve">采用低价优先</w:t>
            </w:r>
            <w:r>
              <w:rPr>
                <w:rFonts w:hint="eastAsia" w:ascii="宋体" w:hAnsi="宋体" w:cs="宋体"/>
                <w:color w:val="auto"/>
                <w:highlight w:val="none"/>
              </w:rPr>
              <w:t xml:space="preserve">法计算，即满足招标文件要求且投标价格最低的投标</w:t>
            </w:r>
            <w:r>
              <w:rPr>
                <w:rFonts w:hint="eastAsia" w:ascii="宋体" w:hAnsi="宋体" w:cs="宋体"/>
                <w:color w:val="auto"/>
                <w:spacing w:val="1"/>
                <w:highlight w:val="none"/>
              </w:rPr>
              <w:t xml:space="preserve">报价为评标基准</w:t>
            </w:r>
            <w:r>
              <w:rPr>
                <w:rFonts w:hint="eastAsia" w:ascii="宋体" w:hAnsi="宋体" w:cs="宋体"/>
                <w:color w:val="auto"/>
                <w:highlight w:val="none"/>
              </w:rPr>
              <w:t xml:space="preserve">价，其价格分为满分。其他投标人的价格分统一按</w:t>
            </w:r>
            <w:r>
              <w:rPr>
                <w:rFonts w:hint="eastAsia" w:ascii="宋体" w:hAnsi="宋体" w:cs="宋体"/>
                <w:color w:val="auto"/>
                <w:spacing w:val="-1"/>
                <w:highlight w:val="none"/>
              </w:rPr>
              <w:t xml:space="preserve">照下列公</w:t>
            </w:r>
            <w:r>
              <w:rPr>
                <w:rFonts w:hint="eastAsia" w:ascii="宋体" w:hAnsi="宋体" w:cs="宋体"/>
                <w:color w:val="auto"/>
                <w:highlight w:val="none"/>
              </w:rPr>
              <w:t xml:space="preserve">式计算：投标报价得分=(评标基准价/投标报价)×价格分值（小数点保留两位）</w:t>
            </w:r>
            <w:r/>
          </w:p>
        </w:tc>
        <w:tc>
          <w:tcPr>
            <w:tcW w:w="709"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30</w:t>
            </w:r>
            <w:r/>
          </w:p>
        </w:tc>
        <w:tc>
          <w:tcPr>
            <w:tcW w:w="993"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W w:w="9840" w:type="dxa"/>
            <w:vAlign w:val="top"/>
            <w:textDirection w:val="lrTb"/>
            <w:noWrap w:val="false"/>
          </w:tcPr>
          <w:p>
            <w:pPr>
              <w:ind w:left="114"/>
              <w:spacing w:before="123"/>
              <w:rPr>
                <w:rFonts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891"/>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2.1</w:t>
            </w:r>
            <w:r/>
          </w:p>
        </w:tc>
        <w:tc>
          <w:tcPr>
            <w:tcW w:w="1277" w:type="dxa"/>
            <w:vAlign w:val="center"/>
            <w:textDirection w:val="lrTb"/>
            <w:noWrap w:val="false"/>
          </w:tcPr>
          <w:p>
            <w:pPr>
              <w:jc w:val="left"/>
              <w:spacing w:before="68"/>
              <w:rPr>
                <w:rFonts w:ascii="宋体" w:hAnsi="宋体" w:cs="宋体"/>
                <w:color w:val="auto"/>
                <w:spacing w:val="-2"/>
                <w:highlight w:val="none"/>
              </w:rPr>
            </w:pPr>
            <w:r>
              <w:rPr>
                <w:rFonts w:hint="eastAsia" w:ascii="宋体" w:hAnsi="宋体" w:cs="宋体"/>
                <w:color w:val="auto"/>
                <w:spacing w:val="-2"/>
                <w:highlight w:val="none"/>
              </w:rPr>
              <w:t xml:space="preserve">产品技术参数</w:t>
            </w:r>
            <w:r/>
          </w:p>
        </w:tc>
        <w:tc>
          <w:tcPr>
            <w:tcW w:w="6238" w:type="dxa"/>
            <w:vAlign w:val="center"/>
            <w:textDirection w:val="lrTb"/>
            <w:noWrap w:val="false"/>
          </w:tcPr>
          <w:p>
            <w:pPr>
              <w:ind w:firstLine="210"/>
              <w:jc w:val="left"/>
              <w:spacing w:line="360" w:lineRule="auto"/>
              <w:rPr>
                <w:rFonts w:ascii="宋体" w:hAnsi="宋体" w:cs="宋体"/>
                <w:color w:val="auto"/>
                <w:spacing w:val="1"/>
                <w:highlight w:val="none"/>
              </w:rPr>
            </w:pPr>
            <w:r>
              <w:rPr>
                <w:rFonts w:hint="eastAsia" w:ascii="宋体" w:hAnsi="宋体" w:cs="宋体"/>
                <w:color w:val="auto"/>
                <w:szCs w:val="21"/>
                <w:highlight w:val="none"/>
                <w:lang w:bidi="ar"/>
              </w:rPr>
              <w:t xml:space="preserve">产品技术参数全部满足招标要求的得满分；打▲指标为重要指标，有1项负偏离扣2分；其余指标有1项负偏离扣1分，扣完为止。</w:t>
            </w:r>
            <w:r/>
          </w:p>
        </w:tc>
        <w:tc>
          <w:tcPr>
            <w:tcW w:w="709"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25</w:t>
            </w:r>
            <w:r/>
          </w:p>
        </w:tc>
        <w:tc>
          <w:tcPr>
            <w:tcW w:w="993"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891"/>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W w:w="1277"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原材料检测报告</w:t>
            </w:r>
            <w:r/>
          </w:p>
        </w:tc>
        <w:tc>
          <w:tcPr>
            <w:tcW w:w="6238" w:type="dxa"/>
            <w:vAlign w:val="center"/>
            <w:textDirection w:val="lrTb"/>
            <w:noWrap w:val="false"/>
          </w:tcPr>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投标人提供2022年1月1日（以报告签发日期为准）以来，具有CMA标识的以下原材料检测报告，每提供一项合格的检测报告得1分，检测内容不符或不全不得分，本项最多得2分。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color w:val="auto"/>
                <w:highlight w:val="none"/>
              </w:rPr>
              <w:t xml:space="preserve">ABS材料</w:t>
            </w:r>
            <w:r>
              <w:rPr>
                <w:rFonts w:hint="eastAsia" w:ascii="宋体" w:hAnsi="宋体" w:cs="宋体"/>
                <w:color w:val="auto"/>
                <w:szCs w:val="21"/>
                <w:highlight w:val="none"/>
                <w:lang w:bidi="ar"/>
              </w:rPr>
              <w:t xml:space="preserve">，检验依据GB/T31402-2023《塑料和其他无孔材料表面抗菌活性的测定》，GB/T24128-2018《塑料塑料防霉剂的防霉效果评估》，检测内容包括：</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①抗菌效果：检测金黄色葡萄球菌，抗菌活性值≥2.0，抗菌率≥99；检测大肠杆菌，抗菌活性值≥2.0，抗菌率≥99；</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②防霉性能：检测黑曲霉，防霉等级达到到0级；检测球毛壳霉，防霉等级达到到0级；检测宛氏拟青霉，防霉等级达到到0级。</w:t>
            </w:r>
            <w:r/>
          </w:p>
          <w:p>
            <w:pPr>
              <w:ind w:firstLine="210"/>
              <w:jc w:val="left"/>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rPr>
                <w:rFonts w:hint="eastAsia"/>
                <w:color w:val="auto"/>
                <w:highlight w:val="none"/>
              </w:rPr>
              <w:t xml:space="preserve">海绵</w:t>
            </w:r>
            <w:r>
              <w:rPr>
                <w:rFonts w:hint="eastAsia" w:ascii="宋体" w:hAnsi="宋体" w:cs="宋体"/>
                <w:color w:val="auto"/>
                <w:szCs w:val="21"/>
                <w:highlight w:val="none"/>
                <w:lang w:bidi="ar"/>
              </w:rPr>
              <w:t xml:space="preserve">，检验依据GB/T10802-2023《通用软质聚氨酯泡沫塑料》，检测内容包含：</w:t>
            </w:r>
            <w:r/>
          </w:p>
          <w:p>
            <w:pPr>
              <w:ind w:firstLine="210"/>
              <w:jc w:val="left"/>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①撕裂强度≥1.8N/cm</w:t>
            </w:r>
            <w:r>
              <w:rPr>
                <w:rFonts w:hint="eastAsia" w:ascii="宋体" w:hAnsi="宋体" w:cs="宋体"/>
                <w:color w:val="auto"/>
                <w:szCs w:val="21"/>
                <w:highlight w:val="none"/>
                <w:lang w:eastAsia="zh-CN" w:bidi="ar"/>
              </w:rPr>
              <w:t xml:space="preserve">；</w:t>
            </w:r>
            <w:r/>
          </w:p>
          <w:p>
            <w:pPr>
              <w:ind w:firstLine="210"/>
              <w:jc w:val="left"/>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②拉伸强度≥100kPa</w:t>
            </w:r>
            <w:r>
              <w:rPr>
                <w:rFonts w:hint="eastAsia" w:ascii="宋体" w:hAnsi="宋体" w:cs="宋体"/>
                <w:color w:val="auto"/>
                <w:szCs w:val="21"/>
                <w:highlight w:val="none"/>
                <w:lang w:eastAsia="zh-CN" w:bidi="ar"/>
              </w:rPr>
              <w:t xml:space="preserve">；</w:t>
            </w:r>
            <w:r/>
          </w:p>
          <w:p>
            <w:pPr>
              <w:ind w:firstLine="210"/>
              <w:jc w:val="left"/>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③干热老化后拉伸强度≥55kPa</w:t>
            </w:r>
            <w:r>
              <w:rPr>
                <w:rFonts w:hint="eastAsia" w:ascii="宋体" w:hAnsi="宋体" w:cs="宋体"/>
                <w:color w:val="auto"/>
                <w:szCs w:val="21"/>
                <w:highlight w:val="none"/>
                <w:lang w:eastAsia="zh-CN" w:bidi="ar"/>
              </w:rPr>
              <w:t xml:space="preserve">；</w:t>
            </w:r>
            <w:r/>
          </w:p>
          <w:p>
            <w:pPr>
              <w:ind w:firstLine="210"/>
              <w:jc w:val="left"/>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④干热老化后拉伸强度变化率检测合格</w:t>
            </w:r>
            <w:r>
              <w:rPr>
                <w:rFonts w:hint="eastAsia" w:ascii="宋体" w:hAnsi="宋体" w:cs="宋体"/>
                <w:color w:val="auto"/>
                <w:szCs w:val="21"/>
                <w:highlight w:val="none"/>
                <w:lang w:eastAsia="zh-CN" w:bidi="ar"/>
              </w:rPr>
              <w:t xml:space="preserve">；</w:t>
            </w:r>
            <w:r/>
          </w:p>
          <w:p>
            <w:pPr>
              <w:ind w:firstLine="210"/>
              <w:jc w:val="left"/>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⑤湿热老化后拉伸强度≥55kPa</w:t>
            </w:r>
            <w:r>
              <w:rPr>
                <w:rFonts w:hint="eastAsia" w:ascii="宋体" w:hAnsi="宋体" w:cs="宋体"/>
                <w:color w:val="auto"/>
                <w:szCs w:val="21"/>
                <w:highlight w:val="none"/>
                <w:lang w:eastAsia="zh-CN" w:bidi="ar"/>
              </w:rPr>
              <w:t xml:space="preserve">；</w:t>
            </w:r>
            <w:r/>
          </w:p>
          <w:p>
            <w:pPr>
              <w:ind w:firstLine="21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⑥湿热老化后拉伸强度变化率检测合格</w:t>
            </w:r>
            <w:r>
              <w:rPr>
                <w:rFonts w:hint="eastAsia" w:ascii="宋体" w:hAnsi="宋体" w:cs="宋体"/>
                <w:color w:val="auto"/>
                <w:szCs w:val="21"/>
                <w:highlight w:val="none"/>
                <w:lang w:eastAsia="zh-CN" w:bidi="ar"/>
              </w:rPr>
              <w:t xml:space="preserve">。</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客观分</w:t>
            </w:r>
            <w:r/>
          </w:p>
        </w:tc>
      </w:tr>
      <w:tr>
        <w:trPr>
          <w:jc w:val="center"/>
          <w:trHeight w:val="891"/>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成品检测报告</w:t>
            </w:r>
            <w:r/>
          </w:p>
        </w:tc>
        <w:tc>
          <w:tcPr>
            <w:tcW w:w="6238" w:type="dxa"/>
            <w:vAlign w:val="center"/>
            <w:textDirection w:val="lrTb"/>
            <w:noWrap w:val="false"/>
          </w:tcPr>
          <w:p>
            <w:pPr>
              <w:ind w:firstLine="210"/>
              <w:jc w:val="left"/>
              <w:spacing w:line="360" w:lineRule="auto"/>
              <w:rPr>
                <w:rFonts w:ascii="宋体" w:hAnsi="宋体" w:cs="宋体"/>
                <w:color w:val="auto"/>
                <w:szCs w:val="21"/>
                <w:highlight w:val="none"/>
                <w:lang w:bidi="ar"/>
              </w:rPr>
            </w:pPr>
            <w:r/>
            <w:bookmarkStart w:id="50" w:name="OLE_LINK13"/>
            <w:r/>
            <w:bookmarkStart w:id="51" w:name="OLE_LINK10"/>
            <w:r>
              <w:rPr>
                <w:rFonts w:hint="eastAsia" w:ascii="宋体" w:hAnsi="宋体" w:cs="宋体"/>
                <w:color w:val="auto"/>
                <w:szCs w:val="21"/>
                <w:highlight w:val="none"/>
                <w:lang w:bidi="ar"/>
              </w:rPr>
              <w:t xml:space="preserve">投标人提供2022年1月1日（以报告签发日期为准）以来，具有CMA标识的以下产品的检测报告，每提供一项合格的检测报告得1分，检测内容不符或不全不得分，本项最多得2分。</w:t>
            </w:r>
            <w:r/>
          </w:p>
          <w:p>
            <w:pPr>
              <w:ind w:firstLine="210"/>
              <w:jc w:val="left"/>
              <w:spacing w:line="360" w:lineRule="auto"/>
              <w:rPr>
                <w:rFonts w:hint="eastAsia" w:ascii="宋体" w:hAnsi="宋体" w:cs="宋体"/>
                <w:color w:val="auto"/>
                <w:szCs w:val="24"/>
                <w:highlight w:val="none"/>
              </w:rPr>
            </w:pPr>
            <w:r>
              <w:rPr>
                <w:rFonts w:hint="eastAsia" w:ascii="宋体" w:hAnsi="宋体" w:cs="宋体"/>
                <w:color w:val="auto"/>
                <w:szCs w:val="21"/>
                <w:highlight w:val="none"/>
                <w:lang w:bidi="ar"/>
              </w:rPr>
              <w:t xml:space="preserve">1、</w:t>
            </w:r>
            <w:r>
              <w:rPr>
                <w:rFonts w:hint="eastAsia" w:ascii="宋体" w:hAnsi="宋体" w:cs="宋体"/>
                <w:color w:val="auto"/>
                <w:highlight w:val="none"/>
              </w:rPr>
              <w:t xml:space="preserve">仪器柜</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检验依据GB/T 3325-2024《金属家具通用技术条件》，检测内容包括：</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①形状和位置公差检测项目邻边垂直度、翘曲度、平整度、位差度、分缝、推拉构件下垂度、推拉构件摆动度、底脚着地平稳性均合格；</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②外观性能金属件检测项目焊接件、喷漆（塑）涂层均合格；</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③木制件表面装饰层(软硬质覆面层)检测项目耐冷热循环、耐干热、耐湿热、耐污染、耐磨、抗冲击、耐光色牢度均合格；</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④浸渍胶膜纸饰面刨花板检测项目静曲强度、弹性模量、内结合强度、表面胶合强度、含水率、密度、2h吸水厚度膨胀率、握螺钉力均合格；</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⑤甲醛释放量≤0.0</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mg/m³；苯≤0.0</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mg/m³；甲苯≤0.</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mg/m³；二甲苯≤0.</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0mg/m³；总挥发性有机化合物≤0.</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mg/m³；</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2、学生实验桌</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highlight w:val="none"/>
              </w:rPr>
              <w:t xml:space="preserve">检验依据GB/T 24820-2024(实验室家具通用技术条件)，</w:t>
            </w:r>
            <w:r>
              <w:rPr>
                <w:rFonts w:hint="eastAsia" w:ascii="宋体" w:hAnsi="宋体" w:cs="宋体"/>
                <w:color w:val="auto"/>
                <w:szCs w:val="21"/>
                <w:highlight w:val="none"/>
                <w:lang w:bidi="ar"/>
              </w:rPr>
              <w:t xml:space="preserve">GB/T 10125-2021《人造气氛腐蚀试验 盐雾试验》，GB/T 42998-2023《家具产品及其材料中禁限用物质测定方法醛酮类化合物》</w:t>
            </w:r>
            <w:r/>
          </w:p>
          <w:p>
            <w:pPr>
              <w:pStyle w:val="749"/>
              <w:ind w:firstLine="210"/>
              <w:spacing w:line="360" w:lineRule="auto"/>
              <w:rPr>
                <w:rFonts w:hint="eastAsia" w:ascii="宋体" w:hAnsi="宋体" w:cs="宋体"/>
                <w:color w:val="auto"/>
                <w:szCs w:val="24"/>
                <w:highlight w:val="none"/>
              </w:rPr>
            </w:pPr>
            <w:r>
              <w:rPr>
                <w:rFonts w:hint="eastAsia" w:ascii="宋体" w:hAnsi="宋体" w:cs="宋体"/>
                <w:color w:val="auto"/>
                <w:highlight w:val="none"/>
              </w:rPr>
              <w:t xml:space="preserve">检测内容包括：</w:t>
            </w:r>
            <w:r/>
          </w:p>
          <w:p>
            <w:pPr>
              <w:pStyle w:val="749"/>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①主要尺寸、形状和位置公差、外观-金属件、塑料件、安全性能-结构安全均检测合格；</w:t>
            </w:r>
            <w:r>
              <w:rPr>
                <w:rFonts w:hint="eastAsia" w:ascii="宋体" w:hAnsi="宋体" w:cs="宋体"/>
                <w:color w:val="auto"/>
                <w:highlight w:val="none"/>
              </w:rPr>
              <w:br w:type="textWrapping" w:clear="all"/>
            </w:r>
            <w:r>
              <w:rPr>
                <w:rFonts w:hint="eastAsia" w:ascii="宋体" w:hAnsi="宋体" w:cs="宋体"/>
                <w:color w:val="auto"/>
                <w:highlight w:val="none"/>
              </w:rPr>
              <w:t xml:space="preserve">②有害物质限量（邻苯二甲酸酯、多溴联苯、多溴二苯醚均未检出）；</w:t>
            </w:r>
            <w:r/>
          </w:p>
          <w:p>
            <w:pPr>
              <w:pStyle w:val="749"/>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③实验台台面理化性能、金属喷漆（塑）涂层理化性能、力学性能均检测合格；</w:t>
            </w:r>
            <w:r/>
          </w:p>
          <w:p>
            <w:pPr>
              <w:pStyle w:val="749"/>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④中性盐雾500h耐腐蚀等级10级；</w:t>
            </w:r>
            <w:r/>
          </w:p>
          <w:p>
            <w:pPr>
              <w:pStyle w:val="749"/>
              <w:ind w:firstLine="210"/>
              <w:spacing w:line="360" w:lineRule="auto"/>
              <w:rPr>
                <w:rFonts w:hint="eastAsia" w:ascii="宋体" w:hAnsi="宋体" w:cs="宋体"/>
                <w:color w:val="auto"/>
                <w:szCs w:val="21"/>
                <w:highlight w:val="none"/>
                <w:lang w:bidi="ar"/>
              </w:rPr>
            </w:pPr>
            <w:r>
              <w:rPr>
                <w:rFonts w:hint="eastAsia" w:ascii="宋体" w:hAnsi="宋体" w:cs="宋体"/>
                <w:color w:val="auto"/>
                <w:highlight w:val="none"/>
              </w:rPr>
              <w:t xml:space="preserve">⑤醛酮类化合物未检出。</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注：所提供检测报告“产品名称和检测内容”与评标标准给定内容不同时，应提供符合上述要求的内容（功能）说明及关键信息，否则不予认可。</w:t>
            </w:r>
            <w:bookmarkStart w:id="52" w:name="OLE_LINK74"/>
            <w:r/>
            <w:bookmarkStart w:id="53" w:name="OLE_LINK75"/>
            <w:r>
              <w:rPr>
                <w:rFonts w:hint="eastAsia" w:ascii="宋体" w:hAnsi="宋体" w:cs="宋体"/>
                <w:b/>
                <w:color w:val="auto"/>
                <w:szCs w:val="21"/>
                <w:highlight w:val="none"/>
                <w:lang w:bidi="ar"/>
              </w:rPr>
              <w:t xml:space="preserve">功能参数应采用箭头、标红或下划线等进行明显标注，方便评委查看。</w:t>
            </w:r>
            <w:bookmarkEnd w:id="50"/>
            <w:r/>
            <w:bookmarkEnd w:id="51"/>
            <w:r/>
            <w:bookmarkEnd w:id="52"/>
            <w:r/>
            <w:bookmarkEnd w:id="53"/>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客观分</w:t>
            </w:r>
            <w:r/>
          </w:p>
        </w:tc>
      </w:tr>
      <w:tr>
        <w:trPr>
          <w:jc w:val="center"/>
          <w:trHeight w:val="891"/>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产品视频演示</w:t>
            </w:r>
            <w:r/>
          </w:p>
        </w:tc>
        <w:tc>
          <w:tcPr>
            <w:tcW w:w="6238" w:type="dxa"/>
            <w:vAlign w:val="center"/>
            <w:textDirection w:val="lrTb"/>
            <w:noWrap w:val="false"/>
          </w:tcPr>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评委根据投标人提供的产品演示内容评分（总演示时间不超过15分钟）：</w:t>
            </w:r>
            <w:r/>
          </w:p>
          <w:p>
            <w:pPr>
              <w:ind w:firstLine="211"/>
              <w:jc w:val="left"/>
              <w:spacing w:line="360" w:lineRule="auto"/>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演示一：</w:t>
            </w:r>
            <w:r>
              <w:rPr>
                <w:rFonts w:hint="eastAsia"/>
                <w:b/>
                <w:color w:val="auto"/>
                <w:highlight w:val="none"/>
              </w:rPr>
              <w:t xml:space="preserve">物联网水培种植机</w:t>
            </w:r>
            <w:r>
              <w:rPr>
                <w:rFonts w:hint="eastAsia" w:ascii="宋体" w:hAnsi="宋体" w:cs="宋体"/>
                <w:b/>
                <w:color w:val="auto"/>
                <w:szCs w:val="21"/>
                <w:highlight w:val="none"/>
                <w:lang w:bidi="ar"/>
              </w:rPr>
              <w:t xml:space="preserve">（满分3分）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以下演示内容每成功演示一项得1分，共3项，满分3分。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1、模块化种植系统演示</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演示不同模块的高度差异；演示模块的自由组合（如相同模块多层堆叠、不同模块混合搭建）；演示无需固定顺序的层间连接方式。</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2、水电路隐藏式设计演示</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演示水路、电路隐藏式设计，避免额外占用种植空间。</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3、植物生长灯分层独立控制演示</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演示每层植物生长灯的光强、光质（光谱）独立调节功能；；演示通过软件控制每层植物生长灯的开关及设置不同光周期的操作。</w:t>
            </w:r>
            <w:r/>
          </w:p>
          <w:p>
            <w:pPr>
              <w:ind w:firstLine="211"/>
              <w:jc w:val="left"/>
              <w:spacing w:line="360" w:lineRule="auto"/>
              <w:rPr>
                <w:rFonts w:hint="eastAsia" w:ascii="宋体" w:hAnsi="宋体" w:cs="宋体"/>
                <w:color w:val="auto"/>
                <w:szCs w:val="21"/>
                <w:highlight w:val="none"/>
                <w:lang w:bidi="ar"/>
              </w:rPr>
            </w:pPr>
            <w:r>
              <w:rPr>
                <w:rFonts w:hint="eastAsia" w:ascii="宋体" w:hAnsi="宋体" w:cs="宋体"/>
                <w:b/>
                <w:color w:val="auto"/>
                <w:szCs w:val="21"/>
                <w:highlight w:val="none"/>
                <w:lang w:bidi="ar"/>
              </w:rPr>
              <w:t xml:space="preserve">演示二：</w:t>
            </w:r>
            <w:r>
              <w:rPr>
                <w:rFonts w:hint="eastAsia"/>
                <w:b/>
                <w:color w:val="auto"/>
                <w:highlight w:val="none"/>
              </w:rPr>
              <w:t xml:space="preserve">手持数学终端</w:t>
            </w:r>
            <w:r>
              <w:rPr>
                <w:rFonts w:hint="eastAsia" w:ascii="宋体" w:hAnsi="宋体" w:cs="宋体"/>
                <w:b/>
                <w:color w:val="auto"/>
                <w:szCs w:val="21"/>
                <w:highlight w:val="none"/>
                <w:lang w:bidi="ar"/>
              </w:rPr>
              <w:t xml:space="preserve">（满分2分）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以下演示内容每成功演示一项得1分，共2项，满分2分。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1、利用手持数学终端，函数的草图特征演示手持数学终端函数功能，手工直接绘制出与草图类似的三角函数，并自动拟合，出现函数表达式，在拟合函数的基础上对函数进行放大，缩小，上下平移等变化；</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2、将力传感器USB数据线一端连接采集器，并使用USB数据线将采集器与手持数学终端相连。采集器可以同时连接8个不同功能的传感器；</w:t>
            </w:r>
            <w:r/>
          </w:p>
          <w:p>
            <w:pPr>
              <w:ind w:firstLine="211"/>
              <w:jc w:val="left"/>
              <w:spacing w:line="360" w:lineRule="auto"/>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演示三：</w:t>
            </w:r>
            <w:r>
              <w:rPr>
                <w:rFonts w:hint="eastAsia"/>
                <w:b/>
                <w:color w:val="auto"/>
                <w:highlight w:val="none"/>
              </w:rPr>
              <w:t xml:space="preserve">动态数学软件功能演示</w:t>
            </w:r>
            <w:r>
              <w:rPr>
                <w:rFonts w:hint="eastAsia" w:ascii="宋体" w:hAnsi="宋体" w:cs="宋体"/>
                <w:b/>
                <w:color w:val="auto"/>
                <w:szCs w:val="21"/>
                <w:highlight w:val="none"/>
                <w:lang w:bidi="ar"/>
              </w:rPr>
              <w:t xml:space="preserve">（满分2分）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以下演示内容每成功演示一项得1分，共2项，满分2分。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可随意插入PPT和WPS中，并在PPT或WPS中正常播放，实现动态演示及交互操作。画板资源插入PPT，要求在PPT里直接跳转到动态画板软件的资源中心，并在在搜索栏里可以直接搜索想要插入的资源，或者通过搜索目标资源编号的方式快速找到需要插入的资源；</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2、动态数学软件资源支持丰富的分享方式。扫描二维码就能打开，可以通过课件的网页链接分享到各种社交平台上，如微信、QQ等。</w:t>
            </w:r>
            <w:r/>
          </w:p>
          <w:p>
            <w:pPr>
              <w:ind w:firstLine="211"/>
              <w:jc w:val="left"/>
              <w:spacing w:line="360" w:lineRule="auto"/>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演示四：</w:t>
            </w:r>
            <w:r>
              <w:rPr>
                <w:rFonts w:hint="eastAsia"/>
                <w:b/>
                <w:color w:val="auto"/>
                <w:highlight w:val="none"/>
              </w:rPr>
              <w:t xml:space="preserve">编程编队积木无人机</w:t>
            </w:r>
            <w:r>
              <w:rPr>
                <w:rFonts w:hint="eastAsia" w:ascii="宋体" w:hAnsi="宋体" w:cs="宋体"/>
                <w:b/>
                <w:color w:val="auto"/>
                <w:szCs w:val="21"/>
                <w:highlight w:val="none"/>
                <w:lang w:bidi="ar"/>
              </w:rPr>
              <w:t xml:space="preserve">（满分3分）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以下演示内容每成功演示一项得1分，共3项，满分3分。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1、图形化编程及飞行管理平台功能演示（1分）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1）图形化编程实现：采用本次3架飞机固定动作，打开图形化编程软件，准确解读飞行的有关图形编程内容，得0.5分；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2）模拟飞行3D预览模块：演示模拟飞行3D预览模块，与实际飞行场景吻合，并且有预警提示，得0.5分。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2、3架无人机固定动作演示（1分）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1）所有动作全部完成，得1分；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2）没有完成全部完成，不得分。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3、12架无人机编队飞行表演（1分）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1）灯光创意表演效果好、音乐节奏配合准确，得1分；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2）灯光创意表演一般或音乐节奏配合不够准确，不得分。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本项最多得10分，未提供视频文件或因供应商自身原因视频文件无法打开或视频画面不清晰无法辨认的不得分。</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主观分</w:t>
            </w:r>
            <w:r/>
          </w:p>
        </w:tc>
      </w:tr>
      <w:tr>
        <w:trPr>
          <w:jc w:val="center"/>
          <w:trHeight w:val="472"/>
        </w:trPr>
        <w:tc>
          <w:tcPr>
            <w:gridSpan w:val="5"/>
            <w:tcW w:w="9840" w:type="dxa"/>
            <w:vAlign w:val="center"/>
            <w:textDirection w:val="lrTb"/>
            <w:noWrap w:val="false"/>
          </w:tcPr>
          <w:p>
            <w:pPr>
              <w:spacing w:before="68"/>
              <w:rPr>
                <w:rFonts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90"/>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深化设计方案</w:t>
            </w:r>
            <w:r/>
          </w:p>
        </w:tc>
        <w:tc>
          <w:tcPr>
            <w:tcW w:w="6238" w:type="dxa"/>
            <w:vAlign w:val="center"/>
            <w:textDirection w:val="lrTb"/>
            <w:noWrap w:val="false"/>
          </w:tcPr>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投标人根据招标文件，结合学校现场情况进行深化设计。提供本项目：</w:t>
            </w:r>
            <w:r>
              <w:rPr>
                <w:rFonts w:hint="eastAsia" w:ascii="宋体" w:hAnsi="宋体"/>
                <w:color w:val="auto"/>
                <w:highlight w:val="none"/>
              </w:rPr>
              <w:t xml:space="preserve">①技术教室1、②技术教室2、③技术教室3、④技术教室4、⑤基因工程创新实验室、⑥原子制造实验室、⑦光子芯片实验室、⑧生命智研室</w:t>
            </w:r>
            <w:r>
              <w:rPr>
                <w:rFonts w:hint="eastAsia" w:ascii="宋体" w:hAnsi="宋体" w:cs="宋体"/>
                <w:color w:val="auto"/>
                <w:szCs w:val="21"/>
                <w:highlight w:val="none"/>
                <w:lang w:bidi="ar"/>
              </w:rPr>
              <w:t xml:space="preserve">的深化设计方案与图纸，包含但不限于平面布局图、效果图(每间教室效果图不低于2个视角)。评委根据图纸规范性、完整性、准确性、系统结构合理性进行综合评分: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1.设计方案和图纸结构合理、完整、准确、制作规范，得8分；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2.设计方案和图纸结构合理、完整、较准确、制作较规范，得5分；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3.设计方案和图纸结构合理、完整、不够准确、制作不够规范得2分；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4.设计方案和图纸结构不合理或不完整或不准确或制作不规范不得分。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（相关图纸见附件）</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主观分</w:t>
            </w:r>
            <w:r/>
          </w:p>
        </w:tc>
      </w:tr>
      <w:tr>
        <w:trPr>
          <w:jc w:val="center"/>
          <w:trHeight w:val="90"/>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项目实施方案</w:t>
            </w:r>
            <w:r/>
          </w:p>
        </w:tc>
        <w:tc>
          <w:tcPr>
            <w:tcW w:w="6238" w:type="dxa"/>
            <w:vAlign w:val="center"/>
            <w:textDirection w:val="lrTb"/>
            <w:noWrap w:val="false"/>
          </w:tcPr>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评委根据投标人提供的本项目实施方案（包括供货进度保证措施、质量保证措施、协调配合措施、应急措施等内容）综合评分：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（1）方案完整、科学性、合理性、操作性强的，得5分；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（2）方案基本完整、基本科学合理，有可操作性的，得2分；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（3）方案不完整、不科学合理、不具可操作性或未提供的不得分</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主观分</w:t>
            </w:r>
            <w:r/>
          </w:p>
        </w:tc>
      </w:tr>
      <w:tr>
        <w:trPr>
          <w:jc w:val="center"/>
          <w:trHeight w:val="133"/>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质量保证方案</w:t>
            </w:r>
            <w:r/>
          </w:p>
        </w:tc>
        <w:tc>
          <w:tcPr>
            <w:tcW w:w="6238" w:type="dxa"/>
            <w:vAlign w:val="center"/>
            <w:textDirection w:val="lrTb"/>
            <w:noWrap w:val="false"/>
          </w:tcPr>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评委根据投标人提供的本项目质量保证方案（包含生产工艺、质量施行规范、质量保障承诺等内容）综合评分：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（1）方案全面，科学、合理、可行，针对性强的，得5分；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（2）方案基本全面，基本科学、合理、可行，有一定针对性的，得2分；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（3）方案不全面、不科学、不合理、缺乏针对性或未提供的不得分。</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主观分</w:t>
            </w:r>
            <w:r/>
          </w:p>
        </w:tc>
      </w:tr>
      <w:tr>
        <w:trPr>
          <w:jc w:val="center"/>
          <w:trHeight w:val="133"/>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售后服务方案</w:t>
            </w:r>
            <w:r/>
          </w:p>
        </w:tc>
        <w:tc>
          <w:tcPr>
            <w:tcW w:w="6238" w:type="dxa"/>
            <w:vAlign w:val="center"/>
            <w:textDirection w:val="lrTb"/>
            <w:noWrap w:val="false"/>
          </w:tcPr>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评委根据投标人提供的本项目售后服务方案（包括服务内容、故障解决方案、响应时间、技术人员保障及服务电话等内容）综合评分：</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（1）投标人具备完善的服务体系、全面的服务内容、可行的故障解决方案、可靠的人员保障和服务电话的，得3分；</w:t>
            </w:r>
            <w:r/>
          </w:p>
          <w:p>
            <w:pPr>
              <w:ind w:firstLine="210"/>
              <w:jc w:val="left"/>
              <w:spacing w:line="360" w:lineRule="auto"/>
              <w:rPr>
                <w:rFonts w:hint="eastAsia" w:ascii="宋体" w:hAnsi="宋体" w:cs="宋体"/>
                <w:color w:val="auto"/>
                <w:szCs w:val="21"/>
                <w:highlight w:val="none"/>
                <w:lang w:bidi="ar"/>
              </w:rPr>
            </w:pPr>
            <w:r/>
            <w:bookmarkStart w:id="54" w:name="OLE_LINK8"/>
            <w:r/>
            <w:bookmarkStart w:id="55" w:name="OLE_LINK9"/>
            <w:r>
              <w:rPr>
                <w:rFonts w:hint="eastAsia" w:ascii="宋体" w:hAnsi="宋体" w:cs="宋体"/>
                <w:color w:val="auto"/>
                <w:szCs w:val="21"/>
                <w:highlight w:val="none"/>
                <w:lang w:bidi="ar"/>
              </w:rPr>
              <w:t xml:space="preserve">（2）投标人委托具备基本完善的服务体系、基本全面的服务内容、基本可行的故障解决方案、基本可靠的人员保障和服务电话的，得1分；</w:t>
            </w:r>
            <w:bookmarkEnd w:id="54"/>
            <w:r/>
            <w:bookmarkEnd w:id="55"/>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（3）投标人不具备服务保障体系、服务内容缺失、故障解决方案不可行、人员能力不足或未提供的不得分。</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主观分</w:t>
            </w:r>
            <w:r/>
          </w:p>
        </w:tc>
      </w:tr>
      <w:tr>
        <w:trPr>
          <w:jc w:val="center"/>
          <w:trHeight w:val="133"/>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本地化服务</w:t>
            </w:r>
            <w:r/>
          </w:p>
        </w:tc>
        <w:tc>
          <w:tcPr>
            <w:tcW w:w="6238" w:type="dxa"/>
            <w:vAlign w:val="center"/>
            <w:textDirection w:val="lrTb"/>
            <w:noWrap w:val="false"/>
          </w:tcPr>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投标人具有本地化服务能力得1分，未提供的不得分（提供营业执照或其他有效证明材料或承诺函，格式自拟）。</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客观分</w:t>
            </w:r>
            <w:r/>
          </w:p>
        </w:tc>
      </w:tr>
      <w:tr>
        <w:trPr>
          <w:jc w:val="center"/>
          <w:trHeight w:val="455"/>
        </w:trPr>
        <w:tc>
          <w:tcPr>
            <w:gridSpan w:val="5"/>
            <w:tcW w:w="9840" w:type="dxa"/>
            <w:vAlign w:val="center"/>
            <w:textDirection w:val="lrTb"/>
            <w:noWrap w:val="false"/>
          </w:tcPr>
          <w:p>
            <w:pPr>
              <w:rPr>
                <w:rFonts w:ascii="宋体" w:hAnsi="宋体" w:cs="宋体"/>
                <w:color w:val="auto"/>
                <w:highlight w:val="none"/>
              </w:rPr>
            </w:pPr>
            <w:r>
              <w:rPr>
                <w:rFonts w:hint="eastAsia" w:ascii="宋体" w:hAnsi="宋体" w:cs="宋体"/>
                <w:b/>
                <w:bCs/>
                <w:color w:val="auto"/>
                <w:spacing w:val="-3"/>
                <w:highlight w:val="none"/>
              </w:rPr>
              <w:t xml:space="preserve">4.业绩</w:t>
            </w:r>
            <w:r/>
          </w:p>
        </w:tc>
      </w:tr>
      <w:tr>
        <w:trPr>
          <w:jc w:val="center"/>
          <w:trHeight w:val="513"/>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投标人业绩</w:t>
            </w:r>
            <w:r/>
          </w:p>
        </w:tc>
        <w:tc>
          <w:tcPr>
            <w:tcW w:w="6238" w:type="dxa"/>
            <w:vAlign w:val="center"/>
            <w:textDirection w:val="lrTb"/>
            <w:noWrap w:val="false"/>
          </w:tcPr>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投标人提供自2023年1月1日以来(以合同签订时间为准)完成的类似案例，每提供一个得1分</w:t>
            </w:r>
            <w:r>
              <w:rPr>
                <w:rFonts w:ascii="宋体" w:hAnsi="宋体"/>
                <w:color w:val="auto"/>
                <w:highlight w:val="none"/>
              </w:rPr>
              <w:t xml:space="preserve">，最高得3分（</w:t>
            </w:r>
            <w:r>
              <w:rPr>
                <w:rFonts w:ascii="宋体" w:hAnsi="宋体" w:cs="宋体"/>
                <w:color w:val="auto"/>
                <w:szCs w:val="21"/>
                <w:highlight w:val="none"/>
                <w:lang w:bidi="ar"/>
              </w:rPr>
              <w:t xml:space="preserve">提供合同</w:t>
            </w:r>
            <w:r>
              <w:rPr>
                <w:rFonts w:hint="eastAsia" w:ascii="宋体" w:hAnsi="宋体" w:cs="宋体"/>
                <w:color w:val="auto"/>
                <w:szCs w:val="21"/>
                <w:highlight w:val="none"/>
                <w:lang w:bidi="ar"/>
              </w:rPr>
              <w:t xml:space="preserve">扫描件</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提供有资料</w:t>
            </w:r>
            <w:r>
              <w:rPr>
                <w:rFonts w:ascii="宋体" w:hAnsi="宋体" w:cs="宋体"/>
                <w:color w:val="auto"/>
                <w:szCs w:val="21"/>
                <w:highlight w:val="none"/>
                <w:lang w:bidi="ar"/>
              </w:rPr>
              <w:t xml:space="preserve">应能反映相关内容，</w:t>
            </w:r>
            <w:r>
              <w:rPr>
                <w:rFonts w:hint="eastAsia" w:ascii="宋体" w:hAnsi="宋体" w:cs="宋体"/>
                <w:color w:val="auto"/>
                <w:szCs w:val="21"/>
                <w:highlight w:val="none"/>
                <w:lang w:bidi="ar"/>
              </w:rPr>
              <w:t xml:space="preserve">否则</w:t>
            </w:r>
            <w:r>
              <w:rPr>
                <w:rFonts w:ascii="宋体" w:hAnsi="宋体" w:cs="宋体"/>
                <w:color w:val="auto"/>
                <w:szCs w:val="21"/>
                <w:highlight w:val="none"/>
                <w:lang w:bidi="ar"/>
              </w:rPr>
              <w:t xml:space="preserve">不得分)。</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客观分</w:t>
            </w:r>
            <w:r/>
          </w:p>
        </w:tc>
      </w:tr>
      <w:tr>
        <w:trPr>
          <w:jc w:val="center"/>
          <w:trHeight w:val="513"/>
        </w:trPr>
        <w:tc>
          <w:tcPr>
            <w:gridSpan w:val="5"/>
            <w:tcW w:w="9840" w:type="dxa"/>
            <w:vAlign w:val="center"/>
            <w:textDirection w:val="lrTb"/>
            <w:noWrap w:val="false"/>
          </w:tcPr>
          <w:p>
            <w:pPr>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5.履约能力</w:t>
            </w:r>
            <w:r/>
          </w:p>
        </w:tc>
      </w:tr>
      <w:tr>
        <w:trPr>
          <w:jc w:val="center"/>
          <w:trHeight w:val="513"/>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履约能力</w:t>
            </w:r>
            <w:r/>
          </w:p>
        </w:tc>
        <w:tc>
          <w:tcPr>
            <w:tcW w:w="6238" w:type="dxa"/>
            <w:vAlign w:val="top"/>
            <w:textDirection w:val="lrTb"/>
            <w:noWrap w:val="false"/>
          </w:tcPr>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（1）投标人具有有效期内的“</w:t>
            </w:r>
            <w:r>
              <w:rPr>
                <w:rFonts w:hint="eastAsia"/>
                <w:color w:val="auto"/>
                <w:highlight w:val="none"/>
              </w:rPr>
              <w:t xml:space="preserve">家具中有害物质限量认证证书”</w:t>
            </w:r>
            <w:r>
              <w:rPr>
                <w:rFonts w:hint="eastAsia" w:ascii="宋体" w:hAnsi="宋体" w:cs="宋体"/>
                <w:color w:val="auto"/>
                <w:szCs w:val="21"/>
                <w:highlight w:val="none"/>
                <w:lang w:bidi="ar"/>
              </w:rPr>
              <w:t xml:space="preserve">（认证产品至少包含</w:t>
            </w:r>
            <w:r>
              <w:rPr>
                <w:rFonts w:hint="eastAsia"/>
                <w:color w:val="auto"/>
                <w:highlight w:val="none"/>
              </w:rPr>
              <w:t xml:space="preserve">学生实验桌、电脑桌</w:t>
            </w:r>
            <w:r>
              <w:rPr>
                <w:rFonts w:hint="eastAsia" w:ascii="宋体" w:hAnsi="宋体" w:cs="宋体"/>
                <w:color w:val="auto"/>
                <w:szCs w:val="21"/>
                <w:highlight w:val="none"/>
                <w:lang w:bidi="ar"/>
              </w:rPr>
              <w:t xml:space="preserve">）的得1分，不满足不得分。(提供有效证书扫描件)</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（2）投标人具有有效期内的“中国绿色产品认证证书”（GB/T35607-2024）（认证产品至少包含仪器柜、中央操作台）的得1分，不满足不得分。(提供有效证书扫描件)</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（3）投标人具有有效期内的</w:t>
            </w:r>
            <w:r>
              <w:rPr>
                <w:rFonts w:hint="eastAsia"/>
                <w:color w:val="auto"/>
                <w:highlight w:val="none"/>
              </w:rPr>
              <w:t xml:space="preserve">“安全生产标准化证书</w:t>
            </w:r>
            <w:r>
              <w:rPr>
                <w:rFonts w:hint="eastAsia" w:ascii="宋体" w:hAnsi="宋体" w:cs="宋体"/>
                <w:color w:val="auto"/>
                <w:szCs w:val="21"/>
                <w:highlight w:val="none"/>
                <w:lang w:bidi="ar"/>
              </w:rPr>
              <w:t xml:space="preserve">”，提供得1分，不提供不得分。(提供有效证书扫描件)</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（4）投标人具有“</w:t>
            </w:r>
            <w:r>
              <w:rPr>
                <w:rFonts w:hint="eastAsia"/>
                <w:color w:val="auto"/>
                <w:highlight w:val="none"/>
              </w:rPr>
              <w:t xml:space="preserve">产品安全认证证书</w:t>
            </w:r>
            <w:r>
              <w:rPr>
                <w:rFonts w:hint="eastAsia" w:ascii="宋体" w:hAnsi="宋体" w:cs="宋体"/>
                <w:color w:val="auto"/>
                <w:szCs w:val="21"/>
                <w:highlight w:val="none"/>
                <w:lang w:bidi="ar"/>
              </w:rPr>
              <w:t xml:space="preserve">”（认证产品至少包含</w:t>
            </w:r>
            <w:r>
              <w:rPr>
                <w:rFonts w:hint="eastAsia"/>
                <w:color w:val="auto"/>
                <w:highlight w:val="none"/>
              </w:rPr>
              <w:t xml:space="preserve">排椅、实验凳</w:t>
            </w:r>
            <w:r>
              <w:rPr>
                <w:rFonts w:hint="eastAsia" w:ascii="宋体" w:hAnsi="宋体" w:cs="宋体"/>
                <w:color w:val="auto"/>
                <w:szCs w:val="21"/>
                <w:highlight w:val="none"/>
                <w:lang w:bidi="ar"/>
              </w:rPr>
              <w:t xml:space="preserve">）的得1分，不满足不得分。(提供有效证书扫描件)</w:t>
            </w:r>
            <w:r/>
          </w:p>
          <w:p>
            <w:pPr>
              <w:ind w:firstLine="21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（5）投标人具有“</w:t>
            </w:r>
            <w:r>
              <w:rPr>
                <w:rFonts w:hint="eastAsia"/>
                <w:color w:val="auto"/>
                <w:highlight w:val="none"/>
              </w:rPr>
              <w:t xml:space="preserve">人类工效学认证证书</w:t>
            </w:r>
            <w:r>
              <w:rPr>
                <w:rFonts w:hint="eastAsia" w:ascii="宋体" w:hAnsi="宋体" w:cs="宋体"/>
                <w:color w:val="auto"/>
                <w:szCs w:val="21"/>
                <w:highlight w:val="none"/>
                <w:lang w:bidi="ar"/>
              </w:rPr>
              <w:t xml:space="preserve">”（认证产品至少包含</w:t>
            </w:r>
            <w:r>
              <w:rPr>
                <w:rFonts w:hint="eastAsia"/>
                <w:color w:val="auto"/>
                <w:highlight w:val="none"/>
              </w:rPr>
              <w:t xml:space="preserve">仪器柜、书法桌</w:t>
            </w:r>
            <w:r>
              <w:rPr>
                <w:rFonts w:hint="eastAsia" w:ascii="宋体" w:hAnsi="宋体" w:cs="宋体"/>
                <w:color w:val="auto"/>
                <w:szCs w:val="21"/>
                <w:highlight w:val="none"/>
                <w:lang w:bidi="ar"/>
              </w:rPr>
              <w:t xml:space="preserve">）的得1分，不满足不得分。</w:t>
            </w:r>
            <w:bookmarkStart w:id="56" w:name="OLE_LINK81"/>
            <w:r/>
            <w:bookmarkStart w:id="57" w:name="OLE_LINK80"/>
            <w:r>
              <w:rPr>
                <w:rFonts w:hint="eastAsia" w:ascii="宋体" w:hAnsi="宋体" w:cs="宋体"/>
                <w:color w:val="auto"/>
                <w:szCs w:val="21"/>
                <w:highlight w:val="none"/>
                <w:lang w:bidi="ar"/>
              </w:rPr>
              <w:t xml:space="preserve">(提供有效证书扫描件)</w:t>
            </w:r>
            <w:bookmarkEnd w:id="56"/>
            <w:r/>
            <w:bookmarkEnd w:id="57"/>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注：1.所提供认证证书中“认证产品”名称与评分细则规定不同时，应提供符合采购需求内容(功能)的说明及关键信息，否则不予认可。2.</w:t>
            </w:r>
            <w:r>
              <w:rPr>
                <w:rFonts w:hint="eastAsia" w:ascii="宋体" w:hAnsi="宋体" w:cs="宋体"/>
                <w:b/>
                <w:color w:val="auto"/>
                <w:szCs w:val="21"/>
                <w:highlight w:val="none"/>
                <w:lang w:bidi="ar"/>
              </w:rPr>
              <w:t xml:space="preserve">相关内容应采用箭头、标红或下划线等进行明显标注，方便评委查看。</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客观分</w:t>
            </w:r>
            <w:r/>
          </w:p>
        </w:tc>
      </w:tr>
      <w:tr>
        <w:trPr>
          <w:jc w:val="center"/>
          <w:trHeight w:val="513"/>
        </w:trPr>
        <w:tc>
          <w:tcPr>
            <w:gridSpan w:val="5"/>
            <w:tcW w:w="9840" w:type="dxa"/>
            <w:vAlign w:val="center"/>
            <w:textDirection w:val="lrTb"/>
            <w:noWrap w:val="false"/>
          </w:tcPr>
          <w:p>
            <w:pPr>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6.节能环保</w:t>
            </w:r>
            <w:r/>
          </w:p>
        </w:tc>
      </w:tr>
      <w:tr>
        <w:trPr>
          <w:jc w:val="center"/>
          <w:trHeight w:val="513"/>
        </w:trPr>
        <w:tc>
          <w:tcPr>
            <w:tcW w:w="6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6.1</w:t>
            </w:r>
            <w:r/>
          </w:p>
        </w:tc>
        <w:tc>
          <w:tcPr>
            <w:tcW w:w="127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环境标志产品</w:t>
            </w:r>
            <w:r/>
          </w:p>
        </w:tc>
        <w:tc>
          <w:tcPr>
            <w:tcW w:w="6238" w:type="dxa"/>
            <w:vAlign w:val="center"/>
            <w:textDirection w:val="lrTb"/>
            <w:noWrap w:val="false"/>
          </w:tcPr>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投标产品属于财政部、生态环境部公布的《环境标志产品品目清单》（财库〔2019〕18号）范围内的，投标人提供国家确定的认证机构出具的、处于有效期内的该环境标志产品认证证书的，有1个得0.5分，最多得1分。(提供有效证书扫描件，</w:t>
            </w:r>
            <w:r>
              <w:rPr>
                <w:rFonts w:hint="eastAsia" w:ascii="宋体" w:hAnsi="宋体" w:cs="宋体"/>
                <w:b/>
                <w:color w:val="auto"/>
                <w:szCs w:val="21"/>
                <w:highlight w:val="none"/>
                <w:lang w:bidi="ar"/>
              </w:rPr>
              <w:t xml:space="preserve">相关内容应采用箭头、标红或下划线等进行明显标注，方便评委查看。</w:t>
            </w:r>
            <w:r>
              <w:rPr>
                <w:rFonts w:hint="eastAsia" w:ascii="宋体" w:hAnsi="宋体" w:cs="宋体"/>
                <w:color w:val="auto"/>
                <w:szCs w:val="21"/>
                <w:highlight w:val="none"/>
                <w:lang w:bidi="ar"/>
              </w:rPr>
              <w:t xml:space="preserve">)</w:t>
            </w:r>
            <w:r/>
          </w:p>
        </w:tc>
        <w:tc>
          <w:tcPr>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9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客观分</w:t>
            </w:r>
            <w:r/>
          </w:p>
        </w:tc>
      </w:tr>
      <w:tr>
        <w:trPr>
          <w:jc w:val="center"/>
          <w:trHeight w:val="464"/>
        </w:trPr>
        <w:tc>
          <w:tcPr>
            <w:tcW w:w="623" w:type="dxa"/>
            <w:vAlign w:val="center"/>
            <w:textDirection w:val="lrTb"/>
            <w:noWrap w:val="false"/>
          </w:tcPr>
          <w:p>
            <w:pPr>
              <w:jc w:val="center"/>
              <w:rPr>
                <w:color w:val="auto"/>
                <w:highlight w:val="none"/>
              </w:rPr>
            </w:pPr>
            <w:r>
              <w:rPr>
                <w:rFonts w:hint="eastAsia" w:ascii="宋体" w:hAnsi="宋体" w:cs="宋体"/>
                <w:color w:val="auto"/>
                <w:spacing w:val="-3"/>
                <w:highlight w:val="none"/>
              </w:rPr>
              <w:t xml:space="preserve">合</w:t>
            </w:r>
            <w:r>
              <w:rPr>
                <w:rFonts w:hint="eastAsia" w:ascii="宋体" w:hAnsi="宋体" w:cs="宋体"/>
                <w:color w:val="auto"/>
                <w:spacing w:val="-2"/>
                <w:highlight w:val="none"/>
              </w:rPr>
              <w:t xml:space="preserve">计</w:t>
            </w:r>
            <w:r/>
          </w:p>
        </w:tc>
        <w:tc>
          <w:tcPr>
            <w:gridSpan w:val="2"/>
            <w:tcW w:w="7515" w:type="dxa"/>
            <w:vAlign w:val="center"/>
            <w:textDirection w:val="lrTb"/>
            <w:noWrap w:val="false"/>
          </w:tcPr>
          <w:p>
            <w:pPr>
              <w:ind w:left="172"/>
              <w:jc w:val="center"/>
              <w:spacing w:before="123"/>
              <w:rPr>
                <w:rFonts w:ascii="宋体" w:hAnsi="宋体" w:cs="宋体"/>
                <w:color w:val="auto"/>
                <w:spacing w:val="-2"/>
                <w:highlight w:val="none"/>
              </w:rPr>
            </w:pPr>
            <w:r>
              <w:rPr>
                <w:rFonts w:ascii="宋体" w:hAnsi="宋体" w:cs="宋体"/>
                <w:color w:val="auto"/>
                <w:spacing w:val="-2"/>
                <w:highlight w:val="none"/>
              </w:rPr>
            </w:r>
            <w:r/>
          </w:p>
        </w:tc>
        <w:tc>
          <w:tcPr>
            <w:gridSpan w:val="2"/>
            <w:tcW w:w="1702" w:type="dxa"/>
            <w:vAlign w:val="center"/>
            <w:textDirection w:val="lrTb"/>
            <w:noWrap w:val="false"/>
          </w:tcPr>
          <w:p>
            <w:pPr>
              <w:jc w:val="center"/>
              <w:rPr>
                <w:color w:val="auto"/>
                <w:highlight w:val="none"/>
              </w:rPr>
            </w:pPr>
            <w:r>
              <w:rPr>
                <w:rFonts w:hint="eastAsia" w:ascii="宋体" w:hAnsi="宋体" w:cs="宋体"/>
                <w:color w:val="auto"/>
                <w:spacing w:val="-11"/>
                <w:highlight w:val="none"/>
              </w:rPr>
              <w:t xml:space="preserve">100分</w:t>
            </w:r>
            <w:r/>
          </w:p>
        </w:tc>
      </w:tr>
      <w:tr>
        <w:trPr>
          <w:jc w:val="center"/>
          <w:trHeight w:val="464"/>
        </w:trPr>
        <w:tc>
          <w:tcPr>
            <w:gridSpan w:val="5"/>
            <w:tcW w:w="9840" w:type="dxa"/>
            <w:vAlign w:val="center"/>
            <w:textDirection w:val="lrTb"/>
            <w:noWrap w:val="false"/>
          </w:tcPr>
          <w:p>
            <w:pPr>
              <w:jc w:val="center"/>
              <w:rPr>
                <w:rFonts w:ascii="宋体" w:hAnsi="宋体" w:cs="宋体"/>
                <w:color w:val="auto"/>
                <w:spacing w:val="-11"/>
                <w:highlight w:val="none"/>
              </w:rPr>
            </w:pPr>
            <w:r>
              <w:rPr>
                <w:rFonts w:hint="eastAsia" w:ascii="宋体" w:hAnsi="宋体"/>
                <w:b/>
                <w:bCs/>
                <w:color w:val="auto"/>
                <w:sz w:val="24"/>
                <w:szCs w:val="24"/>
                <w:highlight w:val="none"/>
                <w:lang w:val="zh-CN"/>
              </w:rPr>
              <w:t xml:space="preserve">需要补充的其他内容：</w:t>
            </w:r>
            <w:r/>
          </w:p>
        </w:tc>
      </w:tr>
      <w:tr>
        <w:trPr>
          <w:jc w:val="center"/>
          <w:trHeight w:val="464"/>
        </w:trPr>
        <w:tc>
          <w:tcPr>
            <w:gridSpan w:val="5"/>
            <w:tcW w:w="9840" w:type="dxa"/>
            <w:vAlign w:val="center"/>
            <w:textDirection w:val="lrTb"/>
            <w:noWrap w:val="false"/>
          </w:tcPr>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1．核心产品评审。</w:t>
            </w:r>
            <w:r>
              <w:rPr>
                <w:rFonts w:hint="eastAsia" w:ascii="宋体" w:hAnsi="宋体"/>
                <w:color w:val="auto"/>
                <w:sz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rPr>
              <w:t xml:space="preserve">2</w:t>
            </w:r>
            <w:r>
              <w:rPr>
                <w:rFonts w:hint="eastAsia" w:ascii="宋体" w:hAnsi="宋体"/>
                <w:color w:val="auto"/>
                <w:sz w:val="22"/>
                <w:highlight w:val="none"/>
              </w:rPr>
              <w:t xml:space="preserve">．</w:t>
            </w:r>
            <w:r>
              <w:rPr>
                <w:rFonts w:hint="eastAsia" w:ascii="宋体" w:hAnsi="宋体"/>
                <w:b/>
                <w:bCs/>
                <w:color w:val="auto"/>
                <w:sz w:val="22"/>
                <w:highlight w:val="none"/>
                <w:lang w:val="zh-CN"/>
              </w:rPr>
              <w:t xml:space="preserve">小微企业价格扣除</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2</w:t>
            </w:r>
            <w:r>
              <w:rPr>
                <w:rFonts w:hint="eastAsia" w:ascii="宋体" w:hAnsi="宋体"/>
                <w:color w:val="auto"/>
                <w:sz w:val="22"/>
                <w:highlight w:val="none"/>
                <w:lang w:val="zh-CN"/>
              </w:rPr>
              <w:t xml:space="preserve">.1货物采购项目对小微企业生产的产品给予报价的</w:t>
            </w:r>
            <w:r>
              <w:rPr>
                <w:rFonts w:hint="eastAsia" w:ascii="宋体" w:hAnsi="宋体"/>
                <w:b/>
                <w:bCs/>
                <w:color w:val="auto"/>
                <w:sz w:val="22"/>
                <w:highlight w:val="none"/>
                <w:lang w:val="zh-CN"/>
              </w:rPr>
              <w:t xml:space="preserve">10%</w:t>
            </w:r>
            <w:r>
              <w:rPr>
                <w:rFonts w:hint="eastAsia" w:ascii="宋体" w:hAnsi="宋体"/>
                <w:color w:val="auto"/>
                <w:sz w:val="22"/>
                <w:highlight w:val="none"/>
                <w:lang w:val="zh-CN"/>
              </w:rPr>
              <w:t xml:space="preserve">价格扣除，用扣除后的价格参与评审。</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2</w:t>
            </w:r>
            <w:r>
              <w:rPr>
                <w:rFonts w:hint="eastAsia" w:ascii="宋体" w:hAnsi="宋体"/>
                <w:color w:val="auto"/>
                <w:sz w:val="22"/>
                <w:highlight w:val="none"/>
                <w:lang w:val="zh-CN"/>
              </w:rPr>
              <w:t xml:space="preserve">.2大中型企业和其他自然人、法人或者其他组织与小型、微型企业组成联合体共同参加</w:t>
            </w:r>
            <w:r>
              <w:rPr>
                <w:rFonts w:hint="eastAsia" w:ascii="宋体" w:hAnsi="宋体"/>
                <w:color w:val="auto"/>
                <w:sz w:val="22"/>
                <w:highlight w:val="none"/>
              </w:rPr>
              <w:t xml:space="preserve">评审</w:t>
            </w:r>
            <w:r>
              <w:rPr>
                <w:rFonts w:hint="eastAsia" w:ascii="宋体" w:hAnsi="宋体"/>
                <w:color w:val="auto"/>
                <w:sz w:val="22"/>
                <w:highlight w:val="none"/>
                <w:lang w:val="zh-CN"/>
              </w:rPr>
              <w:t xml:space="preserve">，</w:t>
            </w:r>
            <w:r>
              <w:rPr>
                <w:rFonts w:hint="eastAsia" w:ascii="宋体" w:hAnsi="宋体"/>
                <w:color w:val="auto"/>
                <w:sz w:val="22"/>
                <w:highlight w:val="none"/>
              </w:rPr>
              <w:t xml:space="preserve">对于联合协议或者分包意向协议约定小微企业的合同份额占到合同总金额</w:t>
            </w:r>
            <w:r>
              <w:rPr>
                <w:rFonts w:hint="eastAsia" w:ascii="宋体" w:hAnsi="宋体"/>
                <w:b/>
                <w:bCs/>
                <w:color w:val="auto"/>
                <w:sz w:val="22"/>
                <w:highlight w:val="none"/>
              </w:rPr>
              <w:t xml:space="preserve">30%</w:t>
            </w:r>
            <w:r>
              <w:rPr>
                <w:rFonts w:hint="eastAsia" w:ascii="宋体" w:hAnsi="宋体"/>
                <w:color w:val="auto"/>
                <w:sz w:val="22"/>
                <w:highlight w:val="none"/>
              </w:rPr>
              <w:t xml:space="preserve">以上的，给予联合体</w:t>
            </w:r>
            <w:r>
              <w:rPr>
                <w:rFonts w:hint="eastAsia" w:ascii="宋体" w:hAnsi="宋体"/>
                <w:b/>
                <w:bCs/>
                <w:color w:val="auto"/>
                <w:sz w:val="22"/>
                <w:highlight w:val="none"/>
              </w:rPr>
              <w:t xml:space="preserve">4%</w:t>
            </w:r>
            <w:r>
              <w:rPr>
                <w:rFonts w:hint="eastAsia" w:ascii="宋体" w:hAnsi="宋体"/>
                <w:color w:val="auto"/>
                <w:sz w:val="22"/>
                <w:highlight w:val="none"/>
              </w:rPr>
              <w:t xml:space="preserve">的价格扣除。</w:t>
            </w:r>
            <w:r>
              <w:rPr>
                <w:rFonts w:hint="eastAsia" w:ascii="宋体" w:hAnsi="宋体"/>
                <w:color w:val="auto"/>
                <w:sz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lang w:val="zh-CN"/>
              </w:rPr>
              <w:t xml:space="preserve">小企业（含小型、微型企业）应当同时符合以下条件：</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lang w:val="zh-CN"/>
              </w:rPr>
              <w:t xml:space="preserve">（1）供应商为小企业，且符合中小企业划分标准；</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监狱和戒毒企业的价格扣除</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3</w:t>
            </w:r>
            <w:r>
              <w:rPr>
                <w:rFonts w:hint="eastAsia" w:ascii="宋体" w:hAnsi="宋体"/>
                <w:color w:val="auto"/>
                <w:sz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3</w:t>
            </w:r>
            <w:r>
              <w:rPr>
                <w:rFonts w:hint="eastAsia" w:ascii="宋体" w:hAnsi="宋体"/>
                <w:color w:val="auto"/>
                <w:sz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rPr>
              <w:t xml:space="preserve">4．</w:t>
            </w:r>
            <w:r>
              <w:rPr>
                <w:rFonts w:hint="eastAsia" w:ascii="宋体" w:hAnsi="宋体"/>
                <w:b/>
                <w:bCs/>
                <w:color w:val="auto"/>
                <w:sz w:val="22"/>
                <w:highlight w:val="none"/>
                <w:lang w:val="zh-CN"/>
              </w:rPr>
              <w:t xml:space="preserve">残疾人福利性单位的价格扣除</w:t>
            </w:r>
            <w:r/>
          </w:p>
          <w:p>
            <w:pPr>
              <w:ind w:firstLine="442"/>
              <w:spacing w:line="360" w:lineRule="auto"/>
              <w:rPr>
                <w:rFonts w:hint="eastAsia" w:ascii="宋体" w:hAnsi="宋体"/>
                <w:color w:val="auto"/>
                <w:sz w:val="22"/>
                <w:highlight w:val="none"/>
                <w:lang w:val="zh-CN"/>
              </w:rPr>
            </w:pPr>
            <w:r>
              <w:rPr>
                <w:rFonts w:hint="eastAsia" w:ascii="宋体" w:hAnsi="宋体"/>
                <w:b/>
                <w:bCs/>
                <w:color w:val="auto"/>
                <w:sz w:val="22"/>
                <w:highlight w:val="none"/>
              </w:rPr>
              <w:t xml:space="preserve">4</w:t>
            </w:r>
            <w:r>
              <w:rPr>
                <w:rFonts w:hint="eastAsia" w:ascii="宋体" w:hAnsi="宋体"/>
                <w:b/>
                <w:bCs/>
                <w:color w:val="auto"/>
                <w:sz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4</w:t>
            </w:r>
            <w:r>
              <w:rPr>
                <w:rFonts w:hint="eastAsia" w:ascii="宋体" w:hAnsi="宋体"/>
                <w:color w:val="auto"/>
                <w:sz w:val="22"/>
                <w:highlight w:val="none"/>
                <w:lang w:val="zh-CN"/>
              </w:rPr>
              <w:t xml:space="preserve">.2残疾人福利性单位需提供《残疾人福利性单位声明函》。</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4</w:t>
            </w:r>
            <w:r>
              <w:rPr>
                <w:rFonts w:hint="eastAsia" w:ascii="宋体" w:hAnsi="宋体"/>
                <w:color w:val="auto"/>
                <w:sz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rPr>
              <w:t xml:space="preserve">5</w:t>
            </w:r>
            <w:r>
              <w:rPr>
                <w:rFonts w:hint="eastAsia" w:ascii="宋体" w:hAnsi="宋体"/>
                <w:color w:val="auto"/>
                <w:sz w:val="22"/>
                <w:highlight w:val="none"/>
              </w:rPr>
              <w:t xml:space="preserve">．</w:t>
            </w:r>
            <w:r>
              <w:rPr>
                <w:rFonts w:hint="eastAsia" w:ascii="宋体" w:hAnsi="宋体"/>
                <w:b/>
                <w:bCs/>
                <w:color w:val="auto"/>
                <w:sz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6．</w:t>
            </w:r>
            <w:r>
              <w:rPr>
                <w:rFonts w:hint="eastAsia" w:ascii="宋体" w:hAnsi="宋体"/>
                <w:color w:val="auto"/>
                <w:sz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highlight w:val="none"/>
              </w:rPr>
              <w:t xml:space="preserve">扫描件</w:t>
            </w:r>
            <w:r>
              <w:rPr>
                <w:rFonts w:hint="eastAsia" w:ascii="宋体" w:hAnsi="宋体"/>
                <w:color w:val="auto"/>
                <w:sz w:val="22"/>
                <w:highlight w:val="none"/>
                <w:lang w:val="zh-CN"/>
              </w:rPr>
              <w:t xml:space="preserve">为准）。</w:t>
            </w:r>
            <w:r/>
          </w:p>
          <w:p>
            <w:pPr>
              <w:ind w:firstLine="442"/>
              <w:spacing w:line="360" w:lineRule="auto"/>
              <w:rPr>
                <w:rFonts w:hint="eastAsia" w:ascii="宋体" w:hAnsi="宋体"/>
                <w:b/>
                <w:bCs/>
                <w:color w:val="auto"/>
                <w:sz w:val="22"/>
                <w:highlight w:val="none"/>
              </w:rPr>
            </w:pPr>
            <w:r>
              <w:rPr>
                <w:rFonts w:hint="eastAsia" w:ascii="宋体" w:hAnsi="宋体"/>
                <w:b/>
                <w:bCs/>
                <w:color w:val="auto"/>
                <w:sz w:val="22"/>
                <w:highlight w:val="none"/>
              </w:rPr>
              <w:t xml:space="preserve">7.采购本国产品的支持政策</w:t>
            </w:r>
            <w:r/>
          </w:p>
          <w:p>
            <w:pPr>
              <w:ind w:firstLine="440"/>
              <w:spacing w:line="360" w:lineRule="auto"/>
              <w:rPr>
                <w:rFonts w:hint="eastAsia" w:ascii="宋体" w:hAnsi="宋体"/>
                <w:color w:val="auto"/>
                <w:sz w:val="22"/>
                <w:highlight w:val="none"/>
              </w:rPr>
            </w:pPr>
            <w:r>
              <w:rPr>
                <w:rFonts w:hint="eastAsia" w:ascii="宋体" w:hAnsi="宋体"/>
                <w:color w:val="auto"/>
                <w:sz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auto"/>
                <w:sz w:val="22"/>
                <w:highlight w:val="none"/>
              </w:rPr>
            </w:pPr>
            <w:r>
              <w:rPr>
                <w:rFonts w:hint="eastAsia" w:ascii="宋体" w:hAnsi="宋体"/>
                <w:color w:val="auto"/>
                <w:sz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auto"/>
                <w:sz w:val="22"/>
                <w:highlight w:val="none"/>
              </w:rPr>
            </w:pPr>
            <w:r>
              <w:rPr>
                <w:rFonts w:hint="eastAsia" w:ascii="宋体" w:hAnsi="宋体"/>
                <w:color w:val="auto"/>
                <w:sz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auto"/>
                <w:sz w:val="22"/>
                <w:highlight w:val="none"/>
              </w:rPr>
            </w:pPr>
            <w:r>
              <w:rPr>
                <w:rFonts w:hint="eastAsia" w:ascii="宋体" w:hAnsi="宋体"/>
                <w:color w:val="auto"/>
                <w:sz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auto"/>
                <w:sz w:val="22"/>
                <w:highlight w:val="none"/>
              </w:rPr>
            </w:pPr>
            <w:r>
              <w:rPr>
                <w:rFonts w:hint="eastAsia" w:ascii="宋体" w:hAnsi="宋体"/>
                <w:color w:val="auto"/>
                <w:sz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rPr>
              <w:t xml:space="preserve">8</w:t>
            </w:r>
            <w:r>
              <w:rPr>
                <w:rFonts w:hint="eastAsia" w:ascii="宋体" w:hAnsi="宋体"/>
                <w:b/>
                <w:bCs/>
                <w:color w:val="auto"/>
                <w:sz w:val="22"/>
                <w:highlight w:val="none"/>
                <w:lang w:val="zh-CN"/>
              </w:rPr>
              <w:t xml:space="preserve">．所有证明材料均以有效的扫描</w:t>
            </w:r>
            <w:r>
              <w:rPr>
                <w:rFonts w:hint="eastAsia" w:ascii="宋体" w:hAnsi="宋体"/>
                <w:b/>
                <w:bCs/>
                <w:color w:val="auto"/>
                <w:sz w:val="22"/>
                <w:highlight w:val="none"/>
              </w:rPr>
              <w:t xml:space="preserve">件</w:t>
            </w:r>
            <w:r>
              <w:rPr>
                <w:rFonts w:hint="eastAsia" w:ascii="宋体" w:hAnsi="宋体"/>
                <w:b/>
                <w:bCs/>
                <w:color w:val="auto"/>
                <w:sz w:val="22"/>
                <w:highlight w:val="none"/>
                <w:lang w:val="zh-CN"/>
              </w:rPr>
              <w:t xml:space="preserve">为依据。</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（1）供应商业绩和人员业绩：以提供的合同或</w:t>
            </w:r>
            <w:r>
              <w:rPr>
                <w:rFonts w:hint="eastAsia" w:ascii="宋体" w:hAnsi="宋体"/>
                <w:b/>
                <w:bCs/>
                <w:color w:val="auto"/>
                <w:sz w:val="22"/>
                <w:highlight w:val="none"/>
              </w:rPr>
              <w:t xml:space="preserve">相关业绩证明材料扫描件</w:t>
            </w:r>
            <w:r>
              <w:rPr>
                <w:rFonts w:hint="eastAsia" w:ascii="宋体" w:hAnsi="宋体"/>
                <w:b/>
                <w:bCs/>
                <w:color w:val="auto"/>
                <w:sz w:val="22"/>
                <w:highlight w:val="none"/>
                <w:lang w:val="zh-CN"/>
              </w:rPr>
              <w:t xml:space="preserve">为准。</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w:t>
            </w:r>
            <w:r>
              <w:rPr>
                <w:rFonts w:hint="eastAsia" w:ascii="宋体" w:hAnsi="宋体"/>
                <w:b/>
                <w:bCs/>
                <w:color w:val="auto"/>
                <w:sz w:val="22"/>
                <w:highlight w:val="none"/>
              </w:rPr>
              <w:t xml:space="preserve">2</w:t>
            </w:r>
            <w:r>
              <w:rPr>
                <w:rFonts w:hint="eastAsia" w:ascii="宋体" w:hAnsi="宋体"/>
                <w:b/>
                <w:bCs/>
                <w:color w:val="auto"/>
                <w:sz w:val="22"/>
                <w:highlight w:val="none"/>
                <w:lang w:val="zh-CN"/>
              </w:rPr>
              <w:t xml:space="preserve">）人员业绩和供应商业绩可重复计算（如有）。</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w:t>
            </w: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）提供的合同、中标（成交）通知书或履约证明材料或咨询成果等材料均不能</w:t>
            </w:r>
            <w:r>
              <w:rPr>
                <w:rFonts w:hint="eastAsia" w:ascii="宋体" w:hAnsi="宋体"/>
                <w:b/>
                <w:bCs/>
                <w:color w:val="auto"/>
                <w:sz w:val="22"/>
                <w:highlight w:val="none"/>
              </w:rPr>
              <w:t xml:space="preserve">反映</w:t>
            </w:r>
            <w:r>
              <w:rPr>
                <w:rFonts w:hint="eastAsia" w:ascii="宋体" w:hAnsi="宋体"/>
                <w:b/>
                <w:bCs/>
                <w:color w:val="auto"/>
                <w:sz w:val="22"/>
                <w:highlight w:val="none"/>
                <w:lang w:val="zh-CN"/>
              </w:rPr>
              <w:t xml:space="preserve">出相关数据、内容的，视为未提供。</w:t>
            </w:r>
            <w:r/>
          </w:p>
          <w:p>
            <w:pPr>
              <w:ind w:firstLine="442"/>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bCs/>
                <w:color w:val="auto"/>
                <w:sz w:val="22"/>
                <w:highlight w:val="none"/>
                <w:lang w:val="zh-CN"/>
              </w:rPr>
            </w:pPr>
            <w:r/>
            <w:bookmarkStart w:id="58" w:name="OLE_LINK30"/>
            <w:r/>
            <w:bookmarkStart w:id="59" w:name="OLE_LINK31"/>
            <w:r>
              <w:rPr>
                <w:rFonts w:hint="eastAsia" w:ascii="宋体" w:hAnsi="宋体"/>
                <w:bCs/>
                <w:color w:val="auto"/>
                <w:sz w:val="22"/>
                <w:highlight w:val="none"/>
                <w:lang w:val="zh-CN"/>
              </w:rPr>
              <w:t xml:space="preserve">9．根据财政部</w:t>
            </w:r>
            <w:bookmarkStart w:id="60" w:name="OLE_LINK36"/>
            <w:r/>
            <w:bookmarkStart w:id="61" w:name="OLE_LINK37"/>
            <w:r>
              <w:rPr>
                <w:rFonts w:hint="eastAsia" w:ascii="宋体" w:hAnsi="宋体"/>
                <w:bCs/>
                <w:color w:val="auto"/>
                <w:sz w:val="22"/>
                <w:highlight w:val="none"/>
                <w:lang w:val="zh-CN"/>
              </w:rPr>
              <w:t xml:space="preserve">《关于推动解决政府采购异常低价问题的通知》(财库【2026】2号)</w:t>
            </w:r>
            <w:bookmarkEnd w:id="60"/>
            <w:r/>
            <w:bookmarkEnd w:id="61"/>
            <w:r>
              <w:rPr>
                <w:rFonts w:hint="eastAsia" w:ascii="宋体" w:hAnsi="宋体"/>
                <w:bCs/>
                <w:color w:val="auto"/>
                <w:sz w:val="22"/>
                <w:highlight w:val="none"/>
                <w:lang w:val="zh-CN"/>
              </w:rPr>
              <w:t xml:space="preserve">要求，评审过程中出现下列情形之一的，评审委员会应当启动异常低价投标(响应)审查程序:</w:t>
            </w:r>
            <w:r/>
          </w:p>
          <w:p>
            <w:pPr>
              <w:ind w:firstLine="440"/>
              <w:spacing w:line="360" w:lineRule="auto"/>
              <w:rPr>
                <w:rFonts w:hint="eastAsia" w:ascii="宋体" w:hAnsi="宋体"/>
                <w:bCs/>
                <w:color w:val="auto"/>
                <w:sz w:val="22"/>
                <w:highlight w:val="none"/>
                <w:lang w:val="zh-CN"/>
              </w:rPr>
            </w:pPr>
            <w:r/>
            <w:bookmarkStart w:id="62" w:name="OLE_LINK21"/>
            <w:r/>
            <w:bookmarkStart w:id="63" w:name="OLE_LINK22"/>
            <w:r>
              <w:rPr>
                <w:rFonts w:hint="eastAsia" w:ascii="宋体" w:hAnsi="宋体"/>
                <w:bCs/>
                <w:color w:val="auto"/>
                <w:sz w:val="22"/>
                <w:highlight w:val="none"/>
                <w:lang w:val="zh-CN"/>
              </w:rPr>
              <w:t xml:space="preserve">（1）投标（响应）报价低于全部通过符合性审查供应商投标(响应)报价平均值50%的，即投标(响应)报价</w:t>
            </w:r>
            <w:bookmarkStart w:id="64" w:name="OLE_LINK23"/>
            <w:r>
              <w:rPr>
                <w:rFonts w:hint="eastAsia" w:ascii="宋体" w:hAnsi="宋体"/>
                <w:bCs/>
                <w:color w:val="auto"/>
                <w:sz w:val="22"/>
                <w:highlight w:val="none"/>
                <w:lang w:val="zh-CN"/>
              </w:rPr>
              <w:t xml:space="preserve">＜</w:t>
            </w:r>
            <w:bookmarkEnd w:id="64"/>
            <w:r>
              <w:rPr>
                <w:rFonts w:hint="eastAsia" w:ascii="宋体" w:hAnsi="宋体"/>
                <w:bCs/>
                <w:color w:val="auto"/>
                <w:sz w:val="22"/>
                <w:highlight w:val="none"/>
                <w:lang w:val="zh-CN"/>
              </w:rPr>
              <w:t xml:space="preserve">全部通过符合性审查供应商投标(响应)报价平均值</w:t>
            </w:r>
            <w:bookmarkStart w:id="65" w:name="OLE_LINK24"/>
            <w:r/>
            <w:bookmarkStart w:id="66" w:name="OLE_LINK25"/>
            <w:r>
              <w:rPr>
                <w:rFonts w:hint="eastAsia" w:ascii="宋体" w:hAnsi="宋体"/>
                <w:bCs/>
                <w:color w:val="auto"/>
                <w:sz w:val="22"/>
                <w:highlight w:val="none"/>
                <w:lang w:val="zh-CN"/>
              </w:rPr>
              <w:t xml:space="preserve">×</w:t>
            </w:r>
            <w:bookmarkEnd w:id="65"/>
            <w:r/>
            <w:bookmarkEnd w:id="66"/>
            <w:r>
              <w:rPr>
                <w:rFonts w:hint="eastAsia" w:ascii="宋体" w:hAnsi="宋体"/>
                <w:bCs/>
                <w:color w:val="auto"/>
                <w:sz w:val="22"/>
                <w:highlight w:val="none"/>
                <w:lang w:val="zh-CN"/>
              </w:rPr>
              <w:t xml:space="preserve">50%；</w:t>
            </w:r>
            <w:r/>
          </w:p>
          <w:p>
            <w:pPr>
              <w:ind w:firstLine="440"/>
              <w:spacing w:line="360" w:lineRule="auto"/>
              <w:rPr>
                <w:rFonts w:hint="eastAsia" w:ascii="宋体" w:hAnsi="宋体"/>
                <w:bCs/>
                <w:color w:val="auto"/>
                <w:sz w:val="22"/>
                <w:highlight w:val="none"/>
                <w:lang w:val="zh-CN"/>
              </w:rPr>
            </w:pPr>
            <w:r>
              <w:rPr>
                <w:rFonts w:hint="eastAsia" w:ascii="宋体" w:hAnsi="宋体"/>
                <w:bCs/>
                <w:color w:val="auto"/>
                <w:sz w:val="22"/>
                <w:highlight w:val="none"/>
                <w:lang w:val="zh-CN"/>
              </w:rPr>
              <w:t xml:space="preserve">（2）投标(响应)报价低于通过符合性审查的次低报价供应商投标(响应)报价50%的，即投标(响应)报价</w:t>
            </w:r>
            <w:bookmarkStart w:id="67" w:name="OLE_LINK26"/>
            <w:r/>
            <w:bookmarkStart w:id="68" w:name="OLE_LINK27"/>
            <w:r>
              <w:rPr>
                <w:rFonts w:hint="eastAsia" w:ascii="宋体" w:hAnsi="宋体"/>
                <w:bCs/>
                <w:color w:val="auto"/>
                <w:sz w:val="22"/>
                <w:highlight w:val="none"/>
                <w:lang w:val="zh-CN"/>
              </w:rPr>
              <w:t xml:space="preserve">＜</w:t>
            </w:r>
            <w:bookmarkEnd w:id="67"/>
            <w:r/>
            <w:bookmarkEnd w:id="68"/>
            <w:r>
              <w:rPr>
                <w:rFonts w:hint="eastAsia" w:ascii="宋体" w:hAnsi="宋体"/>
                <w:bCs/>
                <w:color w:val="auto"/>
                <w:sz w:val="22"/>
                <w:highlight w:val="none"/>
                <w:lang w:val="zh-CN"/>
              </w:rPr>
              <w:t xml:space="preserve">通过符合性审查的次低报价供应商投标(响应)报价×50%；</w:t>
            </w:r>
            <w:r/>
          </w:p>
          <w:p>
            <w:pPr>
              <w:ind w:firstLine="440"/>
              <w:spacing w:line="360" w:lineRule="auto"/>
              <w:rPr>
                <w:rFonts w:hint="eastAsia" w:ascii="宋体" w:hAnsi="宋体"/>
                <w:bCs/>
                <w:color w:val="auto"/>
                <w:sz w:val="22"/>
                <w:highlight w:val="none"/>
                <w:lang w:val="zh-CN"/>
              </w:rPr>
            </w:pPr>
            <w:r>
              <w:rPr>
                <w:rFonts w:hint="eastAsia" w:ascii="宋体" w:hAnsi="宋体"/>
                <w:bCs/>
                <w:color w:val="auto"/>
                <w:sz w:val="22"/>
                <w:highlight w:val="none"/>
                <w:lang w:val="zh-CN"/>
              </w:rPr>
              <w:t xml:space="preserve">（3）投标(响应)报价低于采购项目最高限价45%的，即投标(响应)报价＜采购项目最高限价×45%；</w:t>
            </w:r>
            <w:r/>
          </w:p>
          <w:p>
            <w:pPr>
              <w:ind w:firstLine="440"/>
              <w:spacing w:line="360" w:lineRule="auto"/>
              <w:rPr>
                <w:rFonts w:hint="eastAsia" w:ascii="宋体" w:hAnsi="宋体"/>
                <w:bCs/>
                <w:color w:val="auto"/>
                <w:sz w:val="22"/>
                <w:highlight w:val="none"/>
                <w:lang w:val="zh-CN"/>
              </w:rPr>
            </w:pPr>
            <w:r>
              <w:rPr>
                <w:rFonts w:hint="eastAsia" w:ascii="宋体" w:hAnsi="宋体"/>
                <w:bCs/>
                <w:color w:val="auto"/>
                <w:sz w:val="22"/>
                <w:highlight w:val="none"/>
                <w:lang w:val="zh-CN"/>
              </w:rPr>
              <w:t xml:space="preserve">（4）评审委员会基于专业判断，认为供应商报价过低，有可能影响产品质量或者不能诚信履约的其他情形。</w:t>
            </w:r>
            <w:bookmarkEnd w:id="62"/>
            <w:r/>
            <w:bookmarkEnd w:id="63"/>
            <w:r/>
            <w:r/>
          </w:p>
          <w:p>
            <w:pPr>
              <w:ind w:firstLine="440"/>
              <w:spacing w:line="360" w:lineRule="auto"/>
              <w:rPr>
                <w:rFonts w:hint="eastAsia" w:ascii="宋体" w:hAnsi="宋体"/>
                <w:bCs/>
                <w:color w:val="auto"/>
                <w:sz w:val="22"/>
                <w:highlight w:val="none"/>
                <w:lang w:val="zh-CN"/>
              </w:rPr>
            </w:pPr>
            <w:r>
              <w:rPr>
                <w:rFonts w:hint="eastAsia" w:ascii="宋体" w:hAnsi="宋体"/>
                <w:bCs/>
                <w:color w:val="auto"/>
                <w:sz w:val="22"/>
                <w:highlight w:val="none"/>
                <w:lang w:val="zh-CN"/>
              </w:rPr>
              <w:t xml:space="preserve">具体要求按《关于推动解决政府采购异常低价问题的通知》(财库【2026】2号)执行。</w:t>
            </w:r>
            <w:bookmarkEnd w:id="58"/>
            <w:r/>
            <w:bookmarkEnd w:id="59"/>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10</w:t>
            </w:r>
            <w:r>
              <w:rPr>
                <w:rFonts w:hint="eastAsia" w:ascii="宋体" w:hAnsi="宋体"/>
                <w:color w:val="auto"/>
                <w:sz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ascii="宋体" w:hAnsi="宋体" w:cs="宋体"/>
                <w:color w:val="auto"/>
                <w:spacing w:val="-11"/>
                <w:highlight w:val="none"/>
              </w:rPr>
            </w:pPr>
            <w:r>
              <w:rPr>
                <w:rFonts w:hint="eastAsia" w:ascii="宋体" w:hAnsi="宋体"/>
                <w:color w:val="auto"/>
                <w:sz w:val="22"/>
                <w:szCs w:val="21"/>
                <w:highlight w:val="none"/>
              </w:rPr>
              <w:t xml:space="preserve">11</w:t>
            </w:r>
            <w:r>
              <w:rPr>
                <w:rFonts w:hint="eastAsia" w:ascii="宋体" w:hAnsi="宋体"/>
                <w:color w:val="auto"/>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End w:id="46"/>
            <w:bookmarkEnd w:id="47"/>
            <w:bookmarkEnd w:id="48"/>
            <w:bookmarkEnd w:id="49"/>
            <w:r/>
          </w:p>
        </w:tc>
      </w:tr>
    </w:tbl>
    <w:p>
      <w:pPr>
        <w:pStyle w:val="818"/>
        <w:rPr>
          <w:rFonts w:hint="eastAsia"/>
          <w:color w:val="auto"/>
          <w:highlight w:val="none"/>
        </w:rPr>
      </w:pPr>
      <w:r>
        <w:rPr>
          <w:rFonts w:hint="eastAsia"/>
          <w:color w:val="auto"/>
          <w:highlight w:val="none"/>
        </w:rPr>
      </w:r>
      <w:r/>
    </w:p>
    <w:p>
      <w:pPr>
        <w:pStyle w:val="818"/>
        <w:rPr>
          <w:rFonts w:hint="eastAsia" w:ascii="宋体" w:hAnsi="宋体"/>
          <w:color w:val="auto"/>
          <w:szCs w:val="21"/>
          <w:highlight w:val="none"/>
        </w:rPr>
      </w:pPr>
      <w:r>
        <w:rPr>
          <w:rFonts w:hint="eastAsia" w:ascii="宋体" w:hAnsi="宋体"/>
          <w:color w:val="auto"/>
          <w:szCs w:val="21"/>
          <w:highlight w:val="none"/>
        </w:rPr>
      </w:r>
      <w:r/>
    </w:p>
    <w:p>
      <w:pPr>
        <w:pStyle w:val="818"/>
        <w:rPr>
          <w:rFonts w:hint="eastAsia" w:ascii="宋体" w:hAnsi="宋体"/>
          <w:color w:val="auto"/>
          <w:szCs w:val="21"/>
          <w:highlight w:val="none"/>
        </w:rPr>
      </w:pPr>
      <w:r>
        <w:rPr>
          <w:rFonts w:hint="eastAsia" w:ascii="宋体" w:hAnsi="宋体"/>
          <w:color w:val="auto"/>
          <w:szCs w:val="21"/>
          <w:highlight w:val="none"/>
        </w:rPr>
      </w:r>
      <w:r/>
    </w:p>
    <w:p>
      <w:pPr>
        <w:pStyle w:val="818"/>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s="宋体"/>
          <w:b/>
          <w:bCs/>
          <w:color w:val="auto"/>
          <w:spacing w:val="-10"/>
          <w:sz w:val="36"/>
          <w:szCs w:val="36"/>
          <w:highlight w:val="none"/>
          <w:lang w:val="zh-CN"/>
        </w:rPr>
        <w:outlineLvl w:val="0"/>
      </w:pPr>
      <w:r>
        <w:rPr>
          <w:rFonts w:hint="eastAsia" w:ascii="宋体" w:hAnsi="宋体" w:cs="宋体"/>
          <w:b/>
          <w:bCs/>
          <w:color w:val="auto"/>
          <w:sz w:val="36"/>
          <w:szCs w:val="36"/>
          <w:highlight w:val="none"/>
          <w:lang w:val="zh-CN"/>
        </w:rPr>
        <w:br w:type="page" w:clear="all"/>
      </w:r>
      <w:bookmarkStart w:id="69" w:name="_Toc228350074"/>
      <w:r>
        <w:rPr>
          <w:rFonts w:hint="eastAsia" w:ascii="宋体" w:hAnsi="宋体" w:cs="宋体"/>
          <w:b/>
          <w:bCs/>
          <w:color w:val="auto"/>
          <w:spacing w:val="-10"/>
          <w:sz w:val="36"/>
          <w:szCs w:val="36"/>
          <w:highlight w:val="none"/>
          <w:lang w:val="zh-CN"/>
        </w:rPr>
        <w:t xml:space="preserve">第四章  采购需求</w:t>
      </w:r>
      <w:bookmarkEnd w:id="69"/>
      <w:r/>
      <w:r/>
    </w:p>
    <w:p>
      <w:pPr>
        <w:ind w:firstLine="482"/>
        <w:spacing w:line="360" w:lineRule="auto"/>
        <w:rPr>
          <w:rFonts w:hint="eastAsia" w:ascii="黑体" w:hAnsi="黑体" w:eastAsia="黑体" w:cs="黑体"/>
          <w:color w:val="auto"/>
          <w:sz w:val="24"/>
          <w:szCs w:val="24"/>
          <w:highlight w:val="none"/>
        </w:rPr>
      </w:pPr>
      <w:r>
        <w:rPr>
          <w:rFonts w:hint="eastAsia" w:ascii="黑体" w:hAnsi="黑体" w:eastAsia="黑体" w:cs="黑体"/>
          <w:b/>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二、项目概况</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本项目为南京师范大学附属中学江北新区学校功能室设备采购、安装、调试并培训使用，保障学校正常教学活动开展，具体详见采购需求。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60" w:lineRule="auto"/>
        <w:rPr>
          <w:rFonts w:hint="eastAsia" w:ascii="宋体" w:hAnsi="宋体" w:cs="宋体"/>
          <w:bCs/>
          <w:color w:val="auto"/>
          <w:sz w:val="24"/>
          <w:szCs w:val="24"/>
          <w:highlight w:val="none"/>
        </w:rPr>
      </w:pPr>
      <w:r/>
      <w:bookmarkStart w:id="70" w:name="OLE_LINK38"/>
      <w:r/>
      <w:bookmarkStart w:id="71" w:name="OLE_LINK35"/>
      <w:r>
        <w:rPr>
          <w:rFonts w:hint="eastAsia" w:ascii="宋体" w:hAnsi="宋体" w:cs="宋体"/>
          <w:bCs/>
          <w:color w:val="auto"/>
          <w:sz w:val="24"/>
          <w:szCs w:val="24"/>
          <w:highlight w:val="none"/>
        </w:rPr>
        <w:t xml:space="preserve">（三）资产配置标准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符合《南京市中小学通用资产配置标准》</w:t>
      </w:r>
      <w:bookmarkEnd w:id="70"/>
      <w:r/>
      <w:bookmarkEnd w:id="71"/>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三、项目清单</w:t>
      </w:r>
      <w:r/>
    </w:p>
    <w:tbl>
      <w:tblPr>
        <w:tblStyle w:val="689"/>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1017"/>
        <w:gridCol w:w="3488"/>
        <w:gridCol w:w="1742"/>
        <w:gridCol w:w="871"/>
        <w:gridCol w:w="871"/>
        <w:gridCol w:w="871"/>
        <w:gridCol w:w="872"/>
      </w:tblGrid>
      <w:tr>
        <w:trPr>
          <w:trHeight w:val="315"/>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产品类型</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属性</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bookmarkStart w:id="72" w:name="OLE_LINK1"/>
            <w:r>
              <w:rPr>
                <w:rFonts w:hint="eastAsia" w:ascii="宋体" w:hAnsi="宋体" w:cs="宋体"/>
                <w:color w:val="auto"/>
                <w:szCs w:val="21"/>
                <w:highlight w:val="none"/>
              </w:rPr>
              <w:t xml:space="preserve">核心产品</w:t>
            </w:r>
            <w:bookmarkEnd w:id="72"/>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可移动讲台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编程桌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学生组合桌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后墙组合柜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储物边柜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电鼓</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魔方USB插座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室内地上布线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无人机虚拟教学竞赛平台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基站编队编队无人机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编程编队积木无人机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无人机赛事备用配件包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基础搬运功能模块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智能夹取搬运功能模块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无人机场地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电池防护袋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维修工具箱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加热台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焊台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示波器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电子维修显微镜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储物边柜1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储物边柜2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储存吊柜1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储存吊柜2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后墙组合柜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编程桌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室内地上布线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激光切割机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激光切割耗材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激光切割设计平台软件账号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多色3D打印机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FDM教室用3D打印机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3D打印机课程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3D打印机PLA物料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桌面智能3D雕刻机套装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配套拖拉车收纳柜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扩展通用加工包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后墙展示柜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机器人赛台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室内地上布线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人形机器人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人形机器人配件包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配套教材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金属机器人竞赛超级套装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竞赛场地围栏套装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全场地地垫拼块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全场地及比赛道具套装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智能场地控制器套装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气动件套装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惯性传感器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光感器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测距仪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电位计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旋转传感器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小型智能电机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智能电机齿轮组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主控器电池</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主控器电池充电器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智能电缆压线钳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智能电缆线材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智能电缆水晶头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竞赛机器人配件包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充气泵</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服务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金属机器人教学入门套装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人工智能机器人套装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人工智能机器人场地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left"/>
              <w:widowControl/>
              <w:rPr>
                <w:rFonts w:ascii="宋体" w:hAnsi="宋体" w:cs="等线"/>
                <w:color w:val="auto"/>
                <w:szCs w:val="21"/>
                <w:highlight w:val="none"/>
              </w:rPr>
            </w:pPr>
            <w:r>
              <w:rPr>
                <w:rFonts w:hint="eastAsia" w:ascii="宋体" w:hAnsi="宋体" w:cs="等线"/>
                <w:color w:val="auto"/>
                <w:szCs w:val="21"/>
                <w:highlight w:val="none"/>
                <w:lang w:bidi="ar"/>
              </w:rPr>
              <w:t xml:space="preserve">AI机器人竞赛套装</w:t>
            </w:r>
            <w:r>
              <w:rPr>
                <w:rFonts w:hint="eastAsia" w:ascii="宋体" w:hAnsi="宋体" w:cs="等线"/>
                <w:color w:val="auto"/>
                <w:szCs w:val="21"/>
                <w:highlight w:val="none"/>
                <w:lang w:bidi="ar"/>
              </w:rPr>
              <w:br w:type="textWrapping" w:clear="all"/>
            </w:r>
            <w:r>
              <w:rPr>
                <w:rFonts w:hint="eastAsia" w:ascii="宋体" w:hAnsi="宋体" w:cs="等线"/>
                <w:color w:val="auto"/>
                <w:szCs w:val="21"/>
                <w:highlight w:val="none"/>
                <w:lang w:bidi="ar"/>
              </w:rPr>
              <w:t xml:space="preserve">（Explorer）</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AI机器人竞赛套装器材升级包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AI机器人竞赛场地套装（Explorer含边框）</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物联网科创实验套件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Arduino创意编程套件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人工智能与开源硬件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信息技术高中基础教学套件-Python编程学习主控板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无人驾驶套件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AI视觉小车套装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AI视觉小车教师用书</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AI视觉小车套装学生用书</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AI视觉小车课程场景应用包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AI视觉模块摄像头套装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中小学创新实践活动器材（入门版）</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中小学创新实践活动器材（提升版）</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加热台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焊台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示波器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电子维修显微镜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面包板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杜邦线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置物架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置物架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操作边台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排练椅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舞蹈把杆</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墙镜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无感麦克风</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声匀智慧终端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空间阵列模组主音箱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空间阵列模组辅音箱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节拍器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立式钢琴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化妆台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坐椅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演出服陈列柜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道具陈列柜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学生台嵌入式分机电源终端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作品展示柜1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作品展示柜2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储存边台一</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储存边台二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储存边台三</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储存边台四</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工具挂板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展示层板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储存吊柜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室内地上布线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羊角锤</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手板锯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拔料器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曲线锯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钢手锯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三倍快速锯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整形锉</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木锉</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木工手压平刨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钢锉</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圆板牙架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钳工锤</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板牙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丝锥绞手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丝锥</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样冲</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划规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划针</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铸铁平板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V型铁</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电烙铁</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电烙铁架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夹持器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吸锡器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斜嘴钳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台虎钳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钢丝钳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水口钳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活动扳手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固定扳手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内六角扳手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一字槽螺钉旋具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十字槽螺钉旋具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民用剪刀</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手用金属剪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美工刀</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丁字尺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丁字尺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三角尺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比例尺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曲线板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绘图板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量角器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擦图片</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圆规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分规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砂纸板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磨石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热熔胶枪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热熔胶棒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拉铆枪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铜丝刷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小型车床</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小型铣床</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小型钻床</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小型木工车床</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小型数控加工中心</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手电钻</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手电钻</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激光防护镜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角向磨光机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电动曲线锯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砂轮机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木工台锯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砂带机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三维扫描仪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激光测距仪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弯曲强度测试仪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结构拉压测试仪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稳定性试验仪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G型夹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直尺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直角尺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角度尺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钢卷尺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百分表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方箱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电子秤</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金属钩码</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湿度计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照度计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技术与设计环创挂图</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安全操作环创挂图</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简明技术发展史环创挂图</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设备安全使用资料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通用技术试验材料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台灯散件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结构试验套件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流程设计套件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系统.控制设计套件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风车模型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都江堰模型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钻木取火工具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灯具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中文版活字排版盒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中国传统农具模型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面料样本册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册</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仿真鸣音格雷夫水壶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老式电话</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伽利略温度计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多功能学习用品盒模型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榨汁机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削皮机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木工连接方式模型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金工连接方式模型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机器模型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纺车模型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绘图模型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桥梁结构模型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建筑结构模型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框架结构模型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蜗轮蜗杆传动装置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齿轮齿条传动装置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固定连接结构模型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柔性连接结构模型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摩擦离合器结构模型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万向结构模型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水位控制模型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阀门断面模型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光感窗帘控制模型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汽车道闸控制模型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三维设计软件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吸尘器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木工板材，木条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钳工耗材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手工钢锯锯条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木工锯条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焊锡膏</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焊锡丝</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松香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可移动讲台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乐器高柜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76910" cy="1016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2"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教室均匀扩声系统（无感麦克风）</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声匀智慧终端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空间感阵列模组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空间阵列模组辅音箱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节拍器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立式钢琴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高中音乐鉴赏教学曲库</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吉他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二胡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京胡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板胡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柳琴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琵琶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大阮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月琴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小三弦</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扬琴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古筝</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架</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笛子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唢呐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北梆子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南梆子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木鱼（7音）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碰钟</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堂鼓</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5音排鼓</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松香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琴弦</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小提琴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中提琴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大提琴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倍大提琴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短笛</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单簧管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双簧管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中音萨克斯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次中音萨克斯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圆号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次中音长号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长号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上低音号(三立键)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智能哑鼓</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钟琴（32音）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三角铁</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大锣</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定音鼓</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号油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绒布</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可移动讲台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唱诗台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护栏</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无感麦克风</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声匀智慧终端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空间感阵列模组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空间阵列模组辅音箱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节拍器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立式钢琴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可移动讲台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394</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乐器高柜</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76910" cy="1016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2"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合唱台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无感麦克风</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声匀智慧终端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空间感阵列模组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空间阵列模组辅音箱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节拍器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教学用智能电钢琴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谱台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箱鼓音乐凳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409</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操作台</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钢制置物货架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76910" cy="1016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2"/>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2"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411</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413</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操作台</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钢制置物货架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76910" cy="10160"/>
                      <wp:effectExtent l="0" t="0" r="0" b="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2"/>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2"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415</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航拍无人机1</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航拍无人机2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4"/>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5"/>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15"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34060" cy="10160"/>
                      <wp:effectExtent l="0" t="0" r="0" b="0"/>
                      <wp:wrapNone/>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6"/>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66750" cy="10160"/>
                      <wp:effectExtent l="0" t="0" r="0" b="0"/>
                      <wp:wrapNone/>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7"/>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17"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手持拍摄设备</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71450" cy="181610"/>
                      <wp:effectExtent l="0" t="0" r="0" b="0"/>
                      <wp:wrapNone/>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8"/>
                              <a:stretch/>
                            </pic:blipFill>
                            <pic:spPr bwMode="auto">
                              <a:xfrm>
                                <a:off x="0" y="0"/>
                                <a:ext cx="1714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0.0pt;mso-position-horizontal:absolute;mso-position-vertical-relative:text;margin-top:0.0pt;mso-position-vertical:absolute;width:13.5pt;height:14.3pt;mso-wrap-distance-left:9.0pt;mso-wrap-distance-top:0.0pt;mso-wrap-distance-right:9.0pt;mso-wrap-distance-bottom:0.0pt;" stroked="f">
                      <v:path textboxrect="0,0,0,0"/>
                      <v:imagedata r:id="rId18" o:title=""/>
                    </v:shape>
                  </w:pict>
                </mc:Fallback>
              </mc:AlternateContent>
            </w:r>
            <w:r>
              <w:rPr>
                <w:rFonts w:hint="eastAsia" w:ascii="宋体" w:hAnsi="宋体" w:cs="宋体"/>
                <w:color w:val="auto"/>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14"/>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15"/>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15"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66750" cy="10160"/>
                      <wp:effectExtent l="0" t="0" r="0" b="0"/>
                      <wp:wrapNone/>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17"/>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17"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34060" cy="10160"/>
                      <wp:effectExtent l="0" t="0" r="0" b="0"/>
                      <wp:wrapNone/>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16"/>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无线麦克风</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14"/>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15"/>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15"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34060" cy="10160"/>
                      <wp:effectExtent l="0" t="0" r="0" b="0"/>
                      <wp:wrapNone/>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16"/>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0288;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66750" cy="10160"/>
                      <wp:effectExtent l="0" t="0" r="0" b="0"/>
                      <wp:wrapNone/>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17"/>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17"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实验室演示台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教师主控电源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中央操作台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试剂架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给/排水全套装置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电源布线耗材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中央准备台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66750" cy="10160"/>
                      <wp:effectExtent l="0" t="0" r="0" b="0"/>
                      <wp:wrapNone/>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17"/>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17"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电源插座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试剂架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小厨宝</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给/排水全套装置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电源布线耗材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实验室演示台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学生实验桌1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学生实验桌2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智能升降机构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吊装智能电源-低压电源模块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吊装智能电源-高压电源模块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电源布线耗材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吊装系统调试</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集成顶装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给/排水全套装置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水龙头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不锈钢水盆</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收纳柜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室内地上给排水安装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美术文化展板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19760" cy="10160"/>
                      <wp:effectExtent l="0" t="0" r="0" b="0"/>
                      <wp:wrapNone/>
                      <wp:docPr id="26"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19"/>
                              <a:stretch/>
                            </pic:blipFill>
                            <pic:spPr bwMode="auto">
                              <a:xfrm>
                                <a:off x="0" y="0"/>
                                <a:ext cx="6197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0.0pt;mso-position-horizontal:absolute;mso-position-vertical-relative:text;margin-top:0.0pt;mso-position-vertical:absolute;width:48.8pt;height:0.8pt;mso-wrap-distance-left:9.0pt;mso-wrap-distance-top:0.0pt;mso-wrap-distance-right:9.0pt;mso-wrap-distance-bottom:0.0pt;" stroked="f">
                      <v:path textboxrect="0,0,0,0"/>
                      <v:imagedata r:id="rId19"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教师画架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教师画板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学生画架</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学生画板</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写生凳</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写生教具（1）</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写生教具（2）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写生教具（3）</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民间美术欣赏及写生样本</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静物台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写生灯</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衬布</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水彩画工具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水粉画工具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素描工具</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不锈钢纸夹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画纸</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水彩画颜料</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水粉颜料</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展示画框</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展示画框</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中学美术教学挂图</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在线图库优选平台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实木教师桌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753110"/>
                      <wp:effectExtent l="0" t="0" r="0" b="0"/>
                      <wp:wrapNone/>
                      <wp:docPr id="27"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20"/>
                              <a:stretch/>
                            </pic:blipFill>
                            <pic:spPr bwMode="auto">
                              <a:xfrm>
                                <a:off x="0" y="0"/>
                                <a:ext cx="57150" cy="753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0.0pt;mso-position-horizontal:absolute;mso-position-vertical-relative:text;margin-top:0.0pt;mso-position-vertical:absolute;width:4.5pt;height:59.3pt;mso-wrap-distance-left:9.0pt;mso-wrap-distance-top:0.0pt;mso-wrap-distance-right:9.0pt;mso-wrap-distance-bottom:0.0pt;" stroked="f">
                      <v:path textboxrect="0,0,0,0"/>
                      <v:imagedata r:id="rId20"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28" name="图片 35"/>
                      <wp:cNvGraphicFramePr/>
                      <a:graphic xmlns:a="http://schemas.openxmlformats.org/drawingml/2006/main">
                        <a:graphicData uri="http://schemas.openxmlformats.org/drawingml/2006/picture">
                          <pic:pic xmlns:pic="http://schemas.openxmlformats.org/drawingml/2006/picture">
                            <pic:nvPicPr>
                              <pic:cNvPr id="35" name="图片 35"/>
                              <pic:cNvPicPr/>
                              <pic:nvPr/>
                            </pic:nvPicPr>
                            <pic:blipFill>
                              <a:blip r:embed="rId15"/>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15" o:title=""/>
                    </v:shape>
                  </w:pict>
                </mc:Fallback>
              </mc:AlternateContent>
            </w: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76910" cy="10160"/>
                      <wp:effectExtent l="0" t="0" r="0" b="0"/>
                      <wp:wrapNone/>
                      <wp:docPr id="29" name="图片 36"/>
                      <wp:cNvGraphicFramePr/>
                      <a:graphic xmlns:a="http://schemas.openxmlformats.org/drawingml/2006/main">
                        <a:graphicData uri="http://schemas.openxmlformats.org/drawingml/2006/picture">
                          <pic:pic xmlns:pic="http://schemas.openxmlformats.org/drawingml/2006/picture">
                            <pic:nvPicPr>
                              <pic:cNvPr id="36" name="图片 36"/>
                              <pic:cNvPicPr/>
                              <pic:nvPr/>
                            </pic:nvPicPr>
                            <pic:blipFill>
                              <a:blip r:embed="rId12"/>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2"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学生书法桌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书法凳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实木组合柜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实木边柜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水龙头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不锈钢水盆</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室内地上给排水安装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书法文化展板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30" name="图片 42"/>
                      <wp:cNvGraphicFramePr/>
                      <a:graphic xmlns:a="http://schemas.openxmlformats.org/drawingml/2006/main">
                        <a:graphicData uri="http://schemas.openxmlformats.org/drawingml/2006/picture">
                          <pic:pic xmlns:pic="http://schemas.openxmlformats.org/drawingml/2006/picture">
                            <pic:nvPicPr>
                              <pic:cNvPr id="42" name="图片 42"/>
                              <pic:cNvPicPr/>
                              <pic:nvPr/>
                            </pic:nvPicPr>
                            <pic:blipFill>
                              <a:blip r:embed="rId14"/>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31" name="图片 43"/>
                      <wp:cNvGraphicFramePr/>
                      <a:graphic xmlns:a="http://schemas.openxmlformats.org/drawingml/2006/main">
                        <a:graphicData uri="http://schemas.openxmlformats.org/drawingml/2006/picture">
                          <pic:pic xmlns:pic="http://schemas.openxmlformats.org/drawingml/2006/picture">
                            <pic:nvPicPr>
                              <pic:cNvPr id="43" name="图片 43"/>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19760" cy="10160"/>
                      <wp:effectExtent l="0" t="0" r="0" b="0"/>
                      <wp:wrapNone/>
                      <wp:docPr id="32" name="图片 44"/>
                      <wp:cNvGraphicFramePr/>
                      <a:graphic xmlns:a="http://schemas.openxmlformats.org/drawingml/2006/main">
                        <a:graphicData uri="http://schemas.openxmlformats.org/drawingml/2006/picture">
                          <pic:pic xmlns:pic="http://schemas.openxmlformats.org/drawingml/2006/picture">
                            <pic:nvPicPr>
                              <pic:cNvPr id="44" name="图片 44"/>
                              <pic:cNvPicPr/>
                              <pic:nvPr/>
                            </pic:nvPicPr>
                            <pic:blipFill>
                              <a:blip r:embed="rId19"/>
                              <a:stretch/>
                            </pic:blipFill>
                            <pic:spPr bwMode="auto">
                              <a:xfrm>
                                <a:off x="0" y="0"/>
                                <a:ext cx="6197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0.0pt;mso-position-horizontal:absolute;mso-position-vertical-relative:text;margin-top:0.0pt;mso-position-vertical:absolute;width:48.8pt;height:0.8pt;mso-wrap-distance-left:9.0pt;mso-wrap-distance-top:0.0pt;mso-wrap-distance-right:9.0pt;mso-wrap-distance-bottom:0.0pt;" stroked="f">
                      <v:path textboxrect="0,0,0,0"/>
                      <v:imagedata r:id="rId19"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教师书法专用套装</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519</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学生墨汁</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学生笔搁</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521</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学生笔挂</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522</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学生毛笔</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523</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学生镇尺</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524</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学生墨盒</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525</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学生笔洗</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526</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学生书画毡</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527</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半生熟宣纸</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528</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熟宣纸</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刀</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书法挂图</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多目书画教学示范仪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书法教学示范系统</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532</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高清双模碑帖网络查询系统</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实木教师桌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33" name="图片 45"/>
                      <wp:cNvGraphicFramePr/>
                      <a:graphic xmlns:a="http://schemas.openxmlformats.org/drawingml/2006/main">
                        <a:graphicData uri="http://schemas.openxmlformats.org/drawingml/2006/picture">
                          <pic:pic xmlns:pic="http://schemas.openxmlformats.org/drawingml/2006/picture">
                            <pic:nvPicPr>
                              <pic:cNvPr id="45" name="图片 45"/>
                              <pic:cNvPicPr/>
                              <pic:nvPr/>
                            </pic:nvPicPr>
                            <pic:blipFill>
                              <a:blip r:embed="rId14"/>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34" name="图片 46"/>
                      <wp:cNvGraphicFramePr/>
                      <a:graphic xmlns:a="http://schemas.openxmlformats.org/drawingml/2006/main">
                        <a:graphicData uri="http://schemas.openxmlformats.org/drawingml/2006/picture">
                          <pic:pic xmlns:pic="http://schemas.openxmlformats.org/drawingml/2006/picture">
                            <pic:nvPicPr>
                              <pic:cNvPr id="46" name="图片 46"/>
                              <pic:cNvPicPr/>
                              <pic:nvPr/>
                            </pic:nvPicPr>
                            <pic:blipFill>
                              <a:blip r:embed="rId21"/>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21"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35" name="图片 47"/>
                      <wp:cNvGraphicFramePr/>
                      <a:graphic xmlns:a="http://schemas.openxmlformats.org/drawingml/2006/main">
                        <a:graphicData uri="http://schemas.openxmlformats.org/drawingml/2006/picture">
                          <pic:pic xmlns:pic="http://schemas.openxmlformats.org/drawingml/2006/picture">
                            <pic:nvPicPr>
                              <pic:cNvPr id="47" name="图片 47"/>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36" name="图片 51"/>
                      <wp:cNvGraphicFramePr/>
                      <a:graphic xmlns:a="http://schemas.openxmlformats.org/drawingml/2006/main">
                        <a:graphicData uri="http://schemas.openxmlformats.org/drawingml/2006/picture">
                          <pic:pic xmlns:pic="http://schemas.openxmlformats.org/drawingml/2006/picture">
                            <pic:nvPicPr>
                              <pic:cNvPr id="51" name="图片 51"/>
                              <pic:cNvPicPr/>
                              <pic:nvPr/>
                            </pic:nvPicPr>
                            <pic:blipFill>
                              <a:blip r:embed="rId14"/>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37" name="图片 52"/>
                      <wp:cNvGraphicFramePr/>
                      <a:graphic xmlns:a="http://schemas.openxmlformats.org/drawingml/2006/main">
                        <a:graphicData uri="http://schemas.openxmlformats.org/drawingml/2006/picture">
                          <pic:pic xmlns:pic="http://schemas.openxmlformats.org/drawingml/2006/picture">
                            <pic:nvPicPr>
                              <pic:cNvPr id="52" name="图片 52"/>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19760" cy="10160"/>
                      <wp:effectExtent l="0" t="0" r="0" b="0"/>
                      <wp:wrapNone/>
                      <wp:docPr id="38" name="图片 53"/>
                      <wp:cNvGraphicFramePr/>
                      <a:graphic xmlns:a="http://schemas.openxmlformats.org/drawingml/2006/main">
                        <a:graphicData uri="http://schemas.openxmlformats.org/drawingml/2006/picture">
                          <pic:pic xmlns:pic="http://schemas.openxmlformats.org/drawingml/2006/picture">
                            <pic:nvPicPr>
                              <pic:cNvPr id="53" name="图片 53"/>
                              <pic:cNvPicPr/>
                              <pic:nvPr/>
                            </pic:nvPicPr>
                            <pic:blipFill>
                              <a:blip r:embed="rId19"/>
                              <a:stretch/>
                            </pic:blipFill>
                            <pic:spPr bwMode="auto">
                              <a:xfrm>
                                <a:off x="0" y="0"/>
                                <a:ext cx="6197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0.0pt;mso-position-horizontal:absolute;mso-position-vertical-relative:text;margin-top:0.0pt;mso-position-vertical:absolute;width:48.8pt;height:0.8pt;mso-wrap-distance-left:9.0pt;mso-wrap-distance-top:0.0pt;mso-wrap-distance-right:9.0pt;mso-wrap-distance-bottom:0.0pt;" stroked="f">
                      <v:path textboxrect="0,0,0,0"/>
                      <v:imagedata r:id="rId19"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76910" cy="10160"/>
                      <wp:effectExtent l="0" t="0" r="0" b="0"/>
                      <wp:wrapNone/>
                      <wp:docPr id="39" name="图片 54"/>
                      <wp:cNvGraphicFramePr/>
                      <a:graphic xmlns:a="http://schemas.openxmlformats.org/drawingml/2006/main">
                        <a:graphicData uri="http://schemas.openxmlformats.org/drawingml/2006/picture">
                          <pic:pic xmlns:pic="http://schemas.openxmlformats.org/drawingml/2006/picture">
                            <pic:nvPicPr>
                              <pic:cNvPr id="54" name="图片 54"/>
                              <pic:cNvPicPr/>
                              <pic:nvPr/>
                            </pic:nvPicPr>
                            <pic:blipFill>
                              <a:blip r:embed="rId12"/>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12"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实木学生桌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展示高柜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玻璃展示柜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收纳柜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水龙头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不锈钢水盆</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室内地上给排水安装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多目书画教学示范仪</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546</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美术教学示范系统</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篆刻印章图库系统</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切割垫板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549</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篆刻工具</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篆刻配套用纸</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印规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广西冻石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巴林石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寿山石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76910" cy="10160"/>
                      <wp:effectExtent l="0" t="0" r="0" b="0"/>
                      <wp:wrapNone/>
                      <wp:docPr id="40" name="图片 57"/>
                      <wp:cNvGraphicFramePr/>
                      <a:graphic xmlns:a="http://schemas.openxmlformats.org/drawingml/2006/main">
                        <a:graphicData uri="http://schemas.openxmlformats.org/drawingml/2006/picture">
                          <pic:pic xmlns:pic="http://schemas.openxmlformats.org/drawingml/2006/picture">
                            <pic:nvPicPr>
                              <pic:cNvPr id="57" name="图片 57"/>
                              <pic:cNvPicPr/>
                              <pic:nvPr/>
                            </pic:nvPicPr>
                            <pic:blipFill>
                              <a:blip r:embed="rId22"/>
                              <a:stretch/>
                            </pic:blipFill>
                            <pic:spPr bwMode="auto">
                              <a:xfrm>
                                <a:off x="0" y="0"/>
                                <a:ext cx="6769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0.0pt;mso-position-horizontal:absolute;mso-position-vertical-relative:text;margin-top:0.0pt;mso-position-vertical:absolute;width:53.3pt;height:0.8pt;mso-wrap-distance-left:9.0pt;mso-wrap-distance-top:0.0pt;mso-wrap-distance-right:9.0pt;mso-wrap-distance-bottom:0.0pt;" stroked="f">
                      <v:path textboxrect="0,0,0,0"/>
                      <v:imagedata r:id="rId22"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青田石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萧山红</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墨绿冻</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印谱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41" name="图片 58"/>
                      <wp:cNvGraphicFramePr/>
                      <a:graphic xmlns:a="http://schemas.openxmlformats.org/drawingml/2006/main">
                        <a:graphicData uri="http://schemas.openxmlformats.org/drawingml/2006/picture">
                          <pic:pic xmlns:pic="http://schemas.openxmlformats.org/drawingml/2006/picture">
                            <pic:nvPicPr>
                              <pic:cNvPr id="58" name="图片 58"/>
                              <pic:cNvPicPr/>
                              <pic:nvPr/>
                            </pic:nvPicPr>
                            <pic:blipFill>
                              <a:blip r:embed="rId23"/>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23" o:title=""/>
                    </v:shape>
                  </w:pict>
                </mc:Fallback>
              </mc:AlternateContent>
            </w: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美术用品收纳柜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服装柜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舞蹈把杆</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立式钢琴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功放</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调音台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无线话筒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卡侬公母线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信号线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音箱线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练功凳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压腿凳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压腿砖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舞蹈垫</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瑜伽垫</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面</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舞蹈练功球</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舞蹈拉力带</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舞蹈手花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舞蹈垫收纳车</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实验室演示台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学生实验桌1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智能升降机构</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智能吊装电源-低压电源模块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智能吊装电源-高压电源模块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电源布线耗材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吊装系统调试</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集成顶装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给/排水全套装置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计算机讲台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光纤模块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双绞线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理线器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网络水晶头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成品网络细跳线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强电插排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强电材料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线槽线管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机柜(18U)</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电子教室系统软件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还原管理系统软件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计算机讲台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光纤模块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双绞线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理线器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网络水晶头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成品网络细跳线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强电插排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强电材料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线槽线管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机柜(18U)</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电子教室系统软件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还原管理系统软件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计算机讲台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光纤模块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双绞线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理线器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网络水晶头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成品网络细跳线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强电插排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强电材料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线槽线管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机柜(18U)</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电子教室系统软件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还原管理系统软件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计算机讲台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光纤模块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双绞线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理线器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网络水晶头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成品网络细跳线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强电插排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强电材料</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线槽线管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机柜(18U)</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电子教室系统软件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还原管理系统软件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课桌椅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42" name="图片 59"/>
                      <wp:cNvGraphicFramePr/>
                      <a:graphic xmlns:a="http://schemas.openxmlformats.org/drawingml/2006/main">
                        <a:graphicData uri="http://schemas.openxmlformats.org/drawingml/2006/picture">
                          <pic:pic xmlns:pic="http://schemas.openxmlformats.org/drawingml/2006/picture">
                            <pic:nvPicPr>
                              <pic:cNvPr id="59" name="图片 59"/>
                              <pic:cNvPicPr/>
                              <pic:nvPr/>
                            </pic:nvPicPr>
                            <pic:blipFill>
                              <a:blip r:embed="rId24"/>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2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43" name="图片 60"/>
                      <wp:cNvGraphicFramePr/>
                      <a:graphic xmlns:a="http://schemas.openxmlformats.org/drawingml/2006/main">
                        <a:graphicData uri="http://schemas.openxmlformats.org/drawingml/2006/picture">
                          <pic:pic xmlns:pic="http://schemas.openxmlformats.org/drawingml/2006/picture">
                            <pic:nvPicPr>
                              <pic:cNvPr id="60" name="图片 60"/>
                              <pic:cNvPicPr/>
                              <pic:nvPr/>
                            </pic:nvPicPr>
                            <pic:blipFill>
                              <a:blip r:embed="rId25"/>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25"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44" name="图片 61"/>
                      <wp:cNvGraphicFramePr/>
                      <a:graphic xmlns:a="http://schemas.openxmlformats.org/drawingml/2006/main">
                        <a:graphicData uri="http://schemas.openxmlformats.org/drawingml/2006/picture">
                          <pic:pic xmlns:pic="http://schemas.openxmlformats.org/drawingml/2006/picture">
                            <pic:nvPicPr>
                              <pic:cNvPr id="61" name="图片 61"/>
                              <pic:cNvPicPr/>
                              <pic:nvPr/>
                            </pic:nvPicPr>
                            <pic:blipFill>
                              <a:blip r:embed="rId26"/>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26"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45" name="图片 62"/>
                      <wp:cNvGraphicFramePr/>
                      <a:graphic xmlns:a="http://schemas.openxmlformats.org/drawingml/2006/main">
                        <a:graphicData uri="http://schemas.openxmlformats.org/drawingml/2006/picture">
                          <pic:pic xmlns:pic="http://schemas.openxmlformats.org/drawingml/2006/picture">
                            <pic:nvPicPr>
                              <pic:cNvPr id="62" name="图片 62"/>
                              <pic:cNvPicPr/>
                              <pic:nvPr/>
                            </pic:nvPicPr>
                            <pic:blipFill>
                              <a:blip r:embed="rId27"/>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27"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66750" cy="10160"/>
                      <wp:effectExtent l="0" t="0" r="0" b="0"/>
                      <wp:wrapNone/>
                      <wp:docPr id="46" name="图片 63"/>
                      <wp:cNvGraphicFramePr/>
                      <a:graphic xmlns:a="http://schemas.openxmlformats.org/drawingml/2006/main">
                        <a:graphicData uri="http://schemas.openxmlformats.org/drawingml/2006/picture">
                          <pic:pic xmlns:pic="http://schemas.openxmlformats.org/drawingml/2006/picture">
                            <pic:nvPicPr>
                              <pic:cNvPr id="63" name="图片 63"/>
                              <pic:cNvPicPr/>
                              <pic:nvPr/>
                            </pic:nvPicPr>
                            <pic:blipFill>
                              <a:blip r:embed="rId28"/>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28"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34060" cy="10160"/>
                      <wp:effectExtent l="0" t="0" r="0" b="0"/>
                      <wp:wrapNone/>
                      <wp:docPr id="47" name="图片 64"/>
                      <wp:cNvGraphicFramePr/>
                      <a:graphic xmlns:a="http://schemas.openxmlformats.org/drawingml/2006/main">
                        <a:graphicData uri="http://schemas.openxmlformats.org/drawingml/2006/picture">
                          <pic:pic xmlns:pic="http://schemas.openxmlformats.org/drawingml/2006/picture">
                            <pic:nvPicPr>
                              <pic:cNvPr id="64" name="图片 64"/>
                              <pic:cNvPicPr/>
                              <pic:nvPr/>
                            </pic:nvPicPr>
                            <pic:blipFill>
                              <a:blip r:embed="rId29"/>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29"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观摩桌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71450" cy="181610"/>
                      <wp:effectExtent l="0" t="0" r="0" b="0"/>
                      <wp:wrapNone/>
                      <wp:docPr id="48" name="图片 65"/>
                      <wp:cNvGraphicFramePr/>
                      <a:graphic xmlns:a="http://schemas.openxmlformats.org/drawingml/2006/main">
                        <a:graphicData uri="http://schemas.openxmlformats.org/drawingml/2006/picture">
                          <pic:pic xmlns:pic="http://schemas.openxmlformats.org/drawingml/2006/picture">
                            <pic:nvPicPr>
                              <pic:cNvPr id="65" name="图片 65"/>
                              <pic:cNvPicPr/>
                              <pic:nvPr/>
                            </pic:nvPicPr>
                            <pic:blipFill>
                              <a:blip r:embed="rId30"/>
                              <a:stretch/>
                            </pic:blipFill>
                            <pic:spPr bwMode="auto">
                              <a:xfrm>
                                <a:off x="0" y="0"/>
                                <a:ext cx="1714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0288;o:allowoverlap:true;o:allowincell:true;mso-position-horizontal-relative:text;margin-left:0.0pt;mso-position-horizontal:absolute;mso-position-vertical-relative:text;margin-top:0.0pt;mso-position-vertical:absolute;width:13.5pt;height:14.3pt;mso-wrap-distance-left:9.0pt;mso-wrap-distance-top:0.0pt;mso-wrap-distance-right:9.0pt;mso-wrap-distance-bottom:0.0pt;" stroked="f">
                      <v:path textboxrect="0,0,0,0"/>
                      <v:imagedata r:id="rId30" o:title=""/>
                    </v:shape>
                  </w:pict>
                </mc:Fallback>
              </mc:AlternateContent>
            </w: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49" name="图片 66"/>
                      <wp:cNvGraphicFramePr/>
                      <a:graphic xmlns:a="http://schemas.openxmlformats.org/drawingml/2006/main">
                        <a:graphicData uri="http://schemas.openxmlformats.org/drawingml/2006/picture">
                          <pic:pic xmlns:pic="http://schemas.openxmlformats.org/drawingml/2006/picture">
                            <pic:nvPicPr>
                              <pic:cNvPr id="66" name="图片 66"/>
                              <pic:cNvPicPr/>
                              <pic:nvPr/>
                            </pic:nvPicPr>
                            <pic:blipFill>
                              <a:blip r:embed="rId31"/>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31"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50" name="图片 67"/>
                      <wp:cNvGraphicFramePr/>
                      <a:graphic xmlns:a="http://schemas.openxmlformats.org/drawingml/2006/main">
                        <a:graphicData uri="http://schemas.openxmlformats.org/drawingml/2006/picture">
                          <pic:pic xmlns:pic="http://schemas.openxmlformats.org/drawingml/2006/picture">
                            <pic:nvPicPr>
                              <pic:cNvPr id="67" name="图片 67"/>
                              <pic:cNvPicPr/>
                              <pic:nvPr/>
                            </pic:nvPicPr>
                            <pic:blipFill>
                              <a:blip r:embed="rId32"/>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32"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51" name="图片 68"/>
                      <wp:cNvGraphicFramePr/>
                      <a:graphic xmlns:a="http://schemas.openxmlformats.org/drawingml/2006/main">
                        <a:graphicData uri="http://schemas.openxmlformats.org/drawingml/2006/picture">
                          <pic:pic xmlns:pic="http://schemas.openxmlformats.org/drawingml/2006/picture">
                            <pic:nvPicPr>
                              <pic:cNvPr id="68" name="图片 68"/>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52" name="图片 69"/>
                      <wp:cNvGraphicFramePr/>
                      <a:graphic xmlns:a="http://schemas.openxmlformats.org/drawingml/2006/main">
                        <a:graphicData uri="http://schemas.openxmlformats.org/drawingml/2006/picture">
                          <pic:pic xmlns:pic="http://schemas.openxmlformats.org/drawingml/2006/picture">
                            <pic:nvPicPr>
                              <pic:cNvPr id="69" name="图片 69"/>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66750" cy="10160"/>
                      <wp:effectExtent l="0" t="0" r="0" b="0"/>
                      <wp:wrapNone/>
                      <wp:docPr id="53" name="图片 70"/>
                      <wp:cNvGraphicFramePr/>
                      <a:graphic xmlns:a="http://schemas.openxmlformats.org/drawingml/2006/main">
                        <a:graphicData uri="http://schemas.openxmlformats.org/drawingml/2006/picture">
                          <pic:pic xmlns:pic="http://schemas.openxmlformats.org/drawingml/2006/picture">
                            <pic:nvPicPr>
                              <pic:cNvPr id="70" name="图片 70"/>
                              <pic:cNvPicPr/>
                              <pic:nvPr/>
                            </pic:nvPicPr>
                            <pic:blipFill>
                              <a:blip r:embed="rId33"/>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028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3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34060" cy="10160"/>
                      <wp:effectExtent l="0" t="0" r="0" b="0"/>
                      <wp:wrapNone/>
                      <wp:docPr id="54" name="图片 71"/>
                      <wp:cNvGraphicFramePr/>
                      <a:graphic xmlns:a="http://schemas.openxmlformats.org/drawingml/2006/main">
                        <a:graphicData uri="http://schemas.openxmlformats.org/drawingml/2006/picture">
                          <pic:pic xmlns:pic="http://schemas.openxmlformats.org/drawingml/2006/picture">
                            <pic:nvPicPr>
                              <pic:cNvPr id="71" name="图片 71"/>
                              <pic:cNvPicPr/>
                              <pic:nvPr/>
                            </pic:nvPicPr>
                            <pic:blipFill>
                              <a:blip r:embed="rId34"/>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0288;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34"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带写字板观摩椅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学生组合桌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后墙组合柜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储物边柜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数学装饰画</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数学文创</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动态数学软件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动态数学教学资源（高中）</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实验教学培训课题服务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手持数学终端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无线接收器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发射器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超级采集器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温度传感器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位移传感器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光强传感器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声音传感器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绝对压强传感器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课堂互动管理软件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手持数学终端专业教师软件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SURFER专业数学建模软件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高性能数学建模中心</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趣味智拼</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益智数学之方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巧解数学之谜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拥挤的数学</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花样数学</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立体几何模型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方孔钻</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双曲狭缝</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概率模型</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繁花曲线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椭圆焦点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互不相连</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邻面相同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放下四T</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和为二六</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各向相等</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少了一块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魔法运算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数独</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巧放圆形</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过到对岸</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无奇有偶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颠倒三角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向左向右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和为十八</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变换魔阵</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不重不漏</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立体搭建学习套装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55" name="图片 72"/>
                      <wp:cNvGraphicFramePr/>
                      <a:graphic xmlns:a="http://schemas.openxmlformats.org/drawingml/2006/main">
                        <a:graphicData uri="http://schemas.openxmlformats.org/drawingml/2006/picture">
                          <pic:pic xmlns:pic="http://schemas.openxmlformats.org/drawingml/2006/picture">
                            <pic:nvPicPr>
                              <pic:cNvPr id="72" name="图片 72"/>
                              <pic:cNvPicPr/>
                              <pic:nvPr/>
                            </pic:nvPicPr>
                            <pic:blipFill>
                              <a:blip r:embed="rId35"/>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35"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56" name="图片 73"/>
                      <wp:cNvGraphicFramePr/>
                      <a:graphic xmlns:a="http://schemas.openxmlformats.org/drawingml/2006/main">
                        <a:graphicData uri="http://schemas.openxmlformats.org/drawingml/2006/picture">
                          <pic:pic xmlns:pic="http://schemas.openxmlformats.org/drawingml/2006/picture">
                            <pic:nvPicPr>
                              <pic:cNvPr id="73" name="图片 73"/>
                              <pic:cNvPicPr/>
                              <pic:nvPr/>
                            </pic:nvPicPr>
                            <pic:blipFill>
                              <a:blip r:embed="rId36"/>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36"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57" name="图片 74"/>
                      <wp:cNvGraphicFramePr/>
                      <a:graphic xmlns:a="http://schemas.openxmlformats.org/drawingml/2006/main">
                        <a:graphicData uri="http://schemas.openxmlformats.org/drawingml/2006/picture">
                          <pic:pic xmlns:pic="http://schemas.openxmlformats.org/drawingml/2006/picture">
                            <pic:nvPicPr>
                              <pic:cNvPr id="74" name="图片 74"/>
                              <pic:cNvPicPr/>
                              <pic:nvPr/>
                            </pic:nvPicPr>
                            <pic:blipFill>
                              <a:blip r:embed="rId37"/>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37"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58" name="图片 75"/>
                      <wp:cNvGraphicFramePr/>
                      <a:graphic xmlns:a="http://schemas.openxmlformats.org/drawingml/2006/main">
                        <a:graphicData uri="http://schemas.openxmlformats.org/drawingml/2006/picture">
                          <pic:pic xmlns:pic="http://schemas.openxmlformats.org/drawingml/2006/picture">
                            <pic:nvPicPr>
                              <pic:cNvPr id="75" name="图片 75"/>
                              <pic:cNvPicPr/>
                              <pic:nvPr/>
                            </pic:nvPicPr>
                            <pic:blipFill>
                              <a:blip r:embed="rId38"/>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38"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34060" cy="10160"/>
                      <wp:effectExtent l="0" t="0" r="0" b="0"/>
                      <wp:wrapNone/>
                      <wp:docPr id="59" name="图片 76"/>
                      <wp:cNvGraphicFramePr/>
                      <a:graphic xmlns:a="http://schemas.openxmlformats.org/drawingml/2006/main">
                        <a:graphicData uri="http://schemas.openxmlformats.org/drawingml/2006/picture">
                          <pic:pic xmlns:pic="http://schemas.openxmlformats.org/drawingml/2006/picture">
                            <pic:nvPicPr>
                              <pic:cNvPr id="76" name="图片 76"/>
                              <pic:cNvPicPr/>
                              <pic:nvPr/>
                            </pic:nvPicPr>
                            <pic:blipFill>
                              <a:blip r:embed="rId39"/>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39"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15010" cy="10160"/>
                      <wp:effectExtent l="0" t="0" r="0" b="0"/>
                      <wp:wrapNone/>
                      <wp:docPr id="60" name="图片 77"/>
                      <wp:cNvGraphicFramePr/>
                      <a:graphic xmlns:a="http://schemas.openxmlformats.org/drawingml/2006/main">
                        <a:graphicData uri="http://schemas.openxmlformats.org/drawingml/2006/picture">
                          <pic:pic xmlns:pic="http://schemas.openxmlformats.org/drawingml/2006/picture">
                            <pic:nvPicPr>
                              <pic:cNvPr id="77" name="图片 77"/>
                              <pic:cNvPicPr/>
                              <pic:nvPr/>
                            </pic:nvPicPr>
                            <pic:blipFill>
                              <a:blip r:embed="rId40"/>
                              <a:stretch/>
                            </pic:blipFill>
                            <pic:spPr bwMode="auto">
                              <a:xfrm>
                                <a:off x="0" y="0"/>
                                <a:ext cx="7150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0288;o:allowoverlap:true;o:allowincell:true;mso-position-horizontal-relative:text;margin-left:0.0pt;mso-position-horizontal:absolute;mso-position-vertical-relative:text;margin-top:0.0pt;mso-position-vertical:absolute;width:56.3pt;height:0.8pt;mso-wrap-distance-left:9.0pt;mso-wrap-distance-top:0.0pt;mso-wrap-distance-right:9.0pt;mso-wrap-distance-bottom:0.0pt;" stroked="f">
                      <v:path textboxrect="0,0,0,0"/>
                      <v:imagedata r:id="rId40"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直纹曲面数学文化创意套装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61" name="图片 78"/>
                      <wp:cNvGraphicFramePr/>
                      <a:graphic xmlns:a="http://schemas.openxmlformats.org/drawingml/2006/main">
                        <a:graphicData uri="http://schemas.openxmlformats.org/drawingml/2006/picture">
                          <pic:pic xmlns:pic="http://schemas.openxmlformats.org/drawingml/2006/picture">
                            <pic:nvPicPr>
                              <pic:cNvPr id="78" name="图片 78"/>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62" name="图片 79"/>
                      <wp:cNvGraphicFramePr/>
                      <a:graphic xmlns:a="http://schemas.openxmlformats.org/drawingml/2006/main">
                        <a:graphicData uri="http://schemas.openxmlformats.org/drawingml/2006/picture">
                          <pic:pic xmlns:pic="http://schemas.openxmlformats.org/drawingml/2006/picture">
                            <pic:nvPicPr>
                              <pic:cNvPr id="79" name="图片 79"/>
                              <pic:cNvPicPr/>
                              <pic:nvPr/>
                            </pic:nvPicPr>
                            <pic:blipFill>
                              <a:blip r:embed="rId14"/>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63" name="图片 80"/>
                      <wp:cNvGraphicFramePr/>
                      <a:graphic xmlns:a="http://schemas.openxmlformats.org/drawingml/2006/main">
                        <a:graphicData uri="http://schemas.openxmlformats.org/drawingml/2006/picture">
                          <pic:pic xmlns:pic="http://schemas.openxmlformats.org/drawingml/2006/picture">
                            <pic:nvPicPr>
                              <pic:cNvPr id="80" name="图片 80"/>
                              <pic:cNvPicPr/>
                              <pic:nvPr/>
                            </pic:nvPicPr>
                            <pic:blipFill>
                              <a:blip r:embed="rId15"/>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15"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64" name="图片 81"/>
                      <wp:cNvGraphicFramePr/>
                      <a:graphic xmlns:a="http://schemas.openxmlformats.org/drawingml/2006/main">
                        <a:graphicData uri="http://schemas.openxmlformats.org/drawingml/2006/picture">
                          <pic:pic xmlns:pic="http://schemas.openxmlformats.org/drawingml/2006/picture">
                            <pic:nvPicPr>
                              <pic:cNvPr id="81" name="图片 81"/>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15010" cy="10160"/>
                      <wp:effectExtent l="0" t="0" r="0" b="0"/>
                      <wp:wrapNone/>
                      <wp:docPr id="65" name="图片 82"/>
                      <wp:cNvGraphicFramePr/>
                      <a:graphic xmlns:a="http://schemas.openxmlformats.org/drawingml/2006/main">
                        <a:graphicData uri="http://schemas.openxmlformats.org/drawingml/2006/picture">
                          <pic:pic xmlns:pic="http://schemas.openxmlformats.org/drawingml/2006/picture">
                            <pic:nvPicPr>
                              <pic:cNvPr id="82" name="图片 82"/>
                              <pic:cNvPicPr/>
                              <pic:nvPr/>
                            </pic:nvPicPr>
                            <pic:blipFill>
                              <a:blip r:embed="rId41"/>
                              <a:stretch/>
                            </pic:blipFill>
                            <pic:spPr bwMode="auto">
                              <a:xfrm>
                                <a:off x="0" y="0"/>
                                <a:ext cx="7150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0288;o:allowoverlap:true;o:allowincell:true;mso-position-horizontal-relative:text;margin-left:0.0pt;mso-position-horizontal:absolute;mso-position-vertical-relative:text;margin-top:0.0pt;mso-position-vertical:absolute;width:56.3pt;height:0.8pt;mso-wrap-distance-left:9.0pt;mso-wrap-distance-top:0.0pt;mso-wrap-distance-right:9.0pt;mso-wrap-distance-bottom:0.0pt;" stroked="f">
                      <v:path textboxrect="0,0,0,0"/>
                      <v:imagedata r:id="rId41"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34060" cy="10160"/>
                      <wp:effectExtent l="0" t="0" r="0" b="0"/>
                      <wp:wrapNone/>
                      <wp:docPr id="66" name="图片 83"/>
                      <wp:cNvGraphicFramePr/>
                      <a:graphic xmlns:a="http://schemas.openxmlformats.org/drawingml/2006/main">
                        <a:graphicData uri="http://schemas.openxmlformats.org/drawingml/2006/picture">
                          <pic:pic xmlns:pic="http://schemas.openxmlformats.org/drawingml/2006/picture">
                            <pic:nvPicPr>
                              <pic:cNvPr id="83" name="图片 83"/>
                              <pic:cNvPicPr/>
                              <pic:nvPr/>
                            </pic:nvPicPr>
                            <pic:blipFill>
                              <a:blip r:embed="rId16"/>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0288;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达芬奇折叠桥</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演讲台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主持人椅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学生组合桌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开放式书架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移动杂志架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通顶展示柜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软木展板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英语文化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折叠椅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收纳架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演出服陈列柜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道具陈列柜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联合国国旗+五大国国旗</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演讲台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扇形桌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研讨学习桌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学习椅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专业音箱（主扩）</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功率放大器（700W）</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专业音箱（辅助）</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功率放大器（400W）</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4K高清会议摄像机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4K专业录播一体机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摄像机控制台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联合国国旗（大）</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面</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万国旗串</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串</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国家牌（代表牌）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法槌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投票按钮</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计时器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高清录播主机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录播管理软件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高清摄像机传输处理软件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数字无线音频套装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无线网卡</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摄像机支架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设备箱/线材箱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充电宝</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地理模型展示柜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地理模型展示高柜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806</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中国语音立体地形图</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世界语音立体地形图</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便携式裸眼3D AI笔记本</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增强现实投屏套件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显示器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高中地理VR探究软件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日影观测实践套装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绘制校园地图套装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525"/>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水土流失模拟实验演示台/河流综合实验演示台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525"/>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太阳直射点与昼夜长短实验套装/探究地球运动活动套装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制作地球仪套装/绘制地球内部结构套装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自制日晷演示仪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复古青铜圭表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中国典型民居搭建实践套装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探究锋面实验活动套装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水循环演示实验套装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探究土壤质地实验套装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工业布局推演沙盘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525"/>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冲积扇模拟实验台/模拟河流对凹岸的侵蚀作用/演示水坝对河流的调节作用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模拟洋流成因实验套装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827</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冰川地貌模型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828</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丹霞地貌模型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829</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风蚀地貌模型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830</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梯田模型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831</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地下水模型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832</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黄土地貌模型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833</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海岸地貌模型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834</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五种地形模型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835</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喀斯特地貌模型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836</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地上河模型</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837</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平面地形地球仪</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838</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平面政区地球仪</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839</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岩石矿物标本</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840</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土壤标本</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历史教师桌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15010" cy="10160"/>
                      <wp:effectExtent l="0" t="0" r="0" b="0"/>
                      <wp:wrapNone/>
                      <wp:docPr id="67" name="图片 84"/>
                      <wp:cNvGraphicFramePr/>
                      <a:graphic xmlns:a="http://schemas.openxmlformats.org/drawingml/2006/main">
                        <a:graphicData uri="http://schemas.openxmlformats.org/drawingml/2006/picture">
                          <pic:pic xmlns:pic="http://schemas.openxmlformats.org/drawingml/2006/picture">
                            <pic:nvPicPr>
                              <pic:cNvPr id="84" name="图片 84"/>
                              <pic:cNvPicPr/>
                              <pic:nvPr/>
                            </pic:nvPicPr>
                            <pic:blipFill>
                              <a:blip r:embed="rId41"/>
                              <a:stretch/>
                            </pic:blipFill>
                            <pic:spPr bwMode="auto">
                              <a:xfrm>
                                <a:off x="0" y="0"/>
                                <a:ext cx="71501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0288;o:allowoverlap:true;o:allowincell:true;mso-position-horizontal-relative:text;margin-left:0.0pt;mso-position-horizontal:absolute;mso-position-vertical-relative:text;margin-top:0.0pt;mso-position-vertical:absolute;width:56.3pt;height:0.8pt;mso-wrap-distance-left:9.0pt;mso-wrap-distance-top:0.0pt;mso-wrap-distance-right:9.0pt;mso-wrap-distance-bottom:0.0pt;" stroked="f">
                      <v:path textboxrect="0,0,0,0"/>
                      <v:imagedata r:id="rId41"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学生历史桌</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学生历史凳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史地模型展示柜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地理模型展示高柜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便携式裸眼3D AI笔记本</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增强现实投屏套件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显示器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高中历史VR探究软件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古代农耕篇课程套装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古代汲水篇课程套装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古代粮食加工篇课程套装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《劳动与文明-古代科技篇1》课程套装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古代度量衡篇课程套装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历史配套书籍及地图，年表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古风屏风</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移动白板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860</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历史文化与文创配套设备</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861</w:t>
            </w:r>
            <w:r/>
          </w:p>
        </w:tc>
        <w:tc>
          <w:tcPr>
            <w:shd w:val="clear" w:color="auto" w:fill="ffffff"/>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历史模型 与标本</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物联网MIX种植机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物联网水培种植机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桌面种植机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物联网RO水制水系统</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RO水制水系统过滤耗材补充件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物联网RO水储水系统（100L）</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物联网RO水灌溉系统(10米）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自动可伸缩灌溉套装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总控插排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路由器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台置式收纳盒</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物联网网关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物联网环境监测模块（温度、湿度、CO2）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物联网溢水警报器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物联网摄像头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摄像头支架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物联网LED紫外线杀菌灯（套装1）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静音水泵</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测量工具箱套装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安装工具包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清洗工具包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种植海绵</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炭棉（方圆柱）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炭棉（方）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种植杯盖</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育苗盘</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育苗盘100孔遮光板套装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静音水管套件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吊夹补充装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密封收纳箱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种子收纳箱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播种镊子</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精品优种套装(叶菜类）</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精品优种套装(花卉类）</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营养液1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营养液2</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营养液3</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磷酸二氢钾叶面肥</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螯合钙叶面肥</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绿藻清</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果实数显糖度仪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叶绿素测量仪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便携式硝酸盐检测仪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便捷标签打印机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延时摄影相机</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系统管理终端</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系统管理终端支架</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种植物联网管理及数据库平台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种植专项培训</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种植室安装与调试</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学生操作台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水柜</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AI多模态云图评估仪</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919</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反馈音乐放松系统</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920</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智能情绪调节释压系统</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921</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多元智动减压系统</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922</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排椅</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923</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排椅</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924</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排椅</w:t>
            </w:r>
            <w:r/>
          </w:p>
        </w:tc>
        <w:tc>
          <w:tcPr>
            <w:shd w:val="clear" w:color="auto" w:fill="ffffff"/>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925</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讲台</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926</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移动音箱</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68" name="图片 86"/>
                      <wp:cNvGraphicFramePr/>
                      <a:graphic xmlns:a="http://schemas.openxmlformats.org/drawingml/2006/main">
                        <a:graphicData uri="http://schemas.openxmlformats.org/drawingml/2006/picture">
                          <pic:pic xmlns:pic="http://schemas.openxmlformats.org/drawingml/2006/picture">
                            <pic:nvPicPr>
                              <pic:cNvPr id="86" name="图片 86"/>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81610"/>
                      <wp:effectExtent l="0" t="0" r="0" b="0"/>
                      <wp:wrapNone/>
                      <wp:docPr id="69" name="图片 87"/>
                      <wp:cNvGraphicFramePr/>
                      <a:graphic xmlns:a="http://schemas.openxmlformats.org/drawingml/2006/main">
                        <a:graphicData uri="http://schemas.openxmlformats.org/drawingml/2006/picture">
                          <pic:pic xmlns:pic="http://schemas.openxmlformats.org/drawingml/2006/picture">
                            <pic:nvPicPr>
                              <pic:cNvPr id="87" name="图片 87"/>
                              <pic:cNvPicPr/>
                              <pic:nvPr/>
                            </pic:nvPicPr>
                            <pic:blipFill>
                              <a:blip r:embed="rId13"/>
                              <a:stretch/>
                            </pic:blipFill>
                            <pic:spPr bwMode="auto">
                              <a:xfrm>
                                <a:off x="0" y="0"/>
                                <a:ext cx="57150" cy="18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0288;o:allowoverlap:true;o:allowincell:true;mso-position-horizontal-relative:text;margin-left:0.0pt;mso-position-horizontal:absolute;mso-position-vertical-relative:text;margin-top:0.0pt;mso-position-vertical:absolute;width:4.5pt;height:14.3pt;mso-wrap-distance-left:9.0pt;mso-wrap-distance-top:0.0pt;mso-wrap-distance-right:9.0pt;mso-wrap-distance-bottom:0.0pt;" stroked="f">
                      <v:path textboxrect="0,0,0,0"/>
                      <v:imagedata r:id="rId1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70" name="图片 88"/>
                      <wp:cNvGraphicFramePr/>
                      <a:graphic xmlns:a="http://schemas.openxmlformats.org/drawingml/2006/main">
                        <a:graphicData uri="http://schemas.openxmlformats.org/drawingml/2006/picture">
                          <pic:pic xmlns:pic="http://schemas.openxmlformats.org/drawingml/2006/picture">
                            <pic:nvPicPr>
                              <pic:cNvPr id="88" name="图片 88"/>
                              <pic:cNvPicPr/>
                              <pic:nvPr/>
                            </pic:nvPicPr>
                            <pic:blipFill>
                              <a:blip r:embed="rId14"/>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361950"/>
                      <wp:effectExtent l="0" t="0" r="0" b="0"/>
                      <wp:wrapNone/>
                      <wp:docPr id="71" name="图片 89"/>
                      <wp:cNvGraphicFramePr/>
                      <a:graphic xmlns:a="http://schemas.openxmlformats.org/drawingml/2006/main">
                        <a:graphicData uri="http://schemas.openxmlformats.org/drawingml/2006/picture">
                          <pic:pic xmlns:pic="http://schemas.openxmlformats.org/drawingml/2006/picture">
                            <pic:nvPicPr>
                              <pic:cNvPr id="89" name="图片 89"/>
                              <pic:cNvPicPr/>
                              <pic:nvPr/>
                            </pic:nvPicPr>
                            <pic:blipFill>
                              <a:blip r:embed="rId15"/>
                              <a:stretch/>
                            </pic:blipFill>
                            <pic:spPr bwMode="auto">
                              <a:xfrm>
                                <a:off x="0" y="0"/>
                                <a:ext cx="5715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0288;o:allowoverlap:true;o:allowincell:true;mso-position-horizontal-relative:text;margin-left:0.0pt;mso-position-horizontal:absolute;mso-position-vertical-relative:text;margin-top:0.0pt;mso-position-vertical:absolute;width:4.5pt;height:28.5pt;mso-wrap-distance-left:9.0pt;mso-wrap-distance-top:0.0pt;mso-wrap-distance-right:9.0pt;mso-wrap-distance-bottom:0.0pt;" stroked="f">
                      <v:path textboxrect="0,0,0,0"/>
                      <v:imagedata r:id="rId15" o:title=""/>
                    </v:shape>
                  </w:pict>
                </mc:Fallback>
              </mc:AlternateConten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66750" cy="10160"/>
                      <wp:effectExtent l="0" t="0" r="0" b="0"/>
                      <wp:wrapNone/>
                      <wp:docPr id="72" name="图片 90"/>
                      <wp:cNvGraphicFramePr/>
                      <a:graphic xmlns:a="http://schemas.openxmlformats.org/drawingml/2006/main">
                        <a:graphicData uri="http://schemas.openxmlformats.org/drawingml/2006/picture">
                          <pic:pic xmlns:pic="http://schemas.openxmlformats.org/drawingml/2006/picture">
                            <pic:nvPicPr>
                              <pic:cNvPr id="90" name="图片 90"/>
                              <pic:cNvPicPr/>
                              <pic:nvPr/>
                            </pic:nvPicPr>
                            <pic:blipFill>
                              <a:blip r:embed="rId17"/>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028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17"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34060" cy="10160"/>
                      <wp:effectExtent l="0" t="0" r="0" b="0"/>
                      <wp:wrapNone/>
                      <wp:docPr id="73" name="图片 91"/>
                      <wp:cNvGraphicFramePr/>
                      <a:graphic xmlns:a="http://schemas.openxmlformats.org/drawingml/2006/main">
                        <a:graphicData uri="http://schemas.openxmlformats.org/drawingml/2006/picture">
                          <pic:pic xmlns:pic="http://schemas.openxmlformats.org/drawingml/2006/picture">
                            <pic:nvPicPr>
                              <pic:cNvPr id="91" name="图片 91"/>
                              <pic:cNvPicPr/>
                              <pic:nvPr/>
                            </pic:nvPicPr>
                            <pic:blipFill>
                              <a:blip r:embed="rId16"/>
                              <a:stretch/>
                            </pic:blipFill>
                            <pic:spPr bwMode="auto">
                              <a:xfrm>
                                <a:off x="0" y="0"/>
                                <a:ext cx="7340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0288;o:allowoverlap:true;o:allowincell:true;mso-position-horizontal-relative:text;margin-left:0.0pt;mso-position-horizontal:absolute;mso-position-vertical-relative:text;margin-top:0.0pt;mso-position-vertical:absolute;width:57.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66750" cy="10160"/>
                      <wp:effectExtent l="0" t="0" r="0" b="0"/>
                      <wp:wrapNone/>
                      <wp:docPr id="74" name="图片 92"/>
                      <wp:cNvGraphicFramePr/>
                      <a:graphic xmlns:a="http://schemas.openxmlformats.org/drawingml/2006/main">
                        <a:graphicData uri="http://schemas.openxmlformats.org/drawingml/2006/picture">
                          <pic:pic xmlns:pic="http://schemas.openxmlformats.org/drawingml/2006/picture">
                            <pic:nvPicPr>
                              <pic:cNvPr id="92" name="图片 92"/>
                              <pic:cNvPicPr/>
                              <pic:nvPr/>
                            </pic:nvPicPr>
                            <pic:blipFill>
                              <a:blip r:embed="rId17"/>
                              <a:stretch/>
                            </pic:blipFill>
                            <pic:spPr bwMode="auto">
                              <a:xfrm>
                                <a:off x="0" y="0"/>
                                <a:ext cx="66675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0288;o:allowoverlap:true;o:allowincell:true;mso-position-horizontal-relative:text;margin-left:0.0pt;mso-position-horizontal:absolute;mso-position-vertical-relative:text;margin-top:0.0pt;mso-position-vertical:absolute;width:52.5pt;height:0.8pt;mso-wrap-distance-left:9.0pt;mso-wrap-distance-top:0.0pt;mso-wrap-distance-right:9.0pt;mso-wrap-distance-bottom:0.0pt;" stroked="f">
                      <v:path textboxrect="0,0,0,0"/>
                      <v:imagedata r:id="rId17" o:title=""/>
                    </v:shape>
                  </w:pict>
                </mc:Fallback>
              </mc:AlternateContent>
            </w: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927</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存储器</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0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928</w:t>
            </w:r>
            <w:r/>
          </w:p>
        </w:tc>
        <w:tc>
          <w:tcPr>
            <w:tcBorders>
              <w:top w:val="single" w:color="000000" w:sz="4" w:space="0"/>
              <w:left w:val="single" w:color="000000" w:sz="4" w:space="0"/>
              <w:bottom w:val="single" w:color="000000" w:sz="4" w:space="0"/>
              <w:right w:val="single" w:color="000000" w:sz="4" w:space="0"/>
            </w:tcBorders>
            <w:tcW w:w="3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移动白板</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bl>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四、拟采购标的需要满足的技术、商务要求</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（一）技术要求</w:t>
      </w:r>
      <w:r/>
    </w:p>
    <w:p>
      <w:pPr>
        <w:ind w:firstLine="480"/>
        <w:spacing w:line="360" w:lineRule="auto"/>
        <w:rPr>
          <w:rFonts w:hint="eastAsia"/>
          <w:color w:val="auto"/>
          <w:highlight w:val="none"/>
        </w:rPr>
      </w:pPr>
      <w:r>
        <w:rPr>
          <w:rFonts w:hint="eastAsia" w:ascii="宋体" w:hAnsi="宋体" w:cs="宋体"/>
          <w:bCs/>
          <w:color w:val="auto"/>
          <w:sz w:val="24"/>
          <w:szCs w:val="24"/>
          <w:highlight w:val="none"/>
        </w:rPr>
        <w:t xml:space="preserve">1.产品</w:t>
      </w:r>
      <w:r/>
    </w:p>
    <w:tbl>
      <w:tblPr>
        <w:tblStyle w:val="689"/>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502"/>
        <w:gridCol w:w="704"/>
        <w:gridCol w:w="6362"/>
        <w:gridCol w:w="602"/>
        <w:gridCol w:w="619"/>
        <w:gridCol w:w="951"/>
      </w:tblGrid>
      <w:tr>
        <w:trPr>
          <w:trHeight w:val="2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widowControl/>
              <w:rPr>
                <w:rFonts w:hint="eastAsia" w:ascii="宋体" w:hAnsi="宋体" w:cs="宋体"/>
                <w:color w:val="auto"/>
                <w:szCs w:val="21"/>
                <w:highlight w:val="none"/>
                <w:lang w:bidi="ar"/>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b/>
                <w:bCs/>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b/>
                <w:bCs/>
                <w:color w:val="auto"/>
                <w:szCs w:val="21"/>
                <w:highlight w:val="none"/>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lang w:bidi="ar"/>
              </w:rPr>
              <w:t xml:space="preserve">备注</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1、参考尺寸：主台：1500*600*750mm，副台：1500*500*620mm;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1、参考尺寸：660*590*1040mm；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2、黑色尼龙脚；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3、黑色尼龙轮；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4、黑色气杆；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5、2.5mm加厚蝴蝶底盘，可逍遥和原位锁定;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6、固定腰靠，黑色PP玻纤背框和扶手；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7、42mm密度中软高弹力切割海绵;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8、弹力座布，透气背网饰面。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可移动讲台</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1、参考尺寸：900*650*1000mm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下脚架采用φ25*2.0光滑圆管，配置4个静音刹车万向轮，方便推移也可固定。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编程桌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1、参考尺寸：1400*700*750mm;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3、台面参数：采用12mm厚纤丝抗倍特板，台面下设理线架;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4、台身参数：桌腿：采用≥60×30×1.2mm门字形钢架。横梁：采用≥40×20×1.2mm方管，侧面设有主机拖架和课本架，均采用1.0mm冷轧钢板加工完成。表面处理：表面打磨之后静电喷涂工艺处理。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学生组合桌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1、参考尺寸：790×805×750mm;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2、台面参数：</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采用25mm厚E1级三聚氰胺环保饰面板制作，桌角倒圆角；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采用1.5mm厚PVC封边条进行机械封边。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3、台身参数：</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横梁：采用≥40×20×1.2mm矩形钢管制作而成。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立腿：采用≥φ47×1.5mm厚的圆管制作而成，底部成锥形。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立腿底部：带橡胶底脚 [或：可选配带止锁功能的滑轮]。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立腿和横梁采用铝合金连接件连接（详见连接件参数）。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立腿与横梁整体采用静电粉末喷涂处理。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4、连接件参数：</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结构：通体采用铸铝成型，分上下两部分组合而成。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上部分圆柱尺寸：φ49mm(±5mm)，H20mm(±5mm)，壁厚≥3.5mm。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下部分圆柱尺寸：φ49mm(±5mm)，H20mm(±5mm)，壁厚≥3.5mm。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连接桌腿部分尺寸：φ40.5(±5mm)xH49mm(±5mm)。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连接横梁插口部分尺寸：L35-38×W15-18×H47mm(±5mm)。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表面处理：表面氧化银处理。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1、参考尺寸：410*400*740-820mm;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2、椅背/椅座板：PP+20%玻纤，一体注塑成型；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3、椅架：正圆国标钢管￠32/￠25*1.8mm，酸洗磷化静电喷粉7、工艺；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脚套/升降护套：PP，一体注塑成型；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4、功能：按国标高度孔位可调。</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后墙组合柜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1、参考尺寸：5000*500*2200mm;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产品结构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 标准板式柜体结构。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 连接工艺： 主体框架及背板均采用重型二合一暗装连接件 紧固。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基材与环保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 基材： ≥16mm厚环保刨花板。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3、饰面与外观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3.1 表面处理：三聚氰胺环保饰面。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 配色方案：主色搭配局部跳色处理。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4、封边工艺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4.1 材料与工艺：≥1.5mm 厚同色PVC封边条，全自动机械PUR热熔胶封边处理。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4.2 要求： 密封牢固，边缘平整无瑕疵。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5、五金与连接件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 层板支撑：活动层板采用金属层板销支撑，配预设调节孔位。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 铰链： 柜门配置缓冲铰链（开启角度 ≥110°）。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5.3 拉手： 柜门采用斜切铣型拉手，无外露。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6、功能设计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6.1 展示区：可配置跳色柜门单元或开放层板单元。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7、制造工艺与质量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7.1 加工：CNC精密裁板系统加工。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7.2 质量要求：成品结构稳固，组装严密，无松动、变形或异常声响。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1、参考尺寸：1200*500*2200mm；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产品结构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 标准板式柜体结构。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 连接工艺：主体框架及背板均采用重型二合一暗装连接件紧固。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3、基材与环保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 基材： ≥16mm厚环保刨花板。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饰面与外观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3.1 表面处理：三聚氰胺环保饰面。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 配色方案：主色搭配局部跳色处理。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4、封边工艺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4.1 材料与工艺：≥1.5mm厚同色PVC封边条，全自动机械PUR热熔胶封边处理。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4.2 要求： 密封牢固，边缘平整无瑕疵。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五金与连接件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 层板支撑： 活动层板采用 金属层板销 支撑，配合预设调节孔位。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 铰链：柜门配置 缓冲铰链（开启角度 ≥110°）。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5.3 拉手：下柜门采用 斜切铣型拉手；上柜门采用按弹式开启器（按压弹开式，无外露）。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功能设计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6.1 上部展示区：可配置跳色柜门单元或开放层板单元。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6.2 下部储物柜：大容量封闭式储物空间。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 制造工艺与质量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7.1 加工：CNC精密裁板系统加工。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7.2 质量要求：成品结构稳固，组装严密，无松动、变形或异常声响。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储物边柜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1、参考尺寸：2650*700*750mm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4、台身参数：采用16mm厚E1级三聚氰胺环保饰面板加工制作，不低于1.5mm厚塑制封边条机械封边，柜体设板式对开门多组，内设隔板一层。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1、参考尺寸：200×62mm±10mm；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2、可夹式插座。标配1.8米线，1.5平方，10A插头电源线。插座背面出线。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3、可夹0-30mm厚度的桌面板。颜色有光白、光黑。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交流二、三孔插座，10A,220V。</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电鼓</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1、手动单独控制升降，可拉伸至为10m。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2、功能：如果地面无法布线，顶部可安装电鼓用电使用。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3、顶部安装配T型安装支架。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魔方USB插座</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1、魔方USB插座。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2、3USB接口+3插孔。</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室内地上布线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地上采用铝塑护套管，内穿塑铜线，有效固定。按国标施工。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无人机虚拟教学竞赛平台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无人机教育平台是一个基于 3D 虚拟仿真技术的在线教育平台，旨在通过图形化编程，让学生在无需真机的情况下，安全、高效地学习无人机飞行原理与编程逻辑，激发科创兴趣，培养实践能力与创新思维。平台提供了丰富的 3D 场景、体系化的课程内容、官方赛事通道以及强大的教师后台管理功能。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一、核心架构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架构模式：纯B/S网页端架构，无需安装客户端，仅支持浏览器访问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支持多用户并发访问，满足班级、校级批量教学使用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二、核心功能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平台内置多个训练场景，主要有三种类型：自由飞行训练场、自由编程类训练场、竞技编程类训练场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自由飞行训练场搭载3D小镇实景及任务进度显示，支持键盘操控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平台支持图形化编程，学生可在虚拟3D场景中完成程序的运行与调试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平台具备计时计分进阶编程训练模式，集成排行榜功能，支持成绩记录及得分、用时的可视化展示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平台构建分阶课程体系，课程资源丰富，并支持在线预览功能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平台支持教师自主创建并上传场景与课程，满足学生多样化学习需求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平台具备赛事展示、报名、赛前专项训练及参赛等多项功能，覆盖赛事参与全链路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平台支持预览3D场景及浏览课程目录、赛事信息等，分权限开放实操权限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三、服务保障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提供平台使用指南、FAQ文档等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提供技术支持与售后协助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平台持续迭代优化，保障兼容性与稳定性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基站编队编队无人机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主要功能：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1.自由选取音乐创作无人机编队舞蹈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2.运用图形化编程或代码设计10台飞行器进行空中编排队形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3.独立可编程七色灯光配合无人机进行编队表演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4.可在线模拟编队造型，避免多机运行冲突，提前规划飞行路径与感知编队效果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5.飞行器低电或侧翻会自动保护降落，超出安全飞行范围停止飞行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包含：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1.编队无人机：10台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2.专用四合一充电器：3个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3.桨叶保护圈（备用）：10个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4.专用无人机锂电池：30块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5.正反备用桨叶：12套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6.十字螺丝：1柄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7.内六角螺丝刀：1柄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8.航空防护箱：1个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9.基站三脚架：5根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10.UWB中继器：1个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11.无人机UWB基站：4个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12.无人机锂电池（基站）：5块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13.基站航空防护箱1个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产品主要参数：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 参考尺寸： 202mm(L)x 202mm(W) x 80.5mm(H)±50mm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起飞重量： 188g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轴距： 153mm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电机： 1104/5200KV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电池： 1300mAh/8.4V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电子驱动： 15A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 螺旋桨： 3018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保护环： 半包围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 飞行距离： 100米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飞行时间： 13分钟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 定高方式： 气压计&amp;TOF</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 定位方式： 光流/UWB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 操控方式： Litebee Cliet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 无线通信频段： 2.4GHz/3.9GHz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 最大倾角角度： 30度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 最大上升速度： 2米/秒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 最大下降速度： 2.5米/秒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 最大飞行相对高度： 20米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 最大水平速度： 2.5米/秒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 最大可承受风速： 小于3米/秒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 LED光源： 全彩LED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 最多编队数量： 200台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 最大编队空间： 80*80米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 地面最小间距： 0.5米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25 空中最小间距： 0.8米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26 建议表演时长： 5分钟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27 飞行准备时长： 10分钟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28 工作环境温度： 5°C至40°C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29 输入电压： AC 110-240V/50-60Hz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30 输出电压： 8.4V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31 输出电流： 1.5A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 额定功率： 4*15W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33 容量： 1300mAh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34 标称电压： 7.4V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35 电池类型： Lipo</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36 电池重量： 71g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37 工作环境温度： 5°C-40°C</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编程编队积木无人机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主要功能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1.兼容Lego机械组件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2.基于图形化编程、python编程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3.支持手机APP遥控及编程界面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4.支持蜂鸣器，LED灯多种传感器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5.动力组件带桨叶保护环，有效预防桨叶伤害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6.产品配备无人机教学课程内容（十六章节）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1.参考尺寸： 209mm(L)x 184mm(W) x 56mm(H)±50mm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2.起飞重量： 126g（含桨叶保护环和电池）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3.轴距： 148mm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4.电机： 1020空心杯电机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5.电池： 600mAh/2S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6.电子驱动： 6A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7.螺旋桨： 75mm双叶桨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8.保护环： 半包围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9.飞行距离： 100米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10.飞行时间： 11分钟（悬停）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11.定高方式： 气压计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12.定位方式： 光流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13.操控方式： 遥控器/Litebee APP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14.无线通信频段： 2.4GHz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15.最大倾角角度： 30度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16.最大上升速度： 1米/秒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17.最大下降速度： 1.5米/秒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18.最大飞行相对高度： 20米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19.最大水平速度： 1.7米/秒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20.最大起飞重量： 160g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21.最大可承受风速： 小于3米/秒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22.摄像头： 有效像素800万，视场角68度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23.图片格式： .JPEG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24.视频格式： .MP4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25.编程软件： Litebee Go,Litebee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26.编程方式： 图形化，Python，arduino</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27.编程平台： Window/MAC/APP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28.工作环境温度： 5°C至40°C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29.容量 600mAh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30.标称电压 7.4 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31.电池类型 LiPo</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32.能量 4.44Wh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33.充电方式 座式充充电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34.电池重量 42g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35.工作环境温度 10°C至40°C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36.最大充电功率 10 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37.工作频率 2.4 GHz 至 2.483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38.最大信号有效距离 100 m（无干扰、无遮挡）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39.工作环境温度 5°C至40°C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40.等效全向辐射功率（EIRP） &lt;=13 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41.工作电流/电压 50mA @ 4.5V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42.输入电压 DC 5V/USB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43.最大输出功率 10W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设备包含：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1.无人机（含保护环不含电池）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2.遥控器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3.锂电池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5.数据线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6.产品说明书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7.遥控器防滑杆（备用）X2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8.摩擦销（备用）10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9.快拆桨叶扳手X1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10.正桨叶（备用）X2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反桨叶（备用）X2</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无人机赛事备用配件包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比赛备用配件套装，快速充电套装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充电器技术参数：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1.输入电压：AC 100-240V/50-60Hz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2.输出电压：8.4V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3.输出电流：1.5A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4.充电功率：4*15W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5.电池类型：锂电池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6.充电时间：约28分钟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产品清单：锂电池4个；电机套件配件包2套；硬桨叶配件包4套；四路锂电池充电器 1个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基础搬运功能模块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扭力：2.0kg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反应转速：0.11s（4.8V）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电压输入：DC 5.0V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工作电流：额定电流小于2A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机械臂最大张开角度：180°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接口：UART，4pin 1.25mm连接座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烧录方式：USB烧录</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智能夹取搬运功能模块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1.定位辅助：位置标签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2.编程LED： W2812(RGB)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3.颜色识别：黑红绿蓝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4.舵机控制：180°数字舵机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5.工作电压：4.8-6.0V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6.扭力：0.3Kg-cm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7.速度：0.09 sec/60°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8.机械臂最大张开角度：180°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9.最大被夹取物直径：80mm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10.最大夹取重量：8g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无人机场地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地图（1个），障碍环（1组），物流平台（1组),障碍物平台（1组）</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电池防护袋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多功能电池防爆袋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维修工具箱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数显万用表，32种螺丝批，美工刀，剥线钳，电烙铁，尖嘴镊子，数显测电笔及多种五金工具套装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加热台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1、面板类型：航空铝材发热面板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2、加热尺寸：100-100mm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3、温度范围：室温内最高400摄氏度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4、电源电压：220V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5、整机功率：350W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6、外形尺寸：120-120-126mm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焊台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1、输出功率：80W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2、输入电压：220V-50HZ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3、温度范围：100-480摄氏度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4、控制方式：按键温控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5、温度显示：LED数显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6、休眠模式：自动休眠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7、温度设置：快捷式样3档可调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8、外形体积：148-122-95mm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示波器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1、最高测试电压：1X：40V；10X：400V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2、通道数：2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3、光标类型：水平X，水平Y，触发Y</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4、屏幕尺寸：7寸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5、滚动模式：支持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6、一键AUTO：支持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7、屏幕分辨率：800*480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8、显示工艺：TFT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9、波形储存：1000张截屏+1000组波形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10、模拟宽带：100MHz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11、波形管理器：支持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12、最大采样率：1GS/s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13、电压精度：±5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14、上升时间&lt;3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15、频率精度：±0.01%高精度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16、测量参数：共12种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17、存储深度：240Kbit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18、输入阻抗：1MΩ</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19、垂直灵敏度：50mV-500V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20、截波输出器：支持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21、触发模式：单次/正常/自动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22、供电要求：5V-2A/3A/4A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23、耦合方式：AC/DC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24、机身尺寸：310-145-70mm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电子维修显微镜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1、光源：8颗LED灯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2、调焦范围：10-40mm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3、支持系统：windows/MacOS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4、内显示屏：5.5寸高清LCD显示屏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5、放大倍数：1-1000倍连续放大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6、物距：10mm-无限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7、视频格式：AVI</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8、录像分辨率：50HZ/60HZ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9、照片格式：JDG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10、照片分辨率：1M、2M、3M、5M、6M、8M、10M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11、对焦模式：手动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技术教室1（无人机室）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1、参考尺寸：3000*700*850mm；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25mmAA级橡胶木实木指接板，表面涂环保清漆。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主体材质：采用16mm厚E1级三聚氰胺环保饰面板制作。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功能配置：配备柜门、抽屉及键盘位。预留总控电源位置和多媒体设备（如显示器、主机、实物展台等）专用存储空间。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特殊结构-下裙条： 下裙条高度≥78mm，采用高强度铝合金模具成型，内嵌16mm厚生态免漆板增强支撑。底部设计板材距地≥20mm，有效防水防潮，经久耐用。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5、五金件：采用铝合金一字隐藏式拉手、阻尼铰链、五金轨道（三节滑轨）。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精密封边： 所有板材加工截面均采用1.5mm厚塑制封边条，通过机械设备进行精密封边处理。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孔位处理： 所有开孔部位均使用专业模具成型的配件进行封堵，确保美观与耐用。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1、参考尺寸：2400*1200*780mm；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3、台面参数：采用30mm厚实木橡胶木指接板，立面倒角；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4、台身参数：采用≥60×30×1.2mm方管，下面向外倾斜；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5、左右边腿工艺：所有钢管经酸洗磷化处理，表面喷塑；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6、底脚：采用专业ABS模具成型；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7、柜体：采用16mm厚E1级三聚氰胺环保饰面板制作，四边用≥1.5mm厚封边条机械封边。</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1、参考尺寸：Φ340*470-690mm；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2、可轻松调节至5种高度--470、530、580、640、690mm，桌腿可调节,即使地面不平也能平稳站立。下方的金属环可用作脚凳。承重:110公斤，座直径:≥340mm，宽度:≥360mm,深度:≥360mm；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3、最小座高:470mm最大座高:690mm，座:成型桉树胶合板,成型桦木胶合板,丙烯酸清漆星形底座轴/星形底座支腿/垫圈:钢环氧/聚醋粉末涂层顶部退柱:钢,有色粉涂层套管:乙缩醛塑料。</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储物边柜1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1、参考尺寸：5250*600*800mm；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3、台面参数：≥25mmAA级橡胶木实木指接板；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4、台身参数：采用16mm厚E1级三聚氰胺环保饰面板制作，不低于1.5mm厚封边条机械封边。柜体设板式对开门多组，内设隔板一层。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储物边柜2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1、参考尺寸：2200*600*800mm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3、台面参数：≥25mmAA级橡胶木实木指接板；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4、台身参数：采用16mm厚E1级三聚氰胺环保饰面板制作，不低于1.5mm厚封边条机械封边。柜体设板式对开门多组，内设隔板一层。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储存吊柜1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1、参考尺寸：5250*300*400mm；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3、柜体：采用16mmE1级三聚氰胺环保饰面板加工制作，不低于1.5mm厚塑制封边条机械封边，柜体配移门加隔板造型设计。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储存吊柜2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1、参考尺寸：2200*300*400mm；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3、柜体：采用16mmE1级三聚氰胺环保饰面板加工制作，不低于1.5mm厚塑制封边条机械封边，柜体配移门加隔板造型设计。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后墙组合柜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1、参考尺寸：5000*500*2200mm；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柜体参数：柜体采用≥16mm厚E1级三聚氰胺环保饰面板加工制作，不低于1.5mm厚塑制封边条机械封边，柜体组合柜造型，部分板式柜门造型，部分玻璃柜门造型内设隔板，部分柜体配pp储物盒。中间配钢制穿孔工具墙。</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编程桌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1、参考尺寸：1400*700*750mm；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3、台面参数：采用12mm厚纤丝抗倍特板，台面下设理线架;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桌腿：采用≥60×30×1.2mm门字形钢架。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横梁：采用≥40×20×1.2mm方管，侧面设有主机拖架和课本架，均采用1.0mm冷轧钢板加工完成。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表面处理：表面打磨之后静电喷涂工艺处理。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1、参考尺寸：410*400*740-820mm;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2、椅背/椅座板：PP+20%玻纤，一体注塑成型；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3、椅架：正圆国标钢管￠32/￠25*1.8mm，酸洗磷化静电喷粉7、工艺；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脚套/升降护套：PP，一体注塑成型；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4、功能：按国标高度孔位可调。</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交流二三孔插座。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1、参考尺寸：200×62mm±10mm；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2、可夹式插座。标配1.8米线，1.5平方，10A插头电源线。插座背面出线。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3、可夹0-30mm厚度的桌面板。颜色有光白、光黑。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室内地上布线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地上采用铝塑护套管，内穿塑铜线，有效固定。按国标施工。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激光切割机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硬件：</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主板：液晶显示终端；</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导轨：正品耐磨绘图仪（圆轨）；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外形尺寸：135*94*94cm；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驱动器：正品板卡直接驱动；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制冷方式：水冷；</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吹气保护：支持；</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激光头水平：小于0.5mm；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工作幅面: 900mmx600mm；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工作电压：220V±10% ,50/60Hz；</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最小雕刻尺寸：汉字：2x2mm ,字母：1x1mm；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断电续雕：支持；</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定位精度： &lt;0.01mm；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雕刻精度：0.0125mm；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功率：100w；</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软件：</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含：可视化三维立体激光切割建模软件2个；</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账号数量：2个；</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使用期限：终生；</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产品类型：web端3D设计软件；</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适配硬件：PC电脑；</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适配平台：chrome浏览器；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自主性：软件完全自主研发，自主设计；</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交互方式：键鼠操作；</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输出格式：SVG、DXF；</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读写格式：JSON；</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支持加工材料：木板、亚克力、ABS工程塑料、圆点积木、铝合金型材；</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功能描述：</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1）软件支持模块化的3D建模对板材进行编辑，并一键生成2D加工图纸；</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2）软件支持可变大小的笔刷自动生成以下形状：圆形、方形、半格方、斜坡、切缝、1至8模齿轮、1至8模齿条、0-9数字、A-Z字母；</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3）笔刷自动生成形状可通过布尔运算相加减；</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4）软件内置了以下结构件模型，并可在板材图纸上留下相应的槽孔：m2至m8螺丝、20*3mm转轴、60*3mm转轴、50*2mm转轴、80*2mm转轴、130*3mm D轴、55*3mm D轴、8mm子母铆钉、12mm子母铆钉、角铁、合页、隔离栓、膨胀螺栓、十字轴、限位槽、130电机固定器等；</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软件内置了以下电子件模型，并可在板材图纸上留下相应的槽孔：3xAAA电池座，金属齿轮马达，橡胶轮，膨胀螺栓（小），方形小喇叭，310主控板，神经元模块，计数模块，超时模块，显示器，语音记录器模块，阈值模块，并列逻辑模块，电机模块，110主控板，自锁开关，触觉传感器，湿度传感器，蒸汽传感器，土壤水分传感器，倾斜感应器，红外接近传感器，电导传感器开关，心率传感器，温度传感器，火焰传感器，光模块，选择逻辑模块，否定逻辑模块，连续模块，分离器模块，强光LED模块，蜂鸣器模块，</w:t>
            </w:r>
            <w:r>
              <w:rPr>
                <w:rFonts w:hint="eastAsia" w:ascii="等线" w:hAnsi="等线" w:eastAsia="等线" w:cs="等线"/>
                <w:color w:val="auto"/>
                <w:szCs w:val="21"/>
                <w:highlight w:val="none"/>
                <w:lang w:bidi="ar"/>
              </w:rPr>
              <w:t xml:space="preserve">多色LED串灯，伺服模块，按钮，LR44纽扣电池盒 3颗装，无源音箱小喇叭，micro:bit 电机驱动扩展板，4节5号封闭式电池盒，带编码器金属齿轮减速电机V2，Gravity: 130 直流电机风扇，数字红外信号发射模块，Gravity I2C OLED-2864 显示屏，DC2.1 电源转接头 母头，RGB LED模块 3528，音频录放模块，Beetle控制器，DF-BluetoothV3蓝牙串口模块，DS18B20 防水温度传感器套件，TB6612FNG微型双路直流电机驱动模块，霍尔磁性传感器，心</w:t>
            </w:r>
            <w:r>
              <w:rPr>
                <w:rFonts w:hint="eastAsia" w:ascii="等线" w:hAnsi="等线" w:eastAsia="等线" w:cs="等线"/>
                <w:color w:val="auto"/>
                <w:szCs w:val="21"/>
                <w:highlight w:val="none"/>
                <w:lang w:bidi="ar"/>
              </w:rPr>
              <w:t xml:space="preserve">率传感器，MMA7361三轴加速度传感器，Gravity: UART OBLOQ - IoT物联网模块，自锁按钮模块，Gravity: 电导开关模块，数字钢球倾角传感器，Beetle主控器扩展板，数字温湿度传感器DHT11，美科传感器大模块，美科传感器小模块，美科mcookie主控板，盛思小模块，继电器模块，膨胀螺栓，数字蜂鸣器模块，城堡，隔离栓，螺丝螺母，控制开关，TT马达轮子，树莓派，乐鑫ESP12E电机驱动板，合页，小面包板，面包板，全彩炫光LED灯，树上小模块，盛思大模块，牛眼轮，小牛眼轮，铆钉等；</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6）软件支持通过组装预览的方式检视3D模型的每一个零件及其2D图纸；</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7）电子零件库支持图纸定制功能，可将任意电子零件添加到零件库中。</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激光切割耗材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1、椴木板尺寸：3mm*210*300  共250件；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2、椴木板尺寸：5mm*210*300 共100件；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3、奥松板尺寸：3mm*210*300 共250件；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4、奥松板尺寸：5mm*210*300 共100件；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5、牛皮纸尺寸：0.5mm*210*297 共200件；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6、瓦楞纸尺寸：3mm*200*300 共300件；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7、瓦楞纸尺寸：6mm*200*300 共100件；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8、榉木板尺寸：3mm*100*200 共40件；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9、透明亚克力尺寸：3mm*200*275 共40件。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激光切割设计平台软件账号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1账号数量：50个；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使用期限：终生；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产品类型：web端3D设计软件；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适配硬件：PC电脑，局域网教室环境；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适配平台：chrome浏览器；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自主性：软件完全自主研发，自主设计；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交互方式：键鼠操作；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输出格式：SVG、DXF；</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读写格式：JSON；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支持加工材料：木板、亚克力、ABS工程塑料、圆点积木、铝合金型材；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功能描述：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1）软件支持模块化的3D建模对板材进行编辑，并一键生成2D加工图纸；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2）软件支持可变大小的笔刷自动生成以下形状：圆形、方形、半格方、斜坡、切缝、1至8模齿轮、1至8模齿条、0-9数字、A-Z字母；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3）笔刷自动生成形状可通过布尔运算相加减；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4）软件内置了以下结构件模型，并可在板材图纸上留下相应的槽孔：m2至m8螺丝、20*3mm转轴、60*3mm转轴、50*2mm转轴、80*2mm转轴、130*3mm D轴、55*3mm D轴、8mm子母铆钉、12mm子母铆钉、角铁、合页、隔离栓、膨胀螺栓、十字轴、限位槽、130电机固定器等；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软件内置了以下电子件模型，并可在板材图纸上留下相应的槽孔：3xAAA电池座，金属齿轮马达，橡胶轮，膨胀螺栓（小），方形小喇叭，310主控板，神经元模块，计数模块，超时模块，显示器，语音记录器模块，阈值模块，并列逻辑模块，电机模块，110主控板，自锁开关，触觉传感器，湿度传感器，蒸汽传感器，土壤水分传感器，倾斜感应器，红外接近传感器，电导传感器开关，心率传感器，温度传感器，火焰传感器，光模块，选择逻辑模块，否定逻辑模块，连续模块，分离器模块，强光LED模块，蜂鸣器模块，</w:t>
            </w:r>
            <w:r>
              <w:rPr>
                <w:rFonts w:hint="eastAsia" w:ascii="宋体" w:hAnsi="宋体" w:cs="宋体"/>
                <w:color w:val="auto"/>
                <w:szCs w:val="21"/>
                <w:highlight w:val="none"/>
                <w:lang w:bidi="ar"/>
              </w:rPr>
              <w:t xml:space="preserve">多色LED串灯，伺服模块，按钮，LR44纽扣电池盒 3颗装，无源音箱小喇叭，micro:bit 电机驱动扩展板，4节5号封闭式电池盒，带编码器金属齿轮减速电机V2，Gravity: 130 直流电机风扇，数字红外信号发射模块，Gravity I2C OLED-2864 显示屏，DC2.1 电源转接头 母头，RGB LED模块 3528，音频录放模块，Beetle控制器，DF-BluetoothV3蓝牙串口模块，DS18B20 防水温度传感器套件，TB6612FNG微型双路直流电机驱动模块，霍尔磁性传感器，心</w:t>
            </w:r>
            <w:r>
              <w:rPr>
                <w:rFonts w:hint="eastAsia" w:ascii="宋体" w:hAnsi="宋体" w:cs="宋体"/>
                <w:color w:val="auto"/>
                <w:szCs w:val="21"/>
                <w:highlight w:val="none"/>
                <w:lang w:bidi="ar"/>
              </w:rPr>
              <w:t xml:space="preserve">率传感器，MMA7361三轴加速度传感器，Gravity: UART OBLOQ - IoT物联网模块，自锁按钮模块，Gravity: 电导开关模块，数字钢球倾角传感器，Beetle主控器扩展板，数字温湿度传感器DHT11，美科传感器大模块，美科传感器小模块，美科mcookie主控板，盛思小模块，继电器模块，膨胀螺栓，数字蜂鸣器模块，城堡，隔离栓，螺丝螺母，控制开关，TT马达轮子，树莓派，乐鑫ESP12E电机驱动板，合页，小面包板，面包板，全彩炫光LED灯，树上小模块，盛思大模块，牛眼轮，小牛眼轮，铆钉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6）软件支持通过组装预览的方式检视3D模型的每一个零件及其2D图纸；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7）电子零件库支持图纸定制功能，可将任意电子零件添加到零件库中；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8）提供教室内老师端管理功能。</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多色3D打印机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1、成型技术：熔融沉积成型；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2、机身最大尺寸(长×宽×高)不低于385×410×430 mm³，净重约8.3 kg，最大打印尺寸(长×宽×高)不低于256×256×256 mm³；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3、机身外壳由钢材和铝材构成；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4、工具头：全金属热端、硬化钢挤出机齿轮、不锈钢喷嘴，内置工具头切刀，喷嘴最高温度不低于300 ℃、喷嘴直径自带0.4 mm，可选0.2 mm，0.6 mm，0.8 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5、机器自带双面纹理PEI打印面板，可扩展低温打印面板、光面打印面板，热床最高温度不低于100℃；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6、工具头最大移动速度不低于500 mm/s，工具头最大移动加速度不低于10000 mm/s²，热端最大流速不低于28 mm³/s；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7、支持耗材类型：PLA，PETG，TPU，PVA及相关支撑隔离材料等；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8、支持热端快拆、全自动平台校准、自动热床调平、自动皮带张紧；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9、具备主动流量校准、进料监测系统、电机主动降噪，特定模式下工作噪声不超过48分贝；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10、支持断料检测、缠料检测、断电续打，具备监控打印机状态的健康管理系统；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11、支持耗材用量检测，支持多色打印，最多支持不少于4色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12、配备触摸显示屏，屏幕尺寸≤3.5英寸，内置低帧率相机，支持延时摄影，具备相机隐私遮罩；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13、支持通过触摸屏、手机端APP、电脑端应用三种操作界面控制；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14、配备冷却风扇系统，通过闭环控制来确保打印模型、打印机热端和主板的散热；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15、支持Wi-Fi通讯。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FDM教室用3D打印机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numPr>
                <w:ilvl w:val="0"/>
                <w:numId w:val="9"/>
              </w:numPr>
              <w:jc w:val="left"/>
              <w:widowControl/>
              <w:rPr>
                <w:rFonts w:hint="eastAsia" w:eastAsia="方正楷体_GB2312"/>
                <w:color w:val="auto"/>
                <w:highlight w:val="none"/>
                <w:lang w:eastAsia="zh-CN"/>
              </w:rPr>
            </w:pPr>
            <w:r>
              <w:rPr>
                <w:rFonts w:hint="eastAsia" w:ascii="宋体" w:hAnsi="宋体" w:cs="宋体"/>
                <w:color w:val="auto"/>
                <w:szCs w:val="21"/>
                <w:highlight w:val="none"/>
                <w:lang w:bidi="ar"/>
              </w:rPr>
              <w:t xml:space="preserve">成型技术：熔融沉积成型；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2、机身最大尺寸(长×宽×高)不低于492×514×626 mm³，净重约31 kg，最大打印尺寸(长×宽×高)：单喷嘴模式不低于325×320×325 mm³、双喷嘴交集模式不低于300×320×325 mm³、单喷嘴并集模式不低于350×320×325 mm³、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3、框架为铝材和钢材构成，外壳为塑料和玻璃构成；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4、工具头：全金属热端、硬化钢挤出机齿轮、碳化钨喷嘴，内置工具头切刀，喷嘴最高温度不低于350 ℃，标配喷嘴直径0.4 mm，可选0.2 mm，0.6 mm，0.8 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5、机器标配双面纹理PEI打印面板，可扩展光面打印面板，热床最高温度不低于120℃；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6、工具头最大移动速度不低于1000 mm/s，工具头最大移动加速度不低于20000 mm/s²，热端最大流速不低于65 mm³/s（大流量热端）；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7、支持耗材类型：PLA、PETG、TPU、ABS、ASA、PVA、PET、尼龙线材（PA)、聚碳酸酯线材（PC)、PPA-CF/GF、PPS、PPS-CF/GF、碳/玻璃纤维增强线材及相关支撑隔离材料等；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8、支持热端快拆、主动振动补偿、全自动双喷嘴偏移校准、自动热床调平；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9、配备三摄像头计算机视觉系统，实现高精度打印，支持AI首层检测、炒面检测；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10、配备喷嘴摄像头、工具头摄像头，支持开门检测；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11、支持断料检测、缠料检测、断电续打，具备监控打印机状态的健康管理系统；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12、配备最新多色自动供料系统，支持耗材烘干，支持耗材用量及余料检测，支持多色打印，最多支持不少于25色；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13、配备高温烘干自动供料系统，最高烘干温度不低于85℃；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14、配备专用校准编码板，可校准工具头，提高运动精度；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15、自带空气过滤系统，支持自适应空气循环，配备椰壳活性炭滤芯，初级过滤等级G3，HEPA滤网等级H12；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16、支持主动腔热控制，多传感器闭环温控，最大加热腔温不低于65℃；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17、配备触摸显示屏，屏幕尺寸≤5英寸，内置高清相机，支持实时监控及延时摄影；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18、支持通过触摸显示屏、手机端APP、电脑端应用三种操作界面控制；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19、配备全闭环控制风扇系统，标配工具头散热增强风扇、增加挤出和热端散热，提高打印模型质量；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20、内置最大存储容量不低于32GB，支持外挂U盘；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21、支持Wi-Fi通讯，支持以太网有线连接，配备实体网络开关。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3D打印机课程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数字化编程打印课程（视频教程）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1.3D打印编程套件 厨房火灾煤气泄漏烟雾报警（模拟厨房环境，煤气灶台与煤气罐为3D打印实物，使用胶水或者热熔胶固定于木板上。</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当环境出现火情到一定程度（可设定火焰阈值），则装置自动报警，蜂鸣器大响。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当环境烟雾浓度到一定程度（可设定烟雾阈值），则装置自动报警，蜂鸣器大响。）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2.3D打印编程套件 智慧汽车门禁系统（过对于生活中的汽车门禁小型化实验再现其功能设计原理，智能化原理，实行功能的一致性，完成一个真实的模拟案例。门禁运动机构完全模仿生中设计建模，完成90度运动的变化手臂支架。有模拟小车或者人员走过，门禁自动打开。延时后自动落下关闭，等待下一次触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3.3D打印编程套件 模拟智能停车场计数系统（通过超声波时刻监控来车情况，显示停车场车数量与剩余停车位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当汽车到门口，门禁自动打开，并且计数停车数量与更新剩余车位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当汽车出门，门禁自动打开，并且更新计数停车数量，更新显示剩余车位信息。门禁机构为3d打印物品（传感器结合的案例，配合生活中的常识设计，停车管理系统））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4.3D打印编程套件 雨滴报警器装置（下雨报警告知，带报警蜂鸣器报警，设计一个雨滴模块支架与蜂鸣器支架，固定模块一个合适角度，当有零星雨滴即可触发报警提示用户下雨可以收衣服或者做其他准备。）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5.3D打印编程套件 双驱动避障小车（3D打印超声波避障小车3D打印车底盘Arduino图形化编程控制小车机器人（车体主要机构为3d打印物品），小车通过避障回退可以绕过障碍物自动运行。）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6.3D打印编程套件 模拟太阳能发电转向系统（模拟向日葵的运动，通过判断阳光的最强烈的方向，自动调整指向太阳针对光线，使得太阳能充电效果效率最佳（机体运动机构与元器件载体为3d打印））</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3D打印机PLA物料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1、PLA丝材，长度340mm，直径1.75mm，净重1kg；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2、线圈外孔直径20cm，线圈内孔直径5.7mm；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3、打印温度190°-220°。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桌面智能3D雕刻机套装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1.满足以下功能参数：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（1）全自动换刀功能：配置≥8工位的自动刀库与自动对刀模块，支持刀具长度自动探测与补偿数值显示，配备激光探测功能保障换刀100%成功；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（2）全自动对刀功能：使用无线探针（无线感应充电）实现Z轴自动探高、加工区域自动扫描、台面平整度自动探测等功能。探针采用2.4G无线信号，满足IP6防水要求、不受内部与外界光线干扰；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（3）自动集尘功能：内置实时自动集尘系统，可边加工边吸尘，≥0.8升大容量收纳，维持工作空间的洁净，防止有害粉尘带来的污染及危害。支持旁路外置集尘设备，加大集尘效率；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三坐标探测单元：对孔、槽类进行中心探测；对棒料、方料进行探测分中；对槽类的左上角、左下角、右上角、右下角位置进行探测；对方料的左上角、左下角、右上角、右下角位置进行探测；进行Z轴探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（5）旋转加工功能：即插即用的旋转加工功能，支持旋转加工自动对刀，谐波电机控制；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（6）激光雕刻功能：提供2.5W半导体激光加工功能，可以实现物品表面激光雕刻，以及厚度2mm以内的木板、瓦楞纸、亚克力等材料的激光切割能力；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（7）空气辅助功能：提供即插即用的空气辅助，在机床加工尤其是金属加工时可以提供刀具冷却及粉尘清除能力，在激光雕刻加工时可以提供防止加工物起火及提升加工质量的能力；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（8）PCB加工功能：提供全方位的单层或双层PCB加工能力，除了基本的PCB铜层切削及钻孔外，还支持阻焊油的应用及开窗、丝印的制作能力，可加工电路板的最大尺寸：362mm*243mm；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（9）提供详细的使用手册及系列教程，配套的培训教材、在线论坛、知识库、案例库系统，提供向导式的实际加工案例，及配套的免费案例材料；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（10）配备≥10.6吋大屏触摸平板，机器侧面自带设备架，安放pad或者手机；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跨平台APP控制功能：提供跨平台的控制软件，可以使用机器配套的平板电脑进行操控，也可以使用电脑、手机等不同终端与操作系统进行加工控制；软件支持安装终端包括：PC、MAC、PAD（安卓、IOS）、手机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（12）自有CAM软件：提供一站式的二维加工、激光加工、PCB加工、三维加工及旋转轴立体加工等全面的CAM编程能力；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（13）CAM软件中可实现：AI文生图，能够依</w:t>
            </w:r>
            <w:r>
              <w:rPr>
                <w:rFonts w:hint="eastAsia" w:ascii="宋体" w:hAnsi="宋体" w:cs="宋体"/>
                <w:color w:val="auto"/>
                <w:szCs w:val="21"/>
                <w:highlight w:val="none"/>
                <w:lang w:bidi="ar"/>
              </w:rPr>
              <w:t xml:space="preserve">据输入的文字描述生成与之对应的图像；AI图生浮雕则可以把普通的二维图像转化为具有立体感的浮雕效果；AI图生3D模型更是进一步将平面图像转变为三维的立体模型。系统在运行过程中，会全面分析毛坯的规格大小以及材料的特性，同时兼顾模型自身的特征，精准地推荐出与之相适配的刀具。此外，该系统还提供了三四轴高精度的加工仿真功能。在进行可视化的刀路仿真时，能够让使用者获得更加直观的加工预期效果。不仅如此，系统还集成了CAM刀路设计和Controller控制器，借助这一集成功能，可以将刀路从CAM直接推送至设备进行加工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（14）整机材质：整机采用精密航空铝框架、注塑轻量化带灯外壳，可透视PC密封防激光透视罩，超大掀开门设计、全包裹密封防护海绵减震降噪设计；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2.加工参数：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（1）主轴参数：500W无刷主轴搭载无动力换刀主轴；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（2）夹头参数：默认</w:t>
            </w:r>
            <w:r>
              <w:rPr>
                <w:rFonts w:ascii="等线" w:hAnsi="等线" w:eastAsia="等线" w:cs="等线"/>
                <w:color w:val="auto"/>
                <w:szCs w:val="21"/>
                <w:highlight w:val="none"/>
                <w:lang w:bidi="ar"/>
              </w:rPr>
              <w:t xml:space="preserve">⅛</w:t>
            </w:r>
            <w:r>
              <w:rPr>
                <w:rFonts w:hint="eastAsia" w:ascii="宋体" w:hAnsi="宋体" w:cs="宋体"/>
                <w:color w:val="auto"/>
                <w:szCs w:val="21"/>
                <w:highlight w:val="none"/>
                <w:lang w:bidi="ar"/>
              </w:rPr>
              <w:t xml:space="preserve">英吋，支持0-¼英吋多种刀具；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（3）转速：0～25000 r/min（闭环控制）；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（4）移动速度： 0～8m/min；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3.尺寸参数：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（1）工作区域（3轴加工）：362mm±5mm（X）*243mm±5mm（Y）*143mm（Z）±2mm；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（2）工作区域（旋转加工）：92mm（直径）±5mm * 240mm（长度）±5mm；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（3）外观尺寸：580mm（长）±5mm*520mm（宽）±5mm*540mm（高）±5mm ，开盖高度：840mm±5mm；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4.精度参数：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（1）主轴跳动：≤ 0.01mm；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（2）重复定位精度：≤0.005mm；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（3）加工精度：木材塑料加工±0.05mm，金属加工± 0.02mm；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（4）运动系统：工业级滚珠丝杆及线性导轨，闭环伺服电机；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5.安全参数: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（1）具备开盖安全锁功能；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（2）具备主轴堵转告警功能；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（3）具备主轴过热告警功能，实时监控主轴温度（℃）；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（4）具备X/Y/Z电机移动阻碍告警功能；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（5）具备自动换刀成功与否告警功能；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6.材料参数（可加工材料）：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（1）木材： 实木、密度板、多层板等；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（2）塑料： 泡沫、PVC、ABS、亚克力、PC、HDPE等；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（3）复合材料： 碳纤维、玻纤板、树脂等；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（4）金属材料：钛合金、不锈钢、铝合金、铜、银、金等；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（5）其它材料： 织物、皮革、卡纸等。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配套拖拉车收纳柜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1、工业冷轧钢板四层抽屉；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2、内铝合金外PP材质把手，耐腐蚀；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3、规矩台面搭配耐磨橡胶垫；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4、旋开式连杆锁，一经上锁抽屉全部锁住，安全又方便；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5、两定向轮、两万向附刹车轮；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6、优质三节轨导轨，采用高强度板材，经久耐用。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扩展通用加工包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扩展通用铣刀套装：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1、金属用单刃螺旋铣刀x10；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2、非金属用单刃螺旋铣刀x10；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3、金属用平底尖刀x10；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4、非金属用平底尖刀x50；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5、金属用球头铣刀x10；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6、非金属用球头铣刀x10；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7、通用钻头x60；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8、通用玉米铣刀x50；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9、通用螺纹铣刀x5；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10、通用倒角刀x5；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11、6mm金属用单刃螺旋铣刀x2；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12、6mm非金属用单刃螺旋铣刀x2；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13、6mm金属用锥度铣刀x2；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14、6mm非金属用双刃直槽尖刀x2；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15、6mm非金属用双刃球头铣刀x2；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扩展通用材料套装：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1、代木板x5；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2、代木块（旋转轴用）x5；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3、铝合金板x5；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4、铝合金块x5；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5、黄铜板x5；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6、紫铜板x5；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7、碳纤维板x2；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8、亚克力板x5；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9、PC耐力板x5；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10、POM工程塑料板x5；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11、单面PCB板x5；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12、双面PCB板x5；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13、普通密度板x5；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14、防水密度板x5；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15、实木板x5；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16、实木块（旋转轴用）x5。</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技术教室2（创客空间）</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讲台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1、参考尺寸：1800*750*780mm；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3、台面参数：采用12mm厚纤丝抗倍特板，抗污染、防水、防火，立面倒角、打磨，各处光滑。台面采用造型处理；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台身框架整体采用2060-银白氧化色工业铝型材，表面耐腐蚀、抗氧化、环保无毒，台下配有后衬钢质挡板；立腿铝型材四面镶装实木榉木条，底部配有铝合金装饰盖板。桌身左侧为收纳区域，配有抽屉及主机摆放位置，台身右侧为工具挂板，采用1.0mm钢板制作，设有工具挂孔，可挂工具小盒。台身板材采用基材16mmE1级颗粒板，表面贴桦木木皮，1.5mm封边条机械封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5、底脚：采用重型可调底脚，实心底座，支撑平稳。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1、参考尺寸：2400*1200*1235mm；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厚30mm桦木指接板制作，台面造型处理，表面木蜡油经反复打磨、浸润、擦拭、上光制成，不含甲醛；台面设有工具架，工具挂板采用1.0mm钢板制作的洞洞板，可悬挂各种工具盒、工具挂钩。工具架立柱及顶部采用3060-银白氧化色高强度工业铝型材制作而成。桌面加装专业木工工具钢质轴承核心，铸铁配件。为了学生使用方便，台面斜对角装250×250×5mm厚冷轧钢板，操作台对边夹台虎钳、设备，防止台面边沿损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立腿采用3090-银白氧化色工业铝型材，台身横梁采用3060-银白氧化色工业铝型材，耐腐蚀、抗氧化、环保无毒；立腿铝型材四面镶装实木榉木条，底部配有铝合金装饰盖板。台身左右两侧为工具挂板，采用1.0mm钢板制作，设有工具挂孔，可挂工具小盒。底部托板支撑架采用3060-银白氧化色高强度工业铝型材制作而成  托板板材采用基材18mmE0级颗粒板，表面贴桦木木皮，1.5mm封边条机械封边。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5、底脚：采用重型可调底脚，实心底座，支撑平稳。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1、参考尺寸：400*280*420mm；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3、产品参数：凳面采用18mm的桦木桉木心多层板制作；凳身采用3030-银白氧化色工业铝型材，表面光洁美观，耐腐蚀、抗氧化、环保无毒，型材外露端头外贴装饰盖板；凳腿配备调节脚，实心底座，支持平稳。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1、参考尺寸：3000*500*850mm；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面板采用16mm的E1级颗粒板制作，表面贴榉木木皮，实木木皮封边条机械封边，柜腿采用2060-银白氧化色工业铝型材，表面光洁美观，耐腐蚀、抗氧化、环保无毒；每根立腿外贴榉木条四根，下贴端头装饰盖板，配备重型调节脚，实心底座，支撑平稳；边柜配备柜门收纳空间、抽屉收纳、PP储物盒收纳以及公共收纳区域，另设部分跳色层板，美观潮流。</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后墙展示柜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1、参考尺寸：5000*500*2000mm；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面板采用16mm的E1级颗粒板制作，表面贴榉木木皮，实木木皮封边条机械封边，柜腿采用2060-银白氧化色工业铝型材，表面光洁美观，耐腐蚀、抗氧化、环保无毒；每根立腿外贴榉木条数根，下贴端头装饰盖板，配备重型调节脚，实心底座，支撑平稳；中柜配备柜门收纳空间、抽屉收纳、PP储物盒收纳以及公共收纳区域，另设部分跳色层板，美观潮流；两边展示架下部设大空间储物收纳模块，上部设全开放式多层储物，拿取便捷，分类明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1、参考尺寸：2100*500*2000mm；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面板采用16mm的实木多层板制作，实木木皮封边条机械封边，柜腿采用2060-银白氧化色工业铝型材，表面光洁美观，耐腐蚀、抗氧化、环保无毒；每根立腿外贴榉木条数根，下贴端头装饰盖板，配备重型调节脚，实心底座，支撑平稳；展示架配备洞洞板，厚度≥1.0mm钢板，采用CO2保护焊焊接，打磨处理，表面经耐酸碱EPOXY粉末烤漆处理（烤漆膜厚度平均值≥70μm），表面硬度附着力、耐腐蚀性强，可适配多种宜家收纳配件。另设抽屉收纳、PP储物盒收纳，收纳合理，使用便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4、塑胶保护套：材质：TPE</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机器人赛台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1、参考尺寸：2400*1200*800mm；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3、产品参数：整体采用16mm三聚氰胺环保饰面板加工制作，沿边加高≥80mm，不低于1.5mm厚塑制封边条机械封边，台面可张贴训练图；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台身采用钢架结构设计，所用钢管为50×50mm矩形管，整体焊接而成，表面采用静电喷涂工艺，长时间使用也不会产生表面漆剥落现象；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底部采用带刹车的工业轮，方便推移也可固定。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10A标准插头，三位10A插孔</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1、参考尺寸：200×62mm±10mm；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2、可夹式插座。标配1.8米线，1.5平方，10A插头电源线。插座背面出线。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3、可夹0-30mm厚度的桌面板。颜色有光白、光黑。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室内地上布线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地上采用铝塑护套管，内穿塑铜线，有效固定。按国标施工。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人形机器人</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一、功能描述</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1、机器人具有人形外观，并带有教育属性。机器人必须具备头部、双眼、双手和双脚，并且整体具有14个机器人关节（伺服舵机）。</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2、机器人运动能力：通过伺服舵机，实现机器人的仿人动作，包括向前行走、下蹲、站起、俯卧撑、跌倒爬起等动作，支持动作回读编程功能 。</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3、机器人AI属性：</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（1）集成视觉识别能力：利用视觉识别绘本，然后朗读绘本中的内容。</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（2）集成语音识别能力，包括机器人唤醒，以及根据语音指令做出相应的动作。</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（3）通过机器人的双眼，实现拟人化功能：通过双眼至少表达生气、爱心、发呆、瞌睡和开心等5种表情。</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4、配置1300W自动对焦、电子防抖高清摄像头，可实现语音拍照、远程监控和视频通话。结合AI视觉识别技术，可精确识别人脸、200+物体和10000多本中外绘本及数十种手势。</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5、内置4G全网通模块、Wifi模块和蓝牙模块，支持多种配网和联网方式，组网灵活，同时支持4G语音通话。</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6、具有深度开放的自定义训练功能，用户可以自定义机器人的唤醒词、音色，还可以设置一段语音、动作，表情，训练专属个人的独特技能。</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7、通过手机或平板电脑进行图形化编程，轻松拖拽编程块，完成编程作品，在线保存；或通过电脑联动其他产品使用教学编程软件进行软硬件编程 。</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二、配置要求</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1、套件包含手提包装箱、机器人、电源适配器、Type-C充电数据线、摄像头保护盖、说明书、保修卡、有害物质表以及SIM卡针等配件。</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2、整机材质为ABS+PC塑胶，颜色为高级白和浅灰色搭配，全机身环保材料。</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3、自主研发数字伺服舵机，能模拟人类动作。使用高自由度的大扭矩数字伺服舵机关节，可实现精准动作的控制及表现。</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4、课程体系完整全面，包含平台图形化编程软件以及配套教学APP，课程包含正规出版社出版的教学书籍，学生评价手册以及教师手册等。</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5、专属教学APP同时支持IOS、android系统。可通过APP对不少于10台机器人进行批量联网绑定，不需要每台机器人都登录一个账号进行配网绑定。同时提供Python语言SDK，支持增强级教育人形机器人Python语言二次开发。</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三、技术参数</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1、控制器：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（1）架构：ARM Cortex-A53；</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（2）运行内存RAM2G DDR3；储存内存ROM 16G EMMC；</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2、无线数据：</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（1）可用通过蓝牙、WiFi连接网络以及通过SIM卡连接网络，蓝牙支持4.2；</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（2）双频 2.4G/5G（Band4），802.11 a/b/g/n</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（3）无线数据连接可通过蓝牙、WiFi以及SIM卡连接，蓝颜支持双模蓝牙连接.</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3、伺服舵机</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（1）输出扭矩（kg•cm）：3kg•cm（电压7.4V时）；</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（2）转速（S/60°）：0.28S/60°（空载，7.4V）；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（3）精度：空载精度0.7度，带载精度1度；</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（4）具有过流，过压，欠压，过温保护功能；</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（5）具有舵机“零点”标定功能；</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（6）具有速度和位置两种控制方式；</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（7）材料：金属+塑胶齿轮，塑胶外壳；</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（8）额定电压：7.4V；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（9）工作电压范围：6.0 V~10.0V；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（10）工作电流：0.3A（全速满载电流）；</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（11）工作温度：-10℃～ +45℃；</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（12）存储温度：-40℃～ +60℃；</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（13）通信协议：半双工串口（3.3V）；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（14）可编辑ID范围：1-254；</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（15）噪音：≤60DB（距离30cm处测试）；</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（16）重量：20.4g；</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（17）尺寸：26.5×25.15×19mm。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1）输出扭矩（kg•cm）：2kg•cm（电压7.4V时）；</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2）转速（S/60°）：0.31S/60°（空载，7.4V）；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3）精度：空载精度1度，带载精度1.5度；</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4）过流，过压，欠压，PWM堵转等保护功能；</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5）具有位置和恒定PWM两种控制方式；</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6）材料：金属齿轮，塑胶外壳；</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7）角度范围：0~240°；</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8）工作电压范围：6.0 V~10.0V；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9）工作电流：0.2A（全速满载电流）；</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10）工作温度：-10℃～ +45℃；</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11）存储温度：-40℃～ +60℃；</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12）通信协议：半双工串口（3.3V）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13）可编辑ID范围：1-254；</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14）噪音：≤65DB（距离30cm处测试）；</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15）重量：12.0g；</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16）尺寸：33×15×18.3mm。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4、内置电池：聚合物锂电池，容量≥4060mAh。</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5、适用SIM卡：4FF-Nano SIM卡。</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6、电源适配器：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（1）输入电压：100-240V AC 50/60Hz 0.5A</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（2）输出电压：5V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（3）输出电流：3A</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7、整机传感器：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（1）摄像头：COMS，1/3英寸，13M像素，AF定焦，f2.2，FOV 80°×60°，最小成像距离10cm；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（2）红外距离传感器：1m（最大检测距离）。</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人形机器人配件包</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一、功能描述</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1、配套人形机器人教学使用，控制板可兼容Arduino开源平台。所有传感器（包括伺服舵机）通过配套的连接线与控制板相连接，各伺服舵机支持数据回读，可通过编程工具进行数字化设定。</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具备PC端编程工具，支持标准Blockly可视化图形编程和标准C/C++语言编程的学习。Blockly可视化图形编程工具包括所有端口功能，支持子程序调用，0代码操作即可完成编程，同时支持C语言代码程序段嵌入，并可自动生成标准C语言程序代码；C语言支持指针、数组、结构体等复杂应用，库函数全开放，支持升级。</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3、通过编程工具，可模拟实现日常智能机械装置等各种创意作品。</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二、配置要求</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1、套件包含控制板1个；舵机  1个；红外传感器2个；触碰传感器 2个；亮度传感器 1个；声音传感器 1个；LED灯光模组 2个；万向轮模组 1个；线材 W1-BLU  10条；线材 W2-GRY  8条；线材 W3-BLK  4条；线材 W4-BLK  2条；USB数据线 1条；塑胶件≥750个；锂电池包 1个；电源适配器 1个。</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2、结构零件材质为ABS、ABS+PC塑胶。零件颜色丰富，主要以浅灰、深灰、绿、黄、黑、蓝、银白等构成。</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3、教具零件采用新卡扣式设计、销扣连接的方式，无需采用铁质螺丝刀、螺母刀、扳手完成机器人的搭建。</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4、套件中所含的数字伺服舵机为自主研发，可以模拟真实动作，实现精准动作的控制及表达。</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三、技术参数</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1、控制模块</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（1）主控芯片：ATMEGA2560；</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（2）内建 5V蜂鸣器，可编程RGB  LED灯，MPU6050陀螺仪；</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（3）提供IDE、I2C、SPI、I8080、UART、ADC、GPIO、PWM接口；</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（4）具有过流、过载、短路等多重保护电路设计；</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（5）电池：聚合物锂电池，容量1800mAh。</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2、舵机参数</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（1）输出扭矩（kg•cm）：3.5kg•cm；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（2）转速（S/60°）：0.17 S/60° 精度；</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（3）空载精度1度，带载精度3度；</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（4）工作电压范围：6.4V～9.6V（典型值7.4V）；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（5）工作温度：0℃～ +40℃；</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（6）角度范围：0~240°；</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（7）工作指令：数字格式；</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（8）协议：半双工串口；</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（9）重量：25±0.2g。</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3、传感器参数</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（1）红外传感器：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工作电压：6.8~9.6V；红外波长：940nm；红外测距：2cm~15cm；接口：3pin插座；工作温度：0℃～ +40℃；外观尺寸：约 30mm*30mm*12mm； </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（2）触碰传感器：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工作电压：6.8~9.6V；按键压力：≥160g；接口：3pin插座；工作温度 ：0℃～ +40℃；外观尺寸：约30mm*30mm*12mm；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（3）LED灯光模组：</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工作电压：6.8~9.6V；LED数量：8组；LED颜色：RGB颜色；通信协议：半双工串口通信；接口：3pin插座；工作温度：0℃～ +40℃；颜色：灰蓝色；重量：8.8±0.1g；外观尺寸：约φ30mm*18mm；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（4）亮度传感器：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工作电压：6.8~9.6V；工作电流：10mA；通讯接口：3pin插座；可测光范围：0lux~4000lux；外观尺寸：35.8mm*30mm*12mm；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（5）声音传感器：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工作电压：6.8~9.6V；工作电流：10mA；通讯接口：3pin插座；测量距离：0cm~100cm；输出值范围：0~1023；外观尺寸：35.8mm*30mm*12mm；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4、电源适配器：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输入电压：100-240V AC 50/60Hz</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输出电压：9.6V</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输出电流：1A，具有过流保护特性，防止过充爆炸。</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配套教材</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配套教材+教师手册+评价手册。本课程以人形机器人为载体，结合图形化编程和开源硬件进行开发；将科学/技术/工程/艺术/数学等多学科知识有机地融为一体，以项目学习、解决问题为导向，开展观察、调查、研究、实验、尝试等学习活动。</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金属机器人竞赛超级套装</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电子件：机器人主控器*1，遥控器*1，无线模块*1，机器人电池锂离子1100mAh*1，机器人电池电缆*1，机器人电池充电器*1，智能电机*8，36:1智能电机齿轮组*2，视觉传感器*1，触碰开关v2*4，300mm智能电缆*3，600mm智能电缆*3，900mm智能电缆*2，1200mm智能电缆*1，1500mm智能电缆*2，A- 微型 USB 线*1；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（1）内置微型智能系统的主控器：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 不小于4.25英寸全彩触摸屏，手指触摸即可直接控制；屏幕支持多语言显示，提供实时参数，可拆卸的磁吸式屏幕保护壳保护屏幕；可更改背光亮度、颜色主题、旋转方向等；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 一个物理按键，实现开/关机；可屏幕显示已连接的智能传感器及状态；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 RAM不小于128MB，Flash不小于32MB；支持扩展不低于16GB存储卡；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 通过net 3.0无线电和内置蓝牙与遥控连接；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 底部有4个螺纹孔、四个侧均设有销孔，方便与所搭建的机器人连接；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 不少于21个智能端口，通过4线智能电缆连接智能电机、光感仪等智能传感器，输出电压不低于12.8V；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 不少于8个3线端口，可通过3线电缆连接LED、触碰传感器、电位计、旋转传感器等；并支持扩展，以便连接更多3线传感器；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 支持图形化、python和C++编程；并支持图形化与python，C++语言转化，以便初学者学习python，C++；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 不低于8个程序槽，可实现程序自由切换；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（2）遥控器：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 有可编程的不少于2个模拟操纵杆和 不少于12 个按钮；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 通过内置 net 3.0无线电和蓝牙与主控器连接，实现下载程序和控制机器人；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 通过micro USB给内置不低于3.7v锂离子电池循环充电，1小时充满后可使用8~10小时；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 带有通过编程可显示实时信息的LED屏幕；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2.5 正面有不少于2个智能端口，可通过4线智能线缆与主控器连接；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2.6 正面1个竞赛端口，与竞赛场控系统连接，便于查看比赛时间和状态；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（3）智能天线支持net 3.0和蓝牙，实现主控器与其他智能设备无线连接及通信，通过LED显示连接状态，两个螺丝孔位置方便固定和安装，一个智能端口，用4线智能电缆与主控器连接；                                                               </w:t>
            </w:r>
            <w:r>
              <w:rPr>
                <w:rFonts w:hint="eastAsia" w:ascii="宋体" w:hAnsi="宋体" w:cs="宋体"/>
                <w:color w:val="auto"/>
                <w:szCs w:val="21"/>
                <w:highlight w:val="none"/>
                <w:lang w:bidi="ar"/>
              </w:rPr>
              <w:t xml:space="preserve">                                                 2、运动件：4"全向轮*4，4"轮子*4，12T金属小齿轮*8，36T高强度齿轮*8，60T高强度齿轮*8，84T高强度齿轮*8，高强度方形齿轮插件*32，自由旋转齿轮插件*32，6T高强度链轮*4，12T高强度链轮*6，18T高强度链轮*6，24T高强度链轮*2，30T高强度链轮*2，高强度链连接*700，链附件链接*100，履带传送链接*50，传送带基础链接*60，短传送带连接件*24，中型输送带连接件*2</w:t>
            </w:r>
            <w:r>
              <w:rPr>
                <w:rFonts w:hint="eastAsia" w:ascii="宋体" w:hAnsi="宋体" w:cs="宋体"/>
                <w:color w:val="auto"/>
                <w:szCs w:val="21"/>
                <w:highlight w:val="none"/>
                <w:lang w:bidi="ar"/>
              </w:rPr>
              <w:t xml:space="preserve">0，高传送带连接件*20，2"轴*2，3"轴*4，4"轴*2，12"轴*16，12"高强度轴*4，扁平轴承*20，高强度轴轴承*20，高强度轴箍*20，轴箍*96，＃8-32固定螺丝*32，橡胶轴圈*30，搜集器滚轮*8，1/8"垫片*20，1/4"垫片*20，3/8"垫片*10，1/2"垫片*10，1/16"高强度轴垫片*60，1/8"高强度轴垫片*40，1/4"高强度轴垫片*20，1/2"高强度轴垫片*20，1/8"尼龙垫片*80，1/4"尼龙垫片*80，3/8"尼龙垫片*70，1/2"尼龙垫片*70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3、结构件：1x2x1x25铝制C型梁*2，1x2x1x35铝制C型梁*24，1x3x1x35铝制C型梁*12，5x25铝板*6，2x2x25铝直角连接件*4，1x1x35铝直角连接件*4，90度角撑板*4，＃8-32 x 1/4"自锁梅花螺丝*175，＃8-32 x 1/2"自锁梅花螺丝*125，＃8-32 x 3/8"梅花锁紧螺丝*250，＃8-32 x 1/2"梅花锁紧螺丝*225，＃8-32 x 7/8"梅花锁紧螺丝*100</w:t>
            </w:r>
            <w:r>
              <w:rPr>
                <w:rFonts w:hint="eastAsia" w:ascii="宋体" w:hAnsi="宋体" w:cs="宋体"/>
                <w:color w:val="auto"/>
                <w:szCs w:val="21"/>
                <w:highlight w:val="none"/>
                <w:lang w:bidi="ar"/>
              </w:rPr>
              <w:t xml:space="preserve">，＃8-32 x 1.000"梅花锁紧螺丝*75，＃8-32 x 1.250"梅花锁紧螺丝*50，＃8-32 x 1.500"梅花锁紧螺丝*50，＃8-32 x 1.750"梅花锁紧螺丝*25，＃8-32 x 2.000"梅花锁紧螺丝*10，双脚六角螺母固定器*20，1脚六角螺母固定器*20，4脚六角螺母固定器*20，＃8-32 尼龙螺母*700，＃8-32六角螺母*100，轴承座轴承*1，扁平轴承*40，驱动轴杆锁8*，1/2"撑柱*20，3/4"撑柱*30，1"撑柱*20，2"撑柱*40，3"撑柱*4；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4、工具及附件：＃64橡皮筋*20，4"扎带*600，11"扎带*50，12"X 15”防滑垫（厚）*1，T8星形螺丝刀，T15星形螺丝刀，开口扳手。</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竞赛场地围栏套装</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器人原厂场地围栏，卡扣式结构无需工具可快速装配、拆卸、储存，包括原厂面板和周边框架及组装所需的所有部件，搭建围栏的16*T型连接件、8*转角连接件、8*挡板、12*GPS条码围栏杆等，可与地垫无缝拼接，便携式手提袋，安装完成尺寸约3.7*3.7米。</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全场地地垫拼块</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机器人原厂场地垫，专门为防止静电积聚而设计的地垫，可快速进行现场组装，搭配场地围栏使用。地垫无缝拼接36*地垫，地垫尺寸不小于600*600mm。</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全场地及比赛道具套装</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建立完整的2026-2027赛季竞赛所需的所有场地道具元素。包含得分杯*56，多色销钉*63，得分桩*9，滚筒*4，导入桶*4等全部得分道具及相关配件。</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智能场地控制器套装</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一套完整的竞赛场地控制系统，包括以下器件：智能场地控制器*1，智能场地控制器电源线*1，机器人电池充电器*1，智能场地控制器电缆（8米*4）。</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气动件套装</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气动装置套件可使用气动技术启动和运行机器人结构，气动装置提供快速而强大的线性运动，可用于各种应用。使用气动装置为机器人的机械爪、收集口展开或任何需要快速运动的机构提供动力；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气动管切割器*1，双向气缸*1（10mm缸径，25mm行程），双向气缸*1（10mm缸径，50mm行程），双向气缸*1（10mm缸径，75mm行程），4mm外径 x 2.5mm内径 PU 管 （3 米）*1，储气罐*1，气动手动阀*1，双向电磁阀控制线*2，双向气动电磁阀*2，调压阀*1，调压阀支架*1，调压阀压力表*1，压力表*1，直通气动接头*10，90度弯通气动接头*8，T型气动接头*5，90度弯通气动接头（流量控制，M5，4mm软管）*2，密封塞*10，气嘴*1等。</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惯性传感器</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惯性传感器是3轴（X、Y和Z）加速度计和3轴陀螺仪的组合，加速度计将检测任何方向上的运动（加速度）变化，陀螺仪以电子方式设定参考位置，测量任何方向上相对于该参考位置的旋转变化。以此实现有效且准确的导航，并控制机器人运动的任何变化。外壳有一个安装孔，可以轻松安装到机器人的结构上；安装孔前面有一个小凹孔，用于标记传感器的参考点。底部有一个圆形凸台，其尺寸适合插入一块金属梁的方孔中，方便固定。传感器外壳背面有一个智能端口，通过4线智能电缆与主控器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1、加速度计的最大测量值限制为 4g；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2、惯性传感器的最大旋转速率可达 1000 度/秒；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3、常用于导航、翻滚、摆动幅度和检测旋转量、旋转速率、加速度等；实现精准控制机器人方向和动作。</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光感器</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光感器集成了环境光、颜色、接近度等检测；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1、颜色信息可以检测RGB、色调和饱和度或灰度。当物体距离小于100毫米时，颜色检测效果最佳；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2、测量光强度，数值会随着环境光和物体反射率而变化；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3、有一个可编程的白色LED，实现打开、关闭、设置亮度等，帮助在弱光条件下进行颜色检测；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4、外壳有两个带槽孔的安装片，便于固定和安装；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5、带一个智能端口，用4线智能电缆与主控器连接。</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测距仪</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测距仪通过激光脉冲来测量物体的距离、物体的大小和接近速度，可测量距离20~2000毫米，使用4线智能电缆与主控器连接；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1、距离范围为 20 ~200 毫米的精度为 +/-15 毫米；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2、范围为 200~ 2000 毫米的精度约为 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3、物体尺寸报告为小、中或大；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4、测量物体接近测距仪的速度，单位m/s；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5、外壳带有两个槽孔的安装片，方便固定和安装。</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电位计</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电位计使用可变电阻器来测量轴的角旋转（不低于265°），用于测量转动角度及方向；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中心有一个可以将方轴插入的“D孔”在轴旋转时改变传感器的轮毂位置；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外壳有两个安装弧形槽，可直接安装到智能电机下方，允许电位计位置在连接到机器人结构后微调至 90°；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通过3线电缆与主控连接，有333°检测范围，360°连续转动测量（27°无效测量区域）。</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旋转传感器</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旋转传感器能够测量：旋转位置、总旋转次数、旋转速度；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1、旋转位置的测量范围为0°至360°，精度为0.088。该角度是绝对确定的，并且在机器人断电时不会丢失；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2、测量轴速度，以度/秒 (dps) 或每分钟转数 (rpm) 为单位；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3、测量轴在 0 到 360 之间旋转的角度（以度为单位）；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4、通过轴的转数或轴的总转数来测量位置；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5、传感器的外壳有一个轴孔，与 1/8” 和 1/4” 标准轴兼容；一个完全穿过外壳的螺钉安装孔，便于固定和安装；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6、带一个智能端口，用4线智能电缆与主控器连接。</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小型智能电机</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1、内置编码器，可测量并通过编程控制方向、速度、加速度、位置和扭矩等；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2、有2个螺纹孔，方便固定和连接；1个电机轴，顶端有贴花，指示轴正旋转方向；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3、电机功率精确控制在 +/-1%，无论电池电量或电机温度如何，电机在每次自主运行时都将表现相同性能；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4、位置和角度的精度不低于 0.02 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5、1个智能端口，并带有红色LED，用于显示连接状态；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6、标准输出功率不低于5.5W，转速200RPM，最大扭矩0.5Nm；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7、实时温度检测，达到其温度极限，性能会自动降低，以确保不会发生损坏；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8、带一个智能端口，用4线智能电缆与主控器连接。</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智能电机</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1、内置编码器，可测量并通过编程控制旋转、转速、电流、功率、温度和扭矩；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2、支持可互换的齿轮组改变速度和扭矩，齿轮组通过颜色区分；配有标准 [200 RPM, 18:1] 齿轮盒，更换齿轮组最高可达600RPM；位置和角度的精度为 0.02 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3、电机轴插座旁边有一个月牙形窗口，通过颜色可以轻松识别电机正在使用哪个齿轮盒；顶端有贴花，指示轴正旋转方向；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4、有2个螺纹孔，方便固定和连接；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5、电机功率精确控制在 +/-1%，无论电池电量或电机温度如何，电机在每次自主运行时都将表现相同性能，即确保100%功率输出；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6、1个智能端口，并带有红色LED，用于显示连接状态；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7、标准输出功率不低于11W，100RPM下输出2.1Nm；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8、实时温度检测，达到其温度极限，性能会自动降低，以确保不会发生损坏；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9、带一个智能端口，用4线智能电缆与主控器连接。</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智能电机齿轮组</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采用金属齿轮以提高强度，与智能电机配用，高扭矩，低速度，输出齿轮比6:1、18:1、36:1可选，轴套可容纳1/8"驱动轴以及1/4"高强度轴。</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主控器电池</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电池为磷酸铁锂(LiFePO4)电池，可提供更高的持续功率和更可靠的功能，可以在任何电池电量水平下实现电机相同性能；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1、电池容量不低于1100mAh，标准电压不低于12.8V，最大电流不低于20A，最大输出功率不低于256W；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2、内置充电指示灯，约1小时充满电；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3、低电量仍可对电机输出100%的功率。</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主控器电池充电器</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主控器电池充电器，可在60分钟内完成主控器电池充电。</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智能电缆压线钳</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智能电缆专用压线钳。</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智能电缆线材</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智能电缆线材，8m。</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智能电缆水晶头</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智能电缆水晶头*50只。</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竞赛机器人配件包</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搭建竞赛机器人需要的气动补充件，各类结构件、运动件、传动件及连接零配件等。</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充气泵</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便携式锂电池充气泵，可自定义充气模式，预设胎压，夜间照明，充满即停，胎压监测，警示灯，胎压校准；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产品含气针，法嘴，快接气嘴，束口袋，高压气管延长管，USB-c充电线；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充气压力：0.2-10.3bar/3-150psi；</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额定容量：2500mAh。</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服务</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竞赛机器人设计搭建一台，上门培训服务4小时*1次。</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金属机器人教学入门套装</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1、电子件：机器人主控器*1，遥控器*1，无线模块*1，机器人电池锂离子1100mAh*1，电池数据线*1，机器人电池电缆*1，机器人电池充电器*1，智能电机*4，300mm智能电缆线*3，600mm智能电缆线*1，900mm智能电缆线*1，USB A 转换数据线*1，机器人碰撞开关*2；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2、运动件：4"万向轮*2，4"车轮*2，2“x轴*2，3.5“x轴</w:t>
            </w:r>
            <w:r>
              <w:rPr>
                <w:rFonts w:hint="eastAsia" w:ascii="宋体" w:hAnsi="宋体" w:cs="宋体"/>
                <w:color w:val="auto"/>
                <w:szCs w:val="21"/>
                <w:highlight w:val="none"/>
                <w:lang w:bidi="ar"/>
              </w:rPr>
              <w:t xml:space="preserve">*2，3.5“x轴*1，4“x轴*1，12T齿轮*3，12T齿轮插销*1，高强度84齿齿轮*1，高度齿轮轴插销*10，机械爪套装*1。#8-32六角螺母*30，轴承座-螺母配件包*15，1-孔连接器*5，4-孔连接器*7，轴承片*5，橡胶轴箍*23，0*2插销*6，0.125"垫片*8，0.375"垫片*4，0.500"垫片*3，0.875"垫片*2，#8-32 x 0.375"星型螺丝*30，#8-32x1.000"星型螺丝*2，#8-32x0.500"星型螺丝*4，#8-32x1.500"星型螺丝*4；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3、结构件：2 x 2 x 2 x 20U型梁*2，1 x 2 x 1 x 15C型结构件*2，1 x 2 x 1 x 25C型结构*2，2 x 2 x 14 x 20角度结构件*2；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4、工具及附件：#32橡皮筋*2，T15星型扳手*2，4"扎带（50个装）*1；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5、课程：提供不少于16节配套课程。</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人工智能机器人套装</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人工智能编程和实践学习机器人套装，机器人配备AI视觉传感器和敏捷的全向轮，通过图形化编程和 Python 进行编程。机器人拥有触控彩色屏，通过踢、接和与球和桶互动的能力，进行编程学习和项目活动。机器人间通信功能引入了新的协作维度，鼓励学生之间的团队合作和互动学习。配套课程及备课笔记；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1、该套装包含人工智能机器人*1、遥控器*1、1米USB 线、橙色桶*3、蓝色桶*3、球*2、AprilTag标识牌*5；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2、机器人技术参数：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（1）3个全向轮，全方位移动；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（2）多语言彩色触摸屏：显示菜单、传感器数据、用户文本和图像；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（3）可编程定义的扬声器：通过可选声音增强交互性；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（4）精确导航：包括陀螺仪、加速度计和车轮编码器，实现精确驾驶；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（5）可编程 LED 灯：可定制多色视觉体验；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（6）多功能编程语言选项：支持 code Blocks、Switch、Python；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（7）便捷的程序下载：通过蓝牙或 USB 轻松传输程序；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（8）USB 可充电内置电池。</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人工智能机器人场地</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套装包含4块可相互拼接的场地拼块，8块围栏，组成完整的场地并可以自由组合，方便置于桌面用于智能机器人教学或竞赛测试。</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AI机器人竞赛套装</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（Explorer）</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numPr>
                <w:ilvl w:val="0"/>
                <w:numId w:val="10"/>
              </w:num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产品描述：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赛事套装拥有丰富的机械结构零件，支持搭建多种形态和功能的机器人。同时配套专业体系化教育及赛事课程。产品支持图形化、 Python 和多线程编程，配备专用电池增强包，支持机器人更长久的续航；配备强劲性能的电机和舵机，大大提升机器人在对抗类赛场上的表现。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二、产品组成：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核心主控、编程机器人扩展板、蓝牙手柄、蓝牙适配器、新超声波传感器、四路颜色传感器、高速TT电机、180 编码电机、37mm直流电机12V/50RPM（带背板）组件、37mm直流电机12V/200RPM（带背板）组件、MS-1.5A 舵机、MECDS-150舵机、锂离子充电电池、金属结构件、五金件、轮类、地图、工具等；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三、产品规格：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1、核心主控：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它专为人工智能、物联网教学设计，同时支持 Python 编程，为您的教学带来全新的体验。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1）处理器主频：240MHz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2）芯片集成ROM：≥448KB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3）芯片集成SRAM：≥520KB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4）处理器内核：Xtensa 32-bit LX6双核处理器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5）扩展存储SPI Flash:≥8MB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6）多线程支持：支持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7）可存储程序：支持存储8个及以上程序文件，通过机身按键可快速调取文件存储目录，实现多程序存储并自由切换；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8）Python支持情况：支持在线和上传模式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9）按键输入：五向摇杆、复位按钮、按钮；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10）通信支持：蓝牙+WiFi。内置WIFI模块，支持物联网及局域网应用，实现贴近生活的创作，可利用局域网（LAN）功能制作各类小游戏；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11）板载传感器：光线传感器、麦克风（可录音，带声音传感器功能）、陀螺仪、加速度计。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12）板载的麦克风及扬声器，可以结合慧编程认知服务，轻松实现录音播放、语音识别、文本朗读等功能；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13）板载输出：≥1.44寸 全彩显示屏，可绘制彩色折线图来直观收集音量或光线等多个传感器数据；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14）操作系统：专为本品自主研发的强大操作系统，具备多程序存储及自动切换、机器名自定义、自动联网等功能；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15）支持图形化转 Python，图形化可直接转移为 Python，直接复制进编辑器即可运行；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16）外接电子模块：支持30余种电子模块不限数量扩展。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17）保护壳：自带全透塑料开模外壳，保护壳能更好的保护电路元器件，易于课堂器材管理和维护。</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18）扩展接口需采用JST PH2.54或其它防呆接口，避免学生误操作造成元器件损坏；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19）支持操作系统记忆WIFI账号及密码，无需编程即可连接WIFI；</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2、编程机器人扩展板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基于核心主控，可充电锂电池。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1）电池容量：≥2500mAh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2）放电倍率：3C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3）额定功率：27.75W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4）编码电机接口：≥2个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5）直流电机接口：≥2个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6）舵机接口：≥4个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7）灯带兼容口：≥2个（与舵机接口复用）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8）Arduino兼容口：≥2个（与舵机接口复用）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9）支持可扩展的电子模块：≥10个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3、蓝牙适配器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蓝牙适配器是一款BT4.0（蓝牙低功耗）智能无线数据传输的蓝牙设备接口转换器，主要用于短距离的数据无线传输。USB接口可轻松连接电脑，配对蓝牙设备，实现更加便捷地无线使用体验。USB接口直接插拔，实现给蓝牙设备无线烧录程序，传输效率高，数据传输低延迟，无需USB连线，使用、携带方便（需与核心主控品牌一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4、新超声波传感器：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1）外壳材质：塑料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2）自带芯片：有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3）氛围灯：≥8颗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5、四路颜色传感器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四路颜色传感器使用可见光进行补光，大幅增强了对环境光的抗干扰能力，并且支持在巡线检测的同时进行颜色识别。环境光校准功能还能降低环境光对巡线效果的干扰。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2）巡线传感器：≥4个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3）颜色传感器：≥4个（与巡线传感器复用）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4）光线传感器：≥4个（与巡线传感器复用）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5）补光灯：可见光补光灯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6）环境光校准：有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6、高速TT电机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高速TT电机是一款塑料齿轮电机，可配合注塑同步带轮62T和注塑同步带轮90T构成赛项或各种DIY项目的车轮系统。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1）额定电压：6V 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2）工作电压 4~8 V 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3）空载电流≤220mA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4）额定负载电流≤260mA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5）空载转速：15000 RPM±10%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6）额定负载转速：310 RPM±10%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7）齿轮比：1比48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8）工作温湿度：-5℃~40℃；15%RH~90%RH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9）储存温湿度：-10℃~50℃；15%RH ~90%RH 无凝露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7、180光电编码电机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1）转速区间：1-200RPM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2）转动扭矩：≥1500g·cm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3）输出轴材质：金属</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8、37mm直流电机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功能特性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可改变转速，但不能精确控制位置和转速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输出转矩大，能承受一定过载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支持正反转</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 Arduino库方便编程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支持图形化编程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支持树莓派 Python 编程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9、MS-1.5A舵机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1）出厂舵盘安装：有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2）快速拆装：支持（基于燕尾槽结构的快速拆卸及安装）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3）兼容：金属部件及乐高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4）物理限位：无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10、蓝牙手柄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1）材质：ABS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2）蓝牙版本：≥4.0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3）频率范围：2402-2480MHz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4）射频发射功率：≥4dBm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5）传输距离：≥20m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6）抗干扰能力：支持不少于80个同时工作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7）供电方式：2节 5号电池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11、金属结构件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1）包含金属梁不少于14种，数量不少于32个；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2）包含金属支架类不少于3种，数量不少于12个；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3）包含金属连接片及连杆类不少于7种，数量不少于28个。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AI机器人竞赛套装器材升级包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针对2024-2025赛季的器材扩展套件，用于完成2026赛季任务。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AI机器人竞赛场地套装（Explorer含边框）</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一、产品描述：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该套装内包含赛项场地搭建所需要的地图、边框、道具等零件，可用于线下训练，承办比赛使用；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二、产品配置：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1、地图≥1；扁铝1126≥16；扁铝1550-960≥8；扁铝1550-120≥22；扁铝1550-220≥4；八棱柱4040-45≥4；八棱柱4040-400≥8；八棱柱4040-250≥16；八棱柱封盖4040≥56；扁铝封盖1550≥4；连接片0324</w:t>
            </w:r>
            <w:r>
              <w:rPr>
                <w:rFonts w:hint="eastAsia" w:ascii="宋体" w:hAnsi="宋体" w:cs="宋体"/>
                <w:color w:val="auto"/>
                <w:szCs w:val="21"/>
                <w:highlight w:val="none"/>
                <w:lang w:bidi="ar"/>
              </w:rPr>
              <w:t xml:space="preserve">-072≥8；光轴固定环8mm≥4；P3支架≥2；支架U1≥4；三卡锁≥100；EVA球70mm-蓝色≥22；EVA球70mm-红色≥22；方形底座锥桶≥7；M4长方形铁螺母≥30；连接片3*6≥3；场地边框两侧挡板≥2；中央资源区90°反转挡板≥2；球网挂钩≥16；球网≥1；中央资源区底板A≥4；中央资源区底板B≥2；场地八棱柱中间隔板≥2；L形内六角梅花型扳手T30≥1；L形六角扳手5mm≥1；螺丝刀2.5mm转十字≥1；双面布基胶带≥1；T30 L形内六角梅花型扳手≥1；1.5mm L形六角扳手≥1。</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物联网科创实验套件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 w:val="20"/>
                <w:highlight w:val="none"/>
                <w:lang w:bidi="ar"/>
              </w:rPr>
              <w:t xml:space="preserve">一款适用于初中及以上学段的物联网科创实验套件；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一.主控板：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1.CPU需采用单板计算机架构的国产芯片，主频不低于1.2GHz、核数不低于4核，板载内存不低于512MB的DDR3内存，硬盘内存不低于16GB的eMMC存储，出厂预装Linux系统，支持python2和python3；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2.需支持多种编程方式：图形化编程、Jupyter编程、Thonny编程、SSH远程访问、VScode编程等；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3.需支持预装常用Python库，如NumPy、Pandas、Matplotlib等库；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4.需支持离线运行程序、还可存储多个程序；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5.需支持蓝牙4.0及WiFi 2.4G；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6.需板载2.8寸 240*320TFT彩屏、2个可编程功能按键、麦克风传感器、光线传感器、加速度传感器、蜂鸣器等模块；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8.需支持Type-C 5V供电，工作电压3.3V；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二.电子模块：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1.语音识别模块：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①.需支持离线语音识别功能；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②.需支持内置常用固定命令词条，至少包含135条常用的固定命令词条；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③.需支持新增命令词学习功能，至少支持17条命令词条学习；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④.需配备麦克风、喇叭及喇叭接口，并且麦克风数量不少于2个；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⑤.需支持I2C和UART两种通讯方式，适配主流开源硬件主控器；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2.继电器模块：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①.需配备透明外壳，可清晰观察继电器内部触点工作状态；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②.需支持开关量控制，通过数字信号即可控制继电器的吸合与释放；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③.需采用防反插接口，简单易用；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3.电子模块：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需配备不少于13种电子模块，包含但不限于红色LED模块、绿色LED模块、蓝色LED模块、按钮模块、土壤湿度传感器、RGB12灯珠灯环、温湿度传感器、空气质量传感器、舵机、风扇、角度传感器、USB摄像头、水泵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②.电子模块需自带固定螺孔，支持螺丝、魔术贴等方式固定；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③.电子模块接口需采用PH2.0接口。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三.配件：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需配备主板烧录数据线、模块连接线、电池盒等配件；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四.编程方式：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需支持图形化编程；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五.配套内容：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提供不少于25课时教学课程，包含课程文档、课程PPT、案例程序、教学视频等。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Arduino创意编程套件</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简介：是一套专为孩子设计的编程学习套件。孩子可以在一个个趣味编程项目中，学习通过“创造力“来改造生活，找到解决问题的方法。创意来源生活，又高于生活，我们鼓励孩子用身边随处可得的材料来打造作品，比如纸杯，木棒，瓦楞纸，粘土等等，创造无限可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材质：传感器pcb使用沉金工艺制作；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连接方式：采用开源硬件中最为普遍的Ph2.0 3Pin接口,数字与模拟接口由不同颜色杜邦线连接；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主控：Arduino主控板(支持ISP下载功能、单片机TX/RX端子，AREF端子，六組PWM端子(Pin11,Pin10,Pin9,Pin6,Pin5,Pin3))，扩展板（集成xbee插口，蓝牙/APC接口，舵机单独供电接口，无线模块串口使能开关，兼容3.3v及5v主控板）；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编程软件：mixly，mind+，arduino ide等；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输入设备：数字晃动传感器，红外开关，光敏传感器，角度传感器，声音传感器，温度传感器，按钮模块，超声波测距传感器，温湿度传感器；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输出设备：舵机，小灯模块，RGB灯，蜂鸣器，液晶显示屏，继电器；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通讯设备：蓝牙模块，物联网模块；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配件：6节5号电池盒带插头，USB线，杜邦线；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建议课时数：12~26课时；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课程内容：第一章 hello word：项目一  点亮板载LED灯 项目二点亮外接 LED 灯模块 ；第二章 神奇的按键：项目一 神奇的按钮开关 项目二 简易延时灯 项目三 做一个按键开关；第三章 可调灯 ：项目一 呼吸灯  项目二 3 档可调灯 项目三 旋钮可调灯 ；第四章 智能灯 ：项目一 声控灯  项目二 楼道灯 项目三 电子蜡烛 ；第五章 玩转声音装置 ：项目一 模拟发声</w:t>
            </w:r>
            <w:r>
              <w:rPr>
                <w:rFonts w:hint="eastAsia" w:ascii="宋体" w:hAnsi="宋体" w:cs="宋体"/>
                <w:color w:val="auto"/>
                <w:szCs w:val="21"/>
                <w:highlight w:val="none"/>
                <w:lang w:bidi="ar"/>
              </w:rPr>
              <w:t xml:space="preserve">装置  项目二 近视警示器 ；第六章 实时测试装置 ：项目一 超声波测距仪  项目二入侵检测仪；Arduino 与 IOT ；第七章 初识 IOT 物联网 ：项目一 认识物联网 项目二 物联网温度检测器；第八章 玩转物联网 ：项目一 暴力运输监测 项目二自动收衣杆 项目三智能婴儿摇篮； Arduino 蓝牙通信；第九章 初识蓝牙：项目一 蓝牙配置 项目二 制作手机 APP；第十章 蓝牙遥控 ：项目一 蓝牙控制 LED 项目二 蓝牙门禁 ；第十一 章 掌上家居 ：项目一 特别的开关-继电器 项目二 掌上家居。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人工智能与开源硬件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一、硬件组成部分至少包含：：主控板*1、空气质量传感器*1、USB摄像头*1、按钮模块*1、红色LED*1、温湿度传感器模块*1；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二、软件部分：至少支持图形化编程、代码编程等；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三、硬件部分参数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（一）主控板：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1.CPU需采用单板计算机架构的芯片，主频不低于1.2GHz、核数不低于4核，板载内存不低于512MB的DDR3内存或同等性能及以上技术，存储容量不低于16GB的eMMC存储，出厂预装Linux系统，支持python2和python3；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2.需支持多种编程方式：图形化编程、Jupyter编程、Thonny编程、SSH远程访问、VScode编程等；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3.需支持预装常用Python库，如NumPy、Pandas、Matplotlib等库；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4.需支持离线运行程序、还可存储多个程序；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5.需支持蓝牙4.0及WiFi 2.4G；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6.需板载彩色显示屏，分辨率≥240*320、2个可编程功能按键、麦克风传感器、光线传感器、加速度传感器、蜂鸣器等模块；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8.需支持Type-C 5V供电，工作电压3.3V~5V；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（二）空气质量传感器：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1.需支持3种数据输出，数据包含TVOC、eCO2、AQI数据；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2.需内置算法，输出数据更准确；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3.需内置基线自动校准算法，利于传感器的长期使用更加稳定；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4.需采用I2C通讯方式，适配主流开源硬件主控器；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（三）USB摄像头：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1.像素：不低于30W；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2.分辨率：≥640*480；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3.工作电压：3.3V~5V；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（四）按钮模块：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1.工作电压：3.3V~5V；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（五）红色LED：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1.输入电压3.3~5V；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2.发光颜色：红色；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3.主发光波长：620~630nm；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（六）温湿度传感器模块：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2.接口类型：数字；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3.温度范围：0-50℃ 误差±2℃；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4.湿度范围：20-90%RH 误差±5%RH；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四、课程资料：不少16个项目内容。</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 xml:space="preserve">信息技术高中基础教学套件-Python编程学习主控板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numPr>
                <w:ilvl w:val="0"/>
                <w:numId w:val="11"/>
              </w:numPr>
              <w:jc w:val="left"/>
              <w:widowControl/>
              <w:rPr>
                <w:rFonts w:hint="eastAsia" w:ascii="宋体" w:hAnsi="宋体" w:cs="宋体"/>
                <w:b w:val="0"/>
                <w:bCs w:val="0"/>
                <w:color w:val="auto"/>
                <w:sz w:val="21"/>
                <w:szCs w:val="21"/>
                <w:highlight w:val="none"/>
                <w:lang w:bidi="ar"/>
              </w:rPr>
            </w:pPr>
            <w:r>
              <w:rPr>
                <w:rFonts w:hint="eastAsia" w:ascii="宋体" w:hAnsi="宋体" w:cs="宋体"/>
                <w:b w:val="0"/>
                <w:bCs w:val="0"/>
                <w:color w:val="auto"/>
                <w:sz w:val="21"/>
                <w:szCs w:val="21"/>
                <w:highlight w:val="none"/>
                <w:lang w:bidi="ar"/>
              </w:rPr>
              <w:t xml:space="preserve">主控板功能介绍：</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1.内置Home菜单，可通过≥2.8寸触摸屏切换菜单栏，查看操作运行以下信息：</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查看系统信息，如显示当前系统版本、当前CPU占用情况、当前内存占用情况、当前硬盘占用情况等；</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查看网络信息，如USB网口IP地址、无线连接IP地址、无线热点IP地址、其他设备IP地址等；</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开启/关闭JupyterPython编辑器服务；可通过有线/无线访问后台管理页面，编写及上传Python程序；</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开启/关闭内置SIoT物联网服务器；可通过有线/无线访问SIoT后台管理页面和数据界面；支持USB线、路由器Wi-Fi、热点模式、网线等多种网络连接方式；启用/禁用热点；内置Web网页服务，可通过IP地址访问网页菜单，如查看应用开关、网络设置、文件上传等信息；</w:t>
            </w:r>
            <w:r/>
          </w:p>
          <w:p>
            <w:pPr>
              <w:numPr>
                <w:ilvl w:val="0"/>
                <w:numId w:val="0"/>
              </w:numPr>
              <w:jc w:val="left"/>
              <w:widowControl/>
              <w:rPr>
                <w:rFonts w:hint="eastAsia" w:ascii="宋体" w:hAnsi="宋体" w:cs="宋体"/>
                <w:b w:val="0"/>
                <w:bCs w:val="0"/>
                <w:color w:val="auto"/>
                <w:sz w:val="21"/>
                <w:szCs w:val="21"/>
                <w:highlight w:val="none"/>
                <w:lang w:bidi="ar"/>
              </w:rPr>
            </w:pPr>
            <w:r>
              <w:rPr>
                <w:rFonts w:hint="eastAsia" w:ascii="宋体" w:hAnsi="宋体" w:cs="宋体"/>
                <w:b w:val="0"/>
                <w:bCs w:val="0"/>
                <w:color w:val="auto"/>
                <w:sz w:val="21"/>
                <w:szCs w:val="21"/>
                <w:highlight w:val="none"/>
                <w:lang w:val="en-US" w:eastAsia="zh-CN" w:bidi="ar"/>
              </w:rPr>
              <w:t xml:space="preserve">2.</w:t>
            </w:r>
            <w:r>
              <w:rPr>
                <w:rFonts w:hint="eastAsia" w:ascii="宋体" w:hAnsi="宋体" w:cs="宋体"/>
                <w:b w:val="0"/>
                <w:bCs w:val="0"/>
                <w:color w:val="auto"/>
                <w:sz w:val="21"/>
                <w:szCs w:val="21"/>
                <w:highlight w:val="none"/>
                <w:lang w:bidi="ar"/>
              </w:rPr>
              <w:t xml:space="preserve">具有语音识别(含麦克风)功能，可实现自定义或预设唤醒词和命令词的识别；</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val="en-US" w:eastAsia="zh-CN" w:bidi="ar"/>
              </w:rPr>
              <w:t xml:space="preserve">3.</w:t>
            </w:r>
            <w:r>
              <w:rPr>
                <w:rFonts w:hint="eastAsia" w:ascii="宋体" w:hAnsi="宋体" w:cs="宋体"/>
                <w:b w:val="0"/>
                <w:bCs w:val="0"/>
                <w:color w:val="auto"/>
                <w:sz w:val="21"/>
                <w:szCs w:val="21"/>
                <w:highlight w:val="none"/>
                <w:lang w:bidi="ar"/>
              </w:rPr>
              <w:t xml:space="preserve">在完整Python环境下可预装常用Python库和人工智能库（如NumPy、Pandas、Matplotlib、Keras、0penAl、Scikit-learn等库）；</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val="en-US" w:eastAsia="zh-CN" w:bidi="ar"/>
              </w:rPr>
              <w:t xml:space="preserve">4.</w:t>
            </w:r>
            <w:r>
              <w:rPr>
                <w:rFonts w:hint="eastAsia" w:ascii="宋体" w:hAnsi="宋体" w:cs="宋体"/>
                <w:b w:val="0"/>
                <w:bCs w:val="0"/>
                <w:color w:val="auto"/>
                <w:sz w:val="21"/>
                <w:szCs w:val="21"/>
                <w:highlight w:val="none"/>
                <w:lang w:bidi="ar"/>
              </w:rPr>
              <w:t xml:space="preserve">内置远程桌面服务，可通过windows远程桌面、MobaXterm软件、VNC软件等以有线/无线方式进行连接，实时显示设备菜单界面；</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val="en-US" w:eastAsia="zh-CN" w:bidi="ar"/>
              </w:rPr>
              <w:t xml:space="preserve">5.</w:t>
            </w:r>
            <w:r>
              <w:rPr>
                <w:rFonts w:hint="eastAsia" w:ascii="宋体" w:hAnsi="宋体" w:cs="宋体"/>
                <w:b w:val="0"/>
                <w:bCs w:val="0"/>
                <w:color w:val="auto"/>
                <w:sz w:val="21"/>
                <w:szCs w:val="21"/>
                <w:highlight w:val="none"/>
                <w:lang w:bidi="ar"/>
              </w:rPr>
              <w:t xml:space="preserve">支持系统升级，可通过烧录镜像进行系统恢复和升级；</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val="en-US" w:eastAsia="zh-CN" w:bidi="ar"/>
              </w:rPr>
              <w:t xml:space="preserve">6.</w:t>
            </w:r>
            <w:r>
              <w:rPr>
                <w:rFonts w:hint="eastAsia" w:ascii="宋体" w:hAnsi="宋体" w:cs="宋体"/>
                <w:b w:val="0"/>
                <w:bCs w:val="0"/>
                <w:color w:val="auto"/>
                <w:sz w:val="21"/>
                <w:szCs w:val="21"/>
                <w:highlight w:val="none"/>
                <w:lang w:bidi="ar"/>
              </w:rPr>
              <w:t xml:space="preserve">支持无需通过USB数据线连接电脑，实现实时程序调试和程序上传的功能</w:t>
            </w:r>
            <w:r>
              <w:rPr>
                <w:rFonts w:hint="eastAsia" w:ascii="宋体" w:hAnsi="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二、技术参数：</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（1）.主控板：</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1.CPU需采用单板计算机架构的国产芯片，主频不低于1.2GHz、核数不低于4核，板载内存不低于512MB的DDR3内存，硬盘内存不低于16GB的eMMC存储，出厂预装Linux系统，支持python2和python3；</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2.需支持多种编程方式：图形化编程、Jupyter编程、Thonny编程、SSH远程访问、VScode编程等；</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3.需支持预装常用Python库，如NumPy、Pandas、Matplotlib等库；</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4.需支持离线运行程序、还可存储多个程序；</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5.需支持蓝牙4.0及WiFi 2.4G；</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6.需板载≥2.8寸 240*320TFT彩屏、2个可编程功能按键、麦克风传感器、光线传感器、加速度传感器、蜂鸣器等模块；</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8.需支持Type-C 5V供电，工作电压3.3V；</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（2）.电子模块：</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1.语音识别模块：</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①.需支持离线语音识别功能；</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②.需支持内置常用固定命令词条，至少包含≥135条常用的固定命令词条；</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③.需支持新增命令词学习功能，至少支持≥17条命令词条学习；</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④.需配备麦克风、喇叭及喇叭接口，并且麦克风数量不少于≥2个；</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⑤.需支持I2C和UART两种通讯方式，适配主流开源硬件主控器；</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2.继电器模块：</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①.需配备透明外壳，可清晰观察继电器内部触点工作状态；</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②.需支持开关量控制，通过数字信号即可控制继电器的吸合与释放；</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③.需板载3pin接口、电源输入接口、电源输出接；</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3.功率计模块：</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①.需支持可测量电压、电流、功率等数据；</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②.需支持拨码开关(用于I2C地址切换)、3pin输入接口、3pin输出接口、12C输入接口、I2C输出接口等满足多路数据测量需求；</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 ③.需支持可通过软件校准；</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4.基础电子模块：</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①.要求配备至少12种电子模块，包含但不限于USB摄像头、温湿度传感器、气压温度传感器、超声波模块、土壤湿度传感器、光线传感器、NFC通讯模块、NFC标签、舵机、水泵、USB音箱、RGB灯环模块；</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②.电子模块需自带固定螺孔，支持螺丝、魔术贴等方式固定；</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③.电子模块接口需采用PH2.0接口；</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（3）.配件：</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需配备模块连接线、主板烧录数据线、电池盒等配件；</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（4）.编程方式：</w:t>
            </w:r>
            <w:r>
              <w:rPr>
                <w:rFonts w:hint="eastAsia" w:ascii="宋体" w:hAnsi="宋体" w:cs="宋体"/>
                <w:b w:val="0"/>
                <w:bCs w:val="0"/>
                <w:color w:val="auto"/>
                <w:sz w:val="21"/>
                <w:szCs w:val="21"/>
                <w:highlight w:val="none"/>
                <w:lang w:bidi="ar"/>
              </w:rPr>
              <w:br w:type="textWrapping" w:clear="all"/>
            </w:r>
            <w:r>
              <w:rPr>
                <w:rFonts w:hint="eastAsia" w:ascii="宋体" w:hAnsi="宋体" w:cs="宋体"/>
                <w:b w:val="0"/>
                <w:bCs w:val="0"/>
                <w:color w:val="auto"/>
                <w:sz w:val="21"/>
                <w:szCs w:val="21"/>
                <w:highlight w:val="none"/>
                <w:lang w:bidi="ar"/>
              </w:rPr>
              <w:t xml:space="preserve">需支持图形化编程。</w:t>
            </w:r>
            <w:r/>
          </w:p>
          <w:p>
            <w:pPr>
              <w:rPr>
                <w:rFonts w:hint="eastAsia" w:ascii="宋体" w:hAnsi="宋体" w:cs="宋体"/>
                <w:b w:val="0"/>
                <w:bCs w:val="0"/>
                <w:color w:val="auto"/>
                <w:sz w:val="21"/>
                <w:szCs w:val="21"/>
                <w:highlight w:val="none"/>
                <w:lang w:eastAsia="zh-CN" w:bidi="ar"/>
              </w:rPr>
            </w:pPr>
            <w:r>
              <w:rPr>
                <w:rFonts w:hint="eastAsia" w:ascii="宋体" w:hAnsi="宋体" w:cs="宋体"/>
                <w:b w:val="0"/>
                <w:bCs w:val="0"/>
                <w:color w:val="auto"/>
                <w:sz w:val="21"/>
                <w:szCs w:val="21"/>
                <w:highlight w:val="none"/>
                <w:lang w:bidi="ar"/>
              </w:rPr>
              <w:t xml:space="preserve">▲提供</w:t>
            </w:r>
            <w:r>
              <w:rPr>
                <w:rFonts w:hint="eastAsia" w:ascii="宋体" w:hAnsi="宋体" w:cs="宋体"/>
                <w:b w:val="0"/>
                <w:bCs w:val="0"/>
                <w:color w:val="auto"/>
                <w:sz w:val="21"/>
                <w:szCs w:val="21"/>
                <w:highlight w:val="none"/>
                <w:lang w:val="en-US" w:eastAsia="zh-CN" w:bidi="ar"/>
              </w:rPr>
              <w:t xml:space="preserve">具有</w:t>
            </w:r>
            <w:r>
              <w:rPr>
                <w:rFonts w:hint="eastAsia" w:ascii="宋体" w:hAnsi="宋体" w:cs="宋体"/>
                <w:b w:val="0"/>
                <w:bCs w:val="0"/>
                <w:color w:val="auto"/>
                <w:sz w:val="21"/>
                <w:szCs w:val="21"/>
                <w:highlight w:val="none"/>
                <w:lang w:bidi="ar"/>
              </w:rPr>
              <w:t xml:space="preserve">CMA</w:t>
            </w:r>
            <w:r>
              <w:rPr>
                <w:rFonts w:hint="eastAsia" w:ascii="宋体" w:hAnsi="宋体" w:cs="宋体"/>
                <w:b w:val="0"/>
                <w:bCs w:val="0"/>
                <w:color w:val="auto"/>
                <w:sz w:val="21"/>
                <w:szCs w:val="21"/>
                <w:highlight w:val="none"/>
                <w:lang w:val="en-US" w:eastAsia="zh-CN" w:bidi="ar"/>
              </w:rPr>
              <w:t xml:space="preserve">标识的“</w:t>
            </w:r>
            <w:r>
              <w:rPr>
                <w:rFonts w:hint="eastAsia" w:ascii="宋体" w:hAnsi="宋体" w:cs="宋体"/>
                <w:b w:val="0"/>
                <w:bCs w:val="0"/>
                <w:color w:val="auto"/>
                <w:sz w:val="21"/>
                <w:szCs w:val="21"/>
                <w:highlight w:val="none"/>
                <w:lang w:bidi="ar"/>
              </w:rPr>
              <w:t xml:space="preserve">Python编程学习主控板”</w:t>
            </w:r>
            <w:r>
              <w:rPr>
                <w:rFonts w:hint="eastAsia" w:ascii="宋体" w:hAnsi="宋体" w:cs="宋体"/>
                <w:b w:val="0"/>
                <w:bCs w:val="0"/>
                <w:color w:val="auto"/>
                <w:sz w:val="21"/>
                <w:szCs w:val="21"/>
                <w:highlight w:val="none"/>
                <w:lang w:val="en-US" w:eastAsia="zh-CN" w:bidi="ar"/>
              </w:rPr>
              <w:t xml:space="preserve">检验检测</w:t>
            </w:r>
            <w:r>
              <w:rPr>
                <w:rFonts w:hint="eastAsia" w:ascii="宋体" w:hAnsi="宋体" w:cs="宋体"/>
                <w:b w:val="0"/>
                <w:bCs w:val="0"/>
                <w:color w:val="auto"/>
                <w:sz w:val="21"/>
                <w:szCs w:val="21"/>
                <w:highlight w:val="none"/>
                <w:lang w:bidi="ar"/>
              </w:rPr>
              <w:t xml:space="preserve">报告扫描件加盖厂商公章</w:t>
            </w:r>
            <w:r>
              <w:rPr>
                <w:rFonts w:hint="eastAsia" w:ascii="宋体" w:hAnsi="宋体" w:cs="宋体"/>
                <w:b w:val="0"/>
                <w:bCs w:val="0"/>
                <w:color w:val="auto"/>
                <w:sz w:val="21"/>
                <w:szCs w:val="21"/>
                <w:highlight w:val="none"/>
                <w:lang w:eastAsia="zh-CN" w:bidi="ar"/>
              </w:rPr>
              <w:t xml:space="preserve">：</w:t>
            </w:r>
            <w:r/>
          </w:p>
          <w:p>
            <w:pPr>
              <w:pStyle w:val="690"/>
              <w:numPr>
                <w:ilvl w:val="0"/>
                <w:numId w:val="0"/>
              </w:numPr>
              <w:rPr>
                <w:rFonts w:hint="default" w:eastAsia="方正楷体_GB2312"/>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bidi="ar"/>
              </w:rPr>
              <w:t xml:space="preserve">检验依据GB/T 2423.7-2018;检测内容包含：包装后的主控板经高度 1m、6个面自由跌落试验后，应能正常工作。</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无人驾驶套件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一款基于无人驾驶主题的机器人教学套件。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一.主控板：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1.CPU需采用单板计算机架构的国产芯片，主频不低于1.2GHz、核数不低于4核，板载内存不低于512MB的DDR3内存，硬盘内存不低于16GB的eMMC存储，出厂预装Linux系统，支持python2和python3；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2.需支持多种编程方式：图形化编程、Jupyter编程、Thonny编程、SSH远程访问、VScode编程等；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3.需支持预装常用Python库，如NumPy、Pandas、Matplotlib等库；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4.需支持离线运行程序、还可存储多个程序；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5.需支持蓝牙4.0及WiFi 2.4G；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6.需板载2.8寸 240*320TFT彩屏、2个可编程功能按键、麦克风传感器、光线传感器、加速度传感器、蜂鸣器等模块；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8.需支持Type-C 5V供电，工作电压3.3V；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二.小车平台：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1.车体需采用一体成型工艺，外壳材质需是铝合金金属；</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2.车体需板载螺纹孔，方便固定；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三.扩展板：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1.扩展板需使用沉金PCB工艺，具有焊性良好的镍金镀层，不易氧化；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2.需板载至少8路3Pin端口、2路IIC端口、2路电机接口、1个主控卡槽；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3.需板载至少1路电源开关、1路锂电池接口、1路Type-C电源接口、1路电源输出接口；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4.需支持工作电压：3.3V-5V；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四.电子模块：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1.USB音频模块：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①.需板载至少1个Type-C接口，方便供电；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②.需板载至少1个喇叭、1个喇叭接口；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③.需内置USB Hub芯片、至少1个USB-A接口，方便外接USB设备；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④.需板载固定孔，方便固定；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⑤.需板载LED电源指示灯；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2.电子模块：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①.需配备不少于5种电子模块，包含但不限于USB摄像头、单路巡线传感器、三路巡线传感器、LED灯、电机等；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②.电子模块需自带固定螺孔，支持螺丝、魔术贴等方式固定；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③.电子模块接口需采用PH2.0接口；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五.配件：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需配备主板烧录数据线、模块连接线、锂电池及其充电器、电池盒、金属夹持器、金属配件包、车轮、螺丝刀、AI视觉识别卡纸、积木块等配件；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六.编程方式：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需支持图形化编程；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七.配套内容：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提供不少于18课时教学课程，包含课程文档、案例程序等。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AI视觉小车套装</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1.主控：主板*2.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2.主体：机器人升级版平台*2，可兼容两种主控器。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3.编程软件：支持Mind+、Makecode以及mixly等编程语言。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4.机器人平台集成功能：蜂鸣器、RGB LED、2路电机；扩展IIC接口，板子总开关、9个IO通用接口，锂电池接口，1个总开关。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5.其他扩展设备：超声波传感器*2、摄像头传感器*2、摄像头传感器外壳*2、摄像头支架*2、舵机*2、手柄*1。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6.配件：USB线*2，可充电锂电池*3，机械结构零件*11种，紧固件若干，螺丝刀*1。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7.摄像头传感器参数：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①.主板规格：处理器：400MHz 64位双核处理器Kendryte K210；供电电压：4-pin防呆接口：3.3~5.0V； MicoUSB接口：5.0V；电流消耗（典型值）： 320mA@3.3V，230mA@5.0V （人脸识别模式，80%背光亮度，补光灯关闭）；通信协议：UART ,I2C(可自动识别)；通信接口：PH2.0 4-pin或microUSB接口；调试接口：microUSB接口；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 基础功能：物体追踪（可学习追踪物体并返回坐标值），人脸识别(可分辨不同人脸)，物体识别（不学习可直接识别20种物体），巡线追踪（可存储线条个数： 100），颜色识别（可存储颜色个数： 100），标签识别（可存储标签个数： 50），物体分类，二维码识别以及条形码识别等多种模式识别。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 高级功能：深度神经网络分类器(可实现标志识别、手写数字识别、口罩识别、物体分类等1000种分类)。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④.特殊功能：USB串口通信、拍照保存、屏幕显示自定义字符、可用基于图形化软件进行编程控制、可兼容python编程。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⑤. 固件：内置固件，可通过USB接口更新。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⑥. 按键：1个功能按键，1个学习按键。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⑦.平台支持：Arduino、掌控、树莓派等。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⑧.其他：2颗LED高亮补光灯；1颗RGB指示灯；1个TF卡座；1个可插拔摄像头.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⑨. 摄像头规格：像素：500万；屏幕规格：类型：2.0寸 TFT；分辨率：320*240；视角：&gt;170°；面板：IPS；背光：白光LED灯，亮度可调。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⑩. 外观特性：黑色排线，黑色金属保护框。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8.配套资料：有配套的教程和配套的视频，可以进行教学使用。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AI视觉小车教师用书</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简介：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包含16节轻松有趣的PBL教程，适合教师在课堂使用。教程内容详细、上课引导步骤多、知识点讲解生动活泼、项目可延伸性强，帮助老师快速开展课程；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课程围绕AI人工智能视觉识别，一套课程带领学生玩转人脸识别、标签识别、物体识别、颜色识别、巡线、物体跟踪六大应用场景，制作各种趣味项目。课程结合小车、人工智能摄像头、游戏手柄、超声波传感器等电子模块，以设计游戏为主题，带领学生一边学编程，一边学人工智能，一边玩游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教师用书特点：</w:t>
            </w:r>
            <w:r>
              <w:rPr>
                <w:rFonts w:hint="eastAsia" w:ascii="宋体" w:hAnsi="宋体" w:cs="宋体"/>
                <w:color w:val="auto"/>
                <w:szCs w:val="21"/>
                <w:highlight w:val="none"/>
                <w:lang w:bidi="ar"/>
              </w:rPr>
              <w:br w:type="textWrapping" w:clear="all"/>
            </w:r>
            <w:r>
              <w:rPr>
                <w:rFonts w:hint="eastAsia" w:ascii="等线" w:hAnsi="等线" w:eastAsia="等线" w:cs="等线"/>
                <w:color w:val="auto"/>
                <w:sz w:val="20"/>
                <w:highlight w:val="none"/>
                <w:lang w:bidi="ar"/>
              </w:rPr>
              <w:t xml:space="preserve">1.结构清晰的课前教学信息，让老师快速了解项目内容、知识点；</w:t>
            </w:r>
            <w:r>
              <w:rPr>
                <w:rFonts w:hint="eastAsia" w:ascii="等线" w:hAnsi="等线" w:eastAsia="等线" w:cs="等线"/>
                <w:color w:val="auto"/>
                <w:sz w:val="20"/>
                <w:highlight w:val="none"/>
                <w:lang w:bidi="ar"/>
              </w:rPr>
              <w:br w:type="textWrapping" w:clear="all"/>
            </w:r>
            <w:r>
              <w:rPr>
                <w:rFonts w:hint="eastAsia" w:ascii="等线" w:hAnsi="等线" w:eastAsia="等线" w:cs="等线"/>
                <w:color w:val="auto"/>
                <w:sz w:val="20"/>
                <w:highlight w:val="none"/>
                <w:lang w:bidi="ar"/>
              </w:rPr>
              <w:t xml:space="preserve">2.超详细的上课步骤引导，帮助老师拿到教程即可开展课程；</w:t>
            </w:r>
            <w:r>
              <w:rPr>
                <w:rFonts w:hint="eastAsia" w:ascii="等线" w:hAnsi="等线" w:eastAsia="等线" w:cs="等线"/>
                <w:color w:val="auto"/>
                <w:sz w:val="20"/>
                <w:highlight w:val="none"/>
                <w:lang w:bidi="ar"/>
              </w:rPr>
              <w:br w:type="textWrapping" w:clear="all"/>
            </w:r>
            <w:r>
              <w:rPr>
                <w:rFonts w:hint="eastAsia" w:ascii="等线" w:hAnsi="等线" w:eastAsia="等线" w:cs="等线"/>
                <w:color w:val="auto"/>
                <w:sz w:val="20"/>
                <w:highlight w:val="none"/>
                <w:lang w:bidi="ar"/>
              </w:rPr>
              <w:t xml:space="preserve">3.教学环节中设置多个问题引导，活跃课堂氛围；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教程内容：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第一章：竞技场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项目一 疯狂的赛车、项目二 极限接力、项目三 占点竞技、项目四 紧急救援；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第二章：开拓者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项目五 保卫萝卜、项目六 我的世界、项目七 蚂蚁森林、项目八 荒野求生；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第三章：职业体验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项目九 种地小能手、项目十 小小建筑工、项目十一 超级卖场、项目十二 唤醒城市的人；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第四章：模拟经营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项目十三 农场主-循环农业、项目十四 厂长-未来工厂、项目十五 店长-无人超市、项目十六 市长-智慧城市。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AI视觉小车套装学生用书</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 w:val="20"/>
                <w:highlight w:val="none"/>
                <w:lang w:bidi="ar"/>
              </w:rPr>
              <w:t xml:space="preserve">学生用书特点：</w:t>
            </w:r>
            <w:r>
              <w:rPr>
                <w:rFonts w:hint="eastAsia" w:ascii="等线" w:hAnsi="等线" w:eastAsia="等线" w:cs="等线"/>
                <w:color w:val="auto"/>
                <w:sz w:val="20"/>
                <w:highlight w:val="none"/>
                <w:lang w:bidi="ar"/>
              </w:rPr>
              <w:br w:type="textWrapping" w:clear="all"/>
            </w:r>
            <w:r>
              <w:rPr>
                <w:rFonts w:hint="eastAsia" w:ascii="等线" w:hAnsi="等线" w:eastAsia="等线" w:cs="等线"/>
                <w:color w:val="auto"/>
                <w:sz w:val="20"/>
                <w:highlight w:val="none"/>
                <w:lang w:bidi="ar"/>
              </w:rPr>
              <w:t xml:space="preserve">1.课程内容轻量化；</w:t>
            </w:r>
            <w:r>
              <w:rPr>
                <w:rFonts w:hint="eastAsia" w:ascii="等线" w:hAnsi="等线" w:eastAsia="等线" w:cs="等线"/>
                <w:color w:val="auto"/>
                <w:sz w:val="20"/>
                <w:highlight w:val="none"/>
                <w:lang w:bidi="ar"/>
              </w:rPr>
              <w:br w:type="textWrapping" w:clear="all"/>
            </w:r>
            <w:r>
              <w:rPr>
                <w:rFonts w:hint="eastAsia" w:ascii="等线" w:hAnsi="等线" w:eastAsia="等线" w:cs="等线"/>
                <w:color w:val="auto"/>
                <w:sz w:val="20"/>
                <w:highlight w:val="none"/>
                <w:lang w:bidi="ar"/>
              </w:rPr>
              <w:t xml:space="preserve">2.注重引导学生实现项目；</w:t>
            </w:r>
            <w:r>
              <w:rPr>
                <w:rFonts w:hint="eastAsia" w:ascii="等线" w:hAnsi="等线" w:eastAsia="等线" w:cs="等线"/>
                <w:color w:val="auto"/>
                <w:sz w:val="20"/>
                <w:highlight w:val="none"/>
                <w:lang w:bidi="ar"/>
              </w:rPr>
              <w:br w:type="textWrapping" w:clear="all"/>
            </w:r>
            <w:r>
              <w:rPr>
                <w:rFonts w:hint="eastAsia" w:ascii="等线" w:hAnsi="等线" w:eastAsia="等线" w:cs="等线"/>
                <w:color w:val="auto"/>
                <w:sz w:val="20"/>
                <w:highlight w:val="none"/>
                <w:lang w:bidi="ar"/>
              </w:rPr>
              <w:t xml:space="preserve">教程内容：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第一章：竞技场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项目一 疯狂的赛车、项目二 极限接力、项目三 占点竞技、项目四 紧急救援；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第二章：开拓者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项目五 保卫萝卜、项目六 我的世界、项目七 蚂蚁森林、项目八 荒野求生；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第三章：职业体验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项目九 种地小能手、项目十 小小建筑工、项目十一 超级卖场、项目十二 唤醒城市的人；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第四章：模拟经营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项目十三 农场主-循环农业、项目十四 厂长-未来工厂、项目十五 店长-无人超市、项目十六 市长-智慧城市。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AI视觉小车课程场景应用包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结合课程设计的配套产品，配合教程一起使用，丰富了课堂场景，快速点亮项目创意；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1、1本应用包使用手册，帮助学生快速上手；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2、2张双面印刷地图，打造四种场景布局；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3、8个</w:t>
            </w:r>
            <w:r>
              <w:rPr>
                <w:rFonts w:hint="eastAsia" w:ascii="等线" w:hAnsi="等线" w:eastAsia="等线" w:cs="等线"/>
                <w:color w:val="auto"/>
                <w:sz w:val="20"/>
                <w:highlight w:val="none"/>
                <w:lang w:bidi="ar"/>
              </w:rPr>
              <w:t xml:space="preserve">免编程电子模块</w:t>
            </w:r>
            <w:r>
              <w:rPr>
                <w:rFonts w:hint="eastAsia" w:ascii="宋体" w:hAnsi="宋体" w:cs="宋体"/>
                <w:color w:val="auto"/>
                <w:szCs w:val="21"/>
                <w:highlight w:val="none"/>
                <w:lang w:bidi="ar"/>
              </w:rPr>
              <w:t xml:space="preserve">，快速搭建出计数器、计时器等游戏装置；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4、36个磁力片，色彩多样、形状多变，搭建丰富装置；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5、多用途贴纸辅助实现二维码标记、物体识别等应用；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6、套件中包含：电子模块：按钮模块*1、光敏传感器*1、高亮LED*1、蜂鸣器*1、计数模块*1、时间持续模块*1、电源主板*1、阈值模块*1；其他：1m*1m地图*2 、磁力片*36、电池盒*1、贴纸若干、传感器线若干、小册子*1。</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AI视觉模块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一款简单易用、功能强大的 AI 视觉传感器，采用先进的AI加速芯片，内置机器学习技术，开机即可使用人脸识别、目标检测、物体分类、颜色识别、巡线追踪等多种功能，同时支持自训练模型；内置完整的 AI 开发与教学应用生态，无需外部计算机即可实现从数据采集到模型部署的全流程闭环；板载常规UART/I2C端口，</w:t>
            </w:r>
            <w:r>
              <w:rPr>
                <w:rFonts w:hint="eastAsia" w:ascii="等线" w:hAnsi="等线" w:eastAsia="等线" w:cs="等线"/>
                <w:color w:val="auto"/>
                <w:sz w:val="20"/>
                <w:highlight w:val="none"/>
                <w:lang w:bidi="ar"/>
              </w:rPr>
              <w:t xml:space="preserve">可以与主流控制器Arduino、ESP32、Raspberry Pi等开源硬件无缝连接。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一、核心硬件与算力：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①处理器架构：采用高性能双核处理器，主频不低于1.6GHz；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②专用AI算力：内置独立NPU，算力不少于 6TOPS，支持复杂神经网络的高效推理；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③存储配置：板载不少于1GB LPDDR4运行内存；支持外部扩展存储，标配不少于8GB存储空间，并配备专用TF卡槽；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④显示与交互：配备不小于2.4寸IPS全贴合电容触摸屏，分辨率不低于640×480，支持触控操作交互；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⑤图像采集：内置200万像素高清图像传感器，支持自动对焦，镜头规格为1/2.9"，最大帧率不少于 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⑥板载传感器及执行器：按键、电容硅麦克风、扬声器、RGB灯、补光灯；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二、视觉算法能力：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①基础识别功能：支持人脸检测/识别、物体识别（内置不少于 80 类）、颜色识别、巡线追踪、标签识别（支持 AprilTag 多种格式）、二维码及条形码识别；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②高阶感知算法：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姿态与骨骼：支持人体 17 个关键点和手掌 21 个关键点检测，支持手势识别与姿态识别；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行为检测：支持跌倒检测、注视方向检测、人脸朝向检测（输出俯仰/偏航/滚转角）；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深度感知：具备深度检测功能，支持通过不同颜色标注不同深度模板；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文本识别：支持 OCR 光学字符识别，可识别中英文字符；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③图像处理技术：支持实例分割（不少于 80 类轮廓标记）与物体分类（支持 1000 种固定类别分类）；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④高级应用支持：内置纯视觉自动驾驶方案，可直接输出转向与油门控制指令；。</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三、AI 训练与拓展应用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①端侧自学习：支持自学习分类功能，无需电脑即可在设备端通过按键实现物体特征采集与实时识别；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②自训练模型部署：支持用户自定义训练模型部署，涵盖目标检测、物体分类、实例分割等算法流；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③大模型联动：内置 MCP 服务，支持与大语言模型对接，赋予大模型物理世界感知与理解能力；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④实时图传：支持 USB 有线及 WiFi 6 无线实时图传，支持毫秒级延迟的图像压缩传输；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⑤教学模式：支持教师自定义模型列表，简化学生操作界面，满足分层教学需求；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⑥多媒体交互：内置照相机、录像机、相册功能，支持多角度素材采集与本地化回看；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⑦模型评分系统：具备模型测试评估功能，引导学生了解模型性能并掌握模型优化方法；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四、兼容性与常规规格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①主控兼容性：支持Arduino、ESP32、UNIHIKER、Raspberry Pi 等主流开源硬件平台；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②通讯接口：板载Type-C接口及4Pin I2C接口；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③扩展存储：1个TF卡槽；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④内置WiFi网卡：2.4GHz WiFi 6（插卡式）；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⑤工作电压：3.3-5V；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⑥功耗：1.5-3W；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⑦支持系统升级,可通过烧录镜像进行系统恢复和升级；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⑧支持摄像头模组更换，不同场景需求可更换不同焦距摄像头模组。</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AI视觉模块摄像头套装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专为视觉模块开发的多场景视觉扩展解决方案，通过模块化镜头更换技术，使传感器能够覆盖从微观观察到远距离监控、从超广角测绘到暗光环境侦测的全场景应用。套装解决了单一镜头在特定距离、光照及精度要求下的局限性，大幅拓展了视觉 AI 的应用边界；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模组清单：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①手动长焦变焦模组：有效焦距：5-50mm 连续可调；像素：1920*1080；视场角：短焦/长焦 D=58.7°/8.7° H=51.4°/7.6°V=29°/4.3°；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②手动变焦模组：有效焦距：2.8-12mm 连续可调；像素：1920*1080；视场角：短焦/长焦 D=124°/39° H=91°/31°V=67°/23°；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③显微摄像头模组：放大倍数：30 倍；有效焦距：6mm；视场角：6°；</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④无畸变广角模组：超大视场角(D)：118.8°；有效焦距：2.02mm；具备光学畸变校正特性；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⑤夜视摄像头模组：红外增强型；视场角(D)：91°；滤光片：850nm 双通；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①均统一采用 GC2093 CMOS 传感器，确保在更换镜头后，算法模型的识别稳定性与色彩还原度保持高度一致；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②均支持 1920×1080 (1080P) 全高清分辨率，提供高清晰度的图像采集能力，满足工程验证级的识别精度需求；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③均支持快速更换，无需复杂的软件重调即可在不同光学特性间切换。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中小学创新实践活动器材（入门版）</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一、主控：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（一）主控板1（数量≥1个）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1.微控制器：ATmega328（DIP封装）；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2.工作电压：3.3~5V；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3.输入电压：接上USB时无须外部供电或外部7V~12V DC输入；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4.输出电压：5V DC输出和3.3V DC输出；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5.支持USB接口协议及供电(不需外接电源)；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6.支持ISP下载功能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7.数字I/O端口：至少14（6个PWM输出口）；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8.模拟输入端口：至少6个；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（二）主控板2（数量≥1个）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1.处理器： Nordic Semiconductor nRF52833；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2.内存至少：512kB Flash, 128kB RAM；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3.接口：NXP KL27Z, 32kB RAM；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4.麦克风：MEMS麦克风和LED指示灯；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5.扬声器：板载扬声器；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6.Logo触摸：触摸感应Logo；</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7.边缘连接器：25Pin接口: 至少4个专用GPIO, PWM, I2C, SPI 和外部电源接口；至少3个环形口可连接鳄鱼夹，香蕉插头。有方便连接的凹口；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二、通信模块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（一）物联网模块（数量≥1个）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1.供电电压：3.3V~5.5 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2.接口类型：I2C、URAT；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3.无线模式：IEEE802.11b/g/n；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4.加密类型：WPA WPA2/WPA2–PSK；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5.无线频率：2.4GHz；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6.内置协议：TCP/IP 协议栈；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（二）红外线接收传感器（数量≥1个）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1.工作电压：3.3V~5.5 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2.调制频率：38KHz；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3.平面尺寸：≥25*20mm；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4.安装孔距：14mm；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5.接口类型：PH2.0-3；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6.信号类型：数字信号；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（三）遥控器（数量≥1个）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1.按键设置：至少21个按键（数字0-9、电源、音量等）；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2.电池类型：优质CR2025环保纽扣电池（容量达160mAh）；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3.发射频率：38KHz；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4.发射距离：≥8m；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5.有效角度：60度；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6.面贴材料：0.125mmPET（有效寿命至少2万次）；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7.工作电流：3-5uA（静态）/3-5mA（动态）；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三、扩展设备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（一）人工智能视觉传感器（数量≥1个）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1.像素：至少500万；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2.屏幕类型：≥2.0寸 TFT；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3.分辨率：≥320*240；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4.视角：≥170°；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5.面板：IPS；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6.背光：白光LED灯，亮度可调；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四、输入设备：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（一）数字大按钮模块（数量≥2个）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1.工作电压：3.3V到5V；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2.数据类型：数字；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（二）光线传感器（数量≥1个）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1.类型：模拟信号；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2.供电: 3.3-5VDC；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3.接口模式：PH2.0-3；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4.反应时间：≤15us；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5.感应的流明范围：1 Lux to 6000 Lux；</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（三）角度传感器（数量≥1个）；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2.输出类型：模拟信号；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3.接口模式：PH2.0-3p；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4.转动角度：300°；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（四）声音传感器（数量≥1个）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2.接口类型：模拟。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（五）土壤湿度传感器（数量≥1个）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1.供电电压：3.3V 或5V；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（六）温湿度传感器（数量≥1个）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1.供电电压：3.3到5V；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2.接口类型：数字；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3.温度范围：0-50℃ 误差±2℃；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4.湿度范围：20-90%RH 误差±5%RH；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（七）超声波传感器（数量≥1个）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1.供电电压：3.3~5.5V 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2.最大瞬时工作电流：&lt;20mA；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3.工作温度范围：-10℃～＋70℃；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4.有效测距量程：2cm～500cm；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（八）晃动传感器（数量≥1个）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1.输入电压：3.3V~5.0V；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2.开关寿命：20万次以上；</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3.接口类型：Gravity 3P数字接口；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（九）运动传感器（数量≥1个）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1.输入电压：3.3~5V，最大6V；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2.工作电流：15uA；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3.工作温度：-20~85℃；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4.输出电压：高电平3V，低电平0V；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（十）烟雾传感器（数量≥1个）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1.具有输出调节电位器：顺时针调节大，逆时针调节小；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2.传感器类型：模拟；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（十一）TDS传感器（数量≥1个）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1.输入电压：3.3~5.5V；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2.输出信号：0~2.3V；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3.工作电流： 3~6mA；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4.TDS测量范围：0~1000ppm；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5.TDS测量精度：±10% F.S.（25℃）；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五、输出设备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（二）LED模块（数量≥2个）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1.电源要求:+3.3-5V；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2.类型:数字模式；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3.接口模式:pH2.0-3；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（二）离合舵机（数量≥1个）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1.工作电压范围：4.8-6V 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2.静态电流：≤8mA at 6.0V；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（三）减速电机（数量≥2个）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1.齿轮齿数比：120:1；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2.无负载转速(6V)：160rpm；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3.无负载转速(3V)：90rpm；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（四）灯带（数量≥1个）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1.芯片：WS2812b；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2.输入电压：3.3V~5V；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3.接口：PH2.0-3P；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（五）显示屏（数量≥1个）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1.工作电压：3.3V~5V；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2.显示颜色：蓝色；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3.像素个数：至少128列*64行；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4.接口方式：Gravity-I2C；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（六）双路电机驱动模块（数量≥1个）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1.输出电流：1.2A单通道连续驱动电流；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2.启动/峰值电流：2A(连续脉冲)/ 3.2A(单脉冲)；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3.输入电压：12V（峰值）；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（七）电机驱动扩展板*1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1.兼容 UNO R3、Leonardo、Mega等控制器，具备完整端口；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扩展功能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六、配件：轮子*2、支撑轮*1、传感器线若干、数据线若干、螺丝刀*1、胶枪*1。</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中小学创新实践活动器材（提升版）</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一、主控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（一）主控板1（数量≥1个）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1.微控制器：ATmega2560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2.工作电压：5V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3.输入电压(VIN)：3-16V(20Vmax)；</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4.数字 I/O串口：54 (of which 15 provide PWM output)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5.模拟输入串口：16 I/O；</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（二）主控板1（数量≥1个）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1.CPU需采用单板计算机架构的芯片，主频不低于1.2GHz、核数不低于4核，板载内存不低于512MB的DDR3内存或同等性能及以上技术，存储容量不低于16GB的eMMC存储，出厂预装Linux系统，支持python2和python3；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2.需支持多种编程方式：图形化编程、Jupyter编程、Thonny编程、SSH远程访问、VScode编程等；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3.需支持预装常用Python库，如NumPy、Pandas、Matplotlib等库；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4.需支持离线运行程序、还可存储多个程序；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5.需支持蓝牙4.0及WiFi 2.4G；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6.需板载彩色显示屏，分辨率≥240*320、2个可编程功能按键、麦克风传感器、光线传感器、加速度传感器、蜂鸣器等模块；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7.需配备USB Type-C、USB TypeA接口（可拓展USB外设）、microSD卡接口，板载至少6路传感器拓展接口（支持2路IIC，支持3路PWM其中2路ADC），19路金手指IO接口（支持I2C、UART、SPI、ADC、PWM）；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8.需支持Type-C 5V供电，工作电压3.3V；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二、.通信模块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（一）物联网模块（数量≥1个）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1.供电电压：3.3V~5.5 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2.接口类型：I2C、URAT；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3.无线模式：IEEE802.11b/g/n；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4.加密类型：WPA WPA2/WPA2–PSK；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5.无线频率：2.4GHz；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6.内置协议：TCP/IP 协议；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（二）NFC 通信模块（数量≥1个）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1.主芯片：NXP PN532；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2.供电电压：3.3V ~ 5.5V；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3.通信接口：Gravity I2C &amp; UART复合；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4.串口波特率：115200 bps；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5.I2C地址：0x48；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6.通信频率：13.56MHz；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7.最大通信距离：不低于10mm，实际视标签大小而定；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8.支持协议；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（三）蓝牙通信模块（含蓝牙适配器）（数量≥1个）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1.蓝牙芯片： TI CC2540；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2.工作频率：2.4GHz；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3.数据速率-最大值：1Mbps GFSK；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4.调制或协议：蓝牙低功耗，V4.0；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5.灵敏度：-93dBm；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三、人工智能模块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（一）语音识别模块（数量≥1个）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2.最大工作电流：≤370 mA(5V)；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3.通信方式：I2C/UART；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4.I2C地址：0x64；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5.固定命令词：≥135条；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6.固定唤醒词：≥1条；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7.学习命令词：≥17条；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8.学习唤醒词：≥1条；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（二）语音合成模块（数量≥1个）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1.供电电压：3.3V~5V；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2.工作电流：160mA；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3.I2C地址：0x40；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4.工作温度范围：-40℃~85℃；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四、输入设备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（一）模拟按键模块（数量≥1个）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1.工作电压：控制器工作电压；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2.数据类型：模拟信号；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（二）紫外线传感器（数量≥1个）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1.工作电压：DC 3.3V~5V；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2.工作电流：2.73mA左右（设置采集18位数据和采集时间100ms）；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3.通讯接口：I2C/UART；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（三）颜色识别传感器（数量≥1个）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2.工作电流：65uA；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3.检测距离：3-10mm；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4.时钟频率：0-400KHZ；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（四）红外避障传感器（数量≥1个）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1.工作电压：5V 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2.电流：&lt;100mA；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3.推荐工作距离: 10~80cm；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（五）手势传感器（数量≥1个）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1.工作电压：3.3V~5.5 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2.工作电流值：3.5mA；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3.工作温度范围：-40℃~85℃；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4.有效识别距离：30mm-200mm；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（六）分贝计（数量≥1个）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1.测量范围：30dBA~130dBA；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2.测量误差： ±1.5dB；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3.频率加权：A加权；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4.频率响应：31.5Hz~8.5KHz；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5.时间特性：125ms；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6.输入电压：3.3~5.0V；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（七）6轴惯性运动传感器（数量≥1个）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1.工作电压：3.2V~6V；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2.电流消耗：&lt;1mA；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3.接口方式：Gravity-IIC接口；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4.加速度可选标尺：±2g/±4g/±8g/±16g；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5.陀螺仪可选标尺：±125°/s  ±250°/s  ±500°/s  ±1000°/s  ±2000°/s；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6.加速度计零点漂移:±40mg；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（八）空气质量传感器（数量≥1个）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1.供电电压：3.3V~5V；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2.工作电流：29mA；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3.通讯方式：I2C；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4.工作温度范围：-40℃~85℃；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5.工作湿度范围：5%RH~95%RH；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（九）浊度传感器（数量≥1个）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1.工作电压：5VDC；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2.工作电流：40mA (MAX)；</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3.响应时间：&lt;500ms；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（十）USB摄像头（数量≥1个）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1.感光元件类型：CMOS；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2.AGC / AEC /白平衡：自动；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3.红外滤镜：650±10nm；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4.支持压缩格式：MJPG，YUV；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5.固定图案噪声：&lt; 0.03% of VPEAK-TO-PEAK；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6.模块接口：USB2.0；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五、输出设备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（一）LED灯（数量≥3个）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1.输入电压: 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2.主发光波长: ≥ 515~530nm；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（二）灯环（数量≥1个）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1.工作电压：3.3~5V；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2.最大工作电流：&lt;100mA；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3.灯珠数量：12；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（三）9g离合舵机（数量≥1个）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1.工作电压范围：4.8-6V 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2.静态电流：≤8mA at 6.0V；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3.空载电流：≤50mA at 4.8V；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≤60mA at6.0V；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4.堵转电流：≤550mA at 4.8V；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≤650mA at 6.0V；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5.额定扭矩：≥0.32kgf·cm at 4.8V；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≤0.4kgf·cm at 6.0V；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6.堵转扭矩：≥1.0kgf·cm at4.8V；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≤1.2kgf·cm at6.0V；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7.操作角度：180°±10°；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（四）水泵（数量≥1个）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1.供电电压：DC3-6V；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2.电流：150~370mA；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3.扬程：25-45cm；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4.流量：80-100L/H；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（五）风扇（数量≥1个）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 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（六）继电器（数量≥1个）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1.控制信号：TTL电平，高电平通；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2.触点方式：1H，1Z；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3.额定负载：10A 250VAC/10A 24VDC；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4.最大开关电压：250VAC/30VDC；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5.最大开关功率：250VA/210W；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（七）喇叭（数量≥1个）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1.工作电压：2.0~5.5V；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2.接口类型：数字；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六、配件：传感器线若干、公公头杜邦线、母母头杜邦线、数据线若干、电池盒、18650锂电池、18650电池座。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加热台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面板类型：航空铝材发热面板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加热尺寸：100-100mm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温度范围：室温内最高400摄氏度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电源电压：220V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整机功率：350W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外形尺寸：120-120-126mm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主机重量：920g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焊台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输出功率：80W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输入电压：220V-50HZ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温度范围：100-480摄氏度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控制方式：按键温控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温度显示：LED数显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休眠模式：自动休眠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温度设置：快捷式样3档可调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外形体积：148-122-95mm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主机重量：1130g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示波器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最高测试电压：1X：40V；10X：400V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通道数：2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光标类型：水平X，水平Y，触发Y</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屏幕尺寸：7寸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滚动模式：支持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一键AUTO：支持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屏幕分辨率：800*480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显示工艺：TFT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波形储存：1000张截屏+1000组波形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模拟宽带：100MHz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波形管理器：支持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最大采样率：1GS/s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电压精度：±5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上升时间&lt;3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频率精度：±0.01%高精度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测量参数：共12种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存储深度：240Kbit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输入阻抗：1MΩ</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垂直灵敏度：50mV-500V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截波输出器：支持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触发模式：单次/正常/自动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供电要求：5V-2A/3A/4A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耦合方式：AC/DC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机身尺寸：310-145-70mm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电子维修显微镜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光源：8颗LED灯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调焦范围：10-40mm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支持系统：windows/MacOS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内显示屏：5.5寸高清LCD显示屏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放大倍数：1-1000倍连续放大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物距：10mm-无限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视频格式：AVI</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录像分辨率：50HZ/60HZ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照片格式：JDG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照片分辨率：1M、2M、3M、5M、6M、8M、10M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对焦模式：手动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面包板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尺寸：165x55x10mm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一个端子条：630个插孔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重量：89g/个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内置：磷青铜镀镍弹簧夹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匹配跳线，线径0.8mm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外形材料：ABS</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杜邦线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种类：公对公</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电流:1A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电压:3KV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功能:各类线路板的调试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长度:10cm(其它长度可定制)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材质:内芯镀锡铜丝外被高韧性软硅胶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外被颜色:黑、红、白、黄、橙、绿、蓝、紫、灰、棕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包装尺寸:178*70mm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包装重量:10cm8.4g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技术教室3（机器人与人工智能室）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置物架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1、参考尺寸：1500*500*2000mm；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框架：采用≥30mm*30mm*1.2mm厚方管钢架，表面经脱脂、磷化、水洗、烘干工艺处理，耐腐蚀、防锈；钢架采用拆装做法，便于运输与安装；2.层板≥1.2mm厚镀锌钢板裁剪折弯后满焊点焊接，表面经EPOXY喷涂处理，连接件采用不锈钢连接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3、调整脚：采用ABS新料模具一体成型的承重型可调节地脚，螺丝06CR19NI10不锈钢材质。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参数：铝合金框架规格：前侧腿≥25×35×1.2㎜，后侧腿≥35×35×1.2㎜，基材采用≥16mm厚E1级三聚氰胺板制作,其它部位采用≥1.5mm厚塑制封边条机械封边。上部为板式对开门边框，内嵌≥4mm厚玻璃，柜身内设≥25mm厚隔板二层。下部为板式对开门，内设≥25mm厚隔板一层。</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1、参考尺寸：2400*1200*850mm；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3、台面参数：≥25mmAA级橡胶木实木指接板；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下设有柜门及抽屉多组。采用16mm厚E1级三聚氰胺板加工制作，1.5mm厚塑制封边条机械封边,专用连接件连接。隐藏式一字拉手，三节滑轨及铰链，所有开孔部位均采用专业磨具成型的配件封堵，不可将板材断面直接裸露在外。所有板材加工截面必须封边，避免甲醛随意释放，确保达到环保标准。实验台下裙条（≥78mm）采用铝合金模具成型，内镶嵌板材16mm厚三聚氰胺板，增加强度，板材距地不低于20mm，防水耐用（含插座两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置物架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1、参考尺寸：1500*500*2000mm；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框架：采用≥30mm*30mm*1.2mm厚方管钢架，表面经脱脂、磷化、水洗、烘干工艺处理，耐腐蚀、防锈；钢架采用拆装做法，便于运输与安装；2.层板≥1.2mm厚镀锌钢板裁剪折弯后满焊点焊接，表面经EPOXY喷涂处理，连接件采用不锈钢连接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3、调整脚：采用ABS新料模具一体成型的承重型可调节地脚，螺丝06CR19NI10不锈钢材质。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教具储藏室2</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参数：铝合金框架规格：前侧腿≥25×35×1.2㎜，后侧腿≥35×35×1.2㎜，基材采用≥16mm厚E1级三聚氰胺板制作,其它部位采用≥1.5mm厚塑制封边条机械封边。上部为板式对开门边框，内嵌≥4mm厚玻璃，柜身内设≥25mm厚隔板二层。下部为板式对开门，内设≥25mm厚隔板一层。</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教具储藏室2</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操作边台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1、参考尺寸：2000*600*800mm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2、台面参数：≥25mmAA级橡胶木实木指接板；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3、台身参数：采用16mm厚E1级三聚氰胺环保饰面板制作，不低于1.5mm厚封边条机械封边。柜体设板式对开门多组，内设隔板一层。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教具储藏室2</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教具储藏室2</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1、参考尺寸：主台：1500*600*750mm，副台：1500*500*620mm;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1、参考尺寸：660*590*1040mm；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2、黑色尼龙脚；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3、黑色尼龙轮；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4、黑色气杆；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5、2.5mm加厚蝴蝶底盘，可逍遥和原位锁定;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6、固定腰靠，黑色PP玻纤背框和扶手；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7、42mm密度中软高弹力切割海绵;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8、弹力座布，透气背网饰面。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排练椅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1、参考尺寸：585*547*825mm；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2、胶壳：材质采用PP加纤材质，环保不褪色，抗裂性强。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3、椅架：采用32*18*1.5mm厚冷锻方圆钢管，220度高温静电喷涂，处理精细光滑、牢固抗冲击不变形。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4、座垫：定型海棉，弹力布面料，回弹好，坐感舒适；底座铝合金件固定连接。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5、固定防滑脚垫。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6、功能：座包翻起可连排堆叠，椅架可全折叠、节省收纳空间，拆箱即用.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1、参考尺寸：2000*500*800mm；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1、参考尺寸：480*360*930-1700mm；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2、接头加粗直接铆接，粗大接头、加厚把手，双螺栓锁紧，主管直接达到3.5cm。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3、双轮片结构加粗底座，橡胶加厚保护垫，防滑、增大摩擦力保护地板。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舞蹈把杆</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2、水曲柳木直径低于120mm，内穿15mm软钢。升降式，三米一组（包含两个铸铁底座）。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墙镜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镜面厚度不低于9mm,含不锈钢边框。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1、布艺窗帘，纯色全遮光吸音窗帘，含罗马杆及辅件等；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2、褶皱系数 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无感麦克风</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1.高精密咪头，高精度分离式线路；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2.咪头具有全向等指向特性，高灵敏度拾音；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3.频响宽，失真小，动态范围大；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4.灵敏度衰减开关，应对大动态拾音场合；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5.低功耗，使用时间更持久。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参数说明：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1.麦克风尺寸：32.5×24×49mm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2.麦克风重量：21g *2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3.电池容量：200mAh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4.充电时间：&lt;2H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5.充电输入接口:TYPE-C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6.关机功耗:仓内&lt;20uA，仓外200uA</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声匀智慧终端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1.壁挂式安装，设备收放自如；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2.双话筒、线路输入、输出，学生、老师高效双向沟通；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3.带蓝牙无线连接、AUX接口，更方便快捷的连接方式，可直接同步电脑、手机音频，播放WMA、MP3、MP4等格式音频；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4.NFC卡片解锁，设备安全防护；</w:t>
            </w:r>
            <w:r/>
          </w:p>
          <w:p>
            <w:pPr>
              <w:numPr>
                <w:ilvl w:val="0"/>
                <w:numId w:val="12"/>
              </w:num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设备即放即充，快速充电；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6.多EQ选择，适应不同教学环境。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参数说明：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1.终端机尺寸：148.5*109.5*43.5mm；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2.终端机重量：267g；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3.音频输出接口：Aux、RCA接口；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4.充电电压：5V；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5.充电电流：&lt; 500mA；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6.实时抑制功能：内置DSP数字信号处理算法,实时抑制环境噪音实时抑制环境噪音与设备啸叫,还原人声真实质感,降低教学声污染,尤其适合多设备共存的复杂环境</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7.同步功能：带蓝牙无线连接、AUX接口,更方便快捷的连接方式,可直接同步电脑、手机音频,播放WMA、MP3、MP4等格式音频;防止学生误操作或盗用,保障教学秩序;后台可配置多用户权限,支持分级管理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空间阵列模组主音箱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1.多点M8吊挂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2.金属防护网，6mm圆形透声孔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3.可280°调节音响角度，适应不同安装环境；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1.扬声器单音箱额定功率：20W；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2.扬声器总功率：80W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3.喇叭额定阻抗：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4.特性灵敏度：1.6KHZ（0 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5.输出声压级：1M 1W  88d；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6.额定频率范围:20HZ~20KHZ；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7.音频频率响应范围：20HZ~20KHZ；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8.覆盖角度H×V：135°；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9.扬声器单元：2*4；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10扬声器尺寸:148.5*109.5*43.5mm；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11.扬声器主机：1868g；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12.扬声器副机：1800g * 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13.音频输入接口：RCA接口；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14.声源同步功能：智慧终端组合音响可对接领夹麦克风组成无感扩声系统,通过智慧终端内置的DSP抑制算法芯片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15.灵活教学适配功能：针对不同教学场景(普通教室、阶梯教室、礼堂)配备不同教学系统(1拖4、1拖8),给客户多种选择</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空间阵列模组辅音箱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1.多点M8吊挂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2.金属防护网，6mm圆形透声孔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可280°调节音响角度，适应不同安装环境。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1.辅助扬声器总功率：20W*3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2.喇叭额定阻抗：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3.特性灵敏度：1.6KHZ（0 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4.输出声压级：1M 1W  88d；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5.额定频率范围:20HZ~20KHZ；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6.音频频率响应范围：20HZ~20KHZ；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7.覆盖角度H×V：135°；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8.扬声器单元：2*4；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9.扬声器尺寸:148.5*109.5*43.5mm；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10.扬声器主机：1868g；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11.扬声器副机：1800g * 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12.音频输入接口：RCA接口；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节拍器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1.节拍速度：40-208拍/分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2.拍子型：0、2、3、4、6五种选择。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3.节拍音色：机械声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4.尺寸：110*110*220mm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5.颜色：黒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6.结构：金属大机芯。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常见问题:注意事项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（1）放置在水平表明使用节拍器；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（2）如果摆杆停止时不垂直，不要强行将他回复到中间位置，请再上一点发条，然后启动；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（3）节拍器使用完后，请将摆杆放回上方的勾中，盖上盖子；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（4）不要在潮湿或多露的地方使用或放置节拍器，以免功能受影响；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（5）清洁节拍器时，请用干的柔软的布清洁，不要使用挥发性的化学物品，以免损坏节拍器；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（6）不要拆卸节拍器部件，如重量滑块，摆杆等。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校音项目：十二平均律，吉他，贝斯，小提琴，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尤克里里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校音范围：A(27.5Hz)-C(4186.0Hz)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A4范围：430-450Hz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隆半调：b,bp,bbb,pp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校音精度：±1音分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显示方式：LCD显示屏，LED指示灯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拾音方式：麦克风，外接拾音器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校音模式：自动，手动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定音范围：十二平均律（2A-6A）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吉他(6E 5A 4D 3G 2B 1E)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贝斯(LB4E 3A 2D1GHC)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小提琴（4G 3D 2A 1E）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尤克里里（4G 3C 2E 1A）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定音精度：±0.5音分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节拍：0~9</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节奏型：..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速度范围：30-250bpm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节拍音：电子音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节拍误差：±0.3%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电源：3V(2XAAA)电池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体积：105（W)×18（D)×65（H)mm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重量：75g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加厚环保塑料，防止乐谱过厚导致自动翻页，尺寸（±5mm):长15cm*最宽处5cm。手工测量可能会有误差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立式钢琴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1、立式钢琴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2、外观尺寸 长≥149cm，宽≥60cm，高≥119cm；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3、五金件 钢琴外观可见的五金件采用银色不易氧化的金属；顶盖铰链有加强筋的结构，能更稳定安全支撑顶盖。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4、外壳 哑光黑色，采用新型环保材料。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6、下门 采用下门边框装配结构，使下门板开合时避免与琴腿碰撞。</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8、铁板工艺 翻砂工艺铸铁板。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9、铁板高度 ≥109.5cm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10、琴弦 圆形弦（截面为正圆形），镀锡防锈钢线；最大有效弦长不少于118cm，30#音有效弦长不小于94cm。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11、音板 采用寒带地区缓慢生长的鱼鳞松制作的实木音板；音板须有防开裂防变形的特殊工艺或结构。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12、肋木 使用与音板相同材质木材，数量不少于10根。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13、弦轴板 由15-17层坚硬的榉木交错压榨制成。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14、弦码 采用多层榉木制作。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15、背柱 实木制作，五背柱设计，且背柱截面尺寸≥80*70mm；背柱整体严密牢固，无明显缝隙或粘贴痕迹。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17、中盘 使用稳定不易变形的木材制作而成。除螺丝外中盘上面不加装任何金属加固或金属链接结构。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18、弦槌 要求用纯羊毛毡及鹅耳枥木制作。弦槌木芯采用数控设备成形，加以铆钉夹具装配，使弦槌整体更牢固。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19、击弦机部件 转击器、联动杆、制音杆要求使用鹅耳枥木制作；鹅耳枥木实木（非多层）制作的调节档，不得有金属包裹；使用ABS或碳纤维材质的顶杆，顶杆轴架的粘合面底部增加藏胶槽，使组件装配更稳固，增加粘连的稳定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排练室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化妆台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1、参考尺寸：1000*400*1600mm；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3、产品参数：框架采用冷轧钢方管，整体焊接而成，表面采用静电喷涂工艺，长时间使用也不会产生表面漆剥落现象；双抽屉设计，增加储物空间，配圆环拉手，简洁耐用；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高清水银磨边镜片，照人清晰好看，四周磨边不划手；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5W灯泡，亮度好，灯泡灯座无缝衔接，安全不漏电；</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化妆室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坐椅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1、参考尺寸：360*260*420mm；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3、产品参数：凳面采用≥300×260×25mm实木板加工制作，自然的木色，温暖而柔和；框架采用冷轧钢，尺寸为≥30×30mm方管，整体焊接而成，表面采用静电喷涂工艺，长时间使用也不会产生表面漆剥落现象；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化妆室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木质：1000×350×370mm±10mm。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软垫：≥1000×350×35-40mm。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2、柜体参数：凳体采用≥16mm厚E0级三聚氰胺环保饰面板加工制作，不低于1.5mm厚塑制封边条机械封边；产品采用全开放式多层储物，拿取便捷，分类明确；凳面面软包采用高密度记忆回弹海绵，外包棉质布料。</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化妆室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柜体参数：柜体采用≥16mm厚E1级三聚氰胺环保饰面板加工制作，不低于1.5mm厚塑制封边条机械封边；柜体组合柜造型，单柜科学结构划分，一键搞定所有收纳，柜门板采用橘黄色与暖白色作套色处理，柜门开有通风透气孔，增加空气流通，防霉防臭。</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化妆室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演出服陈列柜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3、产品参数：顶板采用≥25mm，其他采用≥16mm三聚氰胺环保饰面板加工制作，不低于1.5mm厚塑制封边条机械封边，自然的木色，温暖而柔和；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柜体下部储物收纳为主，采用免拉手设计，柜门配置缓冲铰链，门板上方采用45°斜切角整体 ，距离台面三公分放手，内部做封板，视觉上干净利落、极简大气；储物柜内设活动可调层板，采用金属层板销支撑，配合预设调节孔位；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柜体中部采用铝合金玻璃对开门，柜门配置缓冲铰链，内部设挂衣杆，用于陈列收纳演出服；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柜体上部储物收纳为主，柜门配置缓冲铰链，门板底部切梯形孔工艺，免拉手设计；成品质量结构稳固，组装严密，无松动、变形或异常声响。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化妆室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道具陈列柜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1、参考尺寸：900*500*2200m；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3、产品参数：顶板采用≥25mm，其他采用≥16mm三聚氰胺环保饰面板加工制作，不低于1.5mm厚塑制封边条机械封边，自然的木色，温暖而柔和；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柜体下部储物收纳为主，采用免拉手设计，柜门配置缓冲铰链，门板上方采用45°斜切角整体 ，距离台面三公分放手，内部做封板，视觉上干净利落、极简大气；储物柜内设活动可调层板，采用金属层板销支撑，配合预设调节孔位；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柜体中部采用铝合金玻璃对开门，柜门配置缓冲铰链，内部采用全开放式多层，设活动可调层板，采用金属层板销支撑，配合预设调节孔位；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柜体上部储物收纳为主，柜门配置缓冲铰链，门板底部切梯形孔工艺，免拉手设计；成品质量结构稳固，组装严密，无松动、变形或异常声响。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化妆室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水池</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1、参考尺寸：800**600*800mm；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2、台面一体化陶瓷盆；台身≥16mm厚E1级三聚氰胺环保饰面板加工制作，不低于1.5mm厚塑制封边条机械封边；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3、≥5升方形小厨宝，及安装布线。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化妆室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1、布艺窗帘，纯色全遮光吸音窗帘，含罗马杆及辅件等；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2、褶皱系数 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化妆室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1、参考尺寸：3000*700*850mm；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3、台面参数：25mmAA级橡胶木实木指接板，表面涂环保清漆。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4、台身参数：主体材质：采用16mm厚E1级三聚氰胺环保饰面板制作。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功能配置：配备柜门、抽屉及键盘位。预留总控电源位置和多媒体设备（如显示器、主机、实物展台等）专用存储空间。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特殊结构-下裙条： 下裙条高度≥78mm，采用高强度铝合金模具成型，内嵌16mm厚生态免漆板增强支撑。底部设计板材距地≥20mm，有效防水防潮，经久耐用。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5、五金件：采用铝合金一字隐藏式拉手、阻尼铰链、五金轨道（三节滑轨）。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精密封边： 所有板材加工截面均采用1.5mm厚塑制封边条，通过机械设备进行精密封边处理。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孔位处理： 所有开孔部位均使用专业模具成型的配件进行封堵，确保美观与耐用。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学生桌</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1、参考尺寸：2000*1000*780mm；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材质：25mm厚橡胶木指接板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表面：环保清漆处理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特殊要求：防霉等级0级（需提供GB 18584-2001检测报告）</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框架：≥50×50×1.2mm（立腿）、≥30×30×1.2mm（横梁）矩形管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书斗/抽屉：16mm厚E1级生态免漆板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功能分区：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工具存储区：配洞洞板、强磁工具挂条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电器材料存储区：配0.8mm厚钢板收纳盒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下部区域：两边各配一组学生交直流多用电源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侧板：两端配木质工具架及零件小盒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金属框架：激光下料、CNC折弯、CO</w:t>
            </w:r>
            <w:r>
              <w:rPr>
                <w:rFonts w:ascii="Arial Unicode MS" w:hAnsi="Arial Unicode MS" w:eastAsia="Arial Unicode MS" w:cs="Arial Unicode MS"/>
                <w:color w:val="auto"/>
                <w:szCs w:val="21"/>
                <w:highlight w:val="none"/>
                <w:lang w:bidi="ar"/>
              </w:rPr>
              <w:t xml:space="preserve">₂</w:t>
            </w:r>
            <w:r>
              <w:rPr>
                <w:rFonts w:hint="eastAsia" w:ascii="宋体" w:hAnsi="宋体" w:cs="宋体"/>
                <w:color w:val="auto"/>
                <w:szCs w:val="21"/>
                <w:highlight w:val="none"/>
                <w:lang w:bidi="ar"/>
              </w:rPr>
              <w:t xml:space="preserve">/氩弧焊（满焊打磨）、除油磷化、环氧树脂静电粉末喷涂（≥70μm）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板材加工：所有截面1.5mm塑封边条机械封边，开孔处专业模具配件封堵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升降装置：高品质静音双推杆电机，低压开关电源+同步器控制（遥控/线控双功能）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钢板材质：0.8mm厚SPCC一级冷轧钢板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中控</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1、参考尺寸：110*75mm；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2、控制教室内学生升降桌的升降。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学生台嵌入式分机电源终端</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1，ABS塑制桌面镶嵌结构,PC材质触摸面板。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2,可自行设置地址无限频率信道防止与学校网络冲突。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3，可自己分组，液晶显示低压交直流电压及汉字显示工作过载，触摸按键调节。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4，交直流低压输出三种模式：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（1）在教师控制最高电压以下调节。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（2）教师控制电压不可调节。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（3）教师解除控制自行任意调节。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5，直流稳压低压输出范围【0—24V】精度0.1V,电流2A自动过载手动复位液晶汉字显示,自行调节电压时触摸按键升降输入电压值。                                    6，交流低压稳压输出范围【0—24V】精度0.1V,电流2A自动过载手动复位液晶汉字显示,自行调节电压时触摸按键升降输入电压值。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7，当输入电压在198v-242v间变化，在额定电流输出时低压交流电压变化量≤(2%U标 +0.1)V。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8，预留扩展接口可镶装双五孔220V插座模块。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9，usb、Type-c充电插口、网口输出、电源运行故障指示灯。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10，学生壳体面板（塑铜结构，阻燃PC+ABS材质，燃烧性能等级不低于B2,垂直燃烧性能不低于V-1级，瓷白高光。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交流二、三孔插座，10A,220V。</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1、参考尺寸：Φ340×470-690mm；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2、可轻松调节至5种高度--470、530、580、640、690mm，桌腿可调节,即使地面不平也能平稳站立。下方的金属环可用作脚凳。承重:110公斤，座直径:≥340mm，宽度:≥360mm,深度:≥360mm；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3、最小座高:470mm最大座高:690mm，座:成型桉树胶合板,成型桦木胶合板,丙烯酸清漆星形底座轴/星形底座支腿/垫圈:钢环氧/聚醋粉末涂层顶部退柱:钢,有色粉涂层套管:乙缩醛塑料。</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作品展示柜1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1、参考尺寸：1500*400*2000mm；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3、台身：采用16mmE1级三聚氰胺环保饰面板加工制作，不低于1.5mm厚塑制封边条机械封边，柜体下部板式对开门，内设隔板一层，上部多隔板组合造型展示作品。</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作品展示柜2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1、参考尺寸：1800*400*2000mm；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3、台身：采用16mmE1级三聚氰胺环保饰面板加工制作，不低于1.5mm厚塑制封边条机械封边，柜体下部板式对开门，内设隔板一层，上部多隔板组合造型展示作品。</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储存边台一</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1、参考尺寸：8000*600*800mm；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2、台面：25mmAA级橡胶木实木指接板，表面涂环保清漆；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4、柜体：采用16mmE1级三聚氰胺环保饰面板加工制作，不低于1.5mm厚塑制封边条机械封边，柜体下部板式对开门，内设隔板一层。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储存边台二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1、参考尺寸：3900*600*800mm；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2、台面：25mmAA级橡胶木实木指接板，表面涂环保清漆；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4、柜体：采用16mmE1级三聚氰胺环保饰面板加工制作，不低于1.5mm厚塑制封边条机械封边，柜体下部板式对开门，内设隔板一层。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储存边台三</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1、参考尺寸：5650*600*800mm；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2、台面：25mmAA级橡胶木实木指接板，表面涂环保清漆；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4、柜体：采用16mmE1级三聚氰胺环保饰面板加工制作，不低于1.5mm厚塑制封边条机械封边，柜体下部板式对开门，内设隔板一层。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储存边台四</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1、参考尺寸：4500*700*800mm；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2、台面：25mmAA级橡胶木实木指接板，表面涂环保清漆；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4、柜体：采用16mmE1级三聚氰胺环保饰面板加工制作，不低于1.5mm厚塑制封边条机械封边，柜体下部板式对开门，内设隔板一层。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工具挂板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1、参考尺寸：4500*1200mm；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2、采用≥1.5mm厚冷轧钢板，表面采用高温粉体烤漆，耐腐蚀，不易生锈。挂钩样式及数量可以选择调整。安装方式墙上打孔后，用螺丝固定。（含配套挂钩）</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展示层板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1、参考尺寸：4500*200mm；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2、厚度不小于20mm实木多层板，满足教学展示需求。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储存吊柜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1、参考尺寸：5650*300*400mm；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3、柜体：采用16mmE1级三聚氰胺环保饰面板加工制作，不低于1.5mm厚塑制封边条机械封边，柜体配移门加隔板造型设计。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室内地上布线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地上采用铝塑护套管，内穿塑铜线，有效固定。按国标施工。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羊角锤</w:t>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约0.5kg，锤头材质为45号钢锻打，羊角端部张开≥6mm，木质或橡胶手柄。</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总长：≥510mm，齿长≥440mm，重量≥580g，框架式，木材表面光滑，橡木材质，表面涂清漆。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手板锯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总长：≥490mm，锯齿≥440mm，刃口宽度为≥25mm,手柄宽度为≥100mm，头部具有挂孔。适用于切割木板，树枝，塑料管等。</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拔料器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长100mm～140mm，带1mm、1.25mm、1.3mm等不同槽口。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曲线锯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总长：≥570mm，锯条长：≥500mm，喉深：≥160mm，重量：≥235g，竹弓用料宽不小于20mm，厚不小于10mm，钢丝锯两端用钩固定，防滑把手。</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钢手锯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锯身总长≥450mm，行业规格标称值：300mm，可夹持锯条规格：≥300mm，金属钢锯架且金属手柄。</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三倍快速锯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锯片长≥180mm,锯片厚度≥0.5mm。</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整形锉</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材质为硬度高柔性好的轴承钢淬火制作，双色手柄工业级，10件套，行业规格标称值：≥5mm×180mm，总长≥180mm。</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木锉</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全长：≥200mm，碳钢材质，扁木锉、半圆木锉、圆木锉。</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有柄平口凿5件套，凿口宽度 6mm、10mm、12.5mm、16mm、19mm。</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木工手压平刨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中刨，刨身长≥250mm，优质耐磨的柞木、檀木、红木等硬木制成，含刨刀。</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钢锉</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全长：≥200mm，碳钢材质，黄黑双色胶柄。4件套，中齿平锉，半圆锉，圆锉，三角锉，每10mm锉纹条数约30条，齿高应不小于法向齿距的35%，硬度62HRC以上</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圆板牙架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M30</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钳工锤</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约0.5Kg，锤头材质为45号钢锻打，木质或橡胶手柄。</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板牙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含M3,M4,M5,M6,M8,M10,M12等，材质为高速钢或硬质合金，板牙外径和板牙架内径配套</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丝锥绞手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可夹持M4～M12</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丝锥</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含M3,M4,M5,M6,M8,M10,M12等，材质为高速钢或硬质合金</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样冲</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尖头，碳钢材质，长度≥95mm,滚花或八角柄。</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划规</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合金头，长度≥150mm，画线直径≥300mm。</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划针</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金刚石钨钢合金头材质尖头，长度≥100mm,滚花或八角柄。</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铸铁平板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规格：≥400mm×400mm，球墨铸铁，含底角由优质铸铁或合金铸铁制成，表面无缺陷，内部无气孔或疏松，工作面平面度不高于24um。确保平板稳定、牢固使用安全。</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V型铁</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规格：≥100*100*60mm。材质HT-200，选用优质灰口铸铁铸造而成，表面精度人工刮研工艺，特点：精度高，广泛用于轴类零件的检测、划线、定位及机械加工中的装夹。</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T型，用于剥离线芯直径为0.5 m～2.5mm的导线；刃口闭合状态间隙应不大于 0.3mm，刃口错位应不大于0.2 mm；剥线刃口硬度不应低于 40HRC；剪切刃口硬度应为 50 HRC~59HRC。</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电烙铁</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220V,60W，恒温外热式，可更换烙铁头.</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电烙铁架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不小于150mm×100mm,插，架，高温海绵池合一。</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夹持器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焊接辅助工具用，带照明放大镜。整体金属材质，带万向旋转，金属软轴。底座长度不低于100mm，高度不低于260mm，放大镜直径不低于60mm。</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吸锡器</w:t>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规格：≥200㎜，手动式，优质PTEE吸嘴，耐高温、耐溶剂、性能好。</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斜嘴钳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长度≥140mm，钳口长≥22mm,剪切钢丝直径≥1.6mm，抗弯强度1000N，刃口硬度不低于55HRC。</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台虎钳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回转式，铸铁材质；钳口长＞120mm，钳口深＞50mm，最大开口＞100mm，开闭灵活，钳口闭合间隙≤0.15mm，夹紧力≥22kN。</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钢丝钳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总长≥200 mm，抗弯强度不低于 1400 N，剪切ф16 m 钢丝时，剪切力不低于 580N，扭力矩20 N•m,20°；夹持面硬度不低于44 HRC。</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总长≥160 mm，抗弯强度 710 N，剪切性能＋1, 6 mm钢丝，570 N；硬度不低于44HRC,PVC 手柄</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水口钳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长度≥125mm，PVC手柄，高碳钢材质。</w:t>
            </w:r>
            <w:r/>
          </w:p>
        </w:tc>
        <w:tc>
          <w:tcPr>
            <w:tcBorders>
              <w:top w:val="non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活动扳手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6寸、8寸两件套，开口尺寸0mm～24mm，扭矩320 N•m，活动扳口、扳体头部、蜗杆硬度不低于 40 HRC；六角试棒边长22 mm，扭矩180 N•m：活动扳口应在扳体导轨的全行程上灵活移动，活动扳口和扳体之间的离缝不大于0.28 mm；表面电镀处理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固定扳手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不低于4件套，规格6mm、8mm、10mm、12mm。高碳钢材质，表面镀铬工艺。扳手一体成型设计，一头开口一头梅花，一体两用多用途。</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内六角扳手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公制内六角扳手，规格1.5mm～10mm，不低于9件套装，扳手长边长度70mm～170mm。采用CR-V合金钢材质，整体表面发黑处理，工业级。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一字槽螺钉旋具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行业规格标称值：不低于3寸5mm×75mm、4寸6mm×100mm、5寸6mm×125mm各一，双色防滑软胶按摩手柄。</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十字槽螺钉旋具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行业规格标称值：不低于3寸5mm×75mm、4寸6mm×100mm、5寸6mm×125mm各一，双色防滑软胶按摩手柄。</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民用剪刀</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全长不小于123mm，橡胶把手。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手用金属剪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轻型，长度≥250mm，金属专用。表面精抛处理，精磨表面，防锈性处理。双色沾塑手柄设计，握感牢固舒适省力耐用，使用时间长，不易损坏。</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美工刀</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工具类美工刀，包胶手柄。黑刃高碳钢刀片，刀片宽度≥17.8mm，刀片厚度≥0.5mm，整体长度≥160mm。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丁字尺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规格：≥1000mm，采用透明塑料材质，重量轻，刻度清晰，色泽明亮，尺头厚度≥3mm，尺身宽度≥50mm。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丁字尺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规格：≥600mm，采用透明塑料材质，重量轻，刻度清晰，色泽明亮，尺头厚度≥3mm，尺身宽度≥50mm。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三角尺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规格：≥300mm，采用透明塑料材质，重量轻，刻度清晰，色泽明亮。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比例尺</w:t>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三棱比例尺，大比例，刻度≥300mm，材质：PVC。</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曲线板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长度≥300mm，塑料材质。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绘图板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不小于300mm×450mm，厚度≥18mm，带手提把手。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量角器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0级半圆量角器，半径≥200mm，最小分度值为30´，采用透明塑料材质，重量轻，刻度清晰，色泽明亮。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擦图片</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不锈钢材质，规格≥91*57mm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圆规</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长度≥120mm，T级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分规</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125mm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砂纸板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长度≥125mm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磨石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白刚玉，粗细两面，有固定底座，规格≥200mm×50mm×25mm。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热熔胶枪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枪嘴口径4mm，功率≥100W，适用11mm粗细胶棒，带指示灯和开关。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热熔胶棒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与热熔胶枪配套使用,ф11mm×150mm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拉铆枪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铝合金材质，≥17寸，双色软胶手柄，适用铆钉直径3.2mm、4.0mm、4.8mm，双手式拉铆枪，长度≥400mm。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铜丝刷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6排，规格≥200mm，不少于96孔</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小型车床</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电源：交流220V，50HZ，主轴转速为无级调速，紧急拍停开关、速度无级可调、四点式转动刀架、全套变速齿轮、高精确度</w:t>
            </w:r>
            <w:r>
              <w:rPr>
                <w:rFonts w:hint="eastAsia" w:ascii="宋体" w:hAnsi="宋体" w:cs="宋体"/>
                <w:color w:val="auto"/>
                <w:szCs w:val="21"/>
                <w:highlight w:val="none"/>
                <w:lang w:bidi="ar"/>
              </w:rPr>
              <w:t xml:space="preserve">。主要用于各类切削加工，可以用来车外圆、端面、钻孔、镗孔及车削螺纹。可以用于精密密件的加工、样品的加工和模型的加工等。主轴精度不高于0.01mm,床身上最大旋转直径≥180mm,横向拖板上最大旋转直径≥110mm,两顶尖距离≥300mm,主轴通孔直径≥20mm,主轴内孔莫氏锥度MT#3,尾轴孔莫氏锥度MT#2,主轴转速范围0-2500转数/分；输出功率≥400w,螺纹加工范围公制：0.5-2.5mm（10种螺纹齿距）,净重约38kg尺寸≥760*305*315mm。配备11件钢头车刀、座钻夹头和呆顶尖一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小型铣床</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交流220V，50HZ，主轴转速为无级调速，立柱可左右倾斜45度。Y轴(台面移动距离):≥221mm,X轴(床鞍移动距离):≥100mm，Z轴(主轴移动距离):≥180mm,功率:≥350W,主轴转速:低速0-1100转/分,高速0-2500转/分。钻孔容量:≥13mm,端面铣容量:≥13mm,表面铣容量：≥30mm。包装重量：约80Kg，尺寸：≥560*500*740mm。配备机用快速平口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小型钻床</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额定电压:220V，额定频率：50HZ，额定输入功率：≥350W，工作台面:≥160×160mm，主轴最大行程:≥50mm,最大钻孔直径：≥13mm，5档变速：740-3140转/min，机器尺寸：≥580*290*185mm，配备快速平口钳，13件钻头套装。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小型木工车床</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规格：≥750*200*400mm，电机功率：≥550W，额定电压：220V/50Hz，加工直径：≥250mm，加工长度：≥450mm。主轴接口：≥25.4mm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无极调速：550-3300rpm，产品重量：≥20.6kg，包装尺寸：≥84*44*30cm。配备法兰盘，前后顶针，金属刀架,卡盘等。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小型数控加工中心</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产品名称：便携式智能铣雕一体机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 基本参数：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1、产品尺寸：产品尺寸（长×宽×高）：452mm×425mm×350mm；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2、XYZ加工幅面：280mm×200mm×80mm；可通过高度：82mm；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3、X主轴单元：采用250W风冷无刷快速换刀主轴；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4、电源要求：支持110-240V、50~60Hz宽电压输入，平均功率200W；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5、整机架构：使用铸铝底座，可视窗PC外壳；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6、运行速度及精度：加工速度：1000mm/min，加工精度：±0.02mm。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7、传动组件：使用精密滚珠丝杆、XY圆轨轨和Z轴直线滑轨方案；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8、加工属性与能力：支持木材、亚克力、塑料、软金属等材质的CNC雕刻切割；支持木材、亚克力、塑料、皮革、金属等材质的激光打标及部分材质的激光切割；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9、操控模式：支持PC端USB有线、Wifi无线控制使用设备；支持平板电脑、手机等移动端设备Wifi无线控制使用设备；设备支持远程固件更新。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10、多重安全辅助：内置安全门检测（开盖急停）、支持外接急停开关；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11、照明系统：配备全局照明灯、主轴照明灯及按键LED灯，其中按键LED灯可指示加工状态；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12、旋转轴单元：设备标配第四轴旋转单元，旋转轴长*宽*高≤330*125*80mm，采用4爪卡盘，旋转轴中心高度为50mm，夹持范围为1-33mm，卡盘减速比为1:5；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13、自动集尘系统：支持扩展外接吸尘单元，可在加工过程中实时吸附木材碎屑、亚克力粉末等废料；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控制软件配套：具有自主版权控制软件，软件包括CAD设计模块、CNC-CAM/LASER-CAM路径生成模块、控制加工模块；CAD设计模块支持绘制多段线、贝塞尔曲线、圆、多边形、文字等CAD图元；支持偏置、布尔运算、矩形阵列、圆形阵列等图元编辑功能；支持图元对齐、镜像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15、文件格式兼容：软件支持多种格式文件导入，包括JPG/PNG/GIF/BMP等图片格式，支持SVG/DXF等矢量格式导入；支持NC刀路文件导入；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16、设备控制与操作：通过软件可调节移动速度、步距，快速定位至工作点；支持段头段尾的Gcode代码的设置，支持回到指定位置点，支持调整曲线公差设置；支持多模式切换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17、软件支持设置材料激光切割、雕刻、浅雕、深雕等参数，支持材料参数库的导入导出，支持图片激光雕刻；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18、软件支持支持刀具参数库编辑、材料参数库编辑，可以生成2D轮廓刀路、2D填充刀路、浮雕刀路等刀路文件；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19、仿真与离线功能：软件支持实时预览加工路径，避免碰撞与错误；支持离线脱机加工；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20、软件支持摄像头定位，图像对齐与参数校准；支持一键造物，可快速生成盒子模型、齿轮等元素；支持图形库素材导入和更新；支持AI文生图，可AI生成图元，加速创意造物；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21、多元夹具配套：支持扩展配套靠山夹具、平口钳夹具、侧推钳夹具、多功能压板夹具等；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22、激光单元扩展：设备可扩展安装455nm10W蓝光激光单元模组（卡扣式安装，无需拆卸主轴）；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二、扩展激光模块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1、产品名称：10W蓝光激光模块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2、激光尺寸：190*191*88mm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3、激光波长：435nm-470nm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4、激光寿命：6000-8000h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5、激光光斑：0.08mm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6、激光焦距：30mm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7、最大切割深度：8mm椴木板或3mm黑色亚克力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三、配套耗材：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1.金</w:t>
            </w:r>
            <w:r>
              <w:rPr>
                <w:rFonts w:hint="eastAsia" w:ascii="宋体" w:hAnsi="宋体" w:cs="宋体"/>
                <w:color w:val="auto"/>
                <w:szCs w:val="21"/>
                <w:highlight w:val="none"/>
                <w:lang w:bidi="ar"/>
              </w:rPr>
              <w:t xml:space="preserve">属铜印章：25*25*10（mm） 共5件；2.铝合金板：80*80*5（mm）共5件；3.单面覆铜板：70*100*1.5（mm） 共10件；4.双色板：200*100*1.3（mm） 共10件；5.代木：200*100*20（mm） 共4件；6.高密度板：275*200*9（mm） 共12件；7.高密度板：275*200*5 （mm）共12件；8.榉木料：200*100*20（mm） 共2件；9.檀木牌：40*60*10mm 共10件；10.书签料：150*30*3（mm）共10件；合计耗材数量80件。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四、配套课程：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套课程和案例资源：网上教学资源库，丰富的教学视频课程，课程包括不限于：布达拉手牌，小马过河，平衡鸟，祖先的摇篮，正负形，水井，水上飞机，超声波测距，复古眼镜的制作，小猫戒指的制作，指尖陀螺的制作，直尺的制作，书签的制作，特斯拉logo卡片的制作，桌面小闹钟的制作，“朕已阅”印章的制作，月饼模具的制作，小狗台灯的制作，蓝牙音箱的制作，PCB按键板的制作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手电钻</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电压：220v；夹持范围1.5</w:t>
            </w:r>
            <w:r>
              <w:rPr>
                <w:rFonts w:ascii="Arial Unicode MS" w:hAnsi="Arial Unicode MS" w:eastAsia="Arial Unicode MS" w:cs="Arial Unicode MS"/>
                <w:color w:val="auto"/>
                <w:szCs w:val="21"/>
                <w:highlight w:val="none"/>
                <w:lang w:bidi="ar"/>
              </w:rPr>
              <w:t xml:space="preserve">〜</w:t>
            </w:r>
            <w:r>
              <w:rPr>
                <w:rFonts w:hint="eastAsia" w:ascii="宋体" w:hAnsi="宋体" w:cs="宋体"/>
                <w:color w:val="auto"/>
                <w:szCs w:val="21"/>
                <w:highlight w:val="none"/>
                <w:lang w:bidi="ar"/>
              </w:rPr>
              <w:t xml:space="preserve">10mm：转速：0</w:t>
            </w:r>
            <w:r>
              <w:rPr>
                <w:rFonts w:ascii="Arial Unicode MS" w:hAnsi="Arial Unicode MS" w:eastAsia="Arial Unicode MS" w:cs="Arial Unicode MS"/>
                <w:color w:val="auto"/>
                <w:szCs w:val="21"/>
                <w:highlight w:val="none"/>
                <w:lang w:bidi="ar"/>
              </w:rPr>
              <w:t xml:space="preserve">〜</w:t>
            </w:r>
            <w:r>
              <w:rPr>
                <w:rFonts w:hint="eastAsia" w:ascii="宋体" w:hAnsi="宋体" w:cs="宋体"/>
                <w:color w:val="auto"/>
                <w:szCs w:val="21"/>
                <w:highlight w:val="none"/>
                <w:lang w:bidi="ar"/>
              </w:rPr>
              <w:t xml:space="preserve">3500r/min，额定功率：不少于450w，线长不少于2.5米。负载功率不大于1580w，高精度钻头夹。配备直径4mm、6mm、8mm、10mm 等多种钻头。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手电钻</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锂电充电式，空载转速不小于1500r/min，电池12V，最大夹持10mm。标配：万向轴，套筒9件套，批头十件套，连接杆1个，双头批头1个，合金钻1个电源 充电线1根，配备直径4mm、6mm、8mm、10mm 等多种钻头。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激光防护镜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激光类实验用，需与激光波长匹配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角向磨光机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额定电压220（V），额定频率50（Hz），额定功率≥800（W），额定转速≥1500（r/min），最大切割直径≥100（mm），轮流片孔径≥16（mm），手持型，配防爆裂防护罩，重量约2kg。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电动曲线锯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压：220v，功率：≥180W，可调节转速：400-1600r/min。切厚：≥50mm；喉深：≥406mm；锯条规格：128-133mm；全金属结构；产品工作台可向左倾斜0～45度。可以加这个倾斜范围内的角度。产品带安全防护罩，在切割的时候可以有效地防止加工件的跳跃。带LED工作照明灯，另带机器无极转速调节旋钮，切割速度可随意调节。规格尺寸：≥620*284*365mm，另配锯条夹头，专用锯条不少于10根。</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砂轮机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工业台式，非手持式。额定电压：220V；额定频率：50HZ；额定功率：≥120W；砂轮外径≥125mm，厚度≥16mm，两侧砂轮带透明防护罩，在打磨的时候可以有效地防止加工件的跳跃。</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木工台锯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1、电压：220-240V~50/60Hz；功率：≥1500W。                                                                                                                      2、分料刀厚度：≥2.0mm；空载转速：≥4500</w:t>
            </w:r>
            <w:r>
              <w:rPr>
                <w:rFonts w:hint="eastAsia" w:ascii="宋体" w:hAnsi="宋体" w:cs="宋体"/>
                <w:color w:val="auto"/>
                <w:szCs w:val="21"/>
                <w:highlight w:val="none"/>
                <w:lang w:bidi="ar"/>
              </w:rPr>
              <w:t xml:space="preserve">/min；锯片最大直径：≥210mm；锯片内孔：≥25.4mm；锯片角度调节范围：0°-45°；90°最大切割深度：≥70mm；45°最大切割深度：≥50mm。最大切割木材厚度≥55毫米，下部配有吸尘器转接口，用于外接吸尘器，吸尘效果好。                                                                                                                        3、锯片可升降可45度倾斜，自由调</w:t>
            </w:r>
            <w:r>
              <w:rPr>
                <w:rFonts w:hint="eastAsia" w:ascii="宋体" w:hAnsi="宋体" w:cs="宋体"/>
                <w:color w:val="auto"/>
                <w:szCs w:val="21"/>
                <w:highlight w:val="none"/>
                <w:lang w:bidi="ar"/>
              </w:rPr>
              <w:t xml:space="preserve">节角度适应不同木质材料的切割特性。方便平面切割踢脚线和开制卯结构件；硬管链接，推板和靠板辅助切割，钢结构外壳+不锈钢切割台面，和新型方榫开榫机配合，能够方便进行木工工艺个榫卯教学和实践。                                                                                                                             4、全金属材质，表面静电喷漆，光滑细腻，色彩鲜艳,配有带有刻度安全防护推板。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砂带机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压/频率:220V/50HZ；砂盘工作台尺寸:≥23*16cm；电机功率:≥500W；电机转速:≥2850转；砂带速度:≥7.5m/s；净重/毛重:约15/17kg；砂盘尺寸:≥150mm；砂带尺寸:≥100x915mm；机器尺寸:约43*39*26cm。带有吸尘器接口，配套专用粉尘收集处理系统与集尘单元联动启停控制系统。</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三维扫描仪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1、精度：精确至 0.02mm@60mm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2、点距：0.05-2mm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3、扫描速度：不低于20fps，采用One-Shot 3D成像技术，天然防抖，不易丢失跟踪，重定位速度快，手持扫描更流畅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4、扫描尺寸：≥10*10*10mm-2000*2000*2000mm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5、单次捕捉范围：最大≥1350x840mm@1000mm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6、原理：红外结构光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7、工作距离：110mm-1000mm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8、色彩贴图：支持，24-bit 全彩扫描，搭载百万像素的全彩RGB相机，独有的彩色贴图算法，使得模型细节与色彩捕捉更为出色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9、幅面：几何/标志点/纹理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10、输出格式：OBJ/STL/PLY</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11、IMU：支持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12、RGB色彩补光灯：≥2颗白色LED，补光灯增强捕捉纹理，即使在黑暗环境中也能获得最真实的贴图效果，高度还原物体的色彩和纹理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13、标志点补光灯：≥8颗红外LED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14、激光安全：Class l(人眼安全)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15、系统支持：Win/MAC (i0S/Android需要无线扫描配件)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16、多平台兼容，功能强大：跨平台(Windows、macOS)操作，简单易上手。Otter将搭配新的配件将实现无线扫描，兼容IOS和Android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17、升级扫描体验：环形指示灯，实时提示扫描状态，搭配触感按键结合按键提示音，轻松开启扫描，可实时调节曝光，操作舒适简单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18、无线扫描：支持 (需搭配配件)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19、工作温度：-10°C to 40°C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20、工作湿度：0-90% RH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21、输入电源：5V 3A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22、数据接口：Type C/USB3.0/USB2.0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23、产品尺寸：≥165mmx37mmx59mm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24、产品重量：约390g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25、创新四目设计：两组双目，兼顾细节与各种尺寸一组长焦双目，长焦镜头扫描小物体，细节更丰富，一组短焦双目，短焦镜头扫描大物体，扫描尺寸范围更大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26、采用新一代结构光：立体匹配(stereo-matching)算法和光学设计还原物体真实纹理和轮廓，高达0.02mm的扫描精度让每个细节都清晰锐利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27、黑色/金属物体无需喷粉，轻松扫描汽车、汽车配件、轮胎等黑色/金属物体获得理想的模型效果</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激光测距仪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手持USB充电，测量范围：0.05～50米；精度：0.001米；毫米级测量，特性：可连续测量，长度测量，面积测量，勾股测量，体积测量，误差：±2mm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交流：2V～16V/3A，每2V一档；直流稳压：2V～16V/2A，每2V一档，符合JY0361标准。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弯曲强度测试仪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多功能控制器外形尺寸：≥196*165*100mm。1、采用液晶显示。中文显示屏≥70×38mm。2、有峰值锁定功能，便于记录实验数据。3、采用高精度传感器测量，综合误差小于0.5%。4、可同时显示二组压力以及压力之和与位移数据。5、具备串口连接。（与结构承重测试仪配套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结构承重测试仪规格：≥600*195*415mm。采用精密形变、压力传感器，由2组压力传感器以及1个位移传感器；与微电脑连接可显示“压力―形变”，通过拟合公式可得出压力与形变间的关系；能精确测试构件材料的最大承重强度；能测试试验结构的变形；最大形变量：不少于6000μm，最大承重力：不少于300N；可完成下列试验：相同材质、不同形状（方形、圆形、L形、工字形）等及不同材质的构件强度试验。（配合多功能控制器同时使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结构拉压测试仪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螺旋式调节，带指针式压力表，可连续测量拉压力，具有峰值保持功能；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压力测量范围：0-500N；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配有多种接头夹具，对不同材料的硬度、强度、抗压力、拉断力、插拔力、破坏力等参数进行测量；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有效行程：≥150mm；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推拉杆行程：≥10mm；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可加装直尺，能显示位移、形变的数值。</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稳定性试验仪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外形尺寸:≥240*200*70mm；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1、二</w:t>
            </w:r>
            <w:r>
              <w:rPr>
                <w:rFonts w:hint="eastAsia" w:ascii="等线" w:hAnsi="等线" w:eastAsia="等线" w:cs="等线"/>
                <w:color w:val="auto"/>
                <w:szCs w:val="21"/>
                <w:highlight w:val="none"/>
                <w:lang w:bidi="ar"/>
              </w:rPr>
              <w:t xml:space="preserve">维实验模块系统：液晶数字化显示数据，通过调节物体的重心高度，和倾斜度来测试物体在不同高度和不同角度的稳定性。物体移动变化由高灵敏传感器，采集数据显示变化参数。通过LCD液晶数显显示屏显示当前数值；LCD显示屏具有全中文显示，操作简单易懂等特点；实验过程中物体角度达到一定数值时，蜂鸣器报警提示用户功能。用户也可自定义角度数值蜂鸣器报警功能，当用户设定后，系统会实时根据高度灵敏度传感器，获取数据通过显示屏显示实时的数据。检测的实时数据达到或是超过自定义的数据，系统将通过蜂鸣器报警提示用户。2、三维实验模块系统：</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模块介绍：</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1.底座规格：≥81mm*57mm*28mm；壁厚：≥2mm；模块底座采用ABS材质注塑一体开模制成，四周采用圆弧角曲面工艺，圆弧角曲面设计表面光滑质感舒适，确保使用过程中不割手划伤等风险；                                                                                    底座兼</w:t>
            </w:r>
            <w:r>
              <w:rPr>
                <w:rFonts w:hint="eastAsia" w:ascii="等线" w:hAnsi="等线" w:eastAsia="等线" w:cs="等线"/>
                <w:color w:val="auto"/>
                <w:szCs w:val="21"/>
                <w:highlight w:val="none"/>
                <w:lang w:bidi="ar"/>
              </w:rPr>
              <w:t xml:space="preserve">容积木孔位不低于40个，适合不同积木板的兼容。底部采用标准积木孔位，可与其他积木结构件或电子件兼容，拓展更多活动实验。下底座的前后左右四周，采用勾勒纹路条纹，层次分明。激发学生电路实验的兴趣和乐趣。 并留有专用标准孔位，配有专用ABS材质注塑成型的连接导杆。可在没有积木板的情况下在任意桌面通过连接导杆环环相扣，摆搭不同形状或是不规则的形状，方便随意拆卸适应不同环境场合。2.电路板板载全面积信号隔离，装置无尘焊接 PCB 电路板上，电路板固定在底座盒体上。模块配有液晶数字化显示屏，通过液晶数显显示屏显示当前实</w:t>
            </w:r>
            <w:r>
              <w:rPr>
                <w:rFonts w:hint="eastAsia" w:ascii="等线" w:hAnsi="等线" w:eastAsia="等线" w:cs="等线"/>
                <w:color w:val="auto"/>
                <w:szCs w:val="21"/>
                <w:highlight w:val="none"/>
                <w:lang w:bidi="ar"/>
              </w:rPr>
              <w:t xml:space="preserve">时测量角度数值。系统由嵌入式显示模块与上位机分析平台构成双模态人机交互体系，该系统通过实时算法得到稳定仪的数值，以不低于100Hz采样率对稳定仪原始数据进行动态噪声抑制与漂移补偿。实现横滚角（Roll）、航向角（Yaw）、俯仰角（Pitch）的亚度级解算精度。解算结果通过SPI总线实时传输至数显屏，支持-40℃~85℃宽温域稳定显示。在上位机方面构建动态坐标系模型，支持六自由度矢量投影显示，同时支持历史角度的记录与可视化，该系统还支持角度报警设定，通过用户输入设定的三轴报警值对角度进行实时报警触发虚拟灯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G型夹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夹持长度≥75mm和夹持长度≥150mm各一款，铸铁材质，表面静电喷塑工艺。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直尺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金属材质；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厚度：≥0.95mm；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分度值：1mm，背面带英寸换算表；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测量范围：0～300mm。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直角尺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金属材质，测量范围：≥300mm。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角度尺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金属材质，长度≥140mm,角度0°～180°,精度1°。</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钢卷尺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自卷制动式，量程≥5m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优质碳钢材质，加厚尺身，牢固韧性高。电镀珞工艺，镭射激光刻度，刻度清晰明了，耐磨性高使用寿命长。表面高频淬火工艺处理，坚硬耐用光滑。内置阻尼片使用顺畅不卡顿。测量范围：0mm～150㎜；测量精度：0.02㎜。</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测量范围0mm～25 mm, 25 mm～50 mm, 各一把，精度 0.01 mm。优质合金材质，牢固韧性高。电镀工艺，镭射激光刻度，刻度清晰明了，耐磨性高使用寿命长，表面高频淬火工艺处理，坚硬耐用光滑，使用顺畅不卡顿。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百分表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金属材质，分度值0.1，精密型0</w:t>
            </w:r>
            <w:r>
              <w:rPr>
                <w:rFonts w:ascii="Arial Unicode MS" w:hAnsi="Arial Unicode MS" w:eastAsia="Arial Unicode MS" w:cs="Arial Unicode MS"/>
                <w:color w:val="auto"/>
                <w:szCs w:val="21"/>
                <w:highlight w:val="none"/>
                <w:lang w:bidi="ar"/>
              </w:rPr>
              <w:t xml:space="preserve">〜</w:t>
            </w:r>
            <w:r>
              <w:rPr>
                <w:rFonts w:hint="eastAsia" w:ascii="宋体" w:hAnsi="宋体" w:cs="宋体"/>
                <w:color w:val="auto"/>
                <w:szCs w:val="21"/>
                <w:highlight w:val="none"/>
                <w:lang w:bidi="ar"/>
              </w:rPr>
              <w:t xml:space="preserve">10mm测试范围。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数字式，4-1/2 位。功能：电压、电流、电阻、电容、二极管、温度、频率测试。特点：2000显示、背光显示、NCV测量、数据保持、通断蜂鸣、自动关机、超量程提示、低电压提示等。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指针式，电压量程 1000 V，电流量程250 mA，准确度±4% FSD（满刻度）；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特点：内磁表头，稀土磁钢，多重保护，通断蜂鸣，多功能拨盘，高精度彩印刻度盘，可调式便携支架；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功能：交流电压测量、直流电压测量、直流电流测量、电容测量测量、三极管测量、电阻测量、电池测量、音频测量。</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红液，0°C～100°C。</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方箱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规格：≥200mm×200mm×200mm，带附件，精度1级。材质HT-200，选用优质灰口铸铁铸造而成，表面精度人工刮研工艺，特点：精度高，零部件的平行度和零部件的垂直度等的检测。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电子秤</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量程≥5000 g，精度不高于0.1g。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金属钩码</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10g （Ф22 mm） ×1,20g （Ф26 mm）x2, 50 g ( Ф30 mm) X2, 200 g (Ф48 mm）×1，允许误差：10g±0.1g，20 g±0.2 g,50 g±0.5 g, 200 g±2.0 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湿度计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指针式，圆形；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温度测量范围：-30°C</w:t>
            </w:r>
            <w:r>
              <w:rPr>
                <w:rFonts w:ascii="Arial Unicode MS" w:hAnsi="Arial Unicode MS" w:eastAsia="Arial Unicode MS" w:cs="Arial Unicode MS"/>
                <w:color w:val="auto"/>
                <w:szCs w:val="21"/>
                <w:highlight w:val="none"/>
                <w:lang w:bidi="ar"/>
              </w:rPr>
              <w:t xml:space="preserve">〜</w:t>
            </w:r>
            <w:r>
              <w:rPr>
                <w:rFonts w:hint="eastAsia" w:ascii="宋体" w:hAnsi="宋体" w:cs="宋体"/>
                <w:color w:val="auto"/>
                <w:szCs w:val="21"/>
                <w:highlight w:val="none"/>
                <w:lang w:bidi="ar"/>
              </w:rPr>
              <w:t xml:space="preserve">50°C（TH101B/E）；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湿度测量范围：10%</w:t>
            </w:r>
            <w:r>
              <w:rPr>
                <w:rFonts w:ascii="Arial Unicode MS" w:hAnsi="Arial Unicode MS" w:eastAsia="Arial Unicode MS" w:cs="Arial Unicode MS"/>
                <w:color w:val="auto"/>
                <w:szCs w:val="21"/>
                <w:highlight w:val="none"/>
                <w:lang w:bidi="ar"/>
              </w:rPr>
              <w:t xml:space="preserve">〜</w:t>
            </w:r>
            <w:r>
              <w:rPr>
                <w:rFonts w:hint="eastAsia" w:ascii="宋体" w:hAnsi="宋体" w:cs="宋体"/>
                <w:color w:val="auto"/>
                <w:szCs w:val="21"/>
                <w:highlight w:val="none"/>
                <w:lang w:bidi="ar"/>
              </w:rPr>
              <w:t xml:space="preserve">90%RH。</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照度计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测量范围：1～200000lux，180度可旋转探头。分辨率0.1lux，手持式，数显款。</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技术与设计环创挂图</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规格：≥760x520mm，技术与设计挂图28张，展示技术与设计关系。</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安全操作环创挂图</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内含：车床和钻铣床介绍、车床和钻铣床操作规范、技术创新发明、趣味工业设计、台式钻床安全操作规程、激光切割机安全操作规程、锯床操作规程、砂轮机安全操作规程。尺寸≥800mm*600mm，材质为KT板，不少于10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简明技术发展史环创挂图</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规格：≥760x520mm，简明技术发展史3张，展示简明技术发展史。</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设备安全使用资料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展示设备器材安全使用的操作手册。</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通用技术试验材料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1.笔筒：材料为木工板，连接方式：拼插、胶合。实现功能：放置笔和其他小文具；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2.书架：材料为木工板，连接方式：拼插、胶合。实现功能：可放置书本和资料；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3.百叶窗：材料为木工板，连接方式：拼插、胶合。实现功能：实现百叶窗的闭合动作；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4.太阳能小车：材料为木工板、电机、太阳能电路板等，连接方式：拼插、胶合。实现功能：在太阳光照射下自动前进；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5.密码箱：材料为木工板、锁、等，连接方式：拼 插、胶合。实现功能：密码箱的开启功能；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6.太阳能水车房子：连接方式：拼插、胶合。实现功能：了解中国古代著名建筑的结构和原理以及新能源的利用；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7.踩踏垃圾桶：材料为木工板，连接方式：拼插、胶合。实现功能：具有仿真功能，模拟结构的特性；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8.石英钟模型：指针，表芯等材料，实现功能：具有仿真功能；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9.实验材料展示板：面板采用透明亚克力材质，表面激光雕刻文字介绍，尺寸≥200*300mm，含钢、铝、铜、铁等金属材料；杉木、松木、桐木等木质材料；胶合板、刨花板、纤维板等人造板材。</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台灯散件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可组装，标准件。可由学生自行焊接、组装，体验设计过程。包括底座、灯罩、LED灯组、开关、弹簧立杆、电线、电池盒、电池弹簧片、螺丝等。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结构试验套件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规格：≥300*200*60mm；塑料收纳盒包装，采用防水覆膜贴纸；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1、【材质】所有零件采用ABS工程塑料、无污染、环保；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2、【功能】可以完成《技术与设计2》中“结构及设计”里的设计及试验，颗粒组合件，数十种规格。含板、砖、梁、摩擦链接销、平轴、高轴、轴承、L形颗粒件、底板等；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3、能搭建各种结构演示模型。活动项目：简易小屋、桌子、不同垒法的墙、桥、相片架、四杆框架、农家屋架、人字梯、篮球架、板凳、报纸架等；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4、具有配套搭建手册；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5、拼插式结构，可重复使用，可自由组合多种造型，支持学生的创意项目；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6、所有结构组合件均为精准型颗粒搭建组合颗粒之间具有一定数学算法意义。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流程设计套件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规格：≥300*200*60mm；塑料收纳盒包装，采用防水覆膜贴纸；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1、【材质】所有零件采用ABS工程塑料、无污染、环保；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2、【功能】可以完成《技术与设计2》中“流程及设计”里的设计及试验，颗粒组合件，数十种规格；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3、含板、砖、梁、摩擦链接销、齿轮、平轴、高轴、轴承、可弯曲颗粒件、超长型柱型件、底板等；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4、能搭建火中逃生、积木分检流程、盖房子、机械手、家具模型、微型电风扇等流程演示模型；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5、具有配套搭建手册；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6、拼插式结构，可重复使用，可自由组合多种造型，支持学生的创意项目；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7、所有结构组合件均为精准型颗粒搭建组合颗粒之间具有一定数学算法意义。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系统.控制设计套件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一、系统设计套件：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规格：≥300*200*60mm； 塑料收纳盒包装，采用防水覆膜贴纸；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1、【材质】所有零件采用ABS工程塑料、无污染、环保；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2、【功能】可以完成《技术与设计2》中“系统及设计”里的设计及试验，颗粒组合件，数十种规格。含板、砖、梁、摩擦链接销、齿轮、齿条、平轴、高轴、轴承、L形颗粒件、底板等；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3、能搭建自行车、转向小车、旋转木马、简易步行机器人等系统演示模型；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4、具有配套搭建手册；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5、拼插式结构，可重复使用，可自由组合多种造型，支持学生的创意项目；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6、所有结构组合件均为精准型颗粒搭建组合颗粒之间具有一定数学算法意义；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二、控制设计套件：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1、【材质】所有零件采用ABS工程塑料、无污染、环保；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2、【功能】可以完成《技术与设计2》中“控制及设计”里的设计及试验，颗粒组合件，数十种规格。含板、砖、梁、摩擦链接销、齿轮、齿条、平轴、高轴、轴承、L形颗粒件、底板等；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能搭建各种控制系统演示模型，包括可编程控制器、电机、常用的传感器、输入部件、输出部件，以及结构的连接件等部件，如自动升旗、自动门、光控电风扇、压力过载报警装置等系统设计和控制设计的作品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4、具有配套搭建手册；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5、拼插式结构，可重复使用，可自由组合多种造型，支持学生的创意项目；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6、所有结构组合件均为精准型颗粒搭建组合颗粒之间具有一定数学算法意义；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7、配套控制器，底座规格：≥81mm*57mm*28mm；壁厚：≥2</w:t>
            </w:r>
            <w:r>
              <w:rPr>
                <w:rFonts w:hint="eastAsia" w:ascii="宋体" w:hAnsi="宋体" w:cs="宋体"/>
                <w:color w:val="auto"/>
                <w:szCs w:val="21"/>
                <w:highlight w:val="none"/>
                <w:lang w:bidi="ar"/>
              </w:rPr>
              <w:t xml:space="preserve">mm；模块底座采用ABS材质注塑一体开模制成，四周采用圆弧角曲面工艺，圆弧角曲面设计表面光滑质感舒适，确保使用过程中不割手划伤等风险。底座兼容积木孔位不低于40个，适合不同积木板的兼容。底部采用标准积木孔位，可与其他积木结构件或电子件兼容，拓展更多活动实验。下底座的前后左右四周，采用勾勒纹路条纹，层次分明。激发学生电路实验的兴趣和乐趣。 并留有专用标准孔位，配有专用ABS材质注塑成型的连接导杆。可在没有积木板的情况下在任意桌面通过连接导杆环环相扣，摆搭不同形状或是不规则的形状，方便随意拆卸适应不同环境场合。</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风车模型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规格：≥500mm×500mm×740mm，扇叶可旋转；整体以金属架构，用专业设备和锻打技术加工而成，做工精细，仿古造型，高温焊接完成，粉体静电烤漆制作，搭配古铜金外观效果，既美观又实用。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都江堰模型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900*600*190mm，下部带有实木底座；高分子树脂制造而成，该模型仿真微缩内容完整充实、紧扣教材。主要包含分水鱼嘴、飞沙堰、宝瓶口、金刚堤、人字堤等模块组成；并通过流水灯演示都江堰防洪泄洪排沙的过程。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2.直观的展示：枯水期江水流入宝瓶口的问题，丰水季节大水直接撞到半挡着的玉垒山体岩壁，就会翻滚，下层泥沙翻上来，翻过飞沙堰，翻到外江里，这又解决了剩余泥沙的淤积问题。</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钻木取火工具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易洛魁族式、火绒式各一，钻头可更换。采用原枝松木制成，经过熏蒸，打磨，抛光等工艺，预留不少于10个钻槽，可重复使用，配备钨钢轴承，从而降低阻力，使生火的几率性加大。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灯具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OLED灯、LED灯、节能灯、白炽灯、电弧光灯、激光灯、日光灯、卤素灯、煤油灯、蜡烛、火把、动植物油灯等。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中文版活字排版盒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活字排版盒字体采用铅字，字体规格≥10*10mm。底座采用实木材质，规格≥150*180mm。包含可以完成活字1套铅字数量≥20个、木盘1个、填充空白30个、胶辊1个、海绵刷1个、油墨≥100ml、宣纸≥20张、垫板1个、塑料盆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中国传统农具模型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含犁、铁锹、镐、独轮车、锄头等，以古代中国传统农业生产工具为设计元素，采用实景微缩模型。配套底座规格：≥300mm*200m*150mm，底座带有防滑动脚垫。</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面料样本册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羊毛面料，羊毛大衣呢，麻，反光涂层，棉麻混纺，大衣呢，真丝雪纺，羽绒服面料，化纤混纺，金属丝，烫金，蕾丝等不少于49种面料样卡展示。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册</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仿真鸣音格雷夫水壶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国产仿真型，采用不锈钢材质，≥3.5L容量装，下底直径≥22cm，总高≥24.5cm。水开即响，自动鸣笛的特点。</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老式电话</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古典电话，外形典雅庄重。磁石式、共电式、拨号式各一个，共计三款，尺寸均≥200mm长。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伽利略温度计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高硼硅玻璃材质；高度不小于40cm,不少于10个球，温度变化时，小球浮沉现象明显。</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多功能学习用品盒模型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木质，规格≥230×160×130mm。模型结构搭建拼装完成，环保安全无味健康，圆润倒角设计，安装不伤手，储存空间大于3处，多层丰富储存空间。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榨汁机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五种不同榨汁机模型组成；由草模、结构、功能、概念、展示五种不同阶段模型组成，能完全表达不同阶段的设计方案，并在每一阶段分析、调整、发展构思、试验、改进，体现模型制作在不同产品设计的不同阶段不同的作用。材质：草模：亚克力材质。概念模型：亚克力材质。结构模型：亚克力材质。功能模型：亚克力材质，金属连接，手柄可调，展示产品性能和人机关系。展示模型：不锈钢模具成型，流线型设计，工艺外观结构人机关系达到完美展示，表面倒角抛光不伤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削皮机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金属和塑料材质组成，四件不同款式。其中一款手摇式削皮器，尺寸≥180mm*115mm*150mm，用于学习结构力学配套教学具。</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木工连接方式模型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装尺寸：≥200×200×200mm，榫卯连接模型，可拆卸。内含：粽角榫、抱肩榫、插肩榫、龙凤榫、四面燕尾榫不少于5种，钉连接、插接连接等模型组。房屋零件设计成榫式结构，零件之间可互相咬合，零件数不少110个，可自由发挥搭建多钟结构形态。</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金工连接方式模型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演示常用连接方法，依据连接件不同的使用场合实现连接。由铆接模型、黏接模型、焊接模型组成，连接处清晰可察，便于理解固定连接和半固定连接的方法，理解连接方式的多种多样。材质：有机玻璃和金属，配合说明书使用，辅助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铆接模型：3件/套；有色透明有机玻璃与金属材质，搭铆、单搭板铆接、双搭板铆接三种类型；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焊接模型：3件/套；金属材质；坡口型式、搭焊、对焊、角焊三种类型；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粘接模型：3件/套；有色透明有机玻璃材质，搭粘、角粘、单搭板对粘三种类型；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螺纹连接：3件/套；有色透明有机玻璃与金属材质，自攻螺纹连接、锁紧螺母连接、膨胀螺纹连接三种类型。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机器模型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底座规格：≥400*300*140mm，整体规格：≥400*300*300；具有安全环保无异味等特性，采用工业级环保ABS材质一体化制成。表面平整光滑颜色艳丽无色差，下底配备四角防滑网格垫，确保稳定不倾斜。配有：蒸汽机（活塞式）、内燃机、发电机、电动机、柴油机各一套模型共计五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纺车模型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规格：≥500mm×300mm×510mm。实木材质制成，可仿真使用，摆放平稳、转动灵活、做工细致。可展示纺车工作过程，主要零配件名称：型材基础结构件、铰接件、T型接头、轴承(通轴接头)、轴销、轴挡、端盖及其他的特殊部件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绘图模型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1、机械零件模型：采用ABS材质，多种常用机械零件模型各一。中空注塑有色一次成型,臂厚≥3cm,模型的各单元可自由拆装组合,需定位的单元带有是定位键，共计不少于10个单元；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2、三视图投影演示仪：规格：≥200*200*200mm；透明亚克力材质制成；实体投影，可自由拆装组合，三视图采用合页连接，具有定位单元。采用激光切割、雕刻成型，配合说明书使用，表面倒角抛光不伤手；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3、点、线、面投影模型：规格：≥200*200*200mm；透明亚克力材质制成；点、线、面实体投影，可自由拆装组合，采用合页连接，具有定位单元。有机玻璃材质，采用激光切割、雕刻成型，表面倒角抛光不伤手。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桥梁结构模型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最大尺寸不小于：400mm×110mm×300mm ；材质：ABS塑料；结构类型：六种不同结构全尺寸模型；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1：悬梁桥（悬梁、桥墩、桥板）；2：斜拉桥（桥墩、桥板、钢索、塔架）；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3：梁架桥（梁架、桥板、桥墩）；4：拱架桥（岸墩、桥板、拱架、立柱）；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5：弓形拱桥（拱架、桥板、岸墩、吊缆）；6：悬索桥（桥板吊缆、塔架、悬索）。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建筑结构模型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体现飞檐、斗拱、祁年殿、故宫角楼、三重檐十字观音阁、重檐歇山摩尼殿、四柱三间七楼牌楼、垂花门、北京四合院等模型，不少于5种，拼接搭建。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框架结构模型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1、套件应能完成《技术与设计2》中“结构及设计”中有关结构稳定性各种设计和试验，并能完成最大平衡力和最小平衡式的技术数据测试；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2、塑料收纳盒包装，规格≥300*200*60mm，采用防水覆膜贴纸，表面光滑鲜亮，套件材料应为ABS无毒；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3、应有2孔、3孔、5孔、7孔、9孔、11孔、13孔、15孔等多种杆件，7*17孔、7*5孔、2.5孔等底版，L型、H型转向连接件，各种插销、十字连接杆；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4、提供经典教学实验案例10个及以上教学案例。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蜗轮蜗杆传动装置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规格：≥300*200*120mm；链条是金属材料，其他为工程塑料制作，具体包括蜗轮、蜗杆、齿轮、带轮、链轮、转轴、手柄等常用的机械零件模型，且具备机械联动的演示功能，既可以手动也可以电动控制。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齿轮齿条传动装置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由底座、齿轮、齿条组成；齿轮与齿条的牙齿应相啮合；齿轮与手柄连接，通过手柄调节齿轮运动，齿轮固定在滑动杆上，保证齿轮在同一水平线上运动；齿轮上应装有手拧螺丝，用于齿轮在滑动杆任意位置固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固定连接结构模型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由底座、调节装置、转动轴、手柄及固定连接片组成；固定连接片宜采用子母件连接。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柔性连接结构模型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产品由底座、手摇轮、转动轴、橡胶垫及连接件固定支架、固定连接片组成；橡胶垫均分后通过两个三角连接件连接起来；两个固定支架不在同平行线上，互成为5°的角。</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摩擦离合器结构模型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由底座、手摇轮、转动轴、橡胶垫、主动盘、从动盘、操纵杆、弹簧及主动盘与从动盘固定支撑架组成：橡胶垫与主动盘粘接在一起；可手动操作离合器，通过推动或拉回操纵杆来分离或接合主动盘和从动盘。</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万向结构模型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由底座、转动轴、手柄、两个带有标记的圆盘、万向支架及量角器组成；两个圆盘及量角器有刻度指示标记；量角器在旋转中加入自锁螺母，可以在任意位置固定；万向支架可以任意转动；万向结构旋转角度不得低于 60°。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水位控制模型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产品尺寸：≥580mm×235mm×530mm；</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 该装置满足《技术与设计2》教材中关于设计过程的实验需求，演示、分析、设计过程；</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2、采用透明有机玻璃材质，能让学生动手组装、了解水塔水位的组成结构，和工作原理；</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3、采用水阀接头，双水泵供水，底座采用环保木质底座；</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4、控制器可自动控制调节供水量大小，传感器检测自动循环供水。五种实验方案：定时功能方案、循环双传感器功能供排水方案、独立传感器功能供水方案、感应出水方案、无线控制水循环；</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5、模型主控器上配有按键控制开关功能，自带液晶屏中文显示实验界面。高度仿真水位装置的液位监测循环功能，具有实时检测，实时显示水量液位数值，通过主控器的显示屏实</w:t>
            </w:r>
            <w:r>
              <w:rPr>
                <w:rFonts w:hint="eastAsia" w:ascii="等线" w:hAnsi="等线" w:eastAsia="等线" w:cs="等线"/>
                <w:color w:val="auto"/>
                <w:szCs w:val="21"/>
                <w:highlight w:val="none"/>
                <w:lang w:bidi="ar"/>
              </w:rPr>
              <w:t xml:space="preserve">时显示。人体自动感应出水系统，高度仿真模拟生活中感应水龙头出水的原理。人体靠近时水泵开启泵水工作，反之则不工作。无线控制水位出水系统，主控器具有无线控制，主控器与结构分离，可以移动手持控制，全方位方便教学操作实验；                                                                                                                                                     </w:t>
            </w:r>
            <w:r>
              <w:rPr>
                <w:rFonts w:hint="eastAsia" w:ascii="等线" w:hAnsi="等线" w:eastAsia="等线" w:cs="等线"/>
                <w:color w:val="auto"/>
                <w:szCs w:val="21"/>
                <w:highlight w:val="none"/>
                <w:lang w:bidi="ar"/>
              </w:rPr>
              <w:br w:type="textWrapping" w:clear="all"/>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阀门断面模型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由底座、支架及阀门的剖面组成；阀门的剖面应能清晰地展现阀门的阀体、阀瓣、阀座、阀杆和手轮各部件的构造。</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光感窗帘控制模型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1、可由老师和学生自行组装搭建，光敏传感器控制窗帘开关系统，限位传感器，控制器方案具备白天模式，午夜模式及夜晚模式控制。天亮开窗、天黑关窗，控制原理，模型仿真；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2、配套控制器，底座规格：≥81mm*57mm*28mm；壁厚：≥2</w:t>
            </w:r>
            <w:r>
              <w:rPr>
                <w:rFonts w:hint="eastAsia" w:ascii="宋体" w:hAnsi="宋体" w:cs="宋体"/>
                <w:color w:val="auto"/>
                <w:szCs w:val="21"/>
                <w:highlight w:val="none"/>
                <w:lang w:bidi="ar"/>
              </w:rPr>
              <w:t xml:space="preserve">mm；模块底座采用ABS材质注塑一体开模制成，四周采用圆弧角曲面工艺，圆弧角曲面设计表面光滑质感舒适，确保使用过程中不割手划伤等风险。底座兼容积木孔位不低于40个，适合不同积木板的兼容。底部采用标准积木孔位，可与其他积木结构件或电子件兼容，拓展更多活动实验。下底座的前后左右四周，采用勾勒纹路条纹，层次分明。激发学生电路实验的兴趣和乐趣。 并留有专用标准孔位，配有专用ABS材质注塑成型的连接导杆。可在没有积木板的情况下在任意桌面通过连接导杆环环相扣，摆搭不同形状或是不规则的形状，方便随意拆卸适应不同环境场合。</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汽车道闸控制模型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材质规格：≥688*440*200mm环保亚克力材质；</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1、控制器采用LCD液晶屏显示，通过LCD液晶数显显示屏显示当前数值；LCD显示屏具有全中文显示，操作简单易懂等特点。交通指示灯引导指示车辆进出场地：灯柱采用三维立体式、自由拼插式结构，拆卸安装方便快捷。面板采用UV彩色高清写真，画面美观，立体感强，有东西南北四个方向的行车道路，左转弯、右转弯、直行箭头，并设有斑马线、绿化带，行人，房屋，树木，车辆等图案。立体结构，真切实际还原控制实验现象。</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2、道闸开门系统，可手动控制道闸开启和关闭，引导车辆进出场地，提示进入停车场的时间；控制器：可控制多种传感器；系统可自动计算停车场空位与非空位，并用液晶屏显示停泊位数给予提示，显示屏具有全中文显示，操作简单易懂等特点。</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3、不少于12组点阵式LED模块，指示箭头导向指示车辆停泊；车辆停泊后，系统将自动减少车位显示，反之则增加车位数量；全亚克力材质；具有停满报警显示功能，可实现仿真型智能交通管理系统；</w:t>
            </w:r>
            <w:r>
              <w:rPr>
                <w:rFonts w:hint="eastAsia" w:ascii="等线" w:hAnsi="等线" w:eastAsia="等线" w:cs="等线"/>
                <w:color w:val="auto"/>
                <w:szCs w:val="21"/>
                <w:highlight w:val="none"/>
                <w:lang w:bidi="ar"/>
              </w:rPr>
              <w:br w:type="textWrapping" w:clear="all"/>
            </w:r>
            <w:r>
              <w:rPr>
                <w:rFonts w:hint="eastAsia" w:ascii="等线" w:hAnsi="等线" w:eastAsia="等线" w:cs="等线"/>
                <w:color w:val="auto"/>
                <w:szCs w:val="21"/>
                <w:highlight w:val="none"/>
                <w:lang w:bidi="ar"/>
              </w:rPr>
              <w:t xml:space="preserve">4、完整展示停车场的基本构成和工作原理，引导学生细心观察生活中常见的产品背后工作原理，和理论知识符合《技术与设计2》控制与设计；</w:t>
            </w:r>
            <w:r>
              <w:rPr>
                <w:rFonts w:hint="eastAsia" w:ascii="等线" w:hAnsi="等线" w:eastAsia="等线" w:cs="等线"/>
                <w:color w:val="auto"/>
                <w:szCs w:val="21"/>
                <w:highlight w:val="none"/>
                <w:lang w:bidi="ar"/>
              </w:rPr>
              <w:br w:type="textWrapping" w:clear="all"/>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三维设计软件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1.根据三维实体，自动生成三视图；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2.配合产品形态，具有智能设计中心、多功能计算器、电子传递、教学图形素材库等功能；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3.提供鸟瞰视图功能，可快速平移和缩放窗口；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具备三维实体的渲染、材质、背景、光源等功能。全套资源教学演示配置最新软件控制系统，教学案例资源。围绕软件基础操作，包括基本的界面操作、基础理论、选区的创建与调整、图形的设计、文字输入与编辑的使用技巧，等系统教学指导资料，形成从入门到进阶的完整教学学习目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工作服：蓝色卡其布，长衫，袖口可扣紧，常规标准款；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工作帽：蓝色卡其布，松紧式，有帽檐，常规标准款；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套袖：蓝色卡其布，双针缝边，常规标准款。</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常规标准款，橡胶防滑面。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吸尘器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工作电压：220V；功率：≥1200W；真空度：N15.5Kpa；噪音：W80DB；桶身材料：不锈钢≥15L容量；类型：干湿两用。配套辅助材料工具，不少于6个。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木工板材，木条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三合板：400×600×3mm（±1）；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五合板：400×600×5mm（±1）；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椴木板：450×450×3mm（±1）；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椴木板：450×450×5mm（±1）；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木棒：直径：8mm、10mm、20mm、30mm，不少于200mm长；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木条：不少于30×40×500mm，松木材质；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雪糕棒：按不少于114mm×10mm，20根为一组要求定制；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规格圆球料：禾木无孔木球，10mm，12mm，14mm，18mm，20mm混装搭配；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丝印椴木板：≥200×150mm×3mm（±1））；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丝印椴木板：≥100×150mm×3mm（±1）；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木工板：实木板≥200×400mm×12mm（±0.2）；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每品种每规格各1个。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钳工耗材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铁板铁棒：150×100×1mm（±0.2）；直径10mm长度150mm；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铝板、铝棒：150×100×1mm（±0.2）；直径10mm长度150mm；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铜板、铜棒：150×100×1mm（±0.2）；直径10mm长度150mm；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铝块：12×12×400mm（±0.2）；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不锈钢板：150×100×1mm（±0.2）；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三角架：30×30×300铁；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不锈钢管：≥直径19mm×650mm，壁厚不小于0.5mm；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每品种每规格各1个。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手工钢锯锯条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与工具配套，18齿，24齿，32齿，T10钢材质各1根。</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木工锯条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与工具配套，不少于400mm长。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焊锡膏</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盒装，≥100克质量。</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焊锡丝</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环保无铅焊锡丝≥0.8mm，≥100克。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non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松香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等线" w:hAnsi="等线" w:eastAsia="等线" w:cs="等线"/>
                <w:color w:val="auto"/>
                <w:szCs w:val="21"/>
                <w:highlight w:val="none"/>
                <w:lang w:bidi="ar"/>
              </w:rPr>
              <w:t xml:space="preserve">质量≥10克，助焊除氧化膜，防止氧化，减小表面张力。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技术教室4（金木工室）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台身采用静电喷涂钢架方管框架带底脚，设前挡板。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副台：采用16mm厚E1级三聚氰胺环保饰面板加工制作，预留主机箱位置，配备散热孔，设三组抽屉和拉门；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1、参考尺寸：660*590*1040；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2、黑色尼龙脚；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3、黑色尼龙轮；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4、黑色气杆；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5、2.5mm加厚蝴蝶底盘，可逍遥和原位锁定;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6、固定腰靠，黑色PP玻纤背框和扶手；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7、42mm密度中软高弹力切割海绵;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8、弹力座布，透气背网饰面。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可移动讲台</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1、参考尺寸：900*650*1000mm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下脚架采用φ25*2.0光滑圆管，配置4个静音刹车万向轮，方便推移也可固定。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1、胶壳：材质采用PP加纤材质，环保不褪色，抗裂性强。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2、椅架：采用32*18*1.5mm厚冷锻方圆钢管，220度高温静电喷涂，处理精细光滑、牢固抗冲击不变形。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3、座垫：定型海棉，弹力布面料，回弹好，坐感舒适；底座铝合金件固定连接。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4、固定防滑脚垫。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5、功能：座包翻起可连排堆叠，椅架可全折叠、节省收纳空间，拆箱即用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6、配写字板。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乐器高柜</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2、产品尺寸：5000×500×2200mm±10mm。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柜体参数：柜体采用≥16mm厚E1级三聚氰胺环保饰面板加工制作，不低于1.5mm厚塑制封边条机械封边，柜体组合柜造型，部分板式柜门造型，部分柜门配备磁吸板，左右两侧下部柜门配双移门板，上下为移门轨道，一块为装饰性洞洞板，一块为可粘贴磁吸板，部分柜体配pp储物盒。中间上部配可挂式格栅板，下部造型可摆放乐器。</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1、布艺窗帘，纯色全遮光吸音窗帘，含罗马杆及辅件等；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2、褶皱系数 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教室均匀扩声系统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（无感麦克风）</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1.高精密咪头，高精度分离式线路；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2.咪头具有全向等指向特性，高灵敏度拾音；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3.频响宽，失真小，动态范围大；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4.灵敏度衰减开关，应对大动态拾音场合；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5.低功耗，使用时间更持久。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参数说明：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1.麦克风尺寸：32.5×24×49mm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2.麦克风重量：21g *2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3.电池容量：200mAh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4.充电时间：&lt;2H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5.充电输入接口:TYPE-C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6.关机功耗:仓内&lt;20uA，仓外200uA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7.双向互动功能：双向互动,高效沟通,终端机上备有2支麦克风, 2支麦克风可同时使用技术,教学满足教师、学生使用麦克风双向沟通,且2支麦同时使用不啸叫、不丢字、不卡顿,声场均匀</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声匀智慧终端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1.壁挂式安装，设备收放自如；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2.双话筒、线路输入、输出，学生、老师高效双向沟通；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3.带蓝牙无线连接、AUX接口，更方便快捷的连接方式，可直接同步电脑、手机音频，播放WMA、MP3、MP4等格式音频；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4.解锁技术：采用NFC卡片解锁技术,设备需授权卡片触碰方可启动,防止学生误操作或盗用,保障教学秩序;后台可配置多用户权限,支持分级管理；5.设备即放即充，快速充电；6.多EQ选择，适应不同教学环境。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参数说明：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1.终端机尺寸：148.5*109.5*43.5mm；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2.终端机重量：267g；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3.音频输出接口：Aux、RCA接口；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4.充电电压：5V；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5.充电电流：&lt; 500mA；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6.实时抑制功能：内置DSP数字信号处理算法,实时抑制环境噪音实时抑制环境噪音与设备啸叫,还原人声真实质感,降低教学声污染,尤其适合多设备共存的复杂环境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7.同步功能：带蓝牙无线连接、AUX接口,更方便快捷的连接方式,可直接同步电脑、手机音频,播放WMA、MP3、MP4等格式音频;防止学生误操作或盗用,保障教学秩序;后台可配置多用户权限,支持分级管理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空间感阵列模组</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1.多点M8吊挂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2.金属防护网，6mm圆形透声孔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3.可280°调节音响角度，适应不同安装环境；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1.扬声器单音箱额定功率：20W；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2.扬声器总功率：80W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3.喇叭额定阻抗：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4.特性灵敏度：1.6KHZ（0 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5.输出声压级：1M 1W  88d；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6.额定频率范围:20HZ~20KHZ；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7.音频频率响应范围：20HZ~20KHZ；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8.覆盖角度H×V：135°；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9.扬声器单元：2*4；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10扬声器尺寸:148.5*109.5*43.5mm；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11.扬声器主机：1868g；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12.扬声器副机：1800g * 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13.音频输入接口：RCA接口；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14.声源同步功能：智慧终端组合音响可对接领夹麦克风组成无感扩声系统,通过智慧终端内置的DSP抑制算法芯片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15.灵活教学适配功能：针对不同教学场景(普通教室、阶梯教室、礼堂)配备不同教学系统(1拖4、1拖8),给客户多种选择</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空间阵列模组辅音箱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1.多点M8吊挂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2.金属防护网，6mm圆形透声孔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可280°调节音响角度，适应不同安装环境。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1.辅助扬声器总功率：20W*3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2.喇叭额定阻抗：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3.特性灵敏度：1.6KHZ（0 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4.输出声压级：1M 1W  88d；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5.额定频率范围:20HZ~20KHZ；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6.音频频率响应范围：20HZ~20KHZ；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7.覆盖角度H×V：135°；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8.扬声器单元：2*4；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9.扬声器尺寸:148.5*109.5*43.5mm；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10.扬声器主机：1868g；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11.扬声器副机：1800g * 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12.音频输入接口：RCA接口；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节拍器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1.节拍速度：40-208拍/分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2.拍子型：0、2、3、4、6五种选择。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3.节拍音色：机械声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4.尺寸：110*110*220mm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5.颜色：黒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6.结构：金属大机芯。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常见问题:注意事项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（1）放置在水平表明使用节拍器；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（2）如果摆杆停止时不垂直，不要强行将他回复到中间位置，请再上一点发条，然后启动；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（3）节拍器使用完后，请将摆杆放回上方的勾中，盖上盖子；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（4）不要在潮湿或多露的地方使用或放置节拍器，以免功能受影响；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（5）清洁节拍器时，请用干的柔软的布清洁，不要使用挥发性的化学物品，以免损坏节拍器；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（6）不要拆卸节拍器部件，如重量滑块，摆杆等。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校音项目：十二平均律，吉他，贝斯，小提琴，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尤克里里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校音范围：A(27.5Hz)-C(4186.0Hz)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A4范围：430-450Hz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隆半调：b,bp,bbb,pp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校音精度：±1音分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显示方式：LCD显示屏，LED指示灯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拾音方式：麦克风，外接拾音器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校音模式：自动，手动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定音范围：十二平均律（2A-6A）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吉他(6E 5A 4D 3G 2B 1E)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贝斯(LB4E 3A 2D1GHC)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小提琴（4G 3D 2A 1E）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尤克里里（4G 3C 2E 1A）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定音精度：±0.5音分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节拍：0~9</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节奏型：..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速度范围：30-250bpm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节拍音：电子音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节拍误差：±0.3%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电源：3V(2XAAA)电池</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加厚环保塑料，防止乐谱过厚导致自动翻页，尺寸（±5mm):长15cm*最宽处5cm。手工测量可能会有误差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立式钢琴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1、立式钢琴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2、外观尺寸 长≥149cm，宽≥60cm，高≥119cm；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3、五金件 钢琴外观可见的五金件采用银色不易氧化的金属；顶盖铰链有加强筋的结构，能更稳定安全支撑顶盖。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4、外壳 哑光黑色，采用新型环保材料。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6、下门 采用下门边框装配结构，使下门板开合时避免与琴腿碰撞。</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8、铁板工艺 翻砂工艺铸铁板。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9、铁板高度 ≥109.5cm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10、琴弦 圆形弦（截面为正圆形），镀锡防锈钢线；最大有效弦长不少于118cm，30#音有效弦长不小于94cm。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11、音板 采用寒带地区缓慢生长的鱼鳞松制作的实木音板；音板须有防开裂防变形的特殊工艺或结构。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12、肋木 使用与音板相同材质木材，数量不少于10根。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13、弦轴板 由15-17层坚硬的榉木交错压榨制成。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14、弦码 采用多层榉木制作。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15、背柱 实木制作，五背柱设计，且背柱截面尺寸≥80*70mm；背柱整体严密牢固，无明显缝隙或粘贴痕迹。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17、中盘 使用稳定不易变形的木材制作而成。除螺丝外中盘上面不加装任何金属加固或金属链接结构。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18、弦槌 要求用纯羊毛毡及鹅耳枥木制作。弦槌木芯采用数控设备成形，加以铆钉夹具装配，使弦槌整体更牢固。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19、击弦机部件 转击器、联动杆、制音杆要求使用鹅耳枥木制作；鹅耳枥木实木（非多层）制作的调节档，不得有金属包裹；使用ABS或碳纤维材质的顶杆，顶杆轴架的粘合面底部增加藏胶槽，使组件装配更稳固，增加粘连的稳定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高中音乐鉴赏教学曲库</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国家正规音像出版物 内容以中外音乐史为线索，从中国到西欧，从古代音乐到二十世纪的音乐作品，囊括了极为丰富的音乐类型、音乐曲目。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中国古代音乐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第一碟：中国近现代音乐之一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第四碟：中国近现代音乐之四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第六碟：中国当代音乐之ー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第八碟：西欧中古时期和巴洛克时期音乐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第九碟：西欧古典时期音乐之一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第十四碟：西欧古典时期音乐之五西欧古典时期音乐之六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第十六碟：西欧浪漫主义时期音乐之一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第二十碟：民族乐派音乐之一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第二十二碟：印象主义时期音乐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第二十四碟：二十世纪音乐作品之二</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吉他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1．面板、背侧板：南洋木；琴颈：那都；指板、琴码：玫瑰木；完成：哑光。2．采用十二平均律，标准音为为440HZ，符QB/T 1153-2014的要求。3．六弦、有效弦长648mm，指板上宽41.5±0.5mm,指板下宽53.5±0.5mm，指板表面光滑，品位标志可在第3、5、7、9、12、15、17品位的正面或侧面选择标示。4．各音的音准误差在负10正15个音分之内。5．弦器：半封闭弦钮。6．木材经过干燥处理，含水律不超过15%。</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二胡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1、产品尺寸；长*宽830MM*135MM（±10MM）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2、琴杆；非洲紫檀木、琴头打磨细腻。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3、琴筒；六边形、非洲紫檀木。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4、琴轴；六棱木轴。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5、音窗；精美镂空窗花设计，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6、蟒皮；蟒皮、色泽鲜明、松紧适度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7、琴弦；钢丝琴弦。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8、琴弓；白马尾琴弓、松紧可调。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9、配置；牛津布琴盒、松香、擦琴布、琴码、说明书。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京胡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材质：一级紫竹材质、5年以上自然风干紫竹、一级蛇皮、专业手工制作。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尺寸：杆长约48cm，筒直径约5.3cm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板胡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等级：专业二胡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蟒皮：纯手工蒙皮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材质：一级花梨木材质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琴轴：木轴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琴筒：六角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尺寸：长约76cm，筒直径约10cm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工艺：原木抛光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柳琴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1、产品尺寸；长*宽*厚（675MM*239MM*75MM）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2、头饰；花开富贵骨花。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3、琴轴；阿诺故意苏木六瓣轴。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4、面板；河南兰考面板。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5、琴弦；钢丝、缠弦。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6、码子、品；福建老竹子制作。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7、代微调支架。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8、配置；轻体泡沫壳包装、琴包、拨片、擦琴布、说明书。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琵琶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1、产品尺寸；长*宽*厚（1050MM*316MM*85MM）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2、材质；非洲紫檀木、木轴木相。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3、琴轴；红铁木豆麻花轴。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4、头饰；花开富贵骨花。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5、面板；河南兰考面板。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6、扶手、品；福建老竹子制作。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7、琴弦；钢丝缠弦（一弦一品）。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8、配置；轻体泡沫壳、琴包、指甲、琴弦、擦琴布、说明书。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1、产品尺寸；长*宽*厚（700MM*400MM*90MM）（士10MM）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2、材质；非洲紫檀木。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3、头饰；花开富贵骨花。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4、琴轴；白铜微调轴、六瓣木轴。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5、品；钢品。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6、面板；河南兰考面板。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7、音窗；园音窗。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8、琴码；枫木琴码。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9、配置；轻体泡沫壳、琴包、拨片、擦琴布、说明书。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大阮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1.指板：酸枝木。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2.面板：桐木，纹理顺直，拼板颜色基本一致，无腐朽，5mm×5mm的活疤节允许有1个；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3.背板：桐木，纹理顺直，拼板颜色基本一致，无腐朽，5mm×5mm的活疤节允许有2个；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4.琴杆、琴鼓：硬杂木或性能相同甚至更好的其他材料。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5.主要部位尺寸：有效弦长695±5mm；指板长540±5mm；共鸣箱口面直径500±5mm；弦枕高7.5±1mm。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月琴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质：琴头采用牡丹式牛骨雕刻头花，牡丹头花外形优雅美观，弯部处理十分细致，符合首部结构的流线设计，触摸感觉以及手扶感觉更舒适。琴轴主要是调整琴弦的松紧度，已达到准确的音阶。面板精选兰考一级泡桐板制作，经自然风干，浸泡去渣，储藏风干等工艺，制作精细，传导性佳，穿透力强，音质清脆，音色通透，材质稳定，不变形，坚硬耐用，不易开裂，纯手工抛光打磨，原木本色，外观精美大方。</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小三弦</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质：一级硬木材质、仿红木色、琴头等纯手工工艺制作，头部线条流利，外观大气，精制优雅，硬木琴轴、经过手工打磨，整个过程纯手工完成。做到不滑轴、不跑音。硬木琴杆不易变形，琴体表面光滑。优选一级蟒皮、手工蒙皮、松紧适中、音质稳定、音色透亮、穿透力极强。琴腔采用流线型处理、手工通身上漆、表面光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扬琴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材料：色木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图案：荷塘月色图案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尺寸：前78cm，后119cm，宽51cm，高14.5cm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1.含琴架、琴竹、调音扳手；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2.采用十二平均律.402型，基本音域F～a³；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3.面板宜选用纹理顺直的四拼板桐木，可有不大于10mm×10 mm的活疤节1个；弦轴板选用色木等制成的多层胶合板；音梁选用无死疤节、劈裂及油渍的白松；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4.演奏性能：发音较灵敏，音准稳定性能良好.</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古筝</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含架子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1、琴首材料；实木.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2、面板材料；兰考一级桐木面板。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3、地板材料；兰考桐木底板。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4、侧帮材质；非洲紫檀木。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5、琴弦材质；呢绒钢丝弦。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6、琴码材质；红木。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7、工艺 ；贴雕仙女图案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8、产品尺寸；长*宽（1630MM*大330MM小280MM ）（士10MM）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架</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笛子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音色：清脆明亮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材质：苦竹，不锈钢单插口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表面：光滑无毛刺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1、声学品质：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1.1律制：采用十二平均律；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1.2标准音：a1音为440HZ；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1.3调名：D调、G调；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1.4基本音域：按产品的音簧数、调名记谱二个八度至三个八度；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1.5音准：音准误差-10~+10；相邻两音音准误差之差≤5；四度音、五度音、八度音和谐；吹、吸音高基本一致；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1.6音质：清脆、响亮、圆润、发音流畅、1.无杂音；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2、演奏性能：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发音灵敏，手感舒适，有表现力；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3、外观工艺：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3.1表面光滑、圆润，无劈裂、虫蛀、伤皮；按键起落自如，无明显晃动；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3.2各部位衔接严密，无明显漏气现象；与人体接触的部位平滑，无锐利边、角和毛刺；管体表面色泽柔和、均匀；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3.3合缝严密，竹节排列整齐；音簧安装牢固，簧舌软硬适度，无开裂和破损；外观铜质材料的笙斗、键表面镀镍或铬，镀层表面光滑、完整，无锈迹、起泡现象，无明显划痕；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3.4传统笙苗上刻的字迹应清晰、完整；笙斗为H68、H62的金属材料，也可使用酸枝木、花梨木、樟木或性能相同甚至更好的其他材料；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3.5笙苗为竹质坚硬、不裂、无明显沟节、无虫蛀的紫竹，含水率应控制在8%~14%；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3.6笙脚用柏木、色木或性能相同甚至更好的其他材料，含水率控制在14%~16%；</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3.7音簧为锻实的响铜。</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唢呐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调性：降B调、中音 唢呐杆:乌木 规格：唢呐全长32CM；唢呐杆长25CM；唢呐高度9CM；喇叭口直径11.2CM； 配件：唢呐气盘、哨片、吹嘴各一硬盒包装。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北梆子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1、材质：榉木；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2、外观：产品表面光滑，完整、光亮，无脱皮、裂痕现象；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3、音质：音质清脆，悦耳，无杂音；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4、尺寸:长174±5mm，宽60±2mm,高34±2mm。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南梆子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1、材质：榉木材质；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2、外观：产品表面光滑，完整、光亮，无脱皮、裂痕现象；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3、音质：音质清脆，悦耳，无杂音；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4、尺寸:长230±5mm,直径40±1mm。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木鱼（7音）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1、材质：木制，坚实无疤节或劈裂；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2、外观：涂红漆、金漆；七个一组；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3、音质：发音清脆，音高清晰可辨，没有其他杂音；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4、尺寸:宽度：85-90mm、75-80mm、70-75mm、70-75mm、60-70mm、60-65mm、60-65mm；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高度：65-70mm；60-65mm；55-60mm；50-60mm；50-60mm；50-55mm；50-55mm。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碰钟</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1、材质：响铜；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2、外观：光洁，无毛刺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3、音色清脆、悦耳，发音响亮，余音环绕；延音≥6S；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4、尺寸:直径40-45mm，高度40-45mm；重量：75-80g。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堂鼓</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1、外观：鼓体着色均匀，无流挂现象；鼓锤表面打磨光滑，无疤疖,无腐蚀，无黑线；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2、声音饱满，浑厚；延音≥2S；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3、尺寸:鼓面直径约220mm，鼓体高度约320-330mm；鼓锤锤头直径13-15mm；鼓锤长度：225-230mm；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4、装配：鼓皮无褶皱，破损，张力适度；鼓钉色泽光亮，安装牢固，间隔均匀。</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5音排鼓</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1.玻璃钢鼓腔红底彩绘，配专业水牛皮，镀铬金属架；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2.共鸣性好，富有节奏感，能独奏，合奏，五只为一套，可分十个音程，能两面定位不同音高，也可手拍配音，适合于各种专业演奏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3.尺寸：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1号鼓，鼓面直径370±5mm，基音可调范围G-B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2号鼓，鼓面直径315±5mm，基音可调范围A-C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3号鼓，鼓面直径265±5mm，基音可调范围B-D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4号鼓，鼓面直径215±5mm，基音可调范围E-G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5号鼓，鼓面直径165±5mm，基音可调范围G-#A。</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松香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乐器通用型，音色明亮，附着力强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新松香表面光滑且不易上松香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第一步需要进行表面处理，可使用门锁钥匙以及家里常用的小螺丝刀，在松香表面均匀的刮花，面积刮花越大，上松香的时间较短，马尾附着松香越快!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第二步擦松香需要很耐心的放到马尾上面来回的摩擦，反复多次。擦大概15-30分钟左右，擦到弓毛的两面都有白色粉末掉落的，这样松香就上好了 !</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琴弦</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古筝弦1-5弦3套，扬琴弦1套、琵琶弦1套、中阮弦1套、大阮弦1套、柳琴弦1套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小提琴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4/4，面板：云杉，背侧板：枫木，环保油漆，仿古颜色，黑色指板，弦轴，拉线板，配件：琴弓，松香，防水随行琴盒。</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中提琴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16寸，面板：云杉材质，背侧板：枫木，环保油漆，仿古颜色，黑色指板，弦轴，拉线板，配件：琴弓，松香，防水随行琴盒。</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大提琴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材质：合板提琴，面板：白松 背侧板：枫木 指板：乌木 拉板：乌木 弦钮：乌木 琴弦：普通 颜色：亮光/哑光 弓杆：760 尺寸：1/4、2/4、3/4、4/4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配件：包袋、弓杆、松香、微调</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倍大提琴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尺寸：3/4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面板是合板，背侧是合板，琴头是实木枫木，指板是红木，旋扭为金属单联执手，拉弦板为铝合金拉板，普通琴弦、琴码、弓杆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短笛</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1.调性：C调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2.材质：胶木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3.按键：镀银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4.制作特性：无铅焊接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单簧管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音高：440/442Hz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1.音质纯净，高音区音色明亮，中音区柔和，低音区音色丰满。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2.17键，Bb调；主体管用黑色胶木材质。6环键镀镍。消音垫用软木、毛毡或弹力好、强度合适的其他材料。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3.可调式指托，高档垫片。管体表面光滑、光亮，无明显加工痕迹和其他伤痕。</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双簧管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1.音质纯净，高音区音色明亮，中音区柔和，低音区音色丰满。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2.22键，半自动，C调；主体管用黑色胶木材质。白铜按键镀银。消音垫用软木、毛毡或弹力好、强度合适的其他材料。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3.按键外表面完整，焊接严密、整洁；按键垫、软木黏合牢固、整洁；管体表面光滑、光亮，无明显加工痕迹和其他伤痕。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4.含手套、擦拭布、螺丝刀，皮盒包装。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黄铜材质、降B调，漆金，号口直径约12.5cm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布箱 配件 手套 擦拭布 号油 号嘴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中音萨克斯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降E调 口径约120mm（±3mm）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1.音质纯净，高音区音色明亮，中音区柔和，低音区音色丰满。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2.降E调；主体管用黄铜材质。表面电泳金工艺。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3.可调式指托，高档垫片。管体表面光滑、光亮，无明显加工痕迹和其他伤痕。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4.配专用箱包、手套、擦拭布 、润滑油。</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次中音萨克斯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调性：降B调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材质：精选黄铜管体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表面处理：金漆表面，金漆按键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音键系统：高音F#/前方F</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拇指钩：可调式拇指钩</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圆号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四键单排，分体圆号，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材质：黄铜管体 漆金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尺寸：管径11.65mm口径305mm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音调：bB</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号口直径：约12.5cm（±5mm）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高度：不含号嘴约47.6cm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降B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1.音质纯净，高音区音色明亮，中音区柔和，低音区音色丰满。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2.降B调；主体管用黄铜材质。表面漆金工艺。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3.配专用箱包、手套、擦拭布 、润滑油、号嘴。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次中音长号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调式：降B调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号口材质：黄铜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号口直径：220mm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内管直径：14.4mm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伸缩管材质：外管：黄铜、白铜，里管：白铜镀镍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放水键子皮垫：软木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表面处理：喷漆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包装：帆布包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配件：专用清洁布、手套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长号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调式：降B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号口材质：黄铜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号口直径：200mm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伸缩管材质：外管黄铜，里管白铜镀铭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内管直径：13.4mm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放水键子皮垫：软木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表面处理：喷漆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包装：帆布包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配件：专用擦活布、手套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上低音号(三立键)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降b调，黄铜管体，三立键式，不锈钢活塞，管径13.4mm，口径280mm表面漆金。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智能哑鼓</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1.产品尺寸 10英寸 27*27*1.5cm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2.产品材质 硅胶+楠竹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3.配件 鼓锤 转接线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4.支持安卓系统的手机、平板（Type-C接口）；和苹果系统的手机、平板（传统苹果接口）；以及win64位系统的电脑.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钟琴（32音）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钢制/铝制，木框架，音域4个八度（高、中、低音），无支架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音阶：32音，工艺：抛光打磨去峰边，铝片材质：铝材，琴键为银白色铝板,黑色琴架为风干木。可区分音，能演示高、中、低音。琴身总长度约：60~65CM，大头宽度约：30~34CM,小头宽度约：14~16CM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三角铁</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4寸、6寸、8寸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材质：铁质镀硌，胶皮黑管。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特质：金属特质乐器，音色明亮，绵延。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大锣</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响铜，厚度均匀、平整、无毛刺、无裂缝；材质：响铜；尺寸：直径≥300mm；重量：750g±30g。主音集中，谐音丰富洪亮，无明显转音及颠音。附槌。</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铜制，直径30CM，钹面光、弧度适度、圆度准确、边缘厚度一致，两面一副。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定音鼓</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调为可调5个半音，鼓腔:专用紫铜,支架:超强铝合金,m鼓圈:碳表,A3标准结构钢板,鼓身、鼓皮、定音系统和鼓棰等部分。鼓身:金属结构;鼓皮:牛、羊、驴皮均可或使用合成材料。鼓棰:短木棰，尺寸：20.23.26.完善的平衡装置将保证踏板停留在您所需的位置上，并能在演奏中调音。此款定音鼓外型美观，音色饱满，低音浑厚，高音清晰，穿透力强。配：每套配1-2个鼓槌，每个鼓配防尘罩。</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号油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通用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绒布</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33CM*33CM,麂皮绒，轻薄柔软有垂感，可以与号油搭配使用。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音乐教室1（音乐鉴赏室）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1、参考尺寸：主台：1500*600*750mm，副台：1500*500*620mm；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台身采用静电喷涂钢架方管框架带底脚，设前挡板。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副台：采用16mm厚E1级生态免漆板，预留主机箱位置，配备散热孔，设三组抽屉和拉门；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1、参考尺寸：660*590*1040mm；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2、黑色尼龙脚；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3、黑色尼龙轮；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4、黑色气杆；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5、2.5mm加厚蝴蝶底盘，可逍遥和原位锁定;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6、固定腰靠，黑色PP玻纤背框和扶手；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7、42mm密度中软高弹力切割海绵;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8、弹力座布，透气背网饰面。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可移动讲台</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1、参考尺寸：900*650*1000mm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下脚架采用φ25*2.0光滑圆管，配置4个静音刹车万向轮，方便推移也可固定。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1、参考尺寸：585*547*825mm；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2、胶壳：材质采用PP加纤材质，环保不褪色，抗裂性强。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3、椅架：采用32*18*1.5mm厚冷锻方圆钢管，220度高温静电喷涂，处理精细光滑、牢固抗冲击不变形。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4、座垫：定型海棉，弹力布面料，回弹好，坐感舒适；底座铝合金件固定连接。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5、固定防滑脚垫。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6、功能：座包翻起可连排堆叠，椅架可全折叠、节省收纳空间，拆箱即用.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1、参考尺寸：2000*500*800mm；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唱诗台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1、黑色喷塑铝制底板框架和铁结构，三层台阶设计，多层板包地毯，外观和品质满足专业和大型表演需要；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2、带脚轮使合唱台能够根据使用需求灵活移动、布置和储存放置；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3、独特底板锁定系统，允许快速地从弧形转换成直形，一个一个锁定，灵活方便通过层板调整形成弧形、直线、翼形等不同的合唱台造形组合方式；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3、每层台阶宽457mm,台阶高度205mm；每组合唱台有连接装置保证安全连接并固定到位；背部也同时配备与合唱台一体的安全护栏，并可实现收折方便存放和移动；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4、每组合唱台可容纳10-12人，8组合唱台满足80-100人的合唱要求；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5、收缩后每组的外形尺寸为L1840*W720*H1280mm；展开后每组外形尺寸L1840*W1410*H1740mm，为安全及移动性，重量72kg；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护栏</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2组钢框架（25X1.5mm方管）带黑色喷塑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护栏连接插杆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旋钮系统；紧固以及安全固定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2个存储挂件（一个在左边/一个右边）</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1、布艺窗帘，纯色全遮光吸音窗帘，含罗马杆及辅件等；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2、褶皱系数 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无感麦克风</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1.高精密咪头，高精度分离式线路；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2.咪头具有全向等指向特性，高灵敏度拾音；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3.频响宽，失真小，动态范围大；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4.灵敏度衰减开关，应对大动态拾音场合；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5.低功耗，使用时间更持久。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参数说明：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1.麦克风尺寸：32.5×24×49mm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2.麦克风重量：21g *2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3.电池容量：200mAh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4.充电时间：&lt;2H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5.充电输入接口:TYPE-C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6.关机功耗:仓内&lt;20uA，仓外200uA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7.双向互动功能：双向互动,高效沟通,终端机上备有2支麦克风, 2支麦克风可同时使用技术,教学满足教师、学生使用麦克风双向沟通,且2支麦同时使用不啸叫、不丢字、不卡顿,声场均匀</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声匀智慧终端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1.壁挂式安装，设备收放自如；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2.双话筒、线路输入、输出，学生、老师高效双向沟通；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3.带蓝牙无线连接、AUX接口，更方便快捷的连接方式，可直接同步电脑、手机音频，播放WMA、MP3、MP4等格式音频；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4.NFC卡片解锁，设备安全防护；</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5.设备即放即充，快速充电；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6.多EQ选择，适应不同教学环境。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参数说明：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1.终端机尺寸：148.5*109.5*43.5mm；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2.终端机重量：267g；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3.音频输出接口：Aux、RCA接口；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4.充电电压：5V；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5.充电电流：&lt; 500mA；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6.实时抑制功能：内置DSP数字信号处理算法,实时抑制环境噪音实时抑制环境噪音与设备啸叫,还原人声真实质感,降低教学声污染,尤其适合多设备共存的复杂环境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7.同步功能：带蓝牙无线连接、AUX接口,更方便快捷的连接方式,可直接同步电脑、手机音频,播放WMA、MP3、MP4等格式音频;防止学生误操作或盗用,保障教学秩序;后台可配置多用户权限,支持分级管理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空间感阵列模组</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1.多点M8吊挂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2.金属防护网，6mm圆形透声孔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3.可280°调节音响角度，适应不同安装环境；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1.扬声器单音箱额定功率：20W；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2.扬声器总功率：80W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3.喇叭额定阻抗：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4.特性灵敏度：1.6KHZ（0 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5.输出声压级：1M 1W  88d；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6.额定频率范围:20HZ~20KHZ；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7.音频频率响应范围：20HZ~20KHZ；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8.覆盖角度H×V：135°；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9.扬声器单元：2*4；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10扬声器尺寸:148.5*109.5*43.5mm；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11.扬声器主机：1868g；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12.扬声器副机：1800g * 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13.音频输入接口：RCA接口；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14.声源同步功能：智慧终端组合音响可对接领夹麦克风组成无感扩声系统,通过智慧终端内置的DSP抑制算法芯片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15.灵活教学适配功能：针对不同教学场景(普通教室、阶梯教室、礼堂)配备不同教学系统(1拖4、1拖8),给客户多种选择</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空间阵列模组辅音箱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1.多点M8吊挂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2.金属防护网，6mm圆形透声孔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可280°调节音响角度，适应不同安装环境。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1.辅助扬声器总功率：20W*3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2.喇叭额定阻抗：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3.特性灵敏度：1.6KHZ（0 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4.输出声压级：1M 1W  88d；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5.额定频率范围:20HZ~20KHZ；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6.音频频率响应范围：20HZ~20KHZ；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7.覆盖角度H×V：135°；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8.扬声器单元：2*4；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9.扬声器尺寸:148.5*109.5*43.5mm；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10.扬声器主机：1868g；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11.扬声器副机：1800g * 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12.音频输入接口：RCA接口；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节拍器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1.节拍速度：40-208拍/分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2.拍子型：0、2、3、4、6五种选择。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3.节拍音色：机械声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4.尺寸：110*110*220mm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5.颜色：黒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6.结构：金属大机芯。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常见问题:注意事项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（1）放置在水平表明使用节拍器；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（2）如果摆杆停止时不垂直，不要强行将他回复到中间位置，请再上一点发条，然后启动；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（3）节拍器使用完后，请将摆杆放回上方的勾中，盖上盖子；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（4）不要在潮湿或多露的地方使用或放置节拍器，以免功能受影响；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（5）清洁节拍器时，请用干的柔软的布清洁，不要使用挥发性的化学物品，以免损坏节拍器；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（6）不要拆卸节拍器部件，如重量滑块，摆杆等。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校音项目：十二平均律，吉他，贝斯，小提琴，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尤克里里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校音范围：A(27.5Hz)-C(4186.0Hz)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A4范围：430-450Hz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隆半调：b,bp,bbb,pp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校音精度：±1音分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显示方式：LCD显示屏，LED指示灯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拾音方式：麦克风，外接拾音器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校音模式：自动，手动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定音范围：十二平均律（2A-6A）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吉他(6E 5A 4D 3G 2B 1E)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贝斯(LB4E 3A 2D1GHC)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小提琴（4G 3D 2A 1E）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尤克里里（4G 3C 2E 1A）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定音精度：±0.5音分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节拍：0~9</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节奏型：..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速度范围：30-250bpm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节拍音：电子音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节拍误差：±0.3%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电源：3V(2XAAA)电池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体积：105（W)×18（D)×65（H)mm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重量：75g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加厚环保塑料，防止乐谱过厚导致自动翻页，尺寸（±5mm):长15cm*最宽处5cm。手工测量可能会有误差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立式钢琴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1、立式钢琴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2、外观尺寸 长≥149cm，宽≥60cm，高≥119cm；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3、五金件 钢琴外观可见的五金件采用银色不易氧化的金属；顶盖铰链有加强筋的结构，能更稳定安全支撑顶盖。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4、外壳 哑光黑色，采用新型环保材料。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6、下门 采用下门边框装配结构，使下门板开合时避免与琴腿碰撞。</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8、铁板工艺 翻砂工艺铸铁板。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9、铁板高度 ≥109.5cm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10、琴弦 圆形弦（截面为正圆形），镀锡防锈钢线；最大有效弦长不少于118cm，30#音有效弦长不小于94cm。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11、音板 采用寒带地区缓慢生长的鱼鳞松制作的实木音板；音板须有防开裂防变形的特殊工艺或结构。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12、肋木 使用与音板相同材质木材，数量不少于10根。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13、弦轴板 由15-17层坚硬的榉木交错压榨制成。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14、弦码 采用多层榉木制作。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15、背柱 实木制作，五背柱设计，且背柱截面尺寸≥80*70mm；背柱整体严密牢固，无明显缝隙或粘贴痕迹。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17、中盘 使用稳定不易变形的木材制作而成。除螺丝外中盘上面不加装任何金属加固或金属链接结构。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18、弦槌 要求用纯羊毛毡及鹅耳枥木制作。弦槌木芯采用数控设备成形，加以铆钉夹具装配，使弦槌整体更牢固。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19、击弦机部件 转击器、联动杆、制音杆要求使用鹅耳枥木制作；鹅耳枥木实木（非多层）制作的调节档，不得有金属包裹；使用ABS或碳纤维材质的顶杆，顶杆轴架的粘合面底部增加藏胶槽，使组件装配更稳固，增加粘连的稳定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音乐教室2（合唱室）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1、参考尺寸：主台：1500*600*750mm，副台：1500*500*620mm；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台身采用静电喷涂钢架方管框架带底脚，设前挡板。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副台：采用16mm厚E1级生态免漆板，预留主机箱位置，配备散热孔，设三组抽屉和拉门；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1、参考尺寸：660*590*1040mm；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2、黑色尼龙脚；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3、黑色尼龙轮；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4、黑色气杆；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5、2.5mm加厚蝴蝶底盘，可逍遥和原位锁定;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6、固定腰靠，黑色PP玻纤背框和扶手；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7、42mm密度中软高弹力切割海绵;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8、弹力座布，透气背网饰面。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可移动讲台</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1、参考尺寸：900*650*1000mm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下脚架采用φ25*2.0光滑圆管，配置4个静音刹车万向轮，方便推移也可固定。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1、参考尺寸：585*547*825mm；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2、胶壳：材质采用PP加纤材质，环保不褪色，抗裂性强。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3、椅架：采用32*18*1.5mm厚冷锻方圆钢管，220度高温静电喷涂，处理精细光滑、牢固抗冲击不变形。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4、座垫：定型海棉，弹力布面料，回弹好，坐感舒适；底座铝合金件固定连接。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5、固定防滑脚垫。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6、功能：座包翻起可连排堆叠，椅架可全折叠、节省收纳空间，拆箱即用.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1、参考尺寸：2000*500*800mm；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乐器高柜</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1、参考尺寸：5000*500*2200mm；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3、产品尺寸：5000×500×2200mm±10mm；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参数：柜体采用≥16mm厚E1级三聚氰胺环保饰面板加工制作，不低于1.5mm厚塑制封边条机械封边，柜体组合柜造型，部分板式柜门造型，部分柜门配备磁吸板，左右两侧下部柜门配双移门板，上下为移门轨道，一块为装饰性洞洞板，一块为可粘贴磁吸板，部分柜体配pp储物盒。中间上部配可挂式格栅板，下部造型可摆放乐器。</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合唱台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1、参考尺寸:三层尺寸1220*1150*610±10mm；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每层台阶高380±10mm，高200±10mm；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转换成小舞台尺寸:1530*1220*300±10mm；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2、材质：高密度PE；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3、工艺：吹塑制作，材质轻，耐磨抗压，抗氧化功能强，长期使用也不会产生开裂现象，硬度和强度高，吸水性小，优良的电绝缘性，耐寒；表面带有音乐符号为模具一体成型。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4、功能：合唱台台阶可翻转设计，可调整为两层合唱台也可以变为一个整体的小舞台，侧面轮子设计方便推移。</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1、布艺窗帘，纯色全遮光吸音窗帘，含罗马杆及辅件等；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2、褶皱系数 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无感麦克风</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1.高精密咪头，高精度分离式线路；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2.咪头具有全向等指向特性，高灵敏度拾音；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3.频响宽，失真小，动态范围大；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4.灵敏度衰减开关，应对大动态拾音场合；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5.低功耗，使用时间更持久。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参数说明：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1.麦克风尺寸：32.5×24×49mm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2.麦克风重量：21g *2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3.电池容量：200mAh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4.充电时间：&lt;2H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5.充电输入接口:TYPE-C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6.关机功耗:仓内&lt;20uA，仓外200uA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7.双向互动功能：双向互动,高效沟通,终端机上备有2支麦克风, 2支麦克风可同时使用技术,教学满足教师、学生使用麦克风双向沟通,且2支麦同时使用不啸叫、不丢字、不卡顿,声场均匀</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声匀智慧终端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1.壁挂式安装，设备收放自如；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2.双话筒、线路输入、输出，学生、老师高效双向沟通；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3.带蓝牙无线连接、AUX接口，更方便快捷的连接方式，可直接同步电脑、手机音频，播放WMA、MP3、MP4等格式音频；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4.NFC卡片解锁，设备安全防护；</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5.设备即放即充，快速充电；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6.多EQ选择，适应不同教学环境。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参数说明：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1.终端机尺寸：148.5*109.5*43.5mm；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2.终端机重量：267g；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3.音频输出接口：Aux、RCA接口；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4.充电电压：5V；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5.充电电流：&lt; 500mA；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6.实时抑制功能：内置DSP数字信号处理算法,实时抑制环境噪音实时抑制环境噪音与设备啸叫,还原人声真实质感,降低教学声污染,尤其适合多设备共存的复杂环境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7.同步功能：带蓝牙无线连接、AUX接口,更方便快捷的连接方式,可直接同步电脑、手机音频,播放WMA、MP3、MP4等格式音频;防止学生误操作或盗用,保障教学秩序;后台可配置多用户权限,支持分级管理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空间感阵列模组</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1.多点M8吊挂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2.金属防护网，6mm圆形透声孔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3.可280°调节音响角度，适应不同安装环境；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1.扬声器单音箱额定功率：20W；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2.扬声器总功率：80W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3.喇叭额定阻抗：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4.特性灵敏度：1.6KHZ（0 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5.输出声压级：1M 1W  88d；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6.额定频率范围:20HZ~20KHZ；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7.音频频率响应范围：20HZ~20KHZ；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8.覆盖角度H×V：135°；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9.扬声器单元：2*4；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10扬声器尺寸:148.5*109.5*43.5mm；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11.扬声器主机：1868g；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12.扬声器副机：1800g * 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13.音频输入接口：RCA接口；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14.声源同步功能：智慧终端组合音响可对接领夹麦克风组成无感扩声系统,通过智慧终端内置的DSP抑制算法芯片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15.灵活教学适配功能：针对不同教学场景(普通教室、阶梯教室、礼堂)配备不同教学系统(1拖4、1拖8),给客户多种选择</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空间阵列模组辅音箱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1.多点M8吊挂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2.金属防护网，6mm圆形透声孔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可280°调节音响角度，适应不同安装环境。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1.辅助扬声器总功率：20W*3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2.喇叭额定阻抗：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3.特性灵敏度：1.6KHZ（0 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4.输出声压级：1M 1W  88d；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5.额定频率范围:20HZ~20KHZ；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6.音频频率响应范围：20HZ~20KHZ；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7.覆盖角度H×V：135°；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8.扬声器单元：2*4；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9.扬声器尺寸:148.5*109.5*43.5mm；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10.扬声器主机：1868g；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11.扬声器副机：1800g * 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12.音频输入接口：RCA接口；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节拍器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1.节拍速度：40-208拍/分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2.拍子型：0、2、3、4、6五种选择。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3.节拍音色：机械声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4.尺寸：110*110*220mm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5.颜色：黒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6.结构：金属大机芯。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常见问题:注意事项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（1）放置在水平表明使用节拍器；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（2）如果摆杆停止时不垂直，不要强行将他回复到中间位置，请再上一点发条，然后启动；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（3）节拍器使用完后，请将摆杆放回上方的勾中，盖上盖子；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（4）不要在潮湿或多露的地方使用或放置节拍器，以免功能受影响；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（5）清洁节拍器时，请用干的柔软的布清洁，不要使用挥发性的化学物品，以免损坏节拍器；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（6）不要拆卸节拍器部件，如重量滑块，摆杆等。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校音功能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校音项目：十二平均律，吉他，贝斯，小提琴，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尤克里里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校音范围：A(27.5Hz)-C(4186.0Hz)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A4范围：430-450Hz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隆半调：b,bp,bbb,pp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校音精度：±1音分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显示方式：LCD显示屏，LED指示灯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拾音方式：麦克风，外接拾音器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校音模式：自动，手动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定音范围：十二平均律（2A-6A）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吉他(6E 5A 4D 3G 2B 1E)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贝斯(LB4E 3A 2D1GHC)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小提琴（4G 3D 2A 1E）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尤克里里（4G 3C 2E 1A）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定音精度：±0.5音分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节拍：0~9</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节奏型：..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速度范围：30-250bpm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节拍音：电子音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节拍误差：±0.3%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电源：3V(2XAAA)电池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体积：105（W)×18（D)×65（H)mm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重量：75g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乐谱夹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加厚环保塑料，防止乐谱过厚导致自动翻页，尺寸（±5mm):长15cm*最宽处5cm。手工测量可能会有误差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1、高度：121cm；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音板：实木云杉音板，采用实木不等厚设计；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榔头：FFW羊毛毡榔头；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4、缓降器：零角度缓降器，半翻式上盖板设计。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教学用智能电钢琴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声学品质：全音域音准误差≤±3音分；相邻两键音准误差之差≤3音分。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演奏性能：白键下沉偏差≤1.0mm；相邻两白键高度偏差≤0.5mm；全键盘白键表面高度误差≤2.0mm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键盘：88键逐级配重重锤钢琴键盘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触键力度：3种标准钢琴力度曲线，轻、重、标准，触感灵敏度调节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显示：点阵式液晶显示屏(128px*64px)</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最大复音数：256</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示范曲：涵盖人音社课本1-9年级课件曲目，不低于285首曲目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拓展示范曲：不低于50首，包含维也纳圆舞曲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音色：不低于270种音色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音色效果：6种混响效果，6种合唱效果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录音功能：单曲最大6000音符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音色控制：三角大钢琴音色，双音色，双键盘(可调分离点)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双音色：双钢琴音色，用户编辑多重组合音色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键盘分离：双钢琴、弦乐重奏、管乐合奏、钢琴+弦乐、吉他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移调：25档，(0,±12)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节拍器：内置节拍器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USB接 口：USB MIDI计算机接口，可实现MIDI键盘功能，编曲配器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踏板接口， 电源接口，耳机插孔×2,立体声线路输入/输出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踏板功能：弱音踏板，延音踏板，制音踏板，仿传统大三角钢琴踏板功能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音响系统：立体声双喇叭音响系统，功率：18*2W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电源：DC16V/2600mA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尺寸：1381*444*838mm±5mm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净重：41kg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配件：电源适配器，保修卡，合格证书，使用说明书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谱台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材质：金属 加粗大谱架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尺寸：三节升降，最高可达约155CM，谱面约48*36CM，支架折叠后为约58CM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颜色：黑色</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箱鼓音乐凳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尺寸：300mm*300mm*450mm（误差±10mm）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材质：杨木芯 椴木皮， 原木色。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音质：内置响弦音色细致，低音饱满。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音乐教室3（音乐创编室）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1、参考尺寸：1200*700*750mm；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3、台面参数：采用12mm厚纤丝抗倍特板，台面下设理线架;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桌腿：采用≥60×30×1.2mm门字形钢架。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横梁：采用≥40×20×1.2mm方管。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台下设有柜体及后衬挡板，采用16mm厚生态免漆板，截面封边。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可放置设备，预留散热孔。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表面处理：钢架整体采用静电粉末喷涂处理；</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教具储藏室1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钢制置物货架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2、全金属结构4～5层，立柱≥1.0mm、层板≥0.8 mm的冷轧钢板，表面喷塑处理，层数间距自由调整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参数：铝合金框架规格：前侧腿≥25×35×1.2㎜，后侧腿≥35×35×1.2㎜，基材采用≥16mm厚E1级三聚氰胺板制作,其它部位采用≥1.5mm厚塑制封边条机械封边。上部为板式对开门边框，内嵌≥4mm厚玻璃，柜身内设≥25mm厚隔板二层。下部为板式对开门，内设≥25mm厚隔板一层。</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1、布艺窗帘，纯色全遮光吸音窗帘，含罗马杆及辅件等；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2、褶皱系数 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1、参考尺寸：1200*700*750mm；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3、台面参数：采用12mm厚纤丝抗倍特板，台面下设理线架;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桌腿：采用≥60×30×1.2mm门字形钢架。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横梁：采用≥40×20×1.2mm方管。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台下设有柜体及后衬挡板，采用16mm厚生态免漆板，截面封边。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可放置设备，预留散热孔。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表面处理：钢架整体采用静电粉末喷涂处理；</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钢制置物货架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2、全金属结构4～5层，立柱≥1.0mm、层板≥0.8 mm的冷轧钢板，表面喷塑处理，层数间距自由调整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参数：铝合金框架规格：前侧腿≥25×35×1.2㎜，后侧腿≥35×35×1.2㎜，基材采用≥16mm厚E1级三聚氰胺板制作,其它部位采用≥1.5mm厚塑制封边条机械封边。上部为板式对开门边框，内嵌≥4mm厚玻璃，柜身内设≥25mm厚隔板二层。下部为板式对开门，内设≥25mm厚隔板一层。</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1、布艺窗帘，纯色全遮光吸音窗帘，含罗马杆及辅件等；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2、褶皱系数 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航拍无人机1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飞行器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起飞重量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724 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尺寸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折叠（不带桨）：长 214.19 毫米，宽 100.63 毫米，高 89.17 毫米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展开（不带桨）：长 266.11 毫米，宽 325.47 毫米，高 106.00 毫米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最大上升速度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最大下降速度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最大水平飞行速度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等效海平面，等效无风环境：21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等效海平面，6 米/秒等效顺风环境，无人机飞行方向与风向一致：27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最大起飞海拔高度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6000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最长飞行时间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45 分钟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最长悬停时间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41 分钟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最大续航里程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最大抗风速度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最大可倾斜角度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36°</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至 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卫星导航系统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GPS + Galileo + BeiDou</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悬停精度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垂直：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±0.1 米（视觉定位正常工作时）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±0.5 米（卫星定位正常工作时）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水平：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±0.3 米（视觉定位正常工作时）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±0.5 米（卫星定位正常工作时）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影像传感器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广角相机：1 英寸 CMOS，有效像素 5000 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中长焦相机：1/1.3 英寸 CMOS，有效像素 4800 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镜头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广角相机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视角：84°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等效焦距：24 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光圈：f/1.8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对焦点：0.5 米至无穷远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中长焦相机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视角：35°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等效焦距：70 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光圈：f/2.8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对焦点：3 米至无穷远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ISO 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普通：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12800（普通色彩）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3200（D-Log 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3200（HLG）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慢动作：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6400（普通色彩）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3200（D-Log 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3200（HLG）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照片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6400（1200 万像素）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3200（4800 万像素和 5000 万像素）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快门速度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广角相机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1200 万拍照：1/8000 秒至 2 秒（2.5 秒到 8 秒快门为模拟长曝光）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5000 万拍照：1/8000 秒至 2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中长焦相机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1200 万拍照：1/16000 秒至 2 秒（2.5 秒到 8 秒快门为模拟长曝光）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4800 万拍照：1/8000 秒至 2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最大照片尺寸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广角相机：8192×6144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中长焦相机：8064×6048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照片拍摄模式及参数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广角相机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单张拍摄：1200 万像素和 5000 万像素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多张连拍：1200 万像素，3/5/7 张；5000 万像素，3/5 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自动包围曝光（AEB）：1200 万像素，3/5/7 张；5000 万像素，3/5 张@0.7EV 步长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定时拍摄：1200 万像素，2/3/5/7/10/15/20/30/60 秒；5000 万像素，5/7/10/15/20/30/60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中长焦相机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单张拍摄：1200 万像素和 4800 万像素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多张连拍：1200 万像素，3/5/7 张；4800 万像素，3/5 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自动包围曝光（AEB）：1200 万像素，3/5/7 张；4800 万像素，3/5 张@0.7EV 步长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定时拍摄：1200 万像素，2/3/5/7/10/15/20/30/60 秒；4800 万像素，5/7/10/15/20/30/60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图片格式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JPEG/DNG（RAW）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录像分辨率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广角相机及中长焦相机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H.264/H.265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4K：3840 × 2160@24/25/30/48/50/60/120*fps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FHD：1920 × 1080@24/25/30/48/50/60/120*/240*fps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竖拍 2.7K：1512 × 2688@24/25/30/48/50/60fps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视频格式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MP4（MPEG-4 AVC/H.264，HEVC/H.265）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视频最大码率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H.264/H.265 码率：130Mbps*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色彩模式与采样方式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广角相机及中长焦相机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普通（FHD/2.7K）：8 位 4:2:0（H.264）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普通（FHD/2.7K）：10 位 4:2:0（H.265）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HLG/D-Log M（FHD/2.7K）：10 位 4:2:0（H.264/H.265）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普通/HLG/D-Log M（4K）：10 位 4:2:0（H.265）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数字变焦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广角相机：1 至 2.9 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中长焦相机：3 至 9 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云台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稳定系统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三轴机械云台（俯仰、横滚、偏航）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结构设计范围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俯仰：-135° 至 70°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横滚：-50° 至 50°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偏航：-27° 至 27°</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可控转动范围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俯仰：-90° 至 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偏航：-5° 至 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最大控制转速（俯仰）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角度抖动量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±0.0037°</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感知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感知系统类型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全向双目视觉系统，辅以机身前视激光雷达和底部红外传感器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前视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测距范围：0.5 米至 18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可探测范围：0.5 米至 200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≤15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视角（FOV）：水平 90°，垂直 72°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后视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测距范围：0.5 米至 18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≤14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视角（FOV）：水平 90°，垂直 72°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侧视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测距范围：0.5 米至 30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≤14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视角（FOV）：水平 90°，垂直 72°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上视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测距范围：0.5 米至 18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≤6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视角（FOV）：前后 72°，左右 90°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下视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测距范围：0.3 米至 14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≤6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视角（FOV）：前后 106°，左右 90°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有效使用环境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前、后、左、右、上方：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表面有丰富纹理，光照条件充足（大于 1 lux）。</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表面有丰富纹理，光照条件充足（大于 1 lux），表面为漫反射材质且反射率大于 20%（如墙面、树木、人等）。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三维红外测距传感器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前视激光雷达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测距范围：夜间 0.5 米至 25 米（反射率大于 10%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视角（FOV）：上下 60°，左右 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下视红外测距传感器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测距范围：0.3 米至 8 米（反射率大于 10%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视角（FOV）：前后 60°，左右 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图传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图传方案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O4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实时图传质量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遥控器：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1080p/30fps，1080p/60fps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工作频段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5.170 GHz 至 5.250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发射功率（EIRP）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&lt;33 dBm（FCC）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&lt;20 dBm（CE/SRRC/MIC）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&lt;23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5.8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&lt;33 dBm（FCC）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&lt;30 dBm（SRRC）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&lt;14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最大信号有效距离（无干扰、无遮挡）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FCC：20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CE：10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SRRC：10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MIC：10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最大信号有效距离（有干扰、无遮挡）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强干扰：都市中心，约 1.5 至 4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中干扰：近郊县城，约 4 至 10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微干扰：远郊/海边，约 10 至 20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最大信号有效距离（有干扰、有遮挡）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微干扰有建筑物遮挡：约 0 公里至 0.5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微干扰有树丛遮挡：约 0.5 公里至 3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最大下载速率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O4：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10MB/s（搭配 DJI RC-N3 遥控器）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10MB/s（搭配 DJI RC 2 带屏遥控器）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Wi-Fi 5：30MB/s*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最低延时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飞行器 + 遥控器：约 120 毫秒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天线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六天线，二发四收</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融媒体实验室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航拍无人机2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飞行器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起飞重量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标准起飞重量：249.9 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最大起飞重量：约 310 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尺寸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折叠（不带桨）：长 157 毫米，宽 95 毫米，高 68 毫米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展开（含桨叶）：长 304 毫米，宽 380 毫米，高 91 毫米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最大上升速度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米/秒（运动挡）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米/秒（普通挡）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米/秒（平稳挡）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最大下降速度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米/秒（运动挡，搭载 DJI Mini 5 Pro 长续航智能飞行电池）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米/秒（运动挡，搭载 DJI Mini 5 Pro 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米/秒（普通挡）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米/秒（平稳挡）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最大水平飞行速度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 米/秒（运动挡，搭载 DJI Mini 5 Pro 长续航智能飞行电池）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 米/秒（运动挡，搭载 DJI Mini 5 Pro 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 米/秒（跟随模式）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最大起飞海拔高度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6000 米（搭载 DJI Mini 5 Pro 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4500 米（搭载 DJI Mini 5 Pro 长续航智能飞行电池）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2000 米（安装 DJI Mini 5 Pro 快拆全向桨叶保护罩（含桨叶））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最长飞行时间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36 分钟（搭载 DJI Mini 5 Pro 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 分钟（搭载 DJI Mini 5 Pro 长续航智能飞行电池）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有效飞行时间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 分钟（搭载 DJI Mini 5 Pro 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33 分钟（搭载 DJI Mini 5 Pro 长续航智能飞行电池）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最大续航里程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 公里（搭载 DJI Mini 5 Pro 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 公里（搭载 DJI Mini 5 Pro 长续航智能飞行电池）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最大抗风速度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最大可倾斜角度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至 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卫星导航系统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GPS + Galileo + BeiDou</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悬停精度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垂直：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±0.1 米（视觉定位正常工作时）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±0.5 米（卫星定位正常工作时）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水平：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±0.3 米（视觉定位正常工作时）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±0.5 米（卫星定位正常工作时）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机载内存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42GB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影像传感器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 英寸 CMOS，有效像素 5000 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镜头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视角：84°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等效焦距：24 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光圈：f/1.8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对焦点：0.5 米至无穷远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ISO 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普通：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12800（普通色彩）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3200（D-Log 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3200（HLG）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慢动作：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6400（普通色彩）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3200（D-Log 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3200（HLG）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照片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6400（1200 万像素）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 至 3200（5000 万像素）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快门速度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1200 万拍照：1/8000 秒至 2 秒（2.5 秒到 8 秒快门为模拟长曝光）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5000 万拍照：1/8000 秒至 2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最大照片尺寸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8192×6144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照片拍摄模式及参数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单张拍摄：1200 万像素和 5000 万像素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多张连拍：1200 万像素，3/5/7 张；5000 万像素，3/5 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自动包围曝光（AEB）：1200 万像素，3/5/7 张；5000 万像素，3/5 张@0.7EV 步长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定时拍摄：1200 万像素，2/3/5/7/10/15/20/30/60 秒；5000 万像素，5/7/10/15/20/30/60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图片格式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JPEG/DNG（RAW）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录像分辨率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H.264/H.265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4K：3840×2160@24/25/30/48/50/60/120*fps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FHD：1920×1080@24/25/30/48/50/60/120*/240*fps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视频格式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MP4（MPEG-4 AVC/H.264，HEVC/H.265）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视频最大码率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H.264/H.265 码率：130Mbps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支持文件系统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exFAT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色彩模式与采样方式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普通（FHD）：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位 4:2:0（H.264）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普通（FHD/4K）：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位 4:2:0（H.265）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HLG/D-Log 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位 4:2:0（H.265）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数字变焦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1200 万像素拍照：1 至 3 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4K：1 至 3 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FHD：1 至 4 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云台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稳定系统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三轴机械云台（俯仰、横滚、偏航）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结构设计范围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俯仰：-135° 至 80°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横滚：-230° 至 95°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偏航：-25° 至 25°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可控转动范围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俯仰：-90° 至 55°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横滚：-180° 至 45°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最大控制转速（俯仰）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角度抖动量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±0.005°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感知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感知系统类型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全向双目视觉系统，辅以机身前视激光雷达和底部红外传感器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前视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测距范围：0.5 米至 18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可探测范围：0.5 米至 200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≤15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视角（FOV）：水平 90°，垂直 72°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后视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测距范围：0.5 米至 18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≤14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视角（FOV）：水平 90°，垂直 72°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侧视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测距范围：0.5 米至 12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≤14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视角（FOV）：水平 90°，垂直 72°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上视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测距范围：0.5 米至 18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≤6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视角（FOV）：前后 72°，左右 90°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下视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测距范围：0.3 米至 14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有效避障速度：飞行速度 ≤6 米/秒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视角（FOV）：前后 106°，左右 90°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有效使用环境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前、后、左、右、上方：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表面有丰富纹理，光照条件充足（大于 1 lux）。</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表面有丰富纹理，光照条件充足（大于 1 lux），表面为漫反射材质且反射率大于 20%（如墙面、树木、人等）。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三维红外测距传感器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前视激光雷达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测距范围：夜间 0.5 米至 25 米（反射率大于 10%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视角（FOV）：上下 60°，左右 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下视红外测距传感器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测距范围：0.3 米至 8 米（反射率大于 10%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视角（FOV）：前后 60°，左右 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图传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图传方案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O4+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实时图传质量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遥控器：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1080p/30fps，1080p/60fps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工作频段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5.170 GHz 至 5.250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各国家/地区支持的工作频段及其对应的可用范围有所不同，详情请参考当地法律法规。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发射功率（EIRP）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&lt;33 dBm（FCC）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&lt;20 dBm（CE/SRRC/MIC）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&lt;23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5.8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&lt;33 dBm（FCC）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&lt;30 dBm（SRRC）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&lt;14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最大信号有效距离（无干扰、无遮挡）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FCC：20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CE：10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SRRC：10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MIC：10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最大信号有效距离（有干扰、无遮挡）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强干扰：都市中心，约 1.5 公里至 4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中干扰：近郊县城，约 4 公里至 10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微干扰：远郊/海边，约 10 公里至 20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最大信号有效距离（有干扰、有遮挡）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微干扰有建筑物遮挡：约 0 公里至 0.7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微干扰有树丛遮挡：约 0.7 公里至 4.5 公里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最大下载速率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O4+：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10MB/s（搭配 DJI RC-N3 遥控器）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10MB/s（搭配 DJI RC 2 带屏遥控器）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Wi-Fi 6：最大 100MB/s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最低延时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飞行器+遥控器：约 120 毫秒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天线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四天线，二发四收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融媒体实验室</w: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52400"/>
                      <wp:effectExtent l="0" t="0" r="0" b="0"/>
                      <wp:wrapNone/>
                      <wp:docPr id="75" name="图片 93"/>
                      <wp:cNvGraphicFramePr/>
                      <a:graphic xmlns:a="http://schemas.openxmlformats.org/drawingml/2006/main">
                        <a:graphicData uri="http://schemas.openxmlformats.org/drawingml/2006/picture">
                          <pic:pic xmlns:pic="http://schemas.openxmlformats.org/drawingml/2006/picture">
                            <pic:nvPicPr>
                              <pic:cNvPr id="93" name="图片 93"/>
                              <pic:cNvPicPr/>
                              <pic:nvPr/>
                            </pic:nvPicPr>
                            <pic:blipFill>
                              <a:blip r:embed="rId4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0288;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42"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76" name="图片 94"/>
                      <wp:cNvGraphicFramePr/>
                      <a:graphic xmlns:a="http://schemas.openxmlformats.org/drawingml/2006/main">
                        <a:graphicData uri="http://schemas.openxmlformats.org/drawingml/2006/picture">
                          <pic:pic xmlns:pic="http://schemas.openxmlformats.org/drawingml/2006/picture">
                            <pic:nvPicPr>
                              <pic:cNvPr id="94" name="图片 94"/>
                              <pic:cNvPicPr/>
                              <pic:nvPr/>
                            </pic:nvPicPr>
                            <pic:blipFill>
                              <a:blip r:embed="rId43"/>
                              <a:stretch/>
                            </pic:blipFill>
                            <pic:spPr bwMode="auto">
                              <a:xfrm>
                                <a:off x="0" y="0"/>
                                <a:ext cx="53340" cy="1752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77" name="图片 95"/>
                      <wp:cNvGraphicFramePr/>
                      <a:graphic xmlns:a="http://schemas.openxmlformats.org/drawingml/2006/main">
                        <a:graphicData uri="http://schemas.openxmlformats.org/drawingml/2006/picture">
                          <pic:pic xmlns:pic="http://schemas.openxmlformats.org/drawingml/2006/picture">
                            <pic:nvPicPr>
                              <pic:cNvPr id="95" name="图片 95"/>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355600"/>
                      <wp:effectExtent l="0" t="0" r="0" b="0"/>
                      <wp:wrapNone/>
                      <wp:docPr id="78" name="图片 96"/>
                      <wp:cNvGraphicFramePr/>
                      <a:graphic xmlns:a="http://schemas.openxmlformats.org/drawingml/2006/main">
                        <a:graphicData uri="http://schemas.openxmlformats.org/drawingml/2006/picture">
                          <pic:pic xmlns:pic="http://schemas.openxmlformats.org/drawingml/2006/picture">
                            <pic:nvPicPr>
                              <pic:cNvPr id="96" name="图片 96"/>
                              <pic:cNvPicPr/>
                              <pic:nvPr/>
                            </pic:nvPicPr>
                            <pic:blipFill>
                              <a:blip r:embed="rId44"/>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028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44" o:title=""/>
                    </v:shape>
                  </w:pict>
                </mc:Fallback>
              </mc:AlternateConten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手持拍摄设备</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通用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尺寸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长 139.7 毫米，宽 42.2 毫米，高 33.5 毫米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重量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179 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麦克风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触控屏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尺寸：2.0 英寸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分辨率：556 × 314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亮度：700 尼特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支持存储卡类型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microSD 卡（最大支持 1TB）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云台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可控转动范围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平移：-235° 至 58°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俯仰：-120° 至 70°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横滚：-45° 至 45°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结构转动范围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平移：-240° 至 63°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俯仰：-180° 至 98°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横滚：-220° 至 63°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最大控制转速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180.0°/秒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抖动抑制量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±0.005°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相机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影像传感器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 英寸 CMOS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镜头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等效焦距：20 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光圈：f/2.0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焦点范围：0.2 米至无穷远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ISO 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拍照：50 至 6400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录像：50 至 6400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低光视频：50 至 16000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慢动作：50 至 6400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电子快门速度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拍照：1/8000 秒至 1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录像：1/8000 秒至帧率限制快门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照片最大分辨率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16:9，3840×2160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1:1，3072×3072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变焦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数码变焦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拍照：3840×2160，2 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录像：1080p，4 倍；2.7K，3 倍；4K，2 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UVC &amp; 直播：1080p，4 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慢动作/延时摄影：不支持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照片拍摄模式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单张照片：约 940 万像素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倒计时拍照：关闭/3/5/7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全景模式：180°，3×3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普通录影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4K（16:9）：3840×2160@24/25/30/48/50/60fps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2.7K（16:9）：2688×1512@24/25/30/48/50/60fps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1080p（16:9）：1920×1080@24/25/30/48/50/60fps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3K（1:1）：3072×3072@24/25/30/48/50/60fps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2160p（1:1）：2160×2160@24/25/30/48/50/60fps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1080p（1:1）：1080×1080@24/25/30/48/50/60fps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3K（9:16）：1728×3072@24/25/30/48/50/60fps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2.7K（9:16）：1512×2688@24/25/30/48/50/60fps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1080p（9:16）：1080×1920@24/25/30/48/50/60fps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慢动作录影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4K（16:9）：3840×2160@120fps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2.7K：2688×1512@120fps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1080p：1920×1080@120/240fps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运动延时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4K/2.7K/1080p@25/30fps：Auto/×2/×5/×10/×15/×30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静止延时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4K/2.7K/1080p@25/30fps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拍摄间隔：0.5/1/2/3/4/5/6/8/10/15/20/25/30/40/60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拍摄时长：5/10/20/30 分钟，1/2/3/5/∞ 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轨迹延时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4K/2.7K/1080p@25/30fps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拍摄间隔：0.5/1/2/3/4/5/6/8/10/15/20/25/30/40/60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拍摄时长：5/10/20/30 分钟，1/2/3/5 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轨迹可设置 4 个点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低光视频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4K（16:9）：3840×2160@24/25/30fps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1080p：1920×1080@24/25/30fps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视频存储最大码流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130Mbps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支持文件系统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exFAT</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图片格式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JPEG/JPEG + DNG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视频格式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MP4（H.264/HEVC）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内置存储容量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无内置储存，可通过 microSD 卡插槽拓展内存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音频输出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48 kHz 16-bit；AAC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锂离子电池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容量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1300 毫安时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能量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10.01 瓦时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7.70 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使用环境温度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0°C 至 40°C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5°C 至 45°C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166 分钟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 分钟充满 80%，32 分钟充满 100%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Wi-Fi 工作频率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5.150 GHz 至 5.250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Wi-Fi 协议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802.11 a/b/g/n/ac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Wi-Fi 发射功率（EIRP）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&lt;23 dBm（FCC）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&lt;20 dBm（CE/SRRC/MIC）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&lt;23 dBm（FCC/SRRC）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&lt;20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5.8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&lt;23 dBm（FCC/SRRC）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&lt;14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蓝牙工作频率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蓝牙发射功率（EIRP）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&lt;14 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蓝牙协议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BLE 5.2，BR/EDR</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79" name="图片 97"/>
                      <wp:cNvGraphicFramePr/>
                      <a:graphic xmlns:a="http://schemas.openxmlformats.org/drawingml/2006/main">
                        <a:graphicData uri="http://schemas.openxmlformats.org/drawingml/2006/picture">
                          <pic:pic xmlns:pic="http://schemas.openxmlformats.org/drawingml/2006/picture">
                            <pic:nvPicPr>
                              <pic:cNvPr id="97" name="图片 97"/>
                              <pic:cNvPicPr/>
                              <pic:nvPr/>
                            </pic:nvPicPr>
                            <pic:blipFill>
                              <a:blip r:embed="rId45"/>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0288;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45" o:title=""/>
                    </v:shape>
                  </w:pict>
                </mc:Fallback>
              </mc:AlternateContent>
            </w:r>
            <w:r>
              <w:rPr>
                <w:rFonts w:hint="eastAsia" w:ascii="宋体" w:hAnsi="宋体" w:cs="宋体"/>
                <w:color w:val="auto"/>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融媒体实验室</w: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80" name="图片 98"/>
                      <wp:cNvGraphicFramePr/>
                      <a:graphic xmlns:a="http://schemas.openxmlformats.org/drawingml/2006/main">
                        <a:graphicData uri="http://schemas.openxmlformats.org/drawingml/2006/picture">
                          <pic:pic xmlns:pic="http://schemas.openxmlformats.org/drawingml/2006/picture">
                            <pic:nvPicPr>
                              <pic:cNvPr id="98" name="图片 98"/>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81" name="图片 99"/>
                      <wp:cNvGraphicFramePr/>
                      <a:graphic xmlns:a="http://schemas.openxmlformats.org/drawingml/2006/main">
                        <a:graphicData uri="http://schemas.openxmlformats.org/drawingml/2006/picture">
                          <pic:pic xmlns:pic="http://schemas.openxmlformats.org/drawingml/2006/picture">
                            <pic:nvPicPr>
                              <pic:cNvPr id="99" name="图片 99"/>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355600"/>
                      <wp:effectExtent l="0" t="0" r="0" b="0"/>
                      <wp:wrapNone/>
                      <wp:docPr id="82" name="图片 100"/>
                      <wp:cNvGraphicFramePr/>
                      <a:graphic xmlns:a="http://schemas.openxmlformats.org/drawingml/2006/main">
                        <a:graphicData uri="http://schemas.openxmlformats.org/drawingml/2006/picture">
                          <pic:pic xmlns:pic="http://schemas.openxmlformats.org/drawingml/2006/picture">
                            <pic:nvPicPr>
                              <pic:cNvPr id="100" name="图片 100"/>
                              <pic:cNvPicPr/>
                              <pic:nvPr/>
                            </pic:nvPicPr>
                            <pic:blipFill>
                              <a:blip r:embed="rId44"/>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028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4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52400"/>
                      <wp:effectExtent l="0" t="0" r="0" b="0"/>
                      <wp:wrapNone/>
                      <wp:docPr id="83" name="图片 101"/>
                      <wp:cNvGraphicFramePr/>
                      <a:graphic xmlns:a="http://schemas.openxmlformats.org/drawingml/2006/main">
                        <a:graphicData uri="http://schemas.openxmlformats.org/drawingml/2006/picture">
                          <pic:pic xmlns:pic="http://schemas.openxmlformats.org/drawingml/2006/picture">
                            <pic:nvPicPr>
                              <pic:cNvPr id="101" name="图片 101"/>
                              <pic:cNvPicPr/>
                              <pic:nvPr/>
                            </pic:nvPicPr>
                            <pic:blipFill>
                              <a:blip r:embed="rId4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0288;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42" o:title=""/>
                    </v:shape>
                  </w:pict>
                </mc:Fallback>
              </mc:AlternateConten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无线麦克风</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发射器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尺寸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长 28.77 毫米，宽 28.34 毫米，高 16.35 毫米（含磁铁）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重量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 克（含磁铁）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无线模式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Wi-Fi：802.11 a/b/g/n/ac/ax</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SDR：自定义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等效全向辐射功耗（EIRP）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Wi-Fi：</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GHz：&lt; 20 dBm（FCC/CE/SRRC/MIC）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GHz：&lt; 20 dBm（FCC/SRRC），&lt; 14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SDR：</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GHz：&lt; 20 dBm（FCC/CE/SRRC/MIC）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5.150 GHz 至 5.250 GHz：&lt; 20 dBm（FCC/CE/SRRC/MIC）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5.250 GHz 至 5.350 GHz：&lt; 20 dBm（FCC/CE/SRRC/MIC）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5.470 GHz 至 5.725 GHz：&lt; 20 dBm（FCC/CE/MIC）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GHz：&lt; 20 dBm（FCC/SRRC），&lt; 14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无线模式工作频率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Wi-Fi：</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SDR：</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5.150 GHz 至 5.250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5.250 GHz 至 5.350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5.470 GHz 至 5.725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蓝牙协议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蓝牙 5.4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蓝牙工作频率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蓝牙发射功率（EIRP）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BLE：&lt; 10 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BR/EDR：&lt; 20 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Li-ion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电池容量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137 毫安时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电池能量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0.531 瓦时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电池电压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3.87 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充电规格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最大 5 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至 45℃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至 45℃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约 50 分钟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内录可用时长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24-bit（单文件）：57.3 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24-bit（双文件）：28.6 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32-bit 浮点（单文件）：43.0 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32-bit 浮点（双文件）：21.5 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接收器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尺寸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长 53.85 毫米，宽 28.69 毫米，高 22.00 毫米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重量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25.1 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无线模式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Wi-Fi：802.11 a/b/g/n/ac/ax</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SDR：自定义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等效全向辐射功耗（EIRP）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Wi-Fi：</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GHz：&lt; 20 dBm（FCC/CE/SRRC/MIC）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GHz：&lt; 20 dBm（FCC/SRRC），&lt; 14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SDR：</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GHz：&lt; 20 dBm（FCC/CE/SRRC/MIC）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5.150 GHz 至 5.250 GHz：&lt; 20 dBm（FCC/CE/SRRC/MIC）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5.250 GHz 至 5.350 GHz：&lt; 20 dBm（FCC/CE/SRRC/MIC）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5.470 GHz 至 5.725 GHz：&lt; 20 dBm（FCC/CE/MIC）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GHz：&lt; 20 dBm（FCC/SRRC），&lt; 14 dBm（CE）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工作频率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Wi-Fi：</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SDR：</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5.150 GHz 至 5.250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5.250 GHz 至 5.350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5.470 GHz 至 5.725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5.725 GHz 至 5.850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蓝牙协议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蓝牙 5.4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蓝牙工作频率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2.400 GHz 至 2.4835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蓝牙发射功率（EIRP）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BLE：&lt; 10 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Li-ion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电池容量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275 毫安时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电池能量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1.065 瓦时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电池电压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3.87 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充电规格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最大 5 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至 45℃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至 45℃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约 50 分钟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充电盒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尺寸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长 106.30 毫米，宽 42.50 毫米，高 59.20 毫米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重量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164.1 克（仅充电盒）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电池类型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Li-ion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电池容量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1950 毫安时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电池能量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7.55 瓦时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电池电压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3.87 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充电规格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最大 5 伏，3 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至 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工作环境温度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至 45℃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约 1.5 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充电盒给发射器和接收器充电次数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个发射器和 1 个接收器同时充电，搭配满电充电盒可完整充电约 2.4 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通用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麦克风指向性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全指向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频率响应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低切功能关：20 Hz 至 20 kHz（编码）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低切功能关：20 Hz 至 24 kHz（无损）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低切功能开：100 Hz 至 20 kHz（编码）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低切功能开：100 Hz 至 24 kHz（无损）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麦克风灵敏度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麦克风单体规格：-36±1 dBV@1 kHz，94 dB SPL</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信噪比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72 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最大声压级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126 dB SPL@1% THD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130 dB SPL@10% THD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采样频率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48 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采样深度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32-bit 浮点/24-bit 灵活切换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等效噪声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 dBA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监听接口输出功率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最大输出功率：20 mW@1 kHz，32 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时间码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支持帧率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23.98F，24F，25F，29.97F，29.97DF，30F，50F，60F</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偏移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0.5 ppm，24 小时内的偏差小于 1 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输入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输入接口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3.5 毫米 TRS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输入电压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不大于 +6 dBu</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输出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LTC、Audio-TC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输出接口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3.5 毫米 TRS、USB-C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输出电压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0.5 Vp-p</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融媒体实验室</w: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355600"/>
                      <wp:effectExtent l="0" t="0" r="0" b="0"/>
                      <wp:wrapNone/>
                      <wp:docPr id="84" name="图片 102"/>
                      <wp:cNvGraphicFramePr/>
                      <a:graphic xmlns:a="http://schemas.openxmlformats.org/drawingml/2006/main">
                        <a:graphicData uri="http://schemas.openxmlformats.org/drawingml/2006/picture">
                          <pic:pic xmlns:pic="http://schemas.openxmlformats.org/drawingml/2006/picture">
                            <pic:nvPicPr>
                              <pic:cNvPr id="102" name="图片 102"/>
                              <pic:cNvPicPr/>
                              <pic:nvPr/>
                            </pic:nvPicPr>
                            <pic:blipFill>
                              <a:blip r:embed="rId44"/>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028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4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85" name="图片 103"/>
                      <wp:cNvGraphicFramePr/>
                      <a:graphic xmlns:a="http://schemas.openxmlformats.org/drawingml/2006/main">
                        <a:graphicData uri="http://schemas.openxmlformats.org/drawingml/2006/picture">
                          <pic:pic xmlns:pic="http://schemas.openxmlformats.org/drawingml/2006/picture">
                            <pic:nvPicPr>
                              <pic:cNvPr id="103" name="图片 103"/>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86" name="图片 104"/>
                      <wp:cNvGraphicFramePr/>
                      <a:graphic xmlns:a="http://schemas.openxmlformats.org/drawingml/2006/main">
                        <a:graphicData uri="http://schemas.openxmlformats.org/drawingml/2006/picture">
                          <pic:pic xmlns:pic="http://schemas.openxmlformats.org/drawingml/2006/picture">
                            <pic:nvPicPr>
                              <pic:cNvPr id="104" name="图片 104"/>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52400"/>
                      <wp:effectExtent l="0" t="0" r="0" b="0"/>
                      <wp:wrapNone/>
                      <wp:docPr id="87" name="图片 105"/>
                      <wp:cNvGraphicFramePr/>
                      <a:graphic xmlns:a="http://schemas.openxmlformats.org/drawingml/2006/main">
                        <a:graphicData uri="http://schemas.openxmlformats.org/drawingml/2006/picture">
                          <pic:pic xmlns:pic="http://schemas.openxmlformats.org/drawingml/2006/picture">
                            <pic:nvPicPr>
                              <pic:cNvPr id="105" name="图片 105"/>
                              <pic:cNvPicPr/>
                              <pic:nvPr/>
                            </pic:nvPicPr>
                            <pic:blipFill>
                              <a:blip r:embed="rId4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0288;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4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实验室演示台</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1、参考尺寸：3000×700×850mm；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3、台面参数：采用≥12.7mm厚纤丝理化板，具有耐酸碱腐蚀、抗污染、防水、防火特性，台面立面倒角、打磨，各处光滑。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采用全钢结构，钢板厚度≥1.0mm冷轧板制作,表面采用环氧树脂静电粉末喷涂处理，整体可拆装，带电源位置及键盘位，设有抽屉及带柜门柜体，采用国内知名品牌铰链及导轨。底部设有底脚，底脚高度可调，采用ABS工程塑料与金属螺杆一次注塑成型，确保整体承重，接缝严密。</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1、国标。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2、交流二三孔插座。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教师主控电源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1、钢制抽屉式结构，PVC面膜轻触开关，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2、具有教师总电源开关带电路安全防护功能。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3、液晶显示刷卡定插孔时开关，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4、可设置关机时间，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5、可控制四路插座。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6、预留扩展接口可镶装交流220V五孔插座模块。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7、5V充电USB插孔。</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台式三口鹅颈水龙头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1、主体：加厚铜质。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2、涂层：高亮度环氧树脂涂层，耐腐蚀、耐热、防紫外线辐射。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3、陶瓷阀芯：90°旋转，使用寿命开关50万次，静态最大耐压20巴。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4、附件：可拆卸铜质水嘴，可加接防溅滤水器。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5、开关旋钮：高密度PP，人体工程学设计，手感舒适。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1、参考尺寸≥440×340×280mm；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2、材料：高密度PP，耐强腐蚀，如王水；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3、表面纹理：槽沿表面处理为皮纹，耐刻刮，与大部分台面板表面纹理一致；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4、附件：高密度PP去水；含阻水盖、PP提笼。</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中央操作台</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1、参考尺寸：3000×1200×780mm。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3、台面：采用≥12.7mm厚纤丝理化板，具有耐酸碱腐蚀、抗污染、防水、防火特性，台面立面倒角、打磨，各处光滑。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4、柜体：采用≥1.0mm镀锌钢板，采用CO2保护焊焊接，打磨处理，表面经耐酸碱EPOXY粉末烤漆处理（烤漆膜厚度平均值≥70μm），表面硬度附着力、耐腐蚀性好；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5、拉手：钢质一体成型暗拉手；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6、防撞胶垫：装于抽屉及门板内侧，减缓碰撞，保护柜体；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7、门板及抽面：采用双层钢板，必须两层组装是设计，保证两层双面都喷涂处理，中间采用隔音材料，保证关门减少噪音；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8、连接件：采用ABS专用连接组装件；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9、合页：采用不锈钢模具一体成型，强度必须达到一个正常成年座在门上方合页不脱落；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10、滑轨：三节重型滚珠滑轨，承重性强，滑动性能良好，无噪音；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1、参考尺寸：φ300×450mm。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A:凳面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1、材质：采用环保型ABS改性塑料一次性注塑成型。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2、尺寸：≥300×30mm。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3、表面细纹咬花，防滑不发光。   </w:t>
            </w:r>
            <w:r>
              <w:rPr>
                <w:rFonts w:hint="eastAsia" w:ascii="宋体" w:hAnsi="宋体" w:cs="宋体"/>
                <w:color w:val="auto"/>
                <w:szCs w:val="21"/>
                <w:highlight w:val="none"/>
                <w:lang w:bidi="ar"/>
              </w:rPr>
              <w:t xml:space="preserve">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B：椭圆型钢架弯弧成型，四脚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1、材质及形状：椭圆形钢管。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2、尺寸:15×35×1.2mm。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3、全圆满焊接完成，结构牢固，经高温粉体烤漆处理，长时间使用也不会产生表面烤漆剥落现象。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C：脚垫 1、材质：采用PP加耐磨纤维质塑料，实心倒勾式一体射出成型。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D:凳面可通过隐藏式旋转螺杆来升降凳子高度，升降高度：最低≤ 380mm，最高≥430mm，为避免螺杆腐蚀，螺杆采用隐藏式保护设计。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1、传动系统：螺旋丝杆传动，升降过程平稳顺滑，具备优异的承载能力与长期使用可靠性。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2、核心连接件规格：凳面连接端采用ø50mm隐蔽式螺母，作为核心承力接口。传动螺杆采用 不低于M19的高强度传动螺杆，确保传动轴心的强度和稳定性。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3、全隐蔽式设计：螺杆外部配有 直径不小于32mm</w:t>
            </w:r>
            <w:r>
              <w:rPr>
                <w:color w:val="auto"/>
                <w:szCs w:val="21"/>
                <w:highlight w:val="none"/>
                <w:lang w:bidi="ar"/>
              </w:rPr>
              <w:t xml:space="preserve">​</w:t>
            </w:r>
            <w:r>
              <w:rPr>
                <w:rFonts w:hint="eastAsia" w:ascii="宋体" w:hAnsi="宋体" w:cs="宋体"/>
                <w:color w:val="auto"/>
                <w:szCs w:val="21"/>
                <w:highlight w:val="none"/>
                <w:lang w:bidi="ar"/>
              </w:rPr>
              <w:t xml:space="preserve"> 的连接保护套，能有效隔绝外部灰尘、杂物侵入螺纹传动部位，并防止润滑油污染，从而避免了因污物导致的螺纹磨损、卡死等问题，显著提升产品的耐用性和免维护性。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参数：铝合金框架规格：前侧腿≥25×35×1.2㎜，后侧腿≥35×35×1.2㎜，基材采用≥16mm厚E1级三聚氰胺板制作,其它部位采用≥1.5mm厚塑制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边台</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1、参考尺寸：≥9300×600×780mm。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3、台面参数：采用≥12.7mm厚纤丝理化板，具有抗污染、防水、防火特性。台面立面倒角、打磨，各处光滑。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9.3</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1、参考尺寸：200×62mm±10mm。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2、可夹式插座。标配1.8米线，1.5平方，10A插头电源线。插座背面出线。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3、可夹0-30mm厚度的桌面板。颜色有光白、光黑。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试剂架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1、参考尺寸：1100×300×690mm。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2、全钢菱形试剂架，表面高温固化均匀乳白环氧树脂喷涂处理，耐腐蚀；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3、试剂架托架采用壁厚≥1.0mm的冷轧板，一次性冲压成型。层板采用≥8mm厚的钢化玻璃。</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给/排水全套装置</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给水采用专用PPR管铺设，主管径为Ф32mm，支管径Ф25mm，地面甩头管径为Ф20mm，采用金属软连接与水嘴连接。排水采用PVC管铺设，主管径为Ф110mm，支管径Ф75mm，地面甩头管径为Ф50mm。PVC管与水槽连接，连接处密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2.地上每套水嘴设一控制阀门。</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non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电源布线耗材</w:t>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按国标施工。地下采用Ф20或Ф25PVC阻燃线管，电源主线采用2.5mm²BV线。地上采用铝塑护套管，内穿塑铜线，有效固定。</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基因工程创新实验室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中央准备台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1、参考尺寸：2400×1000×850mm。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3、台面参数：采用≥12.7mm厚纤丝理化板，具有耐酸碱腐蚀、抗污染、防水、防火特性，台面立面倒角、打磨，各处光滑。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下设有柜门及抽屉多组。采用≥16mm厚E1级生态免漆板制作，≥1.5mm厚塑制封边条机械封边,专用连接件连接。隐藏式一字拉手，三节滑轨及铰链，所有开孔部位均采用专业磨具成型的配件封堵，不可将板材断面直接裸露在外。所有板材加工截面必须封边，避免甲醛随意释放，确保达到环保标准。实验台下裙条（≥78mm）采用铝合金模具成型，内镶嵌板材≥16mm厚生态免漆板，增加强度，板材距地不低于20mm，防水耐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1、参考尺寸：550×705×117mm。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2、材质：高密度PP 类型：单面；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3、底部托盘中间设有排水孔 可拆卸式滴水棒，具有锁扣功能，方便使用。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电源插座</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1、国标。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2、交流二三孔插座。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试剂架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1、参考尺寸：1600×300×690mm。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2、全钢菱形试剂架，表面高温固化均匀乳白环氧树脂喷涂处理，耐腐蚀；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3、试剂架托架采用壁厚≥1.0mm的冷轧板，一次性冲压成型。层板采用≥8mm厚的钢化玻璃。</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小厨宝</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1、≥5升方形小厨宝，上出水，快速加热，防干烧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2、8年质保，防电墙≥1600W大功率，加热速度快，温水即需速热。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3、含安装及配件。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1、产品规格：台式鹅颈三口冷热水龙头。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参数：主体：加厚铜质，高亮度环氧脂涂层，耐腐蚀、耐热，防紫外线辐射，陶瓷阀芯可90°旋转，使用寿命开关50万次，静态最大耐压20巴，可拆卸铜质水嘴，可加接防溅滤水器，开关方旋钮为高密度PP材质，符合人体工学设计，手感舒适，鹅颈管可360°旋转。</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1、参考尺寸：550×450×310mm。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2、材料：高密度PP，耐强腐蚀，如王水；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3、表面纹理：槽沿表面处理为皮纹，耐刻刮，与大部分台面板表面纹理一致；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4、附件：高密度PP去水；含阻水盖、PP提笼。</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参数：铝合金框架规格：前侧腿≥25×35×1.2㎜，后侧腿≥35×35×1.2㎜，基材采用≥16mm厚E1级三聚氰胺板制作,其它部位采用≥1.5mm厚塑制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non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给/排水全套装置</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1.给水采用专用PPR管铺设，管径Ф20mm，采用金属软连接与水嘴连接。排水采用PVC管铺设，管径Ф50mm。PVC管与水槽连接，连接处密封。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2.地上每套水嘴设一控制阀门。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电源布线耗材</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按国标施工。地下采用Ф20或Ф25PVC阻燃线管，电源主线采用2.5mm²BV线。地上采用铝塑护套管，内穿塑铜线，有效固定。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教具储藏室1</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实验室演示台</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1、参考尺寸：3000×700×850mm。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采用全钢结构，钢板厚度≥1.0mm冷轧板制作,表面采用环氧树脂静电粉末喷涂处理，整体可拆装，带电源位置及键盘位，设有抽屉及带柜门柜体，采用国内知名品牌铰链及导轨。底部设有底脚，底脚高度可调，采用ABS工程塑料与金属螺杆一次注塑成型，确保整体承重，接缝严密。</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1、国标。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2、交流二三孔插座。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1、ABS塑制桌面镶嵌结构,PC材质触摸面板。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2、可自行设置地址无限频率信道防止与学校网络冲突。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3、教师自己调节低压交直流输出。液晶显示低压交直流电压及汉字显示工作过载，触摸按键调节。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4、直流稳压低压输出范围【0—24V】精度0.1V,电流2A自动过载手动复位液晶汉字显示,自行调节电压时触摸按键升降输入电压值。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5、交流低压输出范围【0—24V】精度0.1V,电流2A自动过载手动复位液晶汉字显示,自行调节电压时触摸按键升降输入电压值。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6、当输入电压在198v-242v间变化，在额定电流输出时低压交流电压变化量≤(2%U标 +0.1)V。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7、预留扩展接口可镶装双五孔220V插座模块。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8、usb、Type-c充电插口、网口输出、电源运行故障指示灯。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控制箱</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1、参考尺寸：530×440×140mm。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2、教师端主控，含主机，主机采用钢制机箱，控制显示采用≥10寸液晶工业触摸屏和数据显示一体化。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3、系统具备电路安全防护功能。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4、自动关机时间设置功能。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5、主机可控制每个学生吊装电源或整体的升降停止功能。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6、密码控制，本产品由教师输入正确的密码，方可启动实验电源的控制系统（教师可自定密码），对电源控制台进行操作防误操作方便教师合理安排实验。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7、教师主控可实现对学生低压交直流电压的设置及分组控制或者单个控制，也可实现对学生端预留220V插座模块扩展接口处镶装扩展功能的启用实现分组或者单个控制。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8、教师无线控制学生三种模式：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（1）教师控制学生低压交直流输出电压后，学生交直流低压不可调节。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（2）教师控制学生交直流低压输出最高电压，学生在教师控制最高电压以下调节。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（3）教师解除控制学生，学生可自己调节低压交直流输出，电源执行0374标准。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1、参考尺寸：440×340×280mm。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2、材料：高密度PP，耐强腐蚀，如王水；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3、表面纹理：槽沿表面处理为皮纹，耐刻刮，与大部分台面板表面纹理一致。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4、附件：高密度PP去水；含阻水盖、PP提笼。</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台式三口鹅颈水龙头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1、主体：加厚铜质。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2、涂层：高亮度环氧树脂涂层，耐腐蚀、耐热、防紫外线辐射。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3、陶瓷阀芯：90°旋转，使用寿命开关50万次，静态最大耐压20巴。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4、附件：可拆卸铜质水嘴，可加接防溅滤水器。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5、开关旋钮：高密度PP，人体工程学设计，手感舒适。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学生实验桌1</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1、参考尺寸：2400×1200×780mm。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4、柜体：采用≥1.0mm镀锌钢板，采用CO2保护焊焊接，打磨处理，表面经耐酸碱EPOXY粉末烤漆处理（烤漆膜厚度平均值≥70μm），表面硬度附着力、耐腐蚀性符合国家GB/T3668-200X标准；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5、拉手：钢质一体成型暗拉手；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6、防撞胶垫：装于抽屉及门板内侧，减缓碰撞，保护柜体；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7、门板及抽面：采用双层钢板，必须两层组装是设计，保证两层双面都喷涂处理，中间采用隔音材料，保证关门减少噪音；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8、连接件：采用ABS专用连接组装件；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9、合页：采用不锈钢模具一体成型，强度必须达到一个正常成年座在门上方合页不脱落；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10、滑轨：三节重型滚珠滑轨，承重性强，滑动性能良好，无噪音；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学生实验桌2</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1、参考尺寸：3000×1200×780mm。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4、柜体：采用≥1.0mm镀锌钢板，采用CO2保护焊焊接，打磨处理，表面经耐酸碱EPOXY粉末烤漆处理（烤漆膜厚度平均值≥70μm），表面硬度附着力、耐腐蚀性符合国家GB/T3668-200X标准；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5、拉手：钢质一体成型暗拉手；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6、防撞胶垫：装于抽屉及门板内侧，减缓碰撞，保护柜体；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7、门板及抽面：采用双层钢板，必须两层组装是设计，保证两层双面都喷涂处理，中间采用隔音材料，保证关门减少噪音；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8、连接件：采用ABS专用连接组装件；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9、合页：采用不锈钢模具一体成型，强度必须达到一个正常成年座在门上方合页不脱落；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10、滑轨：三节重型滚珠滑轨，承重性强，滑动性能良好，无噪音；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1、参考尺寸：φ300×450mm。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A:凳面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1、材质：采用环保型ABS改性塑料一次性注塑成型。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2、尺寸：≥300×30mm。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3、表面细纹咬花，防滑不发光。   </w:t>
            </w:r>
            <w:r>
              <w:rPr>
                <w:rFonts w:hint="eastAsia" w:ascii="宋体" w:hAnsi="宋体" w:cs="宋体"/>
                <w:color w:val="auto"/>
                <w:szCs w:val="21"/>
                <w:highlight w:val="none"/>
                <w:lang w:bidi="ar"/>
              </w:rPr>
              <w:t xml:space="preserve">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B：椭圆型钢架弯弧成型，四脚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1、材质及形状：椭圆形钢管。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2、尺寸:15×35×1.2mm。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3、全圆满焊接完成，结构牢固，经高温粉体烤漆处理，长时间使用也不会产生表面烤漆剥落现象。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C：脚垫 1、材质：采用PP加耐磨纤维质塑料，实心倒勾式一体射出成型。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D:凳面可通过隐藏式旋转螺杆来升降凳子高度，升降高度：最低≤ 380mm，最高≥430mm，为避免螺杆腐蚀，螺杆采用隐藏式保护设计。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1、传动系统：螺旋丝杆传动，升降过程平稳顺滑，具备优异的承载能力与长期使用可靠性。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2、核心连接件规格：凳面连接端采用ø50mm隐蔽式螺母，作为核心承力接口。传动螺杆采用 不低于M19的高强度传动螺杆，确保传动轴心的强度和稳定性。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3、全隐蔽式设计：螺杆外部配有 直径不小于32mm</w:t>
            </w:r>
            <w:r>
              <w:rPr>
                <w:color w:val="auto"/>
                <w:szCs w:val="21"/>
                <w:highlight w:val="none"/>
                <w:lang w:bidi="ar"/>
              </w:rPr>
              <w:t xml:space="preserve">​</w:t>
            </w:r>
            <w:r>
              <w:rPr>
                <w:rFonts w:hint="eastAsia" w:ascii="宋体" w:hAnsi="宋体" w:cs="宋体"/>
                <w:color w:val="auto"/>
                <w:szCs w:val="21"/>
                <w:highlight w:val="none"/>
                <w:lang w:bidi="ar"/>
              </w:rPr>
              <w:t xml:space="preserve"> 的连接保护套，能有效隔绝外部灰尘、杂物侵入螺纹传动部位，并防止润滑油污染，从而避免了因污物导致的螺纹磨损、卡死等问题，显著提升产品的耐用性和免维护性。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智能升降机构</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1、参考尺寸：312×220×390mm。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2、表面黑、白色亮光烤漆，不小于1.2mm的一级冷轧钢板（SPCC）经激光下料、CNC、折弯成型、CO</w:t>
            </w:r>
            <w:r>
              <w:rPr>
                <w:color w:val="auto"/>
                <w:szCs w:val="21"/>
                <w:highlight w:val="none"/>
                <w:lang w:bidi="ar"/>
              </w:rPr>
              <w:t xml:space="preserve">₂</w:t>
            </w:r>
            <w:r>
              <w:rPr>
                <w:rFonts w:hint="eastAsia" w:ascii="宋体" w:hAnsi="宋体" w:cs="宋体"/>
                <w:color w:val="auto"/>
                <w:szCs w:val="21"/>
                <w:highlight w:val="none"/>
                <w:lang w:bidi="ar"/>
              </w:rPr>
              <w:t xml:space="preserve">/氩弧焊组合焊接制作；所有表面连接接缝处均满焊后打磨处理，保证平整光滑。表面经除油、磷化、环氧树脂静电粉末涂装、固化流平处理，涂装膜厚不低于70μm。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3、电缆线径不低于11mm，表面采用新型抗旱耐温材料，工作温度在-40℃~70℃下不变硬、不开裂、不发粘。电缆内置纤维填充，抗拉性更强，可保证≥40kg拉力下电学性能稳定。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4、在教师控制下升降功能，具有遇障碍拖住停止功能，卷线装置安装换向器，防止线缆自扰，卷线放到底部自动停止功能，线缆伸缩长度不低于2米。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1、参考尺寸：438×379×136mm。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2、采用ABS材质，模具一体成型。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1、参考尺寸：227×227×110mm。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2、采用ABS材质，模具一体成型。模块内预留高压、低压位置。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吊装智能电源-低压电源模块</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1、教师主控型，学生低压电源都可接收主控电源发送的无线信号：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（1）学生接收老师输送的设定电源电压，教师锁定时学生自己无法操作，这样可避免学生的误操作。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（2）学生接收老师的控制上限电压时，学生在教师控制的电压以下调节。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（3）学生接收老师解除控制信号时，学生自己调节电压不受教师控制。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2、学生电源采用优质PC材质面板一体注塑成型，学生电源的控制采用触摸式按键，可以随意设置电压，贴片元件生产技术，微电脑控制。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、学生直流电源调节范围为0～24V，分辨率可达0.1V,额定电流2A，亦具有过载保护智能检测功能。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、在教师控制下升降功能，具有遇障碍托住停止功能，卷线放到底部自动停止功能，线缆伸缩长度不低于2米。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、电源设有呼吸灯，提示电源运行状态。</w:t>
            </w:r>
            <w:r/>
          </w:p>
          <w:p>
            <w:pPr>
              <w:rPr>
                <w:rFonts w:hint="eastAsia" w:ascii="宋体" w:hAnsi="宋体" w:cs="宋体"/>
                <w:b/>
                <w:bCs/>
                <w:color w:val="auto"/>
                <w:sz w:val="18"/>
                <w:szCs w:val="18"/>
                <w:highlight w:val="none"/>
                <w:lang w:eastAsia="zh-CN" w:bidi="ar"/>
              </w:rPr>
            </w:pPr>
            <w:r>
              <w:rPr>
                <w:rFonts w:hint="eastAsia" w:ascii="宋体" w:hAnsi="宋体" w:cs="宋体"/>
                <w:color w:val="auto"/>
                <w:szCs w:val="21"/>
                <w:highlight w:val="none"/>
                <w:lang w:bidi="ar"/>
              </w:rPr>
              <w:t xml:space="preserve">▲</w:t>
            </w:r>
            <w:r>
              <w:rPr>
                <w:rFonts w:hint="eastAsia" w:ascii="宋体" w:hAnsi="宋体" w:cs="宋体"/>
                <w:b/>
                <w:bCs/>
                <w:color w:val="auto"/>
                <w:sz w:val="18"/>
                <w:szCs w:val="18"/>
                <w:highlight w:val="none"/>
                <w:lang w:bidi="ar"/>
              </w:rPr>
              <w:t xml:space="preserve">提供</w:t>
            </w:r>
            <w:r>
              <w:rPr>
                <w:rFonts w:hint="eastAsia" w:ascii="宋体" w:hAnsi="宋体" w:cs="宋体"/>
                <w:b/>
                <w:bCs/>
                <w:color w:val="auto"/>
                <w:sz w:val="18"/>
                <w:szCs w:val="18"/>
                <w:highlight w:val="none"/>
                <w:lang w:val="en-US" w:eastAsia="zh-CN" w:bidi="ar"/>
              </w:rPr>
              <w:t xml:space="preserve">具有</w:t>
            </w:r>
            <w:r>
              <w:rPr>
                <w:rFonts w:hint="eastAsia" w:ascii="宋体" w:hAnsi="宋体" w:cs="宋体"/>
                <w:b/>
                <w:bCs/>
                <w:color w:val="auto"/>
                <w:sz w:val="18"/>
                <w:szCs w:val="18"/>
                <w:highlight w:val="none"/>
                <w:lang w:bidi="ar"/>
              </w:rPr>
              <w:t xml:space="preserve">CMA</w:t>
            </w:r>
            <w:r>
              <w:rPr>
                <w:rFonts w:hint="eastAsia" w:ascii="宋体" w:hAnsi="宋体" w:cs="宋体"/>
                <w:b/>
                <w:bCs/>
                <w:color w:val="auto"/>
                <w:sz w:val="18"/>
                <w:szCs w:val="18"/>
                <w:highlight w:val="none"/>
                <w:lang w:val="en-US" w:eastAsia="zh-CN" w:bidi="ar"/>
              </w:rPr>
              <w:t xml:space="preserve">标识的“</w:t>
            </w:r>
            <w:r>
              <w:rPr>
                <w:rFonts w:hint="eastAsia" w:ascii="宋体" w:hAnsi="宋体" w:cs="宋体"/>
                <w:b/>
                <w:bCs/>
                <w:color w:val="auto"/>
                <w:szCs w:val="21"/>
                <w:highlight w:val="none"/>
                <w:lang w:bidi="ar"/>
              </w:rPr>
              <w:t xml:space="preserve">吊装智能电源低压电源模块</w:t>
            </w:r>
            <w:r>
              <w:rPr>
                <w:rFonts w:hint="eastAsia" w:ascii="宋体" w:hAnsi="宋体" w:cs="宋体"/>
                <w:b/>
                <w:bCs/>
                <w:color w:val="auto"/>
                <w:sz w:val="18"/>
                <w:szCs w:val="18"/>
                <w:highlight w:val="none"/>
                <w:lang w:bidi="ar"/>
              </w:rPr>
              <w:t xml:space="preserve">”</w:t>
            </w:r>
            <w:r>
              <w:rPr>
                <w:rFonts w:hint="eastAsia" w:ascii="宋体" w:hAnsi="宋体" w:cs="宋体"/>
                <w:b/>
                <w:bCs/>
                <w:color w:val="auto"/>
                <w:sz w:val="18"/>
                <w:szCs w:val="18"/>
                <w:highlight w:val="none"/>
                <w:lang w:val="en-US" w:eastAsia="zh-CN" w:bidi="ar"/>
              </w:rPr>
              <w:t xml:space="preserve">检验报告</w:t>
            </w:r>
            <w:r>
              <w:rPr>
                <w:rFonts w:hint="eastAsia" w:ascii="宋体" w:hAnsi="宋体" w:cs="宋体"/>
                <w:b/>
                <w:bCs/>
                <w:color w:val="auto"/>
                <w:sz w:val="18"/>
                <w:szCs w:val="18"/>
                <w:highlight w:val="none"/>
                <w:lang w:bidi="ar"/>
              </w:rPr>
              <w:t xml:space="preserve">扫描件加盖厂商公章</w:t>
            </w:r>
            <w:r>
              <w:rPr>
                <w:rFonts w:hint="eastAsia" w:ascii="宋体" w:hAnsi="宋体" w:cs="宋体"/>
                <w:b/>
                <w:bCs/>
                <w:color w:val="auto"/>
                <w:sz w:val="18"/>
                <w:szCs w:val="18"/>
                <w:highlight w:val="none"/>
                <w:lang w:eastAsia="zh-CN" w:bidi="ar"/>
              </w:rPr>
              <w:t xml:space="preserve">：</w:t>
            </w:r>
            <w:r/>
          </w:p>
          <w:p>
            <w:pPr>
              <w:widowControl/>
              <w:rPr>
                <w:rFonts w:ascii="宋体" w:hAnsi="宋体" w:cs="宋体"/>
                <w:color w:val="auto"/>
                <w:szCs w:val="21"/>
                <w:highlight w:val="none"/>
                <w:lang w:bidi="ar"/>
              </w:rPr>
            </w:pPr>
            <w:r>
              <w:rPr>
                <w:rFonts w:hint="eastAsia" w:ascii="宋体" w:hAnsi="宋体" w:cs="宋体"/>
                <w:b/>
                <w:bCs/>
                <w:color w:val="auto"/>
                <w:szCs w:val="21"/>
                <w:highlight w:val="none"/>
                <w:lang w:bidi="ar"/>
              </w:rPr>
              <w:t xml:space="preserve">检测报告：GB/T 17478-2004</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bidi="ar"/>
              </w:rPr>
              <w:t xml:space="preserve">检测内容包括：</w:t>
            </w:r>
            <w:r>
              <w:rPr>
                <w:rFonts w:hint="eastAsia" w:ascii="宋体" w:hAnsi="宋体" w:cs="宋体"/>
                <w:b/>
                <w:bCs/>
                <w:color w:val="auto"/>
                <w:szCs w:val="21"/>
                <w:highlight w:val="none"/>
                <w:lang w:bidi="ar"/>
              </w:rPr>
              <w:br w:type="textWrapping" w:clear="all"/>
            </w:r>
            <w:r>
              <w:rPr>
                <w:rFonts w:hint="eastAsia" w:ascii="宋体" w:hAnsi="宋体" w:cs="宋体"/>
                <w:b/>
                <w:bCs/>
                <w:color w:val="auto"/>
                <w:szCs w:val="21"/>
                <w:highlight w:val="none"/>
                <w:lang w:bidi="ar"/>
              </w:rPr>
              <w:t xml:space="preserve">学生低压交流电源压调节范围0~24V电压，最小调节单元可达0.1V,额定电流2A，具有过载保护智能检测功能(电流高于过载点则自动保护，电流低于过载点则自动恢复至设定值)市电在200V~240V变化时输出电压无变化，电流0~2A时输出电压无变化。</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吊装智能电源-高压电源模块</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1、预留扩展接口可镶装两组220V多功能安全插座模块。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2、所有输出端口均具备检测功能，当任何一组接口有电器插入时，吊装电源均不可升降。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电源布线耗材</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2.5平方电线，用控制220V。</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支架</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环氧树脂喷涂金属吊杆。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国标五金件。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吊装系统调试</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升降功能、高低压电源系统调试。</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集成顶装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标准化安装。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给/排水全套装置</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1.给水采用专用PPR管铺设，管径Ф20mm，采用金属软连接与水嘴连接。排水采用PVC管铺设，管径Ф50mm。PVC管与水槽连接，连接处密封。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2.地上每套水嘴设一控制阀门。</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参数：铝合金框架规格：前侧腿≥25×35×1.2㎜，后侧腿≥35×35×1.2㎜，基材采用≥16mm厚E1级三聚氰胺板制作,其它部位采用≥1.5mm厚塑制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边台</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1、参考尺寸：9300×600×780mm。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1、参考尺寸：200×62mm±10mm。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2、可夹式插座。标配1.8米线，1.5平方，10A插头电源线。插座背面出线。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3、可夹0-30mm厚度的桌面板。颜色有光白、光黑。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操作台</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1、参考尺寸：6300×600×780mm。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原子制造实验室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1、参考尺寸：主台：1500*600*750mm，副台：1500*500*620mm;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1、参考尺寸：660*590*1040mm；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2、黑色尼龙脚；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3、黑色尼龙轮；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4、黑色气杆；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5、2.5mm加厚蝴蝶底盘，可逍遥和原位锁定;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6、固定腰靠，黑色PP玻纤背框和扶手；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7、42mm密度中软高弹力切割海绵;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8、弹力座布，透气背网饰面。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1、参考尺寸：5650*550*800mm；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使用≥12mm厚人造石一体成型（公差±0.5mm），前端下挂50mm（±1mm），边缘经≥3mm圆角安全处理；柜体采用≥16mmE1级三聚氰胺环保饰面板加工制作，不低于1.5mm厚塑制封边条机械封边，杜绝开胶崩边隐患；饰面为自然的木色搭配暖白柜门，所有外露边缘做R≥2mm圆角处理，温润而柔和。</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水龙头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1、主体材质；SUS304不锈钢；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2、表面处理：拉丝；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3、铸造工艺：精铸工艺，无后顾之忧；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4、阀芯：陶瓷阀芯；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5、起泡网嘴：起泡器；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6、安装孔径：直径32-38MM；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不锈钢水盆</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1、参考尺寸：2200*300*300mm；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2、主体材质；SUS304不锈钢；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3、表面处理：高硬度拉丝；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4、含水盆所需上下水配件。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1、参考尺寸：2000×500×800mm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其他采用≥16mm三聚氰胺环保饰面板加工制作，不低于1.5mm厚塑制封边条机械封边，自然的木色，温暖而柔和；设柜门收纳模块若干，柜门斜切拉手，分区合理，收纳便捷；设方格收纳模块，全开放式多层储物，分类明确，部分方格作跳色处理，为空间注入新的活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1、参考尺寸：3000×500×800mm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其他采用≥16mm三聚氰胺环保饰面板加工制作，不低于1.5mm厚塑制封边条机械封边，自然的木色，温暖而柔和；设柜门收纳模块若干，柜门斜切拉手，分区合理，收纳便捷；设方格收纳模块，全开放式多层储物，分类明确，部分方格作跳色处理，为空间注入新的活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收纳柜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2、产品结构：全木结构。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3、整体板材均采用≥16mm厚E1级三聚氰胺板加工制作，≥1.5mm厚塑制封边条机械封边。柜体下板式对开门，上部隔板造型。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4、其他：五金件：国内知名铰链和三节静音滑轨。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室内地上给排水安装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给水采用金属软连接与笼头连接，地上每套水嘴设一控制阀门；排水采用PVC管，连接处密封，包含下水等配件.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美术文化展板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PVC艺术雕刻造型+艺术彩色转印贴+毛毡墙</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539115</wp:posOffset>
                      </wp:positionH>
                      <wp:positionV relativeFrom="paragraph">
                        <wp:posOffset>0</wp:posOffset>
                      </wp:positionV>
                      <wp:extent cx="199390" cy="175260"/>
                      <wp:effectExtent l="0" t="0" r="0" b="0"/>
                      <wp:wrapNone/>
                      <wp:docPr id="88" name="图片 106"/>
                      <wp:cNvGraphicFramePr/>
                      <a:graphic xmlns:a="http://schemas.openxmlformats.org/drawingml/2006/main">
                        <a:graphicData uri="http://schemas.openxmlformats.org/drawingml/2006/picture">
                          <pic:pic xmlns:pic="http://schemas.openxmlformats.org/drawingml/2006/picture">
                            <pic:nvPicPr>
                              <pic:cNvPr id="106" name="图片 106"/>
                              <pic:cNvPicPr/>
                              <pic:nvPr/>
                            </pic:nvPicPr>
                            <pic:blipFill>
                              <a:blip r:embed="rId46"/>
                              <a:stretch/>
                            </pic:blipFill>
                            <pic:spPr bwMode="auto">
                              <a:xfrm>
                                <a:off x="0" y="0"/>
                                <a:ext cx="19939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0288;o:allowoverlap:true;o:allowincell:true;mso-position-horizontal-relative:text;margin-left:42.4pt;mso-position-horizontal:absolute;mso-position-vertical-relative:text;margin-top:0.0pt;mso-position-vertical:absolute;width:15.7pt;height:13.8pt;mso-wrap-distance-left:9.0pt;mso-wrap-distance-top:0.0pt;mso-wrap-distance-right:9.0pt;mso-wrap-distance-bottom:0.0pt;" stroked="f">
                      <v:path textboxrect="0,0,0,0"/>
                      <v:imagedata r:id="rId46" o:title=""/>
                    </v:shape>
                  </w:pict>
                </mc:Fallback>
              </mc:AlternateContent>
            </w: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89" name="图片 107"/>
                      <wp:cNvGraphicFramePr/>
                      <a:graphic xmlns:a="http://schemas.openxmlformats.org/drawingml/2006/main">
                        <a:graphicData uri="http://schemas.openxmlformats.org/drawingml/2006/picture">
                          <pic:pic xmlns:pic="http://schemas.openxmlformats.org/drawingml/2006/picture">
                            <pic:nvPicPr>
                              <pic:cNvPr id="107" name="图片 107"/>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52400"/>
                      <wp:effectExtent l="0" t="0" r="0" b="0"/>
                      <wp:wrapNone/>
                      <wp:docPr id="90" name="图片 108"/>
                      <wp:cNvGraphicFramePr/>
                      <a:graphic xmlns:a="http://schemas.openxmlformats.org/drawingml/2006/main">
                        <a:graphicData uri="http://schemas.openxmlformats.org/drawingml/2006/picture">
                          <pic:pic xmlns:pic="http://schemas.openxmlformats.org/drawingml/2006/picture">
                            <pic:nvPicPr>
                              <pic:cNvPr id="108" name="图片 108"/>
                              <pic:cNvPicPr/>
                              <pic:nvPr/>
                            </pic:nvPicPr>
                            <pic:blipFill>
                              <a:blip r:embed="rId4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0288;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42"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91" name="图片 109"/>
                      <wp:cNvGraphicFramePr/>
                      <a:graphic xmlns:a="http://schemas.openxmlformats.org/drawingml/2006/main">
                        <a:graphicData uri="http://schemas.openxmlformats.org/drawingml/2006/picture">
                          <pic:pic xmlns:pic="http://schemas.openxmlformats.org/drawingml/2006/picture">
                            <pic:nvPicPr>
                              <pic:cNvPr id="109" name="图片 109"/>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widowControl/>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教师画架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1、材质：榉木，2、画架整体尺寸≥580*650*1400mm，3、置画高度≥1800mm,4、平放高度≥800mm，5、表面平整光滑、无毛刺、裂纹和疖疤。</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教师画板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椴木板，边框松木，规格：600×900×18mm，结实耐磨，坚硬不变形。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non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学生画架</w:t>
            </w:r>
            <w:r/>
          </w:p>
        </w:tc>
        <w:tc>
          <w:tcPr>
            <w:tcBorders>
              <w:top w:val="single" w:color="000000" w:sz="4" w:space="0"/>
              <w:left w:val="single" w:color="000000" w:sz="4" w:space="0"/>
              <w:bottom w:val="single" w:color="000000" w:sz="4" w:space="0"/>
              <w:right w:val="non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1、尺寸≥560*850*1400（1880）mm，2、置画高度111mm；3、材质：红榉木；4、表面平整光滑、无毛刺、裂纹和疖疤</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学生画板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椴木板，边框松木，规格：600×450×18mm，结实耐磨，坚硬不变形。</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non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写生凳</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直径300mm，可升降。材质：红榉木</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写生教具（1）</w:t>
            </w:r>
            <w:r/>
          </w:p>
        </w:tc>
        <w:tc>
          <w:tcPr>
            <w:shd w:val="clear" w:color="auto" w:fill="ffffff"/>
            <w:tcBorders>
              <w:top w:val="none" w:color="000000" w:sz="4" w:space="0"/>
              <w:left w:val="none" w:color="000000" w:sz="4" w:space="0"/>
              <w:bottom w:val="none" w:color="000000" w:sz="4" w:space="0"/>
              <w:right w:val="non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石膏像包含：阿古力巴切面1件，腊空半面1件，太阳神头像1件，海盗头像1件，小大卫头像1件，亚历山大1件，要求石膏像色泽洁白，轮廓清晰，形态逼真，表面无裂纹无沙眼。</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写生教具（2）</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圆球、四棱锥、六棱锥、长方体、正方体、圆柱体、六棱柱、圆锥、方带方、方锥带方、圆锥带圆、多面体、八棱柱、圆切、十二面体，要求色泽洁白，轮廓清晰。</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写生教具（3）</w:t>
            </w:r>
            <w:r/>
          </w:p>
        </w:tc>
        <w:tc>
          <w:tcPr>
            <w:shd w:val="clear" w:color="auto" w:fill="ffffff"/>
            <w:tcBorders>
              <w:top w:val="single" w:color="000000" w:sz="4" w:space="0"/>
              <w:left w:val="single" w:color="000000" w:sz="4" w:space="0"/>
              <w:bottom w:val="single" w:color="000000" w:sz="4" w:space="0"/>
              <w:right w:val="non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蜡果六件，花瓶2件，仿瓷瓷碗2件，仿瓷瓷盘2件，砂锅2件，陶罐2件，玻璃制品4件，不锈钢器皿2件。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民间美术欣赏及写生样本</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中国结、京剧脸谱、扎染、蜡染、皮影、年画、木板年画、剪纸、面具、泥塑、玩具、风车、纹样、风筝、唐三彩、彩陶器、瓷器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静物台</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尺寸：600*800*620（1190）mm，材质：红榉木。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写生灯</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1.立式可升降,落地升降总高度1260mm~2600mm;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2.三节升降杆,升降固定钮用高强ABS件组成;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3.聚光灯罩合金板喷塑，直径≥260mm;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4.支撑架用高强ABS而成，脚用直径16mm不锈钢管制成;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5.照度角度120度可调,高强LED灯与灯罩一体，光源功率≥18W;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6.配≥2200mm长的优质电线，开关带有遥控装置、插头；</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衬布</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1000×2000mm；棉、麻、丝、绒各色</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水彩画工具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水彩画笔1～12#各一支，12格梅花调色盘，吸水海绵，可折叠水桶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水粉画工具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水粉画笔1～12#各一支，椭圆1/3调色盘 400mm*290mm*1.2mm，24格调色盒带盖，可折叠水桶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素描工具</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素描铅笔一套包括：2H2支、2B4支、HB1支、B2支、3B1支、4B1支、5B1支、6B1支、7B1支、8B1支），橡皮1块、可塑橡皮1块、美工刀1把、炭笔、炭条、铅笔延长器、纸笔各1支</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不锈钢纸夹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不锈钢材质，山形票夹，约可夹250张纸</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画纸</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160g，4k水彩画纸、水粉纸和素描纸各一袋，每袋20张</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水彩画颜料</w:t>
            </w:r>
            <w:r/>
          </w:p>
        </w:tc>
        <w:tc>
          <w:tcPr>
            <w:shd w:val="clear" w:color="auto" w:fill="ffffff"/>
            <w:tcBorders>
              <w:top w:val="single" w:color="000000" w:sz="4" w:space="0"/>
              <w:left w:val="single" w:color="000000" w:sz="4" w:space="0"/>
              <w:bottom w:val="single" w:color="000000" w:sz="4" w:space="0"/>
              <w:right w:val="non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水彩颜料24色12ml/支</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水粉颜料</w:t>
            </w:r>
            <w:r/>
          </w:p>
        </w:tc>
        <w:tc>
          <w:tcPr>
            <w:shd w:val="clear" w:color="auto" w:fill="ffffff"/>
            <w:tcBorders>
              <w:top w:val="single" w:color="000000" w:sz="4" w:space="0"/>
              <w:left w:val="single" w:color="000000" w:sz="4" w:space="0"/>
              <w:bottom w:val="single" w:color="000000" w:sz="4" w:space="0"/>
              <w:right w:val="non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水粉颜料24色12ml/支</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展示画框</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600mm×450mm实木画框，边框宽22mm厚31mm，配背板，高透明亚克力面，挂钩</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展示画框</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600mm×900mm实木画框，边框宽22mm厚31mm，配背板，高透明亚克力面，挂钩</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中学美术教学挂图</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适合美术教学要求的绘画、设计、欣赏内容，不少于48幅，对开，应为国家正式出版物</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在线图库优选平台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1.通过浏览器登录访问在线图库优选平台；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2.在线图库优选平台支持电脑端和移动端，电脑端支持Windows、MacOS、HarmonyOS、统信UOS和麒麟OS，移动端支持安卓、iOS和HarmonyOS；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3.在线图库优选平台持续上传图片和视频素材资源；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4.主界面提供全局搜索功能，通过输入的关键字模糊匹配名称和标签进行图片和视频的搜索；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5.主界面包括热门推荐、精品组图和地方特色三大板块；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6.摄影照片分类不少于25种，支持按分类筛选图片；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7.摄影照片版式包括横图、竖图和方图三种；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8.支持图片放大查看，放大查看窗口支持左右切换图片，具有图片分享和收藏功能；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9.作品详情页提供作品名称、作品ID号、文件格式、文件大小、分辨率和作品描述，具有相似素材推荐功能；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10.图片具有多个标签，每个标签支持打开单独的页面，显示标签下的所有图片；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11.创想实践视频分类不少于13种，支持按分类筛选视频；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12.提供不少于200条情境创设视频素材；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13.情境创设视频分类不少于10种，支持按分类筛选视频；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14.视频列表页标注视频时长和清晰度类型，提供视频分享和收藏功能；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15.视频详情页提供作品名称、作品ID号、文件大小、画面比例、视频时长、文件格式、分辨率和作品描述，具有相似素材推荐功能；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16.视频具有多个标签，每个标签支持打开单独的页面，显示标签下的所有视频；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17.视频画面分辨率不低于1920*1080px；</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18.提供作品收藏功能，支持新建收藏夹及收藏夹管理；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19.支持根据作品名称查询收藏作品，支持将当前收藏夹下的作品移动至其他收藏夹，支持将收藏夹中的作品移至购物车，支持收藏作品的管理；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20.提供购物车功能，支持购物车中的作品移入收藏夹，支持将作品从购物车中删除；</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21.提供地方特色板块，查看系统中已拍摄地方图片和视频；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22.提供适配教材的系列组图，组图具有文字介绍和视频介绍，组图支持整组下载；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23.电脑端主界面菜单功能采用下拉弹出菜单方式，移动端采用侧边栏弹出方式；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24.提供2000张图片、20套系列组图和30个视频使用权。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25.图片类型包括摄影照片、免抠素材、教师范作和学生作品四类，视频类型包括情境创设和创想实践两类；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26.摄影照片数量不少于25000张，免抠素材数量不少于3000张，教师范作数量不少于400张，学生作品数量不少于200张，系列组图不少于50组；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27.提供不少于50条创想实践视频素材；</w:t>
            </w:r>
            <w:r>
              <w:rPr>
                <w:rFonts w:hint="eastAsia" w:ascii="宋体" w:hAnsi="宋体" w:cs="宋体"/>
                <w:b/>
                <w:bCs/>
                <w:color w:val="auto"/>
                <w:szCs w:val="21"/>
                <w:highlight w:val="none"/>
                <w:lang w:bidi="ar"/>
              </w:rPr>
              <w:t xml:space="preserve">  </w:t>
            </w: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美术教室1（素描）</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实木教师桌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1、参考尺寸：1800×700×750mm±10mm。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2、实木结构：榆木。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台面厚度：≥35mm。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4、桌身参数：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桌腿：采用≥32×32mm木方制作。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榫卯结构，搭配插接活动隔板、传统格栅型制挡板、艺术造型门板、纯铜五金件；涂装采用高级木蜡油擦磨工艺，无甲醛。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[可多色选择]（优于油漆工艺）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学生书法桌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1、参考尺寸：1300×600×750mm±10mm。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2、台面参数：台面厚度35mm，密度板贴实木皮，其中两侧翘头尺寸为600×70×40mm。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3、桌身参数：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桌腿：采用≥50×40mm的框架制作，外侧圆角处理。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中立柱：≥20×20mm4根。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桌腿铣凹面轮廓造型。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书法凳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1、参考尺寸：420×360×420mm±10mm。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2、台面参数：凳面厚≥30mm，整体榆木制作。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3、凳身参数：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凳腿：采用≥40×30mm的框架制作，外侧圆角处理。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中立柱：≥25×20mm3根。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凳腿铣凹面轮廓造型。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实木组合柜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1、参考尺寸：5000×500×2000mm±10mm。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3、博古架尺寸：≥1000×500×2000mm。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翘头截面尺寸：≥50×50mm，上部二层展示层带翘头装饰。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门板框截面尺寸：≥40×20mm。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门上栅格条尺寸：≥20×20mm。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4、展示边柜尺寸：1000×500×800mm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隔板厚度≥12mm。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所有柜体内立柱和横梁截面尺寸：≥30×30mm。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5、工艺：整体柜身表面采用木蜡油擦拭工艺。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实木边柜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1、参考尺寸：2000×450×800mm±10mm。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3、采用榫卯结构，≥40×25mm框架 + 15mm芯板/活动隔板。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模块：底座、顶盖、箱体、连接框，配纯铜五金。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可多色选择（优于油漆工艺）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1、参考尺寸：6550*550*800mm；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使用≥12mm厚人造石一体成型（公差±0.5mm），前端下挂50mm（±1mm），边缘经≥3mm圆角安全处理；柜体采用≥16mmE1级三聚氰胺环保饰面板加工制作，不低于1.5mm厚塑制封边条机械封边，杜绝开胶崩边隐患；饰面为自然的木色搭配暖白柜门，所有外露边缘做R≥2mm圆角处理，温润而柔和。</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水龙头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1、主体材质；SUS304不锈钢；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2、表面处理：拉丝；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3、铸造工艺：精铸工艺，无后顾之忧；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4、阀芯：陶瓷阀芯；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5、起泡网嘴：起泡器；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6、安装孔径：直径32-38MM；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不锈钢水盆</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1、参考尺寸：2200*300*300mm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2、主体材质；SUS304不锈钢；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3、表面处理：高硬度拉丝；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4、含水盆所需上下水配件。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室内地上给排水安装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给水采用金属软连接与笼头连接，地上每套水嘴设一控制阀门；排水采用PVC管，连接处密封，包含下水等配件.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书法文化展板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355600"/>
                      <wp:effectExtent l="0" t="0" r="0" b="0"/>
                      <wp:wrapNone/>
                      <wp:docPr id="92" name="图片 110"/>
                      <wp:cNvGraphicFramePr/>
                      <a:graphic xmlns:a="http://schemas.openxmlformats.org/drawingml/2006/main">
                        <a:graphicData uri="http://schemas.openxmlformats.org/drawingml/2006/picture">
                          <pic:pic xmlns:pic="http://schemas.openxmlformats.org/drawingml/2006/picture">
                            <pic:nvPicPr>
                              <pic:cNvPr id="110" name="图片 110"/>
                              <pic:cNvPicPr/>
                              <pic:nvPr/>
                            </pic:nvPicPr>
                            <pic:blipFill>
                              <a:blip r:embed="rId44"/>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028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44" o:title=""/>
                    </v:shape>
                  </w:pict>
                </mc:Fallback>
              </mc:AlternateContent>
            </w:r>
            <w:r>
              <w:rPr>
                <w:rFonts w:hint="eastAsia" w:ascii="宋体" w:hAnsi="宋体" w:cs="宋体"/>
                <w:color w:val="auto"/>
                <w:szCs w:val="21"/>
                <w:highlight w:val="none"/>
                <w:lang w:bidi="ar"/>
              </w:rPr>
              <w:t xml:space="preserve">PVC艺术雕刻造型+艺术彩色转印贴+毛毡墙</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93" name="图片 111"/>
                      <wp:cNvGraphicFramePr/>
                      <a:graphic xmlns:a="http://schemas.openxmlformats.org/drawingml/2006/main">
                        <a:graphicData uri="http://schemas.openxmlformats.org/drawingml/2006/picture">
                          <pic:pic xmlns:pic="http://schemas.openxmlformats.org/drawingml/2006/picture">
                            <pic:nvPicPr>
                              <pic:cNvPr id="111" name="图片 111"/>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94" name="图片 112"/>
                      <wp:cNvGraphicFramePr/>
                      <a:graphic xmlns:a="http://schemas.openxmlformats.org/drawingml/2006/main">
                        <a:graphicData uri="http://schemas.openxmlformats.org/drawingml/2006/picture">
                          <pic:pic xmlns:pic="http://schemas.openxmlformats.org/drawingml/2006/picture">
                            <pic:nvPicPr>
                              <pic:cNvPr id="112" name="图片 112"/>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52400"/>
                      <wp:effectExtent l="0" t="0" r="0" b="0"/>
                      <wp:wrapNone/>
                      <wp:docPr id="95" name="图片 113"/>
                      <wp:cNvGraphicFramePr/>
                      <a:graphic xmlns:a="http://schemas.openxmlformats.org/drawingml/2006/main">
                        <a:graphicData uri="http://schemas.openxmlformats.org/drawingml/2006/picture">
                          <pic:pic xmlns:pic="http://schemas.openxmlformats.org/drawingml/2006/picture">
                            <pic:nvPicPr>
                              <pic:cNvPr id="113" name="图片 113"/>
                              <pic:cNvPicPr/>
                              <pic:nvPr/>
                            </pic:nvPicPr>
                            <pic:blipFill>
                              <a:blip r:embed="rId4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0288;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42" o:title=""/>
                    </v:shape>
                  </w:pict>
                </mc:Fallback>
              </mc:AlternateContent>
            </w: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355600"/>
                      <wp:effectExtent l="0" t="0" r="0" b="0"/>
                      <wp:wrapNone/>
                      <wp:docPr id="96" name="图片 114"/>
                      <wp:cNvGraphicFramePr/>
                      <a:graphic xmlns:a="http://schemas.openxmlformats.org/drawingml/2006/main">
                        <a:graphicData uri="http://schemas.openxmlformats.org/drawingml/2006/picture">
                          <pic:pic xmlns:pic="http://schemas.openxmlformats.org/drawingml/2006/picture">
                            <pic:nvPicPr>
                              <pic:cNvPr id="114" name="图片 114"/>
                              <pic:cNvPicPr/>
                              <pic:nvPr/>
                            </pic:nvPicPr>
                            <pic:blipFill>
                              <a:blip r:embed="rId44"/>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028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4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539115</wp:posOffset>
                      </wp:positionH>
                      <wp:positionV relativeFrom="paragraph">
                        <wp:posOffset>0</wp:posOffset>
                      </wp:positionV>
                      <wp:extent cx="199390" cy="175260"/>
                      <wp:effectExtent l="0" t="0" r="0" b="0"/>
                      <wp:wrapNone/>
                      <wp:docPr id="97" name="图片 115"/>
                      <wp:cNvGraphicFramePr/>
                      <a:graphic xmlns:a="http://schemas.openxmlformats.org/drawingml/2006/main">
                        <a:graphicData uri="http://schemas.openxmlformats.org/drawingml/2006/picture">
                          <pic:pic xmlns:pic="http://schemas.openxmlformats.org/drawingml/2006/picture">
                            <pic:nvPicPr>
                              <pic:cNvPr id="115" name="图片 115"/>
                              <pic:cNvPicPr/>
                              <pic:nvPr/>
                            </pic:nvPicPr>
                            <pic:blipFill>
                              <a:blip r:embed="rId46"/>
                              <a:stretch/>
                            </pic:blipFill>
                            <pic:spPr bwMode="auto">
                              <a:xfrm>
                                <a:off x="0" y="0"/>
                                <a:ext cx="19939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0288;o:allowoverlap:true;o:allowincell:true;mso-position-horizontal-relative:text;margin-left:42.4pt;mso-position-horizontal:absolute;mso-position-vertical-relative:text;margin-top:0.0pt;mso-position-vertical:absolute;width:15.7pt;height:13.8pt;mso-wrap-distance-left:9.0pt;mso-wrap-distance-top:0.0pt;mso-wrap-distance-right:9.0pt;mso-wrap-distance-bottom:0.0pt;" stroked="f">
                      <v:path textboxrect="0,0,0,0"/>
                      <v:imagedata r:id="rId46" o:title=""/>
                    </v:shape>
                  </w:pict>
                </mc:Fallback>
              </mc:AlternateContent>
            </w: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widowControl/>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教师书法专用套装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红木6挂12针笔架1个、大中小号优质品牌毛笔各一支、中国四大名砚之一高端精雕石质砚台1个、墨盒1个、精品徽墨墨条100g、竹质中号扁木四边有布袋笔帘1套、优质陶瓷笔洗6寸1个、书画专用高档羊毛毡1块、黑檀木笔筒1个、加重型黑梓木长度≥250mm1对、精品墨汁500ml一瓶、花梨木笔搁1个。</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学生墨汁</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精品墨汁180ml/瓶</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学生笔搁</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花梨木材质100*20mm</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学生笔挂</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塑钢龙头笔挂，六挂十二针</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学生毛笔</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毛笔8支：大中小白云各一支，大中小提斗各1支，花枝俏、小依纹各1支</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学生镇尺</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加重型黑梓木，长度大于等于180mm</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学生墨盒</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分槽式墨盒134*76*20mm</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学生笔洗</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仿玉塑料笔洗，不易损坏，表面光滑，直径≥110mm</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学生书画毡</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优质书画画毡，尺寸≥600*1400mm</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半生熟宣纸</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半熟宣 266*470mm 100张/包</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熟宣纸</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四尺全熟宣纸（1刀100张）</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刀</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书法挂图</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书法教学挂图或书法名作欣赏挂图，应为国家正式出版物</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多目书画教学示范仪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1.整机一体化设计，具有三摄像头，1个主摄像头2个辅助摄像头；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2.整机≤5kg，机身整体高度≤536mm，底座长宽≤265*128mm，主摄像头臂杆长宽≤462*55mm，侧拍摄像头臂杆和主摄像头支柱夹角≤30度，侧拍摄像头可折叠臂杆长度≤260mm；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3.整机待机电流：12V/150mA；整机负载工作电流：12V/450mA；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4.具备辅助照明LED，可以调整亮度；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5.主摄像头：像素≥800W；分辨率≥3264*2448；对焦方式：定焦；扫描幅面≥A3；出图响应时间 &lt;3S；自动过曝控制；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6.侧拍辅助摄像头采用活动机身，支持折叠，支持摄像头旋转调节拍摄位置；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7.侧拍辅助摄像头：像素≥500W；分辨率≥2592*1944；扫描幅面≥A4；出图响应时间 &lt;3S；自动过曝控制；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8.顶部辅助摄像头采用活动摄像头，支持0-270度任意角度旋转调整；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9.顶部辅助摄像头：像素≥200W；对焦方式：定焦；出图响应时间 &lt;3S。</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书法教学示范系统</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1.支持接入多目书画教学示范仪进行直播示范教学；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2.支持直播画面自由组合切换成画中画、双画面、单镜头等格式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3.支持直播画面接入大屏进行示范教学；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4.支持录制高清示范视频，录制视频可作为教学微课资源；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5.支持录制画面的切换，可进行单画面、画中画、双画面的视频录制；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6.录制视频时支持同步录制教学音频；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7.支持将录制的视频导出下载至本地，用户可自由选取保存位置；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8.支持截取直播示范视频画面为图片，支持将截图直接推送至学生端；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9.支持将截图进行保存，支持将保存的截图推送至学生端；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10.支持将保存的截图导出下载至本地，用户可自由选取保存位置；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11.支持视频、截图的管理，可进行查看、删除等操作；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12.系统支持屏幕任意批注功能，可在显示范围的任意位置进行批注操作；                                           </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高清双模碑帖网络查询系统</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1.系统支持通过浏览器登录书法在线云课堂，具有网络化云平台服务功能。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2.系统提供碑帖逐级加载模式和碑帖图块显示模式。碑帖逐级加载模式支持根据碑帖的缩放级别自动适配碑帖的清晰度，支持字帖任意拖拽和截图功能。碑帖图块支持显示图块列表，图块的分页查看。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3.系统涵盖历代经典书法碑帖字帖资源，满足《中小学书法教育指导纲要》要求的同时，提供大量其它经典传世名作高清资源。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4.系统支持按照年代、作者、字帖名称查找字帖。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5.系统支持图片进行黑白翻转，即黑字白底变成白字黑底。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6.系统支持调整图片的亮度、对比度、饱和度。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7.碑帖逐级加载模式支持针对字帖局部，调取放大镜功能模拟放大镜效果查看碑帖。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8.碑帖逐级加载模式支持针对字帖局部，调取聚光灯功能模拟聚光灯效果查看碑帖。                                                 </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美术教室2（书法）</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实木教师桌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1、参考尺寸：1800*700*750mm；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2、实木结构：榆木。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台面厚度：≥35mm。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两侧翘头尺寸：≥600×70×40mm，台面外侧边缘圆角处理。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桌腿：外侧半圆锥形φ62mm(±5mm)，内侧平直斜面；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4、桌身参数：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桌腿两侧的置物柜：板材厚度为≥12mm，尺寸为≥200×565×265mm,矩形圆角处理，内设一层隔板。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桌腿尺寸：≥40×22mm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横梁尺寸：≥40×25mm，上置挡板，厚度≥16mm。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实木学生桌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1、参考尺寸：1300*600*750mm；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2、实木结构：榆木。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台面厚度≥18mm。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边框≥80×35mm，四落槽工艺制作。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台面下口装厚度≥20mm缩腰，结构稳定牢固。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榆木实木边框中间樘板用多层板贴榆木木皮；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4、桌身参数：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桌脚：≥70×70mm经典马蹄腿型。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1、参考尺寸：400*300*420mm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2、实木结构：榆木。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凳面厚≥25mm，采用传统榫卯连接结构，由边框开榫镶嵌芯板接合而成。腿部：≥40×40mm木方，采用经典马蹄腿型制。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横档：厚30mm，采用经典荷叶纹型制。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横枨：≥30×25mm木方，采用经典传承步步高杆枨型制。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可多色选择（优于油漆工艺）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展示高柜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1、参考尺寸：1000*450*2000mm；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2、采用传统榫卯连接结构，≥40×25mm框架 + 15mm芯板/活动隔板。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模块：底座、顶盖、箱体、博古架、连接框，配纯铜五金。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可多色选择（优于油漆工艺）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玻璃展示柜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1、参考尺寸：1000*450*600/300mm；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2、采用传统榫卯连接结构，下部柜体内置隔板一层，上部钢化玻璃罩展示作品。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可多色选择（优于油漆工艺）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收纳柜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1、参考尺寸：2000*500*800mm；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2、采用传统榫卯连接结构，柜体隔板多层收纳画纸等。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可多色选择（优于油漆工艺）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1、参考尺寸：5250*550*800mm；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使用≥12mm厚人造石一体成型（公差±0.5mm），前端下挂50mm（±1mm），边缘经≥3mm圆角安全处理；柜体采用≥16mmE1级三聚氰胺环保饰面板加工制作，不低于1.5mm厚塑制封边条机械封边，杜绝开胶崩边隐患；饰面为自然的木色搭配暖白柜门，所有外露边缘做R≥2mm圆角处理，温润而柔和。</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水龙头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1、主体材质；SUS304不锈钢；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2、表面处理：拉丝；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3、铸造工艺：精铸工艺，无后顾之忧；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4、阀芯：陶瓷阀芯；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5、起泡网嘴：起泡器；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6、安装孔径：直径32-38MM；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不锈钢水盆</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1、参考尺寸：2200*300*300mm；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2、主体材质；SUS304不锈钢；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3、表面处理：高硬度拉丝；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4、含水盆所需上下水配件。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室内地上给排水安装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给水采用金属软连接与笼头连接，地上每套水嘴设一控制阀门；排水采用PVC管，连接处密封，包含下水等配件.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多目书画教学示范仪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1.整机一体化设计，具有三摄像头，1个主摄像头2个辅助摄像头；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2.整机≤5kg，机身整体高度≤536mm，底座长宽≤265*128mm，主摄像头臂杆长宽≤462*55mm，侧拍摄像头臂杆和主摄像头支柱夹角≤30度，侧拍摄像头可折叠臂杆长度≤260mm；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3.整机待机电流：12V/150mA；整机负载工作电流：12V/450mA；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4.具备辅助照明LED，可以调整亮度；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5.主摄像头：像素≥800W；分辨率≥3264*2448；对焦方式：定焦；扫描幅面≥A3；出图响应时间 &lt;3S；自动过曝控制；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6.侧拍辅助摄像头采用活动机身，支持折叠，支持摄像头旋转调节拍摄位置；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7.侧拍辅助摄像头：像素≥500W；分辨率≥2592*1944；扫描幅面≥A4；出图响应时间 &lt;3S；自动过曝控制；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8.顶部辅助摄像头采用活动摄像头，支持0-270度任意角度旋转调整；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9.顶部辅助摄像头：像素≥200W；对焦方式：定焦；出图响应时间 &lt;3S。</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美术教学示范系统</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1.系统支持连接多目书画教学示范仪进行绘画示范教学；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2.系统由示范画面、功能操作栏、录制视频和历史截屏4部分构成；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3.示范画面支持俯拍画面、侧拍画面、顶拍画面、双画面、画中画、全屏、开始录制、结束录制、截图、放大、缩小和重置12种操作功能；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4.俯拍画面支持显示多目书画教学示范仪俯拍摄像头视频画面；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5.侧拍画面支持显示多目书画教学示范仪侧拍摄像头视频画面，通过折叠和转动侧拍摄像头，同步显示不同景深和角度的视频画面；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6.顶拍画面支持显示多目书画教学示范仪顶部摄像头视频画面，通过转动顶部摄像头，同步显示不同角度的视频画面；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7.支持左右双画面显示俯拍和侧拍摄像头视频画面；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8.支持画中画显示俯拍和侧拍摄像头视频画面；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9.支持全屏显示视频画面；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10.支持录制视频，支持同步采集音频；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11.支持截取视频画面为图片；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12.支持放大、缩小和重置视频画面；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13.支持屏幕批注功能；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14.支持画中画和双画面方式录制电脑桌面和顶拍摄像头画面；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15.支持视频文件管理维护功能，包括新建文件夹、下载、上传、删除和重命名。</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篆刻印章图库系统</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1.提供1800张以上高清印章图片，涵盖从战国至近现代的国玺、官印、私印等；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2.支持根据印章类型、印章朝代、印章内容查询，支持根据篆刻形状、篆刻内容、篆刻方法进行标签检索；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3.支持对印章图片进行放大、缩小、旋转、自由拖拽等操作；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4.支持调整图片的亮度、对比度、饱和度和图片色相；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5.支持阴文钤印图自动生成对应的阳文钤印图，阳文钤印图的自动生成对应的阴文钤印图；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6.支持印章图片进行水平镜像和垂直镜像反转；</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7.支持切换图片模式为原图与处理图；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8.支持将印章图片一键推送到所有学生设备上供学生进行查看和临创；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9.支持教师端在打印预览界面缩放图片至合适尺寸大小后进行打印操作；</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切割垫板</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1.尺寸≥300*450*2.5mm；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2.材质：PVC。</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篆刻工具</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1.印泥签1个：尺寸≥70*10mm，塑料材质；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2.印床1个：尺寸≥120*72*50mm，松木材质；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3.篆刻刀三件套：钢制双头，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①平口/斜口3.5mm；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②平口/斜口4.5mm；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③平口/斜口6.5mm；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4.黑色双头记号笔1支；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5.印泥1盒：15g；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6.青田石2块；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7.砂纸3张：240目、600目、1000目；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8.镜子：直径70mm；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9.风油精：3ml/瓶；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10.双头棕帚：尺寸≥80mm。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篆刻配套用纸</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1.连史纸1包：尺寸≥100*150mm，100张/包；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2.硫酸纸1包：A4，100张/包；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3.蓝色复写纸1本：48K，100张/本。</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印规</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实木印规 T型尺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广西冻石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2.0*2.0*5.0 CM，练习用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巴林石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2.0*2.0*5.0 CM，练习用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88035" cy="12700"/>
                      <wp:effectExtent l="0" t="0" r="0" b="0"/>
                      <wp:wrapNone/>
                      <wp:docPr id="98" name="图片 116"/>
                      <wp:cNvGraphicFramePr/>
                      <a:graphic xmlns:a="http://schemas.openxmlformats.org/drawingml/2006/main">
                        <a:graphicData uri="http://schemas.openxmlformats.org/drawingml/2006/picture">
                          <pic:pic xmlns:pic="http://schemas.openxmlformats.org/drawingml/2006/picture">
                            <pic:nvPicPr>
                              <pic:cNvPr id="116" name="图片 116"/>
                              <pic:cNvPicPr/>
                              <pic:nvPr/>
                            </pic:nvPicPr>
                            <pic:blipFill>
                              <a:blip r:embed="rId47"/>
                              <a:stretch/>
                            </pic:blipFill>
                            <pic:spPr bwMode="auto">
                              <a:xfrm>
                                <a:off x="0" y="0"/>
                                <a:ext cx="788034"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0288;o:allowoverlap:true;o:allowincell:true;mso-position-horizontal-relative:text;margin-left:0.0pt;mso-position-horizontal:absolute;mso-position-vertical-relative:text;margin-top:0.0pt;mso-position-vertical:absolute;width:62.0pt;height:1.0pt;mso-wrap-distance-left:9.0pt;mso-wrap-distance-top:0.0pt;mso-wrap-distance-right:9.0pt;mso-wrap-distance-bottom:0.0pt;" stroked="f">
                      <v:path textboxrect="0,0,0,0"/>
                      <v:imagedata r:id="rId47"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88035" cy="12700"/>
                      <wp:effectExtent l="0" t="0" r="0" b="0"/>
                      <wp:wrapNone/>
                      <wp:docPr id="99" name="图片 117"/>
                      <wp:cNvGraphicFramePr/>
                      <a:graphic xmlns:a="http://schemas.openxmlformats.org/drawingml/2006/main">
                        <a:graphicData uri="http://schemas.openxmlformats.org/drawingml/2006/picture">
                          <pic:pic xmlns:pic="http://schemas.openxmlformats.org/drawingml/2006/picture">
                            <pic:nvPicPr>
                              <pic:cNvPr id="117" name="图片 117"/>
                              <pic:cNvPicPr/>
                              <pic:nvPr/>
                            </pic:nvPicPr>
                            <pic:blipFill>
                              <a:blip r:embed="rId48"/>
                              <a:stretch/>
                            </pic:blipFill>
                            <pic:spPr bwMode="auto">
                              <a:xfrm>
                                <a:off x="0" y="0"/>
                                <a:ext cx="788034" cy="12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0288;o:allowoverlap:true;o:allowincell:true;mso-position-horizontal-relative:text;margin-left:0.0pt;mso-position-horizontal:absolute;mso-position-vertical-relative:text;margin-top:0.0pt;mso-position-vertical:absolute;width:62.0pt;height:1.0pt;mso-wrap-distance-left:9.0pt;mso-wrap-distance-top:0.0pt;mso-wrap-distance-right:9.0pt;mso-wrap-distance-bottom:0.0pt;" stroked="f">
                      <v:path textboxrect="0,0,0,0"/>
                      <v:imagedata r:id="rId48" o:title=""/>
                    </v:shape>
                  </w:pict>
                </mc:Fallback>
              </mc:AlternateContent>
            </w: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寿山石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2.0*2.0*5.1 CM，练习用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青田石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2.0*2.0*5.1 CM，练习用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萧山红</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1.5*1.5*5.0 CM，练习用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墨绿冻</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2.0*2.0*5.0 CM，练习用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中号</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印谱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26*16cm，线装书宣纸方框印谱，白色内页</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本</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美术教室3（篆刻）</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1、参考尺寸：2000×1000×750mm±10mm。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3、台面：采用≥12mm厚纤丝抗倍特板，抗污染、防水、防火特性，台面立面倒角、打磨，各处光滑；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4、安全性能要求：与人体接触的零部件不应有毛刺、刃口、尖锐的棱角和端头，操作台面接缝应平整、紧密，不应渗水、开缝。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5、桌腿采用≥60×60×1.2mm钢管焊接打磨，表面平整，左右桌架采用≥0.8mm冷轧钢板激光铣型，可悬挂配件盒；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前横梁、中间横梁全部采用≥60×30×1.2mm钢管制作；连接件采用铝合金注塑模具一次成型，各部分连接设置专用定位件，并用高强度内六角螺丝连接，便于组装及拆卸，外观流线形设计，简洁美观,易碰撞处全部采用倒圆角，产品款式要求整体设计美观、合理、安全、牢固、耐用。金属表面经环氧树脂粉末喷涂高温固化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6、下配蛇形管一套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美术用品收纳柜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1、参考尺寸：5000×500×2200mm;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3、产品尺寸：5000×500×2200mm；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参数：柜体采用16mm厚E1级三聚氰胺环保饰面板加工制作，不低于1.5mm厚塑制封边条机械封边，柜体组合柜造型，部分板式柜门造型，部分柜门配备磁吸板，左右两侧下部柜门配双移门板，上下配移门轨道，一块为装饰性洞洞板，一块为可粘贴磁吸板，部分柜体配pp储物盒。中间上部配可挂式格栅板，下部设多层隔板用于放置画板画纸以及石膏模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教具储藏室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1、参考尺寸：主台：1500*600*750mm，副台：1500*500*620mm;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1、参考尺寸：660*590*1040mm；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2、黑色尼龙脚；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3、黑色尼龙轮；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4、黑色气杆；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5、2.5mm加厚蝴蝶底盘，可逍遥和原位锁定;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6、固定腰靠，黑色PP玻纤背框和扶手；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7、42mm密度中软高弹力切割海绵;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8、弹力座布，透气背网饰面。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服装柜</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1、参考尺寸：5000×600×2200mm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柜体参数：柜体采用16mm厚E1级三聚氰胺环保饰面板加工制作，不低于1.5mm厚塑制封边条机械封边；柜体组合柜造型，单柜顶部设闲置物收纳区，斜切拉手；单柜中部设服装收纳区，内部作功能分区，可悬挂服装亦可置物收纳，柜门板采用橘黄色与暖白色作套色处理，门板底部作半圆设计造型；单柜底部设鞋类收纳区，采用移动抽盒设计，部分作橘黄色与暖白色作套色处理，抽盒内部立板分隔，收纳便捷，方便移动。</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木质：1000×350×370mm±10mm。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软垫：≥1000×350×35-40mm。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2、柜体参数：凳体采用≥16mm厚E0级三聚氰胺环保饰面板加工制作，不低于1.5mm厚塑制封边条机械封边；产品采用全开放式多层储物，拿取便捷，分类明确；凳面面软包采用高密度记忆回弹海绵，外包棉质布料。</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柜体参数：柜体采用≥16mm厚E1级三聚氰胺环保饰面板加工制作，不低于1.5mm厚塑制封边条机械封边；柜体组合柜造型，单柜科学结构划分，一键搞定所有收纳，柜门板采用橘黄色与暖白色作套色处理，柜门开有通风透气孔，增加空气流通，防霉防臭。</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舞蹈把杆</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2、水曲柳木直径低于120mm，内穿15mm软钢。升降式，三米一组（包含两个铸铁底座）。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1、布艺窗帘，纯色全遮光吸音窗帘，含罗马杆及辅件等；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2、褶皱系数 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立式钢琴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1、立式钢琴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2、外观尺寸 长≥149cm，宽≥60cm，高≥119cm；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3、五金件 钢琴外观可见的五金件采用银色不易氧化的金属；顶盖铰链有加强筋的结构，能更稳定安全支撑顶盖。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4、外壳 哑光黑色，采用新型环保材料。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6、下门 采用下门边框装配结构，使下门板开合时避免与琴腿碰撞。</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8、铁板工艺 翻砂工艺铸铁板。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9、铁板高度 ≥109.5cm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10、琴弦 圆形弦（截面为正圆形），镀锡防锈钢线；最大有效弦长不少于118cm，30#音有效弦长不小于94cm。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11、音板 采用寒带地区缓慢生长的鱼鳞松制作的实木音板；音板须有防开裂防变形的特殊工艺或结构。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12、肋木 使用与音板相同材质木材，数量不少于10根。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13、弦轴板 由15-17层坚硬的榉木交错压榨制成。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14、弦码 采用多层榉木制作。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15、背柱 实木制作，五背柱设计，且背柱截面尺寸≥80*70mm；背柱整体严密牢固，无明显缝隙或粘贴痕迹。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17、中盘 使用稳定不易变形的木材制作而成。除螺丝外中盘上面不加装任何金属加固或金属链接结构。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18、弦槌 要求用纯羊毛毡及鹅耳枥木制作。弦槌木芯采用数控设备成形，加以铆钉夹具装配，使弦槌整体更牢固。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19、击弦机部件 转击器、联动杆、制音杆要求使用鹅耳枥木制作；鹅耳枥木实木（非多层）制作的调节档，不得有金属包裹；使用ABS或碳纤维材质的顶杆，顶杆轴架的粘合面底部增加藏胶槽，使组件装配更稳固，增加粘连的稳定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1.10寸两单元两分频全频专业音箱。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2.由一只34芯高音和10寸低频单元组成。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3.高密度纤维板箱体，表面雨点漆面处理。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4.高音清晰，中音饱满，低频沉稳。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5.支持顶吊/横吊/后支撑/底支撑等多种安装方式。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6.高音单元：1×1＂(25mm)/1.4＂voice coil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7.低音单元：1×10＂(250mm)/2＂voice coil</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8.频响范围：55Hz-20KHz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9.灵 敏 度：95dB/M/W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10.最大声压：118dB continuous,124dB peak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11.额定功率：300W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12.峰值功率：1200W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13.指 向 性：90°×50°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14.额定阻抗：8 ohm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15.保 护 网：钢网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16.接线方式：2×Speakon NL4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17.净    重: 14kg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尺寸(WxDxH):351×317 ×500mm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功放</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1.此系列为AB类功放，既有A类功放的高音质，又有B类功放的高效率，两者完美结合；整机省电且声音干净细腻。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2.高速光电隔离限幅，整机大动态下限幅启控保证失真1%以下。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3.小信号输入采用高频电压，低失真、低噪声电路。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4.采用风道散热结构，配合高效率铲齿散热，智能控制风扇强度，散热效率大大提高。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5.具有软保护、短路、过热、过载、欠压、直流保护等功能。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6.具有立体声、并联、桥接多种模式选择，以及输入灵敏度选择。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1.额定功率：8Ω（2X400W），4Ω（2X550W）。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2.桥接功率：8Ω（2X800W）。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3.总谐波失真：&lt;0.05%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4.互调失真：&lt;0.04%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5.频率响应：20HZ-20KHZ ，＜±0.1dB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6.信噪比：＞98dB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7.转换速率：≥40V/us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8.输入阻抗：10KΩ非平衡，20KΩ平衡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9.阻尼系数≥300Ω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10.输入灵敏度:（0.775-1.44VdB)V可调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11.输入接口：XLR卡侬公母座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12.输出接口：欧姆卡侬/接线柱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13.最低负载阻抗：＞4Ω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14.模式：立体声/桥接/并接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15.电源要求：185-240V 50/60HZ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16.机身尺寸：485×430×89mm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17.重量：9kg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调音台</w:t>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1.4单声道，2组立体声  ；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2.每通道3段EQ均衡器 ；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3.60MM长度行程推子,精选阻尼推子手感好,调节精准,使用寿命长；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4.2组AUX母线（包括EFF) ,1组返回，2编组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5.带恒流源的分布式 A 类麦克风放大器；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6.内置DSP效果器，24种预设效果；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7.高品质USB音乐播放器，包含常用的录音、蓝牙功能；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8.LED显示24-bit/192KHz 2进/2出 USB音频；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9.单声道输入单独的噪声门开关；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10.RGB通道开关指示；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11.通道信号直接输出；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12.单声道输入通道每路带独立的48V幻像供电开关。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13.立体声监听输出，可以耳机监听，也可以输出到监听音箱旋钮控制音量大小；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1.音频输入：至大输入电平：+10dBu/至小输入电平-58dBu</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2.PAD定值衰减:衰减值15dB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3.音频输出：至大输出电平：+20dBu/标准输出电平+4dBu</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4.信噪比S/N：90dB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5.均衡：±15dB，高频10KHz/中频250Hz-8KHz/低频60Hz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6.频率响应：20Hz-20KHz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7.总谐波失真：0.015%   0dB 1KHz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8.消耗功率：25W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9.电源输入电压：AC 100V-240V/50Hz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10.尺寸L×W×H(长宽高)：325×420×110（mm）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无线话筒</w:t>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1.200频点，红外自动对频。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2.金属手持，金属机箱。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3.手持有静音感应功能，环保节能。此功能可以依据使用场合任意开启，关闭。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4.主机有一键锁屏功能，防止调乱设置。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5.频率范围：610-675MHz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6.可调通道数：100×2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7.振荡方式：锁相环频率合成（PLL）</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8.频率稳定度：±10ppm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9.接收方式：超外差二次变频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10.接收灵敏度：-95~-67dBm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11.音频频响：40-18000Hz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12.谐波失真：≤0.5%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13.有效接收距离：60m(标准的情况下）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14.信噪比：≥110dB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15.音频输出：平衡输出和混合输出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16.发射功率：3-30mW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17.调制方式：调频（FM）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18.电池规格：5号电池2节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19.电源规格：100-240V 50-60Hz 12VDC（开关电源适配器）或者220VAC/50-60HZ 12VDC 线性电源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20.电源消耗：≤10W</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电源时序器</w:t>
            </w:r>
            <w:r/>
          </w:p>
        </w:tc>
        <w:tc>
          <w:tcPr>
            <w:tcBorders>
              <w:top w:val="non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1.一键开启关闭 , 按一次8路顺序开启, 再按一次8路逆序关闭。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2.8路独立开关，可独立控制每路的开启和关闭。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3.8路通道指示灯,可指示通道的开关状态。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4.面板带有应急开关，在紧急状态下按一下所有通道同时开启，再按一下所有通道同时关闭。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5.90-240V宽电压通用，同时带电压显示功能。面板提供+5V USB 供电, 最大0.15A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5.采用30A继电器。单路最大功率可达2000W。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6.万能插座，可适合各种类型电源插头使用。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7.配置RS232接口，支持外部中央控制设备控制。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8.支持多台设备级联控制。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9.每通道带独立电源滤波器，可给每一路提供干净稳定的电源供应。</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12U简易机柜</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卡侬公母线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卡侬公对卡侬母信号线（1.5米）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信号线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3.5转双莲花信号线（1.5米）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音箱线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2*1.5㎡专业工程音箱线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练功凳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简约现代所设计、超纤皮方形、材质：超纤皮（颜色随机）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压腿凳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练功凳，长2米*宽24厘米*高30厘米±5mm，中间海绵一层，表面采用皮革包裹。</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压腿砖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颜色分类: 绿色 蓝色 紫色 粉色 墨绿色 黑色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规格: 长23cm*宽15cm*高7.5cm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材质: EVA环保材质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是否异味: 无味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密度: 高密度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舞蹈垫</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1.尺寸：Φ400*H80mm；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2.材质：乙烯-醋酸乙烯共聚物；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3.工艺：乙烯-醋酸乙烯共聚物加纳米新材料，经特殊发泡处理，耐磨高密度超强耐低温，中间圆孔设计，方便叠放收纳。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4.形状：可选择圆形、星型、五角型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瑜伽垫</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尺寸：长185cmX宽80cmX厚15mm±5mm，高密度NBR材质。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面</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舞蹈练功球</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直径：55CM 加厚防爆 环保PVC（颜色随机）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舞蹈拉力带</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材质：TP面料，拉丁弹力带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尺寸：约86*4cm±5mm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舞蹈手花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1、材料：塑料材质，不掉色，不变形，不掉花片；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2、啦啦花双头直杆重约100克（总长 42cm 花的直径32）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3、用途：适合用于广场舞，学校，舞台表演，幼儿园，等场合使用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舞蹈垫收纳车</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1.尺寸：W820*D400*H1050mm±5mm；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2.材质：实木多层板，铝合金收纳杆；厚度约25mm,基材采用实木多层板，面贴三聚氰安纸，ABS直封边制作，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3.功能：用于舞蹈垫的收纳，底部配置高品质万向轮，方便移动。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舞蹈教室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实验室演示台</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1、参考尺寸：3000×700×850mm。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采用全钢结构，钢板厚度≥1.0mm冷轧板制作,表面采用环氧树脂静电粉末喷涂处理，整体可拆装，带电源位置及键盘位，设有抽屉及带柜门柜体，采用国内知名品牌铰链及导轨。底部设有底脚，底脚高度可调，采用ABS工程塑料与金属螺杆一次注塑成型，确保整体承重，接缝严密。</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1、国标。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2、交流二三孔插座。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教师电源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1、ABS塑制桌面镶嵌结构,PC材质触摸面板。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2、可自行设置地址无限频率信道防止与学校网络冲突。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3、教师自己调节低压交直流输出。液晶显示低压交直流电压及汉字显示工作过载，触摸按键调节。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4、直流稳压低压输出范围【0—24V】精度0.1V,电流2A自动过载手动复位液晶汉字显示,自行调节电压时触摸按键升降输入电压值。                                    5、交流低压输出范围【0—24V】精度0.1V,电流2A自动过载手动复位液晶汉字显示,自行调节电压时触摸按键升降输入电压值。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6、当输入电压在198v-242v间变化，在额定电流输出时低压交流电压变化量≤(2%U标 +0.1)V。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7、预留扩展接口可镶装双五孔220V插座模块。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8、usb、Type-c充电插口、网口输出、电源运行故障指示灯。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控制箱</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1、参考尺寸：530×440×140mm。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2、教师端主控，含主机，主机采用钢制机箱，控制显示采用≥10寸液晶工业触摸屏和数据显示一体化。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3、系统具备电路安全防护功能。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4、自动关机时间设置功能。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5、主机可控制每个学生吊装电源或整体的升降停止功能。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6、密码控制，本产品由教师输入正确的密码，方可启动实验电源的控制系统（教师可自定密码），对电源控制台进行操作防误操作方便教师合理安排实验。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7、教师主控可实现对学生低压交直流电压的设置及分组控制或者单个控制，也可实现对学生端预留220V插座模块扩展接口处镶装扩展功能的启用实现分组或者单个控制。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8、教师无线控制学生三种模式：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（1）教师控制学生低压交直流输出电压后，学生交直流低压不可调节。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（2）教师控制学生交直流低压输出最高电压，学生在教师控制最高电压以下调节。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（3）教师解除控制学生，学生可自己调节低压交直流输出，电源执行0374标准。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1、参考尺寸：440×340×280mm。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2、材料：高密度PP，耐强腐蚀，如王水；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3、表面纹理：槽沿表面处理为皮纹，耐刻刮，与大部分台面板表面纹理一致。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4、附件：高密度PP去水；含阻水盖、PP提笼。</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台式三口鹅颈水龙头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1、主体：加厚铜质。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2、涂层：高亮度环氧树脂涂层，耐腐蚀、耐热、防紫外线辐射。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3、陶瓷阀芯：90°旋转，使用寿命开关50万次，静态最大耐压20巴。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4、附件：可拆卸铜质水嘴，可加接防溅滤水器。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5、开关旋钮：高密度PP，人体工程学设计，手感舒适。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学生实验桌1</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1、参考尺寸：2400×1200×780mm。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4、柜体：采用≥1.0mm镀锌钢板，采用CO2保护焊焊接，打磨处理，表面经耐酸碱EPOXY粉末烤漆处理（烤漆膜厚度平均值≥70μm），表面硬度附着力、耐腐蚀性好；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5、拉手：钢质一体成型暗拉手；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6、防撞胶垫：装于抽屉及门板内侧，减缓碰撞，保护柜体；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7、门板及抽面：采用双层钢板，必须两层组装是设计，保证两层双面都喷涂处理，中间采用隔音材料，保证关门减少噪音；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8、连接件：采用ABS专用连接组装件；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9、合页：采用不锈钢模具一体成型，强度必须达到一个正常成年座在门上方合页不脱落；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10、滑轨：三节重型滚珠滑轨，承重性强，滑动性能良好，无噪音；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1、参考尺寸：φ300×450mm。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A:凳面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1、材质：采用环保型ABS改性塑料一次性注塑成型。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2、尺寸：≥300×30mm。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3、表面细纹咬花，防滑不发光。   </w:t>
            </w:r>
            <w:r>
              <w:rPr>
                <w:rFonts w:hint="eastAsia" w:ascii="宋体" w:hAnsi="宋体" w:cs="宋体"/>
                <w:color w:val="auto"/>
                <w:szCs w:val="21"/>
                <w:highlight w:val="none"/>
                <w:lang w:bidi="ar"/>
              </w:rPr>
              <w:t xml:space="preserve">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B：椭圆型钢架弯弧成型，四脚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1、材质及形状：椭圆形钢管。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2、尺寸:15×35×1.2mm。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3、全圆满焊接完成，结构牢固，经高温粉体烤漆处理，长时间使用也不会产生表面烤漆剥落现象。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C：脚垫 1、材质：采用PP加耐磨纤维质塑料，实心倒勾式一体射出成型。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D:凳面可通过隐藏式旋转螺杆来升降凳子高度，升降高度：最低≤ 380mm，最高≥430mm，为避免螺杆腐蚀，螺杆采用隐藏式保护设计。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1、传动系统：螺旋丝杆传动，升降过程平稳顺滑，具备优异的承载能力与长期使用可靠性。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2、核心连接件规格：凳面连接端采用ø50mm隐蔽式螺母，作为核心承力接口。传动螺杆采用 不低于M19的高强度传动螺杆，确保传动轴心的强度和稳定性。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3、全隐蔽式设计：螺杆外部配有 直径不小于32mm</w:t>
            </w:r>
            <w:r>
              <w:rPr>
                <w:color w:val="auto"/>
                <w:szCs w:val="21"/>
                <w:highlight w:val="none"/>
                <w:lang w:bidi="ar"/>
              </w:rPr>
              <w:t xml:space="preserve">​</w:t>
            </w:r>
            <w:r>
              <w:rPr>
                <w:rFonts w:hint="eastAsia" w:ascii="宋体" w:hAnsi="宋体" w:cs="宋体"/>
                <w:color w:val="auto"/>
                <w:szCs w:val="21"/>
                <w:highlight w:val="none"/>
                <w:lang w:bidi="ar"/>
              </w:rPr>
              <w:t xml:space="preserve"> 的连接保护套，能有效隔绝外部灰尘、杂物侵入螺纹传动部位，并防止润滑油污染，从而避免了因污物导致的螺纹磨损、卡死等问题，显著提升产品的耐用性和免维护性。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智能升降机构</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1、参考尺寸：312×220×390mm。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2、表面黑、白色亮光烤漆，不小于1.2mm的一级冷轧钢板（SPCC）经激光下料、CNC、折弯成型、CO</w:t>
            </w:r>
            <w:r>
              <w:rPr>
                <w:color w:val="auto"/>
                <w:szCs w:val="21"/>
                <w:highlight w:val="none"/>
                <w:lang w:bidi="ar"/>
              </w:rPr>
              <w:t xml:space="preserve">₂</w:t>
            </w:r>
            <w:r>
              <w:rPr>
                <w:rFonts w:hint="eastAsia" w:ascii="宋体" w:hAnsi="宋体" w:cs="宋体"/>
                <w:color w:val="auto"/>
                <w:szCs w:val="21"/>
                <w:highlight w:val="none"/>
                <w:lang w:bidi="ar"/>
              </w:rPr>
              <w:t xml:space="preserve">/氩弧焊组合焊接制作；所有表面连接接缝处均满焊后打磨处理，保证平整光滑。表面经除油、磷化、环氧树脂静电粉末涂装、固化流平处理，涂装膜厚不低于70μm。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3、电缆线径不低于11mm，表面采用新型抗旱耐温材料，工作温度在-40℃~70℃下不变硬、不开裂、不发粘。电缆内置纤维填充，抗拉性更强，可保证≥40kg拉力下电学性能稳定。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4、在教师控制下升降功能，具有遇障碍拖住停止功能，卷线装置安装换向器，防止线缆自扰，卷线放到底部自动停止功能，线缆伸缩长度不低于2米。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1、参考尺寸：438×379×136mm。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2、采用ABS材质，模具一体成型。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1、参考尺寸：227×227×110mm。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2、采用ABS材质，模具一体成型。模块内预留高压、低压位置。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智能吊装电源-低压电源模块</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1、教师主控型，学生低压电源都可接收主控电源发送的无线信号：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（1）学生接收老师输送的设定电源电压，教师锁定时学生自己无法操作，这样可避免学生的误操作。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（2）学生接收老师的控制上限电压时，学生在教师控制的电压以下调节。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（3）学生接收老师解除控制信号时，学生自己调节电压不受教师控制。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2、学生电源采用优质PC材质面板一体注塑成型，学生电源的控制采用触摸式按键，可以随意设置电压，贴片元件生产技术，微电脑控制。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3、学生低压交流电源压调节范围0～24V电压，最小调节单元可达0.1V,额定电流2A，具有过载保护智能检测功能（电流高于过载点则自动保护，电流低于过载点则手动复位恢复至设定值）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4、学生直流电源调节范围为0～24V，分辨率可达0.1V,额定电流2A，亦具有过载保护智能检测功能。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5、在教师控制下升降功能，具有遇障碍托住停止功能，卷线放到底部自动停止功能，线缆伸缩长度不低于2米。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7、电源设有呼吸灯，提示电源运行状态。</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智能吊装电源-高压电源模块</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1、预留扩展接口可镶装两组220V多功能安全插座模块。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2、所有输出端口均具备检测功能，当任何一组接口有电器插入时，吊装电源均不可升降。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电源布线耗材</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2.5平方电线，用控制220V。</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支架</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环氧树脂喷涂金属吊杆。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国标五金件。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吊装系统调试</w:t>
            </w:r>
            <w:r/>
          </w:p>
        </w:tc>
        <w:tc>
          <w:tcPr>
            <w:tcBorders>
              <w:top w:val="singl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升降功能、高低压电源系统调试。</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集成顶装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标准化安装。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给/排水全套装置</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1.给水采用专用PPR管铺设，管径Ф20mm，采用金属软连接与水嘴连接。排水采用PVC管铺设，管径Ф50mm。PVC管与水槽连接，连接处密封。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2.地上每套水嘴设一控制阀门。</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1、参考尺寸：1000×500×2000mm。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参数：铝合金框架规格：前侧腿≥25×35×1.2㎜，后侧腿≥35×35×1.2㎜，基材采用≥16mm厚E1级三聚氰胺板制作,其它部位采用≥1.5mm厚塑制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边台</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1、参考尺寸：延米×600×780mm。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11.2</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边柜电源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1、参考尺寸：200×62mm±10mm。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2、可夹式插座。标配1.8米线，1.5平方，10A插头电源线。插座背面出线。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3、可夹0-30mm厚度的桌面板。颜色有光白、光黑。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操作台</w:t>
            </w:r>
            <w:r/>
          </w:p>
        </w:tc>
        <w:tc>
          <w:tcPr>
            <w:tcBorders>
              <w:top w:val="none" w:color="000000" w:sz="4" w:space="0"/>
              <w:left w:val="non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1、参考尺寸：6300×600×780mm。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p>
        </w:tc>
        <w:tc>
          <w:tcPr>
            <w:tcBorders>
              <w:top w:val="non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none" w:color="000000" w:sz="4" w:space="0"/>
              <w:left w:val="non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光子芯片实验室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计算机讲台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桌腿采用50×50×1.5mm门字形方管，底部配可调节脚垫，横梁连接管采用30×50×1.2mm矩形管；桌下设收纳箱体，对开门设计，柜门带锁，箱体开有散热孔，内部可放置电源插排、主机等设备。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1、参考尺寸：1500×600×750mm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桌腿采用50×50×1.5mm门字形方管，底部配可调节脚垫，横梁连接管采用30×50×1.2mm矩形管；桌下设收纳箱体，对开门设计，柜门带锁，箱体开有散热孔，内部可放置电源插排、主机等设备。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1、参考尺寸：750*600*750mm；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桌腿采用50×50×1.5mm门字形方管，底部配可调节脚垫，横梁连接管采用30×50×1.2mm矩形管；桌下设收纳箱体，柜门带锁，箱体开有散热孔，内部可放置电源插排、主机等设备。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1、参考尺寸：345×245×420mm；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2、产品结构：钢塑结构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3、凳面参数：凳面尺寸≥345×245mm  凳面采用共聚丙烯工程塑料模具注塑成型，凳面内镶嵌四颗≥Φ6螺杆，要求螺栓与凳面在注塑过程中一体成型，凳面造型符合人体工程学。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4、凳身参数：凳体采用全钢框架，钢管壁厚不低于1.2mm,经酸洗磷化处理，表面喷塑，底脚采用专业ABS模具成型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1、≥24个10/100/1000Base-T以太网端口，≥4个千兆SFP端口；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2、交换容量≥336Gbps，整机包转发率≥96Mpps；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3、支持基于端口的VLAN，支持VLANVPN</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(QinQ)，支持VoiceVLAN，支持协议VLAN，支持MACVLAN；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4、支持STP/RSTP/MSTP，支持SmartLink；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5、支持IPv4和IPv6的三层路由功能；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6、支持SDN，支持OpenFlow1.3标准。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光纤模块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单模光模块，SFP-GE-(1310nm,10km,LC接口)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双绞线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六类非屏蔽室内双绞线；23AWG，带宽250MHz；8根芯线采用单股软铜线，每根芯线带有彩色绝缘层；紧护套结构，线对间十字隔离技术，全面提升线缆性能，PVC材质,符合CM等级阻燃要求。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理线器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1、19寸标准机架式，高强度ABS料制造；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2、可拆卸盖板设计，方便施工操作；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3、均匀琴键式理线槽位,保证跳线良好的弯曲,保证传输性能；宽口，利于6类线的管理。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网络水晶头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1、六类非屏蔽水晶头，主体采用高强度PC材质，耐用；屏蔽水晶头金属外壳为铜合金镀镍；金针材质为铜合金镀金50U”，金针采用三叉构造，确保与线缆之间的可靠连接；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2、100个/盒。</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成品网络细跳线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1、规格：六类4对非屏蔽RJ45-RJ45跳线，带宽≥250MHz，长度2米；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2、导体：30AWG；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3、外径：3.0mm±0.2mm；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4、芯线：8根多股软铜芯线，每根芯线带有彩色绝缘层；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5、特性：符合ANSI/TIA-568-C.2六类规范；单体100%通过fluke ；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6、护套：紧护套结构，采用PVC材质，需满足多种颜色可供选择，方便区分不同系统。</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强电插排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六位接线板，线长不低于1.8米，带开关和指示灯。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强电材料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1、主干电缆采用不低于4平方，单台电脑分支不低于2.5国标电源线；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2、空气开关及配电器材；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线槽线管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PVC线槽及线管，以1间机房为单位自行测算，不得增补。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机柜(18U)</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1.机架式19英寸机柜，外形尺寸600mm*600mm*1000mm，钢板厚度方孔条≥2.0mm/安装梁≥1.5mm/其余≥1.2mm，防静电喷涂；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2.前门为黑色钢化玻璃材质,后门为网门，可拆卸侧板，弧形门边条开圆形通风孔，网孔通风率≥75%；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3.静音节能风扇设计。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计算机教室，配套辅助材料，包括光纤跳线、固定五金件、音频线材、HDMI线、套接玻纹软管(每套学生机线路须规范束理）、PVC胶水、自攻螺丝、膨胀管、电工胶布、管接、管卡、标签、扎带等，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用于计算机教室，线槽线管布置、强电线缆及插座安装、弱电综合布线等。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网络教室集成服务，三年全系统免费上门质保服务等。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电子教室系统软件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一、整体要求：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1.纯软件产品，安装部署快捷，升级简易方便，全中文人性化界面设计，支持主窗口功能按钮、浮动工具条、右键菜单、快捷键多项操作方式。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2.软件的加密方式支持服务器端授权、在线序列号加密、离线文件加密、自定义短码激活、mac地址预置激活、绑定教学互动终端激活等多种方式的激活方式。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3.采用核心的截屏及实时压缩技术，在网络条件较差时亦能体现良好的性能；可根据网络条件调节网络补偿强度，根据广播内容调节广播效率，使广播达到最佳效果。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二、课堂教学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2.屏幕笔：支持教师通过屏幕笔进行教学辅助功能，具体工具包括插入文本、线条和图形，支持添加批注，设置线条粗细、画笔颜色等。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3.网络影院：采用流媒体技术，可实现教师机播放的视频同步无延时广播到学生机，学生无需下载该文件，教师也无需共享该文件。支持VCD、DVD、AVI等主流文件格式，支持720p、1080p、4K高清视频。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6.文件收集：支持预定义多个文件收集任务，并支持教师预设学生文件收集类型、收集路径、收集后保存路径，从而实现对学生文件的批量收集。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7.文件共享:支持通过课件点播实现教师上传文件供学生查看和下载；支持通过共享中心实现教师和学生上传文件，供全体师生查看和下载。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框，支持教师发送文字、画布、图片、文件等与学生进行讨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 共享白板：支持教师共享白板、图片或截图与选定的学生共同完成相同的学习任务或绘画作品，并提供多种不同的工具，如画笔、图形等供教师和学生绘制时使用。支持批量导入和导出白板记录。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10.学生举手：支持学生发起举手寻求教师的帮助，教师端可远程遥控帮助学生解决问题。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三、教学评测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2.答题统计：支持教师对客观题预设答案，学生作答完成后即时接收反馈，全体学生作答完成后，教师将会收到学生的作答详情及答题数据统计。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3.课堂报告：支持教师查看正在进行课堂和已结束课堂的参与人数、发起答题数、答题正确率、答题详情、答案分布等信息。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4.考试：支持对全体学生发起统一的考试，支持添加ABCD卷对不同组别的学生发送不同试卷。支持教师实时查看学生答题进度。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5.阅卷评分：支持客观题自动评分，主观题教师手动打分并支持将考试结果导出。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四、课堂管理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1.学生签到：提供学生名单管理工具，为软件和考试模块提供实名验证。提供点名功能，支持保留学生多次登录记录、考勤统计、签到信息的导出与对比。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2.班级模型：支持创建和编辑不同班级的学生名单列表，并支持将学生名单导入和导出。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3.屏幕监看：支持通过教师机监视单一、部分、全体学生机的屏幕，支持教师设置电脑每屏可监看多个学生屏幕（1、4、9、16、25、36画面）和监看视图的持续时间。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4.全体遥控：支持教师同时遥控所有学生机，如：批量打开网页、执行文件传输、软件安装等操作。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5.U盘限制：支持对U盘访问权限的设定（全部开放、只读、完全阻止三种策略），有效控制学生使用U盘，防止资料的流失和病毒的引入。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6.网页限制：支持对学生访问网站权限的设定（全部开放、黑名单、白名单、完全阻止四种策略），对学生可以访问的Internet站点进行管理，并支持多浏览器限制。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8.学生属性：支持教师远程查看学生机登录名、IP地址、系统类型、MAC地址、磁盘空间、进程、CPU使用情况、内存使用情况、网络利用率等信息。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9.黑屏肃静：支持教师对单一、部分、全体学生机执行或解除黑屏操作，教师可自定义黑屏的内容、图片等，支持设置锁定时长自动解锁。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10.禁用键鼠：支持教师对单一、部分、全体学生机禁用键鼠操作，禁用时学生端鼠标和键盘被锁定，学生无法进行任何操作。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11.权限管理：支持教师对学生机的联网权限、发送消息权限、发送文件权限等进行管理。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12.远程命令：支持教师进行远程开机、关机、重启、注销、自定义命令等操作。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14.分组管理：支持教师新建、删除、重命名分组，添加和删除分组中的成员，设置小组长；分组信息随班级模型永久保存，下次上课可以直接使用保存的分组。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15.图标监看：支持通过班级模型显示学生机桌面的缩略图，缩略图显示大小也可自由设定。缩略图右下角可以显示正在被应用的状态。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16.断网锁屏：独有的断线保护自动锁屏技术，通过网卡的是否激活来锁定屏幕，避免学生拔掉网线违反纪律。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17.远程消息：支持教师与学生使用远程消息进行交流，并支持设置消息在学生机显示时长、消息提示音等。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大屏广播：支持教师将教学智能终端（非教师机）的实时显示画面广播给单一、部分或全体学生机。在对学生机进行大屏广播时可选择全屏或窗口方式，学生可进行拍照保存、自主更改显示模式等操作，显示模式包括自动对焦、平移、缩放显示三种可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19.学生演示：支持选定一台学生或多台学生机进行同屏演示，可选择向所有学生、选定的学生或选定的组进行演示，演示过程中教师可随时接管学生机。还可支持将学生机演示画面实时呈现至教学智能终端。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学生管控：支持通过教学智能终端（非教师机）对所有学生机执行和解除黑屏肃静、一键断网、锁定键鼠操作，执行黑屏肃静操作时学生端画面自动保持黑屏状态，执行一键断网操作时学生端无法访问互联网，执行禁用键鼠操作时学生端鼠标和键盘被锁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还原管理系统软件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1、纯软件设计，免拆机、免重新构建分区，一键安装部署，支持Windows全系列操作系统，包括Windows 7/8/8.1/10/11(x32&amp;x64)，支持WIFI网络环境使用；支持一台电脑同时安装Windows全系列和Linux多个操作系统。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管理端远程部署网络对拷或增量对拷，无需到每台对拷机操作；如遇对拷机故障或操作难题，通过Linux下远程遥控进行协助操作；支持对3DMAX、CAD等图形设计、工程设计类软件的统一注册，无需手动逐台激活；如遇断电情况，可以进行断电续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4、自动分配IP，对拷时可按照指定顺序自动分配IP地址和计算机名，也可以通过管理端远程批量修改，无需一台一台操作；支持不同系统分配不同IP地址。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5、系统保护，支持自动还原/定时还原/自动保存/定时保存/不还原模式，可授权客户端自主切换，或管理端一键指定切换还原保护模式，设置剩余空间报警。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机房节能，帮助机房省电：&lt;1&gt;管理端可设定客户端在多久时间没操作后自动关闭显示器、自动进入待机状态、自动关机；&lt;2&gt;管理端可设定允许客户端每天开机的时段、一周中哪几天开机等；&lt;3&gt;根据预先设定费率生成能源使用报告，精确掌握节省的电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7、按照教学实际需求，可设定计划任务，在指定的时间点自动切换到指定的还原点，且支持离线任务；针对内网的应用，可无缝对接WSUS实现操作系统补丁包的过滤与更新，保证内网的安全。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8、文件目录管理，提供数据多级加密，可指定文件夹不还原，安全密码加密文件夹，防止重要数据泄露；目录同步可以将重要文件备份，按照后缀名等规格同步备份，单向或双向备份，双重保护文件。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9、支持独立环境功能，可以基于当前还原点创建无数个互不干扰的系统环境，且不被还原。方便学生在机房保存学习资料、完成作业或进行课程设计、毕业设计等任务。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11、提供多种集中管理功能，远端还原管理、锁定设备、资产管理、远程监看、远程命令、远程监看、远程开关机、远程重启、远程登录、远程遥控、上网控制。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12、支持收集驱动、进程、磁盘、服务、异常进程等信息，快速分析电脑异常原因；支持网络检测，自动侦测定位网络通讯问题。</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点</w:t>
            </w:r>
            <w:r/>
          </w:p>
        </w:tc>
        <w:tc>
          <w:tcPr>
            <w:tcBorders>
              <w:top w:val="single" w:color="000000" w:sz="4" w:space="0"/>
              <w:left w:val="single" w:color="000000" w:sz="4" w:space="0"/>
              <w:bottom w:val="non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计算机室1（54人）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计算机讲台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桌腿采用50×50×1.5mm门字形方管，底部配可调节脚垫，横梁连接管采用30×50×1.2mm矩形管；桌下设收纳箱体，对开门设计，柜门带锁，箱体开有散热孔，内部可放置电源插排、主机等设备。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1、参考尺寸：1500×600×750mm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桌腿采用50×50×1.5mm门字形方管，底部配可调节脚垫，横梁连接管采用30×50×1.2mm矩形管；桌下设收纳箱体，对开门设计，柜门带锁，箱体开有散热孔，内部可放置电源插排、主机等设备。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1、参考尺寸：750*600*750mm；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桌腿采用50×50×1.5mm门字形方管，底部配可调节脚垫，横梁连接管采用30×50×1.2mm矩形管；桌下设收纳箱体，柜门带锁，箱体开有散热孔，内部可放置电源插排、主机等设备。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1、参考尺寸：345×245×420mm；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2、产品结构：钢塑结构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3、凳面参数：凳面尺寸≥345×245mm  凳面采用共聚丙烯工程塑料模具注塑成型，凳面内镶嵌四颗≥Φ6螺杆，要求螺栓与凳面在注塑过程中一体成型，凳面造型符合人体工程学。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4、凳身参数：凳体采用全钢框架，钢管壁厚不低于1.2mm,经酸洗磷化处理，表面喷塑，底脚采用专业ABS模具成型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1、≥24个10/100/1000Base-T以太网端口，≥4个千兆SFP端口；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2、交换容量≥336Gbps，整机包转发率≥96Mpps；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3、支持基于端口的VLAN，支持VLANVPN</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(QinQ)，支持VoiceVLAN，支持协议VLAN，支持MACVLAN；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4、支持STP/RSTP/MSTP，支持SmartLink；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5、支持IPv4和IPv6的三层路由功能；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6、支持SDN，支持OpenFlow1.3标准。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光纤模块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单模光模块，SFP-GE-(1310nm,10km,LC接口)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双绞线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六类非屏蔽室内双绞线；23AWG，带宽250MHz；8根芯线采用单股软铜线，每根芯线带有彩色绝缘层；紧护套结构，线对间十字隔离技术，全面提升线缆性能，PVC材质,符合CM等级阻燃要求。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理线器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1、19寸标准机架式，高强度ABS料制造；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2、可拆卸盖板设计，方便施工操作；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3、均匀琴键式理线槽位,保证跳线良好的弯曲,保证传输性能；宽口，利于6类线的管理。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网络水晶头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1、六类非屏蔽水晶头，主体采用高强度PC材质，耐用；屏蔽水晶头金属外壳为铜合金镀镍；金针材质为铜合金镀金50U”，金针采用三叉构造，确保与线缆之间的可靠连接；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2、100个/盒。</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成品网络细跳线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1、规格：六类4对非屏蔽RJ45-RJ45跳线，带宽≥250MHz，长度2米；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2、导体：30AWG；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3、外径：3.0mm±0.2mm；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4、芯线：8根多股软铜芯线，每根芯线带有彩色绝缘层；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5、特性：符合ANSI/TIA-568-C.2六类规范；单体100%通过fluke ；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6、护套：紧护套结构，采用PVC材质，需满足多种颜色可供选择，方便区分不同系统。</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强电插排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六位接线板，线长不低于1.8米，带开关和指示灯。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强电材料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1、主干电缆采用不低于4平方，单台电脑分支不低于2.5国标电源线；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2、空气开关及配电器材；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线槽线管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PVC线槽及线管，以1间机房为单位自行测算，不得增补。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机柜(18U)</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1.机架式19英寸机柜，外形尺寸600mm*600mm*1000mm，钢板厚度方孔条≥2.0mm/安装梁≥1.5mm/其余≥1.2mm，防静电喷涂；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2.前门为黑色钢化玻璃材质,后门为网门，可拆卸侧板，弧形门边条开圆形通风孔，网孔通风率≥75%；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3.静音节能风扇设计。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计算机教室，配套辅助材料，包括光纤跳线、固定五金件、音频线材、HDMI线、套接玻纹软管(每套学生机线路须规范束理）、PVC胶水、自攻螺丝、膨胀管、电工胶布、管接、管卡、标签、扎带等，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用于计算机教室，线槽线管布置、强电线缆及插座安装、弱电综合布线等。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网络教室集成服务，三年全系统免费上门质保服务等。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电子教室系统软件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一、整体要求：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1.纯软件产品，安装部署快捷，升级简易方便，全中文人性化界面设计，支持主窗口功能按钮、浮动工具条、右键菜单、快捷键多项操作方式。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2.软件的加密方式支持服务器端授权、在线序列号加密、离线文件加密、自定义短码激活、mac地址预置激活、绑定教学互动终端激活等多种方式的激活方式。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3.采用核心的截屏及实时压缩技术，在网络条件较差时亦能体现良好的性能；可根据网络条件调节网络补偿强度，根据广播内容调节广播效率，使广播达到最佳效果。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二、课堂教学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2.屏幕笔：支持教师通过屏幕笔进行教学辅助功能，具体工具包括插入文本、线条和图形，支持添加批注，设置线条粗细、画笔颜色等。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3.网络影院：采用流媒体技术，可实现教师机播放的视频同步无延时广播到学生机，学生无需下载该文件，教师也无需共享该文件。支持VCD、DVD、AVI等主流文件格式，支持720p、1080p、4K高清视频。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6.文件收集：支持预定义多个文件收集任务，并支持教师预设学生文件收集类型、收集路径、收集后保存路径，从而实现对学生文件的批量收集。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7.文件共享:支持通过课件点播实现教师上传文件供学生查看和下载；支持通过共享中心实现教师和学生上传文件，供全体师生查看和下载。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框，支持教师发送文字、画布、图片、文件等与学生进行讨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 共享白板：支持教师共享白板、图片或截图与选定的学生共同完成相同的学习任务或绘画作品，并提供多种不同的工具，如画笔、图形等供教师和学生绘制时使用。支持批量导入和导出白板记录。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10.学生举手：支持学生发起举手寻求教师的帮助，教师端可远程遥控帮助学生解决问题。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三、教学评测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2.答题统计：支持教师对客观题预设答案，学生作答完成后即时接收反馈，全体学生作答完成后，教师将会收到学生的作答详情及答题数据统计。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3.课堂报告：支持教师查看正在进行课堂和已结束课堂的参与人数、发起答题数、答题正确率、答题详情、答案分布等信息。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4.考试：支持对全体学生发起统一的考试，支持添加ABCD卷对不同组别的学生发送不同试卷。支持教师实时查看学生答题进度。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5.阅卷评分：支持客观题自动评分，主观题教师手动打分并支持将考试结果导出。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四、课堂管理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1.学生签到：提供学生名单管理工具，为软件和考试模块提供实名验证。提供点名功能，支持保留学生多次登录记录、考勤统计、签到信息的导出与对比。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2.班级模型：支持创建和编辑不同班级的学生名单列表，并支持将学生名单导入和导出。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3.屏幕监看：支持通过教师机监视单一、部分、全体学生机的屏幕，支持教师设置电脑每屏可监看多个学生屏幕（1、4、9、16、25、36画面）和监看视图的持续时间。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4.全体遥控：支持教师同时遥控所有学生机，如：批量打开网页、执行文件传输、软件安装等操作。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5.U盘限制：支持对U盘访问权限的设定（全部开放、只读、完全阻止三种策略），有效控制学生使用U盘，防止资料的流失和病毒的引入。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6.网页限制：支持对学生访问网站权限的设定（全部开放、黑名单、白名单、完全阻止四种策略），对学生可以访问的Internet站点进行管理，并支持多浏览器限制。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8.学生属性：支持教师远程查看学生机登录名、IP地址、系统类型、MAC地址、磁盘空间、进程、CPU使用情况、内存使用情况、网络利用率等信息。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9.黑屏肃静：支持教师对单一、部分、全体学生机执行或解除黑屏操作，教师可自定义黑屏的内容、图片等，支持设置锁定时长自动解锁。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10.禁用键鼠：支持教师对单一、部分、全体学生机禁用键鼠操作，禁用时学生端鼠标和键盘被锁定，学生无法进行任何操作。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11.权限管理：支持教师对学生机的联网权限、发送消息权限、发送文件权限等进行管理。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12.远程命令：支持教师进行远程开机、关机、重启、注销、自定义命令等操作。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14.分组管理：支持教师新建、删除、重命名分组，添加和删除分组中的成员，设置小组长；分组信息随班级模型永久保存，下次上课可以直接使用保存的分组。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15.图标监看：支持通过班级模型显示学生机桌面的缩略图，缩略图显示大小也可自由设定。缩略图右下角可以显示正在被应用的状态。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16.断网锁屏：独有的断线保护自动锁屏技术，通过网卡的是否激活来锁定屏幕，避免学生拔掉网线违反纪律。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17.远程消息：支持教师与学生使用远程消息进行交流，并支持设置消息在学生机显示时长、消息提示音等。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大屏广播：支持教师将教学智能终端（非教师机）的实时显示画面广播给单一、部分或全体学生机。在对学生机进行大屏广播时可选择全屏或窗口方式，学生可进行拍照保存、自主更改显示模式等操作，显示模式包括自动对焦、平移、缩放显示三种可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19.学生演示：支持选定一台学生或多台学生机进行同屏演示，可选择向所有学生、选定的学生或选定的组进行演示，演示过程中教师可随时接管学生机。还可支持将学生机演示画面实时呈现至教学智能终端。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学生管控：支持通过教学智能终端（非教师机）对所有学生机执行和解除黑屏肃静、一键断网、锁定键鼠操作，执行黑屏肃静操作时学生端画面自动保持黑屏状态，执行一键断网操作时学生端无法访问互联网，执行禁用键鼠操作时学生端鼠标和键盘被锁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还原管理系统软件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1、纯软件设计，免拆机、免重新构建分区，一键安装部署，支持Windows全系列操作系统，包括Windows 7/8/8.1/10/11(x32&amp;x64)，支持WIFI网络环境使用；支持一台电脑同时安装Windows全系列和Linux多个操作系统。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管理端远程部署网络对拷或增量对拷，无需到每台对拷机操作；如遇对拷机故障或操作难题，通过Linux下远程遥控进行协助操作；支持对3DMAX、CAD等图形设计、工程设计类软件的统一注册，无需手动逐台激活；如遇断电情况，可以进行断电续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4、自动分配IP，对拷时可按照指定顺序自动分配IP地址和计算机名，也可以通过管理端远程批量修改，无需一台一台操作；支持不同系统分配不同IP地址。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5、系统保护，支持自动还原/定时还原/自动保存/定时保存/不还原模式，可授权客户端自主切换，或管理端一键指定切换还原保护模式，设置剩余空间报警。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机房节能，帮助机房省电：&lt;1&gt;管理端可设定客户端在多久时间没操作后自动关闭显示器、自动进入待机状态、自动关机；&lt;2&gt;管理端可设定允许客户端每天开机的时段、一周中哪几天开机等；&lt;3&gt;根据预先设定费率生成能源使用报告，精确掌握节省的电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7、按照教学实际需求，可设定计划任务，在指定的时间点自动切换到指定的还原点，且支持离线任务；针对内网的应用，可无缝对接WSUS实现操作系统补丁包的过滤与更新，保证内网的安全。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8、文件目录管理，提供数据多级加密，可指定文件夹不还原，安全密码加密文件夹，防止重要数据泄露；目录同步可以将重要文件备份，按照后缀名等规格同步备份，单向或双向备份，双重保护文件。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9、支持独立环境功能，可以基于当前还原点创建无数个互不干扰的系统环境，且不被还原。方便学生在机房保存学习资料、完成作业或进行课程设计、毕业设计等任务。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11、提供多种集中管理功能，远端还原管理、锁定设备、资产管理、远程监看、远程命令、远程监看、远程开关机、远程重启、远程登录、远程遥控、上网控制。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12、支持收集驱动、进程、磁盘、服务、异常进程等信息，快速分析电脑异常原因；支持网络检测，自动侦测定位网络通讯问题。</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点</w:t>
            </w:r>
            <w:r/>
          </w:p>
        </w:tc>
        <w:tc>
          <w:tcPr>
            <w:tcBorders>
              <w:top w:val="single" w:color="000000" w:sz="4" w:space="0"/>
              <w:left w:val="single" w:color="000000" w:sz="4" w:space="0"/>
              <w:bottom w:val="non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计算机室2（54人）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计算机讲台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桌腿采用50×50×1.5mm门字形方管，底部配可调节脚垫，横梁连接管采用30×50×1.2mm矩形管；桌下设收纳箱体，对开门设计，柜门带锁，箱体开有散热孔，内部可放置电源插排、主机等设备。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1、参考尺寸：1500*600*750mm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3、台面参数：台面采用25mm三聚氰胺环保饰面板加工制作，不低于1.5mm厚塑制封边条机械封边；台面开有走线孔，台面下设理线架，键盘抽;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桌腿：采用≥60*30*1.2mm门字形钢架。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横梁：采用≥40*20*1.2mm方管，侧面设有课本架，中置线盒，均采用0.8mm冷轧钢板加工完成，配板式移动主机架；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底脚：底部配备可调节底脚。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表面处理：表面打磨之后静电喷涂工艺处理。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1、参考尺寸：750*600*750mm；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3、台面参数：台面采用25mm三聚氰胺环保饰面板加工制作，不低于1.5mm厚塑制封边条机械封边；台面开有走线孔，台面下设理线架，键盘抽;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桌腿：采用≥60*30*1.2mm门字形钢架。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横梁：采用≥40*20*1.2mm方管，侧面设有课本架，中置线盒，均采用0.8mm冷轧钢板加工完成，配板式移动主机架；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底脚：底部配备可调节底脚。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表面处理：表面打磨之后静电喷涂工艺处理。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1、参考尺寸：345×245×420mm；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2、产品结构：钢塑结构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3、凳面参数：凳面尺寸≥345×245mm  凳面采用共聚丙烯工程塑料模具注塑成型，凳面内镶嵌四颗≥Φ6螺杆，要求螺栓与凳面在注塑过程中一体成型，凳面造型符合人体工程学。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4、凳身参数：凳体采用全钢框架，钢管壁厚不低于1.2mm,经酸洗磷化处理，表面喷塑，底脚采用专业ABS模具成型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1、≥24个10/100/1000Base-T以太网端口，≥4个千兆SFP端口；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2、交换容量≥336Gbps，整机包转发率≥96Mpps；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3、支持基于端口的VLAN，支持VLANVPN</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(QinQ)，支持VoiceVLAN，支持协议VLAN，支持MACVLAN；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4、支持STP/RSTP/MSTP，支持SmartLink；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5、支持IPv4和IPv6的三层路由功能；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6、支持SDN，支持OpenFlow1.3标准。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光纤模块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单模光模块，SFP-GE-(1310nm,10km,LC接口)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双绞线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六类非屏蔽室内双绞线；23AWG，带宽250MHz；8根芯线采用单股软铜线，每根芯线带有彩色绝缘层；紧护套结构，线对间十字隔离技术，全面提升线缆性能，PVC材质,符合CM等级阻燃要求。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理线器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1、19寸标准机架式，高强度ABS料制造；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2、可拆卸盖板设计，方便施工操作；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3、均匀琴键式理线槽位,保证跳线良好的弯曲,保证传输性能；宽口，利于6类线的管理。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网络水晶头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1、六类非屏蔽水晶头，主体采用高强度PC材质，耐用；屏蔽水晶头金属外壳为铜合金镀镍；金针材质为铜合金镀金50U”，金针采用三叉构造，确保与线缆之间的可靠连接；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2、100个/盒。</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成品网络细跳线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1、规格：六类4对非屏蔽RJ45-RJ45跳线，带宽≥250MHz，长度2米；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2、导体：30AWG；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3、外径：3.0mm±0.2mm；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4、芯线：8根多股软铜芯线，每根芯线带有彩色绝缘层；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5、特性：符合ANSI/TIA-568-C.2六类规范；单体100%通过fluke ；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6、护套：紧护套结构，采用PVC材质，需满足多种颜色可供选择，方便区分不同系统。</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强电插排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六位接线板，线长不低于1.8米，带开关和指示灯。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强电材料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1、主干电缆采用不低于4平方，单台电脑分支不低于2.5国标电源线；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2、空气开关及配电器材；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线槽线管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PVC线槽及线管，以1间机房为单位自行测算，不得增补。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机柜(18U)</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1.机架式19英寸机柜，外形尺寸600mm*600mm*1000mm，钢板厚度方孔条≥2.0mm/安装梁≥1.5mm/其余≥1.2mm，防静电喷涂；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2.前门为黑色钢化玻璃材质,后门为网门，可拆卸侧板，弧形门边条开圆形通风孔，网孔通风率≥75%；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3.静音节能风扇设计。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计算机教室，配套辅助材料，包括光纤跳线、固定五金件、音频线材、HDMI线、套接玻纹软管(每套学生机线路须规范束理）、PVC胶水、自攻螺丝、膨胀管、电工胶布、管接、管卡、标签、扎带等，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用于计算机教室，线槽线管布置、强电线缆及插座安装、弱电综合布线等。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网络教室集成服务，三年全系统免费上门质保服务等。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电子教室系统软件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一、整体要求：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1.纯软件产品，安装部署快捷，升级简易方便，全中文人性化界面设计，支持主窗口功能按钮、浮动工具条、右键菜单、快捷键多项操作方式。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2.软件的加密方式支持服务器端授权、在线序列号加密、离线文件加密、自定义短码激活、mac地址预置激活、绑定教学互动终端激活等多种方式的激活方式。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3.采用核心的截屏及实时压缩技术，在网络条件较差时亦能体现良好的性能；可根据网络条件调节网络补偿强度，根据广播内容调节广播效率，使广播达到最佳效果。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二、课堂教学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2.屏幕笔：支持教师通过屏幕笔进行教学辅助功能，具体工具包括插入文本、线条和图形，支持添加批注，设置线条粗细、画笔颜色等。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3.网络影院：采用流媒体技术，可实现教师机播放的视频同步无延时广播到学生机，学生无需下载该文件，教师也无需共享该文件。支持VCD、DVD、AVI等主流文件格式，支持720p、1080p、4K高清视频。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6.文件收集：支持预定义多个文件收集任务，并支持教师预设学生文件收集类型、收集路径、收集后保存路径，从而实现对学生文件的批量收集。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7.文件共享:支持通过课件点播实现教师上传文件供学生查看和下载；支持通过共享中心实现教师和学生上传文件，供全体师生查看和下载。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框，支持教师发送文字、画布、图片、文件等与学生进行讨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 共享白板：支持教师共享白板、图片或截图与选定的学生共同完成相同的学习任务或绘画作品，并提供多种不同的工具，如画笔、图形等供教师和学生绘制时使用。支持批量导入和导出白板记录。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10.学生举手：支持学生发起举手寻求教师的帮助，教师端可远程遥控帮助学生解决问题。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三、教学评测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2.答题统计：支持教师对客观题预设答案，学生作答完成后即时接收反馈，全体学生作答完成后，教师将会收到学生的作答详情及答题数据统计。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3.课堂报告：支持教师查看正在进行课堂和已结束课堂的参与人数、发起答题数、答题正确率、答题详情、答案分布等信息。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4.考试：支持对全体学生发起统一的考试，支持添加ABCD卷对不同组别的学生发送不同试卷。支持教师实时查看学生答题进度。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5.阅卷评分：支持客观题自动评分，主观题教师手动打分并支持将考试结果导出。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四、课堂管理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1.学生签到：提供学生名单管理工具，为软件和考试模块提供实名验证。提供点名功能，支持保留学生多次登录记录、考勤统计、签到信息的导出与对比。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2.班级模型：支持创建和编辑不同班级的学生名单列表，并支持将学生名单导入和导出。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3.屏幕监看：支持通过教师机监视单一、部分、全体学生机的屏幕，支持教师设置电脑每屏可监看多个学生屏幕（1、4、9、16、25、36画面）和监看视图的持续时间。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4.全体遥控：支持教师同时遥控所有学生机，如：批量打开网页、执行文件传输、软件安装等操作。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5.U盘限制：支持对U盘访问权限的设定（全部开放、只读、完全阻止三种策略），有效控制学生使用U盘，防止资料的流失和病毒的引入。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6.网页限制：支持对学生访问网站权限的设定（全部开放、黑名单、白名单、完全阻止四种策略），对学生可以访问的Internet站点进行管理，并支持多浏览器限制。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8.学生属性：支持教师远程查看学生机登录名、IP地址、系统类型、MAC地址、磁盘空间、进程、CPU使用情况、内存使用情况、网络利用率等信息。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9.黑屏肃静：支持教师对单一、部分、全体学生机执行或解除黑屏操作，教师可自定义黑屏的内容、图片等，支持设置锁定时长自动解锁。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10.禁用键鼠：支持教师对单一、部分、全体学生机禁用键鼠操作，禁用时学生端鼠标和键盘被锁定，学生无法进行任何操作。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11.权限管理：支持教师对学生机的联网权限、发送消息权限、发送文件权限等进行管理。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12.远程命令：支持教师进行远程开机、关机、重启、注销、自定义命令等操作。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14.分组管理：支持教师新建、删除、重命名分组，添加和删除分组中的成员，设置小组长；分组信息随班级模型永久保存，下次上课可以直接使用保存的分组。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15.图标监看：支持通过班级模型显示学生机桌面的缩略图，缩略图显示大小也可自由设定。缩略图右下角可以显示正在被应用的状态。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16.断网锁屏：独有的断线保护自动锁屏技术，通过网卡的是否激活来锁定屏幕，避免学生拔掉网线违反纪律。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17.远程消息：支持教师与学生使用远程消息进行交流，并支持设置消息在学生机显示时长、消息提示音等。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大屏广播：支持教师将教学智能终端（非教师机）的实时显示画面广播给单一、部分或全体学生机。在对学生机进行大屏广播时可选择全屏或窗口方式，学生可进行拍照保存、自主更改显示模式等操作，显示模式包括自动对焦、平移、缩放显示三种可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19.学生演示：支持选定一台学生或多台学生机进行同屏演示，可选择向所有学生、选定的学生或选定的组进行演示，演示过程中教师可随时接管学生机。还可支持将学生机演示画面实时呈现至教学智能终端。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学生管控：支持通过教学智能终端（非教师机）对所有学生机执行和解除黑屏肃静、一键断网、锁定键鼠操作，执行黑屏肃静操作时学生端画面自动保持黑屏状态，执行一键断网操作时学生端无法访问互联网，执行禁用键鼠操作时学生端鼠标和键盘被锁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还原管理系统软件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1、纯软件设计，免拆机、免重新构建分区，一键安装部署，支持Windows全系列操作系统，包括Windows 7/8/8.1/10/11(x32&amp;x64)，支持WIFI网络环境使用；支持一台电脑同时安装Windows全系列和Linux多个操作系统。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管理端远程部署网络对拷或增量对拷，无需到每台对拷机操作；如遇对拷机故障或操作难题，通过Linux下远程遥控进行协助操作；支持对3DMAX、CAD等图形设计、工程设计类软件的统一注册，无需手动逐台激活；如遇断电情况，可以进行断电续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4、自动分配IP，对拷时可按照指定顺序自动分配IP地址和计算机名，也可以通过管理端远程批量修改，无需一台一台操作；支持不同系统分配不同IP地址。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5、系统保护，支持自动还原/定时还原/自动保存/定时保存/不还原模式，可授权客户端自主切换，或管理端一键指定切换还原保护模式，设置剩余空间报警。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机房节能，帮助机房省电：&lt;1&gt;管理端可设定客户端在多久时间没操作后自动关闭显示器、自动进入待机状态、自动关机；&lt;2&gt;管理端可设定允许客户端每天开机的时段、一周中哪几天开机等；&lt;3&gt;根据预先设定费率生成能源使用报告，精确掌握节省的电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7、按照教学实际需求，可设定计划任务，在指定的时间点自动切换到指定的还原点，且支持离线任务；针对内网的应用，可无缝对接WSUS实现操作系统补丁包的过滤与更新，保证内网的安全。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8、文件目录管理，提供数据多级加密，可指定文件夹不还原，安全密码加密文件夹，防止重要数据泄露；目录同步可以将重要文件备份，按照后缀名等规格同步备份，单向或双向备份，双重保护文件。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9、支持独立环境功能，可以基于当前还原点创建无数个互不干扰的系统环境，且不被还原。方便学生在机房保存学习资料、完成作业或进行课程设计、毕业设计等任务。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11、提供多种集中管理功能，远端还原管理、锁定设备、资产管理、远程监看、远程命令、远程监看、远程开关机、远程重启、远程登录、远程遥控、上网控制。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12、支持收集驱动、进程、磁盘、服务、异常进程等信息，快速分析电脑异常原因；支持网络检测，自动侦测定位网络通讯问题。</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点</w:t>
            </w:r>
            <w:r/>
          </w:p>
        </w:tc>
        <w:tc>
          <w:tcPr>
            <w:tcBorders>
              <w:top w:val="single" w:color="000000" w:sz="4" w:space="0"/>
              <w:left w:val="single" w:color="000000" w:sz="4" w:space="0"/>
              <w:bottom w:val="non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计算机室3（50人）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计算机讲台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1、参考尺寸：2000×700×750mm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桌腿采用50×50×1.5mm门字形方管，底部配可调节脚垫，横梁连接管采用30×50×1.2mm矩形管；桌下设收纳箱体，对开门设计，柜门带锁，箱体开有散热孔，内部可放置电源插排、主机等设备。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1、参考尺寸：1500*600*750mm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3、台面参数：台面采用25mm三聚氰胺环保饰面板加工制作，不低于1.5mm厚塑制封边条机械封边；台面开有走线孔，台面下设理线架，键盘抽;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桌腿：采用≥60*30*1.2mm门字形钢架。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横梁：采用≥40*20*1.2mm方管，侧面设有课本架，中置线盒，均采用0.8mm冷轧钢板加工完成，配板式移动主机架；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底脚：底部配备可调节底脚。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表面处理：表面打磨之后静电喷涂工艺处理。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电脑桌2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1、参考尺寸：750*600*750mm；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3、台面参数：台面采用25mm三聚氰胺环保饰面板加工制作，不低于1.5mm厚塑制封边条机械封边；台面开有走线孔，台面下设理线架，键盘抽;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桌腿：采用≥60*30*1.2mm门字形钢架。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横梁：采用≥40*20*1.2mm方管，侧面设有课本架，中置线盒，均采用0.8mm冷轧钢板加工完成，配板式移动主机架；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底脚：底部配备可调节底脚。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表面处理：表面打磨之后静电喷涂工艺处理。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1、参考尺寸：345×245×420mm；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2、产品结构：钢塑结构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3、凳面参数：凳面尺寸≥345×245mm  凳面采用共聚丙烯工程塑料模具注塑成型，凳面内镶嵌四颗≥Φ6螺杆，要求螺栓与凳面在注塑过程中一体成型，凳面造型符合人体工程学。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4、凳身参数：凳体采用全钢框架，钢管壁厚不低于1.2mm,经酸洗磷化处理，表面喷塑，底脚采用专业ABS模具成型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1、≥24个10/100/1000Base-T以太网端口，≥4个千兆SFP端口；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2、交换容量≥336Gbps，整机包转发率≥96Mpps；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3、支持基于端口的VLAN，支持VLANVPN</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(QinQ)，支持VoiceVLAN，支持协议VLAN，支持MACVLAN；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4、支持STP/RSTP/MSTP，支持SmartLink；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5、支持IPv4和IPv6的三层路由功能；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6、支持SDN，支持OpenFlow1.3标准。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光纤模块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单模光模块，SFP-GE-(1310nm,10km,LC接口)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双绞线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六类非屏蔽室内双绞线；23AWG，带宽250MHz；8根芯线采用单股软铜线，每根芯线带有彩色绝缘层；紧护套结构，线对间十字隔离技术，全面提升线缆性能，PVC材质,符合CM等级阻燃要求。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理线器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1、19寸标准机架式，高强度ABS料制造；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2、可拆卸盖板设计，方便施工操作；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3、均匀琴键式理线槽位,保证跳线良好的弯曲,保证传输性能；宽口，利于6类线的管理。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网络水晶头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1、六类非屏蔽水晶头，主体采用高强度PC材质，耐用；屏蔽水晶头金属外壳为铜合金镀镍；金针材质为铜合金镀金50U”，金针采用三叉构造，确保与线缆之间的可靠连接；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2、100个/盒。</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成品网络细跳线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1、规格：六类4对非屏蔽RJ45-RJ45跳线，带宽≥250MHz，长度2米；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2、导体：30AWG；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3、外径：3.0mm±0.2mm；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4、芯线：8根多股软铜芯线，每根芯线带有彩色绝缘层；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5、特性：符合ANSI/TIA-568-C.2六类规范；单体100%通过fluke ；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6、护套：紧护套结构，采用PVC材质，需满足多种颜色可供选择，方便区分不同系统。</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强电插排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六位接线板，线长不低于1.8米，带开关和指示灯。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强电材料</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1、主干电缆采用不低于4平方，单台电脑分支不低于2.5国标电源线；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2、空气开关及配电器材；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线槽线管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PVC线槽及线管，以1间机房为单位自行测算，不得增补。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机柜(18U)</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1.机架式19英寸机柜，外形尺寸600mm*600mm*1000mm，钢板厚度方孔条≥2.0mm/安装梁≥1.5mm/其余≥1.2mm，防静电喷涂；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2.前门为黑色钢化玻璃材质,后门为网门，可拆卸侧板，弧形门边条开圆形通风孔，网孔通风率≥75%；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3.静音节能风扇设计。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辅件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计算机教室，配套辅助材料，包括光纤跳线、固定五金件、音频线材、HDMI线、套接玻纹软管(每套学生机线路须规范束理）、PVC胶水、自攻螺丝、膨胀管、电工胶布、管接、管卡、标签、扎带等，以1间机房为单位自行测算，不得增补。</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用于计算机教室，线槽线管布置、强电线缆及插座安装、弱电综合布线等。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网络教室集成服务，三年全系统免费上门质保服务等。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电子教室系统软件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一、整体要求：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1.纯软件产品，安装部署快捷，升级简易方便，全中文人性化界面设计，支持主窗口功能按钮、浮动工具条、右键菜单、快捷键多项操作方式。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2.软件的加密方式支持服务器端授权、在线序列号加密、离线文件加密、自定义短码激活、mac地址预置激活、绑定教学互动终端激活等多种方式的激活方式。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3.采用核心的截屏及实时压缩技术，在网络条件较差时亦能体现良好的性能；可根据网络条件调节网络补偿强度，根据广播内容调节广播效率，使广播达到最佳效果。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二、课堂教学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2.屏幕笔：支持教师通过屏幕笔进行教学辅助功能，具体工具包括插入文本、线条和图形，支持添加批注，设置线条粗细、画笔颜色等。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3.网络影院：采用流媒体技术，可实现教师机播放的视频同步无延时广播到学生机，学生无需下载该文件，教师也无需共享该文件。支持VCD、DVD、AVI等主流文件格式，支持720p、1080p、4K高清视频。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6.文件收集：支持预定义多个文件收集任务，并支持教师预设学生文件收集类型、收集路径、收集后保存路径，从而实现对学生文件的批量收集。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7.文件共享:支持通过课件点播实现教师上传文件供学生查看和下载；支持通过共享中心实现教师和学生上传文件，供全体师生查看和下载。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框，支持教师发送文字、画布、图片、文件等与学生进行讨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 共享白板：支持教师共享白板、图片或截图与选定的学生共同完成相同的学习任务或绘画作品，并提供多种不同的工具，如画笔、图形等供教师和学生绘制时使用。支持批量导入和导出白板记录。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10.学生举手：支持学生发起举手寻求教师的帮助，教师端可远程遥控帮助学生解决问题。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三、教学评测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2.答题统计：支持教师对客观题预设答案，学生作答完成后即时接收反馈，全体学生作答完成后，教师将会收到学生的作答详情及答题数据统计。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3.课堂报告：支持教师查看正在进行课堂和已结束课堂的参与人数、发起答题数、答题正确率、答题详情、答案分布等信息。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4.考试：支持对全体学生发起统一的考试，支持添加ABCD卷对不同组别的学生发送不同试卷。支持教师实时查看学生答题进度。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5.阅卷评分：支持客观题自动评分，主观题教师手动打分并支持将考试结果导出。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四、课堂管理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1.学生签到：提供学生名单管理工具，为软件和考试模块提供实名验证。提供点名功能，支持保留学生多次登录记录、考勤统计、签到信息的导出与对比。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2.班级模型：支持创建和编辑不同班级的学生名单列表，并支持将学生名单导入和导出。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3.屏幕监看：支持通过教师机监视单一、部分、全体学生机的屏幕，支持教师设置电脑每屏可监看多个学生屏幕（1、4、9、16、25、36画面）和监看视图的持续时间。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4.全体遥控：支持教师同时遥控所有学生机，如：批量打开网页、执行文件传输、软件安装等操作。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5.U盘限制：支持对U盘访问权限的设定（全部开放、只读、完全阻止三种策略），有效控制学生使用U盘，防止资料的流失和病毒的引入。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6.网页限制：支持对学生访问网站权限的设定（全部开放、黑名单、白名单、完全阻止四种策略），对学生可以访问的Internet站点进行管理，并支持多浏览器限制。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8.学生属性：支持教师远程查看学生机登录名、IP地址、系统类型、MAC地址、磁盘空间、进程、CPU使用情况、内存使用情况、网络利用率等信息。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9.黑屏肃静：支持教师对单一、部分、全体学生机执行或解除黑屏操作，教师可自定义黑屏的内容、图片等，支持设置锁定时长自动解锁。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10.禁用键鼠：支持教师对单一、部分、全体学生机禁用键鼠操作，禁用时学生端鼠标和键盘被锁定，学生无法进行任何操作。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11.权限管理：支持教师对学生机的联网权限、发送消息权限、发送文件权限等进行管理。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12.远程命令：支持教师进行远程开机、关机、重启、注销、自定义命令等操作。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14.分组管理：支持教师新建、删除、重命名分组，添加和删除分组中的成员，设置小组长；分组信息随班级模型永久保存，下次上课可以直接使用保存的分组。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15.图标监看：支持通过班级模型显示学生机桌面的缩略图，缩略图显示大小也可自由设定。缩略图右下角可以显示正在被应用的状态。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16.断网锁屏：独有的断线保护自动锁屏技术，通过网卡的是否激活来锁定屏幕，避免学生拔掉网线违反纪律。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17.远程消息：支持教师与学生使用远程消息进行交流，并支持设置消息在学生机显示时长、消息提示音等。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大屏广播：支持教师将教学智能终端（非教师机）的实时显示画面广播给单一、部分或全体学生机。在对学生机进行大屏广播时可选择全屏或窗口方式，学生可进行拍照保存、自主更改显示模式等操作，显示模式包括自动对焦、平移、缩放显示三种可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19.学生演示：支持选定一台学生或多台学生机进行同屏演示，可选择向所有学生、选定的学生或选定的组进行演示，演示过程中教师可随时接管学生机。还可支持将学生机演示画面实时呈现至教学智能终端。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学生管控：支持通过教学智能终端（非教师机）对所有学生机执行和解除黑屏肃静、一键断网、锁定键鼠操作，执行黑屏肃静操作时学生端画面自动保持黑屏状态，执行一键断网操作时学生端无法访问互联网，执行禁用键鼠操作时学生端鼠标和键盘被锁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还原管理系统软件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1、纯软件设计，免拆机、免重新构建分区，一键安装部署，支持Windows全系列操作系统，包括Windows 7/8/8.1/10/11(x32&amp;x64)，支持WIFI网络环境使用；支持一台电脑同时安装Windows全系列和Linux多个操作系统。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管理端远程部署网络对拷或增量对拷，无需到每台对拷机操作；如遇对拷机故障或操作难题，通过Linux下远程遥控进行协助操作；支持对3DMAX、CAD等图形设计、工程设计类软件的统一注册，无需手动逐台激活；如遇断电情况，可以进行断电续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4、自动分配IP，对拷时可按照指定顺序自动分配IP地址和计算机名，也可以通过管理端远程批量修改，无需一台一台操作；支持不同系统分配不同IP地址。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5、系统保护，支持自动还原/定时还原/自动保存/定时保存/不还原模式，可授权客户端自主切换，或管理端一键指定切换还原保护模式，设置剩余空间报警。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机房节能，帮助机房省电：&lt;1&gt;管理端可设定客户端在多久时间没操作后自动关闭显示器、自动进入待机状态、自动关机；&lt;2&gt;管理端可设定允许客户端每天开机的时段、一周中哪几天开机等；&lt;3&gt;根据预先设定费率生成能源使用报告，精确掌握节省的电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7、按照教学实际需求，可设定计划任务，在指定的时间点自动切换到指定的还原点，且支持离线任务；针对内网的应用，可无缝对接WSUS实现操作系统补丁包的过滤与更新，保证内网的安全。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8、文件目录管理，提供数据多级加密，可指定文件夹不还原，安全密码加密文件夹，防止重要数据泄露；目录同步可以将重要文件备份，按照后缀名等规格同步备份，单向或双向备份，双重保护文件。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9、支持独立环境功能，可以基于当前还原点创建无数个互不干扰的系统环境，且不被还原。方便学生在机房保存学习资料、完成作业或进行课程设计、毕业设计等任务。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11、提供多种集中管理功能，远端还原管理、锁定设备、资产管理、远程监看、远程命令、远程监看、远程开关机、远程重启、远程登录、远程遥控、上网控制。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12、支持收集驱动、进程、磁盘、服务、异常进程等信息，快速分析电脑异常原因；支持网络检测，自动侦测定位网络通讯问题。</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点</w:t>
            </w:r>
            <w:r/>
          </w:p>
        </w:tc>
        <w:tc>
          <w:tcPr>
            <w:tcBorders>
              <w:top w:val="single" w:color="000000" w:sz="4" w:space="0"/>
              <w:left w:val="single" w:color="000000" w:sz="4" w:space="0"/>
              <w:bottom w:val="non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计算机室4（50人）</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课桌椅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1、参考尺寸：650mm*440mm*640-790mm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2、桌面规格：650*440mm,桌面采用三聚氰胺饰面密度板+PP材质注塑封边一体成形，桌面前端正中间设有笔槽。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3、桌架：下脚架主体采用φ38*1.8mm圆管，上脚架采用φ32*1.5mm圆管，升降管连接横管采用φ19*1.0mm圆管，桌面升降调节采用螺丝调节。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4、挂钩：铝合金压铸。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5、脚套：前后脚套采用环保PP材质新料制作，材质：PP+金属螺栓，一次注塑成形。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6、桌斗：外径尺寸：495*340*100mm，材质采用塑料（PP）+玻纤（GF）制作。桌斗（选配）：规格:495*340*120mm，书包篮（选配）：下横管上方设有书包篮，尺寸≥480*200*160mm，采用φ12mm圆形钢管连续弯管一次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成型，中间采用10根ø5mm圆形钢筋，焊接工艺固定连接；书包篮下方设有40*20*1.2mm椭圆管，与书包篮、桌腿之间焊接工艺连接。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课椅技术参数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1、螺丝升降：规格：小学430mm*465mm*360-400mm，初高中430mm*465mm*420-460mm(注:高度可调节,可按学生实际需要调节)。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椅架：椅架采用高频焊管，下脚架主体采用φ38*1.8mm圆管，抽芯冷弯技术成型，配合40*20*1.5椭圆管（下横管）焊接制作，上脚架采用φ32*1.5mm圆管，配合2.5mm冷轧板冲压成型件，焊接制作，椅面升降调节采用螺丝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3、脚套：前后脚套采用环保PP材质新料制作，配和直径φ32mm调节螺丝脚，材质：PP+金属螺栓，一次注塑成形。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4、座板：安装后规格：430*430*390mm；采用塑料（PP）+玻纤（GF）材质制作；</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录播教室1</w: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100" name="图片 118"/>
                      <wp:cNvGraphicFramePr/>
                      <a:graphic xmlns:a="http://schemas.openxmlformats.org/drawingml/2006/main">
                        <a:graphicData uri="http://schemas.openxmlformats.org/drawingml/2006/picture">
                          <pic:pic xmlns:pic="http://schemas.openxmlformats.org/drawingml/2006/picture">
                            <pic:nvPicPr>
                              <pic:cNvPr id="118" name="图片 118"/>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52400"/>
                      <wp:effectExtent l="0" t="0" r="0" b="0"/>
                      <wp:wrapNone/>
                      <wp:docPr id="101" name="图片 119"/>
                      <wp:cNvGraphicFramePr/>
                      <a:graphic xmlns:a="http://schemas.openxmlformats.org/drawingml/2006/main">
                        <a:graphicData uri="http://schemas.openxmlformats.org/drawingml/2006/picture">
                          <pic:pic xmlns:pic="http://schemas.openxmlformats.org/drawingml/2006/picture">
                            <pic:nvPicPr>
                              <pic:cNvPr id="119" name="图片 119"/>
                              <pic:cNvPicPr/>
                              <pic:nvPr/>
                            </pic:nvPicPr>
                            <pic:blipFill>
                              <a:blip r:embed="rId4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0288;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42"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355600"/>
                      <wp:effectExtent l="0" t="0" r="0" b="0"/>
                      <wp:wrapNone/>
                      <wp:docPr id="102" name="图片 120"/>
                      <wp:cNvGraphicFramePr/>
                      <a:graphic xmlns:a="http://schemas.openxmlformats.org/drawingml/2006/main">
                        <a:graphicData uri="http://schemas.openxmlformats.org/drawingml/2006/picture">
                          <pic:pic xmlns:pic="http://schemas.openxmlformats.org/drawingml/2006/picture">
                            <pic:nvPicPr>
                              <pic:cNvPr id="120" name="图片 120"/>
                              <pic:cNvPicPr/>
                              <pic:nvPr/>
                            </pic:nvPicPr>
                            <pic:blipFill>
                              <a:blip r:embed="rId44"/>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028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4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103" name="图片 121"/>
                      <wp:cNvGraphicFramePr/>
                      <a:graphic xmlns:a="http://schemas.openxmlformats.org/drawingml/2006/main">
                        <a:graphicData uri="http://schemas.openxmlformats.org/drawingml/2006/picture">
                          <pic:pic xmlns:pic="http://schemas.openxmlformats.org/drawingml/2006/picture">
                            <pic:nvPicPr>
                              <pic:cNvPr id="121" name="图片 121"/>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观摩桌</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1、参考尺寸：1200*550*750mm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2、台面：基材采用≥25mm 厚 E1 级实木多层板制作,其它部位采用≥1.5mm厚塑制封边条机械封边；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3、钢架：外脚管采用压铸铝合金，内脚管采用异型钢管，厚度≥1.5mm, 横梁冷轧钢，直径≥35mm，厚度≥1.5mm，上托使用≥2mm 厚度钣金上托。两脚跨度≥500mm。连接接头为铝合金压铸件，所有金属件均经过酸洗磷化，表面处理工艺均为静电喷粉。脚轮带刹车，万向静音轮；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4、造型：倒 Y 型金属下脚，结实耐用；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5、结构：使用旋转卡扣翻转机构，翻转台面时左右两边都可操作，联动翻转。加大扳手一键开合，台面翻转即可多数量推叠。开合锁定，两边上托内嵌气杆，开合无声缓降，翻转锁止；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6、挡板：塑料挡板，ABS 塑料材质，塑料拉伸出模工艺。长度为≥1150mm, （含每边一个 15mm 的注塑件堵头）厚度为 16mm，表面有条纹设计，中间有一条宽度≥7.5mm 深度≥5mm 的加强筋。挡板边有导弧。联动挡板；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7、书网：折叠式书网。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104" name="图片 122"/>
                      <wp:cNvGraphicFramePr/>
                      <a:graphic xmlns:a="http://schemas.openxmlformats.org/drawingml/2006/main">
                        <a:graphicData uri="http://schemas.openxmlformats.org/drawingml/2006/picture">
                          <pic:pic xmlns:pic="http://schemas.openxmlformats.org/drawingml/2006/picture">
                            <pic:nvPicPr>
                              <pic:cNvPr id="122" name="图片 122"/>
                              <pic:cNvPicPr/>
                              <pic:nvPr/>
                            </pic:nvPicPr>
                            <pic:blipFill>
                              <a:blip r:embed="rId45"/>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0288;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45" o:title=""/>
                    </v:shape>
                  </w:pict>
                </mc:Fallback>
              </mc:AlternateContent>
            </w:r>
            <w:r>
              <w:rPr>
                <w:rFonts w:hint="eastAsia" w:ascii="宋体" w:hAnsi="宋体" w:cs="宋体"/>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录播教室2</w: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355600"/>
                      <wp:effectExtent l="0" t="0" r="0" b="0"/>
                      <wp:wrapNone/>
                      <wp:docPr id="105" name="图片 123"/>
                      <wp:cNvGraphicFramePr/>
                      <a:graphic xmlns:a="http://schemas.openxmlformats.org/drawingml/2006/main">
                        <a:graphicData uri="http://schemas.openxmlformats.org/drawingml/2006/picture">
                          <pic:pic xmlns:pic="http://schemas.openxmlformats.org/drawingml/2006/picture">
                            <pic:nvPicPr>
                              <pic:cNvPr id="123" name="图片 123"/>
                              <pic:cNvPicPr/>
                              <pic:nvPr/>
                            </pic:nvPicPr>
                            <pic:blipFill>
                              <a:blip r:embed="rId44"/>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028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4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52400"/>
                      <wp:effectExtent l="0" t="0" r="0" b="0"/>
                      <wp:wrapNone/>
                      <wp:docPr id="106" name="图片 124"/>
                      <wp:cNvGraphicFramePr/>
                      <a:graphic xmlns:a="http://schemas.openxmlformats.org/drawingml/2006/main">
                        <a:graphicData uri="http://schemas.openxmlformats.org/drawingml/2006/picture">
                          <pic:pic xmlns:pic="http://schemas.openxmlformats.org/drawingml/2006/picture">
                            <pic:nvPicPr>
                              <pic:cNvPr id="124" name="图片 124"/>
                              <pic:cNvPicPr/>
                              <pic:nvPr/>
                            </pic:nvPicPr>
                            <pic:blipFill>
                              <a:blip r:embed="rId4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0288;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42"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107" name="图片 125"/>
                      <wp:cNvGraphicFramePr/>
                      <a:graphic xmlns:a="http://schemas.openxmlformats.org/drawingml/2006/main">
                        <a:graphicData uri="http://schemas.openxmlformats.org/drawingml/2006/picture">
                          <pic:pic xmlns:pic="http://schemas.openxmlformats.org/drawingml/2006/picture">
                            <pic:nvPicPr>
                              <pic:cNvPr id="125" name="图片 125"/>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108" name="图片 126"/>
                      <wp:cNvGraphicFramePr/>
                      <a:graphic xmlns:a="http://schemas.openxmlformats.org/drawingml/2006/main">
                        <a:graphicData uri="http://schemas.openxmlformats.org/drawingml/2006/picture">
                          <pic:pic xmlns:pic="http://schemas.openxmlformats.org/drawingml/2006/picture">
                            <pic:nvPicPr>
                              <pic:cNvPr id="126" name="图片 126"/>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带写字板观摩椅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1、椅背：背板PP+玻纤材质，一体注塑成型，靠背倾仰机构设计，前后滑动扶手，有效距离2.5cm，可满足不同坐姿与人群；</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2、椅座：座垫采用定型海绵，舒适透气，配PP工程塑料防尘底壳；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3、椅架：20.5*32.5*T1.5mm碳素钢椅架，全自动机械臂焊接，稳固性强，高速打砂除锈处理，表面高温喷涂烤漆，漆面牢固，具有防腐，抗氧化等性能；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4、写字板：采用PA+30%玻纤加厚板面，搭配精抛铝合金旋转机构，可灵活旋转收放；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5、功能：椅架全折叠收纳，节省空间。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录播教室2</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1、参考尺寸：主台：1500*600*750mm，副台：1500*500*620mm;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1、参考尺寸：660*590*1040mm；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2、黑色尼龙脚；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3、黑色尼龙轮；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4、黑色气杆；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5、2.5mm加厚蝴蝶底盘，可逍遥和原位锁定;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6、固定腰靠，黑色PP玻纤背框和扶手；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7、42mm密度中软高弹力切割海绵;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8、弹力座布，透气背网饰面。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学生组合桌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1、参考尺寸：790×805×750mm;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2、台面参数：</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采用25mm厚E1级三聚氰胺环保饰面板制作，桌角倒圆角；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采用1.5mm厚PVC封边条进行机械封边。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3、台身参数：</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横梁：采用≥40×20×1.2mm矩形钢管制作而成。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立腿：采用≥φ47×1.5mm厚的圆管制作而成，底部成锥形。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立腿底部：带橡胶底脚 [或：可选配带止锁功能的滑轮]。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立腿和横梁采用铝合金连接件连接（详见连接件参数）。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立腿与横梁整体采用静电粉末喷涂处理。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4、连接件参数：</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结构：通体采用铸铝成型，分上下两部分组合而成。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上部分圆柱尺寸：φ49mm(±5mm)，H20mm(±5mm)，壁厚≥3.5mm。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下部分圆柱尺寸：φ49mm(±5mm)，H20mm(±5mm)，壁厚≥3.5mm。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连接桌腿部分尺寸：φ40.5(±5mm)xH49mm(±5mm)。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连接横梁插口部分尺寸：L35-38×W15-18×H47mm(±5mm)。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表面处理：表面氧化银处理。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1、参考尺寸：410*400*740-820mm;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2、椅背/椅座板：PP+20%玻纤，一体注塑成型；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3、椅架：正圆国标钢管￠32/￠25*1.8mm，酸洗磷化静电喷粉7、工艺；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脚套/升降护套：PP，一体注塑成型；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4、功能：按国标高度孔位可调。</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后墙组合柜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1、参考尺寸：6000*500*2200mm；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 产品结构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 标准板式柜体结构。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 连接工艺： 主体框架及背板均采用重型二合一暗装连接件 紧固。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基材与环保</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 基材： ≥16mm厚环保刨花板。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饰面与外观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3.1 表面处理：三聚氰胺环保饰面。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3.2 配置方案：部分软木板展示搭配书写磁性白板造型。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封边工艺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4.1 材料与工艺：≥1.5mm 厚同色PVC封边条，全自动机械PUR热熔胶封边处理。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4.2 要求： 密封牢固，边缘平整无瑕疵。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五金与连接件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5.1 层板支撑：活动层板采用金属层板销支撑，配预设调节孔位。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 铰链： 柜门配置缓冲铰链（开启角度 ≥110°）。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5.3 拉手： 柜门采用斜切铣型拉手，无外露。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功能设计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6.1 展示区：可配置柜门单元或开放层板单元。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 制造工艺与质量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7.1 加工：CNC精密裁板系统加工。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7.2 质量要求：成品结构稳固，组装严密，无松动、变形或异常声响。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储物边柜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1、参考尺寸：4300*500*750mm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4、台身参数：采用16mm厚E1级三聚氰胺环保饰面板加工制作，不低于1.5mm厚塑制封边条机械封边，柜体设板式对开门多组，内设隔板一层。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数学装饰画</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300mm*500mm，内容为国际数学大会会标，数学家照片及简介等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幅</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数学文创</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根据教室的大小，定制化数学文化元素，营造数学学科氛围，增加学生兴趣度，普及数学.相关知识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动态数学软件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1、支持软件持续升级，资源存储，交互，支持操作系统：Windows；支持国产操作系统；（提供国产操作系统官网相关查验截图，并加盖厂家及投标人公章）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2、支持多终端：可以实现不仅仅是在PC机的环境下，电子白板，平板电脑、手机终端、一体机，等各种终端环境；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3、隐藏与显现：通过勾选项就能实现几何体特定部位的隐藏或显现，如垂线/平行线/中线等辅助线、辅助面，并可以实现几何体本身的隐藏或显现；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基本图形绘制：支持2D和3D动态作图，绘制点、线、线段、射线、圆、椭圆、多边形等各种基本几何图形，可通过输入坐标、指定参数等精确方式确定图形的位置和大小，也可直接在画布上进行鼠标拖拽等操作来快速生成图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函数图像绘制：支持绘制多种函数图像，包括一次函数、二次函数、三角函数、指数函数、对数函数等。只需输入函数表达式，即可自动生成对应的精确图像，还能通过调整参数实时观察函数图像的变化，帮助学生直观理解函数的性质和变化规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动态图形创建：可以创建具有动态效果的图形，例如点的运动、线段的伸缩、图形的旋转和平移等。通过设置动画参数，如速度、路径、范围等，能让图形按照预设的规则进行动态展示，使抽象的数学概念变得更加直观形象，有助于学生理解几何变换等知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图形变换操作：提供了平移、旋转、缩放、对称等多种图形变换工具，可对已绘制的图形进行任意的变换操作，且能精确控制变换的参数，方便进行图形的构造和几何证明等操作，帮助学生培养空间想象力和逻辑思维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8、数值计算：可进行基本的数值运算，如加、减、乘、除、乘方、开方等，还能处理复杂的数学表达式计算，包括三角函数、对数函数、指数函数等的运算，为数学问题的求解提供了便捷的计算支持；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符号计算：支持符号运算，能够对代数式进行化简、因式分解、解方程、求导数、求积分等操作，输入符号表达式后，可直接给出精确的计算结果，有助于学生理解数学运算的原理和过程，提高数学计算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统计分析计算：具备一定的统计计算功能，可进行数据的均值、中位数、众数、方差、标准差等统计量的计算，还能绘制柱状图、折线图、饼图等统计图表，直观分析数据的分布和特征，适用于统计学教学和数据分析场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11、变换：提供丰富的画笔工具，支持多种颜色、线条粗细和笔刷样式，满足不同的作图需求；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12、动态测量：可对图形进行动态测量，实时显示图形的长度、角度、面积等属性；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13、逻辑动画：支持创建逻辑动画，通过设定动画的起点、终点、速度等参数，实现图形的动态演示和变化过程；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14、代数分析：提供符号运算功能，支持对图形属性进行代数表达式计算和化简，可将几何图形与代数方程相关联，通过图形变化直观展示代数关系的变化；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15、多坐标系支持：提供直角坐标系、极坐标系等多种坐标系，方便进行图形对比和分析，可通过驱动点控制坐标系的相关参数，实现图形的动态调整和演示；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16、轨迹绘制与调节：支持绘制多点的轨迹，并可通过变量或表达式调节轨迹的相关参数，实现丰富的轨迹效果，可用于展示图形运动轨迹、函数图像等，帮助学生直观理解数学和物理概念；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17、动作控制：提供动作按钮控制动作的操作，支持串行和并行动作，以及时间驱动和手动驱动两种方式，可通过设定动作序列和触发条件，实现复杂的动态演示和教学互动；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18、在线操作与分享：支持将课件保存为网页超链接，方便通过微信、QQ等社交平台进行分享和传播；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19、图形与数据迭代：具有几何迭代与变量迭代，迭代次数可以是数值，也可以是字母，还可以是代数式；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20、编写及运行程序的按钮：能够编写和运行程序，可调用内部函数，也可以自定义函数，函数的入口变量/参数可以通过鼠标选择或键盘输入的方式得到；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21、图形标注：可以直接标注线段与角度，并能够单独选中、编辑或删除标注符号；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22、坐标切换：在同一个页面当中可以直接进行2D坐标系与3D坐标系之间的自由切换。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23、动态数学软件厂商具有计算机软件著作权登记证书；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25、拥有智能画笔功能。如：画板软件的的画布上有一条线段，使用动态画板软件中的“智能画笔”功能，把鼠标移动到画布中的线段附近，选择一个点，即可自动识别绘制该平行线、垂直、平行且相当线段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26、动态画板具有推理库和推理结论功能，对平面和立体几何能够自行推理该图形的相关数量关系和位置关系。并对推理结论进行自我机械证明。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27、画板软件平台具有数字人和人工智能模块，在画板软件平台上输入指令可自动生成对应的教学设计和该知识点的动态交互课件资源。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28、拥有智能画笔功能。如：画板软件的的画布上有一条线段，使用动态画板软件中的“智能画笔”功能，把鼠标移动到画布中的线段附近，选择一个点，即可自动识别绘制该平行线、垂直、平行且相当线段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29、动态画板具有推理库和推理结论功能，对平面和立体几何能够自行推理该图形的相关数量关系和位置关系。并对推理结论进行自我机械证明。</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动态数学教学资源（高中）</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1、资源与现行的高中数学教学装备配置标准配套；提供该动态画板的线上平台资源，高中资源按照现行不同版本教材呈现，并且按照章节罗列的截图证明；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2、资源课程如下：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集合与函数：《集合的关系》、《函数的单调性与奇偶性》、《函数的值域》、《指数函数及其图像性质》、《幂函数的图像与性质》、《对数函数的性质》、《函数与方程》；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三角函数：《弧度制的合理性》、《弧长与扇形面积公式》、《三角函数线》、《三角函数的定义域与值域》、《三角函数诱导公式的推导》、《三角函数的图像与性质》、《三角恒等变换》；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平面向量及其应用：《平面向量的运算》、《平面向量的规则》、《向量的数乘》、《向量法探索三角形边长与角度的关系》、《向量法研究平面几何》、《平面向量的数量积》；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立体几何：《空间几何体的三视图与直观图》、《观察正方体截面》、《几何体的表面积与体积公式》、《祖暅原理的探究》、《空间向量及其运算》、《立体几何中的向量方法》；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概率与统计：《随机模拟实验》、《随机实验的概率》、《随机抽样》、《二项分布与独立重复实验》、《条件概率》、《正态分布曲线》、《样本与总体的关系》、《统计图的制作》、《用样本估计总体》、《二项分布与超几何分布的分布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数列与平面解析几何：《数列与函数的关系》、《数列的通项公式》、《等差与等比数列的性质》、《数列与函数的综合》、《等比数列与指数函数的关系》、《点与圆的位置关系》、《圆的切线方程》、《直线的点斜式方程》、《圆的标准方程》、《圆锥曲线与方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3、可实现平台资源的分享、下载、再编辑；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4、可根据自己的教学需要修改、保存、上传资料，形成个性化的教学资源库；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5、画板资源可随意插入 PPT和WPS中，并在 PPT 或WPS中正常播放，实现动态演示及交互操作。画板资源插入PPT，要求在PPT里直接跳转到动态画板软件的资源中心，并在在搜索栏里可以直接搜索想要插入的资源，或者通过搜索目标资源编号的方式快速找到需要插入的资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6、支持丰富的分享方式。扫描二维码就能打开，可以通过课件的网页链接分享到各种社交平台上，如微信、QQ等。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7、画板软件平台具有数字人和人工智能模块，在画板软件平台上输入指令可自动生成对应的教学设计和该知识点的动态交互课件资源。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8、平台上每一个动态课件资源都有该资源对应的单独的二维码和分享链接，每个资源对应的分享链接里都包含该资源对应的数字编号。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10.具有个人空间功能， 为老师和学生提供个人空间，包括个人资源、资源包、收藏资源、收藏资源包、授权的资源、关注的空间、最近浏览的资源等功能。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11、支持用户管理资源属性，支持修改资源标题、简介、支持将资源权限设置为只读、私有或共享；</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1516"/>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实验教学培训课题服务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1、使用培训课程：数学教学教师软件使用培训、动态几何基本使用培训（教师）；2、教学应用培训课程：《动态实用指导教程》/高中课堂案例培训；3、高中数学实验教学课程专家专项指导；</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手持数学终端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一、硬件参数：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1、≥3.5英寸彩色触摸显示屏，≥256M存储内存；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2、CPU：≥400MHz，支持中文；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3、基于应用，内置有至少18种应用，包括函数、数列、参数、几何、极坐标、求解器、探索器、电子表格、矩阵、列表、程序等功能，满足师生需求；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二、内置软件功能：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可选择中文菜单显示，支持全中文输入。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软件主要功能：CAS（计算机符号代数系统）功能，函数及二次曲线作图分析；几何；电子表格；统计分析，记事本，数据采集程序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1、高级绘图功能几乎可绘制X-Y平面的任何表达式，如不等式sin(x)≥cos(y)等；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2、支持CAS与非CAS可以快速实现自由切换；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3、支持导入图片，并可在多个app中对导入的图片进行分析；在函数应用中能导入桥梁图片，可以支持直接手绘该拱桥轮廓，并自动拟合函数，出现该桥梁拱形结构函数图像和解析式。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手绘函数，在图形计算器硬件设备的函数应用中可通过触屏操作对函数图像进行缩放，函数表达式可随之变化；利用函数的草图功能，手工直接绘制出与草图类似的三角函数，并自动拟合，出现函数表达式，在拟合函数的基础上对函数进行放大，缩小，上下平移等变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5、动态图像与绘图：在坐标系中输入函数表达式,即可直接抓移该函数图像，实现平移、放缩等图形变换，并观察相对应的方程和数据的变化；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6、具有三维坐标系，可直接输入函数表达式绘制立体图形，并进行各种图形变化；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7、可在课件中插入JPG等格式图片文件，可以在计算器、图形、几何、数据和统计等应用程序中通过软件插入多种格式图片进行分析，将数学知识与实际生活紧密相连；</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8、通过配套计算器软件，可以把office办公软件中的数据、文字、公式、图片等以简单的复制粘贴的方式，制作到课件中，并发送到学生的图形计算器中，便于学生学习研究；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9、图形计算器支持第三方软件拓展：演示插入教师上课用的 PPT 并进行播放。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三、可扩展性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1.支持与传感器连接，采集数据进行数理分析。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2.通过无线课堂教学系统，可同时与课堂内所有手持数学终端实时连接，实现课堂中教师与学生之间的实时信息交流，反馈和评价，实现互动教学，提高学生的课堂参与度。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无线接收器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专用配套无线信号收发器，轻便小巧，即插即用；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调制方式支持：BPSK/QPSK/DBPSK/CCJK/16QAM/64QAM；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占用宽带：≤20MHz；杂散发射限制：≤-30dBm；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数据速率：1Mbps/2Mbps/5.5Mbps/11Mbps(DSSS)6Mbps/9Mbps/12Mbps/18Mbps/24Mbps/36Mbps/48Mbps/54Mbps(OFDM)6.5Mbps/13Mbps/19.5Mbps/26Mbps/39Mbps/52Mbps/58.5Mbps/65Mbps (MIMO 20MHz)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内置专用芯片与手持终端连接，外观为工程塑料浇注包裹，防水、抗摔；</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发射器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1、与手持数学终端、课堂管理配套的无线发射平台，无线信号覆盖范围可满足标准教室使用。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2、通过课堂管理软件，实现课堂中师生之间的实时信息交流、反馈和评价，实现互动教学。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3、专网专用的无线接收平台，覆盖的无线信号范围≥50 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与手持数学终端同品牌，以保证质量及兼容性，即插即用，无需另外供电。</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超级采集器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配套手持数学终端的使用，，支持离线实验数据采集。可以使USB供电或者用5号电池进行供电，工作时间10个小时，可以连接个人电脑，在教师专用软件进行演示和教学。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温度传感器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可以连接数据采集器；采用不锈钢封装，适用于液体，气体，特别是导电水和其他化学溶液的温度变化的测量。精度满足±2%；分辨率为0.1摄氏度。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位移传感器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可以测量在40-600cm范围内的传感器和物体之前的距离。精确度满足±2%；分辨率为1mm。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光强传感器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精确度为3%；范围为；0-6000Lux，分辨率为1.5Lux</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声音传感器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可以用于测量声音的波形输出和声强。范围30dB-90dB;80dB-120dB；</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绝对压强传感器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可以测量施加的外部压力相对与传感器内部密封的零压力参考。范围是'0 ~ 690kPa千帕（0~6.9个大气压或0~7000毫巴）；出厂默认精度小于等于±5%，通过校准可以缩小为±3%；分辨率为0.2KPa；工作温度为0~85℃。</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课堂互动管理软件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管理在无线收发平台指定教室内的所有图形计算器,教师可以实时监控每个学生的计算器屏幕，实现过程的互动和结果的互动。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教师可以根据课堂需要禁用学生计算器上的一个或多个功能。该软件在师生互动中，既能实现对结果页面的共享互动，更对所有师生的探究过程实现共享互动。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可向学生发送问题、消息等，并可对学生反馈进行分析，准确掌握学情。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手持数学终端专业教师软件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基于应用，内置应用，包括函数、数列、参数、几何、极坐标、求解器、探索器、电子表格、矩阵、列表、程序等功能。高级绘图功能几乎可绘制X-Y平面的任何表达式，如不等式等。CAS与非CAS可以快速实现自由切换。可导入图片，并可在多个app中对导入的图片进行分析。函数应用中可手触法对函数图像进行缩放，函数表达式可随之变化。</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SURFER专业数学建模软件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1，数学图形构建和交互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使用该软件，可以体验公式和形式之间的关系，数学和艺术以互动的方式呈现，可以输入表达式产生美丽和数学图像，3D数学模型。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2，空间立体交互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使用空间立体，您可以轻松地在欧几里得空间的17个对称组之一中绘制对称图案。发现几何特性，并研究其旋转中心和镜轴的内部结构。或随意以创新的方式绘画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3，分子结构中的数学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体验此交互式程序并飞过石英，萤石或钻石晶体。您也可以在3D触摸屏上用手指操纵微型飞船通过晶体结构。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4模拟火山运动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该模块是欧洲火山喷发的交互式模拟。您可以放置</w:t>
            </w:r>
            <w:r>
              <w:rPr>
                <w:color w:val="auto"/>
                <w:szCs w:val="21"/>
                <w:highlight w:val="none"/>
                <w:lang w:bidi="ar"/>
              </w:rPr>
              <w:t xml:space="preserve">​​</w:t>
            </w:r>
            <w:r>
              <w:rPr>
                <w:rFonts w:hint="eastAsia" w:ascii="宋体" w:hAnsi="宋体" w:cs="宋体"/>
                <w:color w:val="auto"/>
                <w:szCs w:val="21"/>
                <w:highlight w:val="none"/>
                <w:lang w:bidi="ar"/>
              </w:rPr>
              <w:t xml:space="preserve">火山，添加风场并探索随时间散布的灰云。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5数学与音乐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数学模型的构建与音乐之间的联系。</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高性能数学建模中心</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双屏显示器，配套主机，主机性能，存储内存256G，运行内存8G，配套电脑支架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趣味智拼</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纯木制益智类数理思维学具包含以下产品：二元金字塔4个、三元金字塔4个，T字之谜4个、七巧板4个，百鸟朝凤4个，彩色动物园4个，数字华容道4个，三国华容道4个，巧克力方程4个；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一套可满足4人使用，配套每个产品的数学游戏课程及说明书；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配套视频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益智数学之方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纯木制益智类数理思维学具包含以下产品：天龙摆尾三阶4个，7立方4个，斜放积木4个，空十字4个，环环相扣4个，数学拐角4个，笛卡尔锁4个，酒桶锁4个，球形锁4个；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一套可满足4人使用，配套每个产品的数学游戏课程及说明书；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配套视频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巧解数学之谜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纯木制益智类数理思维学具包含以下产品：步步高升2个，双子塔2个，保卫苹果4个，双目混珠2个，三足鼎立2个，绝处逢生2个，步步高2个，环形跷跷板2个，法老魔戒2个，智取奶酪4个；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一套可满足4人使用，配套每个产品的数学游戏课程及说明书；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配套视频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拥挤的数学</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纯木制益智类数理思维学具包含以下产品：数字拼盘4个，蜂巢三十八4个，你推我挤之方块4个，你推我挤之三角4个，你推我挤之圆4个，四T之谜4个，胜者为王4个，勇者胜4个，钻石棋2个；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一套可满足4人使用，配套每个产品的数学游戏课程及说明书；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配套视频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花样数学</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纯木制益智类数理思维学具包含以下产品：智取三角木4个，智取海胆4个，异四点4个，骰子魔方4个，双龙游2个，四彩汉堡2个，汉诺塔2个，巧放4兄弟2个，趣玩黄金眼2个；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一套可满足4人使用，配套每个产品的数学游戏课程及说明书；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配套视频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立体几何模型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共46件，包括几何开体剖面模，体积模型，旋转体等.尺寸高度为不低于10cm，有机玻璃材质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包含：正三棱锥，正四棱锥，正五棱锥，正六棱锥，正四面体，正八面体，正十二面体，正二十面体，截面为椭圆形圆锥，截面为圆形圆锥，截面为抛物线圆锥，圆锥的形成，正三棱柱，斜</w:t>
            </w:r>
            <w:r>
              <w:rPr>
                <w:rFonts w:hint="eastAsia" w:ascii="宋体" w:hAnsi="宋体" w:cs="宋体"/>
                <w:color w:val="auto"/>
                <w:szCs w:val="21"/>
                <w:highlight w:val="none"/>
                <w:lang w:bidi="ar"/>
              </w:rPr>
              <w:t xml:space="preserve">三棱柱，直角三棱柱，空心圆柱，里面为三棱锥的圆锥，截面为曲线的圆锥，截面为三角形的圆锥，截面为长方形的三棱柱，圆柱的形成，截面为长方形的圆柱，实心圆柱，圆台的形成，截面为长方形的五棱柱，截面为长方形的六棱柱，正三棱台，正四棱台，截面为长方形的正方体，截面为梯形的正方体，截面为六边形的正方体，截面为正方形的正方体，正方体，正四棱柱，正五棱柱，正六棱柱，截面为三角形的正方体，里面为圆球的正方体，里面为四面体的圆球，球的形成，长方体，平行六面体，地面为长方形的垂直锥，里面为圆球的四面体，里面为正方体的圆球，两面角</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方孔钻</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1、展品用材：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①底座：ABS注塑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②台面：抗倍特板材质，厚度≧8mm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③说明牌：亚克力UV喷绘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④演示机构：亚克力+不锈钢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2、布展需求：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①电源需求：不需要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②本展项需安装在展厅原有的展台和课桌上才能进行展示（或另外配置展台）。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产品尺寸：0.5*0.4*0.2</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双曲狭缝</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1、展品用材：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①底座：ABS注塑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②台面：抗倍特板材质，厚度≧8mm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③说明牌：亚克力UV喷绘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④演示机构：亚克力+不锈钢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2、布展需求：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①电源需求：不需要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②本展项需安装在展厅原有的展台和课桌上才能进行展示（或另外配置展台）。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产品尺寸：0.5*0.4*0.2</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概率模型</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1、展品用材：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①底座：ABS注塑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②台面：抗倍特板材质，厚度≧8mm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③说明牌：亚克力UV喷绘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④演示机构：亚克力+不锈钢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2、布展需求：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①电源需求：不需要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②本展项需安装在展厅原有的展台和课桌上才能进行展示（或另外配置展台）。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产品尺寸：0.5*0.4*0.2</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繁花曲线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1、展品用材：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①底座：ABS注塑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②台面：抗倍特板材质，厚度≧8mm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③说明牌：亚克力UV喷绘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④演示机构：亚克力+不锈钢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2、布展需求：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①电源需求：不需要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②本展项需安装在展厅原有的展台和课桌上才能进行展示（或另外配置展台）。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产品尺寸：0.5*0.4*0.2</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椭圆焦点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1、展品用材：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①底座：ABS注塑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②台面：抗倍特板材质，厚度≧8mm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③说明牌：亚克力UV喷绘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④演示机构：亚克力+不锈钢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2、布展需求：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①电源需求：不需要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②本展项需安装在展厅原有的展台和课桌上才能进行展示（或另外配置展台）。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产品尺寸：0.5*0.4*0.2</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互不相连</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（2）任务一：把数字1至8放在方格上，使无论在直、横或斜上都不会有两个相连的数字；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任务二：把数字1至8放在方格上，使所有直行内数字的总和均相等.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（5）配套棋子，棋子厚度不小于8mm，上层透明底层透色质感通透无杂色。棋子为8个绿色正方形棋子，每个尺寸为：56mm×56mm.棋子边角光滑，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邻面相同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（2）任务：把这六个六角形围着中央的六角形，使相邻接触面的颜色相同.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（5）配套棋子，棋子厚度不小于8mm，上层透明底层透色质感通透无杂色。棋子为7个边长为40mmde 正六边形棋子，每个棋子上有6个各不相同的颜色.棋子边角光滑，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放下四T</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（2）排列四个T字，使他们能平放在大框内.用小框再试一次.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（5）配套棋子，棋子厚度不小于8mm，上层透明底层透色质感通透无杂色。棋子为4个一摸一样的橙色“T"字每个尺寸为：65mm×90mm.棋子边角光滑，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和为二六</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（2）任务：把数字1至21放在孔内，使每条线上的数字之后都等于二十六.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（5）配套棋子，棋子厚度不小于8mm，上层透明底层透色质感通透无杂色。棋子为21个橘色圆形棋子，棋子上分别对应数字1-21，每个棋子直径为35mm.棋子边角光滑，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各向相等</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（2）任务：将1~19填入棋盘指定交叉点上，使纵向、横向及对角线方向的数字之和均等于38.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（5）配套棋子，棋子厚度不小于8mm，上层透明底层透色质感通透无杂色。棋子为19个正六边形棋子，棋子上分别对应数学1-19，棋子边角光滑，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少了一块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（2）思考：将一个图形拆开之后，重新拼在一起，结果消失了一个小方块，你能找到其中的原因吗？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（5）配套棋子，棋子厚度不小于8mm，上层透明底层透色质感通透无杂色。棋子包含一个紫色三角形，一个黄色三角形，一个绿色六边形、一个蓝色六边形，其中两个六边形可以拼成一个矩形。棋子边角光滑，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魔法运算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（2）规则：把1-9之间的9个数字放入空白位置内，使得四条等式都成立。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数独</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（2）规则：每行、每列及每宫填入数字1-9且不能重复。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（5）配套棋子，棋子厚度不小于8mm，上层透明底层透色质感通透无杂色。棋子为81个粉色正方形棋子，每个尺寸为：20mm×20mm.棋子边角光滑，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巧放圆形</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（2）任务：1.把除了圆形之外的5块板块合理摆放方形框中，不得重叠，不得交叉；2.把包含圆形之内的所有板块合理摆放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到方形框中，不得重叠，不得交叉。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（5）配套棋子，棋子厚度不小于8mm，上层透明底层透色质感通透无杂色。棋子包含五块不规则图形和一块圆形棋子边角光滑，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过到对岸</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（2）任务：农夫要把狐狸、小鸡、玉米带到河对岸。规定他每次只能带其中一样。如果把狐狸和鸡留下，狐狸会把鸡吃掉；如果把鸡和玉米留下，鸡会把玉米吃掉。试一试农夫怎样安全地把它们带到对岸？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（5）配套棋子，棋子厚度不小于8mm，上层透明底层透色质感通透无杂色。棋子包含分别代表农夫、狐狸、小鸡、玉米的圆形棋子，棋子边角光滑，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无奇有偶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（2）任务：把棋子依据图例位置放好，只移动两个棋子的位置，使每行和每列上都有偶数个棋子。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（5）配套棋子，棋子厚度不小于8mm，上层透明底层透色质感通透无杂色。棋子为10个黄色圆形棋子，尺寸为32mm*32mm,棋子边角光滑，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颠倒三角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（2）任务：把所有棋子摆放在棋盘里，要求只移动三个棋子，使三角形倒立过来.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（5）配套棋子，棋子厚度不小于8mm，上层透明底层透色质感通透无杂色。棋子为10个紫色圆形棋子，尺寸为32mm*32mm,棋子边角光滑，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向左向右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（2）任务：开始前先把两种颜色的棋子按照图例摆放 ，要求左侧的棋子只可向右行而右侧的棋子只可向左行，每次只可移动一格或跳过一个棋子。最后使左右两边的棋子颜色对换。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（5）配套棋子，棋子厚度不小于8mm，上层透明底层透色质感通透无杂色。棋子为4个黄色圆形棋子和4个绿色圆形棋子，尺寸为28mm*28mm,棋子边角光滑，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和为十八</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（2）任务：把数字1-11放入棋盘内，使每条线上的三个数字之和均为18.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（5）配套棋子，棋子厚度不小于8mm，上层透明底层透色质感通透无杂色。棋子为11个绿色圆形棋子，棋子上分别有数字1-11，棋子尺寸为33mm*33mm,棋子边角光滑，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变换魔阵</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（2）规则：把数字1-9放入棋盘内，使任意一条直线、横线或斜线上的三个数学的总和均为15。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（5）配套棋子，棋子厚度不小于8mm，上层透明底层透色质感通透无杂色。棋子为9个绿色正五边形棋子，每个棋子边长为：30mm.棋子边角光滑，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不重不漏</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（1）规格：不小于450mm×350mm×45mm.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（2）任务：把 6 个圆形棋子全部摆放在棋盘内，使得每一条横线 、直线、斜线都最多只有一个棋子。试一试该怎样摆放？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（3）带有任务提示.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（4）材质：包含450mm×350mm×45mm.的木质托盘，托盘内置430mm×330mm的操作区域，材质为有机玻璃，操作区域颜色为舒适护眼淡蓝色。配套棋子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（5）配套棋子，棋子厚度不小于8mm，上层透明底层透色质感通透无杂色。棋子为16个咖色圆形棋子，棋子尺寸为22mm*22mm,棋子边角光滑，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（6）器材可满足学生日常自主探究使用、满足课堂教学应用、满足课后兴趣小组拓展挑战、满足学校数学节活动等大型全校性活动挑战赛使用。可反复利用，材料环保无毒无公害。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立体搭建学习套装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1，数学STEM教育系列之空间几何探究性学习搭建套装.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2，材质为食品级安全材料POM.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3，含460个几何图形，包括等边三角形210个、正方形142个、正五边形72个、正六边形36个等.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4，任何一个几何图形的每一边都带有一个子扣与母扣，任意两个几何图形之间，无需磁性，均可以搭建在一起，跌落之后也不会分开.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套装可以构建起平面密铺图形、柏拉图多面体、阿基米德多面体等多种立体几何体模型，可以用于探究平面的折叠与多面体的展开等问题，是一套独一无二且极具价值的学习工具，可以最大限度激发学生的创造性，帮助学生建立空间意识，培养学生的空间想象力，达到教学目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109" name="图片 127"/>
                      <wp:cNvGraphicFramePr/>
                      <a:graphic xmlns:a="http://schemas.openxmlformats.org/drawingml/2006/main">
                        <a:graphicData uri="http://schemas.openxmlformats.org/drawingml/2006/picture">
                          <pic:pic xmlns:pic="http://schemas.openxmlformats.org/drawingml/2006/picture">
                            <pic:nvPicPr>
                              <pic:cNvPr id="127" name="图片 127"/>
                              <pic:cNvPicPr/>
                              <pic:nvPr/>
                            </pic:nvPicPr>
                            <pic:blipFill>
                              <a:blip r:embed="rId45"/>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0288;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45" o:title=""/>
                    </v:shape>
                  </w:pict>
                </mc:Fallback>
              </mc:AlternateContent>
            </w: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110" name="图片 128"/>
                      <wp:cNvGraphicFramePr/>
                      <a:graphic xmlns:a="http://schemas.openxmlformats.org/drawingml/2006/main">
                        <a:graphicData uri="http://schemas.openxmlformats.org/drawingml/2006/picture">
                          <pic:pic xmlns:pic="http://schemas.openxmlformats.org/drawingml/2006/picture">
                            <pic:nvPicPr>
                              <pic:cNvPr id="128" name="图片 128"/>
                              <pic:cNvPicPr/>
                              <pic:nvPr/>
                            </pic:nvPicPr>
                            <pic:blipFill>
                              <a:blip r:embed="rId43"/>
                              <a:stretch/>
                            </pic:blipFill>
                            <pic:spPr bwMode="auto">
                              <a:xfrm>
                                <a:off x="0" y="0"/>
                                <a:ext cx="53340" cy="1752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52400"/>
                      <wp:effectExtent l="0" t="0" r="0" b="0"/>
                      <wp:wrapNone/>
                      <wp:docPr id="111" name="图片 129"/>
                      <wp:cNvGraphicFramePr/>
                      <a:graphic xmlns:a="http://schemas.openxmlformats.org/drawingml/2006/main">
                        <a:graphicData uri="http://schemas.openxmlformats.org/drawingml/2006/picture">
                          <pic:pic xmlns:pic="http://schemas.openxmlformats.org/drawingml/2006/picture">
                            <pic:nvPicPr>
                              <pic:cNvPr id="129" name="图片 129"/>
                              <pic:cNvPicPr/>
                              <pic:nvPr/>
                            </pic:nvPicPr>
                            <pic:blipFill>
                              <a:blip r:embed="rId4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0288;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42"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355600"/>
                      <wp:effectExtent l="0" t="0" r="0" b="0"/>
                      <wp:wrapNone/>
                      <wp:docPr id="112" name="图片 130"/>
                      <wp:cNvGraphicFramePr/>
                      <a:graphic xmlns:a="http://schemas.openxmlformats.org/drawingml/2006/main">
                        <a:graphicData uri="http://schemas.openxmlformats.org/drawingml/2006/picture">
                          <pic:pic xmlns:pic="http://schemas.openxmlformats.org/drawingml/2006/picture">
                            <pic:nvPicPr>
                              <pic:cNvPr id="130" name="图片 130"/>
                              <pic:cNvPicPr/>
                              <pic:nvPr/>
                            </pic:nvPicPr>
                            <pic:blipFill>
                              <a:blip r:embed="rId44"/>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028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44"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113" name="图片 131"/>
                      <wp:cNvGraphicFramePr/>
                      <a:graphic xmlns:a="http://schemas.openxmlformats.org/drawingml/2006/main">
                        <a:graphicData uri="http://schemas.openxmlformats.org/drawingml/2006/picture">
                          <pic:pic xmlns:pic="http://schemas.openxmlformats.org/drawingml/2006/picture">
                            <pic:nvPicPr>
                              <pic:cNvPr id="131" name="图片 131"/>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直纹曲面数学文化创意套装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1，利用直线构造平面中的直纹曲线或空间中的直纹曲线，具有无限多种创意以及对应的创作结果.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2，配套工具、操作性强。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3，合计6种，每一种的底板具有不同的基础设计样式，同时也允许每一位（组）创客独立设计与创作其他不同的样式.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4，每一种的组件都包括材料包与底座外框.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5，外框尺寸30cm*30cm.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6，底板采用贴皮高密度板，黑色.</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114" name="图片 132"/>
                      <wp:cNvGraphicFramePr/>
                      <a:graphic xmlns:a="http://schemas.openxmlformats.org/drawingml/2006/main">
                        <a:graphicData uri="http://schemas.openxmlformats.org/drawingml/2006/picture">
                          <pic:pic xmlns:pic="http://schemas.openxmlformats.org/drawingml/2006/picture">
                            <pic:nvPicPr>
                              <pic:cNvPr id="132" name="图片 132"/>
                              <pic:cNvPicPr/>
                              <pic:nvPr/>
                            </pic:nvPicPr>
                            <pic:blipFill>
                              <a:blip r:embed="rId45"/>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0288;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45" o:title=""/>
                    </v:shape>
                  </w:pict>
                </mc:Fallback>
              </mc:AlternateContent>
            </w: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115" name="图片 133"/>
                      <wp:cNvGraphicFramePr/>
                      <a:graphic xmlns:a="http://schemas.openxmlformats.org/drawingml/2006/main">
                        <a:graphicData uri="http://schemas.openxmlformats.org/drawingml/2006/picture">
                          <pic:pic xmlns:pic="http://schemas.openxmlformats.org/drawingml/2006/picture">
                            <pic:nvPicPr>
                              <pic:cNvPr id="133" name="图片 133"/>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52400"/>
                      <wp:effectExtent l="0" t="0" r="0" b="0"/>
                      <wp:wrapNone/>
                      <wp:docPr id="116" name="图片 134"/>
                      <wp:cNvGraphicFramePr/>
                      <a:graphic xmlns:a="http://schemas.openxmlformats.org/drawingml/2006/main">
                        <a:graphicData uri="http://schemas.openxmlformats.org/drawingml/2006/picture">
                          <pic:pic xmlns:pic="http://schemas.openxmlformats.org/drawingml/2006/picture">
                            <pic:nvPicPr>
                              <pic:cNvPr id="134" name="图片 134"/>
                              <pic:cNvPicPr/>
                              <pic:nvPr/>
                            </pic:nvPicPr>
                            <pic:blipFill>
                              <a:blip r:embed="rId42"/>
                              <a:stretch/>
                            </pic:blipFill>
                            <pic:spPr bwMode="auto">
                              <a:xfrm>
                                <a:off x="0" y="0"/>
                                <a:ext cx="5334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60288;o:allowoverlap:true;o:allowincell:true;mso-position-horizontal-relative:text;margin-left:0.0pt;mso-position-horizontal:absolute;mso-position-vertical-relative:text;margin-top:0.0pt;mso-position-vertical:absolute;width:4.2pt;height:12.0pt;mso-wrap-distance-left:9.0pt;mso-wrap-distance-top:0.0pt;mso-wrap-distance-right:9.0pt;mso-wrap-distance-bottom:0.0pt;" stroked="f">
                      <v:path textboxrect="0,0,0,0"/>
                      <v:imagedata r:id="rId42"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5260"/>
                      <wp:effectExtent l="0" t="0" r="0" b="0"/>
                      <wp:wrapNone/>
                      <wp:docPr id="117" name="图片 135"/>
                      <wp:cNvGraphicFramePr/>
                      <a:graphic xmlns:a="http://schemas.openxmlformats.org/drawingml/2006/main">
                        <a:graphicData uri="http://schemas.openxmlformats.org/drawingml/2006/picture">
                          <pic:pic xmlns:pic="http://schemas.openxmlformats.org/drawingml/2006/picture">
                            <pic:nvPicPr>
                              <pic:cNvPr id="135" name="图片 135"/>
                              <pic:cNvPicPr/>
                              <pic:nvPr/>
                            </pic:nvPicPr>
                            <pic:blipFill>
                              <a:blip r:embed="rId43"/>
                              <a:stretch/>
                            </pic:blipFill>
                            <pic:spPr bwMode="auto">
                              <a:xfrm>
                                <a:off x="0" y="0"/>
                                <a:ext cx="533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60288;o:allowoverlap:true;o:allowincell:true;mso-position-horizontal-relative:text;margin-left:0.0pt;mso-position-horizontal:absolute;mso-position-vertical-relative:text;margin-top:0.0pt;mso-position-vertical:absolute;width:4.2pt;height:13.8pt;mso-wrap-distance-left:9.0pt;mso-wrap-distance-top:0.0pt;mso-wrap-distance-right:9.0pt;mso-wrap-distance-bottom:0.0pt;" stroked="f">
                      <v:path textboxrect="0,0,0,0"/>
                      <v:imagedata r:id="rId43" o:title=""/>
                    </v:shape>
                  </w:pict>
                </mc:Fallback>
              </mc:AlternateConten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355600"/>
                      <wp:effectExtent l="0" t="0" r="0" b="0"/>
                      <wp:wrapNone/>
                      <wp:docPr id="118" name="图片 136"/>
                      <wp:cNvGraphicFramePr/>
                      <a:graphic xmlns:a="http://schemas.openxmlformats.org/drawingml/2006/main">
                        <a:graphicData uri="http://schemas.openxmlformats.org/drawingml/2006/picture">
                          <pic:pic xmlns:pic="http://schemas.openxmlformats.org/drawingml/2006/picture">
                            <pic:nvPicPr>
                              <pic:cNvPr id="136" name="图片 136"/>
                              <pic:cNvPicPr/>
                              <pic:nvPr/>
                            </pic:nvPicPr>
                            <pic:blipFill>
                              <a:blip r:embed="rId44"/>
                              <a:stretch/>
                            </pic:blipFill>
                            <pic:spPr bwMode="auto">
                              <a:xfrm>
                                <a:off x="0" y="0"/>
                                <a:ext cx="5334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60288;o:allowoverlap:true;o:allowincell:true;mso-position-horizontal-relative:text;margin-left:0.0pt;mso-position-horizontal:absolute;mso-position-vertical-relative:text;margin-top:0.0pt;mso-position-vertical:absolute;width:4.2pt;height:28.0pt;mso-wrap-distance-left:9.0pt;mso-wrap-distance-top:0.0pt;mso-wrap-distance-right:9.0pt;mso-wrap-distance-bottom:0.0pt;" stroked="f">
                      <v:path textboxrect="0,0,0,0"/>
                      <v:imagedata r:id="rId4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达芬奇折叠桥</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材质：榉木，搭建用。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尺寸：宽65cm 长225cm 高45cm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木条27根，木板12张。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搭建好后可以实现人站桥上随意走动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教学楼负一层</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1、参考尺寸：主台：1500*600*750mm，副台：1500*500*620mm;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演讲台</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1、参考尺寸：900*650*1000mm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下脚架采用φ25*2.0光滑圆管，配置4个静音刹车万向轮，方便推移也可固定。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主持人椅</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1、参考尺寸：390*400*840-1020mm，座椅可升降：520-730mm；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2、凳面40mm高泡海绵；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3、五星脚防滑设计；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4、50MM静音顺滑PU轮；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5、安全气杆。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学生组合桌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1、参考尺寸：790×805×750mm;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2、台面参数：</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采用25mm厚E1级三聚氰胺环保饰面板制作，桌角倒圆角；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采用1.5mm厚PVC封边条进行机械封边。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3、台身参数：</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横梁：采用≥40×20×1.2mm矩形钢管制作而成。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立腿：采用≥φ47×1.5mm厚的圆管制作而成，底部成锥形。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立腿底部：带橡胶底脚 [或：可选配带止锁功能的滑轮]。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立腿和横梁采用铝合金连接件连接（详见连接件参数）。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立腿与横梁整体采用静电粉末喷涂处理。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4、连接件参数：</w:t>
            </w:r>
            <w:r>
              <w:rPr>
                <w:color w:val="auto"/>
                <w:szCs w:val="21"/>
                <w:highlight w:val="none"/>
                <w:lang w:bidi="ar"/>
              </w:rPr>
              <w:t xml:space="preserve">​​</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结构：通体采用铸铝成型，分上下两部分组合而成。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上部分圆柱尺寸：φ49mm(±5mm)，H20mm(±5mm)，壁厚≥3.5mm。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下部分圆柱尺寸：φ49mm(±5mm)，H20mm(±5mm)，壁厚≥3.5mm。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连接桌腿部分尺寸：φ40.5(±5mm)xH49mm(±5mm)。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连接横梁插口部分尺寸：L35-38×W15-18×H47mm(±5mm)。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表面处理：表面氧化银处理。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1、参考尺寸：410*400*740-820mm;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2、椅背/椅座板：PP+20%玻纤，一体注塑成型；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3、椅架：正圆国标钢管￠32/￠25*1.8mm，酸洗磷化静电喷粉7、工艺；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脚套/升降护套：PP，一体注塑成型；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4、功能：按国标高度孔位可调。</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开放式书架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1、参考尺寸：800*300*1240mm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2、结构：实木结构，存放英语相关书籍；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3、材质：橡胶木；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4、柜体设书架三层。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移动杂志架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1、参考尺寸：1200*240*1240mm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2、结构：实木结构，放置英语期刊；</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3、材质：橡胶木；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4、下部配可移动轮子，上部期刊三层设计，亚克力挡板。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通顶展示柜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1、参考尺寸：4000*500*h:顶部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2、结构：玻璃门、内置LED灯带，用于陈列中国传统文化展品（英语介绍）；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3、根据展示模型定制柜体结构，材质采用16mm厚E1级三聚氰胺环保饰面板加工制作，不低于1.5mm厚塑制封边条机械封边，柜门采用钢化玻璃门制作。</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软木展板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1、参考尺寸：900*1200mm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2、9mm软木板加实木边框，用于张贴双语海报、学生英语作品。</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英语文化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根据教室的大小，定制化英语文化元素，营造英语学科氛围，增加学生兴趣度，普及英语.相关知识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英语（East-West Chamber东西阁）</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舞台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尺寸：根据现场定制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高度：30cm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框架：4×8cm 木方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面板：15mm 多层板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面层：舞台地胶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台阶：高 15cm，宽 30cm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戏剧社（双语）</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折叠椅</w:t>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1、折叠椅规格：W410（±10）×D395（±10）mm；收纳架规格：W1514（±10）×D577（±10）×H971（±10）mm；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2、基材：采用PP（聚丙烯）塑料全新料一体注塑成型,不得采用回收料生产；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3、椅架：采用异形铝合金管，一次弯管成型，异形铝合金管为30mm（±0.5mm）×20mm（±0.5mm）×厚2mm（±0.5mm）；坐垫底部支撑钢管为20mm（±0.5mm）×厚1.5mm（±0.5mm）。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戏剧社（双语）</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收纳架</w:t>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1、材质主结构采用椭圆管制成，椭圆管尺寸为60mm（±0.5mm）×30mm（±0.5mm）×厚2mm；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表面涂装：外表面经脱脂、硅烷无磷转化处理后，表面再喷涂粉末涂料，涂料具有耐腐蚀强、零甲醛无溶剂等特性，经200度高温烤漆，附着力特强；涂层表面均匀，色泽一致、平整且清晰、均匀。无漏底、锈蚀；疙瘩、皱皮等缺陷。漆膜应无膨胀、鼓泡、剥落、生锈无明显变色和失光现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3、功能及要求：折叠椅子功能要求：可自由收合，收合起来厚度不得大于30mm（±5mm）；收纳架功能要求：每张收纳车可收纳30张椅子，收纳后可成立式或卧式，收纳架轮子带刹车功能。</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戏剧社（双语）</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更衣柜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柜体参数：柜体采用≥16mm厚E1级三聚氰胺环保饰面板加工制作，不低于1.5mm厚塑制封边条机械封边；柜体组合柜造型，单柜科学结构划分，一键搞定所有收纳，柜门板采用橘黄色与暖白色作套色处理，柜门开有通风透气孔，增加空气流通，防霉防臭。</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戏剧社（双语）</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音乐边柜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1、参考尺寸：2000*500*800mm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采用16mmE1级三聚氰胺环保饰面板加工制作，不低于1.5mm厚塑制封边条机械封边，自然的木色，温暖而柔和；钢架采用满焊焊接，表面静电喷涂工艺，长时间使用也不会产生表面漆剥落现象；部分区域作跳色处理，为空间注入新的活力，全开放式多层储物，拿取便捷，分类明确。</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戏剧社（双语）</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演出服陈列柜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3、产品参数：顶板采用≥25mm，其他采用≥16mm三聚氰胺环保饰面板加工制作，不低于1.5mm厚塑制封边条机械封边，自然的木色，温暖而柔和；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柜体下部储物收纳为主，采用免拉手设计，柜门配置缓冲铰链，门板上方采用45°斜切角整体 ，距离台面三公分放手，内部做封板，视觉上干净利落、极简大气；储物柜内设活动可调层板，采用金属层板销支撑，配合预设调节孔位；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柜体中部采用铝合金玻璃对开门，柜门配置缓冲铰链，内部设挂衣杆，用于陈列收纳演出服；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柜体上部储物收纳为主，柜门配置缓冲铰链，门板底部切梯形孔工艺，免拉手设计；成品质量结构稳固，组装严密，无松动、变形或异常声响。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戏剧社（双语）</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道具陈列柜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1、参考尺寸：900×500×2200mm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3、产品参数：顶板采用≥25mm，其他采用≥16mm三聚氰胺环保饰面板加工制作，不低于1.5mm厚塑制封边条机械封边，自然的木色，温暖而柔和；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柜体下部储物收纳为主，采用免拉手设计，柜门配置缓冲铰链，门板上方采用45°斜切角整体 ，距离台面三公分放手，内部做封板，视觉上干净利落、极简大气；储物柜内设活动可调层板，采用金属层板销支撑，配合预设调节孔位；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柜体中部采用铝合金玻璃对开门，柜门配置缓冲铰链，内部采用全开放式多层，设活动可调层板，采用金属层板销支撑，配合预设调节孔位；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柜体上部储物收纳为主，柜门配置缓冲铰链，门板底部切梯形孔工艺，免拉手设计；成品质量结构稳固，组装严密，无松动、变形或异常声响。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戏剧社（双语）</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1、布艺窗帘，纯色全遮光吸音窗帘，含罗马杆及辅件等；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2、褶皱系数 2.0。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戏剧社（双语）</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联合国国旗+五大国国旗</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伸缩杆2m，底盘30cm,国旗96x144cm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演讲台</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1、参考尺寸：900*650*1000mm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3、产品参数：台面采用25mm三聚氰胺环保饰面板加工制作，不低于1.5mm厚塑制封边条机械封边；台面开有走线孔；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采用1mm厚冷轧钢板弯曲焊接而成，内侧和下底采用5毫米钢板加强，整体呈半椭圆形，满冲φ5mm圆孔，保证主机的散热又不失美观；门板采用18mm三聚氰胺环保饰面板加工制作，配有缓冲铰链，表面设有跑道圆孔洞，各面板上留过线孔；柜体内设层板上下分隔，最大量利用空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下脚架采用φ25*2.0光滑圆管，配置4个静音刹车万向轮，方便推移也可固定。</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扇形桌</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1、参考尺寸：台面打开尺寸：总长为800-900mm;宽为500-600mm;高度为750mm  由拼圆桌，组合2400直径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*550×750MM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2、台面板：采用E1级25mm高密度刨花板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3、前挡板：采用18mm高密度E1级刨花板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4、台面支撑件：采用冷扎钢板经模具冲压、弯折加工而成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侧脚：采用冷轧钢管，经激光切割后焊接而成，前脚管是60*30*604MM蛋管、后脚管是50*25*483MM蛋管，壁厚为1.5MM，前后脚管夹角65度，夹具固定机器臂焊接而成，焊接处有塑料材质外壳装饰件，侧脚顶处有60*50*2.0mm圆柱接头，经机械臂焊接而成，用以固定折叠结构配件，底脚堵头由高级尼龙为原材料经模具注塑而成，用于安装轮子或固定脚，整体结构牢固耐用，美观大方，抗变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折叠结构：由铝合金材质为原材料，经模具注塑加工而成，折叠结构外壳60*38mm，厚度2.5-6.5mm，用高品质内六角螺丝固定至侧脚顶部，内部由47*44*2.5mm的滑块和长度111mm直径9.2-6.8mm规格异形六边行转动轴和弹簧等配件组成的折叠结构，桌面放平和折叠后都带有锁止功能，两侧折叠开关由长1000-1600mm，14*14*2.0mm规格方管相连接，旋转一边可带动另一边旋转。整个折叠结构稳定、耐用、大方、美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拉杆：采用冷轧钢管，长度250-300mm（具体视桌面规格而定），直径45mm，厚度1.2mm，两头与侧脚固定处内壁额外有42.5*35*2mm圆管配件与拉杆冲压一体用以增加连接强度，表面再经防锈静电喷涂处理，实用牢固，承受力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书网：采用4根冷轧钢管经切割与由PVC材质经模具注塑成型的书网胶组成，钢管厚度1.0mm，长度430-480mm，直径14mm。书网内空高度约85mm，深度约190mm。书网管表面采用防锈静电喷涂处理。安装方便，牢固美观。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研讨学习桌</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1、参考尺寸：台面打开尺寸：总长为1200;宽为500-600mm;高度为750mm，1200*600*750mm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2、台面板：采用E1级25mm高密度刨花板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3、前挡板：采用18mm高密度E1级刨花板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4、台面支撑件：采用冷扎钢板经模具冲压、弯折加工而成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侧脚：采用冷轧钢管，经激光切割后焊接而成，前脚管是60*30*604MM蛋管、后脚管是50*25*483MM蛋管，壁厚为1.5MM，前后脚管夹角65度，夹具固定机器臂焊接而成，焊接处有塑料材质外壳装饰件，侧脚顶处有60*50*2.0mm圆柱接头，经机械臂焊接而成，用以固定折叠结构配件，底脚堵头由高级尼龙为原材料经模具注塑而成，用于安装轮子或固定脚，整体结构牢固耐用，美观大方，抗变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折叠结构：由铝合金材质为原材料，经模具注塑加工而成，折叠结构外壳60*38mm，厚度2.5-6.5mm，用高品质内六角螺丝固定至侧脚顶部，内部由47*44*2.5mm的滑块和长度111mm直径9.2-6.8mm规格异形六边行转动轴和弹簧等配件组成的折叠结构，桌面放平和折叠后都带有锁止功能，两侧折叠开关由长1000-1600mm，14*14*2.0mm规格方管相连接，旋转一边可带动另一边旋转。整个折叠结构稳定、耐用、大方、美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拉杆：采用冷轧钢管，长度250-300mm（具体视桌面规格而定），直径45mm，厚度1.2mm，两头与侧脚固定处内壁额外有42.5*35*2mm圆管配件与拉杆冲压一体用以增加连接强度，表面再经防锈静电喷涂处理，实用牢固，承受力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书网：采用4根冷轧钢管经切割与由PVC材质经模具注塑成型的书网胶组成，钢管厚度1.0mm，长度430-480mm，直径14mm。书网内空高度约85mm，深度约190mm。书网管表面采用防锈静电喷涂处理。安装方便，牢固美观。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学习椅</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1、参考尺寸：890*580*600mm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2、胶壳：聚丙烯PP塑胶，抗裂耐老化，环保无毒。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3、椅架：采用32.3*19.2*1.2mm厚冷锻方圆钢管，220度高温静电喷涂，处理精细光滑、牢固抗冲击不变形。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4、网背座垫：透气中网背；定型海棉，弹力布面料，回弹好，坐感舒适。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5、连接件：靠背铝合金连接，底座双钢丝受力固定。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6、可活动万向轮，方便移动。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7、尺寸：555*520*830mm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8、功能：靠背可倾摇，坐感舒适；可座翻、全折叠收纳，节省空间。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专业音箱（主扩）</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1、音箱采用15mm中纤板制作，坚实牢靠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2、高音采用过流过压过温保护，使用更加可靠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3、多个M8螺丝吊装孔位，可横竖吊挂，安装灵活，操作方便快捷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4、底部有一个φ36mm标准支撑座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1、额定功率： 350W/1400W （Peak）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3、特性灵敏度：98dB/W/m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4、输出声压级：123dB（Continues）129dB（Peak）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5、额定频率范围： 55~20000Hz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6、覆盖角度 H×V： 90°×60°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7、扬声器单元： 12英寸×1，1.35英寸×1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8、输入接口： 2×Speakon NL4MP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9、吊挂： 多个M8螺丝吊装孔位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10、支撑座： φ36mm标准支撑座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11、箱体材料：15mm中纤板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12、音箱尺寸（mm）：H×W×D 611×373×378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13、系统重量（kg）： 23</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14、标准成品色： 黑色</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功率放大器（700W）</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1、采用紧凑的2U标准机架式设计，结构坚固，兼具轻量化与高可靠性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2、前面板配备2英寸液晶显示屏，设备状态与参数一目了然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3、搭载专业级音频DSP芯片，提供高精度、低延迟的音频信号处理能力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4、支持2×2通道的灵活音频路由与混音，混音比例范围达-80dB至+18dB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5、模块化设计，维护方便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6、通道延时独立可调，输入延时范围：0-10ms，输出延时范围：0-7ms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7、每通道具备17个滤波器(输入：高低通滤波器，8段参量EQ（±24dB）；输出：高低通滤波器，5段参量EQ（±24dB）)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8、音量、静音、相位调节，模式选择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9、支持输出通道峰值压限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10、设备内部提供25个场景存储组，支持一键调用；支持参数跨设备导入/导出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11、设备支持修改设备号（修改IP地址）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12、设备支持集中调试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13、具备一键恢复出厂设置功能，保障系统安全与快速恢复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14、支持将配置数据保存至电脑备份，或从电脑恢复至设备，操作灵活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15、保护功能：电源欠压保护、功放输出直流保护、过热保护、温度功率控制、过载功率控制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1、额定功率：2×700W/8Ω，2×1050W/4Ω，1×2100W/8Ω桥接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2、频率响应：20Hz～20kHz ±1dB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3、信噪比 (A计权)：≥105dB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4、输入灵敏度：0.9V±0.1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5、总谐波失真：＜0.1%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6、声道分离度：＜-80dB(1kHz)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7、尺寸(H×W×D)(mm)：88×483×280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8、净重：4.8kg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专业音箱（辅助）</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功能特点：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1、音箱采用15mm中纤板制作，坚实牢靠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2、高音采用过流过压过温保护，使用更加可靠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3、多个M8螺丝吊装孔位，可横竖吊挂，安装灵活，操作方便快捷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4、底部有一个φ36mm标准支撑座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1、额定功率： 250W/1000W （Peak）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2、额定阻抗： 8Ω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3、特性灵敏度：96dB/W/m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4、输出声压级：120dB（Continues）126dB（Peak）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5、额定频率范围： 60~20000Hz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6、覆盖角度 H×V： 90°×60°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7、扬声器单元： 10英寸×1，1.35英寸×1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8、输入接口： 2×Speakon NL4MP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9、吊挂： 多个M8螺丝吊装孔位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10、支撑座： φ36mm标准支撑座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11、箱体材料：15mm中纤板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12、音箱尺寸（mm）：H×W×D 523×326×331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13、系统重量（kg）： 17</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14、标准成品色： 黑色</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功率放大器（400W）</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1、采用紧凑的2U标准机架式设计，结构坚固，兼具轻量化与高可靠性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2、前面板配备2英寸液晶显示屏，设备状态与参数一目了然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3、搭载专业级音频DSP芯片，提供高精度、低延迟的音频信号处理能力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4、支持2×2通道的灵活音频路由与混音，混音比例范围达-80dB至+18dB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5、模块化设计，维护方便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6、通道延时独立可调，输入延时范围：0-10ms，输出延时范围：0-7ms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7、每通道具备17个滤波器(输入：高低通滤波器，8段参量EQ（±24dB）；输出：高低通滤波器，5段参量EQ（±24dB）)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8、音量、静音、相位调节，模式选择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9、支持输出通道峰值压限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10、设备内部提供25个场景存储组，支持一键调用；支持参数跨设备导入/导出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11、设备支持修改设备号（修改IP地址）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12、设备支持集中调试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13、具备一键恢复出厂设置功能，保障系统安全与快速恢复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14、支持将配置数据保存至电脑备份，或从电脑恢复至设备，操作灵活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15、保护功能：电源欠压保护、功放输出直流保护、过热保护、温度功率控制、过载功率控制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技术指标：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1、额定功率：2×400W/8Ω，2×600W/4Ω，1×1200W/8Ω桥接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2、频率响应：20Hz～20kHz ±1dB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3、信噪比 (A计权)：≥105dB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4、输入灵敏度：0.9V±0.1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5、总谐波失真：＜0.1%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6、声道分离度：＜-70dB(1kHz)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7、尺寸(H×W×D)(mm)：88×483×280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8、净重：4.8kg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4K高清会议摄像机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1、1/2.5英寸，CMOS 图像传感器，800w像素以上，至少支持4K(3840x2160)、1080P(1920x1080)、720P(1280x720)等输出格式。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2、支持网口音视频编码输出，支持H.265/H.264/MJEPG三种视频编码标准，音频AAC编码标准；支持RTSP、RTMP、Onvif、组播等网络协议；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3、支持USB 3.0、HDMI高清原始输出, 网络编码、HDMI、USB三路可同时输出图像；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4、采用真4K解析度高品质变焦镜头，最大视角70°，光学变焦≥12倍，数字变焦≥16倍；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5、支持预置位过程图像冻结功能；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6、支持音频LINE IN输入，摄像机可对音频进行编码；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7、传动结构为蜗杆传动；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8、支持4路码流同时输出，支持多种分辨率同时拉流，4K(3840x2160)、1080P(1920x1080)、720P(1280x720)、576P(1024x576)等；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9、支持DC 12V输入，功耗≤12W。</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4K专业录播一体机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支持最多5路HDMI输入，或1路TYPEC和4路HDMI输入，最大可支持4k60输入，TYPEC输入支持手机和部分笔记本电脑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编码分辨率最大支持4k60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支持最多5路输入画面拼接合成一路画面录制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支持预约录制，按定时、每天、每周、每月录制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支持录制文件点播、下载、删除</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支持标题和台标设置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 支持录制文件自动上传至ftp服务器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支持rtsp和组播直播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 支持一路typec视频输入，和第一路hdmi输入互斥(二选一)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10.支持通过RS232/RS422/RS485、网络控制录播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11.支持双网口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12.前面板：1.7寸液晶面板、1路电源指示灯、2路网络指示灯、1路数据通信指示灯、1路红外接收器、1路恢复出厂按键；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13.信号接口：5路HDMI IN、1路TYPE C接口输入、1路HDMI输出、1路DP输出、1路TYPE C接口模拟UVC、1路双声道LINE IN输入、1路双声道LINE OUT输出、1路USB3.0接口、2路USB2.0接口、两路千兆RJ-45、1路DC 24V电源适配器接口；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14.控制接口：2路RS232、2路RS485、1路RS422；</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摄像机控制台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1、支持网络、模拟两种控制方式，网络模式下具有独立的IP地址；</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2、支持VISCA、ONVIF、PELCO-P、PELCO-D协议，且VISCA全兼容；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3、实现对会议摄像机的软件功能控制，具有中控功能；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4、采用变速四维摇杆进行控制，可直接控制会议摄像机全方位转动，镜头变焦放大缩小，根据摇杆控制的力度能变速控制，快慢节奏随及掌控；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5、支持IE浏览器添加配置前端设备参数；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6、支持7个摄像机快捷控制按键，具有按键声音提示开/关；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7、具有1路RS422接口、1路RS232接口、1路RJ45接口；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8、电源DC12V-2A，支持标准POE供电，功耗：≤5W。</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联合国国旗（大）</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二号旗（1600×2400mm）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面</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万国旗串</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含各成员国国旗，每串约30面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串</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国家牌（代表牌）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亚克力，双面，含底座，可更换卡纸</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法槌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木质，带底座</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投票按钮</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有线/无线，用于表决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计时器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大屏显示，可设置发言时间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高清录播主机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一.整体设计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1.为保障系统运行稳定、安全，要求移动录播主机采用嵌入式架构设计、Linux操作系统，非PC、服务器架构。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2.要求主机采用笔记本翻盖样式设计，电容液晶触控屏支持触控导播操作，并同时也内嵌有按键式导播键盘进行按键导播。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3.要求主机功能高度集成，需具备视频录制、导播、存储、直播、点播、视音频互动等多种功能于一体。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4.要求主机采用不高于36V电压进行供电，整机满载工作状态下的功耗不高于55W。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5.要求所投移动录播主机采用无风扇散热设计，产生噪声最大值≤45dB(A)。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6.要求支持无缝对接视频资源管理应用平台，实现主机录制生成的视频文件以FTP方式自动上传平台归档。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二.主机性能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1.视频输入输出：要求主机具备不少于6路视频输入接口，其中3G-SDI不少于4路、HDMI不少于1路、VGA不少于1路；具备不少于2路视频输出接口，其中3G-SDI不少于1路、HDMI不少于1路。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2.支持多种方式实现摄像机画面采集，可通过SDI高清有线视频画面采集和WIFI视频传输两种方式获取摄像机信号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3.视频编解码：支持标准H.264视频编码技术，录制视频分辨率应不低于1080P@30fps。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4.音频输入输出：要求主机具备不少于3路音频输入，其中MIC in不少于2路、Line in不少于1路；具备不少于2路音频输出，其中Line out不少于1路，耳机监听接口不少于1路。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5.音频编解码：采用AAC音频编解码协议，具备音频处理功能。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6.具备RJ45接口≥1，要求支持IPv4、IPv6双网络协议栈。提供主机IPv4、IPv6网络配置功能界面截图并加盖公章进行佐证。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7.存储容量：要求主机内置不少于1T存储，用以录制视频的本地存储使用。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8.外设接口：要求主机具备不少于4路USB接口，用连接无线网卡、鼠标、键盘等外设设备。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录播管理软件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1.出于录播主机嵌入式设计特性，要求配套的录播管理软件在出厂时内嵌于高清录播主机中。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2.软件架构：要求软件采用B/S架构，使用主流浏览器通过网络即可访问软件后台进行管理。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3.自主知识产权：要求录播管理软件具备自主知识产权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要求支持长视频分段录制的功能，可自定义视频文件分段时长，当录制课程时间较长时，可在不结束录制的条件下自动按分段时长将课程视频文件分割录制成多个视频文件，提供不分段、30分钟分段、60分钟分段三种方式可选。软件分段录制功能配置界面截图或软件配套录播主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5.要求支持U盘等外设设备接入主机后，实现本机与U盘同步录制保存的功能。主机正常录制的同时，另存为一份文件保存到U盘中。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支持摄像机云台控制技术，实现对接入摄像机的画面进行云台控制，包括画面上下左右移动、放大缩小变焦等操作。云台控制功能应具有鼠标快速定位功能，通过鼠标点击快速居中画面区域。提供云台控制功能界面截图并加盖厂商投标专用章或公章进行佐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7.要求内置音频处理模块，支持EQ均衡调节、回声抑制、增益调节及音频采样率和比特率设置。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要求支持RTMP和RTSP视频传输协议，要求支持不少于3路RTMP同步推流直播，并要求可从接入的摄像机信号和电脑信号中选择每路推流信号源进行推流，实现多流直播。提供软件功能界面截图并加盖厂家投标专用章或公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9.互动协议：支持H.323、SIP标准视音频互动协议，便捷进行远程互动教学、会议应用。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11.互动通讯录：支持对接获取互动云系统的通讯录数据，数据内容包括所有已在互动云系统注册的录播账号、录播昵称。支持通过通讯录选择互动对象直接呼叫，或手动输入录播账号进行呼叫。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发言权限控制：通过录播主机的网络导播界面，需支持主讲端在互动过程中对其余互动参与者的发言权限进行控制，支持单人禁言/开启以及全场禁言/开启的控制方式。提供对应功能的功能界面截图并加盖公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13.支持硬盘格式化功能，支持对设备异常断电、宕机造成的损坏视频文件进行修复。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1.视频输出接口：SDI≥1、HDMI≥1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2.CMOS，不小于1/2.5英寸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3.有效像素不低于207万,22倍变焦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4.水平转动速度范围：1.0° ~ 94.2°/s，垂直转动速度范围：1.0° ~ 74.8°/s，水平视场角：72.0° ~ 6.7°，垂直视场角：43.2° ~ 3.7°</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5.支持水平、垂直翻转,背光补偿,2D&amp;3D数字降噪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6.预置位数量：255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7.接口：RS232/RS422≥1,RJ45≥1,Line in≥1,USB Type-A≥1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8.支持的协议类型：VISCA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9.编码技术：视频H.265、H.264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10.电源支持：支持POC和DC12V电源适配器两种供电方式。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11.要求摄像机与录播主机为同一品牌</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高清摄像机传输处理软件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1.摄像机传输处理软件采用B/S架构，支持通用浏览器直接访问进行管理。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2.支持曝光模式设置功能，包括自动、手动。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支持抗闪烁频率、动态范围、光圈、快门参数设置。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支持自动白平衡设置功能，红、蓝增益可调。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支持噪声抑制设置功能，支持2D、3D降噪。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支持摄像机图像质量调节功能，包括亮度、对比度、色调、饱和度。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 支持摄像机控制功能，包括云台控制、预置位设置与调用、焦距调节等。</w:t>
            </w:r>
            <w:r>
              <w:rPr>
                <w:rFonts w:hint="eastAsia" w:ascii="宋体" w:hAnsi="宋体" w:cs="宋体"/>
                <w:color w:val="auto"/>
                <w:szCs w:val="21"/>
                <w:highlight w:val="none"/>
                <w:lang w:bidi="ar"/>
              </w:rPr>
              <w:br w:type="textWrapping" w:clear="all"/>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数字无线音频套装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一.腰包领夹麦克风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1.载波频段：UHF564~589MHz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2.调制方式：FM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3.输出功率：5mW/10mW可设置切换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4.振荡方式：PLL相位锁定频率合成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7.单体：背极式驻极体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8.指向性：心形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9.频率响应：50Hz-13kHz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10.灵敏度：-37dB±3dB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11.最大声压级：130dB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二.手持发射麦克风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1.载波频段：UHF512~536MHz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3.输出功率：5mW/10mW可设置切换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4.振荡方式：PLL相位锁定频率合成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7.单体动圈式音头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8.指向性心形指向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9.频率响应：70Hz-16kHz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10.灵敏度-50dB±3dB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三.手雷发射麦克风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1.频段：UHF512-536.75MHz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2.转换头：具有固定螺环的XLR插座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3.发射功率：5mW/10mW可设置切换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4.天线：外接的有线动圈式麦克风或电容式麦克风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5.振荡模式：PLL电路，频率稳定度≤±0.005%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6.显示器：具有背光的LCD，显示工作频道、频率、增益、音量、发射功率、静音、电池存量、静音开关设定、幻象电压，操作锁定及提示讯息等功能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7.输入灵敏度：-40dB、-30dB、-20dB、-10dB、0dB五段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8.幻象电源电压：+48V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9.外接麦克风输入座：标准有线麦克风XLR平衡输入母座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10.连续使用时间：＞5小时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13.频率响应：120Hz-15kHz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四.无线接收机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1.振动器类型：晶体控制锁相环合成器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2.接收频率范围：需具备双频段接收通道，通道1频率范围在512-537MHz；通道2频率范围在564-589MHz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3.频率响应：对应腰包麦克风需支持50Hz~13kHz；对应手持麦克风需支持70Hz~16kHz；对应手雷麦克风需支持120Hz~15kHz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4.信噪比≥96dB</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5.模拟输出：3极迷你插孔，不平衡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6.模拟输出电平：最大输出≥1.2V@1KHz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7.耳机输出：φ3.5mm（5/32英寸）立体声迷你插孔</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8.耳机输出电平：100mW@32Ω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无线网卡</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1.接口类型：USB3.0，向下兼容USB2.0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2.天线：内置智能天线，高增益2dBi</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3.网络标准：IEEE 802.11ac/a/b/g/n</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4.频率范围：双频(2.4GHz、5.8GHz)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5.传输速率：2.4G不小于300Mbps；5.8G不小于800Mbps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6.收发性能：支持4*4MIMO架构，4数据流并发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7.发射功率：18dBm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8.操作系统：Win XP/Win7/Win8/Win10/Vista/Linux/Mac</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摄像机支架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1.材质：铝合金；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2.管径：14~26mm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3.升高：≥150cm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4.最低高度：32cm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5.收合高度：≤45cm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6.载重：≥5kg</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设备箱/线材箱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外尺寸：L665*W490*H342mm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内尺寸：L600*W420*H（260+43）mm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颜色：黑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充电宝</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2000毫安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线材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满足系统需求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模拟联合国</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L教师工作台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1、参考尺寸：主台：1500*600*750mm，副台：1500*500*620mm;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3、台面参数：采用12mm厚纤丝抗倍特板，台面立面倒角；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台身采用静电喷涂钢架方管框架带底脚，设前挡板；副台：采用16mm厚E1级三聚氰胺环保饰面板，预留主机箱位置，配备散热孔，设三组抽屉和拉门；五金件：阻尼铰链、三节静音滑轨。(配备柜门锁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1、参考尺寸：660*590*1040mm；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2、黑色尼龙脚；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3、黑色尼龙轮；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4、黑色气杆；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5、2.5mm加厚蝴蝶底盘，可逍遥和原位锁定;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6、固定腰靠，黑色PP玻纤背框和扶手；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7、42mm密度中软高弹力切割海绵;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8、弹力座布，透气背网饰面。</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讲台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1、参考尺寸：条桌：1400×700×750mm±10mm。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柜体：600×700×1000mm±10mm。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3、台面参数：采用≥12mm厚纤丝抗倍特板，抗污染、防水、防火特性，台面立面倒角、打磨，各处光滑；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钢架：采用φ50mm（±5mm）圆管。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横梁：采用≥40×20×1.2mm方管。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右侧台身：整体采用≥18mm三聚氰胺板。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脚轮：底部配万向轮。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5、高台配备活动台面,用于放置对应的教学用具。</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1、参考尺寸：边长：700×750mm±10mm（3人桌）。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3、台面参数：采用≥12mm厚纤丝抗倍特板，抗污染、防水、防火特性，台面立面倒角、打磨，各处光滑；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立腿：钢管规格≥50×25×1.2mm框架。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台身下：书斗采用≥16mm厚E1级三聚氰胺环保板加工制作。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（颜色、尺寸根据用户现场实际情况可做适当调整）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底脚：配可调底脚。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工艺：表面喷涂阿克苏塑粉。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non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1、参考尺寸：座高440mm±10mm。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2、材质：PP+钢管。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3、坐垫:尺寸≥380×415×H120mm。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彩色PP环保塑料一体注塑成型，椅背采用提手设计；椅钢架采≥22×1.5mm圆形钢管制作，表面采用环氧树脂粉末静电喷涂处理，耐腐蚀，不易生锈；脚垫采用PP纤维质塑胶一体成型，防滑、耐用、耐摩擦，保护地板防止摩擦，所有零部件采用永久性固定方式，不会产生松散、脱落之情形。可垂直堆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需提供 PP材料 GB/T 31402-2015/ISO 22196:2007(IDT)塑料-塑料表面抗菌性能试验方法检测报告。</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地理模型展示柜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柜体：900×600×600mm±10mm。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地形地貌玻璃柜：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900×600×400mm±10mm。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地理模型展示柜：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参数：台面采用≥25mm，其他采用≥16mm三聚氰胺环保饰面板加工制作，不低于1.5mm厚塑制封边条机械封边；内设活动可调层板，采用金属层板销支撑，配合预设调节孔位；柜门配置缓冲铰链，门板顶部切梯形孔工艺，免拉手设计；成品质量结构稳固，组装严密，无松动、变形或异常声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上部地形地貌玻璃柜采用钢化玻璃制作，密封性好，安全、稳固。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地理模型展示高柜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1、参考尺寸：8250*800*2200mm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3、产品参数：采用≥16mm三聚氰胺环保饰面板加工制作，不低于1.5mm厚塑制封边条机械封边；下部板式对开门内设隔板一层，上部隔板展示造型。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中国语音立体地形图</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规格：立体模型水平比例尺不低于1：300万；尺寸不小于：2280mm×1680mm；采用PVC材料用模具热压而成，符合环保要求；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政区图、地形图合二为一，达到地图出版精度，经由专业地图出版社出版；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支持汉语、蒙语、藏语、维语及朝鲜语多种民族语言，支持版本：汉语版、蒙-汉版、藏-汉版、维-汉版、鲜-汉版（设备运行只支持一种语言版本，标配为汉语版，其他语言版本在设备出厂前据使用方实际需求而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电子点读功能：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 提供无线点读教鞭，要求电子教鞭装有特殊摄像头，具有光学图像识别功能，可识别隐形底码；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配套音箱上的无线接收器收到无线教鞭发送来的码值信息后，根据程序预先设置好的码值与语音的对应关系，把相应的语音播放出来，对相应内容进行解说。语音内容存放在无线音箱的存储卡中。存储卡使用的是现在通用的SD存储卡，容量大，并可以随时更新语音内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3）如同时配置2套及以上与本设备同品牌的语音立体地形图，使用1套无线点读教鞭及配套音箱即可实现点读播放，无需重复配置。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地图内容：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1）界线包括中国及周边国家的界线（国界），中国各级行政区划的界线（省界）。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2）行政区划要素包括中国及周边国家的首都、首府，中国各省行政区划的名称、各省行政中心的名称，国内部分重要城市的名称。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地形要素包括中国及周边国家的重要河流、湖泊、山脉、山峰、沙漠、盆地、高原、平原、丘陵、半岛、群岛、岛屿、海洋、海湾、海峡的名称及相关要素。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突出表示三大阶梯、四大高原、四大盆地、三大平原自然地理形态，综合表达中国地形的起伏形态和地理特点。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分类教学：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地图上可以按照初中版和高中版本教材资源进行分类教学。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 质量要求：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应通过国家具有地图测绘资格的相关部门审核，有唯一审图号。</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世界语音立体地形图</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规格：立体模型水平比例尺不低于1：1680万；尺寸不小于：2280mm×1680mm；采用PVC材料用模具热压而成，符合环保要求；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要求达到地图出版精度，经由专门地图出版社出版；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支持汉语、蒙语、藏语、维语及朝鲜语多种民族语言，支持版本：汉语版、蒙-汉版、藏-汉版、维-汉版、鲜-汉版（设备运行只支持一种语言版本，标配为汉语版，其他语言版本在设备出厂前据使用方实际需求而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电子点读功能：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 提供无线点读教鞭，电子教鞭装有特殊摄像头，具有光学图像识别功能，可识别隐形底码；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配套音箱上的无线接收器收到无线教鞭发送来的码值信息后，根据程序预先设置好的码值与语音的对应关系，把相应的语音播放出来，对相应内容进行解说。语音内容存放在无线音箱的存储卡中。存储卡使用的是现在通用的SD存储卡，容量大，并可以随时更新语音内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3）如同时配置2套及以上与本设备同品牌的语音立体地形图，使用1套无线点读教鞭及配套音箱即可实现点读播放，无需重复配置。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地图内容：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 世界各大洲的名称、范围、界线。中华人民共和国的名称、范围、界线。世界重要城市的名称、位置。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世界主要海洋、河流、湖泊、山脉、山峰、火山、沙漠、盆地、高原、平原、半岛、群岛、岛屿、海峡、海湾、海岭、海丘、海沟、海盆等地理要素的名称及相关要素。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世界各国的国旗和面积。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突出显示七大洲、四大洋自然地理形态，综合表达世界地形的起伏形态和地理特点。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国际日期变更线、北极圈、南极圈、北回归线、南回归线的名称和位置。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分类教学：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地图上可以按照初中版和高中版本教材资源进行分类教学。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7.质量要求：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应通过国家具有地图测绘资格的相关部门审核，有唯一审图号。</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便携式裸眼3D AI笔记本</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pStyle w:val="690"/>
              <w:ind w:left="0" w:firstLine="0"/>
              <w:rPr>
                <w:rFonts w:hint="eastAsia" w:ascii="宋体" w:hAnsi="宋体" w:cs="宋体"/>
                <w:b/>
                <w:bCs/>
                <w:color w:val="auto"/>
                <w:sz w:val="18"/>
                <w:szCs w:val="18"/>
                <w:highlight w:val="none"/>
                <w:lang w:bidi="ar"/>
              </w:rPr>
            </w:pPr>
            <w:r>
              <w:rPr>
                <w:rFonts w:hint="eastAsia" w:ascii="宋体" w:hAnsi="宋体" w:cs="宋体"/>
                <w:color w:val="auto"/>
                <w:sz w:val="18"/>
                <w:szCs w:val="18"/>
                <w:highlight w:val="none"/>
                <w:lang w:bidi="ar"/>
              </w:rPr>
              <w:t xml:space="preserve">裸眼XR便携终端，要求采用便携化设计，支持无外部供电的移动使用。要求支持基于眼球追踪定位的裸眼3D显示技术、基于光学定位的VR交互技术。使用户无需佩戴3D眼镜以裸眼方式即可体验到3D/XR的景深效果，满足用户以更为便捷的方式使用内置适用于教学的虚拟现实VR软件。</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一、技术要求</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1）3D显示：裸眼3D显示屏具有2D工作模式与3D工作模式，要求支持显示面积尺寸≤16英寸，要求显示分辨率≥3840*2160；</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2）裸眼3D显示：操作者无需佩戴3D/VR眼镜，仅通过裸眼方式即可观看到3D/VR的景深效果；配合增强现实软件观众可以通过投屏看到模型出屏效果；</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3）系统硬件配置：</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（1）CPU：性能不低于八核心十六线程；</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（2）硬盘：≥1T SSD ；</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（3）内存：≥32GB ；</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（4）端口: USB* 2个、TypeC* 2个、HDMI*1个、RJ45*1个；</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4）设备应借助可拆分式空间动捕系统和触控笔，实现对屏幕上显示的虚拟物体进行交互操作，应具备以下功能：</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（1）要求能够对VR对象进行3个自由度坐标轴移动及3个自由度坐标轴的转动；</w:t>
            </w:r>
            <w:r>
              <w:rPr>
                <w:rFonts w:hint="eastAsia" w:ascii="宋体" w:hAnsi="宋体" w:cs="宋体"/>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（2）可拆分式空间动捕系统包含至少1组红外传感器，该系统与笔记本电脑之间采用磁吸连接，在不需要使用空间动捕功能时，用户可方便的拆卸保管，以提升用户使用的便携性；</w:t>
            </w:r>
            <w:r/>
          </w:p>
          <w:p>
            <w:pPr>
              <w:pStyle w:val="690"/>
              <w:ind w:left="0" w:firstLine="0"/>
              <w:rPr>
                <w:rFonts w:hint="eastAsia" w:eastAsia="方正楷体_GB2312"/>
                <w:color w:val="auto"/>
                <w:highlight w:val="none"/>
                <w:lang w:eastAsia="zh-CN"/>
              </w:rPr>
            </w:pPr>
            <w:r>
              <w:rPr>
                <w:rFonts w:hint="eastAsia" w:ascii="宋体" w:hAnsi="宋体" w:cs="宋体"/>
                <w:color w:val="auto"/>
                <w:sz w:val="18"/>
                <w:szCs w:val="18"/>
                <w:highlight w:val="none"/>
                <w:lang w:bidi="ar"/>
              </w:rPr>
              <w:t xml:space="preserve">3.可拆分式空间动捕系统搭配空间交互笔使用，即可实现该系统对交互笔进行实时空间定位追踪，并将当前交互笔的姿态信息映射到虚拟场景，实现交互笔对XR虚拟模型的空间交互功能；</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二、运行功能</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1）系统具备3D视频播放器，可以自动识别并播放左右格式3D资源，在播放立体资源时，播放器自动开启眼球追踪系统，确保观看者在屏幕的各个视角都可以看到逼真、流畅的立体画面。</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2）为保障售后服务质量与设备日常使用维护，需内置系统监测软件。通过可视化界面操作，可以快速、便捷地对设备进行硬件及环境检测，完成功能检测、故障排查、修复等工作。</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系统监测软件需包含：</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①系统信息：实时查看系统信息、设备信息、3D功能相关程序的服务状态信息等。</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②空间定位笔的测试功能、裸眼3D效果测试功能、追踪系统测试功能等。</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3）关爱用眼，保护学生视力，系统应具备视力测试功能：</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①测试类型应包含未戴眼镜，测试裸眼视力以及佩戴眼镜测试矫正视力。</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②测试内容应包含左右眼视力测试、色盲测试、双眼平衡测试、静态立体视锐度测试，并根据测试内容出具测试结果。</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③具有视力测试记录功能，包含测试时间、测试人名称、以及测试结果查看。</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（需提供软件功能截图以验证功能。）</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4）关爱用眼，保护学生视力，系统应具备视力训练功能：</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①训练类型应包含弱视训练、近视训练。</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②视力训练应以轻松的互动小游戏形式，设置不少于5种不同类型训练游戏。根据不同视力情况，匹配不同强度刺激训练方案。</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（需提供软件功能截图以验证功能。）</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5）配套软件包含3D模型库和3D探究课件制作功能：</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（1）3D模型库：</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①允许模型进行移动、旋转、单独拆分模型部件、一键拆分复杂结构、一键还原、播放/暂停模型动画、显示/隐藏模型标签、删除模型等功能。（需提供软件功能截图以验证功能。）</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②3D模型数量≥3000，可供教学使用。</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③具备3D模型全局检索功能，支持按模型名称进行模糊查询。</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（2）3D探究课件制作：</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①支持教师新建并编辑课件，课件模块支持页面添加、删除等操作，支持保存或另存为本地。</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②支持教师导入软件内部模型到课件中使用。</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③支持添加问题笔记，包含说明模块、选择题模块、问答题模块，其中说明模块可自由编辑添加文本内容；选择题模块在编辑模式下可编辑题目和选项，其中选项可增加或减少，支持设置正确答案选项，答案选项可设置多个；问答题模块可编辑题目并设置预置答案。</w:t>
            </w:r>
            <w:r>
              <w:rPr>
                <w:rFonts w:hint="eastAsia" w:ascii="宋体" w:hAnsi="宋体" w:cs="宋体"/>
                <w:color w:val="auto"/>
                <w:sz w:val="18"/>
                <w:szCs w:val="18"/>
                <w:highlight w:val="none"/>
                <w:lang w:bidi="ar"/>
              </w:rPr>
              <w:br w:type="textWrapping" w:clear="all"/>
            </w:r>
            <w:r>
              <w:rPr>
                <w:rFonts w:hint="eastAsia" w:ascii="宋体" w:hAnsi="宋体" w:cs="宋体"/>
                <w:color w:val="auto"/>
                <w:sz w:val="18"/>
                <w:szCs w:val="18"/>
                <w:highlight w:val="none"/>
                <w:lang w:bidi="ar"/>
              </w:rPr>
              <w:t xml:space="preserve">④教师制作完成的3D探究课件后，支持另存到本地，方便拷贝到其他设备使用。</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 </w:t>
            </w:r>
            <w:r/>
          </w:p>
        </w:tc>
        <w:tc>
          <w:tcPr>
            <w:tcBorders>
              <w:top w:val="single" w:color="000000" w:sz="4" w:space="0"/>
              <w:left w:val="single" w:color="000000" w:sz="4" w:space="0"/>
              <w:bottom w:val="non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增强现实投屏套件</w:t>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软件支持与VR互动一体机的配套使用，实现增强现实的功能，将虚拟内容与现实拍摄场景叠加融合显示。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系统具备点对群展示的功能，能够实时将操作者的虚拟现实交互场景展示至大屏幕显示设备，配套外置摄像头，无需另加设备即可达到增强现实的效果。</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显示器</w:t>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24英寸显示器，2k分辨率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 </w:t>
            </w:r>
            <w:r/>
          </w:p>
        </w:tc>
        <w:tc>
          <w:tcPr>
            <w:tcBorders>
              <w:top w:val="single" w:color="000000" w:sz="4" w:space="0"/>
              <w:left w:val="single" w:color="000000" w:sz="4" w:space="0"/>
              <w:bottom w:val="non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高中地理VR探究软件</w:t>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1.系统功能要求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系统研发应依据高中地理新课标，以地理核心素养为主导，基于桌面级虚拟现实设备，通过VR、AR、MR等技术的集成，将较大时空跨度的地理景观、场景及复杂的区域地貌、人文景观以三维、动态、仿真的形式进行呈现。系统应兼顾人机交互、师生教学及生生互动等需求，应适用于地理学科教、学、研等应用场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2)软件应支持利用触控笔实现三维操控，操作者应能够观察到3D模型的出屏或景深效果；使用触控笔可虚拟“拿起”3D模型，对其进行360°观察及放大、缩小的操作，并能够对模型进行拆分与组合。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3)软件应支持球面、平面地图及动画的显示；应支持球面与平面以动画形式进行圆柱投影式切换，应展示出球面到平面投影的动态变化；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4)软件应支持地图球面、平面不同形态的图层叠加；应支持各类区域地图的图层叠加。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应提供地球公转运动的课程，应支持公转俯视视角与近距离同时观察，支持独立控制地球自转和公转，支持快速切换地球公转位置观察重要节气昼夜分布和太阳直射点位置，支持在地球上进行黄赤交角、经纬线、政区线的显示叠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6)软件应提供月相变化的演示，可模拟一月中月相变化和月亮在天空中的位置。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软件应提供热力环流课程中热力环流的模拟实验，支持选择空气柱数量和位置，支持太阳在场景中位置的选择，支持等压面弯曲方向的改变，支持空气流动方向的改变，要求场景支持构建单圈热力环流、双圈热力环流构建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8)软件应提供潮汐场景，可演示涨潮与退潮现象。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9)软件应支持世界典型自然带场景体验。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软件应提供地球历史课程中地球46亿年板块运动过程，定位不同时期大陆分布状况，支持穿越白垩纪、三叠纪、侏罗纪场景漫游，支持抓取恐龙，近距离旋转观看。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11)软件应支持地貌模型跨时空演化的3D演示过程。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12)软件应支持通过地球图层进入3D VR虚拟场景的沉浸式体验。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13)软件应提供不同时区时间差异的演示，调整时间软件能即时显示对应时区。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14)软件应提供人类至少三个时期演化的三维动态演示，要求不同时期的人类模型可支持拿取及旋转观察。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15)软件应提供一年中任意时间的全天晨昏线运动演示。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 软件应提供地域文化课程中特色建筑的场景，包括：福建土楼、欧洲乡村庄园、紫禁城、蒙古包等，支持特色建筑的搭建互动体验，搭建环节不少于14个。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17)软件应支持虚拟沙盘、情景推演，可利用自建数据模型智能模拟、计算某产业生产过程引发的数据变化，及其影响。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18)软件应支持钓鱼岛及其附属岛屿的场景漫游。</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19)软件应支持思维导图的构建。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应内置AI教学助手：应支持基于自然语言交流的交互方式，扩展当前系统当前资源主题的学习内容；应具备多轮对话能力，能够根据使用者的追问做进一步阐释，引导使用者自主思考，为教、学、研、备等教学活动提供辅助支持。</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日影观测实践套装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应支持学生测量太阳日影轨迹、长短以及探究不同时节正午太阳高度变化规律。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1）应提供日影伸缩测量杆不少于1根，应采用铝合金材质，缩短后长度≤28cm，展开后长度≥150cm；应具备三角稳定架；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2）应具备指南针杆头不少于1个，应具备水平气泡，并与测影杆衔接一体；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3）3m米尺不少于1个、量角器（中间角度线可随测量物体移动）不少于1个、绘图板不少于1个、滑石划线笔不少于1个（应带金属笔夹）；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4）实验指导手册不少于1份、实验收纳箱尺寸≥520mm*350mm*250mm。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绘制校园地图套装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应支持学生掌握地图的基本绘制方法，学会绘制校园平面图，培养学生综合思维能力和动手实践能力，支持多点位同时测量。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地图绘图工具包不少于1个、红外测距仪（70m）不少于1个、带比例尺户外测绘专用指南针不少于1个、30米皮尺不少于1个、50m无伸缩长绳不少于1个、划线笔不少于1个、450mm丁字尺不少于1个、便携绘图板尺寸≥400mm*300mm不少于1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水土流失模拟实验演示台/河流综合实验演示台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套装应支持水土流失实验、模拟地表径流实验、模拟流水侵蚀搬运及沉积作用实验、土壤污染实验；应支持探究地表植被、土质、坡度、降水强度对水土流失的影响；应通过模拟水土流失的过程，使学生更加直观地理解水土流失的成因、过程及其对环境造成的危害，培养学生地理实践力和对环境保护的意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1）产品应支持一键开启/关闭不同实验槽同步降水模式；应支持调节不同强度降水量，应包含四个降水喷头、实现两种强度降水量；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2）产品应支持不少于5种模式对比实验（应包括不同土质、不同降水强度、不同倾斜坡度、植被茂密、植被稀疏5种模式）；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3）产品应支持对实验结果称重，进行定量分析。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1）实验台应采用金属材质，尺寸≥1000mm*600mm*200mm；应支持升降改变实验槽倾斜角度，提供不少于5档角度调节；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2）实验槽应采用金属材质，不少于2个，单个尺寸≥800mm*200mm；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3）自动化模拟降水装置不少于1个，应支持切换每个实验槽上方降水量大小；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4）10升折叠桶不少于1个、铲子不少于2个、沙土样本≥1000g、黏土样本≥500g、仿真草皮不少于2张（稀疏至少各一张）、500ml量杯不少于8个、电子秤不少于1个、食用色素（单瓶规格10ml）不少于1瓶；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5）实验指导手册不少于1份，应具备收纳箱。</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太阳直射点与昼夜长短实验套装/探究地球运动活动套装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应支持演示地球运动自转方向，演示晨昏圈、演示昼夜交替过程、演示极昼极夜现象。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1）自转演示平台应支持学生自主搭建、拆分；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2）光线应覆盖地球半球，模拟太阳光的滑道应支持模拟春分、秋分、冬至、夏至日太阳高度，照射地球仪时半球位置并随之变动。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拆卸地球自转演示实验台（尺寸≥350mm*130mm）不少于1份、地球模型（直径≥140mm）不少于1个、LEW灯珠直径≥15mm、电池盒不少于1个、电池不少于2个、连接电线不少于1根、连接杆不少于1个。地球模型须具备国务院测绘地理信息行政主管部门颁发的审图号。</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制作地球仪套装/绘制地球内部结构套装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应支持学生通过动手活动了解地球形状、地球仪结构，大洲大洋分布、经纬网、地球内部圈层结构等地理知识，培养学生地理实践力。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可拆卸、磁吸地球仪（直径≥140mm）不少于1个，纯色、可涂画可擦写，地球表面应体现精细尺度的大陆、岛屿的浮雕纹理；应支持分体，地球应可切开分为两个半球，含内部圈层结构，一面印有圈层结构图，另一面空白含圈层纹理，可涂色；北半球应支持拆分四分之一角，且角块三面应体现圈层结构纹理，也可涂色；地球仪底座与地轴连接件有两个支点，应支持切换球体垂直和23.5°倾斜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2）绘图笔不少于2支、绘图颜料不少于6色、200ml塑料量杯不少于1个、圆形卡纸不少于20张。</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自制日晷演示仪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椴木层板自制。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复古青铜圭表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1.圭表规格要求：尺寸≥长500mm*高210mm，石圭底座应具备刻度尺及指北针，表应为仿青铜材质，附龙纹装饰。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2.景符规格要求：尺寸≥90mm*30mm，采用金属材质，可自由移动，应支持折叠、调节倾斜角度。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中国典型民居搭建实践套装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应支持学生搭建中国典型民居、了解建筑特色，并结合所学知识，探究学习地域文化在城乡景观上的体现。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1）产品至少应包含：窑洞搭建套装、徽派民居搭建套装、四合院搭建套装、土楼搭建套装、藏族碉楼搭建套装、新疆民居搭建套装；徽派民居搭建套装（含天井）尺寸≥300mm*210mm；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2）产品应配套提供土楼涂色实践套装，应采用环保塑料材质，尺寸≥150mm*150mm，应支持拆卸与组装，支持学生自主涂色实践；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3）应提供配套课程，课程应包含每种建筑与当地自然环境的相互关系。</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探究锋面实验活动套装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教学功能：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实验可同时应用于气候专题、水文专题学习内容：学生通过操作学具了解不同密度流体如何相互渗透，探究冷暖气团运动性质；学习密度流的成因，理解洋流运动成因、分布规律等地理知识。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产品组件：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食品级透明PC水槽不小于300mm×100mm×140mm×1个、食品级透明PC挡板不小于100mm×140mm×6mm×1个、手持量杯500ml不少于2个、数显温度探头不少于1个、高通透度食用色素不少于2瓶（红蓝各一瓶）、实验专用速溶食用盐20g不少于10袋、实验指导手册不少于2份、实验报告不少于8份。</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水循环演示实验套装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应支持学生通过操作学具演示水循环过程，了解水循环基本环节，培养学生观察、动手实践能力。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1）产品应支持在不借助电器或虚拟软件等其它辅助设备的前提下，展示真实的实验过程，完成水由液态到气态再到液态之间的转换；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2）产品应支持模拟演示海上水循环、海陆间水循环过程，气体的循环过程应实现可视化；</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3）产品应支持演示水滴凝结后在陆地山体模型上降水、地表下渗、地下径流、内流区蓄水的过程。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1）水循环演示箱不少于1个，尺寸≥600mm*260mm*300mm、顶部盒盖有花瓣镂空槽和凸起定位桩；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陆地山体模型不少于1个，尺寸≥400mm*250mm（含雪山、湖泊、地表径流、地下径流通道）；集水盘不少于1个，尺寸≥240mm*190m；冰盒（直径≥100mm）不少于2个、发热包不少于10个、防雾剂不少于1个、清洁布不少于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3）实验指导书不少于1份，应提供实验工具收纳箱。</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5907"/>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探究土壤质地实验套装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应支持学生认识沙土、壤土和黏土由于不同的结构因而具有不同的渗水性。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1）实验应满足至少3组不同土壤样本观察；</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2）实验应支持对比不同土壤的渗水性。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3）产品应支持观察土壤剖面。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土壤剖面不少于1个、过滤杯不少于3个、漏斗不少于3个、过滤纸不少于30张、100ml量杯不少于1个、20g计量勺不少于1个、滴管不少于3根、土壤500g不少于3份（沙质土、黏质土、壤土每类至少1份）要求经过烘干杀菌、土壤观察盒（尺寸≥100mm*100mm）不少于3个、放大镜不少于1个、搅拌棒不少于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2）实验指导手册不少于1份、实验收纳箱尺寸≥520mm*350mm*250mm。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工业布局推演沙盘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1）应支持学生在沙盘推演工业布局及其可能的影响，了解影响工业生产布局的主要区位因素；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2）应支持学生分析某工业部门或工业区的主导区位条件；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3）产品应提供不同工业类型模块，应支持学生在沙盘中构建工业布局，推演影响工业布局的区位因素。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1）工业布局推演沙盘地图不少于1张（尺寸≥100cm*120cm），地图上应含有自然环境及城乡基本道路；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2）人文模块不少于5种，尺寸≥70mm*70mm，应包含：城市模块、住宅区模块、电厂模块、工厂模块、环保模块；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3）交通模块：至少应包含油罐、煤矿运输、货物运输；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4）风向指示标不少于1个；diy指示牌(可自由替换标识内容、高度≥10cm)不少于2个；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5）实验指导手册不少于1份、实验收纳箱尺寸≥520mm*350mm*250mm。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冲积扇模拟实验台/模拟河流对凹岸的侵蚀作用/演示水坝对河流的调节作用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冲积扇实验台应支持师生开展模拟实验，直观观察冲积扇(流水堆积地貌)的形成过程，分析冲积扇的形成条件和特点；实验台还应支持模拟河流对凹凸岸的影响实验、演示水坝对河流的调节作用。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1）因冲积扇是个缓慢形成过程，实验应采用滴灌降水方式而非喷灌、模拟冲积扇形成的过程；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验结果应呈现河流分选性，呈现沉积规律为：较粗的颗粒先沉积，较细的颗粒后沉积，形成从扇顶到扇缘的沉积序列；扇形地貌由于水流向四周扩散，沉积物应呈扇形分布；应支持学生直观地理解冲积扇的形成过程及其与水流、地形的关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3）实验应支持演示流水对河曲形成的影响，以及对河流凹岸的侵蚀、对凸岸的沉积作用；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4）应支持水坝调节河流的实验，应支持演示丰水期、枯水期时水坝调节作用及对下游影响。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1）带基础地形的冲积扇模拟实验台1个，配套仿真地形应包含山区和沉积区。整体尺寸≥1000mm*300mm，沉积区尺寸≥500mm*220mm，应具备排水孔及排水管道；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2）应配套提供实验柜1件，用于收纳实验工具，应采用金属材质，尺寸≥1000mm*300mm；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不同粒径的砂石≥500g，包含细沙、中沙、粗沙砾三种及以上；滴水装置不少于1套，应具备过滤头，应具备定时功能，应支持自动化滴水、自动化喷灌两种模式；5L可折叠水桶不少于2个；超轻黏土不少于100g、喷壶不少于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4）实验指导手册不少于1份、应提供实验组件收纳盒。</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模拟洋流成因实验套装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1.教学功能要求：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应支持洋流成因探究学习，实验应支持展示至少三组实验：风海流实验、密度流实验、补偿流实验；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1）风海流实验展示要求：水面静态时，漂浮物不动；有风吹动后，漂浮物大规模朝一侧运动；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2）密度流实验展示要求：不同密度流体被隔水板分隔在两侧，抽离隔水板不同密度流体相遇并呈现明显分层；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3）补偿流实验展示要求：水面静态时，沉积物几乎沉积在水下或水底部位；有风吹动后，沉积物由水下或水底上涌。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2.产品组件要求：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透明实验水槽不少于1个、透明挡板周边含密封圈不少于1个、500ml量杯不少于2个、数显温度探头不少于1个（-30℃~+200℃）、食用色素不少于2瓶（红蓝各至少一瓶）、实验专用速溶食用盐不少于10袋、可调风量大小的吹风装置不少于1个、漂流物（直径*高度约为50mm*100mm）不少于1瓶、颗粒状沉淀物（直径*高度约为50mm*100mm）不少于1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2）实验指导手册不少于1份、实验收纳箱尺寸≥520mm*350mm*250mm。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规格：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PC聚碳酸脂强化镜片，强抗冲击力，高透光率边框采用ABS；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眉棱及侧翼防护设计，阻挡上面及侧面飞来的颗粒、液体，为眼部提供全面的保护。镜腿可伸缩长短能够适合各种脸型人群使用；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适用范围：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适用所有交互实验，在实验过程中保护学生眼睛。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冰川地貌模型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1.规格:600*400mm，允许实测尺寸±20mm，采用高分子材料精制而成，仿真微缩内容完整充实、紧扣教材。仿真微缩内容包括:U形谷、冰川、冰碛物、冰斗、角峰、刃脊。</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丹霞地貌模型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1.规格:600*400mm，允许实测尺寸±20mm，采用高分子材料精制而成、仿真微缩内容完整充实、紧扣教材。包括:巨红色的几乎呈水平状的砂砾岩层、垂直节理发育形成丹霞地貌，有直立状、堡状、宝塔状等等。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风蚀地貌模型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1.规格:600*400mm，允许实测尺寸±20mm，采用高分子材料精制而成，仿真微缩内容完整充实、紧扣教材。包括:风蚀城堡，风蚀蘑菇，风蚀洼地，新月形沙丘，戈壁。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梯田模型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1.规格:600*400mm，允许实测尺寸±20mm，采用高分子材料精制而成，仿真微缩内容完整充实、紧扣教材。包括:分段沿等高线建造的梯田。采用高分子材料精制而成，仿真微缩内容完整充实、紧扣教材。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地下水模型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1.规格:600*400mm，允许实测尺寸±20mm，采用高分子材料精制而成、仿真微缩内容完整充实、紧扣教材包括:自流井。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黄土地貌模型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1.规格:600*400mm，允许实测尺寸±20mm，采用高分子材料精制而成、仿真微缩内容完整充实、紧扣教材包括:冲沟、河谷、黄土墚、黄土塬、黄土峁及窑洞。</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海岸地貌模型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1.规格:600*400mm，允许实测尺寸±20mm，采用高分子材料精制而成、仿真微缩内容完整充实、紧扣教材包括:海蚀崖、海蚀洞、海蚀柱、海蚀拱桥、沙滩。</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五种地形模型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1.规格:600*400mm，允许实测尺寸±20mm，采用高分子材料精制而成、仿真微缩内容完整充实、紧扣教材包括:高原、山地、平原、丘陵和盆地。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喀斯特地貌模型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1.规格:600*400mm，允许实测尺寸±20mm，采用高分子材料精制而成、仿真微缩内容完整充实、紧扣教材包括:石林、落水洞、地面河、溶洞、暗河、钟乳石、石笋。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地上河模型</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1.规格:600*400mm，允许实测尺寸±20mm，采用高分子材料精制而成、仿真微缩内容完整充实、紧扣教材包括:黄河地上河最主要的特征、平原及地上河、路桥。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平面地形地球仪</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产品规格≥Φ32cm，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1.产品由球体和支架等组成。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2.平面比例尺≥1:40000000。</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平面政区地球仪</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产品规格≥Φ32cm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1.产品由球体和支架等组成。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2.平面比例尺≥1:40000000。</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岩石矿物标本</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规格：单盒装，单块标本尺寸约2*3*2cm左右；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标本种类：至少包含三大类岩石(岩浆岩、变质岩、沉积岩)，常见矿物(磁铁矿、黑钨矿、蓝铜矿、方铅矿、滑石、石英、云母、正长石、方解石、斜长石、磷灰石等)</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土壤标本</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至少包含：砖红壤、红壤土、紫色土、黑钙土、水稻土。</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地理教室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历史教师桌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参考尺寸：1800×700×750mm±10mm。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1、实木结构：榆木。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2、台面参数：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台面厚度：≥35mm。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3、桌身参数：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桌腿：采用≥32×32mm木方制作。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榫卯结构，搭配插接活动隔板、传统格栅型制挡板、艺术造型门板、纯铜五金件；涂装采用高级木蜡油擦磨工艺，无甲醛。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[可多色选择]（优于油漆工艺）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学生历史桌</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参考尺寸：1300×600×750mm±10mm。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1、台面参数：台面厚度35mm，密度板贴实木皮，其中两侧翘头尺寸为600×70×40mm。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3、桌身参数：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桌腿：采用≥50×40mm的框架制作，外侧圆角处理。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中立柱：≥20×20mm4根。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桌腿铣凹面轮廓造型。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学生历史凳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参考尺寸：420×360×420mm±10mm。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1、台面参数：凳面厚≥30mm，整体榆木制作。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2、凳身参数：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凳腿：采用≥40×30mm的框架制作，外侧圆角处理。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中立柱：≥25×20mm3根。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凳腿铣凹面轮廓造型。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3、工艺：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整体使用天然植物精炼木蜡油，不含甲醛。</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史地模型展示柜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柜体：900×600×600mm±10mm。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地形地貌玻璃柜：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900×600×400mm±10mm。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地理模型展示柜：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参数：台面采用≥25mm，其他采用≥16mm三聚氰胺环保饰面板加工制作，不低于1.5mm厚塑制封边条机械封边；内设活动可调层板，采用金属层板销支撑，配合预设调节孔位；柜门配置缓冲铰链，门板顶部切梯形孔工艺，免拉手设计；成品质量结构稳固，组装严密，无松动、变形或异常声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上部地形地貌玻璃柜采用钢化玻璃制作，密封性好，安全、稳固。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地理模型展示高柜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1、参考尺寸：8250*800*2200mm；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2、产品结构：板式结构；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3、产品参数：采用≥16mm三聚氰胺环保饰面板加工制作，不低于1.5mm厚塑制封边条机械封边；下部板式对开门内设隔板一层，上部隔板展示造型。</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文化卷帘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高清环保油墨印刷，高遮光，涤纶材质，立体面料，双面防水涂层，POM拉珠升降，铝合金上下卷管。图案内容根据成品模板或采购人要求内容进行定制设计。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室内文化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1、含资料收集、整理；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2、包含设计、制作、安装一体；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3、材料包含：pvc、亚克力等材质结合，具体方案与学校对接后定制。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便携式裸眼3D AI笔记本</w:t>
            </w:r>
            <w:r/>
          </w:p>
        </w:tc>
        <w:tc>
          <w:tcPr>
            <w:tcBorders>
              <w:top w:val="single" w:color="000000" w:sz="4" w:space="0"/>
              <w:left w:val="singl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裸眼XR便携终端，要求采用便携化设计，支持无外部供电的移动使用。要求支持基于眼球追踪定位的裸眼3D显示技术、基于光学定位的VR交互技术。使用户无需佩戴3D眼镜以裸眼方式即可体验到3D/XR的景深效果，满足用户以更为便捷的方式使用内置适用于教学的虚拟现实VR软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一、技术要求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1）3D显示：裸眼3D显示屏具有2D工作模式与3D工作模式，要求支持显示面积尺寸≤16英寸，要求显示分辨率≥3840*2160；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2）裸眼3D显示：操作者无需佩戴3D/VR眼镜，仅通过裸眼方式即可观看到3D/VR的景深效果；配合增强现实软件观众可以通过投屏看到模型出屏效果；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3）系统硬件配置：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（1）CPU：性能不低于八核心十六线程；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（2）硬盘：≥1T SSD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（3）内存：≥32GB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（4）端口: USB* 2个、TypeC* 2个、HDMI*1个、RJ45*1个；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4）设备应借助可拆分式空间动捕系统和触控笔，实现对屏幕上显示的虚拟物体进行交互操作，应具备以下功能：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（1）要求能够对VR对象进行3个自由度坐标轴移动及3个自由度坐标轴的转动；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（2）可拆分式空间动捕系统包含至少1组红外传感器，该系统与笔记本电脑之间采用磁吸连接，在不需要使用空间动捕功能时，用户可方便的拆卸保管，以提升用户使用的便携性；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3.可拆分式空间动捕系统搭配空间交互笔使用，即可实现该系统对交互笔进行实时空间定位追踪，并将当前交互笔的姿态信息映射到虚拟场景，实现交互笔对XR虚拟模型的空间交互功能；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二、运行功能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1）系统具备3D视频播放器，可以自动识别并播放左右格式3D资源，在播放立体资源时，播放器自动开启眼球追踪系统，确保观看者在屏幕的各个视角都可以看到逼真、流畅的立体画面。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2）为保障售后服务质量与设备日常使用维护，需内置系统监测软件。通过可视化界面操作，可以快速、便捷地对设备进行硬件及环境检测，完成功能检测、故障排查、修复等工作。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系统监测软件需包含：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①系统信息：实时查看系统信息、设备信息、3D功能相关程序的服务状态信息等。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②空间定位笔的测试功能、裸眼3D效果测试功能、追踪系统测试功能等。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3）关爱用眼，保护学生视力，系统应具备视力测试功能：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①测试类型应包含未戴眼镜，测试裸眼视力以及佩戴眼镜测试矫正视力。</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②测试内容应包含左右眼视力测试、色盲测试、双眼平衡测试、静态立体视锐度测试，并根据测试内容出具测试结果。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③具有视力测试记录功能，包含测试时间、测试人名称、以及测试结果查看。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4）关爱用眼，保护学生视力，系统应具备视力训练功能：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①训练类型应包含弱视训练、近视训练。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②视力训练应以轻松的互动小游戏形式，设置不少于5种不同类型训练游戏。根据不同视力情况，匹配不同强度刺激训练方案。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5）配套软件包含3D模型库和3D探究课件制作功能：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（1）3D模型库：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①允许模型进行移动、旋转、单独拆分模型部件、一键拆分复杂结构、一键还原、播放/暂停模型动画、显示/隐藏模型标签、删除模型等功能。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②3D模型数量≥3000，可供教学使用。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③具备3D模型全局检索功能，支持按模型名称进行模糊查询。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（2）3D探究课件制作：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①支持教师新建并编辑课件，课件模块支持页面添加、删除等操作，支持保存或另存为本地。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②支持教师导入软件内部模型到课件中使用。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③支持添加问题笔记，包含说明模块、选择题模块、问答题模块，其中说明模块可自由编辑添加文本内容；选择题模块在编辑模式下可编辑题目和选项，其中选项可增加或减少，支持设置正确答案选项，答案选项可设置多个；问答题模块可编辑题目并设置预置答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④教师制作完成的3D探究课件后，支持另存到本地，方便拷贝到其他设备使用。</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non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增强现实投屏套件</w:t>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软件支持与VR互动一体机的配套使用，实现增强现实的功能，将虚拟内容与现实拍摄场景叠加融合显示。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系统具备点对群展示的功能，能够实时将操作者的虚拟现实交互场景展示至大屏幕显示设备，配套外置摄像头，无需另加设备即可达到增强现实的效果。</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显示器</w:t>
            </w:r>
            <w:r/>
          </w:p>
        </w:tc>
        <w:tc>
          <w:tcPr>
            <w:tcBorders>
              <w:top w:val="single" w:color="000000" w:sz="4" w:space="0"/>
              <w:left w:val="single" w:color="000000" w:sz="4" w:space="0"/>
              <w:bottom w:val="non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24英寸显示器，2k分辨率</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高中历史VR探究软件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1.系统功能要求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历史VR教学系统需按照《普通高中历史课程标准》要求，涵盖统编高中历史教科书《中外历史纲要》上下册内容，软件对3D历史地图、3D历史场景、知识结构、时间轴、实物史料、文献史料、图像史料、历史解释等历史教学素材和资源进行系统整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2)软件应支持利用触控笔实现三维操控，操作者应能够观察到3D模型的出屏或景深效果；使用触控笔可虚拟“拿起”3D模型，对其进行360°观察及放大、缩小的操作，并能够对模型进行拆分与组合。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软件应支持展示、备课、授课三种应用模式的选择。备课模式下，可一键导入PPT课件，自由组合编辑系统中的各类资源,将自有资源与系统资源相互关联，实现知识结构图与其他类型资源、时间轴与历史地图组合、文献材料与3D历史文物模型等多种组合。在授课模式下，可播放备课模式下生成的课件，使用者可通过抓取、旋转、缩放、拖动等交互操作，灵活调取展示各类备课资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4)软件在备课/授课应用模式下，要求提供不少于45个自制3D课件。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5)软件应支持使用者以单元或课为单位进行示课。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6)软件应支持实物展示时文物的简介描述、尺寸显示、细节说明以及相应动画、视频和拓展交互；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7)软件应可展示3D历史场景，应支持场景内部的知识链接、3D旋转、大小放缩、位置移动、全息浏览、人机交互等功能。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8)软件应可展示3D历史地图（静态地图、动画效果），地图中应包含时间、位置及相关知识点等内容，地图应支持缩放显示。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9)软件应支持同一专题下多张历史地图的合成展示，支持同一张地图上切换不同知识点的地理展示。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10)软件应具备中国历史时间轴、本课时间轴，并支持中国历史时间轴、本课时间轴在同一课中切换。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11)软件应具备世界历史时间轴，应支持时间轴的拖动查看，支持每课目下本课或本单元时间轴与世界历史时间轴的切换，支持本课或本单元时间轴中进行中外对比，支持每课或每单元时间轴的缩放、拖动等操作。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12)软件应可展示动态知识结构板书、静态知识结构导图。</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13)软件应可展示实物、文献、图像等不同类型史料，并应支持缩放显示控制。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14)软件应可展示单元目录及课次目录两种目录。</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15)软件应支持古代风、近代风和现代风三种界面风格的选择与切换。</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16)高中版软件应按册提供用户操作手册和教学指导手册，其中用户手册应包括系统介绍、系统要求及软件操作说明等；教学指导手册应包括单元或每课的资源内容、活动设计或教学建议等，要求不少于180页。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软件应具备良渚遗址场景，应包含瑶山祭坛、外围水利系统、城墙与内外城等五大模块，应支持通过不同场景的切换实现漫游，应支持通过抓取、旋转、缩放等交互操作，对文物模型进行360度细节观察，并通过点击触发动画演示，了解良渚古城的空间规划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软件应具备还原航船从西班牙出发的虚拟场景，应支持以任务探究的方式串联知识点，引导体验者主动学习相关内容，可通过内外部的切换实现场景漫游，结合点击、移动等操作全方位沉浸式感受15世纪末16世纪初航船的历史情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应内置AI教学助手：应支持基于自然语言交流的交互方式，扩展当前系统当前资源主题的学习内容；应具备多轮对话能力，能够根据使用者的追问做进一步阐释，引导使用者自主思考，为教、学、研、备等教学活动提供辅助支持。</w:t>
            </w:r>
            <w:r/>
          </w:p>
        </w:tc>
        <w:tc>
          <w:tcPr>
            <w:tcBorders>
              <w:top w:val="single" w:color="000000" w:sz="4" w:space="0"/>
              <w:left w:val="single" w:color="000000" w:sz="4" w:space="0"/>
              <w:bottom w:val="non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古代农耕篇课程套装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一、设计要求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二、规格要求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本套装应支持劳动教育课程软件系统中《劳动与文明》系列不少于4节课程的教学需求，套装应提供直辕犁、曲辕犁、秧马、耧车模型的制作物料，制作后的模型规格应不小于：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直辕犁：210*8*135mm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曲辕犁：190*130*8mm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秧马：145*80*45mm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耧车：245*120*85mm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（允许误差±3mm）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三、套装内应包含学生制作所需材料包不少于4个，每个材料包内应包含结构主材、辅材和工具。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1、主材包应为环保密度板。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2、配套辅材：绳子/圆木棒等。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3、配套工具：胶水、砂纸片等。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古代汲水篇课程套装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一、设计要求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二、规格要求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本套装应支持劳动教育课程软件系统中《劳动与文明》系列不少于4节课程的教学需求，套装应提供桔槔、辘轳井、鹤饮、龙骨水车模型的制作物料，制作后的模型规格应不小于：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桔槔：195*750*220mm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辘轳井：100*80*135mm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鹤饮：175*15*125mm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龙骨水车：175*15*125mm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（允许误差±3mm）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三、套装内应包含学生制作所需材料包不少于4个，每个材料包内应包含结构主材、辅材和工具。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1、主材包应为环保密度板。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2、配套辅材：绳子、水桶、圆木棒、皮筋等。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3、配套工具：胶水、砂纸片等。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古代粮食加工篇课程套装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一、设计要求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二、规格要求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本套装应支持劳动教育课程软件系统中《劳动与文明》系列不少于4节课程的教学需求，套装应提供踏碓、碾子、风扇车、水碓模型的制作物料，制作后的模型规格应不小于：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踏碓：160*85*70mm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碾子：φ95*70mm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风扇车：180*80*125mm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水碓：160*120*120mm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（允许误差±3mm）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三、套装内应包含学生制作所需材料包不少于4个，每个材料包内应包含结构主材、辅材和工具。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1、主材包应为环保密度板。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2、配套辅材：绳子、圆木棒、皮筋等。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3、配套工具：胶水、砂纸片等。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《劳动与文明-古代科技篇1》课程套装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一、设计要求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二、规格要求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本套装应支持劳动教育课程软件系统中《劳动与文明》系列不少于4节课程的教学需求，套装应提供独轮车、风箱、日晷、榫卯柴门模型的制作物料，制作后的模型规格应不小于：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独轮车：125*120*65mm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风箱：160*75*60mm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日晷：155*135*35mm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榫卯柴门：160*120*110mm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（允许误差±3mm）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三、套装内应包含学生制作所需材料包不少于4个，每个材料包内应包含结构主材、辅材和工具。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1、主材包应为环保密度板。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2、配套辅材：绳子、圆木棒、门环、竹棍、毡布、螺栓组等。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3、配套工具：胶水、砂纸片等。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古代度量衡篇课程套装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一、设计要求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榫卯是中国传统建筑的智慧所在，也是传统木工工艺水平的重要体现。因传统榫卯制作对于学生难度较大，所提供的套装设计应基于学生实际动手能力，有效解决榫卯制作难的问题，让学生可以相对容易的做出榫卯结构、直观体会榫卯的科技内涵、激发学生的学习兴趣，从而使学生能够更好的领略中国传统建筑中的连接智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二、规格要求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本套装应支持劳动教育课程软件系统中《劳动与文明》系列不少于4节课程的教学需求，套装应提供方升、中国杆秤、汉朝卡尺、天平模型的制作物料，制作后的模型规格应不小于：</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方升：187*125*23mm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中国杆秤：280*100*50mm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汉朝卡尺：220*90*12mm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天平：210*84*73mm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（允许误差±3mm）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三、套装内应包含学生制作所需材料包不少于4个，每个材料包内应包含结构主材、辅材和工具。</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1、主材包应为环保密度板。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2、配套辅材：绳子、圆木棒等。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3、配套工具：胶水、砂纸片等。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历史配套书籍及地图，年表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1、历史书籍、杂志（《国家人文历史》、《中国通史》《世界通史》）各1套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2、世界地图、中国地图：800*600mm；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3、中国朝代示意图（或大事年表），世界史大事年表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古风屏风</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竹藤工艺屏风，1800*500mm，三折叠。</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移动白板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1200*900mm可移动白板，可升降翻转。</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历史文化与文创配套设备</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含文物修复、皮影DIY、非遗宋金diy小团扇、拓印、京剧脸谱diy帆布包、非遗螺钿拼画、非遗锡纸画各1套。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 </w:t>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历史模型 与标本</w:t>
            </w:r>
            <w:r/>
          </w:p>
        </w:tc>
        <w:tc>
          <w:tcPr>
            <w:shd w:val="clear" w:color="auto" w:fill="ffffff"/>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1、《清明上河图》手卷装裱。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 陆机《平复帖》（西晋），手卷装裱。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4、后母戊鼎（商）材质：锌铜合金；规格不小于：长18cm、宽14cm、高22cm，实际测量尺寸误差不超过1cm；按照原物1:6进行仿制。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5、四羊方尊（商）锌铜合金；规格不小于：高20.5cm、口径15cm，实际测量尺寸误差不超过1cm；按照和实物5:2的比例仿制。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6、金兽（西汉），广陵王玺金印（东汉）仿制套装。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7、釉里红岁寒三友梅瓶（明），瓷器。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9、商鞅方升（战国·秦），仿古青铜器，铜；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规格不小于：高3cm、长19cm、宽7cm，实际测量尺寸误差不超过1cm。最早的度量衡产品，按照实物1:1仿制。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10、秦始皇兵马俑（秦）陶制；规格不小于：长7cm，高15cm。四兵一马，实际测量尺寸误差不超过1cm。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12、秦陵铜车马（秦）模型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13、三彩骆驼载乐俑，陶制。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历史教室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物联网MIX种植机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总体描述：可用于叶菜类、花卉类、果菜类等植物的种植。最下层提供多功能空间，空间高度455mm，可用于给基质盆栽、多肉补光，也可以配合育苗盘，作为育苗层用，每批次可育苗200棵。</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1.产品尺寸：698mm*382mm*1584mm；种植层数：3层；材质：食品级PP+PVC+ABS+铝合金+木板；线材灯具IP65防水。设备底部配有移动滑轮，便于移动教学与展示等场景。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2.种植机结构: 模块化设计，相同种植模块或不同种植模块可一层至多层灵活组合，可任意增减层数，上下层无固定搭建顺序。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通信方式：wifi2.4G，ZigBee：IEEE802.15.4。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控制APP：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 提供多种蔬果、花卉、中草药种植方案，从育苗到采收，手把手指导种植。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 可远程控制、自动控制、联动控制所有相关物联网设备（灯光、水泵、空调、加湿除湿等）。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c) 可设置多种管理模式，一人可以管理多台设备，一台设备也可由多人管理。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d) 可以对设备进行分组，支持三层分组：学校、班级、小组设备。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e) 可以自由设置多种联动场景（比如温度高于28℃，开启空调）。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f) 可实现各项数据和设备状态的异常报警功能，并可自定义报警等级（支持APP报警、短信报警、电话报警）。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g) 营养液在线调配教程、营养液使用全程指导。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h) 在线升级各项种植教程和数据。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i) 可以回看往期数据，并可下载以往数据，最多支持3个月。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植物生长灯：L600mm×（Φ30mm/φ50mm），23w，发光角120°；每层一根生长灯。定制生长光谱，多功能层定制全光谱，其他层生长光谱红蓝比例2.0:1-4.0:1，蓝光波峰460nm，红光波峰660nm，连续光谱，无频闪，最高有效光子密度PPFD≥200umos/m2.s（22cm层间高度）。交流电：220V 。灯具使用环境-10℃-40℃；寿命20000H。防护等级：IP65，防水接线，秒拆安装。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灯具控制模块：输入220V 50Hz，输出：220V，负载：10A。通信方式： ZigBee：IEEE802.15.4，可与其他物联网设备联动控制。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 灯座：灯管免工具简易拆卸即插式快捷安装，每平层有3个灯光安装位，不同功率的灯具可在任一安装位安装。可根据种植需要提供高低2种不同功率的灯具（低功率灯具在8～18W、高功率灯在20～30W），高低功率可直接在灯光安装位置互换，灯具数量与功率可形成多种组合形式，支持每平层同种光谱下至少10种不同光强组合，便于学生完成光配方对比实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隐藏式水路，上下水管内置于设备立柱。隐藏式电路，灯具电线内置于设备立柱，电线为防水秒接线。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 物联网智能控制：支持接入多种传感设备，如温度、湿度、光照、CO2.营养液EC、pH、DO等传感器，实时监测相关环境参数。每层补光灯、水循环、潮汐水位设定、摄像头、对流小风扇开启等均可支持主流操作系统（如Android、iOS、HarmonyOS等）的手机APP进行远程控制。提供数据记录和分析功能，支持实验数据的收集、存储和导出，辅助教学和研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营养液供液模式：采用机械增氧，瀑布式供液，让营养液与空气充分搅拌，含氧量≥6mg/kg。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 物联网多路灌溉系统：含物联网水泵控制模块。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水泵：（45±2）mm*（60±2）mm*（100±10）mm；额定电压DC12V，额定功率8-12W，出水口规格φ8mm。最大扬程≥3m，最大流量≥400L/h。进水口带过滤棉、静音水泵、缓启动、耐磨轴承、带减震盘。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多路物联网控制模块：五路控制，实现物联网控制功能，APP控制，可自定义水循环开启模式。具有识别水箱功能、缺水报警功能、水泵过滤棉堵塞报警功能、缺水自动切断电源功能。支持分级报警，使用者可自定义报警风险等级，支持APP、短信、电话三种报警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水泵智能灌溉与预警多重保护系统：防干烧机制（缺水自动断电，保护水泵）；缺水临界点防频繁启停机制（水泵会等水量充足才会再次开启，保护水泵）；多级缺水预警机制（第一次缺水报警至完全缺水状态，持续不低于4天时间，此期间水泵会持续循环检测水量，提供多次报警，给养护者预留充足时间补水，防止植物突然干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13.可独立控制供液循环，每台设备提供1个水箱，水箱尺寸：400m*300mm*280m。 水箱与种植机无接触组合，无水管连接，可直接抽出水箱清洗，无需拆解种植机，同时可开展潮汐、浅液流NFT、深液流DFT等不同灌溉模式。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14.一键执行功能:可通过APP设置单层、多层、单台、多台、整个种植间的灯具、水泵、风扇、杀菌灯等所需单个或多个设备的一键开启或关闭。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15.多场景种植模式：支持单台种植机快捷一键设置功能，可一键开启或关闭预设种植模式，快速设置种植设备（如LED灯控、水泵、风扇、杀菌灯）的定时策略。同时也支持自定义设置单个设备的开关、定时管理。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物联网水培种植机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总体描述：可用于较高植株叶菜类、花卉类、果菜类等植物的种植。同一台设备上各层之间统一供液。可同时分组探究不同光照条件、不同灌溉模式等实验变量对植物生长影响的对照实验。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1.产品尺寸：698*382*1569mm；种植层数：2层；材质：食品级PP+PVC+ABS+铝合金+木板；线材灯具IP65防水。设备底部配有移动滑轮，便于移动教学与展示等场景。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2.种植机结构: 模块化设计，相同种植模块或不同种植模块可一层至多层灵活组合，可任意增减层数，上下层无固定搭建顺序。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 通信方式：wifi2.4G，ZigBee：IEEE802.15.4。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 控制APP：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 提供多种蔬果、花卉、中草药种植方案，从育苗到采收，手把手指导种植。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 可远程控制、自动控制、联动控制所有相关物联网设备（灯光、水泵、空调、加湿除湿等）。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c) 可设置多种管理模式，一人可以管理多台设备，一台设备也可由多人管理。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d) 可以对设备进行分组，支持三层分组：学校、班级、小组设备。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e) 可以自由设置多种联动场景（比如温度高于28℃，开启空调）。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f) 可实现各项数据和设备状态的异常报警功能，并可自定义报警等级（支持APP报警、短信报警、电话报警）。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g) 营养液在线调配教程、营养液使用全程指导。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h) 在线升级各项种植教程和数据。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i) 可以回看往期数据，并可下载以往数据，最多支持3个月。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 植物生长灯：L600mm×（Φ30mm/φ50mm），23w，发光角120°；每层2根生长灯。定制生长光谱，生长光谱红蓝比例2.0:1-4.0:1，蓝光波峰460nm，红光波峰660nm，连续光谱，无频闪，最高有效光子密度PPFD≥200umos/m2.s（22cm层间高度）。交流电：220V 。灯具使用环境-10℃-40℃；寿命20000H。防护等级：IP65，防水接线，秒拆安装。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 灯具控制模块：输入220V 50Hz，输出：220V，负载：10A。通信方式： ZigBee：IEEE802.15.4，可与其他物联网设备联动控制。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 灯座：灯管免工具简易拆卸即插式快捷安装，每平层有3个灯光安装位，不同功率的灯具可在任一安装位安装。可根据种植需要提供高低2种不同功率的灯具（低功率灯具在8～18W、高功率灯在20～30W），高低功率可直接在灯光安装位置互换，灯具数量与功率可形成多种组合形式，支持每平层同种光谱下至少10种不同光强组合，便于学生完成光配方对比实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 隐藏式水路，上下水管内置于设备立柱。隐藏式电路，灯具电线内置于设备立柱，电线为防水秒接线。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 物联网智能控制：支持接入多种传感设备，如温度、湿度、光照、CO2.营养液EC、pH、DO等传感器，实时监测相关环境参数。每层补光灯、水循环、潮汐水位设定、摄像头、对流小风扇开启等均可支持主流操作系统（如Android、iOS、HarmonyOS等）的手机APP进行远程控制。提供数据记录和分析功能，支持实验数据的收集、存储和导出，辅助教学和研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 营养液供液模式：采用机械增氧，瀑布式供液，让营养液与空气充分搅拌，含氧量≥6mg/kg。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 物联网多路灌溉系统：含物联网水泵控制模块。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水泵：（45±2）mm*（60±2）mm*（100±10）mm；额定电压DC12V，额定功率8-12W，出水口规格φ8mm。最大扬程≥3m，最大流量≥400L/h。进水口带过滤棉、静音水泵、缓启动、耐磨轴承、带减震盘。</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多路物联网控制模块：五路控制，实现物联网控制功能，APP控制，可自定义水循环开启模式。具有识别水箱功能、缺水报警功能、水泵过滤棉堵塞报警功能、缺水自动切断电源功能。支持分级报警，使用者可自定义报警风险等级，支持APP、短信、电话三种报警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水泵智能灌溉与预警多重保护系统：防干烧机制（缺水自动断电，保护水泵）；缺水临界点防频繁启停机制（水泵会等水量充足才会再次开启，保护水泵）；多级缺水预警机制（第一次缺水报警至完全缺水状态，持续不低于4天时间，此期间水泵会持续循环检测水量，提供多次报警，给养护者预留充足时间补水，防止植物突然干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13.可独立控制供液循环，每台设备提供1个水箱，水箱尺寸：400m*300mm*280m。 水箱与种植机无接触组合，无水管连接，可直接抽出水箱清洗，无需拆解种植机，同时可开展潮汐、浅液流NFT、深液流DFT等不同灌溉模式。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14.一键执行功能:可通过APP设置单层、多层、单台、多台、整个种植间的灯具、水泵、风扇、杀菌灯等所需单个或多个设备的一键开启或关闭。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15.多场景种植模式：支持单台种植机快捷一键设置功能，可一键开启或关闭预设种植模式，快速设置种植设备（如LED灯控、水泵、风扇、杀菌灯）的定时策略。同时也支持自定义设置单个设备的开关、定时管理。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16.提供水培种植机种植层原材料检测报告，依据标准GB 31604.49，种植层模块即种植机与水体、植物接触部件所用原材料，其砷、镉、铬、铅重金属含量应符合国家食品接触用塑料材料及制品安全标准，且砷(As)、镉(Cd)、铬(Cr)、铅(Pb)均不得检出；种植模组通体不含金属零件，线材IP65防水、阻燃，符合GB/T 7000.1-2023、GB/T 5226.1-2019。</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桌面种植机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总体描述：桌面式水培种植机集无土栽培、智能供氧、光照调节功能于一体，适配桌面轻量种植，可满足学校校园科普、课堂教学的水培实验与种植实践需求，操作简便且易观察生长过程。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技术参数：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尺寸276mm*167mm*285mm-470mm（灯光高度可调节L）；水箱容积5L，种植孔数16孔；2.4GHz wifi联网功能；电压与功率24V1A，24W；种植最佳温度范围15℃-25℃。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物联网功能参数：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1.提供一键种植系统，可以一键设置启停最佳光谱、亮度、灯光定时、水泵定时。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2.含缺水报警功能。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3.叶菜、果菜光谱可调。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4.灯光亮度10级调节，灯光高度可调，满足不同高度植物及不同光强度的需求。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5.光照总时长可定时，开启关闭时间自定义。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6.种植天数记录功能。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7含增氧水泵，无需设定时间，自动水循环保持水中含氧量，有效防止植物烂根。</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8控制APP/小程序：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a) 提供多种蔬果、花卉、中草药种植方案，从育苗到采收，手把手指导种植。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b) 可远程控制、自动控制、联动控制所有相关物联网设备（灯光、水泵、空调、加湿除湿等）。</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c) 可设置多种管理模式，一人可以管理多台设备，一台设备也可由多人管理。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d) 可以对设备进行分组，支持三层分组：学校、班级、小组设备。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e) 可以自由设置多种联动场景（比如温度高于28℃，开启空调）。</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f) 可实现各项数据和设备状态的异常报警功能，并可自定义报警等级。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g) 营养液在线自动计算、调配教程、营养液使用全程指导。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h) 在线升级各项种植教程和数据。</w:t>
            </w:r>
            <w:r/>
          </w:p>
          <w:p>
            <w:pPr>
              <w:jc w:val="left"/>
              <w:widowControl/>
              <w:rPr>
                <w:rFonts w:hint="eastAsia" w:ascii="宋体" w:hAnsi="宋体" w:cs="宋体"/>
                <w:color w:val="auto"/>
                <w:szCs w:val="21"/>
                <w:highlight w:val="none"/>
                <w:lang w:bidi="ar"/>
              </w:rPr>
            </w:pPr>
            <w:r>
              <w:rPr>
                <w:rFonts w:hint="eastAsia" w:ascii="宋体" w:hAnsi="宋体" w:cs="宋体"/>
                <w:b/>
                <w:bCs/>
                <w:color w:val="auto"/>
                <w:sz w:val="18"/>
                <w:szCs w:val="18"/>
                <w:highlight w:val="none"/>
                <w:lang w:bidi="ar"/>
              </w:rPr>
              <w:t xml:space="preserve">▲提供</w:t>
            </w:r>
            <w:r>
              <w:rPr>
                <w:rFonts w:hint="eastAsia" w:ascii="宋体" w:hAnsi="宋体" w:cs="宋体"/>
                <w:b/>
                <w:bCs/>
                <w:color w:val="auto"/>
                <w:sz w:val="18"/>
                <w:szCs w:val="18"/>
                <w:highlight w:val="none"/>
                <w:lang w:val="en-US" w:eastAsia="zh-CN" w:bidi="ar"/>
              </w:rPr>
              <w:t xml:space="preserve">具有</w:t>
            </w:r>
            <w:r>
              <w:rPr>
                <w:rFonts w:hint="eastAsia" w:ascii="宋体" w:hAnsi="宋体" w:cs="宋体"/>
                <w:b/>
                <w:bCs/>
                <w:color w:val="auto"/>
                <w:sz w:val="18"/>
                <w:szCs w:val="18"/>
                <w:highlight w:val="none"/>
                <w:lang w:bidi="ar"/>
              </w:rPr>
              <w:t xml:space="preserve">CMA</w:t>
            </w:r>
            <w:r>
              <w:rPr>
                <w:rFonts w:hint="eastAsia" w:ascii="宋体" w:hAnsi="宋体" w:cs="宋体"/>
                <w:b/>
                <w:bCs/>
                <w:color w:val="auto"/>
                <w:sz w:val="18"/>
                <w:szCs w:val="18"/>
                <w:highlight w:val="none"/>
                <w:lang w:val="en-US" w:eastAsia="zh-CN" w:bidi="ar"/>
              </w:rPr>
              <w:t xml:space="preserve">标识的</w:t>
            </w:r>
            <w:r>
              <w:rPr>
                <w:rFonts w:hint="eastAsia" w:ascii="宋体" w:hAnsi="宋体" w:cs="宋体"/>
                <w:b/>
                <w:bCs/>
                <w:color w:val="auto"/>
                <w:sz w:val="18"/>
                <w:szCs w:val="18"/>
                <w:highlight w:val="none"/>
                <w:lang w:bidi="ar"/>
              </w:rPr>
              <w:t xml:space="preserve">桌面种植机检测报告：</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检验依据GB/T 7000.1-2023、GB/T 5226.1-2019，检测内容包括：</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①提供一键种植系统，可以一键设置启停最佳光谱、亮度、灯光定时、水泵定时。</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②支持缺水/断电/断网报警功能。</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③叶菜、果菜光谱可调。</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④支持灯光亮度10级调节，灯光高度可调。</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⑤支持光照总时长可定时，开启关闭时间自定义。</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⑥支持种植天数记录功能。</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⑦含增氧水泵，无需设定时间，自动水循环保持水中含氧量。</w:t>
            </w:r>
            <w:r>
              <w:rPr>
                <w:rFonts w:hint="eastAsia" w:ascii="宋体" w:hAnsi="宋体" w:cs="宋体"/>
                <w:b/>
                <w:bCs/>
                <w:color w:val="auto"/>
                <w:sz w:val="18"/>
                <w:szCs w:val="18"/>
                <w:highlight w:val="none"/>
                <w:lang w:bidi="ar"/>
              </w:rPr>
              <w:br w:type="textWrapping" w:clear="all"/>
            </w:r>
            <w:r>
              <w:rPr>
                <w:rFonts w:hint="eastAsia" w:ascii="宋体" w:hAnsi="宋体" w:cs="宋体"/>
                <w:b/>
                <w:bCs/>
                <w:color w:val="auto"/>
                <w:sz w:val="18"/>
                <w:szCs w:val="18"/>
                <w:highlight w:val="none"/>
                <w:lang w:bidi="ar"/>
              </w:rPr>
              <w:t xml:space="preserve">⑧支持APP/小程序控制</w:t>
            </w:r>
            <w:r>
              <w:rPr>
                <w:rFonts w:hint="eastAsia" w:ascii="宋体" w:hAnsi="宋体" w:cs="宋体"/>
                <w:b/>
                <w:bCs/>
                <w:color w:val="auto"/>
                <w:szCs w:val="21"/>
                <w:highlight w:val="none"/>
                <w:lang w:bidi="ar"/>
              </w:rPr>
              <w:br w:type="textWrapping" w:clear="all"/>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物联网RO水制水系统</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用于自来水过滤，为无土栽培提供较高纯度的供水，出水为RO水（pH=7，EC=0，TDS=0），带物联网自动补水功能。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主要参数：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1）活性炭+pp棉+反渗透膜三级过滤（定期更换过滤），出水为RO水（pH=7，EC=0，TDS=0），最大流量60L/H，带物联网自动补水。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2）AC220V/50HZ，49w，电源配置：24V4A，进水压力0.1-0.4Mp。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3）输入电压：220V50Hz，输出220V，最大负载10A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4）控制模块：实现物联网控制功能，APP控制。可以与物联网液位检测仪器联动控制，可以与水泵联动控制，可以单独设置补水计划。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5）通信方式：ZigBee：IEEE802.15.4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6）含备用滤芯（炭+棉）两套，备用RO膜一个。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RO水制水系统过滤耗材补充件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用于RO水制水系统滤芯更换，含备用滤芯（炭+棉）两套，备用RO膜一个。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物联网RO水储水系统（100L）</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订制,可用来存RO水，也可以当工作液水箱。含定制水箱、溢水保护快接头、内外出水快接头、底部排水口、盖子（打孔）、手动阀门等配件。100L立式（385mm*445mm*600mm，360mm*400mm*720mm）。含开孔费，改装费。一般要三个，出水，溢水保护、底部排水口。</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物联网RO水灌溉系统(10米）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用于RO水灌溉，由储水系统给工作液水箱或其他需使用RO水的情况供水，含大流量水泵、物联网插座、10米食品级硅胶水管（12mm-16mm）、水管阀门，可在APP上操作控制。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自动可伸缩灌溉套装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10米，用于RO水灌溉，自动收管，与物联网RO水灌溉系统配套使用。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总控插排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八插位，带开关与指示灯，额定电流10A,额定电压250V，额定功率2500W。</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路由器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无线传输速率：3000Mbps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无线网络支持频率：2.4G&amp;5G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网络标准：802.11a 802.11b 802.11g wifi6 802.11ac 802.11n</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台置式收纳盒</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用于种植室路由器、网关等设备的收纳，高强碳钢+密度板，302mm*215mm*250mm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物联网网关</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支持有线、无线链接，输入5V 2A，ZigBee协议，可连接128路设备，断网不影响设备间的联动控制。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物联网环境监测模块（温度、湿度、CO2）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尺寸：160mm*90mm*40mm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双通道，NDIR红外传感器，LCD数字显示，自动校准，使用温度：0℃-70℃。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CO2测量范围：0PPM-5000PPM，分辨率：1PPM，精度50PPM±5%。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测量温度范围：0℃-50℃，分辨率：0.1℃，精度±0.5℃。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湿度：0-99%，分辨率 1%，精度±5%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接口：TypeC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电池容量：800mAh，断电继续工作8h以上。</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输入电压：DC 5V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含报警功能:可设置温度、湿度、CO2参数的过高或者过低报警，支持分级报警，使用者可自定义报警风险等级，支持APP、短信、电话三种报警方式。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ZigBee：IEEE 802.15.4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可与其他物联网设备联动控制，实时上报数据、可联动控制，可上传数据到大屏,数据可按日、月、年方式查看，历史数据支持导出。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物联网溢水警报器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低功耗，溢水可联动报警。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尺寸：φ（50±5）mm*（18±5）mm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电源：纽扣电池CR2032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工作温度：0℃-55℃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ZigBee：IEEE 802.15.4</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反应度：0.5mm以上液位</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物联网摄像头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1.传感器类型</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1/2.8英寸CMOS，最大分辨率</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300W 1296P</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2.红外灯</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圈灯，距离可达10米，支持自动/手动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3.日夜切换</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IR-CUT自动切换</w:t>
            </w:r>
            <w:r>
              <w:rPr>
                <w:rFonts w:hint="eastAsia" w:ascii="宋体" w:hAnsi="宋体" w:cs="宋体"/>
                <w:color w:val="auto"/>
                <w:szCs w:val="21"/>
                <w:highlight w:val="none"/>
                <w:lang w:bidi="ar"/>
              </w:rPr>
              <w:br w:type="textWrapping" w:clear="all"/>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4.支持自定义音量，音频输入1路Mic，音频输出1路speaker，3D降噪</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5.镜头焦距</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4mm，视场角</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水平82.5度，垂直44.9度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6.云台控制</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水平：0°~345°，垂直： -10°~40°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7.光圈</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固定F2.1</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8.视频编码标准</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H.265/H.264/MJPEG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9.视频码率</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主码流(高清):1.5Mbps;子码流(标清):512Kbps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10.视频帧率</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主码流(高清):1296P@20fps;子码流(标清):640*360@20fps</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11.多路预览</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支持最大2路P2P，可实现多客户端同时预览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12.支持—键恢复默认</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13.支持简易巡航</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，支持2倍倍速回放，支持隐私模式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14.SD卡存储</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支持连续录像/事件录像，最大支持128G，支持云存储</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15.连接方式</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Wi-Fi IEEE 802.11 b/g/n 2.4 GHz</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16.电源输入</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DC 5V 1A</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17.工作温度</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-10～45度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18.工作湿度</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≤95%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19.外壳材料</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塑料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20.安装方式</w:t>
            </w:r>
            <w:r>
              <w:rPr>
                <w:rFonts w:ascii="Arial" w:hAnsi="Arial" w:cs="Arial"/>
                <w:color w:val="auto"/>
                <w:szCs w:val="21"/>
                <w:highlight w:val="none"/>
                <w:lang w:bidi="ar"/>
              </w:rPr>
              <w:t xml:space="preserve"> </w:t>
            </w:r>
            <w:r>
              <w:rPr>
                <w:rFonts w:hint="eastAsia" w:ascii="宋体" w:hAnsi="宋体" w:cs="宋体"/>
                <w:color w:val="auto"/>
                <w:szCs w:val="21"/>
                <w:highlight w:val="none"/>
                <w:lang w:bidi="ar"/>
              </w:rPr>
              <w:t xml:space="preserve">吊装、桌面摆放</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摄像头支架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夹式支架，配套物联网摄像头使用，便于固定在种植机上，适配多种安装环境及角度。</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物联网LED紫外线杀菌灯（套装1）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用于水箱营养液杀菌，含1灯，一分二线、一分三线、控制模块。无汞，低压，IP68防水，安全高效，寿命大于5000小时。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功率：5W，电压：12V-24V</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辐射功率：60mW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led型号：3535UVA+UVC</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波长：UVA395-405nm,UVC270-280nm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防水等级：IP68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发光角度：240度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使用环境：-20℃-50℃</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静音水泵</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用于种植机循环供液系统，带4个底脚吸盘，配套水箱智控中心模块使用，带报警功能、手机提醒功能。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水泵信息：</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供电规格：DC12V 8W</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防水等级：IPX8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扬程参数：最大扬程（Hmax）3.5米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 流量参数：最大流水量（Qmax）450L/h</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测量工具箱套装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营养液及植物等称量、配置使用，包含量杯（5000mL）4个、电子天平（3kg，0.01g）1台、pH标定校正缓冲液（4.00/6.86/9.18）一套、、EC值标定校正缓冲液（1413）1瓶、分组实践工具箱10套（其中每套含量杯（1000mL）1组（2个）、量筒（25mL、250mL）1组(4个）、漏斗2个、修枝剪刀1组、五合一多功能检测笔1套、营养液分装瓶（400mL)2个、文件板夹1个、皮卷尺1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安装工具包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含牵引电线安装头1个、橡胶榔头1把、扳手1个、mini水平仪1个、LED灯堵头10个、漏斗2只、500mL量杯1个、硅胶软管1米（7mm-10mm)、可调脚专用扳手(双头)、球形M5扳手、静音水泵（黑）。</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清洗工具包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mini拖把1个、清洗刮板1个、刷子大小各1个、抹布1块。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种植海绵</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高分子亲水棉，250mm*250mm，100孔，育苗定植一体化专用，10片/组。</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炭棉（方圆柱）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方圆柱炭棉，水培专用炭棉，20mm*40mm，100个/包。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炭棉（方）</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水培专用炭棉，20mm*20mm，100个/包。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PP材质，外径35mm*30mm,用于种植孔植物种植，每包100个。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种植杯盖</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PP材质，外径33mm*33mm,用于遮盖种植杯、种植孔,每包100个。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育苗盘</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食品级PP材质，250mm*250mm，子母盘设计，用于种子萌发与育苗。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提供育苗盘检测报告，依据GB 31604.49食品接触安全标准，其砷、镉、铬、铅重金属含量应符合国家食品接触用塑料材料及制品安全标准，且砷(As)、镉(Cd)、铬(Cr)、铅(Pb)均不得检出。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育苗盘100孔遮光板套装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250mm*250mm，两块育苗板，一块带孔一块不带孔，配套育苗盘使用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静音水管套件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种植机水路下水管，灰色软管，可拉伸弯折，含专用扎带，5根/套。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吊夹补充装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用于攀爬架、果菜架吊蔓、固定使用，含2个吊夹+吊蔓线20米。</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密封收纳箱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放置种子、营养液、灯具、电子元器件，705mm*480mm*385mm，85L，带盖、防水、防尘。</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种子收纳箱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密封，可放冰箱，共15小罐、带标签，用于种子的分装与保存。</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播种镊子</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用于播种与幼苗整苗，20个/包。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精品优种套装(叶菜类）</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红苋菜10g/包、红萝卜芽苗菜10g/包、太阳花1000粒/包、黄心苦菊5g/包、红罗莎1000粒/包、GCGD-紫叶生菜（丸粒化）300粒/份、GCGD-奶油生菜（丸粒化）300粒/份、GCGD-绿叶生菜（丸粒化）300粒/份、GCGD-罗勒300粒/份、JKGD-绿花叶生菜300粒/份、JKGD-樱桃萝卜300粒/份、JKGD-羽衣甘蓝（矮化）50粒/份</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精品优种套装(花卉类）</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太阳花1000粒/包、JKGD-矮牵牛（深玫红-包衣）50粒/份、JKGD-矮牵牛（紫-包衣）50粒/份、JKGD-矮牵牛（鲑红-包衣）50粒/份、JKGD-矮牵牛（粉红-包衣）50粒/份、JKGD-矮牵牛（白色-包衣）50粒/份、JKGD-矮牵牛（红色花边-包衣）50粒/份、JKGD-福禄考（粉）50粒/份、JKGD-角堇（红带斑）50粒/份、JKGD-角堇（双舞混色）50粒/份、JKGD-角堇（黄色）50粒/份、JKGD-角堇（白色欢舞）50粒/份、JKGD-勿忘我（白）50粒/份</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营养液1</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叶菜花卉类AB液，为植物提供生长所必需的水分、氮磷钾等大量元素及铁锌等微量元素，替代土壤功能，10L/桶，2桶/组，适用于叶菜类、花卉类植物的生长。</w:t>
            </w:r>
            <w:r/>
          </w:p>
          <w:p>
            <w:pPr>
              <w:rPr>
                <w:rFonts w:hint="eastAsia" w:ascii="宋体" w:hAnsi="宋体" w:cs="宋体"/>
                <w:b w:val="0"/>
                <w:bCs w:val="0"/>
                <w:color w:val="auto"/>
                <w:sz w:val="18"/>
                <w:szCs w:val="18"/>
                <w:highlight w:val="none"/>
                <w:lang w:eastAsia="zh-CN" w:bidi="ar"/>
              </w:rPr>
            </w:pPr>
            <w:r>
              <w:rPr>
                <w:rFonts w:hint="eastAsia" w:ascii="宋体" w:hAnsi="宋体" w:cs="宋体"/>
                <w:b w:val="0"/>
                <w:bCs w:val="0"/>
                <w:color w:val="auto"/>
                <w:sz w:val="18"/>
                <w:szCs w:val="18"/>
                <w:highlight w:val="none"/>
                <w:lang w:bidi="ar"/>
              </w:rPr>
              <w:t xml:space="preserve">▲提供</w:t>
            </w:r>
            <w:r>
              <w:rPr>
                <w:rFonts w:hint="eastAsia" w:ascii="宋体" w:hAnsi="宋体" w:cs="宋体"/>
                <w:b w:val="0"/>
                <w:bCs w:val="0"/>
                <w:color w:val="auto"/>
                <w:sz w:val="18"/>
                <w:szCs w:val="18"/>
                <w:highlight w:val="none"/>
                <w:lang w:val="en-US" w:eastAsia="zh-CN" w:bidi="ar"/>
              </w:rPr>
              <w:t xml:space="preserve">具有</w:t>
            </w:r>
            <w:r>
              <w:rPr>
                <w:rFonts w:hint="eastAsia" w:ascii="宋体" w:hAnsi="宋体" w:cs="宋体"/>
                <w:b w:val="0"/>
                <w:bCs w:val="0"/>
                <w:color w:val="auto"/>
                <w:sz w:val="18"/>
                <w:szCs w:val="18"/>
                <w:highlight w:val="none"/>
                <w:lang w:bidi="ar"/>
              </w:rPr>
              <w:t xml:space="preserve">CMA</w:t>
            </w:r>
            <w:r>
              <w:rPr>
                <w:rFonts w:hint="eastAsia" w:ascii="宋体" w:hAnsi="宋体" w:cs="宋体"/>
                <w:b w:val="0"/>
                <w:bCs w:val="0"/>
                <w:color w:val="auto"/>
                <w:sz w:val="18"/>
                <w:szCs w:val="18"/>
                <w:highlight w:val="none"/>
                <w:lang w:val="en-US" w:eastAsia="zh-CN" w:bidi="ar"/>
              </w:rPr>
              <w:t xml:space="preserve">标识的“</w:t>
            </w:r>
            <w:r>
              <w:rPr>
                <w:rFonts w:hint="eastAsia" w:ascii="宋体" w:hAnsi="宋体" w:cs="宋体"/>
                <w:b w:val="0"/>
                <w:bCs w:val="0"/>
                <w:color w:val="auto"/>
                <w:sz w:val="18"/>
                <w:szCs w:val="18"/>
                <w:highlight w:val="none"/>
                <w:lang w:bidi="ar"/>
              </w:rPr>
              <w:t xml:space="preserve">营养液”</w:t>
            </w:r>
            <w:r>
              <w:rPr>
                <w:rFonts w:hint="eastAsia" w:ascii="宋体" w:hAnsi="宋体" w:cs="宋体"/>
                <w:b w:val="0"/>
                <w:bCs w:val="0"/>
                <w:color w:val="auto"/>
                <w:sz w:val="18"/>
                <w:szCs w:val="18"/>
                <w:highlight w:val="none"/>
                <w:lang w:val="en-US" w:eastAsia="zh-CN" w:bidi="ar"/>
              </w:rPr>
              <w:t xml:space="preserve">检测</w:t>
            </w:r>
            <w:r>
              <w:rPr>
                <w:rFonts w:hint="eastAsia" w:ascii="宋体" w:hAnsi="宋体" w:cs="宋体"/>
                <w:b w:val="0"/>
                <w:bCs w:val="0"/>
                <w:color w:val="auto"/>
                <w:sz w:val="18"/>
                <w:szCs w:val="18"/>
                <w:highlight w:val="none"/>
                <w:lang w:bidi="ar"/>
              </w:rPr>
              <w:t xml:space="preserve">报告扫描件加盖厂商公章</w:t>
            </w:r>
            <w:r>
              <w:rPr>
                <w:rFonts w:hint="eastAsia" w:ascii="宋体" w:hAnsi="宋体" w:cs="宋体"/>
                <w:b w:val="0"/>
                <w:bCs w:val="0"/>
                <w:color w:val="auto"/>
                <w:sz w:val="18"/>
                <w:szCs w:val="18"/>
                <w:highlight w:val="none"/>
                <w:lang w:eastAsia="zh-CN" w:bidi="ar"/>
              </w:rPr>
              <w:t xml:space="preserve">：</w:t>
            </w:r>
            <w:r/>
          </w:p>
          <w:p>
            <w:pPr>
              <w:rPr>
                <w:rFonts w:hint="eastAsia" w:ascii="宋体" w:hAnsi="宋体" w:cs="宋体"/>
                <w:color w:val="auto"/>
                <w:szCs w:val="21"/>
                <w:highlight w:val="none"/>
              </w:rPr>
            </w:pPr>
            <w:r>
              <w:rPr>
                <w:rFonts w:hint="eastAsia" w:ascii="宋体" w:hAnsi="宋体" w:cs="宋体"/>
                <w:b w:val="0"/>
                <w:bCs w:val="0"/>
                <w:color w:val="auto"/>
                <w:sz w:val="18"/>
                <w:szCs w:val="18"/>
                <w:highlight w:val="none"/>
                <w:lang w:val="en-US" w:eastAsia="zh-CN" w:bidi="ar"/>
              </w:rPr>
              <w:t xml:space="preserve">检验依据</w:t>
            </w:r>
            <w:r>
              <w:rPr>
                <w:rFonts w:hint="eastAsia" w:ascii="宋体" w:hAnsi="宋体" w:cs="宋体"/>
                <w:b w:val="0"/>
                <w:bCs w:val="0"/>
                <w:color w:val="auto"/>
                <w:sz w:val="18"/>
                <w:szCs w:val="18"/>
                <w:highlight w:val="none"/>
                <w:lang w:bidi="ar"/>
              </w:rPr>
              <w:t xml:space="preserve">NY/T 1978-2022</w:t>
            </w:r>
            <w:r>
              <w:rPr>
                <w:rFonts w:hint="eastAsia" w:ascii="宋体" w:hAnsi="宋体" w:cs="宋体"/>
                <w:b w:val="0"/>
                <w:bCs w:val="0"/>
                <w:color w:val="auto"/>
                <w:sz w:val="18"/>
                <w:szCs w:val="18"/>
                <w:highlight w:val="none"/>
                <w:lang w:val="en-US" w:eastAsia="zh-CN" w:bidi="ar"/>
              </w:rPr>
              <w:t xml:space="preserve">，检测内容包括：</w:t>
            </w:r>
            <w:r>
              <w:rPr>
                <w:rFonts w:hint="eastAsia" w:ascii="宋体" w:hAnsi="宋体" w:cs="宋体"/>
                <w:b w:val="0"/>
                <w:bCs w:val="0"/>
                <w:color w:val="auto"/>
                <w:sz w:val="18"/>
                <w:szCs w:val="18"/>
                <w:highlight w:val="none"/>
                <w:lang w:bidi="ar"/>
              </w:rPr>
              <w:t xml:space="preserve">营养液中砷（As）、镉（Cd）、铅（Pb）、汞（Hg）均未检出，符合无重金属要求。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营养液2</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果菜类AB液，为植物提供生长所必需的水分、氮磷钾等大量元素及铁锌等微量元素，替代土壤功能，10L/桶，2桶/组，适用于果菜类、茄科类植物的生长。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营养液3</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草莓AB液，为植物提供生长所必需的水分、氮磷钾等大量元素及铁锌等微量元素，替代土壤功能，10L/桶，2桶/组，适用于草莓的生长。</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磷酸二氢钾叶面肥</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磷酸二氢钾叶面肥通过叶片直接吸收，快速补充磷和钾元素，以促进植物开花结果、增强抗逆性并改善品质，500mL/瓶。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螯合钙叶面肥</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叶面直喷型螯合钙能快速被作物吸收，有效预防裂果、脐腐、顶枯等缺钙症状，提升果实硬度、光泽度，500mL/瓶。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绿藻清</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快速抑制、清除营养液和管道里的绿藻、青苔，防止堵管、争肥、耗氧，保护根系健康，稳定水质，500mL/瓶。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果实数显糖度仪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1.用于水果、蔬菜、饮料罐头等甜度检测，探究植物不同生长条件下对甜度的影响。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2.糖度测试范围：0～90%，刻度：0.5%。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3.高清棱镜，具有自动补温功能。</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叶绿素测量仪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1.支持叶绿素含量，氮含量，叶面温度、叶面湿度的检测，用于分析植物的光合作用效率及生长状况、蒸腾作用以及气孔开闭等生理过程，指导合理施肥、疾病预防及植物生长环境质量评估。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2.叶绿素检测范围：0～99.99SPAD。</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3.叶面温度测量范围：-10℃～99.9℃。</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4.氮含量测量范围：0～99.99mg/g。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5.叶面湿度测量范围：0～99.9RH%。</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6.测量时间：≤0.8 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7.工作环境：-10℃～50℃且相对湿度≤85%。</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8.内置锂电池容量≥3000毫安。</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便携式硝酸盐检测仪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1.用于水果、蔬菜硝酸盐的检测，探究采收前不同的品质调控方案，对蔬菜硝酸盐含量的影响。</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2.测量范围：0～9999mg/kg。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3.TFT彩色显示分辨率：320*240。</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4.720mAh锂电池，usb电源充电。</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便捷标签打印机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多功能多尺寸标签机，热敏打印，装纸宽度15mm-58mm，203DPI~300DPI，USB、蓝牙连接，支持手机、电脑自由编辑批量打印，1800mAh锂电池，含四防标签。</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延时摄影相机</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1.摄像机：1080P、F2.8。</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2.功能：自动成片、定时任务、手机APP操作、远程访问。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3.配件：硅胶保护套、三脚架、遮光罩、UV滤镜、内存卡64G、30000毫安充电宝、补光灯。</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系统管理终端</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1.功能要求：用于种植物联网管理及数据库平台的管理与使用；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2.主要参数：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1）显示屏：11-11.9英寸、多点触控；分辨率2.3K；</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2）摄像头：前置800万像素，后置1300万像素；</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3）存储：8G内存+256G存储；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3.安装部署：协助软件安装。</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系统管理终端支架</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材质：航空合金+塑料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固定方式：夹持式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产品重量：0.7kg</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夹座夹持高度：6cm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种植物联网管理及数据库平台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1.功能要求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物联网管理和移动端平台集智能设备控制、植物工厂管理、种植知识分享于一体的综合性智慧水培种植服务平台。它利用先进的物联网技术，将植物工厂的各种智能设备连接起来，通过手机就能轻松操控植物工厂的一切，享受智能种植新体验。该平台可以连接多种不同协议的物联网设备，包括Wi-Fi，zigbee、蓝牙、蓝牙mesh等协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2.主要参数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1）设备控制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远程控制：可通过手机APP远程控制种植设备，如植物生长灯、空调、加湿机、除湿机、风扇、水泵、紫外杀菌灯等等，实现一键开关、设置定时等操作。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一键控制：可以自定义多个不同的设备，例如多盏灯和水泵或者风扇，同时一键开启和关闭。</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设置定时：支持倒计时、定时，循环定时等多种定时方式。</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场景控制模式：支持自定义多种种植联动场景，如：温度高于多少度自动开空调，温度低于多少度自动关空调；且支持多种叠加条件，例如当灯光开启时且温度大于多少度时自动开启空调；一键开关，实现植物工厂相关环节要素的自动调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设备名字可自定义，便于快速查找相应设备。</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2）人员管理：一个账号可以建立多个种植室，每个种植室可以放多个种植设备和检测设备，账号所有者可以添加不同的账号进入不同的种植室观察或者管理各设备（权限由账号所有者决定）。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3）日程和警报：可设置各种提醒和警报，警报级别可以自定义，分三级：app弹窗、手机短信通知，手机电话通知。</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4）营养液在线计算：可针对不同的种植设备和种植方式（NFT/DFT），对不同的植物和同一植物不同的生长阶段，提供营养液在线自动计算，提供营养液补充指导，精确补充营养液，确保植物健康生长。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5）资源：提供叶菜类育苗、花卉类育苗、果菜类育苗、苗芽菜等从育苗、生长前期、生长后期、开花期、结果期等各阶段的图文及视频教程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6）数据：支持实时查看当前数据，支持回看历史数据（最多3个月），自动形成数据变化曲线，可下载历史数据用于数据分析。</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7）互动分享：种植教程分享提供交流平台，由学校或老师不定时发布植物种植教程，让学生可以学习不同植物的习性，了解植物生长过程。也可发布各个学校或者班级或者学生个人的种植日志。</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8）可对外连接购物平台，支持学生把自己种植的蔬菜对外销售给朋友或者家长或者消费者。</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9）在线升级各项种植教程和数据。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10）包含了四大类（叶菜、果菜、瓜类、花卉）十小类（藜科、伞形科、十字花科、菊科、苋科、旋花科等六类叶菜；以及各种番茄、黄瓜、甜椒等果菜；各类草本花卉），总计50多个品种在全人工光水培种植条件下，从催芽、育苗、生长前期、生长后期、开花期、结果期等各阶段的生长参数以及种植方案，同时能够提供不同品种植物出现问题时的应对措施和解决方案。</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11）提供30余种蔬菜花卉，从播种到采收每一步操作的图文和视频教程；提供育苗阶段每四天一次的小苗形态对比图；提供不同类型种子的浸泡时间表、催芽时间表。</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种植专项培训</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种植培训（3选1：上门培训/视频/来总部培训），可多人参加，种植专家手把手培训种植技巧。主要培训内容包含：</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1.设备体认与实操：实操物联网水培种植机软硬件及相关传感器，包括组装、调试与数据监测。</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深化应用：理解植物生长五大要素与植物工厂对应关系、植物生长养护举例、植物移栽种植举例与实操、水培育种实践、营养液配置与计算、种植管理与定时策略设置。聚焦物联网水培种植机的区域性和变量控制管理，重点培训如何利用设备对植物培育进行多变量调控。</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3.方案研讨：结合预设的种植方案，进行分组实操，完成从定植、营养液配置到生长策略设置，并开展技术化的交流研讨，教学应用设计。</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次</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种植室安装与调试</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1.种植机、环境传感器设备、水肥/灌溉系统、物联网设备等安装、固定与调试(含线材、辅料)。</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2.物联网平台部署、网络配置、设备接入、控制逻辑与策略调试、报警联调、账号设置、移动端等终端平台配置与调试(含线材、辅料)。</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non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学生操作台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1、参考尺寸：1400×800×750mm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3、台面参数：台面采用12mm厚纤丝抗倍特板，立面倒角。</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桌腿：向外倾斜，采用铝合金模具成型，并预留拉杆接头便于同主体框架连构。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主体框架：采用≥24×24×1.1㎜矩形钢管加工制作。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底脚：下脚用ABS可调节底脚。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工艺：所有钢管经酸洗磷化处理。</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学生凳</w:t>
            </w:r>
            <w:r/>
          </w:p>
        </w:tc>
        <w:tc>
          <w:tcPr>
            <w:tcBorders>
              <w:top w:val="single" w:color="000000" w:sz="4" w:space="0"/>
              <w:left w:val="none" w:color="000000" w:sz="4" w:space="0"/>
              <w:bottom w:val="single" w:color="000000" w:sz="4" w:space="0"/>
              <w:right w:val="single" w:color="000000" w:sz="4" w:space="0"/>
            </w:tcBorders>
            <w:tcW w:w="3265"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1、参考尺寸：座高440mm±10mm。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2、材质：PP+钢管。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3、坐垫:尺寸≥380×415×H120mm。 </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彩色PP环保塑料一体注塑成型，椅背采用提手设计；椅钢架采≥22×1.5mm圆形钢管制作，表面采用环氧树脂粉末静电喷涂处理，耐腐蚀，不易生锈；脚垫采用PP纤维质塑胶一体成型，防滑、耐用、耐摩擦，保护地板防止摩擦，所有零部件采用永久性固定方式，不会产生松散、脱落之情形。可垂直堆叠。</w:t>
            </w:r>
            <w:r/>
          </w:p>
        </w:tc>
        <w:tc>
          <w:tcPr>
            <w:tcBorders>
              <w:top w:val="single" w:color="000000" w:sz="4" w:space="0"/>
              <w:left w:val="non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 </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non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水柜</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1、参考尺寸：5300*550*800mm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3、台面参数：采用≥12.7mm厚纤丝理化板，具有抗污染、防水、防火特性。台面立面倒角、打磨，各处光滑。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均采用≥16mm厚E1级三聚氰胺环保板加工制作。斜切柜门一体式拉手，所有板材加工截面均采用PVC封边条利用机械高温热熔胶封边，避免甲醛随意释放，确保达到环保标准。台下裙条（≥78mm）采用铝合金模具成型，内镶嵌板材18厚生态免漆板，增加强度，板材距地不低于20mm，防水耐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4、含地上接水。</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水嘴</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台式三口鹅颈水龙头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1、主体：加厚铜质。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2、涂层：高亮度环氧树脂涂层，耐腐蚀、耐热、防紫外线辐射。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3、陶瓷阀芯：90°旋转，使用寿命开关50万次，静态最大耐压20巴。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4、附件：可拆卸铜质水嘴，可加接防溅滤水器。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5、开关旋钮：高密度PP，人体工程学设计，手感舒适。</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水槽</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1、参考尺寸：440×340×280mm。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2、材料：高密度PP，耐强腐蚀，如王水；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3、表面纹理：槽沿表面处理为皮纹，耐刻刮，与大部分台面板表面纹理一致</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4、附件：高密度PP去水；含阻水盖、PP提笼。</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生命智研室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AI多模态云图评估仪</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一、软件功能</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（一）用户端</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1、支持AI心理咨询师：提供语音交互与数字人形态的AI心理咨询、日常心理倾诉与个性化支持；通过问卷收集用户状态，AI分析推荐合适的测评量表，支持用户自主选择量表进行测评；</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2、支持智能测评</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（1）支持测评任务进行量表作答；</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（2）支持在量表中随机插入测谎题并搭配基线题收集用户作答时间，辅助判断当前用户作答可信度；</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（3）在测评任务过程中收集作答者面部情绪用于后续测评分析；</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3、支持心理成长空间</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（1）愤怒、焦虑、悲伤三大主题模块帮助用户了解对应情绪状态，生成应对技巧报告；</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（2）通过动画视频了解异常情绪的原理和意义；</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4、支持测评中心</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（1）展示由老师发放或用户系统内选择跟推荐的测评量表任务，未完成的任务继续作答，已完成任务查看答卷、量表报告；</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（2）答卷：在已完成任务中查看各量表答题选项。开启深度评估可查看相关补充信息。支持通过答题卡跳转查看对应题目；</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5、支持用户端测评报告</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（1）测评报告：各量表的作答评分、分值及对应说明内容；作答过程中的心率与血氧数据，包括最大值、最小值、状态分析说明以及统计图；</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生理报告：通过生理采集器记录HRV数据及其状态说明，结合AI分析生成对应的压力、疲劳、焦虑指数水平及解读内容。提供识别说明面部识别数据，作答过程中的各情绪占比情况，以及分析的心理能量、情绪积极性水平及解读文案；</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6、支持心理资源主题：围绕“认识自己”、“我的情绪我做主”、“和别人相处的艺术”三大主题，提供不少于11个心理科普资源。</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（二）管理端</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1、支持发起测评：支持管理端选择量表开展测评；支持在测评列表中查看量表简介及题目，多选量表和配置深度评估，一键发送测评任务至指定用户；</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2、支持测评列表</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（1）查看已发放测评任务和心理成长空间内容；</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（2）成长空间记录：查看对应用户成长空间已完成的情绪主题报告内容；</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3、支持测评管理</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（1）对测评任务进行答卷和报告查看、删除；</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4、支持管理端测评报告</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生理报告：通过生理采集器记录HRV数据及其状态说明，结合AI分析生成对应的压力、疲劳、焦虑指数水平及解读内容。提供识别说明面部识别数据作答过程中的各情绪占比情况，以及分析的心理能量、情绪积极性水平及解读文案；</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（2）测评分析：查看测评任务基础信息、作答可信度推测内容；支持查看量表作答中测试答题数据中随意作答、正常作答、谨慎作答数量分布以及测谎题中正确和错误的占比并进行分析提供咨询建议内容；</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（3）测评报告：各量表的作答评分、分值及对应说明内容；作答过程中的心率与血氧数据，展示最大值、最小值、状态分析说明以及统计图；</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（4）辅导建议：综合量表测评报告、生理数据及智能评估信息，生成包含总体辅导目标及各阶段目标的实施路径与具体内容的辅导计划大纲、标准化辅导工具与表单。</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二、硬件参数</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1、管理端使用终端：</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（1）尺寸：≥长340mm*宽190mm；可触控；</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（2）分辨率：≥1920*1080；</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（3）处理器：RK3568A，四核，最高主频2GHz；</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（4）内存：≥4G；</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（5）储存空间：≥64G；</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（6）音频接口：喇叭输出（支持左右声道输出，最在支持双20W/4R，10W/8R），MICIN*1；</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（7）USB接口：≥1个USB3.0OTG；≥6个USBHOST；</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（8）串口：2个232，2个TTL；</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（9）网络接口：10/100BASE-T以太网接口，内置Wifi，支持蓝牙4.2；</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（10）摄像头：有效像素≥1920*1080；有效焦距≥3.95mm；</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（11）表面材质：前覆钢化玻璃；</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（12）机体工艺：环保烤漆。</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2、用户端使用终端：</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（1）尺寸：≥长340mm*宽190mm；可触控；</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（2）分辨率：≥1920*1080；</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（3）处理器：RK3588S,四核2.4GHzCortex-A76+四核1.8GHzCortex-A55；</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（4）内存：≥8G；</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（5）储存空间：≥64G；</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（6）音频接口：喇叭输出（支持左右声道输出，最在支持双20W/4R，10W/8R），MICIN*1；</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（7）USB接口：≥1个USB3.0OTG；≥6个USBHOST；</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（8）串口：2个232、2个TTL；</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（9）网络接口：10/100BASE-T以太网接口，内置Wifi，支持蓝牙4.2；</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（10）摄像头：有效像素≥3264*2448；有效焦距≥3.37mm；</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（11）表面材质：前覆钢化玻璃；</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（12）机体工艺：环保烤漆。</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3、无线采集器：测量血氧饱和度和脉率，OLED显示。尺寸≥长55mm*宽35mm，血氧饱和度测量范围：0-100%，脉率测量范围：25-250bpm。</w:t>
            </w:r>
            <w:r/>
          </w:p>
          <w:p>
            <w:pPr>
              <w:rPr>
                <w:rFonts w:hint="eastAsia" w:ascii="宋体" w:hAnsi="宋体" w:cs="宋体"/>
                <w:b/>
                <w:bCs/>
                <w:color w:val="auto"/>
                <w:sz w:val="18"/>
                <w:szCs w:val="18"/>
                <w:highlight w:val="none"/>
                <w:lang w:eastAsia="zh-CN" w:bidi="ar"/>
              </w:rPr>
            </w:pPr>
            <w:r>
              <w:rPr>
                <w:rFonts w:hint="eastAsia" w:ascii="宋体" w:hAnsi="宋体" w:cs="宋体"/>
                <w:color w:val="auto"/>
                <w:sz w:val="18"/>
                <w:szCs w:val="18"/>
                <w:highlight w:val="none"/>
                <w:lang w:bidi="ar"/>
              </w:rPr>
              <w:t xml:space="preserve">▲</w:t>
            </w:r>
            <w:r>
              <w:rPr>
                <w:rFonts w:hint="eastAsia" w:ascii="宋体" w:hAnsi="宋体" w:cs="宋体"/>
                <w:b/>
                <w:bCs/>
                <w:color w:val="auto"/>
                <w:sz w:val="18"/>
                <w:szCs w:val="18"/>
                <w:highlight w:val="none"/>
                <w:lang w:bidi="ar"/>
              </w:rPr>
              <w:t xml:space="preserve">提供</w:t>
            </w:r>
            <w:r>
              <w:rPr>
                <w:rFonts w:hint="eastAsia" w:ascii="宋体" w:hAnsi="宋体" w:cs="宋体"/>
                <w:b/>
                <w:bCs/>
                <w:color w:val="auto"/>
                <w:sz w:val="18"/>
                <w:szCs w:val="18"/>
                <w:highlight w:val="none"/>
                <w:lang w:val="en-US" w:eastAsia="zh-CN" w:bidi="ar"/>
              </w:rPr>
              <w:t xml:space="preserve">具有</w:t>
            </w:r>
            <w:r>
              <w:rPr>
                <w:rFonts w:hint="eastAsia" w:ascii="宋体" w:hAnsi="宋体" w:cs="宋体"/>
                <w:b/>
                <w:bCs/>
                <w:color w:val="auto"/>
                <w:sz w:val="18"/>
                <w:szCs w:val="18"/>
                <w:highlight w:val="none"/>
                <w:lang w:bidi="ar"/>
              </w:rPr>
              <w:t xml:space="preserve">CMA</w:t>
            </w:r>
            <w:r>
              <w:rPr>
                <w:rFonts w:hint="eastAsia" w:ascii="宋体" w:hAnsi="宋体" w:cs="宋体"/>
                <w:b/>
                <w:bCs/>
                <w:color w:val="auto"/>
                <w:sz w:val="18"/>
                <w:szCs w:val="18"/>
                <w:highlight w:val="none"/>
                <w:lang w:val="en-US" w:eastAsia="zh-CN" w:bidi="ar"/>
              </w:rPr>
              <w:t xml:space="preserve">标识的“</w:t>
            </w:r>
            <w:r>
              <w:rPr>
                <w:rFonts w:hint="eastAsia" w:ascii="宋体" w:hAnsi="宋体" w:cs="宋体"/>
                <w:b/>
                <w:bCs/>
                <w:color w:val="auto"/>
                <w:sz w:val="18"/>
                <w:szCs w:val="18"/>
                <w:highlight w:val="none"/>
                <w:lang w:bidi="ar"/>
              </w:rPr>
              <w:t xml:space="preserve">AI多模态云图评估仪系统”测试报告扫描件加盖厂商公章</w:t>
            </w:r>
            <w:r>
              <w:rPr>
                <w:rFonts w:hint="eastAsia" w:ascii="宋体" w:hAnsi="宋体" w:cs="宋体"/>
                <w:b/>
                <w:bCs/>
                <w:color w:val="auto"/>
                <w:sz w:val="18"/>
                <w:szCs w:val="18"/>
                <w:highlight w:val="none"/>
                <w:lang w:eastAsia="zh-CN" w:bidi="ar"/>
              </w:rPr>
              <w:t xml:space="preserve">：</w:t>
            </w:r>
            <w:r/>
          </w:p>
          <w:p>
            <w:pPr>
              <w:rPr>
                <w:rFonts w:hint="eastAsia" w:ascii="宋体" w:hAnsi="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检验依据GB/T25000.51-2016，检测内容包括：</w:t>
            </w:r>
            <w:r/>
          </w:p>
          <w:p>
            <w:pPr>
              <w:rPr>
                <w:rFonts w:hint="eastAsia" w:ascii="宋体" w:hAnsi="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①通过问卷测量异常情绪水平值；通过互动训练收集不同层次的异常情绪身体警示标志、触发原因；通过AI智能分析，生成总结报告与情绪应对建议；</w:t>
            </w:r>
            <w:r/>
          </w:p>
          <w:p>
            <w:pPr>
              <w:rPr>
                <w:rFonts w:hint="eastAsia" w:ascii="宋体" w:hAnsi="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②答卷：查看已完成量表选项内容。开启深度评估，可进一步查看预警题目所采集的评估内容，以及基线作答平均心率和平均答题反应时间数据。通过答题卡查看答卷中“随意、正常、谨慎、未判定”题目状态，并快速跳转定位；查看对应题目状态采集的情绪数据、心率数据及答题时长；</w:t>
            </w:r>
            <w:r/>
          </w:p>
          <w:p>
            <w:pPr>
              <w:rPr>
                <w:rFonts w:hint="eastAsia" w:ascii="宋体" w:hAnsi="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③通过量表作答内容AI识别心理预警信号，通过多轮引导式对话深入探查问题表现与成因、个性化分析与干预建议。支持在非管理员发放测评任务基础下开启或关闭</w:t>
            </w:r>
            <w:r/>
          </w:p>
          <w:p>
            <w:pPr>
              <w:rPr>
                <w:rFonts w:hint="default" w:eastAsia="宋体"/>
                <w:color w:val="auto"/>
                <w:highlight w:val="none"/>
                <w:lang w:val="en-US" w:eastAsia="zh-CN"/>
              </w:rPr>
            </w:pPr>
            <w:r>
              <w:rPr>
                <w:rFonts w:hint="eastAsia" w:ascii="宋体" w:hAnsi="宋体" w:cs="宋体"/>
                <w:b/>
                <w:bCs/>
                <w:color w:val="auto"/>
                <w:sz w:val="18"/>
                <w:szCs w:val="18"/>
                <w:highlight w:val="none"/>
                <w:lang w:val="en-US" w:eastAsia="zh-CN" w:bidi="ar"/>
              </w:rPr>
              <w:t xml:space="preserve">④报告图谱：查看AI深度评估各因子下具体表现和原因。提供整体大纲查看、详细解读内容，包括症状的心理意义及深层的原因作用机制</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心育中心</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反馈音乐放松系统</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一、硬件参数：</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1、放松椅整体尺寸：≥760mm（长）*820mm（宽）*1050mm(高）(椅背收起)；≥1700mm（长）*820mm（宽）*840mm(高）（椅背展开）；产品净重：45KG最大承载量：100KG；电源：220V（50Hz）；</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2、头等舱设计开发的小牛皮座椅，实木框架，内置阻燃棉。米色；</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3、独立电动控制系统：音乐椅靠背、腿部电动控制设计，靠背100度-170度，腿部90度-170度任意调节；</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4、高品质播放系统:内置高品质音响，环绕式播放心理放松音乐；</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5、多功能控制器：自动及音乐同步两种体感模式，通过蓝牙输入音频，实现对音频、震动、音源、歌曲、座椅姿势、加热等功能切换；</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多功能生理指标采集系统：采用无线蓝牙指脉式生理指标采集，最大输出功率：＜100mW。集成手腕式生物反馈处理器，精确反馈人体多项生理指标，采集终端可直观显示：蓝牙指示灯、蜂鸣器指示灯、电量指示灯、血氧饱和度值、脉率值、脉搏强度血氧波形等；</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7、使用终端尺寸：≥L240mm*W150mm；设备自身集成摄录像、蓝牙、扩展口、互联网等功能。</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二、软件功能：</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1、支持用户名密码登录、人脸识别登录；</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2、系统分为智能放松、自主放松、放松训练及数据中心等模块；</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支持智能定制放松：采集使用者的生理指标对用户进行分析，并定制使用者的放松方案。智能动态放松：可通过采集使用者当前的生理指标对用户进行分析，并为使用者调整音乐放松方案；（2）支持自主放松功能：拥有中国风、消除紧张焦虑、消除浮躁、伤感音乐、国外名曲、缓解身心疲劳、解除忧郁等多种音乐类型；</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（3）支持反馈生理指标信号：可对生理指标状态进行反馈，包括血氧、脉率、PNN50、QRS、R-R和HRV心率变异性生理指标。</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①想象放松：包含大海、田野及草原等场景；</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②呼吸放松、鼻腔放松、肌肉放松：提供训练视频，配合放松音效教学；</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（4）支持数据中心：可对用户历次放松训练的数据进行备份，按时间查看用户详细的放松训练数据，对放松训练报告可按图片方式保存，可选择删除放松训练报告；</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3、支持图文报告生成：记录训练者训练的过程，包括生理指标数值和图形曲线，可生成训练报告，并且可导出和打印报告；</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4、支持对音乐控制（音量+、音量-），按摩控制（打开/关闭电源），功能椅控制（长按伸展/长按收缩），蓝牙连接（开始/断开连接）解绑蓝牙等切换；</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5、支持与云平台实现用户数据对接，实现用户信息的录入、保存、批量导入、删除、报告查看，数据分析等管理功能。</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三、产品配置</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1、体感音乐放松椅1台</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2、反馈音乐放松系统1套</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3、生理指标采集器1套</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4、遮光眼罩2个</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5、音乐导论1本</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6、支架1个</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心育中心</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智能情绪调节释压系统</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一、系统功能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1、智能情绪调节释压系统材料组成部分包括底座、衣服、填充物、头套、内衬等组成部分，整体打造温馨舒适的体验效果；</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2、系统采用高性能主控芯片，有效保证系统稳定及高速运算能力；高性能解码芯片，实现MP3音频格式快速解码，播放流畅，音质清晰；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3、系统提供了丰富的积极阳光正能量的语音内容，可满足不同情绪问题的正向引导；</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4、系统自带传感器3轴振动检测，可对操作进行检测，防止使用者过度使用，实现系统自我保护作用；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5、智能语音提醒功能：当使用一定时间后语音提醒，防止过度使用；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6、系统采用DC12V电压供电，电流输出稳定且简易安全；自带功放，直接接喇叭，功率可达30W，确保良好的音质输出。</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二、产品配置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2、护手套2对，采用了轻型耐用材料，可有效的缓冲打击时的撞击；</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3、摔打释压球2个，橡胶材质，充气使用，回弹性好，可坐和摔打；</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4、立式释压球1个，立式不倒整体110-145CM可根据使用情况进行调节。上部实心球体，外层高级仿皮材料，经打耐用。底座高≥21cm,直径≥46cm；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5、充气释压棒2根，长80cm，锥型，充气使用，内胆防水材质，外套蓝色保护套。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心育中心</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多元智动减压系统</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一、软件功能：</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1、支持系统设置</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（1）提供用户名密码登录和刷脸登录；</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（2）提供设置击打仪和血氧仪蓝牙连接、人脸识别绑定、退出等；</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（3）提供设置训练的难易程度、音量调节、灵敏度调节等；</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（4）提供数据采集和蓝牙连接状态悬浮展示，动态监测；</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2、支持训练内容</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（1）系统包含声动未来、拳力以赴、面舞飞扬、动感平衡等不少于4个部分；</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（2）系统包含拳击、呐喊、体感互动多维一体的减压形式；</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（4）拳力以赴提供极速超越、拳速前进、泳无止境、活力拳击等不少于4个训练项目，连接击打仪，通过加速度传感器和数据处理算法，捕获用户的击打力度、频率，通过蓝牙传输心跳速率和血氧饱和度数据；</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（5）面舞飞扬提供深海智航、星际奇航、食趣精灵等不少于3个训练项目，通过摄像头捕获脸部和头部动作，具备面部识别能力。可查看训练介绍，了解训练玩法；</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（7）训练过程中，系统会提供加油鼓励的动画和正向语音语库，包括涵盖工作、学习、情绪、社会等不少于8大类；</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（8）训练结束后系统自动统计并上传训练数据，如用户ID、训练项目、训练时长、训练结果等；</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3、支持与云平台实现用户数据对接，实现用户信息的录入、保存、批量导入、删除、报告查看，数据分析等管理功能。</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二、硬件参数：</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1、使用终端：</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（1）尺寸：≥长950mm*宽500mm，可触控；</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（2）分辨率：≥1920*1080；</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（3）处理器：四核2.4GHzCortex-A76+四核1.8GHzCortex-A55；</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（4）内存：≥8G；</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（5）储存空间：≥64G；</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（6）音频接口：喇叭输出（支持左右声道输出，最在支持双20W/4R，10W/8R），MICIN*1；</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（7）USB接口：≥1个USB3.0OTG，≥6个USBHOST；</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（8）串口：2个232，2个TTL；</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（9）网络接口：10/100BASE-T以太网接口，内置Wifi，支持蓝牙4.2；</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（10）摄像头：有效像素≥1920*1080；有效焦距≥3.95mm；</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2、表面材质：前覆钢化玻璃；</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3、机体工艺：铝合金氧化边框；</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4、整机尺寸：≥长1050mm*宽450mm*高1750mm；</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5、立式击打宣泄靶：总高度≥1700mm，击打靶底座直径≥600mm；靶心直径≥300mm，高≥1030mm；击打靶材质为硅胶；</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6、蓝牙模块：内含陀螺仪检测人体的运动量，含蓝牙数据传输模块，蓝牙传输距离≥10米；</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7、无线采集器：测量血氧饱和度和脉率，OLED显示。尺寸≥55mm*35mm，血氧饱和度测量范围0-100%，脉率测量范围25-250bpm。</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心育中心</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排椅</w:t>
            </w:r>
            <w:r/>
          </w:p>
        </w:tc>
        <w:tc>
          <w:tcPr>
            <w:tcBorders>
              <w:top w:val="single" w:color="000000" w:sz="4" w:space="0"/>
              <w:left w:val="single" w:color="000000" w:sz="4" w:space="0"/>
              <w:bottom w:val="single" w:color="000000" w:sz="4" w:space="0"/>
              <w:right w:val="single" w:color="000000" w:sz="4" w:space="0"/>
            </w:tcBorders>
            <w:tcW w:w="3265" w:type="dxa"/>
            <w:vAlign w:val="center"/>
            <w:vMerge w:val="restart"/>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不低于以下要求：</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1、结构：铝木结构；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2、尺寸：总长为1598±5mm，总高：750±10mm，座高：460±10mm ，写字板高：750±10mm。最小排距：900 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3、座板：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材料采用高密度15mm曲木板（6层木板），经模具高温高压一次压制成形，自然环保，耐磨、防刮、具有很强的抗击力和承载能力。规格：长：380±5mm ,宽450±5mm, 厚度为15±2mm。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背板与写字板：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背板和写字板采用饰面多层板高温热压“一整体”成型（非分段拼接），饰面采用环保防火板，耐磨、防污、具有很强的抗击力和承载能力。规格: 长：1598+5  0mm,宽320±10mm, 厚度为10±2mm。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4、装饰板：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采用中纤板面贴防火板，PU封边，厚度为5mm。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座固定件组件、座支撑件组件：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座固定件组件采用热轧板经模具成型、焊接精制而成，壁厚为3mm；座支撑件组件采用热轧板经模具成型、焊接精制而成，壁厚为4mm，产品表面经防锈、防污、淋化、静电喷涂处理。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5、横梁：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采用t=2mm方管,焊接精制而成，表面经防锈、防污、淋化、静电喷涂处理。</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6、椅站脚：</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采用铝材模具一体成型，表面经抛光，喷涂处理。 尺寸为 ：长177±2mm*宽28+5  0mm*高679±5mm。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座板下方装饰件：</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采用ABS材料塑料片，模具一体成型，美观大方，平均壁厚2.0 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7、书托板：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采用ABS材料塑料片，模具一体成型；长487±5mm ，宽210±5mm，高50±5mm ；书托板可前后活动。</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回位结构：采用弹簧阻尼回复机构，翻转中心轴采用 φ 10mm，45#钢铆钉连接，结构坚实耐用。回复时轻便、快速，无撞击、无噪音、耐用，不失效。采用弹簧加液压阻尼自动回位系统，精确定位，零回复噪音。座垫回位噪音低至 A 声级（≤ 35dB）,故障率低，使用寿命 ≥ 30 万次。</w:t>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484505</wp:posOffset>
                      </wp:positionH>
                      <wp:positionV relativeFrom="paragraph">
                        <wp:posOffset>0</wp:posOffset>
                      </wp:positionV>
                      <wp:extent cx="659765" cy="2540"/>
                      <wp:effectExtent l="0" t="0" r="0" b="0"/>
                      <wp:wrapNone/>
                      <wp:docPr id="119" name="图片 137"/>
                      <wp:cNvGraphicFramePr/>
                      <a:graphic xmlns:a="http://schemas.openxmlformats.org/drawingml/2006/main">
                        <a:graphicData uri="http://schemas.openxmlformats.org/drawingml/2006/picture">
                          <pic:pic xmlns:pic="http://schemas.openxmlformats.org/drawingml/2006/picture">
                            <pic:nvPicPr>
                              <pic:cNvPr id="137" name="图片 137"/>
                              <pic:cNvPicPr/>
                              <pic:nvPr/>
                            </pic:nvPicPr>
                            <pic:blipFill>
                              <a:blip r:embed="rId49"/>
                              <a:stretch/>
                            </pic:blipFill>
                            <pic:spPr bwMode="auto">
                              <a:xfrm>
                                <a:off x="0" y="0"/>
                                <a:ext cx="659765" cy="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60288;o:allowoverlap:true;o:allowincell:true;mso-position-horizontal-relative:text;margin-left:38.1pt;mso-position-horizontal:absolute;mso-position-vertical-relative:text;margin-top:0.0pt;mso-position-vertical:absolute;width:51.9pt;height:0.2pt;mso-wrap-distance-left:9.0pt;mso-wrap-distance-top:0.0pt;mso-wrap-distance-right:9.0pt;mso-wrap-distance-bottom:0.0pt;" stroked="f">
                      <v:path textboxrect="0,0,0,0"/>
                      <v:imagedata r:id="rId49" o:title=""/>
                    </v:shape>
                  </w:pict>
                </mc:Fallback>
              </mc:AlternateContent>
            </w: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合班教室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265" w:type="dxa"/>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合班教室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265" w:type="dxa"/>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合班教室</w:t>
            </w:r>
            <w:r/>
          </w:p>
        </w:tc>
      </w:tr>
      <w:tr>
        <w:trPr>
          <w:trHeight w:val="23"/>
        </w:trPr>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讲台</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1、参考尺寸：条桌：1400×700×750mm±10mm。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柜体：600×700×1000mm±10mm。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2、产品结构：钢木结构。</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3、台面参数：采用≥12mm厚纤丝抗倍特板，抗污染、防水、防火特性，台面立面倒角、打磨，各处光滑；</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4、台身参数：</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钢架：采用φ50mm（±5mm）圆管。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横梁：采用≥40×20×1.2mm方管。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右侧台身：整体采用≥18mm三聚氰胺板。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脚轮：底部配万向轮。</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5、高台配备活动台面,用于放置对应的教学用具。</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合班教室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移动音箱</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1、喇叭:15寸低音、6.5寸中音、80磁号角高音；</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2、话筒：U段金属话筒*2；</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3、功能：蓝牙、语音、录音、usb卡、消原声音频输入输出。</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336550</wp:posOffset>
                      </wp:positionH>
                      <wp:positionV relativeFrom="paragraph">
                        <wp:posOffset>0</wp:posOffset>
                      </wp:positionV>
                      <wp:extent cx="167640" cy="175260"/>
                      <wp:effectExtent l="0" t="0" r="0" b="0"/>
                      <wp:wrapNone/>
                      <wp:docPr id="120" name="图片 138"/>
                      <wp:cNvGraphicFramePr/>
                      <a:graphic xmlns:a="http://schemas.openxmlformats.org/drawingml/2006/main">
                        <a:graphicData uri="http://schemas.openxmlformats.org/drawingml/2006/picture">
                          <pic:pic xmlns:pic="http://schemas.openxmlformats.org/drawingml/2006/picture">
                            <pic:nvPicPr>
                              <pic:cNvPr id="138" name="图片 138"/>
                              <pic:cNvPicPr/>
                              <pic:nvPr/>
                            </pic:nvPicPr>
                            <pic:blipFill>
                              <a:blip r:embed="rId45"/>
                              <a:stretch/>
                            </pic:blipFill>
                            <pic:spPr bwMode="auto">
                              <a:xfrm>
                                <a:off x="0" y="0"/>
                                <a:ext cx="167640"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60288;o:allowoverlap:true;o:allowincell:true;mso-position-horizontal-relative:text;margin-left:26.5pt;mso-position-horizontal:absolute;mso-position-vertical-relative:text;margin-top:0.0pt;mso-position-vertical:absolute;width:13.2pt;height:13.8pt;mso-wrap-distance-left:9.0pt;mso-wrap-distance-top:0.0pt;mso-wrap-distance-right:9.0pt;mso-wrap-distance-bottom:0.0pt;" stroked="f">
                      <v:path textboxrect="0,0,0,0"/>
                      <v:imagedata r:id="rId45" o:title=""/>
                    </v:shape>
                  </w:pict>
                </mc:Fallback>
              </mc:AlternateContent>
            </w: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widowControl/>
              <w:rPr>
                <w:rFonts w:hint="eastAsia" w:ascii="宋体" w:hAnsi="宋体" w:cs="宋体"/>
                <w:color w:val="auto"/>
                <w:szCs w:val="21"/>
                <w:highlight w:val="none"/>
              </w:rPr>
            </w:pPr>
            <w:r>
              <w:rPr>
                <w:rFonts w:hint="eastAsia" w:ascii="Calibri" w:hAnsi="Calibri"/>
                <w:color w:val="auto"/>
                <w:szCs w:val="24"/>
                <w:highlight w:val="none"/>
              </w:rPr>
              <w:t xml:space="preserve">其他</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存储器</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1、双2.5G网口；</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2、支持10、25GbE网卡；</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3、电脑自动备份；</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4、4t*4块。</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其他</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numPr>
                <w:ilvl w:val="0"/>
                <w:numId w:val="8"/>
              </w:num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移动白板</w:t>
            </w:r>
            <w:r/>
          </w:p>
        </w:tc>
        <w:tc>
          <w:tcPr>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1、参考尺寸：1800*900mm</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2、双面磁性可移动白板；</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3、一键可翻转。</w:t>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rPr>
                <w:rFonts w:hint="eastAsia" w:ascii="宋体" w:hAnsi="宋体" w:cs="宋体"/>
                <w:color w:val="auto"/>
                <w:szCs w:val="21"/>
                <w:highlight w:val="none"/>
              </w:rPr>
            </w:pPr>
            <w:r>
              <w:rPr>
                <w:rFonts w:hint="eastAsia" w:ascii="Calibri" w:hAnsi="Calibri"/>
                <w:color w:val="auto"/>
                <w:szCs w:val="24"/>
                <w:highlight w:val="none"/>
              </w:rPr>
              <w:t xml:space="preserve">其他</w:t>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t xml:space="preserve"> </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（1）供应商中标后，应提供产品材质清单、原材料产地证明，需就拟投入本项目生产的原材料和主要辅材进行送检，送检内容和受检机构需经采购人认可。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★（二）商务要求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2.实施要求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（1）总体要求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供应商中标后提供设备安装日程计划。</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（2）质量要求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（3）安全实施要求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供应商应采取安全措施，确保实施安全。因本项目实施产生的实施人员和学校师生人身安全问题由供应商承担全部责任。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①本项目所有产品质保期限为3年（自验收报告签字确认日起，开始进入质保期）。质保期内，每年维护保养1次，维护保养及更换损坏件的费用包含在投标总价中。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②质保期内产品的一切质量问题，更换部件及产品本身质量原因造成的直接经济损失全部由中标供应商负责。无法短时间完成维修的，应向采购人提供应急备用产品。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质保期外，中标供应商提供终生服务，在货物的设计使用寿命周期内，中标供应商能保证采购人更换到原厂正宗的备件材料，确保产品的正常使用。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⑤供应商提供售后服务承诺书，包括质保期、质量问题处理方法。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⑥供应商必须通过“南京市教育装备项目管理平台”提供售后维护维保服务。南京市教育装备项目管理平台网址：</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"http://nj.cneefix.com" </w:instrText>
      </w:r>
      <w:r>
        <w:rPr>
          <w:rFonts w:ascii="宋体" w:hAnsi="宋体" w:cs="宋体"/>
          <w:color w:val="auto"/>
          <w:sz w:val="24"/>
          <w:szCs w:val="24"/>
          <w:highlight w:val="none"/>
        </w:rPr>
        <w:fldChar w:fldCharType="separate"/>
      </w:r>
      <w:r>
        <w:rPr>
          <w:rStyle w:val="807"/>
          <w:rFonts w:hint="eastAsia" w:cs="宋体"/>
          <w:color w:val="auto"/>
          <w:sz w:val="24"/>
          <w:highlight w:val="none"/>
        </w:rPr>
        <w:t xml:space="preserve">http://nj.cneefix.com</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以第三章合同文本内容为准。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4.交付时间及地点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（1）交付时间：采购人确认现场满足条件及合同签订后，30天内交付并完成安装调试及验收等相关工作。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bCs/>
          <w:color w:val="auto"/>
          <w:sz w:val="24"/>
          <w:szCs w:val="24"/>
          <w:highlight w:val="none"/>
        </w:rPr>
        <w:t xml:space="preserve">其他要求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360" w:lineRule="auto"/>
        <w:rPr>
          <w:rFonts w:ascii="宋体" w:hAnsi="宋体" w:cs="宋体"/>
          <w:b/>
          <w:bCs/>
          <w:color w:val="auto"/>
          <w:sz w:val="24"/>
          <w:szCs w:val="24"/>
          <w:highlight w:val="none"/>
        </w:rPr>
      </w:pPr>
      <w:r/>
      <w:bookmarkStart w:id="73" w:name="OLE_LINK102"/>
      <w:r/>
      <w:bookmarkStart w:id="74" w:name="OLE_LINK101"/>
      <w:r>
        <w:rPr>
          <w:rFonts w:hint="eastAsia" w:ascii="宋体" w:hAnsi="宋体" w:cs="宋体"/>
          <w:b/>
          <w:bCs/>
          <w:color w:val="auto"/>
          <w:sz w:val="24"/>
          <w:szCs w:val="24"/>
          <w:highlight w:val="none"/>
        </w:rPr>
        <w:t xml:space="preserve">（三）演示要求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bookmarkEnd w:id="73"/>
      <w:r/>
      <w:bookmarkEnd w:id="74"/>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（四）图纸</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6039485" cy="4267200"/>
                <wp:effectExtent l="0" t="0" r="0" b="0"/>
                <wp:docPr id="121" name="图片 139"/>
                <wp:cNvGraphicFramePr/>
                <a:graphic xmlns:a="http://schemas.openxmlformats.org/drawingml/2006/main">
                  <a:graphicData uri="http://schemas.openxmlformats.org/drawingml/2006/picture">
                    <pic:pic xmlns:pic="http://schemas.openxmlformats.org/drawingml/2006/picture">
                      <pic:nvPicPr>
                        <pic:cNvPr id="139" name="图片 139"/>
                        <pic:cNvPicPr/>
                        <pic:nvPr/>
                      </pic:nvPicPr>
                      <pic:blipFill>
                        <a:blip r:embed="rId50"/>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475.5pt;height:336.0pt;mso-wrap-distance-left:0.0pt;mso-wrap-distance-top:0.0pt;mso-wrap-distance-right:0.0pt;mso-wrap-distance-bottom:0.0pt;" stroked="f">
                <v:path textboxrect="0,0,0,0"/>
                <v:imagedata r:id="rId50" o:title=""/>
              </v:shape>
            </w:pict>
          </mc:Fallback>
        </mc:AlternateConten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6039485" cy="4267200"/>
                <wp:effectExtent l="0" t="0" r="0" b="0"/>
                <wp:docPr id="122" name="图片 140"/>
                <wp:cNvGraphicFramePr/>
                <a:graphic xmlns:a="http://schemas.openxmlformats.org/drawingml/2006/main">
                  <a:graphicData uri="http://schemas.openxmlformats.org/drawingml/2006/picture">
                    <pic:pic xmlns:pic="http://schemas.openxmlformats.org/drawingml/2006/picture">
                      <pic:nvPicPr>
                        <pic:cNvPr id="140" name="图片 140"/>
                        <pic:cNvPicPr/>
                        <pic:nvPr/>
                      </pic:nvPicPr>
                      <pic:blipFill>
                        <a:blip r:embed="rId51"/>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475.5pt;height:336.0pt;mso-wrap-distance-left:0.0pt;mso-wrap-distance-top:0.0pt;mso-wrap-distance-right:0.0pt;mso-wrap-distance-bottom:0.0pt;" stroked="f">
                <v:path textboxrect="0,0,0,0"/>
                <v:imagedata r:id="rId51" o:title=""/>
              </v:shape>
            </w:pict>
          </mc:Fallback>
        </mc:AlternateConten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6039485" cy="4267200"/>
                <wp:effectExtent l="0" t="0" r="0" b="0"/>
                <wp:docPr id="123" name="图片 141"/>
                <wp:cNvGraphicFramePr/>
                <a:graphic xmlns:a="http://schemas.openxmlformats.org/drawingml/2006/main">
                  <a:graphicData uri="http://schemas.openxmlformats.org/drawingml/2006/picture">
                    <pic:pic xmlns:pic="http://schemas.openxmlformats.org/drawingml/2006/picture">
                      <pic:nvPicPr>
                        <pic:cNvPr id="141" name="图片 141"/>
                        <pic:cNvPicPr/>
                        <pic:nvPr/>
                      </pic:nvPicPr>
                      <pic:blipFill>
                        <a:blip r:embed="rId52"/>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475.5pt;height:336.0pt;mso-wrap-distance-left:0.0pt;mso-wrap-distance-top:0.0pt;mso-wrap-distance-right:0.0pt;mso-wrap-distance-bottom:0.0pt;" stroked="f">
                <v:path textboxrect="0,0,0,0"/>
                <v:imagedata r:id="rId52" o:title=""/>
              </v:shape>
            </w:pict>
          </mc:Fallback>
        </mc:AlternateConten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6039485" cy="4267200"/>
                <wp:effectExtent l="0" t="0" r="0" b="0"/>
                <wp:docPr id="124" name="图片 142"/>
                <wp:cNvGraphicFramePr/>
                <a:graphic xmlns:a="http://schemas.openxmlformats.org/drawingml/2006/main">
                  <a:graphicData uri="http://schemas.openxmlformats.org/drawingml/2006/picture">
                    <pic:pic xmlns:pic="http://schemas.openxmlformats.org/drawingml/2006/picture">
                      <pic:nvPicPr>
                        <pic:cNvPr id="142" name="图片 142"/>
                        <pic:cNvPicPr/>
                        <pic:nvPr/>
                      </pic:nvPicPr>
                      <pic:blipFill>
                        <a:blip r:embed="rId53"/>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475.5pt;height:336.0pt;mso-wrap-distance-left:0.0pt;mso-wrap-distance-top:0.0pt;mso-wrap-distance-right:0.0pt;mso-wrap-distance-bottom:0.0pt;" stroked="f">
                <v:path textboxrect="0,0,0,0"/>
                <v:imagedata r:id="rId53" o:title=""/>
              </v:shape>
            </w:pict>
          </mc:Fallback>
        </mc:AlternateConten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6039485" cy="4267200"/>
                <wp:effectExtent l="0" t="0" r="0" b="0"/>
                <wp:docPr id="125" name="图片 143"/>
                <wp:cNvGraphicFramePr/>
                <a:graphic xmlns:a="http://schemas.openxmlformats.org/drawingml/2006/main">
                  <a:graphicData uri="http://schemas.openxmlformats.org/drawingml/2006/picture">
                    <pic:pic xmlns:pic="http://schemas.openxmlformats.org/drawingml/2006/picture">
                      <pic:nvPicPr>
                        <pic:cNvPr id="143" name="图片 143"/>
                        <pic:cNvPicPr/>
                        <pic:nvPr/>
                      </pic:nvPicPr>
                      <pic:blipFill>
                        <a:blip r:embed="rId54"/>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475.5pt;height:336.0pt;mso-wrap-distance-left:0.0pt;mso-wrap-distance-top:0.0pt;mso-wrap-distance-right:0.0pt;mso-wrap-distance-bottom:0.0pt;" stroked="f">
                <v:path textboxrect="0,0,0,0"/>
                <v:imagedata r:id="rId54" o:title=""/>
              </v:shape>
            </w:pict>
          </mc:Fallback>
        </mc:AlternateConten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6039485" cy="4267200"/>
                <wp:effectExtent l="0" t="0" r="0" b="0"/>
                <wp:docPr id="126" name="图片 144"/>
                <wp:cNvGraphicFramePr/>
                <a:graphic xmlns:a="http://schemas.openxmlformats.org/drawingml/2006/main">
                  <a:graphicData uri="http://schemas.openxmlformats.org/drawingml/2006/picture">
                    <pic:pic xmlns:pic="http://schemas.openxmlformats.org/drawingml/2006/picture">
                      <pic:nvPicPr>
                        <pic:cNvPr id="144" name="图片 144"/>
                        <pic:cNvPicPr/>
                        <pic:nvPr/>
                      </pic:nvPicPr>
                      <pic:blipFill>
                        <a:blip r:embed="rId55"/>
                        <a:stretch/>
                      </pic:blipFill>
                      <pic:spPr bwMode="auto">
                        <a:xfrm>
                          <a:off x="0" y="0"/>
                          <a:ext cx="6039612" cy="426726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475.5pt;height:336.0pt;mso-wrap-distance-left:0.0pt;mso-wrap-distance-top:0.0pt;mso-wrap-distance-right:0.0pt;mso-wrap-distance-bottom:0.0pt;" stroked="f">
                <v:path textboxrect="0,0,0,0"/>
                <v:imagedata r:id="rId55" o:title=""/>
              </v:shape>
            </w:pict>
          </mc:Fallback>
        </mc:AlternateConten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6039485" cy="4267200"/>
                <wp:effectExtent l="0" t="0" r="0" b="0"/>
                <wp:docPr id="127" name="图片 145"/>
                <wp:cNvGraphicFramePr/>
                <a:graphic xmlns:a="http://schemas.openxmlformats.org/drawingml/2006/main">
                  <a:graphicData uri="http://schemas.openxmlformats.org/drawingml/2006/picture">
                    <pic:pic xmlns:pic="http://schemas.openxmlformats.org/drawingml/2006/picture">
                      <pic:nvPicPr>
                        <pic:cNvPr id="145" name="图片 145"/>
                        <pic:cNvPicPr/>
                        <pic:nvPr/>
                      </pic:nvPicPr>
                      <pic:blipFill>
                        <a:blip r:embed="rId56"/>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475.5pt;height:336.0pt;mso-wrap-distance-left:0.0pt;mso-wrap-distance-top:0.0pt;mso-wrap-distance-right:0.0pt;mso-wrap-distance-bottom:0.0pt;" stroked="f">
                <v:path textboxrect="0,0,0,0"/>
                <v:imagedata r:id="rId56" o:title=""/>
              </v:shape>
            </w:pict>
          </mc:Fallback>
        </mc:AlternateConten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6039485" cy="4267200"/>
                <wp:effectExtent l="0" t="0" r="0" b="0"/>
                <wp:docPr id="128" name="图片 146"/>
                <wp:cNvGraphicFramePr/>
                <a:graphic xmlns:a="http://schemas.openxmlformats.org/drawingml/2006/main">
                  <a:graphicData uri="http://schemas.openxmlformats.org/drawingml/2006/picture">
                    <pic:pic xmlns:pic="http://schemas.openxmlformats.org/drawingml/2006/picture">
                      <pic:nvPicPr>
                        <pic:cNvPr id="146" name="图片 146"/>
                        <pic:cNvPicPr/>
                        <pic:nvPr/>
                      </pic:nvPicPr>
                      <pic:blipFill>
                        <a:blip r:embed="rId57"/>
                        <a:stretch/>
                      </pic:blipFill>
                      <pic:spPr bwMode="auto">
                        <a:xfrm>
                          <a:off x="0" y="0"/>
                          <a:ext cx="6039612" cy="4267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475.5pt;height:336.0pt;mso-wrap-distance-left:0.0pt;mso-wrap-distance-top:0.0pt;mso-wrap-distance-right:0.0pt;mso-wrap-distance-bottom:0.0pt;" stroked="f">
                <v:path textboxrect="0,0,0,0"/>
                <v:imagedata r:id="rId57" o:title=""/>
              </v:shape>
            </w:pict>
          </mc:Fallback>
        </mc:AlternateContent>
      </w:r>
      <w:r/>
    </w:p>
    <w:p>
      <w:pPr>
        <w:pStyle w:val="754"/>
        <w:jc w:val="center"/>
        <w:spacing w:line="360" w:lineRule="auto"/>
        <w:rPr>
          <w:rFonts w:hint="eastAsia" w:ascii="宋体" w:hAnsi="宋体" w:eastAsia="宋体" w:cs="宋体"/>
          <w:color w:val="auto"/>
          <w:szCs w:val="21"/>
          <w:highlight w:val="none"/>
          <w:lang w:val="zh-CN"/>
        </w:rPr>
        <w:outlineLvl w:val="0"/>
      </w:pPr>
      <w:r>
        <w:rPr>
          <w:rFonts w:ascii="宋体" w:hAnsi="宋体" w:eastAsia="宋体" w:cs="宋体"/>
          <w:b/>
          <w:bCs/>
          <w:color w:val="auto"/>
          <w:spacing w:val="-10"/>
          <w:sz w:val="36"/>
          <w:szCs w:val="36"/>
          <w:highlight w:val="none"/>
          <w:lang w:val="zh-CN"/>
        </w:rPr>
        <w:br w:type="page" w:clear="all"/>
      </w:r>
      <w:bookmarkStart w:id="75" w:name="_Toc228350075"/>
      <w:r>
        <w:rPr>
          <w:rFonts w:hint="eastAsia" w:ascii="宋体" w:hAnsi="宋体" w:eastAsia="宋体" w:cs="宋体"/>
          <w:b/>
          <w:bCs/>
          <w:color w:val="auto"/>
          <w:spacing w:val="-10"/>
          <w:sz w:val="36"/>
          <w:szCs w:val="36"/>
          <w:highlight w:val="none"/>
          <w:lang w:val="zh-CN"/>
        </w:rPr>
        <w:t xml:space="preserve">第五章  合同主要条款及格式</w:t>
      </w:r>
      <w:bookmarkEnd w:id="75"/>
      <w:r/>
      <w:bookmarkEnd w:id="27"/>
      <w:r/>
    </w:p>
    <w:p>
      <w:pPr>
        <w:ind w:firstLine="640"/>
        <w:jc w:val="center"/>
        <w:spacing w:line="360" w:lineRule="auto"/>
        <w:widowControl/>
        <w:rPr>
          <w:rFonts w:hint="eastAsia" w:ascii="Calibri" w:hAnsi="Calibri" w:cs="方正小标宋简体"/>
          <w:bCs/>
          <w:color w:val="auto"/>
          <w:sz w:val="32"/>
          <w:szCs w:val="32"/>
          <w:highlight w:val="none"/>
        </w:rPr>
      </w:pPr>
      <w:r/>
      <w:bookmarkStart w:id="76" w:name="_Toc16496"/>
      <w:r>
        <w:rPr>
          <w:rFonts w:hint="eastAsia" w:ascii="Calibri" w:hAnsi="Calibri" w:cs="方正小标宋简体"/>
          <w:bCs/>
          <w:color w:val="auto"/>
          <w:sz w:val="32"/>
          <w:szCs w:val="32"/>
          <w:highlight w:val="none"/>
        </w:rPr>
        <w:t xml:space="preserve">政府采购合同（货物）</w:t>
      </w:r>
      <w:r/>
    </w:p>
    <w:p>
      <w:pPr>
        <w:ind w:firstLine="480"/>
        <w:jc w:val="center"/>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合同编号：</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                                       </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甲方（买方）：南京江北新区管理委员会教育局</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bookmarkStart w:id="77" w:name="OLE_LINK64"/>
      <w:r/>
      <w:bookmarkStart w:id="78" w:name="OLE_LINK65"/>
      <w:r>
        <w:rPr>
          <w:rFonts w:hint="eastAsia" w:ascii="宋体" w:hAnsi="宋体" w:cs="宋体"/>
          <w:color w:val="auto"/>
          <w:sz w:val="24"/>
          <w:szCs w:val="24"/>
          <w:highlight w:val="none"/>
        </w:rPr>
        <w:t xml:space="preserve">卖方</w:t>
      </w:r>
      <w:bookmarkEnd w:id="77"/>
      <w:r/>
      <w:bookmarkEnd w:id="78"/>
      <w:r>
        <w:rPr>
          <w:rFonts w:hint="eastAsia" w:ascii="宋体" w:hAnsi="宋体" w:cs="宋体"/>
          <w:color w:val="auto"/>
          <w:sz w:val="24"/>
          <w:szCs w:val="24"/>
          <w:highlight w:val="none"/>
        </w:rPr>
        <w:t xml:space="preserve">）：</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79" w:name="OLE_LINK59"/>
      <w:r/>
      <w:bookmarkStart w:id="80" w:name="OLE_LINK58"/>
      <w:r>
        <w:rPr>
          <w:rFonts w:hint="eastAsia" w:ascii="宋体" w:hAnsi="宋体" w:cs="宋体"/>
          <w:color w:val="auto"/>
          <w:sz w:val="24"/>
          <w:szCs w:val="24"/>
          <w:highlight w:val="none"/>
        </w:rPr>
        <w:t xml:space="preserve">南京市江北新区公共工程建设中心</w:t>
      </w:r>
      <w:bookmarkEnd w:id="79"/>
      <w:r/>
      <w:bookmarkEnd w:id="80"/>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鉴于受托代建单位</w:t>
      </w:r>
      <w:bookmarkStart w:id="81" w:name="OLE_LINK73"/>
      <w:r/>
      <w:bookmarkStart w:id="82" w:name="OLE_LINK72"/>
      <w:r>
        <w:rPr>
          <w:rFonts w:hint="eastAsia" w:ascii="宋体" w:hAnsi="宋体" w:cs="宋体"/>
          <w:color w:val="auto"/>
          <w:sz w:val="24"/>
          <w:szCs w:val="24"/>
          <w:highlight w:val="none"/>
        </w:rPr>
        <w:t xml:space="preserve">南京市江北新区公共工程建设中心</w:t>
      </w:r>
      <w:bookmarkEnd w:id="81"/>
      <w:r/>
      <w:bookmarkEnd w:id="82"/>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auto"/>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auto"/>
          <w:sz w:val="24"/>
          <w:szCs w:val="24"/>
          <w:highlight w:val="none"/>
          <w:u w:val="single"/>
        </w:rPr>
        <w:t xml:space="preserve">南京师范大学附属中学江北新区学校新建工程项目功能室设备采购</w:t>
      </w:r>
      <w:r>
        <w:rPr>
          <w:rFonts w:hint="eastAsia" w:ascii="宋体" w:hAnsi="宋体" w:cs="宋体"/>
          <w:color w:val="auto"/>
          <w:sz w:val="24"/>
          <w:szCs w:val="24"/>
          <w:highlight w:val="none"/>
        </w:rPr>
        <w:t xml:space="preserve">及有关事项协商一致，共同达成如下协议：</w:t>
      </w:r>
      <w:r/>
    </w:p>
    <w:p>
      <w:pPr>
        <w:ind w:firstLine="482"/>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一、合同内容</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1.1标的名称：</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1.2标的质量：【按采购文件及投标文件执行】</w:t>
      </w:r>
      <w:r/>
    </w:p>
    <w:p>
      <w:pPr>
        <w:ind w:firstLine="480"/>
        <w:jc w:val="left"/>
        <w:spacing w:line="360" w:lineRule="auto"/>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1.3标的数量（规模）：</w:t>
      </w:r>
      <w:r/>
    </w:p>
    <w:tbl>
      <w:tblPr>
        <w:tblStyle w:val="689"/>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4" w:space="0"/>
              <w:left w:val="none" w:color="000000" w:sz="4" w:space="0"/>
              <w:bottom w:val="none" w:color="000000" w:sz="4" w:space="0"/>
              <w:right w:val="none" w:color="000000" w:sz="4" w:space="0"/>
            </w:tcBorders>
            <w:tcW w:w="9639" w:type="dxa"/>
            <w:vAlign w:val="top"/>
            <w:textDirection w:val="lrTb"/>
            <w:noWrap w:val="false"/>
          </w:tcPr>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乙方根据甲方需求提供下列货物：</w:t>
            </w:r>
            <w:r/>
          </w:p>
          <w:tbl>
            <w:tblPr>
              <w:tblStyle w:val="689"/>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w:t>
                  </w:r>
                  <w:r/>
                </w:p>
              </w:tc>
              <w:tc>
                <w:tcPr>
                  <w:tcW w:w="1545"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45"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30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45"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ind w:firstLine="480"/>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1.4履行时间（期限）：【按采购文件及投标文件执行】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1.5履行地点：【按采购文件及投标文件执行】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1.6履行方式：【按采购文件及投标文件执行】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1.7包装方式：【按采购文件及投标文件执行】</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二、合同金额</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2.1本合同金额为（大写）：______________（____________________元）人民币。</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三、技术资料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3.1乙方应按采购文件规定的时间向甲方（或丙方）提供货物（包含与货物相关的服务）的有关技术资料。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3.2没有甲方（或丙方）事先书面同意，乙方不得将由甲</w:t>
      </w:r>
      <w:r>
        <w:rPr>
          <w:rFonts w:hint="eastAsia" w:ascii="宋体" w:hAnsi="宋体" w:cs="宋体"/>
          <w:color w:val="auto"/>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四、知识产权</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五、产权担保</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5.1乙方保证所交付的货物（包含与货物相关的服务）的所有权完全属于乙方且无任何抵押、查封等产权瑕疵。</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六、履约保证金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6.1本项目乙方无需缴纳履约保证金。</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七、合同转包或分包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7.1乙方不得将合同标的转包给他人履行。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7.2除采购文件接受分包并经甲方同意，乙方可按分包意向协议分包情况外，乙方不得将合同标的分包给他人履行。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7.3乙方如有转包或未经甲方同意的分包行为，甲方有权终止合同。</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八、合同款项支付</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8.1合同签订后支付合同总额10%的预付款。</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8.2施工、安装、调试完毕，由甲方组织相关学校进行验收，验收合格并由乙方协助学校完成资产入库登记，六个月内支付合同总额的50%。</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8.3在本工程项目竣工验收合格，一年内支付合同总额的35%，剩余5%为质保金。</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8.4质保金在质保期满后一次性付清。</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8.5具体支付依据当年新区财政资金状况而定。</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8.6发票及付款流程</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8.6.1乙方所开发票名称为“南京江北新区管理委员会教育局”，依据付款要求，提供相应材料。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九、税费</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9.1本合同执行中的相关税费均由乙方负担。</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十、质量保修范围和保修期及售后服务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10.1乙方应按采购文件规定的货物性能、技术要求、质量标准向甲方提供未经使用的全新产品。</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10.2乙方提供的货物在质保期内因货物本身的质量问题发生故障，乙方应负责免费更换。对达不到技术要求者，根据实际情况，经双方协商可按以下方式处理：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10.2.1更换：由乙方承担所发生的全部费用。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10.2.2贬值处理：由甲乙双方合议定价。</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10.2.3退货处理：乙方应退还甲方支付的合同款，同时应承担该货物的直接费用（运输、保险、检验、货款利息及银行手续费等）。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10.3如在使用过程中发生质量问题，乙方应在接到甲方通知后【1】小时内到达甲方现场。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10.4质保期内，乙方应对货物出现的质量及安全问题负责处理解决并承担一切费用。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w:t>
      </w:r>
      <w:bookmarkStart w:id="83" w:name="OLE_LINK5"/>
      <w:r>
        <w:rPr>
          <w:rFonts w:hint="eastAsia" w:ascii="宋体" w:hAnsi="宋体" w:cs="宋体"/>
          <w:color w:val="auto"/>
          <w:sz w:val="24"/>
          <w:szCs w:val="24"/>
          <w:highlight w:val="none"/>
        </w:rPr>
        <w:t xml:space="preserve">质保期</w:t>
      </w:r>
      <w:bookmarkEnd w:id="83"/>
      <w:r>
        <w:rPr>
          <w:rFonts w:hint="eastAsia" w:ascii="宋体" w:hAnsi="宋体" w:cs="宋体"/>
          <w:color w:val="auto"/>
          <w:sz w:val="24"/>
          <w:szCs w:val="24"/>
          <w:highlight w:val="none"/>
        </w:rPr>
        <w:t xml:space="preserve">为自交货验收合格之日起【</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】年，因人为因素出现的故障不在质保范围内。超过质保期的乙方负责终身维修，维修时只收取部件成本费。</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11.1甲方依法组织履约验收工作，具体工作由甲方委托丙方组织进行，乙方必须服从丙方安排。</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11.3对于实际使用人和甲方（或丙方）分离的项目，甲方（或丙方）邀请实际使用人参与验收。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11.4如有必要，甲方（或丙方）可邀请参加本项目投标的其他供应商或第三方专业机构及专家参与验收，相关意见将作为验收结论的参考。</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十二、货物的包装、发运及运输</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12.2使用说明书、质量检验证明书、随配附件和工具以及清单一并附于货物内。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12.3乙方在货物发运手续办理完毕后24小时内或货到甲方（或丙方）48小时前通知甲方（或丙方），以准备接货。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12.4货物在交付甲方（或丙方）前发生的风险均由乙方负责。</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12.5货物在规定的交付期限内由乙方送达甲方（或丙方）指定的地点视为交付，乙方同时需通知甲方（或丙方）货物已送达。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19.2本合同正本叁份、副本肆份，具有同等法律效力，甲方、乙方、丙方各执正本1份，副本1份，1份副本交采购机构存档。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84"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84"/>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color w:val="auto"/>
          <w:highlight w:val="none"/>
        </w:rPr>
      </w:pPr>
      <w:r>
        <w:rPr>
          <w:rFonts w:hint="eastAsia" w:ascii="Calibri" w:hAnsi="Calibri"/>
          <w:color w:val="auto"/>
          <w:sz w:val="24"/>
          <w:szCs w:val="22"/>
          <w:highlight w:val="none"/>
          <w:lang w:bidi="ar"/>
        </w:rPr>
        <w:t xml:space="preserve">签订日期：</w:t>
      </w:r>
      <w:r/>
    </w:p>
    <w:p>
      <w:pPr>
        <w:ind w:firstLine="420"/>
        <w:spacing w:before="120" w:after="120"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left="560"/>
        <w:jc w:val="center"/>
        <w:spacing w:line="360" w:lineRule="auto"/>
        <w:rPr>
          <w:rFonts w:hint="eastAsia" w:ascii="宋体" w:hAnsi="宋体" w:cs="宋体"/>
          <w:b/>
          <w:bCs/>
          <w:color w:val="auto"/>
          <w:sz w:val="36"/>
          <w:szCs w:val="36"/>
          <w:highlight w:val="none"/>
          <w:lang w:val="zh-CN"/>
        </w:rPr>
        <w:outlineLvl w:val="0"/>
      </w:pPr>
      <w:r>
        <w:rPr>
          <w:rFonts w:ascii="宋体" w:hAnsi="宋体" w:cs="宋体"/>
          <w:b/>
          <w:bCs/>
          <w:color w:val="auto"/>
          <w:sz w:val="36"/>
          <w:szCs w:val="36"/>
          <w:highlight w:val="none"/>
          <w:lang w:val="zh-CN"/>
        </w:rPr>
        <w:br w:type="page" w:clear="all"/>
      </w:r>
      <w:bookmarkStart w:id="85" w:name="_Toc228350076"/>
      <w:r>
        <w:rPr>
          <w:rFonts w:hint="eastAsia" w:ascii="宋体" w:hAnsi="宋体" w:cs="宋体"/>
          <w:b/>
          <w:bCs/>
          <w:color w:val="auto"/>
          <w:sz w:val="36"/>
          <w:szCs w:val="36"/>
          <w:highlight w:val="none"/>
          <w:lang w:val="zh-CN"/>
        </w:rPr>
        <w:t xml:space="preserve">第六章  </w:t>
      </w:r>
      <w:r>
        <w:rPr>
          <w:rFonts w:hint="eastAsia" w:ascii="宋体" w:hAnsi="宋体" w:cs="宋体"/>
          <w:b/>
          <w:bCs/>
          <w:color w:val="auto"/>
          <w:sz w:val="36"/>
          <w:szCs w:val="36"/>
          <w:highlight w:val="none"/>
        </w:rPr>
        <w:t xml:space="preserve">投标文件</w:t>
      </w:r>
      <w:r>
        <w:rPr>
          <w:rFonts w:hint="eastAsia" w:ascii="宋体" w:hAnsi="宋体" w:cs="宋体"/>
          <w:b/>
          <w:bCs/>
          <w:color w:val="auto"/>
          <w:sz w:val="36"/>
          <w:szCs w:val="36"/>
          <w:highlight w:val="none"/>
          <w:lang w:val="zh-CN"/>
        </w:rPr>
        <w:t xml:space="preserve">格式及附件</w:t>
      </w:r>
      <w:bookmarkEnd w:id="76"/>
      <w:r/>
      <w:bookmarkEnd w:id="85"/>
      <w:r/>
      <w:r/>
    </w:p>
    <w:p>
      <w:pPr>
        <w:ind w:left="560"/>
        <w:jc w:val="center"/>
        <w:spacing w:line="360" w:lineRule="auto"/>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投标文件</w:t>
      </w:r>
      <w:r/>
    </w:p>
    <w:p>
      <w:pPr>
        <w:ind w:firstLine="3708"/>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编 号：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 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宋体" w:hAnsi="宋体" w:cs="宋体"/>
          <w:b/>
          <w:color w:val="auto"/>
          <w:sz w:val="24"/>
          <w:szCs w:val="24"/>
          <w:highlight w:val="none"/>
        </w:rPr>
        <w:outlineLvl w:val="1"/>
      </w:pPr>
      <w:r>
        <w:rPr>
          <w:rFonts w:ascii="宋体" w:hAnsi="宋体" w:cs="宋体"/>
          <w:b/>
          <w:color w:val="auto"/>
          <w:sz w:val="24"/>
          <w:szCs w:val="24"/>
          <w:highlight w:val="none"/>
          <w:lang w:val="zh-CN"/>
        </w:rPr>
        <w:br w:type="page" w:clear="all"/>
      </w:r>
      <w:bookmarkStart w:id="86" w:name="_Toc228350077"/>
      <w:r>
        <w:rPr>
          <w:rFonts w:hint="eastAsia" w:ascii="宋体" w:hAnsi="宋体" w:cs="宋体"/>
          <w:b/>
          <w:color w:val="auto"/>
          <w:sz w:val="24"/>
          <w:szCs w:val="24"/>
          <w:highlight w:val="none"/>
          <w:lang w:val="zh-CN"/>
        </w:rPr>
        <w:t xml:space="preserve">附件一、投标申请及声明格式</w:t>
      </w:r>
      <w:bookmarkEnd w:id="86"/>
      <w:r/>
      <w:r/>
    </w:p>
    <w:p>
      <w:pPr>
        <w:jc w:val="center"/>
        <w:spacing w:before="120" w:after="120" w:line="360" w:lineRule="auto"/>
        <w:rPr>
          <w:rFonts w:hint="eastAsia" w:ascii="宋体" w:hAnsi="宋体" w:cs="宋体"/>
          <w:b/>
          <w:bCs/>
          <w:color w:val="auto"/>
          <w:sz w:val="28"/>
          <w:szCs w:val="28"/>
          <w:highlight w:val="none"/>
        </w:rPr>
      </w:pPr>
      <w:r/>
      <w:bookmarkStart w:id="87" w:name="_Toc4379"/>
      <w:r/>
      <w:bookmarkStart w:id="88" w:name="_Toc30921"/>
      <w:r/>
      <w:bookmarkStart w:id="89" w:name="_Toc32604"/>
      <w:r>
        <w:rPr>
          <w:rFonts w:hint="eastAsia" w:ascii="宋体" w:hAnsi="宋体" w:cs="宋体"/>
          <w:b/>
          <w:bCs/>
          <w:color w:val="auto"/>
          <w:sz w:val="28"/>
          <w:szCs w:val="28"/>
          <w:highlight w:val="none"/>
          <w:lang w:val="zh-CN"/>
        </w:rPr>
        <w:t xml:space="preserve">投标申请及声明</w:t>
      </w:r>
      <w:bookmarkEnd w:id="87"/>
      <w:r/>
      <w:bookmarkEnd w:id="88"/>
      <w:r/>
      <w:bookmarkEnd w:id="89"/>
      <w:r/>
      <w:r/>
    </w:p>
    <w:p>
      <w:pPr>
        <w:pStyle w:val="1290"/>
        <w:spacing w:line="360" w:lineRule="auto"/>
        <w:rPr>
          <w:rFonts w:hint="eastAsia" w:hAnsi="宋体" w:cs="宋体"/>
          <w:color w:val="auto"/>
          <w:sz w:val="24"/>
          <w:szCs w:val="24"/>
          <w:highlight w:val="none"/>
        </w:rPr>
      </w:pPr>
      <w:r/>
      <w:bookmarkStart w:id="90" w:name="_Toc27899"/>
      <w:r/>
      <w:bookmarkStart w:id="91" w:name="_Toc18647"/>
      <w:r>
        <w:rPr>
          <w:rFonts w:hint="eastAsia" w:hAnsi="宋体" w:cs="宋体"/>
          <w:color w:val="auto"/>
          <w:sz w:val="24"/>
          <w:szCs w:val="24"/>
          <w:highlight w:val="none"/>
          <w:lang w:val="zh-CN"/>
        </w:rPr>
        <w:t xml:space="preserve">致：招标人：</w:t>
      </w:r>
      <w:bookmarkEnd w:id="90"/>
      <w:r/>
      <w:bookmarkEnd w:id="91"/>
      <w:r>
        <w:rPr>
          <w:rFonts w:hint="eastAsia" w:hAnsi="宋体" w:cs="宋体"/>
          <w:color w:val="auto"/>
          <w:sz w:val="24"/>
          <w:szCs w:val="24"/>
          <w:highlight w:val="none"/>
          <w:u w:val="single"/>
          <w:lang w:val="zh-CN"/>
        </w:rPr>
        <w:t xml:space="preserve"> 南京江北新区管理委员会教育局</w:t>
      </w:r>
      <w:r/>
    </w:p>
    <w:p>
      <w:pPr>
        <w:pStyle w:val="1290"/>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   </w:t>
      </w:r>
      <w:bookmarkStart w:id="92" w:name="_Toc4607"/>
      <w:r/>
      <w:bookmarkStart w:id="93" w:name="_Toc9373"/>
      <w:r>
        <w:rPr>
          <w:rFonts w:hint="eastAsia" w:hAnsi="宋体" w:cs="宋体"/>
          <w:color w:val="auto"/>
          <w:sz w:val="24"/>
          <w:szCs w:val="24"/>
          <w:highlight w:val="none"/>
          <w:lang w:val="zh-CN"/>
        </w:rPr>
        <w:t xml:space="preserve">根据贵方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zh-CN"/>
        </w:rPr>
        <w:t xml:space="preserve">（项目名称）</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zh-CN"/>
        </w:rPr>
        <w:t xml:space="preserve">（项目编号）</w:t>
      </w:r>
      <w:r>
        <w:rPr>
          <w:rFonts w:hint="eastAsia" w:hAnsi="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rPr>
        <w:t xml:space="preserve">     </w:t>
      </w:r>
      <w:r>
        <w:rPr>
          <w:rFonts w:hint="eastAsia" w:hAnsi="宋体" w:cs="宋体"/>
          <w:color w:val="auto"/>
          <w:sz w:val="24"/>
          <w:szCs w:val="24"/>
          <w:highlight w:val="none"/>
          <w:lang w:val="zh-CN"/>
        </w:rPr>
        <w:t xml:space="preserve">(姓名和职务)代表投标人</w:t>
      </w:r>
      <w:r>
        <w:rPr>
          <w:rFonts w:hint="eastAsia" w:hAnsi="宋体" w:cs="宋体"/>
          <w:color w:val="auto"/>
          <w:sz w:val="24"/>
          <w:szCs w:val="24"/>
          <w:highlight w:val="none"/>
          <w:u w:val="single"/>
        </w:rPr>
        <w:t xml:space="preserve">                 </w:t>
      </w:r>
      <w:r>
        <w:rPr>
          <w:rFonts w:hint="eastAsia" w:hAnsi="宋体" w:cs="宋体"/>
          <w:color w:val="auto"/>
          <w:sz w:val="24"/>
          <w:szCs w:val="24"/>
          <w:highlight w:val="none"/>
          <w:lang w:val="zh-CN"/>
        </w:rPr>
        <w:t xml:space="preserve">（投标人名称），提交投标文件。</w:t>
      </w:r>
      <w:bookmarkEnd w:id="92"/>
      <w:r/>
      <w:bookmarkEnd w:id="93"/>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w:t>
      </w:r>
      <w:r>
        <w:rPr>
          <w:rFonts w:hint="eastAsia" w:ascii="宋体" w:hAnsi="宋体" w:cs="宋体"/>
          <w:b/>
          <w:color w:val="auto"/>
          <w:sz w:val="24"/>
          <w:szCs w:val="24"/>
          <w:highlight w:val="none"/>
          <w:lang w:val="zh-CN"/>
        </w:rPr>
        <w:t xml:space="preserve">我们的资格条件完全符合政府采购法和本次招标要求</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我们</w:t>
      </w:r>
      <w:r>
        <w:rPr>
          <w:rFonts w:hint="eastAsia" w:ascii="宋体" w:hAnsi="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按招标要求，我们的投标总报价为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（大写）元人民币。其中，小型企业的产品为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（大写）元人民币。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auto"/>
          <w:sz w:val="24"/>
          <w:szCs w:val="24"/>
          <w:highlight w:val="none"/>
          <w:lang w:val="zh-CN"/>
        </w:rPr>
        <w:t xml:space="preserve">不对招标文件本身提出质疑</w:t>
      </w:r>
      <w:r>
        <w:rPr>
          <w:rFonts w:hint="eastAsia" w:ascii="宋体" w:hAnsi="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、与本投标有关的正式联系方式为：</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地址：</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电话：</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传真：</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银行账号：</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供应商授权代表姓名（签字）：</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供应商名称：（盖章）</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spacing w:line="360" w:lineRule="auto"/>
        <w:rPr>
          <w:rFonts w:hint="eastAsia" w:ascii="宋体" w:hAnsi="宋体" w:cs="宋体"/>
          <w:color w:val="auto"/>
          <w:sz w:val="24"/>
          <w:szCs w:val="24"/>
          <w:highlight w:val="none"/>
        </w:rPr>
        <w:outlineLvl w:val="1"/>
      </w:pPr>
      <w:r>
        <w:rPr>
          <w:rFonts w:ascii="宋体" w:hAnsi="宋体" w:cs="宋体"/>
          <w:b/>
          <w:color w:val="auto"/>
          <w:sz w:val="24"/>
          <w:szCs w:val="24"/>
          <w:highlight w:val="none"/>
          <w:lang w:val="zh-CN"/>
        </w:rPr>
        <w:br w:type="page" w:clear="all"/>
      </w:r>
      <w:bookmarkStart w:id="94" w:name="_Toc228350078"/>
      <w:r>
        <w:rPr>
          <w:rFonts w:hint="eastAsia" w:ascii="宋体" w:hAnsi="宋体" w:cs="宋体"/>
          <w:b/>
          <w:color w:val="auto"/>
          <w:sz w:val="24"/>
          <w:szCs w:val="24"/>
          <w:highlight w:val="none"/>
          <w:lang w:val="zh-CN"/>
        </w:rPr>
        <w:t xml:space="preserve">附件二、法定代表人授权书格式</w:t>
      </w:r>
      <w:bookmarkEnd w:id="94"/>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法定代表人授权委托书</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南京江北新区管理委员会教育局、捷宏润安工程顾问（江苏）有限公司 ：</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本授权书声明：注册于</w:t>
      </w:r>
      <w:r>
        <w:rPr>
          <w:rFonts w:hint="eastAsia" w:ascii="宋体" w:hAnsi="宋体" w:cs="宋体"/>
          <w:color w:val="auto"/>
          <w:sz w:val="24"/>
          <w:szCs w:val="24"/>
          <w:highlight w:val="none"/>
          <w:u w:val="single"/>
          <w:lang w:val="zh-CN"/>
        </w:rPr>
        <w:t xml:space="preserve">             （投标人住址）</w:t>
      </w:r>
      <w:r>
        <w:rPr>
          <w:rFonts w:hint="eastAsia" w:ascii="宋体" w:hAnsi="宋体" w:cs="宋体"/>
          <w:color w:val="auto"/>
          <w:sz w:val="24"/>
          <w:szCs w:val="24"/>
          <w:highlight w:val="none"/>
          <w:lang w:val="zh-CN"/>
        </w:rPr>
        <w:t xml:space="preserve">的 </w:t>
      </w:r>
      <w:r>
        <w:rPr>
          <w:rFonts w:hint="eastAsia" w:ascii="宋体" w:hAnsi="宋体" w:cs="宋体"/>
          <w:color w:val="auto"/>
          <w:sz w:val="24"/>
          <w:szCs w:val="24"/>
          <w:highlight w:val="none"/>
          <w:u w:val="single"/>
          <w:lang w:val="zh-CN"/>
        </w:rPr>
        <w:t xml:space="preserve">       （投标人名称）</w:t>
      </w:r>
      <w:r>
        <w:rPr>
          <w:rFonts w:hint="eastAsia" w:ascii="宋体" w:hAnsi="宋体" w:cs="宋体"/>
          <w:color w:val="auto"/>
          <w:sz w:val="24"/>
          <w:szCs w:val="24"/>
          <w:highlight w:val="none"/>
          <w:lang w:val="zh-CN"/>
        </w:rPr>
        <w:t xml:space="preserve">法定代表人 </w:t>
      </w:r>
      <w:r>
        <w:rPr>
          <w:rFonts w:hint="eastAsia" w:ascii="宋体" w:hAnsi="宋体" w:cs="宋体"/>
          <w:color w:val="auto"/>
          <w:sz w:val="24"/>
          <w:szCs w:val="24"/>
          <w:highlight w:val="none"/>
          <w:u w:val="single"/>
          <w:lang w:val="zh-CN"/>
        </w:rPr>
        <w:t xml:space="preserve">      （法定代表人姓名、职务）</w:t>
      </w:r>
      <w:r>
        <w:rPr>
          <w:rFonts w:hint="eastAsia" w:ascii="宋体" w:hAnsi="宋体" w:cs="宋体"/>
          <w:color w:val="auto"/>
          <w:sz w:val="24"/>
          <w:szCs w:val="24"/>
          <w:highlight w:val="none"/>
          <w:lang w:val="zh-CN"/>
        </w:rPr>
        <w:t xml:space="preserve">代表本公司授权在下面签字的 </w:t>
      </w:r>
      <w:r>
        <w:rPr>
          <w:rFonts w:hint="eastAsia" w:ascii="宋体" w:hAnsi="宋体" w:cs="宋体"/>
          <w:color w:val="auto"/>
          <w:sz w:val="24"/>
          <w:szCs w:val="24"/>
          <w:highlight w:val="none"/>
          <w:u w:val="single"/>
          <w:lang w:val="zh-CN"/>
        </w:rPr>
        <w:t xml:space="preserve">        （投标人代表姓名、职务）</w:t>
      </w:r>
      <w:r>
        <w:rPr>
          <w:rFonts w:hint="eastAsia" w:ascii="宋体" w:hAnsi="宋体" w:cs="宋体"/>
          <w:color w:val="auto"/>
          <w:sz w:val="24"/>
          <w:szCs w:val="24"/>
          <w:highlight w:val="none"/>
          <w:lang w:val="zh-CN"/>
        </w:rPr>
        <w:t xml:space="preserve">为本公司的合法代理人，就贵方组织的</w:t>
      </w:r>
      <w:r>
        <w:rPr>
          <w:rFonts w:hint="eastAsia" w:ascii="宋体" w:hAnsi="宋体" w:cs="宋体"/>
          <w:color w:val="auto"/>
          <w:sz w:val="24"/>
          <w:szCs w:val="24"/>
          <w:highlight w:val="none"/>
          <w:u w:val="single"/>
          <w:lang w:val="zh-CN"/>
        </w:rPr>
        <w:t xml:space="preserve">（项目名称）</w:t>
      </w:r>
      <w:r>
        <w:rPr>
          <w:rFonts w:hint="eastAsia" w:ascii="宋体" w:hAnsi="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法定代表人签字：</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授权委托人签字：        </w:t>
      </w:r>
      <w:r/>
    </w:p>
    <w:p>
      <w:pPr>
        <w:pStyle w:val="1049"/>
        <w:spacing w:line="480" w:lineRule="exact"/>
        <w:tabs>
          <w:tab w:val="left" w:pos="360" w:leader="none"/>
        </w:tabs>
        <w:rPr>
          <w:rFonts w:hint="eastAsia" w:ascii="宋体" w:hAnsi="宋体" w:cs="宋体"/>
          <w:color w:val="auto"/>
          <w:szCs w:val="24"/>
          <w:highlight w:val="none"/>
        </w:rPr>
      </w:pPr>
      <w:r>
        <w:rPr>
          <w:rFonts w:hint="eastAsia" w:ascii="宋体" w:hAnsi="宋体" w:cs="宋体"/>
          <w:color w:val="auto"/>
          <w:szCs w:val="24"/>
          <w:highlight w:val="none"/>
          <w:lang w:val="zh-CN"/>
        </w:rPr>
        <w:t xml:space="preserve">单位名称：（加盖电子公章）   </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    月    日</w:t>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法定代表人</w:t>
      </w:r>
      <w:r>
        <w:rPr>
          <w:rFonts w:hint="eastAsia" w:ascii="宋体" w:hAnsi="宋体" w:cs="宋体"/>
          <w:b/>
          <w:bCs/>
          <w:color w:val="auto"/>
          <w:sz w:val="24"/>
          <w:szCs w:val="24"/>
          <w:highlight w:val="none"/>
        </w:rPr>
        <w:t xml:space="preserve">身份证原件扫描件：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被授权人</w:t>
      </w:r>
      <w:r>
        <w:rPr>
          <w:rFonts w:hint="eastAsia" w:ascii="宋体" w:hAnsi="宋体" w:cs="宋体"/>
          <w:b/>
          <w:bCs/>
          <w:color w:val="auto"/>
          <w:sz w:val="24"/>
          <w:szCs w:val="24"/>
          <w:highlight w:val="none"/>
          <w:lang w:val="zh-CN"/>
        </w:rPr>
        <w:t xml:space="preserve">的身份证明文件的扫描件：</w:t>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rPr>
        <w:outlineLvl w:val="1"/>
      </w:pPr>
      <w:r>
        <w:rPr>
          <w:rFonts w:ascii="宋体" w:hAnsi="宋体" w:cs="宋体"/>
          <w:b/>
          <w:color w:val="auto"/>
          <w:sz w:val="24"/>
          <w:szCs w:val="24"/>
          <w:highlight w:val="none"/>
          <w:lang w:val="zh-CN"/>
        </w:rPr>
        <w:br w:type="page" w:clear="all"/>
      </w:r>
      <w:bookmarkStart w:id="95" w:name="_Toc228350079"/>
      <w:r>
        <w:rPr>
          <w:rFonts w:hint="eastAsia" w:ascii="宋体" w:hAnsi="宋体" w:cs="宋体"/>
          <w:b/>
          <w:color w:val="auto"/>
          <w:sz w:val="24"/>
          <w:szCs w:val="24"/>
          <w:highlight w:val="none"/>
          <w:lang w:val="zh-CN"/>
        </w:rPr>
        <w:t xml:space="preserve">附件三、开标一览表格式</w:t>
      </w:r>
      <w:bookmarkEnd w:id="95"/>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开标一览表</w:t>
      </w:r>
      <w:r/>
    </w:p>
    <w:tbl>
      <w:tblPr>
        <w:tblStyle w:val="689"/>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项目名称： </w:t>
            </w:r>
            <w:r/>
          </w:p>
        </w:tc>
        <w:tc>
          <w:tcPr>
            <w:gridSpan w:val="2"/>
            <w:tcW w:w="3347"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名               称</w:t>
            </w:r>
            <w:r/>
          </w:p>
        </w:tc>
        <w:tc>
          <w:tcPr>
            <w:tcW w:w="8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单位</w:t>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1</w:t>
            </w:r>
            <w:r/>
          </w:p>
        </w:tc>
        <w:tc>
          <w:tcPr>
            <w:gridSpan w:val="2"/>
            <w:tcW w:w="3522" w:type="dxa"/>
            <w:vAlign w:val="center"/>
            <w:textDirection w:val="lrTb"/>
            <w:noWrap w:val="false"/>
          </w:tcPr>
          <w:p>
            <w:pPr>
              <w:spacing w:line="360" w:lineRule="auto"/>
              <w:rPr>
                <w:rFonts w:hint="eastAsia" w:ascii="宋体" w:hAnsi="宋体" w:cs="宋体"/>
                <w:color w:val="auto"/>
                <w:spacing w:val="-2"/>
                <w:sz w:val="24"/>
                <w:szCs w:val="24"/>
                <w:highlight w:val="none"/>
              </w:rPr>
            </w:pPr>
            <w:r>
              <w:rPr>
                <w:rFonts w:hint="eastAsia" w:ascii="宋体" w:hAnsi="宋体" w:cs="宋体"/>
                <w:color w:val="auto"/>
                <w:sz w:val="24"/>
                <w:szCs w:val="24"/>
                <w:highlight w:val="none"/>
              </w:rPr>
              <w:t xml:space="preserve">南京师范大学附属中学江北新区学校新建工程项目功能室设备采购</w:t>
            </w:r>
            <w:r/>
          </w:p>
        </w:tc>
        <w:tc>
          <w:tcPr>
            <w:tcW w:w="872"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10：X</w:t>
            </w:r>
            <w:r/>
          </w:p>
        </w:tc>
      </w:tr>
    </w:tbl>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说明：</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zh-CN"/>
        </w:rPr>
        <w:t xml:space="preserve">、</w:t>
      </w:r>
      <w:r>
        <w:rPr>
          <w:rFonts w:hint="eastAsia" w:ascii="宋体" w:hAnsi="宋体" w:cs="宋体"/>
          <w:color w:val="auto"/>
          <w:sz w:val="24"/>
          <w:szCs w:val="24"/>
          <w:highlight w:val="none"/>
          <w:lang w:val="zh-CN"/>
        </w:rPr>
        <w:t xml:space="preserve">在“投标货物中有无进口产品”栏后“有”或“无”上打“√”。</w:t>
      </w:r>
      <w:r/>
    </w:p>
    <w:p>
      <w:pPr>
        <w:ind w:firstLine="420"/>
        <w:jc w:val="center"/>
        <w:spacing w:line="360" w:lineRule="auto"/>
        <w:widowControl/>
        <w:rPr>
          <w:rFonts w:hint="eastAsia" w:ascii="宋体" w:hAnsi="宋体" w:cs="宋体"/>
          <w:b/>
          <w:bCs/>
          <w:color w:val="auto"/>
          <w:sz w:val="28"/>
          <w:szCs w:val="28"/>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、在“供应商是否属于小和微型企业”栏后“是”或“否”上打“√”。</w:t>
      </w:r>
      <w:r>
        <w:rPr>
          <w:rFonts w:cs="宋体"/>
          <w:color w:val="auto"/>
          <w:sz w:val="24"/>
          <w:szCs w:val="24"/>
          <w:highlight w:val="none"/>
          <w:lang w:val="zh-CN"/>
        </w:rPr>
        <w:br w:type="page" w:clear="all"/>
      </w:r>
      <w:r>
        <w:rPr>
          <w:rFonts w:hint="eastAsia" w:ascii="宋体" w:hAnsi="宋体" w:cs="宋体"/>
          <w:b/>
          <w:bCs/>
          <w:color w:val="auto"/>
          <w:sz w:val="28"/>
          <w:szCs w:val="28"/>
          <w:highlight w:val="none"/>
          <w:lang w:val="zh-CN"/>
        </w:rPr>
        <w:t xml:space="preserve">分项报价表</w:t>
      </w:r>
      <w:r/>
    </w:p>
    <w:tbl>
      <w:tblPr>
        <w:tblStyle w:val="689"/>
        <w:tblW w:w="10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jc w:val="center"/>
          <w:trHeight w:val="624"/>
        </w:trPr>
        <w:tc>
          <w:tcPr>
            <w:tcW w:w="78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shd w:val="clear" w:color="auto" w:fill="ffffff"/>
            <w:tcW w:w="252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产品名称</w:t>
            </w:r>
            <w:r/>
          </w:p>
        </w:tc>
        <w:tc>
          <w:tcPr>
            <w:shd w:val="clear" w:color="auto" w:fill="ffffff"/>
            <w:tcW w:w="2136"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技术参数要求</w:t>
            </w:r>
            <w:r/>
          </w:p>
        </w:tc>
        <w:tc>
          <w:tcPr>
            <w:shd w:val="clear" w:color="auto" w:fill="ffffff"/>
            <w:tcW w:w="816"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单位</w:t>
            </w:r>
            <w:r/>
          </w:p>
        </w:tc>
        <w:tc>
          <w:tcPr>
            <w:shd w:val="clear" w:color="auto" w:fill="ffffff"/>
            <w:tcW w:w="95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数量</w:t>
            </w:r>
            <w:r/>
          </w:p>
        </w:tc>
        <w:tc>
          <w:tcPr>
            <w:shd w:val="clear" w:color="auto" w:fill="ffffff"/>
            <w:tcW w:w="1452" w:type="dxa"/>
            <w:vAlign w:val="center"/>
            <w:textDirection w:val="lrTb"/>
            <w:noWrap w:val="false"/>
          </w:tcPr>
          <w:p>
            <w:pPr>
              <w:jc w:val="center"/>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单价（元）</w:t>
            </w:r>
            <w:r/>
          </w:p>
        </w:tc>
        <w:tc>
          <w:tcPr>
            <w:shd w:val="clear" w:color="auto" w:fill="ffffff"/>
            <w:tcW w:w="1740" w:type="dxa"/>
            <w:vAlign w:val="center"/>
            <w:textDirection w:val="lrTb"/>
            <w:noWrap w:val="false"/>
          </w:tcPr>
          <w:p>
            <w:pPr>
              <w:jc w:val="center"/>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合价（元）</w:t>
            </w:r>
            <w:r/>
          </w:p>
        </w:tc>
      </w:tr>
      <w:tr>
        <w:trPr>
          <w:jc w:val="center"/>
          <w:trHeight w:val="624"/>
        </w:trPr>
        <w:tc>
          <w:tcPr>
            <w:tcW w:w="78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shd w:val="clear" w:color="auto" w:fill="ffffff"/>
            <w:tcW w:w="2524"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81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95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45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p>
        </w:tc>
        <w:tc>
          <w:tcPr>
            <w:shd w:val="clear" w:color="auto" w:fill="ffffff"/>
            <w:tcW w:w="2524"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81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95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45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p>
        </w:tc>
        <w:tc>
          <w:tcPr>
            <w:shd w:val="clear" w:color="auto" w:fill="ffffff"/>
            <w:tcW w:w="2524"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81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95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45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gridSpan w:val="5"/>
            <w:shd w:val="clear" w:color="auto" w:fill="ffffff"/>
            <w:tcW w:w="788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总价：</w:t>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tcPr>
          <w:p>
            <w:pPr>
              <w:jc w:val="center"/>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5</w:t>
            </w:r>
            <w:r/>
          </w:p>
        </w:tc>
        <w:tc>
          <w:tcPr>
            <w:gridSpan w:val="5"/>
            <w:shd w:val="clear" w:color="auto" w:fill="ffffff"/>
            <w:tcW w:w="7881" w:type="dxa"/>
            <w:vAlign w:val="center"/>
            <w:textDirection w:val="lrTb"/>
            <w:noWrap w:val="false"/>
          </w:tcPr>
          <w:p>
            <w:pPr>
              <w:jc w:val="center"/>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总价（含税）：</w:t>
            </w:r>
            <w:r/>
          </w:p>
        </w:tc>
        <w:tc>
          <w:tcPr>
            <w:shd w:val="clear" w:color="auto" w:fill="ffffff"/>
            <w:tcW w:w="1740" w:type="dxa"/>
            <w:vAlign w:val="center"/>
            <w:textDirection w:val="lrTb"/>
            <w:noWrap w:val="false"/>
          </w:tcPr>
          <w:p>
            <w:pPr>
              <w:jc w:val="center"/>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bl>
    <w:p>
      <w:pPr>
        <w:ind w:firstLine="360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center"/>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    月   日</w:t>
      </w:r>
      <w:r/>
    </w:p>
    <w:p>
      <w:pPr>
        <w:pStyle w:val="816"/>
        <w:rPr>
          <w:rFonts w:hint="eastAsia" w:ascii="宋体" w:hAnsi="宋体" w:cs="宋体"/>
          <w:color w:val="auto"/>
          <w:szCs w:val="24"/>
          <w:highlight w:val="none"/>
        </w:rPr>
      </w:pPr>
      <w:r>
        <w:rPr>
          <w:rFonts w:hint="eastAsia" w:ascii="宋体" w:hAnsi="宋体" w:cs="宋体"/>
          <w:color w:val="auto"/>
          <w:szCs w:val="24"/>
          <w:highlight w:val="none"/>
        </w:rPr>
      </w:r>
      <w:r/>
    </w:p>
    <w:p>
      <w:pPr>
        <w:jc w:val="left"/>
        <w:spacing w:line="360" w:lineRule="auto"/>
        <w:widowControl/>
        <w:rPr>
          <w:rFonts w:hint="eastAsia" w:ascii="宋体" w:hAnsi="宋体" w:cs="宋体"/>
          <w:b/>
          <w:color w:val="auto"/>
          <w:sz w:val="24"/>
          <w:szCs w:val="24"/>
          <w:highlight w:val="none"/>
        </w:rPr>
        <w:outlineLvl w:val="1"/>
      </w:pPr>
      <w:r>
        <w:rPr>
          <w:rFonts w:ascii="宋体" w:hAnsi="宋体" w:cs="宋体"/>
          <w:b/>
          <w:color w:val="auto"/>
          <w:sz w:val="24"/>
          <w:szCs w:val="24"/>
          <w:highlight w:val="none"/>
        </w:rPr>
        <w:br w:type="page" w:clear="all"/>
      </w:r>
      <w:bookmarkStart w:id="96" w:name="_Toc10499"/>
      <w:r>
        <w:rPr>
          <w:rFonts w:hint="eastAsia" w:ascii="宋体" w:hAnsi="宋体" w:cs="宋体"/>
          <w:b/>
          <w:color w:val="auto"/>
          <w:sz w:val="24"/>
          <w:szCs w:val="24"/>
          <w:highlight w:val="none"/>
          <w:lang w:val="zh-CN"/>
        </w:rPr>
        <w:t xml:space="preserve">附件四、供货一览表格式</w:t>
      </w:r>
      <w:bookmarkEnd w:id="96"/>
      <w:r/>
      <w:r/>
    </w:p>
    <w:p>
      <w:pPr>
        <w:jc w:val="center"/>
        <w:spacing w:line="360" w:lineRule="auto"/>
        <w:rPr>
          <w:rStyle w:val="1268"/>
          <w:rFonts w:hint="eastAsia" w:ascii="宋体" w:hAnsi="宋体" w:cs="宋体"/>
          <w:b/>
          <w:color w:val="auto"/>
          <w:sz w:val="24"/>
          <w:szCs w:val="22"/>
          <w:highlight w:val="none"/>
        </w:rPr>
      </w:pPr>
      <w:r>
        <w:rPr>
          <w:rStyle w:val="1268"/>
          <w:rFonts w:hint="eastAsia" w:ascii="宋体" w:hAnsi="宋体" w:cs="宋体"/>
          <w:b/>
          <w:color w:val="auto"/>
          <w:sz w:val="24"/>
          <w:szCs w:val="22"/>
          <w:highlight w:val="none"/>
        </w:rPr>
        <w:t xml:space="preserve">供货一览表(格式供参考)</w:t>
      </w:r>
      <w:r/>
    </w:p>
    <w:p>
      <w:pPr>
        <w:pStyle w:val="1291"/>
        <w:ind w:left="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pStyle w:val="1291"/>
        <w:ind w:left="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6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货物品类</w:t>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货物名称</w:t>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品牌/规格</w:t>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32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32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32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供应商（</w:t>
      </w:r>
      <w:r>
        <w:rPr>
          <w:rFonts w:hint="eastAsia" w:ascii="宋体" w:hAnsi="宋体" w:cs="宋体"/>
          <w:color w:val="auto"/>
          <w:sz w:val="24"/>
          <w:highlight w:val="none"/>
        </w:rPr>
        <w:t xml:space="preserve">加盖电子公章</w:t>
      </w:r>
      <w:r>
        <w:rPr>
          <w:rFonts w:hint="eastAsia" w:ascii="宋体" w:hAnsi="宋体" w:cs="宋体"/>
          <w:color w:val="auto"/>
          <w:sz w:val="24"/>
          <w:highlight w:val="none"/>
          <w:lang w:val="zh-CN"/>
        </w:rPr>
        <w:t xml:space="preserve">）：   </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日期：年  月 日</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pStyle w:val="690"/>
        <w:rPr>
          <w:rFonts w:hint="eastAsia"/>
          <w:color w:val="auto"/>
          <w:highlight w:val="none"/>
          <w:lang w:val="zh-CN"/>
        </w:rPr>
      </w:pPr>
      <w:r>
        <w:rPr>
          <w:rFonts w:hint="eastAsia"/>
          <w:color w:val="auto"/>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bookmarkStart w:id="97" w:name="_Toc228350080"/>
      <w:r>
        <w:rPr>
          <w:rFonts w:hint="eastAsia" w:ascii="宋体" w:hAnsi="宋体" w:cs="宋体"/>
          <w:b/>
          <w:color w:val="auto"/>
          <w:sz w:val="24"/>
          <w:szCs w:val="24"/>
          <w:highlight w:val="none"/>
          <w:lang w:val="zh-CN"/>
        </w:rPr>
        <w:t xml:space="preserve">附件五、技术条款偏离表格式</w:t>
      </w:r>
      <w:bookmarkEnd w:id="97"/>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技术条款偏离表</w:t>
      </w:r>
      <w:r/>
    </w:p>
    <w:tbl>
      <w:tblPr>
        <w:tblStyle w:val="68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851"/>
        </w:trPr>
        <w:tc>
          <w:tcPr>
            <w:gridSpan w:val="6"/>
            <w:tcW w:w="9651" w:type="dxa"/>
            <w:vAlign w:val="top"/>
            <w:textDirection w:val="lrTb"/>
            <w:noWrap w:val="false"/>
          </w:tcPr>
          <w:p>
            <w:pPr>
              <w:jc w:val="left"/>
              <w:spacing w:before="240" w:line="400" w:lineRule="exact"/>
              <w:rPr>
                <w:rFonts w:ascii="宋体" w:hAnsi="宋体"/>
                <w:color w:val="auto"/>
                <w:sz w:val="24"/>
                <w:szCs w:val="24"/>
                <w:highlight w:val="non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名称</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651" w:type="dxa"/>
            <w:vAlign w:val="top"/>
            <w:textDirection w:val="lrTb"/>
            <w:noWrap w:val="false"/>
          </w:tcPr>
          <w:p>
            <w:pPr>
              <w:jc w:val="left"/>
              <w:spacing w:before="240" w:line="400" w:lineRule="exact"/>
              <w:rPr>
                <w:rFonts w:ascii="宋体" w:hAnsi="宋体"/>
                <w:bCs/>
                <w:color w:val="auto"/>
                <w:sz w:val="24"/>
                <w:szCs w:val="24"/>
                <w:highlight w:val="none"/>
                <w:u w:val="singl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编号</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651" w:type="dxa"/>
            <w:vAlign w:val="center"/>
            <w:textDirection w:val="lrTb"/>
            <w:noWrap w:val="false"/>
          </w:tcPr>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对本项目技术条款的偏离情况（应进行选择，未选择响应无效）：</w:t>
            </w:r>
            <w:r/>
          </w:p>
          <w:p>
            <w:pPr>
              <w:jc w:val="left"/>
              <w:spacing w:line="400" w:lineRule="exact"/>
              <w:rPr>
                <w:rFonts w:ascii="宋体" w:hAnsi="宋体"/>
                <w:b/>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p>
          <w:p>
            <w:pPr>
              <w:jc w:val="left"/>
              <w:spacing w:line="400" w:lineRule="exact"/>
              <w:rPr>
                <w:rFonts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p>
        </w:tc>
      </w:tr>
      <w:tr>
        <w:trPr>
          <w:jc w:val="center"/>
          <w:trHeight w:val="851"/>
        </w:trPr>
        <w:tc>
          <w:tcPr>
            <w:tcW w:w="775"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序号</w:t>
            </w:r>
            <w:r/>
          </w:p>
        </w:tc>
        <w:tc>
          <w:tcPr>
            <w:tcW w:w="1482"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文件条目号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W w:w="2384" w:type="dxa"/>
            <w:vAlign w:val="center"/>
            <w:textDirection w:val="lrTb"/>
            <w:noWrap w:val="false"/>
          </w:tcPr>
          <w:p>
            <w:pPr>
              <w:jc w:val="center"/>
              <w:spacing w:line="400" w:lineRule="exact"/>
              <w:rPr>
                <w:rFonts w:ascii="宋体" w:hAnsi="宋体"/>
                <w:color w:val="auto"/>
                <w:sz w:val="24"/>
                <w:szCs w:val="24"/>
                <w:highlight w:val="none"/>
                <w:lang w:eastAsia="en-US"/>
              </w:rPr>
            </w:pPr>
            <w:r>
              <w:rPr>
                <w:rFonts w:hint="eastAsia" w:ascii="宋体" w:hAnsi="宋体"/>
                <w:color w:val="auto"/>
                <w:sz w:val="24"/>
                <w:szCs w:val="24"/>
                <w:highlight w:val="none"/>
              </w:rPr>
              <w:t xml:space="preserve">招标文件</w:t>
            </w:r>
            <w:r>
              <w:rPr>
                <w:rFonts w:ascii="宋体" w:hAnsi="宋体"/>
                <w:color w:val="auto"/>
                <w:sz w:val="24"/>
                <w:szCs w:val="24"/>
                <w:highlight w:val="none"/>
                <w:lang w:eastAsia="en-US"/>
              </w:rPr>
              <w:t xml:space="preserve">要求</w:t>
            </w:r>
            <w:r/>
          </w:p>
        </w:tc>
        <w:tc>
          <w:tcPr>
            <w:tcW w:w="2126"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响应内容</w:t>
            </w:r>
            <w:r/>
          </w:p>
        </w:tc>
        <w:tc>
          <w:tcPr>
            <w:tcW w:w="18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（据实填写）</w:t>
            </w:r>
            <w:r/>
          </w:p>
        </w:tc>
        <w:tc>
          <w:tcPr>
            <w:tcW w:w="1009"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说明</w:t>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bl>
    <w:p>
      <w:pPr>
        <w:jc w:val="left"/>
        <w:spacing w:line="400" w:lineRule="exact"/>
        <w:tabs>
          <w:tab w:val="left" w:pos="1800" w:leader="none"/>
          <w:tab w:val="left" w:pos="5580" w:leader="none"/>
        </w:tabs>
        <w:rPr>
          <w:rFonts w:ascii="宋体" w:hAnsi="宋体"/>
          <w:color w:val="auto"/>
          <w:sz w:val="24"/>
          <w:szCs w:val="24"/>
          <w:highlight w:val="none"/>
          <w:lang w:eastAsia="en-US"/>
        </w:rPr>
      </w:pPr>
      <w:r>
        <w:rPr>
          <w:rFonts w:ascii="宋体" w:hAnsi="宋体"/>
          <w:color w:val="auto"/>
          <w:sz w:val="24"/>
          <w:szCs w:val="24"/>
          <w:highlight w:val="none"/>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对</w:t>
      </w:r>
      <w:bookmarkStart w:id="98" w:name="_Hlk108605718"/>
      <w:r>
        <w:rPr>
          <w:rFonts w:hint="eastAsia" w:ascii="宋体" w:hAnsi="宋体"/>
          <w:color w:val="auto"/>
          <w:sz w:val="24"/>
          <w:szCs w:val="24"/>
          <w:highlight w:val="none"/>
        </w:rPr>
        <w:t xml:space="preserve">《第四章 采购需求》</w:t>
      </w:r>
      <w:bookmarkEnd w:id="98"/>
      <w:r>
        <w:rPr>
          <w:rFonts w:hint="eastAsia" w:ascii="宋体" w:hAnsi="宋体"/>
          <w:color w:val="auto"/>
          <w:sz w:val="24"/>
          <w:szCs w:val="24"/>
          <w:highlight w:val="none"/>
        </w:rPr>
        <w:t xml:space="preserve">中</w:t>
      </w:r>
      <w:r>
        <w:rPr>
          <w:rFonts w:ascii="宋体" w:hAnsi="宋体"/>
          <w:color w:val="auto"/>
          <w:sz w:val="24"/>
          <w:szCs w:val="24"/>
          <w:highlight w:val="none"/>
        </w:rPr>
        <w:t xml:space="preserve">的所有技术要求，除本表所列明的所有偏离外，均视作供应商已对之理解和响应。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．“偏离情况”列应据实填写“正偏离”或“负偏离”或“无偏离”。</w:t>
      </w:r>
      <w:r/>
    </w:p>
    <w:p>
      <w:pPr>
        <w:jc w:val="left"/>
        <w:spacing w:line="400" w:lineRule="exact"/>
        <w:rPr>
          <w:rFonts w:ascii="Calibri" w:hAnsi="Calibri"/>
          <w:color w:val="auto"/>
          <w:sz w:val="24"/>
          <w:szCs w:val="24"/>
          <w:highlight w:val="none"/>
        </w:rPr>
      </w:pPr>
      <w:r>
        <w:rPr>
          <w:rFonts w:ascii="Calibri" w:hAnsi="Calibri"/>
          <w:color w:val="auto"/>
          <w:sz w:val="24"/>
          <w:szCs w:val="24"/>
          <w:highlight w:val="none"/>
        </w:rPr>
      </w:r>
      <w:r/>
    </w:p>
    <w:p>
      <w:pPr>
        <w:ind w:right="360"/>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before="25" w:after="25" w:line="400" w:lineRule="exact"/>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（加盖公章）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jc w:val="left"/>
        <w:spacing w:line="360" w:lineRule="auto"/>
        <w:widowControl/>
        <w:rPr>
          <w:rFonts w:ascii="宋体" w:hAnsi="宋体" w:cs="宋体"/>
          <w:b/>
          <w:color w:val="auto"/>
          <w:sz w:val="24"/>
          <w:szCs w:val="24"/>
          <w:highlight w:val="none"/>
          <w:lang w:val="zh-CN"/>
        </w:rPr>
        <w:outlineLvl w:val="1"/>
      </w:pPr>
      <w:r>
        <w:rPr>
          <w:rFonts w:ascii="宋体" w:hAnsi="宋体"/>
          <w:b/>
          <w:color w:val="auto"/>
          <w:sz w:val="22"/>
          <w:szCs w:val="24"/>
          <w:highlight w:val="none"/>
        </w:rPr>
        <w:br w:type="page" w:clear="all"/>
      </w:r>
      <w:bookmarkStart w:id="99" w:name="_Toc228350081"/>
      <w:r>
        <w:rPr>
          <w:rFonts w:hint="eastAsia" w:ascii="宋体" w:hAnsi="宋体" w:cs="宋体"/>
          <w:b/>
          <w:color w:val="auto"/>
          <w:sz w:val="24"/>
          <w:szCs w:val="24"/>
          <w:highlight w:val="none"/>
          <w:lang w:val="zh-CN"/>
        </w:rPr>
        <w:t xml:space="preserve">附件六、商务条款偏离表格式</w:t>
      </w:r>
      <w:bookmarkEnd w:id="99"/>
      <w:r/>
      <w:r/>
    </w:p>
    <w:p>
      <w:pPr>
        <w:jc w:val="center"/>
        <w:spacing w:before="120" w:after="120" w:line="360" w:lineRule="auto"/>
        <w:rPr>
          <w:rFonts w:ascii="宋体" w:hAnsi="宋体"/>
          <w:color w:val="auto"/>
          <w:sz w:val="32"/>
          <w:szCs w:val="32"/>
          <w:highlight w:val="none"/>
          <w:lang w:eastAsia="en-US"/>
        </w:rPr>
      </w:pPr>
      <w:r/>
      <w:bookmarkStart w:id="100" w:name="_Hlk108563484"/>
      <w:r>
        <w:rPr>
          <w:rFonts w:hint="eastAsia" w:ascii="宋体" w:hAnsi="宋体" w:cs="宋体"/>
          <w:b/>
          <w:bCs/>
          <w:color w:val="auto"/>
          <w:sz w:val="28"/>
          <w:szCs w:val="28"/>
          <w:highlight w:val="none"/>
          <w:lang w:val="zh-CN"/>
        </w:rPr>
        <w:t xml:space="preserve">商务条款偏离表</w:t>
      </w:r>
      <w:bookmarkEnd w:id="100"/>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jc w:val="center"/>
          <w:trHeight w:val="851"/>
        </w:trPr>
        <w:tc>
          <w:tcPr>
            <w:gridSpan w:val="6"/>
            <w:tcW w:w="9986" w:type="dxa"/>
            <w:vAlign w:val="top"/>
            <w:textDirection w:val="lrTb"/>
            <w:noWrap w:val="false"/>
          </w:tcPr>
          <w:p>
            <w:pPr>
              <w:jc w:val="left"/>
              <w:spacing w:before="240" w:line="400" w:lineRule="exact"/>
              <w:rPr>
                <w:rFonts w:ascii="宋体" w:hAnsi="宋体"/>
                <w:bCs/>
                <w:color w:val="auto"/>
                <w:sz w:val="24"/>
                <w:szCs w:val="24"/>
                <w:highlight w:val="none"/>
                <w:lang w:eastAsia="en-US"/>
              </w:rPr>
            </w:pPr>
            <w:r/>
            <w:bookmarkStart w:id="101" w:name="_Hlk108563504"/>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名称</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986" w:type="dxa"/>
            <w:vAlign w:val="top"/>
            <w:textDirection w:val="lrTb"/>
            <w:noWrap w:val="false"/>
          </w:tcPr>
          <w:p>
            <w:pPr>
              <w:jc w:val="left"/>
              <w:spacing w:before="240" w:line="400" w:lineRule="exact"/>
              <w:rPr>
                <w:rFonts w:ascii="宋体" w:hAnsi="宋体"/>
                <w:bCs/>
                <w:color w:val="auto"/>
                <w:sz w:val="24"/>
                <w:szCs w:val="24"/>
                <w:highlight w:val="none"/>
                <w:u w:val="singl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编号</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986" w:type="dxa"/>
            <w:vAlign w:val="center"/>
            <w:textDirection w:val="lrTb"/>
            <w:noWrap w:val="false"/>
          </w:tcPr>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对本项目商务条款的偏离情况（应进行选择，未选择响应无效）：</w:t>
            </w:r>
            <w:r/>
          </w:p>
          <w:p>
            <w:pPr>
              <w:jc w:val="left"/>
              <w:spacing w:line="400" w:lineRule="exact"/>
              <w:rPr>
                <w:rFonts w:ascii="宋体" w:hAnsi="宋体"/>
                <w:b/>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p>
          <w:p>
            <w:pPr>
              <w:jc w:val="left"/>
              <w:spacing w:line="400" w:lineRule="exact"/>
              <w:rPr>
                <w:rFonts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p>
        </w:tc>
      </w:tr>
      <w:tr>
        <w:trPr>
          <w:jc w:val="center"/>
          <w:trHeight w:val="851"/>
        </w:trPr>
        <w:tc>
          <w:tcPr>
            <w:tcW w:w="801"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序号</w:t>
            </w:r>
            <w:r/>
          </w:p>
        </w:tc>
        <w:tc>
          <w:tcPr>
            <w:tcW w:w="153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条目号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W w:w="2467" w:type="dxa"/>
            <w:vAlign w:val="center"/>
            <w:textDirection w:val="lrTb"/>
            <w:noWrap w:val="false"/>
          </w:tcPr>
          <w:p>
            <w:pPr>
              <w:jc w:val="center"/>
              <w:spacing w:line="400" w:lineRule="exact"/>
              <w:rPr>
                <w:rFonts w:ascii="宋体" w:hAnsi="宋体"/>
                <w:color w:val="auto"/>
                <w:sz w:val="24"/>
                <w:szCs w:val="24"/>
                <w:highlight w:val="none"/>
                <w:lang w:eastAsia="en-US"/>
              </w:rPr>
            </w:pPr>
            <w:r>
              <w:rPr>
                <w:rFonts w:hint="eastAsia" w:ascii="宋体" w:hAnsi="宋体"/>
                <w:color w:val="auto"/>
                <w:sz w:val="24"/>
                <w:szCs w:val="24"/>
                <w:highlight w:val="none"/>
              </w:rPr>
              <w:t xml:space="preserve">招标文件</w:t>
            </w:r>
            <w:r>
              <w:rPr>
                <w:rFonts w:ascii="宋体" w:hAnsi="宋体"/>
                <w:color w:val="auto"/>
                <w:sz w:val="24"/>
                <w:szCs w:val="24"/>
                <w:highlight w:val="none"/>
                <w:lang w:eastAsia="en-US"/>
              </w:rPr>
              <w:t xml:space="preserve">要求</w:t>
            </w:r>
            <w:r/>
          </w:p>
        </w:tc>
        <w:tc>
          <w:tcPr>
            <w:tcW w:w="2200"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响应内容</w:t>
            </w:r>
            <w:r/>
          </w:p>
        </w:tc>
        <w:tc>
          <w:tcPr>
            <w:tcW w:w="194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（据实填写）</w:t>
            </w:r>
            <w:r/>
          </w:p>
        </w:tc>
        <w:tc>
          <w:tcPr>
            <w:tcW w:w="1045"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说明</w:t>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bookmarkEnd w:id="101"/>
            <w:r/>
          </w:p>
        </w:tc>
      </w:tr>
    </w:tbl>
    <w:p>
      <w:pPr>
        <w:jc w:val="left"/>
        <w:spacing w:line="400" w:lineRule="exact"/>
        <w:tabs>
          <w:tab w:val="left" w:pos="1800" w:leader="none"/>
          <w:tab w:val="left" w:pos="5580" w:leader="none"/>
        </w:tabs>
        <w:rPr>
          <w:rFonts w:ascii="宋体" w:hAnsi="宋体"/>
          <w:color w:val="auto"/>
          <w:sz w:val="24"/>
          <w:szCs w:val="24"/>
          <w:highlight w:val="none"/>
          <w:lang w:eastAsia="en-US"/>
        </w:rPr>
      </w:pPr>
      <w:r>
        <w:rPr>
          <w:rFonts w:ascii="宋体" w:hAnsi="宋体"/>
          <w:color w:val="auto"/>
          <w:sz w:val="24"/>
          <w:szCs w:val="24"/>
          <w:highlight w:val="none"/>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《第四章 采购需求》中</w:t>
      </w:r>
      <w:r>
        <w:rPr>
          <w:rFonts w:ascii="宋体" w:hAnsi="宋体"/>
          <w:color w:val="auto"/>
          <w:sz w:val="24"/>
          <w:szCs w:val="24"/>
          <w:highlight w:val="none"/>
        </w:rPr>
        <w:t xml:space="preserve">的所有</w:t>
      </w:r>
      <w:r>
        <w:rPr>
          <w:rFonts w:hint="eastAsia" w:ascii="宋体" w:hAnsi="宋体"/>
          <w:color w:val="auto"/>
          <w:sz w:val="24"/>
          <w:szCs w:val="24"/>
          <w:highlight w:val="none"/>
        </w:rPr>
        <w:t xml:space="preserve">商务</w:t>
      </w:r>
      <w:r>
        <w:rPr>
          <w:rFonts w:ascii="宋体" w:hAnsi="宋体"/>
          <w:color w:val="auto"/>
          <w:sz w:val="24"/>
          <w:szCs w:val="24"/>
          <w:highlight w:val="none"/>
        </w:rPr>
        <w:t xml:space="preserve">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．“偏离情况”列应据实填写“正偏离”或“负偏离”或“无偏离”。</w:t>
      </w:r>
      <w:r/>
    </w:p>
    <w:p>
      <w:pPr>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before="25" w:after="25" w:line="400" w:lineRule="exact"/>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（加盖公章）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jc w:val="left"/>
        <w:spacing w:line="360" w:lineRule="auto"/>
        <w:widowControl/>
        <w:rPr>
          <w:rFonts w:hint="eastAsia" w:ascii="宋体" w:hAnsi="宋体" w:cs="宋体"/>
          <w:b/>
          <w:color w:val="auto"/>
          <w:sz w:val="24"/>
          <w:szCs w:val="24"/>
          <w:highlight w:val="none"/>
          <w:lang w:val="zh-CN"/>
        </w:rPr>
        <w:outlineLvl w:val="1"/>
      </w:pPr>
      <w:r>
        <w:rPr>
          <w:rFonts w:ascii="Calibri" w:hAnsi="Calibri"/>
          <w:color w:val="auto"/>
          <w:sz w:val="22"/>
          <w:szCs w:val="22"/>
          <w:highlight w:val="none"/>
        </w:rPr>
        <w:br w:type="page" w:clear="all"/>
      </w:r>
      <w:bookmarkStart w:id="102" w:name="_Toc228350082"/>
      <w:r>
        <w:rPr>
          <w:rFonts w:hint="eastAsia" w:ascii="宋体" w:hAnsi="宋体" w:cs="宋体"/>
          <w:b/>
          <w:color w:val="auto"/>
          <w:sz w:val="24"/>
          <w:szCs w:val="24"/>
          <w:highlight w:val="none"/>
          <w:lang w:val="zh-CN"/>
        </w:rPr>
        <w:t xml:space="preserve">附件七、核心产品品牌一览表（实质性格式）</w:t>
      </w:r>
      <w:bookmarkEnd w:id="102"/>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68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w:t>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r/>
    </w:p>
    <w:p>
      <w:pPr>
        <w:jc w:val="left"/>
        <w:spacing w:line="360" w:lineRule="auto"/>
        <w:widowControl/>
        <w:rPr>
          <w:rFonts w:hint="eastAsia" w:ascii="宋体" w:hAnsi="宋体" w:cs="宋体"/>
          <w:b/>
          <w:color w:val="auto"/>
          <w:sz w:val="24"/>
          <w:szCs w:val="24"/>
          <w:highlight w:val="none"/>
          <w:lang w:val="zh-CN"/>
        </w:rPr>
        <w:outlineLvl w:val="1"/>
      </w:pPr>
      <w:r>
        <w:rPr>
          <w:rFonts w:ascii="宋体" w:hAnsi="宋体"/>
          <w:b/>
          <w:color w:val="auto"/>
          <w:sz w:val="22"/>
          <w:szCs w:val="24"/>
          <w:highlight w:val="none"/>
        </w:rPr>
        <w:br w:type="page" w:clear="all"/>
      </w:r>
      <w:bookmarkStart w:id="103" w:name="_Toc228350083"/>
      <w:r/>
      <w:bookmarkStart w:id="104" w:name="_Hlk108563601"/>
      <w:r>
        <w:rPr>
          <w:rFonts w:hint="eastAsia" w:ascii="宋体" w:hAnsi="宋体" w:cs="宋体"/>
          <w:b/>
          <w:color w:val="auto"/>
          <w:sz w:val="24"/>
          <w:szCs w:val="24"/>
          <w:highlight w:val="none"/>
          <w:lang w:val="zh-CN"/>
        </w:rPr>
        <w:t xml:space="preserve">附件八、供应商类似业绩表</w:t>
      </w:r>
      <w:bookmarkEnd w:id="103"/>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2023年1月1日</w:t>
      </w:r>
      <w:r>
        <w:rPr>
          <w:rFonts w:ascii="宋体" w:hAnsi="宋体" w:cs="宋体"/>
          <w:b/>
          <w:bCs/>
          <w:color w:val="auto"/>
          <w:sz w:val="28"/>
          <w:szCs w:val="28"/>
          <w:highlight w:val="none"/>
          <w:lang w:val="zh-CN"/>
        </w:rPr>
        <w:t xml:space="preserve">以来类似项目</w:t>
      </w:r>
      <w:r>
        <w:rPr>
          <w:rFonts w:hint="eastAsia" w:ascii="宋体" w:hAnsi="宋体" w:cs="宋体"/>
          <w:b/>
          <w:bCs/>
          <w:color w:val="auto"/>
          <w:sz w:val="28"/>
          <w:szCs w:val="28"/>
          <w:highlight w:val="none"/>
          <w:lang w:val="zh-CN"/>
        </w:rPr>
        <w:t xml:space="preserve">及</w:t>
      </w:r>
      <w:r>
        <w:rPr>
          <w:rFonts w:ascii="宋体" w:hAnsi="宋体" w:cs="宋体"/>
          <w:b/>
          <w:bCs/>
          <w:color w:val="auto"/>
          <w:sz w:val="28"/>
          <w:szCs w:val="28"/>
          <w:highlight w:val="none"/>
          <w:lang w:val="zh-CN"/>
        </w:rPr>
        <w:t xml:space="preserve">更优项目业绩</w:t>
      </w:r>
      <w:bookmarkEnd w:id="104"/>
      <w:r/>
    </w:p>
    <w:tbl>
      <w:tblPr>
        <w:tblStyle w:val="689"/>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序号</w:t>
            </w:r>
            <w:r/>
          </w:p>
        </w:tc>
        <w:tc>
          <w:tcPr>
            <w:tcW w:w="2523"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项目名称</w:t>
            </w:r>
            <w:r/>
          </w:p>
        </w:tc>
        <w:tc>
          <w:tcPr>
            <w:tcW w:w="1417"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用户单位</w:t>
            </w:r>
            <w:r/>
          </w:p>
        </w:tc>
        <w:tc>
          <w:tcPr>
            <w:tcW w:w="1276"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工作内容</w:t>
            </w:r>
            <w:r/>
          </w:p>
        </w:tc>
        <w:tc>
          <w:tcPr>
            <w:tcW w:w="1559"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合同履行期限</w:t>
            </w:r>
            <w:r/>
          </w:p>
        </w:tc>
        <w:tc>
          <w:tcPr>
            <w:tcW w:w="1276"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合同金额</w:t>
            </w:r>
            <w:r/>
          </w:p>
        </w:tc>
        <w:tc>
          <w:tcPr>
            <w:tcW w:w="1044"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备注</w:t>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bl>
    <w:p>
      <w:pPr>
        <w:jc w:val="left"/>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auto"/>
          <w:sz w:val="24"/>
          <w:szCs w:val="24"/>
          <w:highlight w:val="none"/>
        </w:rPr>
        <w:t xml:space="preserve">扫描件</w:t>
      </w:r>
      <w:r>
        <w:rPr>
          <w:rFonts w:hint="eastAsia" w:ascii="宋体" w:hAnsi="宋体"/>
          <w:b/>
          <w:color w:val="auto"/>
          <w:sz w:val="24"/>
          <w:szCs w:val="24"/>
          <w:highlight w:val="none"/>
        </w:rPr>
        <w:t xml:space="preserve">，提供的证明材料中相关信息需符合采购文件的规定。</w:t>
      </w:r>
      <w:r/>
    </w:p>
    <w:p>
      <w:pPr>
        <w:jc w:val="left"/>
        <w:spacing w:line="360" w:lineRule="auto"/>
        <w:widowControl/>
        <w:rPr>
          <w:rFonts w:ascii="宋体" w:hAnsi="宋体" w:cs="宋体"/>
          <w:b/>
          <w:color w:val="auto"/>
          <w:sz w:val="24"/>
          <w:szCs w:val="24"/>
          <w:highlight w:val="none"/>
          <w:lang w:val="zh-CN"/>
        </w:rPr>
        <w:outlineLvl w:val="1"/>
      </w:pPr>
      <w:r>
        <w:rPr>
          <w:rFonts w:hint="eastAsia" w:ascii="宋体" w:hAnsi="宋体"/>
          <w:b/>
          <w:color w:val="auto"/>
          <w:sz w:val="24"/>
          <w:szCs w:val="24"/>
          <w:highlight w:val="none"/>
        </w:rPr>
        <w:br w:type="page" w:clear="all"/>
      </w:r>
      <w:bookmarkStart w:id="105" w:name="_Toc228350084"/>
      <w:r/>
      <w:bookmarkStart w:id="106" w:name="_Toc489655335"/>
      <w:r>
        <w:rPr>
          <w:rFonts w:hint="eastAsia" w:ascii="宋体" w:hAnsi="宋体" w:cs="宋体"/>
          <w:b/>
          <w:color w:val="auto"/>
          <w:sz w:val="24"/>
          <w:szCs w:val="24"/>
          <w:highlight w:val="none"/>
          <w:lang w:val="zh-CN"/>
        </w:rPr>
        <w:t xml:space="preserve">附件九、服务方案</w:t>
      </w:r>
      <w:bookmarkEnd w:id="105"/>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服务方案</w:t>
      </w:r>
      <w:r/>
    </w:p>
    <w:p>
      <w:pPr>
        <w:pStyle w:val="69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主要内容包括但不限于：</w:t>
      </w:r>
      <w:r/>
    </w:p>
    <w:p>
      <w:pPr>
        <w:pStyle w:val="69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1.实施方案</w:t>
      </w:r>
      <w:r/>
    </w:p>
    <w:p>
      <w:pPr>
        <w:pStyle w:val="69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2.质量控制方案</w:t>
      </w:r>
      <w:r/>
    </w:p>
    <w:p>
      <w:pPr>
        <w:pStyle w:val="690"/>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3.售后服务方案</w:t>
      </w:r>
      <w:r/>
    </w:p>
    <w:p>
      <w:pPr>
        <w:jc w:val="left"/>
        <w:spacing w:line="360" w:lineRule="auto"/>
        <w:widowControl/>
        <w:rPr>
          <w:rFonts w:ascii="宋体" w:hAnsi="宋体" w:cs="宋体"/>
          <w:b/>
          <w:color w:val="auto"/>
          <w:sz w:val="24"/>
          <w:szCs w:val="24"/>
          <w:highlight w:val="none"/>
          <w:lang w:val="zh-CN"/>
        </w:rPr>
        <w:outlineLvl w:val="1"/>
      </w:pPr>
      <w:r>
        <w:rPr>
          <w:rFonts w:ascii="Calibri" w:hAnsi="Calibri"/>
          <w:color w:val="auto"/>
          <w:sz w:val="22"/>
          <w:szCs w:val="22"/>
          <w:highlight w:val="none"/>
        </w:rPr>
        <w:br w:type="page" w:clear="all"/>
      </w:r>
      <w:bookmarkEnd w:id="106"/>
      <w:r/>
      <w:bookmarkStart w:id="107" w:name="_Toc228350085"/>
      <w:r>
        <w:rPr>
          <w:rFonts w:hint="eastAsia" w:ascii="宋体" w:hAnsi="宋体" w:cs="宋体"/>
          <w:b/>
          <w:color w:val="auto"/>
          <w:sz w:val="24"/>
          <w:szCs w:val="24"/>
          <w:highlight w:val="none"/>
          <w:lang w:val="zh-CN"/>
        </w:rPr>
        <w:t xml:space="preserve">附件十、资格证明文件</w:t>
      </w:r>
      <w:bookmarkEnd w:id="107"/>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资格证明文件</w:t>
      </w:r>
      <w:r/>
    </w:p>
    <w:tbl>
      <w:tblPr>
        <w:tblStyle w:val="689"/>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序号</w:t>
            </w:r>
            <w:r/>
          </w:p>
        </w:tc>
        <w:tc>
          <w:tcPr>
            <w:tcW w:w="1199"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审查因素</w:t>
            </w:r>
            <w:r/>
          </w:p>
        </w:tc>
        <w:tc>
          <w:tcPr>
            <w:tcW w:w="2048"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审查内容</w:t>
            </w:r>
            <w:r/>
          </w:p>
        </w:tc>
        <w:tc>
          <w:tcPr>
            <w:tcW w:w="1285"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格式要求</w:t>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满足《中华人民共和国政府采购法》第二十二条规定及法律法规的其他规定</w:t>
            </w:r>
            <w:r/>
          </w:p>
        </w:tc>
        <w:tc>
          <w:tcPr>
            <w:tcW w:w="2048"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具体规定见第一章《采购公告》</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1-1</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具有独立承担民事责任的能力</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供应商为企业（包括合伙企业）的，应提供有效的“营业执照”；</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供应商为事业单位的，应提供有效的“事业单位法人证书”；</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供应商是非企业机构的，应提供有效的“执业许可证”、“登记证书”等证明文件；</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供应商是个体工商户的，应提供有效的“个体工商户营业执照”；</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供应商是自然人的，应提供有效的自然人身份证明。</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提供证明文件的扫描件</w:t>
            </w:r>
            <w:r>
              <w:rPr>
                <w:rFonts w:hint="eastAsia" w:ascii="宋体" w:hAnsi="宋体" w:cs="宋体"/>
                <w:b/>
                <w:color w:val="auto"/>
                <w:sz w:val="22"/>
                <w:szCs w:val="21"/>
                <w:highlight w:val="none"/>
              </w:rPr>
              <w:t xml:space="preserve">并加盖供应商公章</w:t>
            </w:r>
            <w:r/>
          </w:p>
        </w:tc>
      </w:tr>
      <w:tr>
        <w:trPr>
          <w:cantSplit/>
          <w:trHeight w:val="5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1-2</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具有良好的商业信誉和健全的财务会计制度</w:t>
            </w:r>
            <w:r/>
          </w:p>
        </w:tc>
        <w:tc>
          <w:tcPr>
            <w:tcW w:w="2048" w:type="dxa"/>
            <w:vAlign w:val="center"/>
            <w:textDirection w:val="lrTb"/>
            <w:noWrap w:val="false"/>
          </w:tcPr>
          <w:p>
            <w:pPr>
              <w:spacing w:line="320" w:lineRule="exact"/>
              <w:tabs>
                <w:tab w:val="left" w:pos="1080" w:leader="none"/>
              </w:tabs>
              <w:rPr>
                <w:rFonts w:hint="eastAsia" w:ascii="宋体" w:hAnsi="宋体" w:cs="宋体"/>
                <w:bCs/>
                <w:color w:val="auto"/>
                <w:sz w:val="22"/>
                <w:szCs w:val="21"/>
                <w:highlight w:val="none"/>
              </w:rPr>
            </w:pPr>
            <w:r>
              <w:rPr>
                <w:rFonts w:hint="eastAsia" w:ascii="宋体" w:hAnsi="宋体" w:cs="宋体"/>
                <w:bCs/>
                <w:color w:val="auto"/>
                <w:sz w:val="22"/>
                <w:szCs w:val="21"/>
                <w:highlight w:val="none"/>
              </w:rPr>
              <w:t xml:space="preserve">提供2024年经审计的财务报告或2024年财务报表，或投标文件提交截止时间前六个月内银行出具的资信证明，成立不满一年无需提供</w:t>
            </w:r>
            <w:r/>
          </w:p>
        </w:tc>
        <w:tc>
          <w:tcPr>
            <w:tcW w:w="1285" w:type="dxa"/>
            <w:vAlign w:val="center"/>
            <w:vMerge w:val="restart"/>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Calibri" w:hAnsi="Calibri"/>
                <w:color w:val="auto"/>
                <w:sz w:val="22"/>
                <w:szCs w:val="22"/>
                <w:highlight w:val="none"/>
              </w:rPr>
              <w:t xml:space="preserve">提供《南京市政府采购供应商信用记录表暨信用承诺书》</w:t>
            </w:r>
            <w:r>
              <w:rPr>
                <w:rFonts w:hint="eastAsia" w:ascii="Calibri" w:hAnsi="Calibri"/>
                <w:color w:val="auto"/>
                <w:sz w:val="22"/>
                <w:szCs w:val="22"/>
                <w:highlight w:val="none"/>
              </w:rPr>
              <w:t xml:space="preserve">，</w:t>
            </w:r>
            <w:r>
              <w:rPr>
                <w:rFonts w:ascii="Calibri" w:hAnsi="Calibri"/>
                <w:b/>
                <w:bCs/>
                <w:color w:val="auto"/>
                <w:sz w:val="22"/>
                <w:szCs w:val="22"/>
                <w:highlight w:val="none"/>
                <w:u w:val="single"/>
              </w:rPr>
              <w:t xml:space="preserve">经法定代表人签名并加盖供应商公章</w:t>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1-3</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具有履行合同所必需的设备和专业技术能力</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供应商根据履行采购项目合同需要，提供履行合同所必需的设备和专业技术能力的证明材料</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1-4</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有依法缴纳税收和社会保障资金的良好记录</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1-5</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参加政府采购活动前三年内，在经营活动中没有重大违法记录</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提供参加政府采购活动前3年内在经营活动中没有重大违法记录的书面声明</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1-6</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法律、行政法规规定的其他条件</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提供具备法律、行政法规规定的其他条件的证明材料</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ascii="宋体" w:hAnsi="宋体" w:cs="宋体"/>
                <w:bCs/>
                <w:color w:val="auto"/>
                <w:sz w:val="22"/>
                <w:szCs w:val="21"/>
                <w:highlight w:val="none"/>
                <w:lang w:eastAsia="en-US"/>
              </w:rPr>
              <w:t xml:space="preserve">2</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供应商信用记录</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查询渠道：信用中国网站和中国政府采购网；</w:t>
            </w:r>
            <w:r/>
          </w:p>
          <w:p>
            <w:pPr>
              <w:spacing w:line="320" w:lineRule="exact"/>
              <w:tabs>
                <w:tab w:val="left" w:pos="900" w:leader="none"/>
                <w:tab w:val="left" w:pos="19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截止时点：响应截止时间以后、资格审查阶段采购人或采购代理机构的实际查询时间；</w:t>
            </w:r>
            <w:r/>
          </w:p>
          <w:p>
            <w:pPr>
              <w:spacing w:line="320" w:lineRule="exact"/>
              <w:tabs>
                <w:tab w:val="left" w:pos="900" w:leader="none"/>
                <w:tab w:val="left" w:pos="19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auto"/>
                <w:sz w:val="22"/>
                <w:szCs w:val="21"/>
                <w:highlight w:val="none"/>
                <w:u w:val="single"/>
              </w:rPr>
              <w:t xml:space="preserve">投标无效</w:t>
            </w:r>
            <w:r>
              <w:rPr>
                <w:rFonts w:hint="eastAsia" w:ascii="宋体" w:hAnsi="宋体" w:cs="宋体"/>
                <w:bCs/>
                <w:color w:val="auto"/>
                <w:sz w:val="22"/>
                <w:szCs w:val="21"/>
                <w:highlight w:val="none"/>
              </w:rPr>
              <w:t xml:space="preserve">。</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ascii="宋体" w:hAnsi="宋体" w:cs="宋体"/>
                <w:bCs/>
                <w:color w:val="auto"/>
                <w:sz w:val="22"/>
                <w:szCs w:val="21"/>
                <w:highlight w:val="none"/>
                <w:lang w:eastAsia="en-US"/>
              </w:rPr>
              <w:t xml:space="preserve">3</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供应商资格承诺声明函</w:t>
            </w:r>
            <w:r/>
          </w:p>
        </w:tc>
        <w:tc>
          <w:tcPr>
            <w:tcW w:w="2048"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提供符合采购文件要求的《供应商资格承诺声明函》。</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格式见《供应商资格承诺声明函》</w:t>
            </w:r>
            <w:r/>
          </w:p>
        </w:tc>
      </w:tr>
      <w:tr>
        <w:trPr>
          <w:trHeight w:val="468"/>
        </w:trPr>
        <w:tc>
          <w:tcPr>
            <w:tcW w:w="468"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ascii="宋体" w:hAnsi="宋体" w:cs="宋体"/>
                <w:b/>
                <w:color w:val="auto"/>
                <w:sz w:val="22"/>
                <w:szCs w:val="21"/>
                <w:highlight w:val="none"/>
                <w:lang w:eastAsia="en-US"/>
              </w:rPr>
              <w:t xml:space="preserve">4</w:t>
            </w:r>
            <w:r/>
          </w:p>
        </w:tc>
        <w:tc>
          <w:tcPr>
            <w:tcW w:w="1199" w:type="dxa"/>
            <w:vAlign w:val="center"/>
            <w:textDirection w:val="lrTb"/>
            <w:noWrap w:val="false"/>
          </w:tcPr>
          <w:p>
            <w:pPr>
              <w:jc w:val="left"/>
              <w:spacing w:line="320" w:lineRule="exact"/>
              <w:tabs>
                <w:tab w:val="left" w:pos="1080" w:leader="none"/>
              </w:tabs>
              <w:rPr>
                <w:rFonts w:ascii="宋体" w:hAnsi="宋体" w:cs="宋体"/>
                <w:b/>
                <w:color w:val="auto"/>
                <w:sz w:val="22"/>
                <w:szCs w:val="21"/>
                <w:highlight w:val="none"/>
              </w:rPr>
            </w:pPr>
            <w:r>
              <w:rPr>
                <w:rFonts w:hint="eastAsia" w:ascii="宋体" w:hAnsi="宋体" w:cs="宋体"/>
                <w:b/>
                <w:color w:val="auto"/>
                <w:sz w:val="22"/>
                <w:szCs w:val="21"/>
                <w:highlight w:val="none"/>
              </w:rPr>
              <w:t xml:space="preserve">本项目的特定资格要求</w:t>
            </w:r>
            <w:r/>
          </w:p>
        </w:tc>
        <w:tc>
          <w:tcPr>
            <w:tcW w:w="2048" w:type="dxa"/>
            <w:vAlign w:val="center"/>
            <w:textDirection w:val="lrTb"/>
            <w:noWrap w:val="false"/>
          </w:tcPr>
          <w:p>
            <w:pPr>
              <w:jc w:val="left"/>
              <w:spacing w:line="320" w:lineRule="exact"/>
              <w:rPr>
                <w:rFonts w:ascii="宋体" w:hAnsi="宋体" w:cs="宋体"/>
                <w:b/>
                <w:color w:val="auto"/>
                <w:sz w:val="22"/>
                <w:szCs w:val="21"/>
                <w:highlight w:val="none"/>
                <w:shd w:val="clear" w:color="auto" w:fill="ffffff"/>
              </w:rPr>
            </w:pPr>
            <w:r>
              <w:rPr>
                <w:rFonts w:hint="eastAsia" w:ascii="宋体" w:hAnsi="宋体" w:cs="宋体"/>
                <w:b/>
                <w:color w:val="auto"/>
                <w:sz w:val="22"/>
                <w:szCs w:val="21"/>
                <w:highlight w:val="none"/>
              </w:rPr>
              <w:t xml:space="preserve">具体规定见第一章《采购公告》</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
                <w:color w:val="auto"/>
                <w:sz w:val="22"/>
                <w:szCs w:val="21"/>
                <w:highlight w:val="none"/>
              </w:rPr>
              <w:t xml:space="preserve">提供证明文件的扫描件并加盖供应商公章</w:t>
            </w:r>
            <w:r/>
          </w:p>
        </w:tc>
      </w:tr>
    </w:tbl>
    <w:p>
      <w:pPr>
        <w:jc w:val="left"/>
        <w:spacing w:line="360" w:lineRule="auto"/>
        <w:widowControl/>
        <w:rPr>
          <w:rFonts w:ascii="宋体" w:hAnsi="宋体" w:cs="宋体"/>
          <w:b/>
          <w:color w:val="auto"/>
          <w:sz w:val="24"/>
          <w:szCs w:val="24"/>
          <w:highlight w:val="none"/>
          <w:lang w:val="zh-CN"/>
        </w:rPr>
        <w:outlineLvl w:val="1"/>
      </w:pPr>
      <w:r/>
      <w:bookmarkStart w:id="108" w:name="_Hlk94112048"/>
      <w:r/>
      <w:bookmarkStart w:id="109" w:name="_Hlk85644930"/>
      <w:r>
        <w:rPr>
          <w:rFonts w:hint="eastAsia" w:ascii="仿宋" w:hAnsi="仿宋" w:eastAsia="仿宋"/>
          <w:b/>
          <w:bCs/>
          <w:color w:val="auto"/>
          <w:sz w:val="32"/>
          <w:szCs w:val="32"/>
          <w:highlight w:val="none"/>
        </w:rPr>
        <w:br w:type="page" w:clear="all"/>
      </w:r>
      <w:bookmarkStart w:id="110" w:name="_Toc228350086"/>
      <w:r>
        <w:rPr>
          <w:rFonts w:hint="eastAsia" w:ascii="宋体" w:hAnsi="宋体" w:cs="宋体"/>
          <w:b/>
          <w:color w:val="auto"/>
          <w:sz w:val="24"/>
          <w:szCs w:val="24"/>
          <w:highlight w:val="none"/>
          <w:lang w:val="zh-CN"/>
        </w:rPr>
        <w:t xml:space="preserve">附件十一、政府采购政策</w:t>
      </w:r>
      <w:bookmarkEnd w:id="110"/>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政府采购政策</w:t>
      </w:r>
      <w:r/>
    </w:p>
    <w:p>
      <w:pPr>
        <w:spacing w:before="120"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1．企业声明函格式</w:t>
      </w:r>
      <w:r/>
    </w:p>
    <w:p>
      <w:pPr>
        <w:jc w:val="center"/>
        <w:rPr>
          <w:rFonts w:ascii="Calibri" w:hAnsi="Calibri"/>
          <w:color w:val="auto"/>
          <w:sz w:val="22"/>
          <w:szCs w:val="22"/>
          <w:highlight w:val="none"/>
        </w:rPr>
      </w:pPr>
      <w:r>
        <w:rPr>
          <w:rFonts w:hint="eastAsia" w:ascii="宋体" w:hAnsi="宋体"/>
          <w:b/>
          <w:color w:val="auto"/>
          <w:sz w:val="32"/>
          <w:szCs w:val="24"/>
          <w:highlight w:val="none"/>
        </w:rPr>
        <w:t xml:space="preserve">中小企业声明函（工程、货物、服务）</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2"/>
        <w:spacing w:line="36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firstLine="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440" w:firstLine="480"/>
        <w:jc w:val="right"/>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ind w:firstLine="480"/>
        <w:jc w:val="left"/>
        <w:spacing w:line="340" w:lineRule="exact"/>
        <w:tabs>
          <w:tab w:val="left" w:pos="1800" w:leader="none"/>
          <w:tab w:val="left" w:pos="5580" w:leader="none"/>
        </w:tabs>
        <w:rPr>
          <w:rFonts w:ascii="宋体" w:hAnsi="宋体"/>
          <w:color w:val="auto"/>
          <w:sz w:val="24"/>
          <w:szCs w:val="22"/>
          <w:highlight w:val="none"/>
        </w:rPr>
      </w:pPr>
      <w:r/>
      <w:bookmarkStart w:id="111" w:name="_Hlk73391674"/>
      <w:r>
        <w:rPr>
          <w:rFonts w:ascii="宋体" w:hAnsi="宋体"/>
          <w:color w:val="auto"/>
          <w:sz w:val="24"/>
          <w:szCs w:val="22"/>
          <w:highlight w:val="none"/>
        </w:rPr>
        <w:t xml:space="preserve">注：</w:t>
      </w:r>
      <w:bookmarkEnd w:id="111"/>
      <w:r/>
    </w:p>
    <w:p>
      <w:pPr>
        <w:ind w:firstLine="480"/>
        <w:jc w:val="left"/>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color w:val="auto"/>
          <w:sz w:val="24"/>
          <w:szCs w:val="22"/>
          <w:highlight w:val="none"/>
          <w:u w:val="single"/>
        </w:rPr>
      </w:pPr>
      <w:r/>
      <w:bookmarkStart w:id="112" w:name="_Hlk72665336"/>
      <w:r>
        <w:rPr>
          <w:rFonts w:hint="eastAsia" w:ascii="宋体" w:hAnsi="宋体"/>
          <w:color w:val="auto"/>
          <w:sz w:val="24"/>
          <w:szCs w:val="22"/>
          <w:highlight w:val="none"/>
        </w:rPr>
        <w:t xml:space="preserve">2．</w:t>
      </w:r>
      <w:r>
        <w:rPr>
          <w:rFonts w:hint="eastAsia" w:ascii="Calibri" w:hAnsi="Calibri"/>
          <w:b/>
          <w:bCs/>
          <w:color w:val="auto"/>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auto"/>
          <w:sz w:val="24"/>
          <w:szCs w:val="22"/>
          <w:highlight w:val="none"/>
          <w:u w:val="single"/>
        </w:rPr>
        <w:t xml:space="preserve">。</w:t>
      </w:r>
      <w:r/>
    </w:p>
    <w:p>
      <w:pPr>
        <w:ind w:firstLine="480"/>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3．</w:t>
      </w:r>
      <w:r>
        <w:rPr>
          <w:rFonts w:ascii="宋体" w:hAnsi="宋体"/>
          <w:color w:val="auto"/>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auto"/>
          <w:sz w:val="24"/>
          <w:szCs w:val="22"/>
          <w:highlight w:val="none"/>
        </w:rPr>
      </w:pPr>
      <w:r>
        <w:rPr>
          <w:rFonts w:hint="eastAsia" w:ascii="宋体" w:hAnsi="宋体"/>
          <w:b/>
          <w:bCs/>
          <w:color w:val="auto"/>
          <w:sz w:val="24"/>
          <w:szCs w:val="22"/>
          <w:highlight w:val="none"/>
        </w:rPr>
        <w:t xml:space="preserve">4．</w:t>
      </w:r>
      <w:bookmarkEnd w:id="112"/>
      <w:r>
        <w:rPr>
          <w:rFonts w:hint="eastAsia" w:ascii="宋体" w:hAnsi="宋体"/>
          <w:b/>
          <w:bCs/>
          <w:color w:val="auto"/>
          <w:sz w:val="24"/>
          <w:szCs w:val="22"/>
          <w:highlight w:val="none"/>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auto"/>
          <w:sz w:val="22"/>
          <w:szCs w:val="22"/>
          <w:highlight w:val="none"/>
          <w:u w:val="singl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w:t>
      </w:r>
      <w:r>
        <w:rPr>
          <w:rFonts w:ascii="宋体" w:hAnsi="宋体" w:cs="宋体"/>
          <w:b/>
          <w:bCs/>
          <w:color w:val="auto"/>
          <w:sz w:val="24"/>
          <w:szCs w:val="24"/>
          <w:highlight w:val="none"/>
          <w:u w:val="single"/>
        </w:rPr>
        <w:t xml:space="preserve">采购文件中明确的所属行业：详见第二章。</w:t>
      </w:r>
      <w:r/>
    </w:p>
    <w:p>
      <w:pPr>
        <w:ind w:firstLine="482"/>
        <w:spacing w:line="340" w:lineRule="exact"/>
        <w:tabs>
          <w:tab w:val="left" w:pos="1800" w:leader="none"/>
          <w:tab w:val="left" w:pos="5580" w:leader="none"/>
        </w:tabs>
        <w:rPr>
          <w:rFonts w:hint="eastAsia" w:ascii="宋体" w:hAnsi="宋体"/>
          <w:b/>
          <w:bCs/>
          <w:color w:val="auto"/>
          <w:sz w:val="24"/>
          <w:szCs w:val="22"/>
          <w:highlight w:val="none"/>
          <w:u w:val="single"/>
        </w:rPr>
      </w:pPr>
      <w:r/>
      <w:bookmarkStart w:id="113" w:name="_Hlk73478900"/>
      <w:r>
        <w:rPr>
          <w:rFonts w:hint="eastAsia" w:ascii="宋体" w:hAnsi="宋体"/>
          <w:b/>
          <w:bCs/>
          <w:color w:val="auto"/>
          <w:sz w:val="24"/>
          <w:szCs w:val="22"/>
          <w:highlight w:val="none"/>
          <w:u w:val="single"/>
        </w:rPr>
        <w:t xml:space="preserve">7</w:t>
      </w:r>
      <w:r>
        <w:rPr>
          <w:rFonts w:ascii="宋体" w:hAnsi="宋体"/>
          <w:b/>
          <w:bCs/>
          <w:color w:val="auto"/>
          <w:sz w:val="24"/>
          <w:szCs w:val="22"/>
          <w:highlight w:val="none"/>
          <w:u w:val="single"/>
        </w:rPr>
        <w:t xml:space="preserve">．根据</w:t>
      </w:r>
      <w:r>
        <w:rPr>
          <w:rFonts w:hint="eastAsia" w:ascii="宋体" w:hAnsi="宋体"/>
          <w:b/>
          <w:bCs/>
          <w:color w:val="auto"/>
          <w:sz w:val="24"/>
          <w:szCs w:val="22"/>
          <w:highlight w:val="none"/>
          <w:u w:val="single"/>
        </w:rPr>
        <w:t xml:space="preserve">《政府采购促进中小企业发展管理办法》（财库﹝2020﹞46号）</w:t>
      </w:r>
      <w:r>
        <w:rPr>
          <w:rFonts w:ascii="宋体" w:hAnsi="宋体"/>
          <w:b/>
          <w:bCs/>
          <w:color w:val="auto"/>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auto"/>
          <w:sz w:val="24"/>
          <w:szCs w:val="22"/>
          <w:highlight w:val="none"/>
          <w:u w:val="single"/>
        </w:rPr>
        <w:t xml:space="preserve">中</w:t>
      </w:r>
      <w:r>
        <w:rPr>
          <w:rFonts w:ascii="宋体" w:hAnsi="宋体"/>
          <w:b/>
          <w:bCs/>
          <w:color w:val="auto"/>
          <w:sz w:val="24"/>
          <w:szCs w:val="22"/>
          <w:highlight w:val="none"/>
          <w:u w:val="single"/>
        </w:rPr>
        <w:t xml:space="preserve">小企业声明函》时，须按采购清单逐项列明每项产品的生产企业名称，并按声明函内容将每项产品生产企业的情况如实填写完整。</w:t>
      </w:r>
      <w:r/>
    </w:p>
    <w:p>
      <w:pPr>
        <w:ind w:firstLine="482"/>
        <w:spacing w:line="340" w:lineRule="exact"/>
        <w:tabs>
          <w:tab w:val="left" w:pos="1800" w:leader="none"/>
          <w:tab w:val="left" w:pos="5580" w:leader="none"/>
        </w:tabs>
        <w:rPr>
          <w:rFonts w:hint="eastAsia" w:ascii="宋体" w:hAnsi="宋体"/>
          <w:b/>
          <w:bCs/>
          <w:color w:val="auto"/>
          <w:sz w:val="24"/>
          <w:szCs w:val="22"/>
          <w:highlight w:val="none"/>
        </w:rPr>
      </w:pPr>
      <w:r>
        <w:rPr>
          <w:rFonts w:ascii="宋体" w:hAnsi="宋体"/>
          <w:b/>
          <w:bCs/>
          <w:color w:val="auto"/>
          <w:sz w:val="24"/>
          <w:szCs w:val="22"/>
          <w:highlight w:val="none"/>
        </w:rPr>
        <w:t xml:space="preserve">如有遗漏的，则所遗漏项的生产企业将被视为非小微企业，供应商不再享受小微企业价格扣除。《</w:t>
      </w:r>
      <w:r>
        <w:rPr>
          <w:rFonts w:hint="eastAsia" w:ascii="宋体" w:hAnsi="宋体"/>
          <w:b/>
          <w:bCs/>
          <w:color w:val="auto"/>
          <w:sz w:val="24"/>
          <w:szCs w:val="22"/>
          <w:highlight w:val="none"/>
        </w:rPr>
        <w:t xml:space="preserve">中</w:t>
      </w:r>
      <w:r>
        <w:rPr>
          <w:rFonts w:ascii="宋体" w:hAnsi="宋体"/>
          <w:b/>
          <w:bCs/>
          <w:color w:val="auto"/>
          <w:sz w:val="24"/>
          <w:szCs w:val="22"/>
          <w:highlight w:val="none"/>
        </w:rPr>
        <w:t xml:space="preserve">小企业声明函》中的“标的名称”是指采购清单中每项产品名称。</w:t>
      </w:r>
      <w:r/>
    </w:p>
    <w:p>
      <w:pPr>
        <w:jc w:val="left"/>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2．残疾人福利性单位声明函</w:t>
      </w:r>
      <w:r/>
    </w:p>
    <w:p>
      <w:pPr>
        <w:jc w:val="center"/>
        <w:spacing w:line="400" w:lineRule="exact"/>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00" w:lineRule="exact"/>
        <w:widowControl/>
        <w:rPr>
          <w:rFonts w:ascii="Calibri" w:hAnsi="Calibri"/>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jc w:val="left"/>
        <w:spacing w:line="400" w:lineRule="exact"/>
        <w:rPr>
          <w:rFonts w:ascii="宋体" w:hAnsi="宋体"/>
          <w:color w:val="auto"/>
          <w:sz w:val="24"/>
          <w:szCs w:val="24"/>
          <w:highlight w:val="none"/>
        </w:rPr>
      </w:pPr>
      <w:r/>
      <w:bookmarkStart w:id="114" w:name="_Hlk73391707"/>
      <w:r/>
      <w:r/>
    </w:p>
    <w:p>
      <w:pPr>
        <w:ind w:firstLine="504"/>
        <w:jc w:val="left"/>
        <w:spacing w:line="400" w:lineRule="exact"/>
        <w:rPr>
          <w:rFonts w:ascii="宋体" w:hAnsi="宋体"/>
          <w:color w:val="auto"/>
          <w:spacing w:val="6"/>
          <w:sz w:val="24"/>
          <w:szCs w:val="24"/>
          <w:highlight w:val="none"/>
        </w:rPr>
      </w:pPr>
      <w:r/>
      <w:bookmarkStart w:id="115"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jc w:val="left"/>
        <w:spacing w:line="400" w:lineRule="exact"/>
        <w:rPr>
          <w:rFonts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jc w:val="left"/>
        <w:spacing w:line="400" w:lineRule="exact"/>
        <w:rPr>
          <w:rFonts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660" w:hanging="24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jc w:val="left"/>
        <w:spacing w:before="2" w:line="400" w:lineRule="exact"/>
        <w:rPr>
          <w:rFonts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115"/>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供应商如不提供此声明函，价格将不做相应扣除。</w:t>
      </w:r>
      <w:r/>
    </w:p>
    <w:p>
      <w:pPr>
        <w:jc w:val="left"/>
        <w:spacing w:before="2" w:line="400" w:lineRule="exact"/>
        <w:rPr>
          <w:rFonts w:ascii="宋体" w:hAnsi="宋体"/>
          <w:color w:val="auto"/>
          <w:sz w:val="24"/>
          <w:szCs w:val="24"/>
          <w:highlight w:val="none"/>
        </w:rPr>
      </w:pPr>
      <w:r>
        <w:rPr>
          <w:rFonts w:ascii="宋体" w:hAnsi="宋体"/>
          <w:color w:val="auto"/>
          <w:sz w:val="24"/>
          <w:szCs w:val="24"/>
          <w:highlight w:val="none"/>
        </w:rPr>
      </w:r>
      <w:r/>
    </w:p>
    <w:p>
      <w:pPr>
        <w:ind w:right="150"/>
        <w:jc w:val="right"/>
        <w:spacing w:line="400" w:lineRule="exact"/>
        <w:rPr>
          <w:rFonts w:ascii="宋体" w:hAnsi="宋体"/>
          <w:color w:val="auto"/>
          <w:sz w:val="24"/>
          <w:szCs w:val="24"/>
          <w:highlight w:val="none"/>
        </w:rPr>
      </w:pP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名称（盖章）：</w:t>
      </w:r>
      <w:r/>
    </w:p>
    <w:p>
      <w:pPr>
        <w:ind w:right="9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bookmarkEnd w:id="113"/>
      <w:bookmarkEnd w:id="114"/>
      <w:r/>
    </w:p>
    <w:p>
      <w:pPr>
        <w:jc w:val="center"/>
        <w:spacing w:line="400" w:lineRule="exact"/>
        <w:rPr>
          <w:rFonts w:ascii="宋体" w:hAnsi="宋体" w:cs="仿宋"/>
          <w:b/>
          <w:bCs/>
          <w:color w:val="auto"/>
          <w:sz w:val="24"/>
          <w:szCs w:val="24"/>
          <w:highlight w:val="none"/>
        </w:rPr>
      </w:pPr>
      <w:r>
        <w:rPr>
          <w:rFonts w:ascii="宋体" w:hAnsi="宋体" w:cs="仿宋"/>
          <w:b/>
          <w:bCs/>
          <w:color w:val="auto"/>
          <w:sz w:val="24"/>
          <w:szCs w:val="24"/>
          <w:highlight w:val="none"/>
        </w:rPr>
      </w:r>
      <w:r/>
    </w:p>
    <w:p>
      <w:pPr>
        <w:jc w:val="center"/>
        <w:spacing w:line="40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spacing w:line="440" w:lineRule="exact"/>
        <w:rPr>
          <w:rFonts w:ascii="仿宋" w:hAnsi="仿宋" w:eastAsia="仿宋" w:cs="仿宋"/>
          <w:b/>
          <w:bCs/>
          <w:color w:val="auto"/>
          <w:sz w:val="24"/>
          <w:szCs w:val="24"/>
          <w:highlight w:val="none"/>
        </w:rPr>
      </w:pPr>
      <w:r>
        <w:rPr>
          <w:rFonts w:hint="eastAsia" w:ascii="宋体" w:hAnsi="宋体"/>
          <w:b/>
          <w:color w:val="auto"/>
          <w:sz w:val="28"/>
          <w:szCs w:val="28"/>
          <w:highlight w:val="none"/>
        </w:rPr>
        <w:t xml:space="preserve">3．属于监狱企业的证明文件</w:t>
      </w:r>
      <w:r/>
    </w:p>
    <w:p>
      <w:pPr>
        <w:jc w:val="left"/>
        <w:rPr>
          <w:rFonts w:ascii="Calibri" w:hAnsi="Calibri"/>
          <w:color w:val="auto"/>
          <w:sz w:val="22"/>
          <w:szCs w:val="22"/>
          <w:highlight w:val="none"/>
        </w:rPr>
      </w:pPr>
      <w:r>
        <w:rPr>
          <w:rFonts w:ascii="Calibri" w:hAnsi="Calibri"/>
          <w:color w:val="auto"/>
          <w:sz w:val="22"/>
          <w:szCs w:val="22"/>
          <w:highlight w:val="none"/>
        </w:rPr>
      </w:r>
      <w:r/>
    </w:p>
    <w:p>
      <w:pPr>
        <w:jc w:val="center"/>
        <w:spacing w:line="400" w:lineRule="exact"/>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rFonts w:ascii="Calibri" w:hAnsi="Calibri"/>
          <w:color w:val="auto"/>
          <w:sz w:val="24"/>
          <w:szCs w:val="24"/>
          <w:highlight w:val="none"/>
        </w:rPr>
      </w:pPr>
      <w:r>
        <w:rPr>
          <w:rFonts w:ascii="Calibri" w:hAnsi="Calibri"/>
          <w:color w:val="auto"/>
          <w:sz w:val="24"/>
          <w:szCs w:val="24"/>
          <w:highlight w:val="none"/>
        </w:rPr>
      </w:r>
      <w:r/>
    </w:p>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116" w:name="_Hlk109220782"/>
      <w:r>
        <w:rPr>
          <w:rFonts w:ascii="宋体" w:hAnsi="宋体"/>
          <w:color w:val="auto"/>
          <w:sz w:val="24"/>
          <w:szCs w:val="24"/>
          <w:highlight w:val="none"/>
        </w:rPr>
        <w:t xml:space="preserve">〔2014〕</w:t>
      </w:r>
      <w:bookmarkEnd w:id="116"/>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供应商如不提供此声明函，价格将不做相应扣除。</w:t>
      </w:r>
      <w:r/>
    </w:p>
    <w:p>
      <w:pPr>
        <w:jc w:val="left"/>
        <w:spacing w:line="360" w:lineRule="auto"/>
        <w:widowControl/>
        <w:rPr>
          <w:rFonts w:hint="eastAsia" w:ascii="宋体" w:hAnsi="宋体" w:cs="宋体"/>
          <w:b/>
          <w:color w:val="auto"/>
          <w:sz w:val="24"/>
          <w:szCs w:val="24"/>
          <w:highlight w:val="none"/>
          <w:lang w:val="zh-CN"/>
        </w:rPr>
        <w:outlineLvl w:val="1"/>
      </w:pPr>
      <w:r>
        <w:rPr>
          <w:rFonts w:hint="eastAsia" w:ascii="宋体" w:hAnsi="宋体" w:cs="宋体"/>
          <w:b/>
          <w:bCs/>
          <w:color w:val="auto"/>
          <w:sz w:val="28"/>
          <w:szCs w:val="28"/>
          <w:highlight w:val="none"/>
        </w:rPr>
        <w:br w:type="page" w:clear="all"/>
      </w:r>
      <w:bookmarkStart w:id="117" w:name="_Toc228350087"/>
      <w:r>
        <w:rPr>
          <w:rFonts w:hint="eastAsia" w:ascii="宋体" w:hAnsi="宋体" w:cs="宋体"/>
          <w:b/>
          <w:color w:val="auto"/>
          <w:sz w:val="24"/>
          <w:szCs w:val="24"/>
          <w:highlight w:val="none"/>
          <w:lang w:val="zh-CN"/>
        </w:rPr>
        <w:t xml:space="preserve">附件十二、南京市政府采购供应商信用记录表暨信用承诺书</w:t>
      </w:r>
      <w:bookmarkEnd w:id="117"/>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《南京市政府采购供应商信用记录表暨信用承诺书》</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在线打印</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（参考格式如下）</w:t>
      </w:r>
      <w:r/>
    </w:p>
    <w:p>
      <w:pPr>
        <w:jc w:val="right"/>
        <w:spacing w:line="400" w:lineRule="exact"/>
        <w:rPr>
          <w:rFonts w:ascii="仿宋" w:hAnsi="仿宋" w:eastAsia="仿宋"/>
          <w:color w:val="auto"/>
          <w:sz w:val="22"/>
          <w:szCs w:val="21"/>
          <w:highlight w:val="none"/>
          <w:lang w:eastAsia="en-US"/>
        </w:rPr>
      </w:pPr>
      <w:r>
        <w:rPr>
          <w:rFonts w:hint="eastAsia" w:ascii="仿宋" w:hAnsi="仿宋" w:eastAsia="仿宋"/>
          <w:color w:val="auto"/>
          <w:sz w:val="22"/>
          <w:szCs w:val="21"/>
          <w:highlight w:val="none"/>
          <w:lang w:eastAsia="en-US"/>
        </w:rPr>
        <w:t xml:space="preserve">二〇   年     月     日</w:t>
      </w:r>
      <w:r/>
    </w:p>
    <w:p>
      <w:pPr>
        <w:jc w:val="left"/>
        <w:rPr>
          <w:rFonts w:ascii="Calibri" w:hAnsi="Calibri"/>
          <w:color w:val="auto"/>
          <w:sz w:val="22"/>
          <w:szCs w:val="22"/>
          <w:highlight w:val="none"/>
          <w:lang w:eastAsia="en-US"/>
        </w:rPr>
      </w:pPr>
      <w:r>
        <w:rPr>
          <w:rFonts w:ascii="Calibri" w:hAnsi="Calibri"/>
          <w:color w:val="auto"/>
          <w:sz w:val="22"/>
          <w:szCs w:val="22"/>
          <w:highlight w:val="none"/>
          <w:lang w:eastAsia="en-US"/>
        </w:rPr>
      </w:r>
      <w:r/>
    </w:p>
    <w:tbl>
      <w:tblPr>
        <w:tblStyle w:val="689"/>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jc w:val="center"/>
          <w:trHeight w:val="567" w:hRule="exact"/>
        </w:trPr>
        <w:tc>
          <w:tcPr>
            <w:tcW w:w="1717"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单位名称</w:t>
            </w:r>
            <w:r/>
          </w:p>
        </w:tc>
        <w:tc>
          <w:tcPr>
            <w:tcW w:w="2560"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统一社会信用代码</w:t>
            </w:r>
            <w:r/>
          </w:p>
        </w:tc>
        <w:tc>
          <w:tcPr>
            <w:tcW w:w="3436"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67" w:hRule="exact"/>
        </w:trPr>
        <w:tc>
          <w:tcPr>
            <w:tcW w:w="1717"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法定代表人</w:t>
            </w:r>
            <w:r/>
          </w:p>
        </w:tc>
        <w:tc>
          <w:tcPr>
            <w:tcW w:w="2560"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联系人</w:t>
            </w:r>
            <w:r/>
          </w:p>
        </w:tc>
        <w:tc>
          <w:tcPr>
            <w:tcW w:w="3436"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67" w:hRule="exact"/>
        </w:trPr>
        <w:tc>
          <w:tcPr>
            <w:tcW w:w="1717"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联系地址</w:t>
            </w:r>
            <w:r/>
          </w:p>
        </w:tc>
        <w:tc>
          <w:tcPr>
            <w:tcW w:w="2560"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联系电话</w:t>
            </w:r>
            <w:r/>
          </w:p>
        </w:tc>
        <w:tc>
          <w:tcPr>
            <w:tcW w:w="3436"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1345"/>
        </w:trPr>
        <w:tc>
          <w:tcPr>
            <w:tcW w:w="1717" w:type="dxa"/>
            <w:vAlign w:val="center"/>
            <w:textDirection w:val="lrTb"/>
            <w:noWrap w:val="false"/>
          </w:tcPr>
          <w:p>
            <w:pPr>
              <w:jc w:val="left"/>
              <w:spacing w:line="400" w:lineRule="exact"/>
              <w:rPr>
                <w:rFonts w:ascii="仿宋" w:hAnsi="仿宋" w:eastAsia="仿宋"/>
                <w:color w:val="auto"/>
                <w:sz w:val="22"/>
                <w:szCs w:val="21"/>
                <w:highlight w:val="none"/>
                <w:lang w:eastAsia="en-US"/>
              </w:rPr>
            </w:pPr>
            <w:r>
              <w:rPr>
                <w:rFonts w:hint="eastAsia" w:ascii="仿宋" w:hAnsi="仿宋" w:eastAsia="仿宋"/>
                <w:b/>
                <w:bCs/>
                <w:color w:val="auto"/>
                <w:sz w:val="22"/>
                <w:szCs w:val="21"/>
                <w:highlight w:val="none"/>
                <w:lang w:eastAsia="en-US"/>
              </w:rPr>
              <w:t xml:space="preserve">诚信档案记录情况</w:t>
            </w:r>
            <w:r/>
          </w:p>
        </w:tc>
        <w:tc>
          <w:tcPr>
            <w:gridSpan w:val="3"/>
            <w:tcW w:w="7981"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863"/>
        </w:trPr>
        <w:tc>
          <w:tcPr>
            <w:tcW w:w="1717" w:type="dxa"/>
            <w:vAlign w:val="center"/>
            <w:textDirection w:val="lrTb"/>
            <w:noWrap w:val="false"/>
          </w:tcPr>
          <w:p>
            <w:pPr>
              <w:jc w:val="center"/>
              <w:spacing w:line="400" w:lineRule="exact"/>
              <w:rPr>
                <w:rFonts w:ascii="仿宋" w:hAnsi="仿宋" w:eastAsia="仿宋"/>
                <w:color w:val="auto"/>
                <w:sz w:val="22"/>
                <w:szCs w:val="21"/>
                <w:highlight w:val="none"/>
                <w:lang w:eastAsia="en-US"/>
              </w:rPr>
            </w:pPr>
            <w:r>
              <w:rPr>
                <w:rFonts w:hint="eastAsia" w:ascii="仿宋" w:hAnsi="仿宋" w:eastAsia="仿宋"/>
                <w:b/>
                <w:bCs/>
                <w:color w:val="auto"/>
                <w:sz w:val="22"/>
                <w:szCs w:val="21"/>
                <w:highlight w:val="none"/>
                <w:lang w:eastAsia="en-US"/>
              </w:rPr>
              <w:t xml:space="preserve">信用承诺</w:t>
            </w:r>
            <w:r/>
          </w:p>
        </w:tc>
        <w:tc>
          <w:tcPr>
            <w:gridSpan w:val="3"/>
            <w:tcW w:w="7981" w:type="dxa"/>
            <w:vAlign w:val="top"/>
            <w:textDirection w:val="lrTb"/>
            <w:noWrap w:val="false"/>
          </w:tcPr>
          <w:p>
            <w:pPr>
              <w:ind w:firstLine="440"/>
              <w:jc w:val="left"/>
              <w:spacing w:line="400" w:lineRule="exact"/>
              <w:rPr>
                <w:rFonts w:ascii="仿宋" w:hAnsi="仿宋" w:eastAsia="仿宋"/>
                <w:color w:val="auto"/>
                <w:sz w:val="22"/>
                <w:szCs w:val="21"/>
                <w:highlight w:val="none"/>
              </w:rPr>
            </w:pPr>
            <w:r>
              <w:rPr>
                <w:rFonts w:ascii="仿宋" w:hAnsi="仿宋" w:eastAsia="仿宋"/>
                <w:color w:val="auto"/>
                <w:sz w:val="22"/>
                <w:szCs w:val="21"/>
                <w:highlight w:val="none"/>
              </w:rPr>
            </w:r>
            <w:r/>
          </w:p>
          <w:p>
            <w:pPr>
              <w:ind w:firstLine="440"/>
              <w:jc w:val="left"/>
              <w:spacing w:line="400" w:lineRule="exact"/>
              <w:rPr>
                <w:rFonts w:ascii="仿宋" w:hAnsi="仿宋" w:eastAsia="仿宋"/>
                <w:color w:val="auto"/>
                <w:sz w:val="22"/>
                <w:szCs w:val="21"/>
                <w:highlight w:val="none"/>
              </w:rPr>
            </w:pPr>
            <w:r>
              <w:rPr>
                <w:rFonts w:hint="eastAsia" w:ascii="仿宋" w:hAnsi="仿宋" w:eastAsia="仿宋"/>
                <w:color w:val="auto"/>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auto"/>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jc w:val="left"/>
              <w:spacing w:line="400" w:lineRule="exact"/>
              <w:rPr>
                <w:rFonts w:ascii="仿宋" w:hAnsi="仿宋" w:eastAsia="仿宋"/>
                <w:color w:val="auto"/>
                <w:sz w:val="22"/>
                <w:szCs w:val="21"/>
                <w:highlight w:val="none"/>
              </w:rPr>
            </w:pPr>
            <w:r>
              <w:rPr>
                <w:rFonts w:ascii="仿宋" w:hAnsi="仿宋" w:eastAsia="仿宋"/>
                <w:color w:val="auto"/>
                <w:sz w:val="22"/>
                <w:szCs w:val="21"/>
                <w:highlight w:val="none"/>
              </w:rPr>
            </w:r>
            <w:r/>
          </w:p>
          <w:p>
            <w:pPr>
              <w:jc w:val="left"/>
              <w:spacing w:line="400" w:lineRule="exact"/>
              <w:rPr>
                <w:rFonts w:hint="eastAsia" w:ascii="仿宋" w:hAnsi="仿宋" w:eastAsia="仿宋"/>
                <w:color w:val="auto"/>
                <w:sz w:val="22"/>
                <w:szCs w:val="21"/>
                <w:highlight w:val="none"/>
              </w:rPr>
            </w:pPr>
            <w:r>
              <w:rPr>
                <w:rFonts w:hint="eastAsia" w:ascii="仿宋" w:hAnsi="仿宋" w:eastAsia="仿宋"/>
                <w:color w:val="auto"/>
                <w:sz w:val="22"/>
                <w:szCs w:val="21"/>
                <w:highlight w:val="none"/>
              </w:rPr>
            </w:r>
            <w:r/>
          </w:p>
          <w:p>
            <w:pPr>
              <w:jc w:val="left"/>
              <w:spacing w:line="400" w:lineRule="exact"/>
              <w:rPr>
                <w:rFonts w:ascii="仿宋" w:hAnsi="仿宋" w:eastAsia="仿宋"/>
                <w:color w:val="auto"/>
                <w:sz w:val="22"/>
                <w:szCs w:val="21"/>
                <w:highlight w:val="none"/>
              </w:rPr>
            </w:pPr>
            <w:r>
              <w:rPr>
                <w:rFonts w:hint="eastAsia" w:ascii="仿宋" w:hAnsi="仿宋" w:eastAsia="仿宋"/>
                <w:color w:val="auto"/>
                <w:sz w:val="22"/>
                <w:szCs w:val="21"/>
                <w:highlight w:val="none"/>
              </w:rPr>
              <w:t xml:space="preserve">供应商名称（盖章）：</w:t>
            </w:r>
            <w:r/>
          </w:p>
          <w:p>
            <w:pPr>
              <w:jc w:val="left"/>
              <w:spacing w:line="400" w:lineRule="exact"/>
              <w:rPr>
                <w:rFonts w:ascii="仿宋" w:hAnsi="仿宋" w:eastAsia="仿宋"/>
                <w:color w:val="auto"/>
                <w:sz w:val="22"/>
                <w:szCs w:val="22"/>
                <w:highlight w:val="none"/>
              </w:rPr>
            </w:pPr>
            <w:r>
              <w:rPr>
                <w:rFonts w:hint="eastAsia" w:ascii="仿宋" w:hAnsi="仿宋" w:eastAsia="仿宋"/>
                <w:color w:val="auto"/>
                <w:sz w:val="22"/>
                <w:szCs w:val="21"/>
                <w:highlight w:val="none"/>
              </w:rPr>
              <w:t xml:space="preserve">法定代表人（签字）：</w:t>
            </w:r>
            <w:r/>
          </w:p>
        </w:tc>
      </w:tr>
    </w:tbl>
    <w:p>
      <w:pPr>
        <w:ind w:firstLine="482"/>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注：供应商参加本次政府采购活动时，在采购文件发布之日起至递交投标文件截止日前，应登录【</w:t>
      </w:r>
      <w:r>
        <w:rPr>
          <w:rFonts w:ascii="Calibri" w:hAnsi="Calibri"/>
          <w:b/>
          <w:bCs/>
          <w:color w:val="auto"/>
          <w:sz w:val="22"/>
          <w:szCs w:val="22"/>
          <w:highlight w:val="none"/>
          <w:lang w:eastAsia="en-US"/>
        </w:rPr>
        <w:fldChar w:fldCharType="begin"/>
      </w:r>
      <w:r>
        <w:rPr>
          <w:rFonts w:ascii="Calibri" w:hAnsi="Calibri"/>
          <w:b/>
          <w:bCs/>
          <w:color w:val="auto"/>
          <w:sz w:val="22"/>
          <w:szCs w:val="22"/>
          <w:highlight w:val="none"/>
        </w:rPr>
        <w:instrText xml:space="preserve"> HYPERLINK "http://180.101.238.212:8280/hodeframe2018_cxda/index.action;jsessionid=3CB06119C93D950CE8917FD0D0AEB15C" </w:instrText>
      </w:r>
      <w:r>
        <w:rPr>
          <w:rFonts w:ascii="Calibri" w:hAnsi="Calibri"/>
          <w:b/>
          <w:bCs/>
          <w:color w:val="auto"/>
          <w:sz w:val="22"/>
          <w:szCs w:val="22"/>
          <w:highlight w:val="none"/>
          <w:lang w:eastAsia="en-US"/>
        </w:rPr>
        <w:fldChar w:fldCharType="separate"/>
      </w:r>
      <w:r>
        <w:rPr>
          <w:rFonts w:hint="eastAsia" w:ascii="宋体" w:hAnsi="宋体"/>
          <w:b/>
          <w:bCs/>
          <w:color w:val="auto"/>
          <w:sz w:val="24"/>
          <w:szCs w:val="24"/>
          <w:highlight w:val="none"/>
        </w:rPr>
        <w:t xml:space="preserve">南京市政府采购供应商诚信档案管理系统</w:t>
      </w:r>
      <w:r>
        <w:rPr>
          <w:rFonts w:hint="eastAsia" w:ascii="宋体" w:hAnsi="宋体"/>
          <w:b/>
          <w:bCs/>
          <w:color w:val="auto"/>
          <w:sz w:val="24"/>
          <w:szCs w:val="24"/>
          <w:highlight w:val="none"/>
          <w:lang w:eastAsia="en-US"/>
        </w:rPr>
        <w:fldChar w:fldCharType="end"/>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u w:val="single"/>
        </w:rPr>
        <w:t xml:space="preserve">在线打印</w:t>
      </w:r>
      <w:r>
        <w:rPr>
          <w:rFonts w:hint="eastAsia" w:ascii="宋体" w:hAnsi="宋体"/>
          <w:b/>
          <w:bCs/>
          <w:color w:val="auto"/>
          <w:sz w:val="24"/>
          <w:szCs w:val="24"/>
          <w:highlight w:val="none"/>
        </w:rPr>
        <w:t xml:space="preserve">“南京市政府采购供应商信用记录表暨信用承诺书”，经</w:t>
      </w:r>
      <w:r>
        <w:rPr>
          <w:rFonts w:hint="eastAsia" w:ascii="宋体" w:hAnsi="宋体"/>
          <w:b/>
          <w:bCs/>
          <w:color w:val="auto"/>
          <w:sz w:val="24"/>
          <w:szCs w:val="24"/>
          <w:highlight w:val="none"/>
          <w:u w:val="single"/>
        </w:rPr>
        <w:t xml:space="preserve">法定代表人签名盖章</w:t>
      </w:r>
      <w:r>
        <w:rPr>
          <w:rFonts w:hint="eastAsia" w:ascii="宋体" w:hAnsi="宋体"/>
          <w:b/>
          <w:bCs/>
          <w:color w:val="auto"/>
          <w:sz w:val="24"/>
          <w:szCs w:val="24"/>
          <w:highlight w:val="none"/>
        </w:rPr>
        <w:t xml:space="preserve">后作为投标文件的组成部分。“南京市政府采购供应商信用记录表暨信用承诺书”是其参加本次政府采购活动的必备材料。</w:t>
      </w:r>
      <w:r/>
    </w:p>
    <w:p>
      <w:pPr>
        <w:jc w:val="left"/>
        <w:spacing w:line="360" w:lineRule="auto"/>
        <w:widowControl/>
        <w:rPr>
          <w:rFonts w:hint="eastAsia"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bookmarkStart w:id="118" w:name="_Toc228350088"/>
      <w:r>
        <w:rPr>
          <w:rFonts w:hint="eastAsia" w:ascii="宋体" w:hAnsi="宋体" w:cs="宋体"/>
          <w:b/>
          <w:color w:val="auto"/>
          <w:sz w:val="24"/>
          <w:szCs w:val="24"/>
          <w:highlight w:val="none"/>
          <w:lang w:val="zh-CN"/>
        </w:rPr>
        <w:t xml:space="preserve">附件十三、</w:t>
      </w:r>
      <w:bookmarkStart w:id="119" w:name="OLE_LINK42"/>
      <w:r/>
      <w:bookmarkStart w:id="120" w:name="OLE_LINK43"/>
      <w:r>
        <w:rPr>
          <w:rFonts w:hint="eastAsia" w:ascii="宋体" w:hAnsi="宋体" w:cs="宋体"/>
          <w:b/>
          <w:color w:val="auto"/>
          <w:sz w:val="24"/>
          <w:szCs w:val="24"/>
          <w:highlight w:val="none"/>
          <w:lang w:val="zh-CN"/>
        </w:rPr>
        <w:t xml:space="preserve">货物质量保证承诺书</w:t>
      </w:r>
      <w:bookmarkEnd w:id="119"/>
      <w:r/>
      <w:bookmarkEnd w:id="120"/>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货物质量保证承诺书</w:t>
      </w:r>
      <w:r/>
    </w:p>
    <w:p>
      <w:pPr>
        <w:jc w:val="left"/>
        <w:spacing w:line="360" w:lineRule="auto"/>
        <w:widowControl/>
        <w:rPr>
          <w:rFonts w:ascii="宋体" w:hAnsi="宋体" w:cs="宋体"/>
          <w:bCs/>
          <w:color w:val="auto"/>
          <w:sz w:val="28"/>
          <w:szCs w:val="28"/>
          <w:highlight w:val="none"/>
          <w:u w:val="single"/>
        </w:rPr>
        <w:outlineLvl w:val="1"/>
      </w:pPr>
      <w:r>
        <w:rPr>
          <w:rFonts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我公司现向贵单位承诺，我公司在项目名称：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实施过程中，保证货物质量符合招标文件质量标准要求，在此服务过程中如出现任何质量问题，均由我公司承担一切责任。</w:t>
      </w:r>
      <w:r/>
    </w:p>
    <w:p>
      <w:pPr>
        <w:ind w:firstLine="480"/>
        <w:jc w:val="left"/>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承诺单位（公章）：</w:t>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p>
    <w:p>
      <w:pPr>
        <w:jc w:val="left"/>
        <w:spacing w:line="360" w:lineRule="auto"/>
        <w:widowControl/>
        <w:rPr>
          <w:rFonts w:hint="eastAsia" w:ascii="宋体" w:hAnsi="宋体" w:cs="宋体"/>
          <w:b/>
          <w:color w:val="auto"/>
          <w:sz w:val="24"/>
          <w:szCs w:val="24"/>
          <w:highlight w:val="none"/>
          <w:lang w:val="zh-CN"/>
        </w:rPr>
        <w:outlineLvl w:val="1"/>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outlineLvl w:val="1"/>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r>
        <w:rPr>
          <w:rFonts w:hint="eastAsia" w:ascii="宋体" w:hAnsi="宋体" w:cs="宋体"/>
          <w:b/>
          <w:color w:val="auto"/>
          <w:sz w:val="24"/>
          <w:szCs w:val="24"/>
          <w:highlight w:val="none"/>
          <w:lang w:val="zh-CN"/>
        </w:rPr>
        <w:t xml:space="preserve">附件十四、</w:t>
      </w:r>
      <w:bookmarkStart w:id="121" w:name="_Hlk108563738"/>
      <w:r>
        <w:rPr>
          <w:rFonts w:hint="eastAsia" w:ascii="宋体" w:hAnsi="宋体" w:cs="宋体"/>
          <w:b/>
          <w:color w:val="auto"/>
          <w:sz w:val="24"/>
          <w:szCs w:val="24"/>
          <w:highlight w:val="none"/>
          <w:lang w:val="zh-CN"/>
        </w:rPr>
        <w:t xml:space="preserve">供应商资格承诺声明函</w:t>
      </w:r>
      <w:bookmarkEnd w:id="118"/>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供应商资格承诺声明函</w:t>
      </w:r>
      <w:bookmarkEnd w:id="108"/>
      <w:r/>
      <w:r/>
    </w:p>
    <w:p>
      <w:pPr>
        <w:jc w:val="left"/>
        <w:spacing w:line="360" w:lineRule="exact"/>
        <w:rPr>
          <w:rFonts w:hint="eastAsia" w:ascii="宋体" w:hAnsi="宋体"/>
          <w:color w:val="auto"/>
          <w:sz w:val="22"/>
          <w:szCs w:val="21"/>
          <w:highlight w:val="none"/>
        </w:rPr>
      </w:pPr>
      <w:r/>
      <w:bookmarkStart w:id="122" w:name="_Hlk94112054"/>
      <w:r>
        <w:rPr>
          <w:rFonts w:hint="eastAsia" w:ascii="宋体" w:hAnsi="宋体"/>
          <w:color w:val="auto"/>
          <w:sz w:val="22"/>
          <w:szCs w:val="21"/>
          <w:highlight w:val="none"/>
        </w:rPr>
        <w:t xml:space="preserve">致：</w:t>
      </w:r>
      <w:bookmarkEnd w:id="122"/>
      <w:r>
        <w:rPr>
          <w:rFonts w:hint="eastAsia" w:ascii="宋体" w:hAnsi="宋体"/>
          <w:color w:val="auto"/>
          <w:sz w:val="22"/>
          <w:szCs w:val="21"/>
          <w:highlight w:val="none"/>
          <w:u w:val="single"/>
        </w:rPr>
        <w:t xml:space="preserve">南京江北新区管理委员会教育局</w:t>
      </w:r>
      <w:r/>
    </w:p>
    <w:p>
      <w:pPr>
        <w:ind w:firstLine="440"/>
        <w:spacing w:line="360" w:lineRule="exact"/>
        <w:rPr>
          <w:rFonts w:ascii="宋体" w:hAnsi="宋体"/>
          <w:color w:val="auto"/>
          <w:sz w:val="22"/>
          <w:szCs w:val="21"/>
          <w:highlight w:val="none"/>
        </w:rPr>
      </w:pPr>
      <w:r>
        <w:rPr>
          <w:rFonts w:ascii="宋体" w:hAnsi="宋体"/>
          <w:color w:val="auto"/>
          <w:sz w:val="22"/>
          <w:szCs w:val="21"/>
          <w:highlight w:val="none"/>
        </w:rPr>
        <w:t xml:space="preserve">在参与本次项目</w:t>
      </w:r>
      <w:r>
        <w:rPr>
          <w:rFonts w:hint="eastAsia" w:ascii="宋体" w:hAnsi="宋体"/>
          <w:color w:val="auto"/>
          <w:sz w:val="22"/>
          <w:szCs w:val="21"/>
          <w:highlight w:val="none"/>
        </w:rPr>
        <w:t xml:space="preserve">政府采购活动</w:t>
      </w:r>
      <w:r>
        <w:rPr>
          <w:rFonts w:ascii="宋体" w:hAnsi="宋体"/>
          <w:color w:val="auto"/>
          <w:sz w:val="22"/>
          <w:szCs w:val="21"/>
          <w:highlight w:val="none"/>
        </w:rPr>
        <w:t xml:space="preserve">中，</w:t>
      </w:r>
      <w:r>
        <w:rPr>
          <w:rFonts w:hint="eastAsia" w:ascii="宋体" w:hAnsi="宋体"/>
          <w:color w:val="auto"/>
          <w:sz w:val="22"/>
          <w:szCs w:val="21"/>
          <w:highlight w:val="none"/>
        </w:rPr>
        <w:t xml:space="preserve">我公司</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 xml:space="preserve">（供应商名称）郑重承诺：我公司符合下列要求：</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（一）</w:t>
      </w:r>
      <w:r>
        <w:rPr>
          <w:rFonts w:ascii="宋体" w:hAnsi="宋体"/>
          <w:color w:val="auto"/>
          <w:sz w:val="22"/>
          <w:szCs w:val="21"/>
          <w:highlight w:val="none"/>
        </w:rPr>
        <w:t xml:space="preserve">具有良好的商业信誉和健全的财务会计制度；</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（二）</w:t>
      </w:r>
      <w:r>
        <w:rPr>
          <w:rFonts w:ascii="宋体" w:hAnsi="宋体"/>
          <w:color w:val="auto"/>
          <w:sz w:val="22"/>
          <w:szCs w:val="21"/>
          <w:highlight w:val="none"/>
        </w:rPr>
        <w:t xml:space="preserve">具有履行合同所必需的设备和专业技术能力；</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（三）</w:t>
      </w:r>
      <w:r>
        <w:rPr>
          <w:rFonts w:ascii="宋体" w:hAnsi="宋体"/>
          <w:color w:val="auto"/>
          <w:sz w:val="22"/>
          <w:szCs w:val="21"/>
          <w:highlight w:val="none"/>
        </w:rPr>
        <w:t xml:space="preserve">有依法缴纳税收和社会保障资金的良好记录；</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（四）</w:t>
      </w:r>
      <w:r>
        <w:rPr>
          <w:rFonts w:ascii="宋体" w:hAnsi="宋体"/>
          <w:color w:val="auto"/>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 w:val="22"/>
          <w:szCs w:val="21"/>
          <w:highlight w:val="none"/>
        </w:rPr>
        <w:t xml:space="preserve">2</w:t>
      </w:r>
      <w:r>
        <w:rPr>
          <w:rFonts w:ascii="宋体" w:hAnsi="宋体"/>
          <w:color w:val="auto"/>
          <w:sz w:val="22"/>
          <w:szCs w:val="21"/>
          <w:highlight w:val="none"/>
        </w:rPr>
        <w:t xml:space="preserve">00</w:t>
      </w:r>
      <w:r>
        <w:rPr>
          <w:rFonts w:hint="eastAsia" w:ascii="宋体" w:hAnsi="宋体"/>
          <w:color w:val="auto"/>
          <w:sz w:val="22"/>
          <w:szCs w:val="21"/>
          <w:highlight w:val="none"/>
        </w:rPr>
        <w:t xml:space="preserve">万元以上的</w:t>
      </w:r>
      <w:r>
        <w:rPr>
          <w:rFonts w:ascii="宋体" w:hAnsi="宋体"/>
          <w:color w:val="auto"/>
          <w:sz w:val="22"/>
          <w:szCs w:val="21"/>
          <w:highlight w:val="none"/>
        </w:rPr>
        <w:t xml:space="preserve">较大数额罚款</w:t>
      </w:r>
      <w:r>
        <w:rPr>
          <w:rFonts w:hint="eastAsia" w:ascii="宋体" w:hAnsi="宋体"/>
          <w:color w:val="auto"/>
          <w:sz w:val="22"/>
          <w:szCs w:val="21"/>
          <w:highlight w:val="none"/>
        </w:rPr>
        <w:t xml:space="preserve">等</w:t>
      </w:r>
      <w:r>
        <w:rPr>
          <w:rFonts w:ascii="宋体" w:hAnsi="宋体"/>
          <w:color w:val="auto"/>
          <w:sz w:val="22"/>
          <w:szCs w:val="21"/>
          <w:highlight w:val="none"/>
        </w:rPr>
        <w:t xml:space="preserve">行政处罚，不包括因违法经营被禁止在一定期限内参加政府采购活动，但期限已经届满的情形）</w:t>
      </w:r>
      <w:r>
        <w:rPr>
          <w:rFonts w:hint="eastAsia" w:ascii="宋体" w:hAnsi="宋体"/>
          <w:color w:val="auto"/>
          <w:sz w:val="22"/>
          <w:szCs w:val="21"/>
          <w:highlight w:val="none"/>
        </w:rPr>
        <w:t xml:space="preserve">；</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（五）</w:t>
      </w:r>
      <w:r>
        <w:rPr>
          <w:rFonts w:ascii="宋体" w:hAnsi="宋体"/>
          <w:color w:val="auto"/>
          <w:sz w:val="22"/>
          <w:szCs w:val="21"/>
          <w:highlight w:val="none"/>
        </w:rPr>
        <w:t xml:space="preserve">我单位不属于政府采购法律、行政法规规定的公益一类事业单位、或使用事业编制且由财政拨款保障的群团组织（仅适用于政府购买服务项目）；</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（六）</w:t>
      </w:r>
      <w:r>
        <w:rPr>
          <w:rFonts w:ascii="宋体" w:hAnsi="宋体"/>
          <w:color w:val="auto"/>
          <w:sz w:val="22"/>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（七）我单位未被列入失信被执行人、重大税收违法案件当事人名单、政府采购严重违法失信行为记录名单；</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（八）</w:t>
      </w:r>
      <w:r>
        <w:rPr>
          <w:rFonts w:ascii="宋体" w:hAnsi="宋体"/>
          <w:color w:val="auto"/>
          <w:sz w:val="22"/>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序号</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单位名称</w:t>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相互关系</w:t>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1</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2</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hint="eastAsia" w:ascii="宋体" w:hAnsi="宋体"/>
                <w:color w:val="auto"/>
                <w:sz w:val="22"/>
                <w:szCs w:val="21"/>
                <w:highlight w:val="none"/>
                <w:lang w:eastAsia="en-US"/>
              </w:rPr>
              <w:t xml:space="preserve">3</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bl>
    <w:p>
      <w:pPr>
        <w:ind w:firstLine="440"/>
        <w:jc w:val="left"/>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如果我公司成交，将在结果公告发布后</w:t>
      </w:r>
      <w:r>
        <w:rPr>
          <w:rFonts w:ascii="宋体" w:hAnsi="宋体"/>
          <w:color w:val="auto"/>
          <w:sz w:val="22"/>
          <w:szCs w:val="21"/>
          <w:highlight w:val="none"/>
        </w:rPr>
        <w:t xml:space="preserve">7</w:t>
      </w:r>
      <w:r>
        <w:rPr>
          <w:rFonts w:hint="eastAsia" w:ascii="宋体" w:hAnsi="宋体"/>
          <w:color w:val="auto"/>
          <w:sz w:val="22"/>
          <w:szCs w:val="21"/>
          <w:highlight w:val="none"/>
        </w:rPr>
        <w:t xml:space="preserve">个工作日内向（采购代理机构邮箱）提供下列材料核验：</w:t>
      </w:r>
      <w:r/>
    </w:p>
    <w:p>
      <w:pPr>
        <w:ind w:firstLine="440"/>
        <w:spacing w:line="34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（1）2024年经审计的财务报告或2024年财务报表，或投标文件提交截止时间前六个月内银行出具的资信证明，成立不满一年无需提供；</w:t>
      </w:r>
      <w:r/>
    </w:p>
    <w:p>
      <w:pPr>
        <w:ind w:firstLine="440"/>
        <w:spacing w:line="34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（2）参加本次政府采购活动前半年内至少一个月：</w:t>
      </w:r>
      <w:r/>
    </w:p>
    <w:p>
      <w:pPr>
        <w:ind w:firstLine="440"/>
        <w:spacing w:line="34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（3）履行合同所必需的设备和专业技术能力的书面声明、证明材料；</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（4）参加本次政府采购活动前3年内在经营活动中没有重大违法记录的书面声明。</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本公司对上述承诺的真实性负责，如有虚假，将依法承担相应责任。</w:t>
      </w:r>
      <w:r/>
    </w:p>
    <w:p>
      <w:pPr>
        <w:jc w:val="left"/>
        <w:spacing w:line="360" w:lineRule="exact"/>
        <w:rPr>
          <w:rFonts w:ascii="宋体" w:hAnsi="宋体"/>
          <w:color w:val="auto"/>
          <w:sz w:val="22"/>
          <w:szCs w:val="21"/>
          <w:highlight w:val="none"/>
        </w:rPr>
      </w:pPr>
      <w:r>
        <w:rPr>
          <w:rFonts w:ascii="宋体" w:hAnsi="宋体"/>
          <w:color w:val="auto"/>
          <w:sz w:val="22"/>
          <w:szCs w:val="21"/>
          <w:highlight w:val="none"/>
        </w:rPr>
      </w:r>
      <w:bookmarkEnd w:id="109"/>
      <w:r/>
    </w:p>
    <w:p>
      <w:pPr>
        <w:ind w:right="1480"/>
        <w:jc w:val="left"/>
        <w:spacing w:before="25" w:after="25" w:line="360" w:lineRule="exact"/>
        <w:rPr>
          <w:rFonts w:ascii="宋体" w:hAnsi="宋体"/>
          <w:color w:val="auto"/>
          <w:sz w:val="22"/>
          <w:szCs w:val="21"/>
          <w:highlight w:val="none"/>
        </w:rPr>
      </w:pPr>
      <w:r>
        <w:rPr>
          <w:rFonts w:ascii="宋体" w:hAnsi="宋体"/>
          <w:color w:val="auto"/>
          <w:sz w:val="22"/>
          <w:szCs w:val="21"/>
          <w:highlight w:val="none"/>
        </w:rPr>
        <w:t xml:space="preserve">供应商名称（加盖公章）</w:t>
      </w:r>
      <w:r>
        <w:rPr>
          <w:rFonts w:ascii="宋体" w:hAnsi="宋体"/>
          <w:color w:val="auto"/>
          <w:sz w:val="22"/>
          <w:szCs w:val="21"/>
          <w:highlight w:val="none"/>
          <w:lang w:val="zh-CN"/>
        </w:rPr>
        <w:t xml:space="preserve">：</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p>
    <w:p>
      <w:pPr>
        <w:ind w:right="1120"/>
        <w:spacing w:line="360" w:lineRule="exact"/>
        <w:rPr>
          <w:rFonts w:ascii="宋体" w:hAnsi="宋体"/>
          <w:color w:val="auto"/>
          <w:sz w:val="22"/>
          <w:szCs w:val="21"/>
          <w:highlight w:val="none"/>
        </w:rPr>
      </w:pPr>
      <w:r/>
      <w:bookmarkStart w:id="123" w:name="_Hlk112322441"/>
      <w:r>
        <w:rPr>
          <w:rFonts w:hint="eastAsia" w:ascii="宋体" w:hAnsi="宋体"/>
          <w:color w:val="auto"/>
          <w:sz w:val="22"/>
          <w:szCs w:val="21"/>
          <w:highlight w:val="none"/>
        </w:rPr>
        <w:t xml:space="preserve">供应商授权代表（签字）：</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bookmarkEnd w:id="123"/>
      <w:r/>
      <w:r/>
    </w:p>
    <w:p>
      <w:pPr>
        <w:ind w:right="1480"/>
        <w:spacing w:line="360" w:lineRule="exact"/>
        <w:rPr>
          <w:rFonts w:ascii="Arial" w:hAnsi="Arial" w:eastAsia="黑体"/>
          <w:color w:val="auto"/>
          <w:sz w:val="24"/>
          <w:szCs w:val="24"/>
          <w:highlight w:val="none"/>
        </w:rPr>
      </w:pPr>
      <w:r>
        <w:rPr>
          <w:rFonts w:ascii="宋体" w:hAnsi="宋体"/>
          <w:color w:val="auto"/>
          <w:sz w:val="22"/>
          <w:szCs w:val="21"/>
          <w:highlight w:val="none"/>
        </w:rPr>
        <w:t xml:space="preserve">日期：</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rPr>
          <w:rFonts w:ascii="宋体" w:hAnsi="宋体"/>
          <w:color w:val="auto"/>
          <w:sz w:val="22"/>
          <w:szCs w:val="21"/>
          <w:highlight w:val="none"/>
        </w:rPr>
        <w:t xml:space="preserve">年</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rPr>
          <w:rFonts w:ascii="宋体" w:hAnsi="宋体"/>
          <w:color w:val="auto"/>
          <w:sz w:val="22"/>
          <w:szCs w:val="21"/>
          <w:highlight w:val="none"/>
        </w:rPr>
        <w:t xml:space="preserve">月</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rPr>
          <w:rFonts w:ascii="宋体" w:hAnsi="宋体"/>
          <w:color w:val="auto"/>
          <w:sz w:val="22"/>
          <w:szCs w:val="21"/>
          <w:highlight w:val="none"/>
        </w:rPr>
        <w:t xml:space="preserve">日</w:t>
      </w:r>
      <w:bookmarkEnd w:id="121"/>
      <w:r>
        <w:rPr>
          <w:rFonts w:ascii="Arial" w:hAnsi="Arial" w:eastAsia="黑体"/>
          <w:color w:val="auto"/>
          <w:sz w:val="24"/>
          <w:szCs w:val="24"/>
          <w:highlight w:val="none"/>
        </w:rPr>
        <w:t xml:space="preserve"> </w:t>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color w:val="auto"/>
          <w:sz w:val="24"/>
          <w:szCs w:val="24"/>
          <w:highlight w:val="none"/>
        </w:rPr>
        <w:br w:type="page" w:clear="all"/>
      </w:r>
      <w:bookmarkStart w:id="124" w:name="_Toc228350089"/>
      <w:r>
        <w:rPr>
          <w:rFonts w:hint="eastAsia" w:ascii="宋体" w:hAnsi="宋体" w:cs="宋体"/>
          <w:b/>
          <w:color w:val="auto"/>
          <w:sz w:val="24"/>
          <w:szCs w:val="24"/>
          <w:highlight w:val="none"/>
          <w:lang w:val="zh-CN"/>
        </w:rPr>
        <w:t xml:space="preserve">附件十五、联合体协议</w:t>
      </w:r>
      <w:bookmarkEnd w:id="124"/>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      </w:t>
      </w:r>
      <w:r>
        <w:rPr>
          <w:rFonts w:hint="eastAsia" w:ascii="宋体" w:hAnsi="宋体"/>
          <w:color w:val="auto"/>
          <w:sz w:val="24"/>
          <w:highlight w:val="none"/>
        </w:rPr>
        <w:t xml:space="preserve">（供应商名称）为牵头单位。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      </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       </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p>
    <w:p>
      <w:pPr>
        <w:ind w:firstLine="528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jc w:val="left"/>
        <w:spacing w:line="360" w:lineRule="auto"/>
        <w:widowControl/>
        <w:rPr>
          <w:rFonts w:ascii="宋体" w:hAnsi="宋体" w:cs="宋体"/>
          <w:b/>
          <w:color w:val="auto"/>
          <w:sz w:val="24"/>
          <w:szCs w:val="24"/>
          <w:highlight w:val="none"/>
          <w:lang w:val="zh-CN"/>
        </w:rPr>
        <w:outlineLvl w:val="1"/>
      </w:pPr>
      <w:r>
        <w:rPr>
          <w:color w:val="auto"/>
          <w:highlight w:val="none"/>
        </w:rPr>
        <w:br w:type="page" w:clear="all"/>
      </w:r>
      <w:bookmarkStart w:id="125" w:name="_Toc228350090"/>
      <w:r>
        <w:rPr>
          <w:rFonts w:hint="eastAsia" w:ascii="宋体" w:hAnsi="宋体" w:cs="宋体"/>
          <w:b/>
          <w:color w:val="auto"/>
          <w:sz w:val="24"/>
          <w:szCs w:val="24"/>
          <w:highlight w:val="none"/>
          <w:lang w:val="zh-CN"/>
        </w:rPr>
        <w:t xml:space="preserve">附件十六、关于符合本国产品标准的声明函</w:t>
      </w:r>
      <w:bookmarkEnd w:id="125"/>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的中国境内生产的组件成本占比</w:t>
      </w:r>
      <w:r>
        <w:rPr>
          <w:rFonts w:ascii="宋体" w:hAnsi="宋体" w:cs="宋体"/>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（规定比例）</w:t>
      </w:r>
      <w:r>
        <w:rPr>
          <w:rFonts w:hint="eastAsia" w:ascii="宋体" w:hAnsi="宋体" w:cs="宋体"/>
          <w:i/>
          <w:color w:val="auto"/>
          <w:sz w:val="22"/>
          <w:szCs w:val="22"/>
          <w:highlight w:val="none"/>
          <w:shd w:val="clear" w:color="auto" w:fill="ffffff"/>
          <w:vertAlign w:val="superscript"/>
          <w:lang w:val="zh-CN" w:bidi="zh-CN"/>
        </w:rPr>
        <w:t xml:space="preserve">3</w:t>
      </w:r>
      <w:r>
        <w:rPr>
          <w:rFonts w:hint="eastAsia" w:ascii="宋体" w:hAnsi="宋体" w:cs="微软雅黑"/>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（关键组件）</w:t>
      </w:r>
      <w:r>
        <w:rPr>
          <w:rFonts w:hint="eastAsia" w:ascii="宋体" w:hAnsi="宋体" w:cs="宋体"/>
          <w:i/>
          <w:color w:val="auto"/>
          <w:sz w:val="22"/>
          <w:szCs w:val="22"/>
          <w:highlight w:val="none"/>
          <w:shd w:val="clear" w:color="auto" w:fill="ffffff"/>
          <w:vertAlign w:val="superscript"/>
          <w:lang w:val="zh-CN" w:bidi="zh-CN"/>
        </w:rPr>
        <w:t xml:space="preserve">4</w:t>
      </w:r>
      <w:r>
        <w:rPr>
          <w:rFonts w:hint="eastAsia" w:ascii="宋体" w:hAnsi="宋体" w:cs="微软雅黑"/>
          <w:strike/>
          <w:color w:val="auto"/>
          <w:sz w:val="24"/>
          <w:szCs w:val="24"/>
          <w:highlight w:val="none"/>
          <w:shd w:val="clear" w:color="auto" w:fill="ffffff"/>
          <w:lang w:val="zh-CN" w:bidi="zh-CN"/>
        </w:rPr>
        <w:t xml:space="preserve">在中国境内生产。</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（关键工序）</w:t>
      </w:r>
      <w:r>
        <w:rPr>
          <w:rFonts w:hint="eastAsia" w:ascii="宋体" w:hAnsi="宋体" w:cs="宋体"/>
          <w:i/>
          <w:color w:val="auto"/>
          <w:sz w:val="22"/>
          <w:szCs w:val="22"/>
          <w:highlight w:val="none"/>
          <w:shd w:val="clear" w:color="auto" w:fill="ffffff"/>
          <w:vertAlign w:val="superscript"/>
          <w:lang w:val="zh-CN" w:bidi="zh-CN"/>
        </w:rPr>
        <w:t xml:space="preserve">5</w:t>
      </w:r>
      <w:r>
        <w:rPr>
          <w:rFonts w:hint="eastAsia" w:ascii="宋体" w:hAnsi="宋体" w:cs="微软雅黑"/>
          <w:strike/>
          <w:color w:val="auto"/>
          <w:sz w:val="24"/>
          <w:szCs w:val="24"/>
          <w:highlight w:val="none"/>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的中国境内生产的组件成本占比</w:t>
      </w:r>
      <w:r>
        <w:rPr>
          <w:rFonts w:ascii="宋体" w:hAnsi="宋体" w:cs="宋体"/>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（规定比例）</w:t>
      </w:r>
      <w:r>
        <w:rPr>
          <w:rFonts w:hint="eastAsia" w:ascii="宋体" w:hAnsi="宋体" w:cs="微软雅黑"/>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（关键组件）</w:t>
      </w:r>
      <w:r>
        <w:rPr>
          <w:rFonts w:hint="eastAsia" w:ascii="宋体" w:hAnsi="宋体" w:cs="微软雅黑"/>
          <w:strike/>
          <w:color w:val="auto"/>
          <w:sz w:val="24"/>
          <w:szCs w:val="24"/>
          <w:highlight w:val="none"/>
          <w:shd w:val="clear" w:color="auto" w:fill="ffffff"/>
          <w:lang w:val="zh-CN" w:bidi="zh-CN"/>
        </w:rPr>
        <w:t xml:space="preserve">在中国境内生产。</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（关键工序）</w:t>
      </w:r>
      <w:r>
        <w:rPr>
          <w:rFonts w:hint="eastAsia" w:ascii="宋体" w:hAnsi="宋体" w:cs="微软雅黑"/>
          <w:strike/>
          <w:color w:val="auto"/>
          <w:sz w:val="24"/>
          <w:szCs w:val="24"/>
          <w:highlight w:val="none"/>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contextualSpacing/>
        <w:ind w:left="720"/>
        <w:jc w:val="left"/>
        <w:widowControl/>
        <w:rPr>
          <w:rFonts w:ascii="Arial" w:hAnsi="Arial" w:eastAsia="黑体"/>
          <w:color w:val="auto"/>
          <w:sz w:val="24"/>
          <w:szCs w:val="24"/>
          <w:highlight w:val="none"/>
        </w:rPr>
      </w:pPr>
      <w:r>
        <w:rPr>
          <w:rFonts w:ascii="Arial" w:hAnsi="Arial" w:eastAsia="黑体"/>
          <w:color w:val="auto"/>
          <w:sz w:val="24"/>
          <w:szCs w:val="24"/>
          <w:highlight w:val="none"/>
        </w:rPr>
      </w:r>
      <w:r/>
    </w:p>
    <w:p>
      <w:pPr>
        <w:pStyle w:val="690"/>
        <w:rPr>
          <w:color w:val="auto"/>
          <w:highlight w:val="none"/>
        </w:rPr>
      </w:pPr>
      <w:r>
        <w:rPr>
          <w:color w:val="auto"/>
          <w:highlight w:val="none"/>
        </w:rPr>
      </w:r>
      <w:r/>
    </w:p>
    <w:p>
      <w:pPr>
        <w:jc w:val="center"/>
        <w:rPr>
          <w:rFonts w:ascii="方正小标宋简体" w:hAnsi="方正小标宋简体" w:eastAsia="方正小标宋简体" w:cs="方正小标宋简体"/>
          <w:color w:val="auto"/>
          <w:sz w:val="32"/>
          <w:szCs w:val="32"/>
          <w:highlight w:val="none"/>
        </w:rPr>
      </w:pPr>
      <w:r>
        <w:rPr>
          <w:color w:val="auto"/>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授权代表：联系电话：</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项目编号：采购包号：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b/>
          <w:bCs/>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bookmarkEnd w:id="126"/>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Verdana">
    <w:panose1 w:val="020B0604030504040204"/>
  </w:font>
  <w:font w:name="黑体">
    <w:panose1 w:val="02010609060101010101"/>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Style w:val="801"/>
      </w:rPr>
      <w:framePr w:wrap="around" w:vAnchor="text" w:hAnchor="margin" w:xAlign="center" w:y="1"/>
    </w:pPr>
    <w:r>
      <w:fldChar w:fldCharType="begin"/>
    </w:r>
    <w:r>
      <w:rPr>
        <w:rStyle w:val="801"/>
      </w:rPr>
      <w:instrText xml:space="preserve">PAGE  </w:instrText>
    </w:r>
    <w:r>
      <w:fldChar w:fldCharType="separate"/>
    </w:r>
    <w:r>
      <w:rPr>
        <w:rStyle w:val="801"/>
      </w:rPr>
      <w:t xml:space="preserve">1</w:t>
    </w:r>
    <w:r>
      <w:fldChar w:fldCharType="end"/>
    </w:r>
    <w:r/>
  </w:p>
  <w:p>
    <w:pPr>
      <w:pStyle w:val="7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71"/>
      <w:isLgl w:val="false"/>
      <w:suff w:val="space"/>
      <w:lvlText w:val="%1.%2"/>
      <w:lvlJc w:val="left"/>
      <w:pPr>
        <w:ind w:left="0" w:firstLine="0"/>
      </w:pPr>
      <w:rPr>
        <w:rFonts w:hint="eastAsia"/>
      </w:rPr>
    </w:lvl>
    <w:lvl w:ilvl="2">
      <w:start w:val="1"/>
      <w:numFmt w:val="decimal"/>
      <w:pStyle w:val="1272"/>
      <w:isLgl w:val="false"/>
      <w:suff w:val="space"/>
      <w:lvlText w:val="%1.%2.%3"/>
      <w:lvlJc w:val="left"/>
      <w:pPr>
        <w:ind w:left="0" w:firstLine="0"/>
      </w:pPr>
      <w:rPr>
        <w:color w:val="000000"/>
        <w:sz w:val="21"/>
        <w:szCs w:val="21"/>
      </w:rPr>
    </w:lvl>
    <w:lvl w:ilvl="3">
      <w:start w:val="1"/>
      <w:numFmt w:val="decimal"/>
      <w:pStyle w:val="1273"/>
      <w:isLgl w:val="false"/>
      <w:suff w:val="space"/>
      <w:lvlText w:val="%1.%2.%3.%4"/>
      <w:lvlJc w:val="left"/>
      <w:pPr>
        <w:ind w:left="142" w:firstLine="0"/>
      </w:pPr>
      <w:rPr>
        <w:rFonts w:hint="eastAsia"/>
        <w:color w:val="000000"/>
        <w:sz w:val="21"/>
        <w:szCs w:val="21"/>
      </w:rPr>
    </w:lvl>
    <w:lvl w:ilvl="4">
      <w:start w:val="1"/>
      <w:numFmt w:val="decimal"/>
      <w:isLgl w:val="false"/>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bullet"/>
      <w:pStyle w:val="117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136"/>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94"/>
      <w:isLgl w:val="false"/>
      <w:suff w:val="tab"/>
      <w:lvlText w:val="%1"/>
      <w:lvlJc w:val="left"/>
      <w:pPr>
        <w:ind w:left="567" w:hanging="567"/>
        <w:tabs>
          <w:tab w:val="left" w:pos="567" w:leader="none"/>
        </w:tabs>
      </w:pPr>
      <w:rPr>
        <w:rFonts w:hint="eastAsia"/>
      </w:rPr>
    </w:lvl>
    <w:lvl w:ilvl="1">
      <w:start w:val="1"/>
      <w:numFmt w:val="decimal"/>
      <w:pStyle w:val="1156"/>
      <w:isLgl w:val="false"/>
      <w:suff w:val="tab"/>
      <w:lvlText w:val="%1.%2"/>
      <w:lvlJc w:val="left"/>
      <w:pPr>
        <w:ind w:left="567" w:hanging="283"/>
        <w:tabs>
          <w:tab w:val="left" w:pos="1004" w:leader="none"/>
        </w:tabs>
      </w:pPr>
      <w:rPr>
        <w:rFonts w:hint="eastAsia"/>
      </w:rPr>
    </w:lvl>
    <w:lvl w:ilvl="2">
      <w:start w:val="1"/>
      <w:numFmt w:val="decimal"/>
      <w:pStyle w:val="119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145"/>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6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0"/>
  </w:num>
  <w:num w:numId="4">
    <w:abstractNumId w:val="3"/>
  </w:num>
  <w:num w:numId="5">
    <w:abstractNumId w:val="2"/>
  </w:num>
  <w:num w:numId="6">
    <w:abstractNumId w:val="8"/>
  </w:num>
  <w:num w:numId="7">
    <w:abstractNumId w:val="9"/>
  </w:num>
  <w:num w:numId="8">
    <w:abstractNumId w:val="11"/>
  </w:num>
  <w:num w:numId="9">
    <w:abstractNumId w:val="5"/>
  </w:num>
  <w:num w:numId="10">
    <w:abstractNumId w:val="7"/>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link w:val="1338"/>
    <w:uiPriority w:val="0"/>
    <w:qFormat/>
    <w:pPr>
      <w:jc w:val="both"/>
      <w:widowControl w:val="off"/>
    </w:pPr>
    <w:rPr>
      <w:rFonts w:hint="default" w:ascii="Times New Roman" w:hAnsi="Times New Roman" w:eastAsia="宋体" w:cs="Times New Roman"/>
      <w:sz w:val="21"/>
      <w:lang w:val="en-US" w:eastAsia="zh-CN" w:bidi="ar-SA"/>
    </w:rPr>
  </w:style>
  <w:style w:type="paragraph" w:styleId="679">
    <w:name w:val="Heading 1"/>
    <w:basedOn w:val="678"/>
    <w:next w:val="678"/>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正文首行缩进 21"/>
    <w:basedOn w:val="691"/>
    <w:next w:val="678"/>
    <w:uiPriority w:val="0"/>
    <w:qFormat/>
    <w:pPr>
      <w:ind w:firstLine="420"/>
    </w:pPr>
    <w:rPr>
      <w:rFonts w:ascii="Calibri" w:hAnsi="Calibri" w:cs="Calibri"/>
      <w:szCs w:val="24"/>
    </w:rPr>
  </w:style>
  <w:style w:type="paragraph" w:styleId="691" w:customStyle="1">
    <w:name w:val="正文文本缩进12"/>
    <w:basedOn w:val="678"/>
    <w:next w:val="692"/>
    <w:link w:val="731"/>
    <w:uiPriority w:val="0"/>
    <w:qFormat/>
    <w:pPr>
      <w:ind w:firstLine="645"/>
    </w:pPr>
    <w:rPr>
      <w:rFonts w:ascii="方正楷体_GB2312" w:eastAsia="方正楷体_GB2312"/>
      <w:sz w:val="32"/>
    </w:rPr>
  </w:style>
  <w:style w:type="paragraph" w:styleId="692" w:customStyle="1">
    <w:name w:val="寄信人地址11"/>
    <w:basedOn w:val="678"/>
    <w:uiPriority w:val="0"/>
    <w:qFormat/>
    <w:rPr>
      <w:rFonts w:ascii="Arial" w:hAnsi="Arial"/>
    </w:rPr>
  </w:style>
  <w:style w:type="paragraph" w:styleId="693">
    <w:name w:val="toc 7"/>
    <w:basedOn w:val="678"/>
    <w:next w:val="678"/>
    <w:uiPriority w:val="39"/>
    <w:unhideWhenUsed/>
    <w:qFormat/>
    <w:pPr>
      <w:ind w:left="1701" w:right="0" w:firstLine="0"/>
      <w:spacing w:after="57"/>
    </w:pPr>
  </w:style>
  <w:style w:type="paragraph" w:styleId="694">
    <w:name w:val="Caption"/>
    <w:basedOn w:val="678"/>
    <w:next w:val="678"/>
    <w:uiPriority w:val="35"/>
    <w:semiHidden/>
    <w:unhideWhenUsed/>
    <w:qFormat/>
    <w:pPr>
      <w:spacing w:line="276" w:lineRule="auto"/>
    </w:pPr>
    <w:rPr>
      <w:b/>
      <w:bCs/>
      <w:color w:val="4f81bd" w:themeColor="accent1"/>
      <w:sz w:val="18"/>
      <w:szCs w:val="18"/>
    </w:rPr>
  </w:style>
  <w:style w:type="paragraph" w:styleId="695">
    <w:name w:val="annotation text"/>
    <w:basedOn w:val="678"/>
    <w:uiPriority w:val="99"/>
    <w:semiHidden/>
    <w:unhideWhenUsed/>
    <w:qFormat/>
    <w:pPr>
      <w:jc w:val="left"/>
    </w:pPr>
  </w:style>
  <w:style w:type="paragraph" w:styleId="696">
    <w:name w:val="toc 5"/>
    <w:basedOn w:val="678"/>
    <w:next w:val="678"/>
    <w:uiPriority w:val="39"/>
    <w:unhideWhenUsed/>
    <w:qFormat/>
    <w:pPr>
      <w:ind w:left="1134" w:right="0" w:firstLine="0"/>
      <w:spacing w:after="57"/>
    </w:pPr>
  </w:style>
  <w:style w:type="paragraph" w:styleId="697">
    <w:name w:val="toc 3"/>
    <w:basedOn w:val="678"/>
    <w:next w:val="678"/>
    <w:uiPriority w:val="39"/>
    <w:unhideWhenUsed/>
    <w:pPr>
      <w:ind w:left="567" w:right="0" w:firstLine="0"/>
      <w:spacing w:after="57"/>
    </w:pPr>
  </w:style>
  <w:style w:type="paragraph" w:styleId="698">
    <w:name w:val="toc 8"/>
    <w:basedOn w:val="678"/>
    <w:next w:val="678"/>
    <w:uiPriority w:val="39"/>
    <w:unhideWhenUsed/>
    <w:qFormat/>
    <w:pPr>
      <w:ind w:left="1984" w:right="0" w:firstLine="0"/>
      <w:spacing w:after="57"/>
    </w:pPr>
  </w:style>
  <w:style w:type="paragraph" w:styleId="699">
    <w:name w:val="endnote text"/>
    <w:basedOn w:val="678"/>
    <w:uiPriority w:val="99"/>
    <w:semiHidden/>
    <w:unhideWhenUsed/>
    <w:qFormat/>
    <w:pPr>
      <w:spacing w:after="0" w:line="240" w:lineRule="auto"/>
    </w:pPr>
    <w:rPr>
      <w:sz w:val="20"/>
    </w:rPr>
  </w:style>
  <w:style w:type="paragraph" w:styleId="700">
    <w:name w:val="Footer"/>
    <w:basedOn w:val="678"/>
    <w:uiPriority w:val="99"/>
    <w:unhideWhenUsed/>
    <w:qFormat/>
    <w:pPr>
      <w:spacing w:after="0" w:line="240" w:lineRule="auto"/>
      <w:tabs>
        <w:tab w:val="center" w:pos="7143" w:leader="none"/>
        <w:tab w:val="right" w:pos="14287" w:leader="none"/>
      </w:tabs>
    </w:pPr>
  </w:style>
  <w:style w:type="paragraph" w:styleId="701">
    <w:name w:val="Header"/>
    <w:basedOn w:val="678"/>
    <w:uiPriority w:val="99"/>
    <w:unhideWhenUsed/>
    <w:qFormat/>
    <w:pPr>
      <w:spacing w:after="0" w:line="240" w:lineRule="auto"/>
      <w:tabs>
        <w:tab w:val="center" w:pos="7143" w:leader="none"/>
        <w:tab w:val="right" w:pos="14287" w:leader="none"/>
      </w:tabs>
    </w:pPr>
  </w:style>
  <w:style w:type="paragraph" w:styleId="702">
    <w:name w:val="toc 1"/>
    <w:basedOn w:val="678"/>
    <w:next w:val="678"/>
    <w:uiPriority w:val="39"/>
    <w:unhideWhenUsed/>
    <w:qFormat/>
    <w:pPr>
      <w:ind w:left="0" w:right="0" w:firstLine="0"/>
      <w:spacing w:after="57"/>
    </w:pPr>
  </w:style>
  <w:style w:type="paragraph" w:styleId="703">
    <w:name w:val="toc 4"/>
    <w:basedOn w:val="678"/>
    <w:next w:val="678"/>
    <w:uiPriority w:val="39"/>
    <w:unhideWhenUsed/>
    <w:qFormat/>
    <w:pPr>
      <w:ind w:left="850" w:right="0" w:firstLine="0"/>
      <w:spacing w:after="57"/>
    </w:pPr>
  </w:style>
  <w:style w:type="paragraph" w:styleId="704">
    <w:name w:val="Subtitle"/>
    <w:basedOn w:val="678"/>
    <w:next w:val="678"/>
    <w:uiPriority w:val="11"/>
    <w:qFormat/>
    <w:pPr>
      <w:spacing w:before="200" w:after="200"/>
    </w:pPr>
    <w:rPr>
      <w:sz w:val="24"/>
      <w:szCs w:val="24"/>
    </w:rPr>
  </w:style>
  <w:style w:type="paragraph" w:styleId="705">
    <w:name w:val="footnote text"/>
    <w:basedOn w:val="678"/>
    <w:uiPriority w:val="99"/>
    <w:semiHidden/>
    <w:unhideWhenUsed/>
    <w:qFormat/>
    <w:pPr>
      <w:spacing w:after="40" w:line="240" w:lineRule="auto"/>
    </w:pPr>
    <w:rPr>
      <w:sz w:val="18"/>
    </w:rPr>
  </w:style>
  <w:style w:type="paragraph" w:styleId="706">
    <w:name w:val="toc 6"/>
    <w:basedOn w:val="678"/>
    <w:next w:val="678"/>
    <w:uiPriority w:val="39"/>
    <w:unhideWhenUsed/>
    <w:qFormat/>
    <w:pPr>
      <w:ind w:left="1417" w:right="0" w:firstLine="0"/>
      <w:spacing w:after="57"/>
    </w:pPr>
  </w:style>
  <w:style w:type="paragraph" w:styleId="707">
    <w:name w:val="table of figures"/>
    <w:basedOn w:val="678"/>
    <w:next w:val="678"/>
    <w:uiPriority w:val="99"/>
    <w:unhideWhenUsed/>
    <w:qFormat/>
    <w:pPr>
      <w:spacing w:after="0" w:afterAutospacing="0"/>
    </w:pPr>
  </w:style>
  <w:style w:type="paragraph" w:styleId="708">
    <w:name w:val="toc 2"/>
    <w:basedOn w:val="678"/>
    <w:next w:val="678"/>
    <w:uiPriority w:val="39"/>
    <w:unhideWhenUsed/>
    <w:qFormat/>
    <w:pPr>
      <w:ind w:left="283" w:right="0" w:firstLine="0"/>
      <w:spacing w:after="57"/>
    </w:pPr>
  </w:style>
  <w:style w:type="paragraph" w:styleId="709">
    <w:name w:val="toc 9"/>
    <w:basedOn w:val="678"/>
    <w:next w:val="678"/>
    <w:uiPriority w:val="39"/>
    <w:unhideWhenUsed/>
    <w:qFormat/>
    <w:pPr>
      <w:ind w:left="2268" w:right="0" w:firstLine="0"/>
      <w:spacing w:after="57"/>
    </w:pPr>
  </w:style>
  <w:style w:type="paragraph" w:styleId="710">
    <w:name w:val="Title"/>
    <w:basedOn w:val="678"/>
    <w:next w:val="678"/>
    <w:uiPriority w:val="10"/>
    <w:qFormat/>
    <w:pPr>
      <w:contextualSpacing/>
      <w:spacing w:before="300" w:after="200"/>
    </w:pPr>
    <w:rPr>
      <w:sz w:val="48"/>
      <w:szCs w:val="48"/>
    </w:rPr>
  </w:style>
  <w:style w:type="table" w:styleId="7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semiHidden/>
    <w:unhideWhenUsed/>
    <w:qFormat/>
    <w:rPr>
      <w:vertAlign w:val="superscript"/>
    </w:rPr>
  </w:style>
  <w:style w:type="character" w:styleId="713">
    <w:name w:val="Hyperlink"/>
    <w:uiPriority w:val="99"/>
    <w:unhideWhenUsed/>
    <w:qFormat/>
    <w:rPr>
      <w:color w:val="0000ff" w:themeColor="hyperlink"/>
      <w:u w:val="single"/>
    </w:rPr>
  </w:style>
  <w:style w:type="character" w:styleId="714">
    <w:name w:val="footnote reference"/>
    <w:uiPriority w:val="99"/>
    <w:unhideWhenUsed/>
    <w:qFormat/>
    <w:rPr>
      <w:vertAlign w:val="superscript"/>
    </w:rPr>
  </w:style>
  <w:style w:type="paragraph" w:styleId="715">
    <w:name w:val="List Paragraph"/>
    <w:basedOn w:val="678"/>
    <w:uiPriority w:val="34"/>
    <w:qFormat/>
    <w:pPr>
      <w:contextualSpacing/>
      <w:ind w:left="720"/>
    </w:pPr>
  </w:style>
  <w:style w:type="paragraph" w:styleId="716">
    <w:name w:val="No Spacing"/>
    <w:uiPriority w:val="1"/>
    <w:qFormat/>
    <w:pPr>
      <w:spacing w:before="0" w:after="0" w:line="240" w:lineRule="auto"/>
    </w:pPr>
    <w:rPr>
      <w:rFonts w:hint="default" w:ascii="Times New Roman" w:hAnsi="Times New Roman" w:eastAsia="宋体" w:cs="Times New Roman"/>
    </w:rPr>
  </w:style>
  <w:style w:type="paragraph" w:styleId="717">
    <w:name w:val="Quote"/>
    <w:basedOn w:val="678"/>
    <w:next w:val="678"/>
    <w:uiPriority w:val="29"/>
    <w:qFormat/>
    <w:pPr>
      <w:ind w:left="720" w:right="720"/>
    </w:pPr>
    <w:rPr>
      <w:i/>
    </w:rPr>
  </w:style>
  <w:style w:type="paragraph" w:styleId="718">
    <w:name w:val="Intense Quote"/>
    <w:basedOn w:val="678"/>
    <w:next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9" w:customStyle="1">
    <w:name w:val="标题 111"/>
    <w:basedOn w:val="678"/>
    <w:next w:val="678"/>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20" w:customStyle="1">
    <w:name w:val="标题 21"/>
    <w:basedOn w:val="678"/>
    <w:next w:val="678"/>
    <w:link w:val="732"/>
    <w:uiPriority w:val="0"/>
    <w:qFormat/>
    <w:pPr>
      <w:jc w:val="left"/>
      <w:keepLines/>
      <w:keepNext/>
      <w:spacing w:before="120" w:after="120"/>
      <w:outlineLvl w:val="1"/>
    </w:pPr>
    <w:rPr>
      <w:rFonts w:ascii="宋体" w:hAnsi="宋体"/>
      <w:b/>
      <w:szCs w:val="24"/>
    </w:rPr>
  </w:style>
  <w:style w:type="paragraph" w:styleId="721" w:customStyle="1">
    <w:name w:val="标题 31"/>
    <w:basedOn w:val="678"/>
    <w:next w:val="722"/>
    <w:link w:val="733"/>
    <w:uiPriority w:val="0"/>
    <w:qFormat/>
    <w:pPr>
      <w:keepLines/>
      <w:keepNext/>
      <w:spacing w:line="390" w:lineRule="atLeast"/>
      <w:shd w:val="clear" w:color="auto" w:fill="ffffff"/>
      <w:outlineLvl w:val="2"/>
    </w:pPr>
    <w:rPr>
      <w:rFonts w:ascii="宋体" w:hAnsi="宋体"/>
      <w:b/>
      <w:szCs w:val="21"/>
    </w:rPr>
  </w:style>
  <w:style w:type="paragraph" w:styleId="722" w:customStyle="1">
    <w:name w:val="正文缩进1"/>
    <w:basedOn w:val="678"/>
    <w:uiPriority w:val="0"/>
    <w:qFormat/>
    <w:pPr>
      <w:ind w:firstLine="420"/>
    </w:pPr>
  </w:style>
  <w:style w:type="paragraph" w:styleId="723" w:customStyle="1">
    <w:name w:val="标题 41"/>
    <w:basedOn w:val="678"/>
    <w:next w:val="678"/>
    <w:link w:val="734"/>
    <w:uiPriority w:val="0"/>
    <w:qFormat/>
    <w:pPr>
      <w:keepLines/>
      <w:keepNext/>
      <w:spacing w:before="120" w:after="120"/>
      <w:outlineLvl w:val="3"/>
    </w:pPr>
    <w:rPr>
      <w:rFonts w:ascii="Arial" w:hAnsi="Arial" w:eastAsia="黑体"/>
      <w:b/>
      <w:sz w:val="28"/>
    </w:rPr>
  </w:style>
  <w:style w:type="paragraph" w:styleId="724" w:customStyle="1">
    <w:name w:val="标题 51"/>
    <w:basedOn w:val="678"/>
    <w:next w:val="722"/>
    <w:link w:val="735"/>
    <w:uiPriority w:val="0"/>
    <w:qFormat/>
    <w:pPr>
      <w:keepNext/>
      <w:spacing w:before="145" w:after="145"/>
      <w:outlineLvl w:val="4"/>
    </w:pPr>
    <w:rPr>
      <w:rFonts w:ascii="黑体" w:eastAsia="黑体"/>
      <w:b/>
      <w:color w:val="000000"/>
      <w:sz w:val="28"/>
    </w:rPr>
  </w:style>
  <w:style w:type="paragraph" w:styleId="725" w:customStyle="1">
    <w:name w:val="标题 61"/>
    <w:basedOn w:val="678"/>
    <w:next w:val="678"/>
    <w:link w:val="736"/>
    <w:uiPriority w:val="0"/>
    <w:qFormat/>
    <w:pPr>
      <w:keepLines/>
      <w:keepNext/>
      <w:spacing w:before="240" w:after="64" w:line="320" w:lineRule="auto"/>
      <w:outlineLvl w:val="5"/>
    </w:pPr>
    <w:rPr>
      <w:rFonts w:ascii="Arial" w:hAnsi="Arial" w:eastAsia="黑体"/>
      <w:b/>
      <w:bCs/>
      <w:sz w:val="24"/>
      <w:szCs w:val="24"/>
    </w:rPr>
  </w:style>
  <w:style w:type="paragraph" w:styleId="726" w:customStyle="1">
    <w:name w:val="标题 71"/>
    <w:basedOn w:val="678"/>
    <w:next w:val="678"/>
    <w:link w:val="737"/>
    <w:uiPriority w:val="0"/>
    <w:qFormat/>
    <w:pPr>
      <w:keepLines/>
      <w:keepNext/>
      <w:spacing w:before="240" w:after="64" w:line="320" w:lineRule="auto"/>
      <w:outlineLvl w:val="6"/>
    </w:pPr>
    <w:rPr>
      <w:b/>
      <w:bCs/>
      <w:sz w:val="24"/>
      <w:szCs w:val="24"/>
    </w:rPr>
  </w:style>
  <w:style w:type="paragraph" w:styleId="727" w:customStyle="1">
    <w:name w:val="标题 81"/>
    <w:basedOn w:val="678"/>
    <w:next w:val="678"/>
    <w:link w:val="738"/>
    <w:uiPriority w:val="0"/>
    <w:qFormat/>
    <w:pPr>
      <w:keepLines/>
      <w:keepNext/>
      <w:spacing w:before="240" w:after="64" w:line="320" w:lineRule="auto"/>
      <w:outlineLvl w:val="7"/>
    </w:pPr>
    <w:rPr>
      <w:rFonts w:ascii="Arial" w:hAnsi="Arial" w:eastAsia="黑体"/>
      <w:sz w:val="24"/>
      <w:szCs w:val="24"/>
    </w:rPr>
  </w:style>
  <w:style w:type="paragraph" w:styleId="728" w:customStyle="1">
    <w:name w:val="标题 91"/>
    <w:basedOn w:val="678"/>
    <w:next w:val="678"/>
    <w:link w:val="739"/>
    <w:uiPriority w:val="0"/>
    <w:qFormat/>
    <w:pPr>
      <w:keepLines/>
      <w:keepNext/>
      <w:spacing w:before="240" w:after="64" w:line="320" w:lineRule="auto"/>
      <w:outlineLvl w:val="8"/>
    </w:pPr>
    <w:rPr>
      <w:rFonts w:ascii="Arial" w:hAnsi="Arial" w:eastAsia="黑体"/>
      <w:szCs w:val="21"/>
    </w:rPr>
  </w:style>
  <w:style w:type="character" w:styleId="729" w:customStyle="1">
    <w:name w:val="默认段落字体1"/>
    <w:link w:val="678"/>
    <w:uiPriority w:val="1"/>
    <w:unhideWhenUsed/>
    <w:qFormat/>
  </w:style>
  <w:style w:type="table" w:styleId="730"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31" w:customStyle="1">
    <w:name w:val="正文文本缩进 字符"/>
    <w:link w:val="691"/>
    <w:uiPriority w:val="0"/>
    <w:qFormat/>
    <w:rPr>
      <w:rFonts w:ascii="方正楷体_GB2312" w:eastAsia="方正楷体_GB2312"/>
      <w:sz w:val="32"/>
      <w:lang w:val="en-US" w:eastAsia="zh-CN" w:bidi="ar-SA"/>
    </w:rPr>
  </w:style>
  <w:style w:type="character" w:styleId="732" w:customStyle="1">
    <w:name w:val="标题 2 字符"/>
    <w:link w:val="720"/>
    <w:uiPriority w:val="0"/>
    <w:qFormat/>
    <w:rPr>
      <w:rFonts w:ascii="宋体" w:hAnsi="宋体" w:eastAsia="宋体"/>
      <w:b/>
      <w:sz w:val="21"/>
      <w:szCs w:val="24"/>
      <w:lang w:val="en-US" w:eastAsia="zh-CN" w:bidi="ar-SA"/>
    </w:rPr>
  </w:style>
  <w:style w:type="character" w:styleId="733" w:customStyle="1">
    <w:name w:val="标题 3 字符"/>
    <w:link w:val="721"/>
    <w:uiPriority w:val="0"/>
    <w:qFormat/>
    <w:rPr>
      <w:rFonts w:ascii="宋体" w:hAnsi="宋体" w:eastAsia="宋体"/>
      <w:b/>
      <w:sz w:val="21"/>
      <w:szCs w:val="21"/>
      <w:shd w:val="clear" w:color="auto" w:fill="ffffff"/>
    </w:rPr>
  </w:style>
  <w:style w:type="character" w:styleId="734" w:customStyle="1">
    <w:name w:val="标题 4 字符"/>
    <w:link w:val="723"/>
    <w:uiPriority w:val="0"/>
    <w:qFormat/>
    <w:rPr>
      <w:rFonts w:ascii="Arial" w:hAnsi="Arial" w:eastAsia="黑体"/>
      <w:b/>
      <w:sz w:val="28"/>
      <w:lang w:val="en-US" w:eastAsia="zh-CN" w:bidi="ar-SA"/>
    </w:rPr>
  </w:style>
  <w:style w:type="character" w:styleId="735" w:customStyle="1">
    <w:name w:val="标题 5 字符"/>
    <w:link w:val="724"/>
    <w:uiPriority w:val="0"/>
    <w:qFormat/>
    <w:rPr>
      <w:rFonts w:ascii="黑体" w:eastAsia="黑体"/>
      <w:b/>
      <w:color w:val="000000"/>
      <w:sz w:val="28"/>
      <w:lang w:val="en-US" w:eastAsia="zh-CN" w:bidi="ar-SA"/>
    </w:rPr>
  </w:style>
  <w:style w:type="character" w:styleId="736" w:customStyle="1">
    <w:name w:val="标题 6 字符"/>
    <w:link w:val="725"/>
    <w:uiPriority w:val="0"/>
    <w:qFormat/>
    <w:rPr>
      <w:rFonts w:ascii="Arial" w:hAnsi="Arial" w:eastAsia="黑体"/>
      <w:b/>
      <w:bCs/>
      <w:sz w:val="24"/>
      <w:szCs w:val="24"/>
      <w:lang w:val="en-US" w:eastAsia="zh-CN" w:bidi="ar-SA"/>
    </w:rPr>
  </w:style>
  <w:style w:type="character" w:styleId="737" w:customStyle="1">
    <w:name w:val="标题 7 字符"/>
    <w:link w:val="726"/>
    <w:uiPriority w:val="0"/>
    <w:qFormat/>
    <w:rPr>
      <w:rFonts w:eastAsia="宋体"/>
      <w:b/>
      <w:bCs/>
      <w:sz w:val="24"/>
      <w:szCs w:val="24"/>
      <w:lang w:val="en-US" w:eastAsia="zh-CN" w:bidi="ar-SA"/>
    </w:rPr>
  </w:style>
  <w:style w:type="character" w:styleId="738" w:customStyle="1">
    <w:name w:val="标题 8 字符"/>
    <w:link w:val="727"/>
    <w:uiPriority w:val="0"/>
    <w:qFormat/>
    <w:rPr>
      <w:rFonts w:ascii="Arial" w:hAnsi="Arial" w:eastAsia="黑体"/>
      <w:sz w:val="24"/>
      <w:szCs w:val="24"/>
      <w:lang w:val="en-US" w:eastAsia="zh-CN" w:bidi="ar-SA"/>
    </w:rPr>
  </w:style>
  <w:style w:type="character" w:styleId="739" w:customStyle="1">
    <w:name w:val="标题 9 字符"/>
    <w:link w:val="728"/>
    <w:uiPriority w:val="0"/>
    <w:qFormat/>
    <w:rPr>
      <w:rFonts w:ascii="Arial" w:hAnsi="Arial" w:eastAsia="黑体"/>
      <w:sz w:val="21"/>
      <w:szCs w:val="21"/>
      <w:lang w:val="en-US" w:eastAsia="zh-CN" w:bidi="ar-SA"/>
    </w:rPr>
  </w:style>
  <w:style w:type="paragraph" w:styleId="740" w:customStyle="1">
    <w:name w:val="列表 31"/>
    <w:basedOn w:val="678"/>
    <w:uiPriority w:val="0"/>
    <w:qFormat/>
    <w:pPr>
      <w:ind w:left="1260" w:hanging="420"/>
    </w:pPr>
  </w:style>
  <w:style w:type="paragraph" w:styleId="741" w:customStyle="1">
    <w:name w:val="目录 71"/>
    <w:basedOn w:val="678"/>
    <w:next w:val="678"/>
    <w:uiPriority w:val="0"/>
    <w:semiHidden/>
    <w:qFormat/>
    <w:pPr>
      <w:ind w:left="1260"/>
      <w:jc w:val="left"/>
    </w:pPr>
    <w:rPr>
      <w:sz w:val="18"/>
    </w:rPr>
  </w:style>
  <w:style w:type="paragraph" w:styleId="742" w:customStyle="1">
    <w:name w:val="列表编号 21"/>
    <w:basedOn w:val="678"/>
    <w:uiPriority w:val="0"/>
    <w:qFormat/>
    <w:pPr>
      <w:ind w:left="1440" w:hanging="1440"/>
      <w:spacing w:line="360" w:lineRule="auto"/>
      <w:tabs>
        <w:tab w:val="left" w:pos="1440" w:leader="none"/>
      </w:tabs>
    </w:pPr>
    <w:rPr>
      <w:sz w:val="24"/>
      <w:szCs w:val="24"/>
    </w:rPr>
  </w:style>
  <w:style w:type="paragraph" w:styleId="743" w:customStyle="1">
    <w:name w:val="索引 81"/>
    <w:basedOn w:val="678"/>
    <w:next w:val="678"/>
    <w:uiPriority w:val="0"/>
    <w:semiHidden/>
    <w:qFormat/>
    <w:pPr>
      <w:ind w:left="2940"/>
    </w:pPr>
  </w:style>
  <w:style w:type="paragraph" w:styleId="744" w:customStyle="1">
    <w:name w:val="列表编号1"/>
    <w:basedOn w:val="678"/>
    <w:uiPriority w:val="0"/>
    <w:qFormat/>
    <w:pPr>
      <w:ind w:left="2952" w:hanging="432"/>
      <w:tabs>
        <w:tab w:val="left" w:pos="2952" w:leader="none"/>
      </w:tabs>
    </w:pPr>
    <w:rPr>
      <w:szCs w:val="24"/>
    </w:rPr>
  </w:style>
  <w:style w:type="paragraph" w:styleId="745" w:customStyle="1">
    <w:name w:val="题注1"/>
    <w:basedOn w:val="678"/>
    <w:next w:val="678"/>
    <w:uiPriority w:val="35"/>
    <w:qFormat/>
    <w:pPr>
      <w:spacing w:line="276" w:lineRule="auto"/>
    </w:pPr>
    <w:rPr>
      <w:b/>
      <w:bCs/>
      <w:color w:val="4472c4"/>
      <w:sz w:val="18"/>
      <w:szCs w:val="18"/>
    </w:rPr>
  </w:style>
  <w:style w:type="paragraph" w:styleId="746" w:customStyle="1">
    <w:name w:val="索引 51"/>
    <w:basedOn w:val="678"/>
    <w:next w:val="678"/>
    <w:uiPriority w:val="0"/>
    <w:semiHidden/>
    <w:qFormat/>
    <w:pPr>
      <w:ind w:left="1680"/>
    </w:pPr>
  </w:style>
  <w:style w:type="paragraph" w:styleId="747" w:customStyle="1">
    <w:name w:val="文档结构图1"/>
    <w:basedOn w:val="678"/>
    <w:link w:val="748"/>
    <w:uiPriority w:val="0"/>
    <w:semiHidden/>
    <w:qFormat/>
    <w:pPr>
      <w:shd w:val="clear" w:color="auto" w:fill="000080"/>
    </w:pPr>
  </w:style>
  <w:style w:type="character" w:styleId="748" w:customStyle="1">
    <w:name w:val="文档结构图 字符"/>
    <w:link w:val="747"/>
    <w:uiPriority w:val="0"/>
    <w:qFormat/>
    <w:rPr>
      <w:rFonts w:eastAsia="宋体"/>
      <w:sz w:val="21"/>
      <w:lang w:val="en-US" w:eastAsia="zh-CN" w:bidi="ar-SA"/>
    </w:rPr>
  </w:style>
  <w:style w:type="paragraph" w:styleId="749" w:customStyle="1">
    <w:name w:val="批注文字1"/>
    <w:basedOn w:val="678"/>
    <w:link w:val="750"/>
    <w:uiPriority w:val="0"/>
    <w:qFormat/>
    <w:pPr>
      <w:jc w:val="left"/>
    </w:pPr>
  </w:style>
  <w:style w:type="character" w:styleId="750" w:customStyle="1">
    <w:name w:val="批注文字 字符"/>
    <w:link w:val="749"/>
    <w:uiPriority w:val="0"/>
    <w:qFormat/>
    <w:rPr>
      <w:rFonts w:eastAsia="宋体"/>
      <w:sz w:val="21"/>
      <w:lang w:val="en-US" w:eastAsia="zh-CN" w:bidi="ar-SA"/>
    </w:rPr>
  </w:style>
  <w:style w:type="paragraph" w:styleId="751" w:customStyle="1">
    <w:name w:val="索引 61"/>
    <w:basedOn w:val="678"/>
    <w:next w:val="678"/>
    <w:uiPriority w:val="0"/>
    <w:semiHidden/>
    <w:qFormat/>
    <w:pPr>
      <w:ind w:left="2100"/>
    </w:pPr>
  </w:style>
  <w:style w:type="paragraph" w:styleId="752" w:customStyle="1">
    <w:name w:val="称呼1"/>
    <w:basedOn w:val="678"/>
    <w:next w:val="678"/>
    <w:uiPriority w:val="0"/>
    <w:qFormat/>
    <w:rPr>
      <w:rFonts w:ascii="方正仿宋_GB2312" w:eastAsia="方正仿宋_GB2312"/>
      <w:sz w:val="28"/>
    </w:rPr>
  </w:style>
  <w:style w:type="paragraph" w:styleId="753" w:customStyle="1">
    <w:name w:val="正文文本 31"/>
    <w:basedOn w:val="678"/>
    <w:uiPriority w:val="0"/>
    <w:qFormat/>
    <w:rPr>
      <w:rFonts w:ascii="方正仿宋_GB2312" w:hAnsi="Arial" w:eastAsia="方正仿宋_GB2312"/>
      <w:sz w:val="32"/>
    </w:rPr>
  </w:style>
  <w:style w:type="paragraph" w:styleId="754" w:customStyle="1">
    <w:name w:val="正文文本11"/>
    <w:basedOn w:val="678"/>
    <w:next w:val="678"/>
    <w:uiPriority w:val="0"/>
    <w:qFormat/>
    <w:rPr>
      <w:rFonts w:ascii="方正楷体_GB2312" w:hAnsi="Arial" w:eastAsia="方正楷体_GB2312"/>
      <w:sz w:val="28"/>
    </w:rPr>
  </w:style>
  <w:style w:type="paragraph" w:styleId="755" w:customStyle="1">
    <w:name w:val="文本块1"/>
    <w:basedOn w:val="678"/>
    <w:uiPriority w:val="99"/>
    <w:unhideWhenUsed/>
    <w:qFormat/>
    <w:pPr>
      <w:ind w:left="1440" w:right="1440"/>
      <w:spacing w:after="120"/>
    </w:pPr>
  </w:style>
  <w:style w:type="paragraph" w:styleId="756" w:customStyle="1">
    <w:name w:val="索引 41"/>
    <w:basedOn w:val="678"/>
    <w:next w:val="678"/>
    <w:uiPriority w:val="0"/>
    <w:semiHidden/>
    <w:qFormat/>
    <w:pPr>
      <w:ind w:left="1260"/>
    </w:pPr>
  </w:style>
  <w:style w:type="paragraph" w:styleId="757" w:customStyle="1">
    <w:name w:val="目录 51"/>
    <w:basedOn w:val="678"/>
    <w:next w:val="678"/>
    <w:uiPriority w:val="0"/>
    <w:semiHidden/>
    <w:qFormat/>
    <w:pPr>
      <w:ind w:left="840"/>
      <w:jc w:val="left"/>
    </w:pPr>
    <w:rPr>
      <w:sz w:val="18"/>
    </w:rPr>
  </w:style>
  <w:style w:type="paragraph" w:styleId="758" w:customStyle="1">
    <w:name w:val="目录 31"/>
    <w:basedOn w:val="678"/>
    <w:next w:val="678"/>
    <w:uiPriority w:val="39"/>
    <w:qFormat/>
    <w:pPr>
      <w:ind w:left="420"/>
      <w:jc w:val="left"/>
    </w:pPr>
    <w:rPr>
      <w:i/>
      <w:sz w:val="20"/>
    </w:rPr>
  </w:style>
  <w:style w:type="paragraph" w:styleId="759" w:customStyle="1">
    <w:name w:val="纯文本111"/>
    <w:basedOn w:val="678"/>
    <w:next w:val="678"/>
    <w:link w:val="760"/>
    <w:uiPriority w:val="0"/>
    <w:qFormat/>
    <w:rPr>
      <w:rFonts w:ascii="宋体" w:hAnsi="Courier New"/>
    </w:rPr>
  </w:style>
  <w:style w:type="character" w:styleId="760" w:customStyle="1">
    <w:name w:val="纯文本 字符"/>
    <w:link w:val="759"/>
    <w:uiPriority w:val="0"/>
    <w:qFormat/>
    <w:rPr>
      <w:rFonts w:ascii="宋体" w:hAnsi="Courier New" w:eastAsia="宋体"/>
      <w:sz w:val="21"/>
      <w:lang w:val="en-US" w:eastAsia="zh-CN" w:bidi="ar-SA"/>
    </w:rPr>
  </w:style>
  <w:style w:type="paragraph" w:styleId="761" w:customStyle="1">
    <w:name w:val="目录 81"/>
    <w:basedOn w:val="678"/>
    <w:next w:val="678"/>
    <w:uiPriority w:val="0"/>
    <w:semiHidden/>
    <w:qFormat/>
    <w:pPr>
      <w:ind w:left="1470"/>
      <w:jc w:val="left"/>
    </w:pPr>
    <w:rPr>
      <w:sz w:val="18"/>
    </w:rPr>
  </w:style>
  <w:style w:type="paragraph" w:styleId="762" w:customStyle="1">
    <w:name w:val="索引 31"/>
    <w:basedOn w:val="678"/>
    <w:next w:val="678"/>
    <w:uiPriority w:val="0"/>
    <w:semiHidden/>
    <w:qFormat/>
    <w:pPr>
      <w:ind w:left="840"/>
    </w:pPr>
  </w:style>
  <w:style w:type="paragraph" w:styleId="763" w:customStyle="1">
    <w:name w:val="日期1"/>
    <w:basedOn w:val="678"/>
    <w:next w:val="678"/>
    <w:uiPriority w:val="0"/>
    <w:qFormat/>
    <w:pPr>
      <w:ind w:left="100"/>
    </w:pPr>
    <w:rPr>
      <w:sz w:val="28"/>
    </w:rPr>
  </w:style>
  <w:style w:type="paragraph" w:styleId="764" w:customStyle="1">
    <w:name w:val="正文文本缩进 21"/>
    <w:basedOn w:val="678"/>
    <w:next w:val="678"/>
    <w:link w:val="765"/>
    <w:uiPriority w:val="0"/>
    <w:qFormat/>
    <w:pPr>
      <w:ind w:left="630" w:firstLine="645"/>
    </w:pPr>
    <w:rPr>
      <w:rFonts w:ascii="Arial" w:hAnsi="Arial" w:eastAsia="方正仿宋_GB2312"/>
      <w:sz w:val="32"/>
    </w:rPr>
  </w:style>
  <w:style w:type="character" w:styleId="765" w:customStyle="1">
    <w:name w:val="正文文本缩进 2 字符"/>
    <w:link w:val="764"/>
    <w:uiPriority w:val="0"/>
    <w:qFormat/>
    <w:rPr>
      <w:rFonts w:ascii="Arial" w:hAnsi="Arial" w:eastAsia="方正仿宋_GB2312"/>
      <w:sz w:val="32"/>
      <w:lang w:val="en-US" w:eastAsia="zh-CN" w:bidi="ar-SA"/>
    </w:rPr>
  </w:style>
  <w:style w:type="paragraph" w:styleId="766" w:customStyle="1">
    <w:name w:val="尾注文本1"/>
    <w:basedOn w:val="678"/>
    <w:uiPriority w:val="0"/>
    <w:qFormat/>
    <w:pPr>
      <w:jc w:val="left"/>
    </w:pPr>
    <w:rPr>
      <w:sz w:val="20"/>
      <w:szCs w:val="24"/>
    </w:rPr>
  </w:style>
  <w:style w:type="paragraph" w:styleId="767" w:customStyle="1">
    <w:name w:val="批注框文本1"/>
    <w:basedOn w:val="678"/>
    <w:uiPriority w:val="0"/>
    <w:semiHidden/>
    <w:qFormat/>
    <w:rPr>
      <w:sz w:val="18"/>
      <w:szCs w:val="18"/>
    </w:rPr>
  </w:style>
  <w:style w:type="paragraph" w:styleId="768" w:customStyle="1">
    <w:name w:val="页脚11"/>
    <w:basedOn w:val="678"/>
    <w:link w:val="769"/>
    <w:uiPriority w:val="0"/>
    <w:qFormat/>
    <w:pPr>
      <w:jc w:val="left"/>
      <w:tabs>
        <w:tab w:val="center" w:pos="4153" w:leader="none"/>
        <w:tab w:val="right" w:pos="8306" w:leader="none"/>
      </w:tabs>
    </w:pPr>
    <w:rPr>
      <w:sz w:val="18"/>
    </w:rPr>
  </w:style>
  <w:style w:type="character" w:styleId="769" w:customStyle="1">
    <w:name w:val="页脚 字符"/>
    <w:link w:val="768"/>
    <w:uiPriority w:val="0"/>
    <w:qFormat/>
    <w:rPr>
      <w:sz w:val="18"/>
    </w:rPr>
  </w:style>
  <w:style w:type="paragraph" w:styleId="770" w:customStyle="1">
    <w:name w:val="页眉1"/>
    <w:basedOn w:val="678"/>
    <w:uiPriority w:val="0"/>
    <w:qFormat/>
    <w:pPr>
      <w:jc w:val="center"/>
      <w:tabs>
        <w:tab w:val="center" w:pos="4153" w:leader="none"/>
        <w:tab w:val="right" w:pos="8306" w:leader="none"/>
      </w:tabs>
      <w:pBdr>
        <w:bottom w:val="single" w:color="000000" w:sz="6" w:space="1"/>
      </w:pBdr>
    </w:pPr>
    <w:rPr>
      <w:sz w:val="18"/>
    </w:rPr>
  </w:style>
  <w:style w:type="paragraph" w:styleId="771" w:customStyle="1">
    <w:name w:val="签名1"/>
    <w:basedOn w:val="678"/>
    <w:uiPriority w:val="0"/>
    <w:qFormat/>
    <w:pPr>
      <w:jc w:val="center"/>
      <w:spacing w:after="600" w:line="312" w:lineRule="atLeast"/>
    </w:pPr>
    <w:rPr>
      <w:rFonts w:eastAsia="方正仿宋_GB2312"/>
      <w:sz w:val="24"/>
    </w:rPr>
  </w:style>
  <w:style w:type="paragraph" w:styleId="772" w:customStyle="1">
    <w:name w:val="目录 11"/>
    <w:basedOn w:val="678"/>
    <w:next w:val="678"/>
    <w:uiPriority w:val="39"/>
    <w:qFormat/>
    <w:pPr>
      <w:jc w:val="left"/>
      <w:spacing w:before="120" w:after="120"/>
    </w:pPr>
    <w:rPr>
      <w:b/>
      <w:caps/>
      <w:sz w:val="20"/>
    </w:rPr>
  </w:style>
  <w:style w:type="paragraph" w:styleId="773" w:customStyle="1">
    <w:name w:val="目录 41"/>
    <w:basedOn w:val="678"/>
    <w:next w:val="678"/>
    <w:uiPriority w:val="0"/>
    <w:semiHidden/>
    <w:qFormat/>
    <w:pPr>
      <w:ind w:left="630"/>
      <w:jc w:val="left"/>
    </w:pPr>
    <w:rPr>
      <w:sz w:val="18"/>
    </w:rPr>
  </w:style>
  <w:style w:type="paragraph" w:styleId="774" w:customStyle="1">
    <w:name w:val="索引标题1"/>
    <w:basedOn w:val="678"/>
    <w:next w:val="775"/>
    <w:uiPriority w:val="0"/>
    <w:semiHidden/>
    <w:qFormat/>
  </w:style>
  <w:style w:type="paragraph" w:styleId="775" w:customStyle="1">
    <w:name w:val="索引 11"/>
    <w:basedOn w:val="678"/>
    <w:next w:val="678"/>
    <w:uiPriority w:val="0"/>
    <w:semiHidden/>
    <w:qFormat/>
    <w:rPr>
      <w:rFonts w:ascii="方正仿宋_GB2312" w:hAnsi="宋体" w:eastAsia="方正仿宋_GB2312"/>
      <w:sz w:val="30"/>
      <w:szCs w:val="24"/>
    </w:rPr>
  </w:style>
  <w:style w:type="paragraph" w:styleId="776" w:customStyle="1">
    <w:name w:val="副标题1"/>
    <w:basedOn w:val="678"/>
    <w:next w:val="678"/>
    <w:uiPriority w:val="0"/>
    <w:qFormat/>
    <w:pPr>
      <w:jc w:val="left"/>
      <w:spacing w:after="600" w:line="276" w:lineRule="auto"/>
      <w:widowControl/>
    </w:pPr>
    <w:rPr>
      <w:rFonts w:ascii="Cambria" w:hAnsi="Cambria"/>
      <w:i/>
      <w:iCs/>
      <w:spacing w:val="13"/>
      <w:sz w:val="24"/>
      <w:szCs w:val="24"/>
      <w:lang w:eastAsia="en-US" w:bidi="en-US"/>
    </w:rPr>
  </w:style>
  <w:style w:type="paragraph" w:styleId="777" w:customStyle="1">
    <w:name w:val="列表1"/>
    <w:basedOn w:val="678"/>
    <w:uiPriority w:val="0"/>
    <w:qFormat/>
    <w:pPr>
      <w:contextualSpacing/>
      <w:ind w:left="200" w:hanging="200"/>
    </w:pPr>
  </w:style>
  <w:style w:type="paragraph" w:styleId="778" w:customStyle="1">
    <w:name w:val="脚注文本1"/>
    <w:basedOn w:val="678"/>
    <w:uiPriority w:val="0"/>
    <w:qFormat/>
    <w:pPr>
      <w:jc w:val="left"/>
    </w:pPr>
    <w:rPr>
      <w:sz w:val="18"/>
      <w:szCs w:val="18"/>
    </w:rPr>
  </w:style>
  <w:style w:type="paragraph" w:styleId="779" w:customStyle="1">
    <w:name w:val="目录 61"/>
    <w:basedOn w:val="678"/>
    <w:next w:val="678"/>
    <w:uiPriority w:val="0"/>
    <w:semiHidden/>
    <w:qFormat/>
    <w:pPr>
      <w:ind w:left="1050"/>
      <w:jc w:val="left"/>
    </w:pPr>
    <w:rPr>
      <w:sz w:val="18"/>
    </w:rPr>
  </w:style>
  <w:style w:type="paragraph" w:styleId="780" w:customStyle="1">
    <w:name w:val="正文文本缩进 31"/>
    <w:basedOn w:val="678"/>
    <w:link w:val="781"/>
    <w:uiPriority w:val="0"/>
    <w:qFormat/>
    <w:pPr>
      <w:ind w:left="645" w:firstLine="645"/>
    </w:pPr>
    <w:rPr>
      <w:rFonts w:ascii="Arial" w:hAnsi="Arial" w:eastAsia="方正仿宋_GB2312"/>
      <w:color w:val="ffff00"/>
      <w:sz w:val="32"/>
    </w:rPr>
  </w:style>
  <w:style w:type="character" w:styleId="781" w:customStyle="1">
    <w:name w:val="正文文本缩进 3 字符"/>
    <w:link w:val="780"/>
    <w:uiPriority w:val="0"/>
    <w:qFormat/>
    <w:rPr>
      <w:rFonts w:ascii="Arial" w:hAnsi="Arial" w:eastAsia="方正仿宋_GB2312"/>
      <w:color w:val="ffff00"/>
      <w:sz w:val="32"/>
      <w:lang w:val="en-US" w:eastAsia="zh-CN" w:bidi="ar-SA"/>
    </w:rPr>
  </w:style>
  <w:style w:type="paragraph" w:styleId="782" w:customStyle="1">
    <w:name w:val="索引 71"/>
    <w:basedOn w:val="678"/>
    <w:next w:val="678"/>
    <w:uiPriority w:val="0"/>
    <w:semiHidden/>
    <w:qFormat/>
    <w:pPr>
      <w:ind w:left="2520"/>
    </w:pPr>
  </w:style>
  <w:style w:type="paragraph" w:styleId="783" w:customStyle="1">
    <w:name w:val="索引 91"/>
    <w:basedOn w:val="678"/>
    <w:next w:val="678"/>
    <w:uiPriority w:val="0"/>
    <w:semiHidden/>
    <w:qFormat/>
    <w:pPr>
      <w:ind w:left="3360"/>
    </w:pPr>
  </w:style>
  <w:style w:type="paragraph" w:styleId="784" w:customStyle="1">
    <w:name w:val="图表目录1"/>
    <w:basedOn w:val="678"/>
    <w:next w:val="678"/>
    <w:uiPriority w:val="0"/>
    <w:semiHidden/>
    <w:qFormat/>
    <w:pPr>
      <w:ind w:left="840" w:hanging="420"/>
    </w:pPr>
  </w:style>
  <w:style w:type="paragraph" w:styleId="785" w:customStyle="1">
    <w:name w:val="目录 21"/>
    <w:basedOn w:val="678"/>
    <w:next w:val="678"/>
    <w:uiPriority w:val="39"/>
    <w:qFormat/>
    <w:pPr>
      <w:ind w:left="210"/>
      <w:jc w:val="left"/>
    </w:pPr>
    <w:rPr>
      <w:smallCaps/>
      <w:sz w:val="20"/>
    </w:rPr>
  </w:style>
  <w:style w:type="paragraph" w:styleId="786" w:customStyle="1">
    <w:name w:val="目录 91"/>
    <w:basedOn w:val="678"/>
    <w:next w:val="678"/>
    <w:uiPriority w:val="0"/>
    <w:semiHidden/>
    <w:qFormat/>
    <w:pPr>
      <w:ind w:left="1680"/>
      <w:jc w:val="left"/>
    </w:pPr>
    <w:rPr>
      <w:sz w:val="18"/>
    </w:rPr>
  </w:style>
  <w:style w:type="paragraph" w:styleId="787" w:customStyle="1">
    <w:name w:val="正文文本 211"/>
    <w:basedOn w:val="678"/>
    <w:uiPriority w:val="0"/>
    <w:qFormat/>
    <w:pPr>
      <w:jc w:val="center"/>
      <w:widowControl/>
    </w:pPr>
    <w:rPr>
      <w:rFonts w:ascii="方正楷体_GB2312" w:eastAsia="方正楷体_GB2312"/>
      <w:sz w:val="28"/>
    </w:rPr>
  </w:style>
  <w:style w:type="paragraph" w:styleId="788" w:customStyle="1">
    <w:name w:val="信息标题1"/>
    <w:basedOn w:val="67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89" w:customStyle="1">
    <w:name w:val="HTML 预设格式1"/>
    <w:basedOn w:val="678"/>
    <w:link w:val="79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90" w:customStyle="1">
    <w:name w:val="HTML 预设格式 字符"/>
    <w:link w:val="789"/>
    <w:uiPriority w:val="99"/>
    <w:qFormat/>
    <w:rPr>
      <w:rFonts w:ascii="黑体" w:hAnsi="Courier New" w:eastAsia="黑体" w:cs="Courier New"/>
      <w:lang w:val="en-US" w:eastAsia="zh-CN" w:bidi="ar-SA"/>
    </w:rPr>
  </w:style>
  <w:style w:type="paragraph" w:styleId="791" w:customStyle="1">
    <w:name w:val="普通(网站)1"/>
    <w:basedOn w:val="678"/>
    <w:uiPriority w:val="0"/>
    <w:qFormat/>
    <w:pPr>
      <w:jc w:val="left"/>
      <w:spacing w:before="100" w:beforeAutospacing="1" w:after="100" w:afterAutospacing="1"/>
      <w:widowControl/>
    </w:pPr>
    <w:rPr>
      <w:rFonts w:ascii="Arial" w:hAnsi="Arial" w:eastAsia="Arial Unicode MS" w:cs="Arial"/>
      <w:sz w:val="24"/>
      <w:szCs w:val="24"/>
    </w:rPr>
  </w:style>
  <w:style w:type="paragraph" w:styleId="792" w:customStyle="1">
    <w:name w:val="索引 21"/>
    <w:basedOn w:val="678"/>
    <w:next w:val="678"/>
    <w:uiPriority w:val="0"/>
    <w:semiHidden/>
    <w:qFormat/>
    <w:pPr>
      <w:ind w:left="420"/>
    </w:pPr>
  </w:style>
  <w:style w:type="paragraph" w:styleId="793" w:customStyle="1">
    <w:name w:val="标题1"/>
    <w:basedOn w:val="678"/>
    <w:link w:val="794"/>
    <w:uiPriority w:val="0"/>
    <w:qFormat/>
    <w:pPr>
      <w:jc w:val="center"/>
      <w:spacing w:line="420" w:lineRule="exact"/>
      <w:widowControl/>
    </w:pPr>
    <w:rPr>
      <w:rFonts w:eastAsia="黑体"/>
      <w:b/>
      <w:sz w:val="28"/>
      <w:lang w:val="en-GB"/>
    </w:rPr>
  </w:style>
  <w:style w:type="character" w:styleId="794" w:customStyle="1">
    <w:name w:val="标题 字符"/>
    <w:link w:val="793"/>
    <w:uiPriority w:val="0"/>
    <w:qFormat/>
    <w:rPr>
      <w:rFonts w:eastAsia="黑体"/>
      <w:b/>
      <w:sz w:val="28"/>
      <w:lang w:val="en-GB" w:eastAsia="zh-CN" w:bidi="ar-SA"/>
    </w:rPr>
  </w:style>
  <w:style w:type="paragraph" w:styleId="795" w:customStyle="1">
    <w:name w:val="批注主题1"/>
    <w:basedOn w:val="749"/>
    <w:next w:val="749"/>
    <w:link w:val="796"/>
    <w:uiPriority w:val="0"/>
    <w:semiHidden/>
    <w:qFormat/>
    <w:rPr>
      <w:b/>
      <w:bCs/>
    </w:rPr>
  </w:style>
  <w:style w:type="character" w:styleId="796" w:customStyle="1">
    <w:name w:val="批注主题 字符"/>
    <w:link w:val="795"/>
    <w:uiPriority w:val="0"/>
    <w:qFormat/>
    <w:rPr>
      <w:rFonts w:eastAsia="宋体"/>
      <w:b/>
      <w:bCs/>
      <w:sz w:val="21"/>
      <w:lang w:val="en-US" w:eastAsia="zh-CN" w:bidi="ar-SA"/>
    </w:rPr>
  </w:style>
  <w:style w:type="paragraph" w:styleId="797" w:customStyle="1">
    <w:name w:val="正文首行缩进11"/>
    <w:basedOn w:val="754"/>
    <w:next w:val="777"/>
    <w:uiPriority w:val="0"/>
    <w:qFormat/>
    <w:pPr>
      <w:ind w:firstLine="420"/>
      <w:spacing w:after="120"/>
    </w:pPr>
    <w:rPr>
      <w:rFonts w:ascii="Times New Roman" w:hAnsi="Times New Roman" w:eastAsia="宋体"/>
      <w:sz w:val="21"/>
      <w:szCs w:val="24"/>
    </w:rPr>
  </w:style>
  <w:style w:type="table" w:styleId="798" w:customStyle="1">
    <w:name w:val="网格型1"/>
    <w:basedOn w:val="730"/>
    <w:uiPriority w:val="0"/>
    <w:qFormat/>
    <w:pPr>
      <w:jc w:val="both"/>
      <w:widowControl w:val="off"/>
    </w:pPr>
    <w:tblPr/>
  </w:style>
  <w:style w:type="character" w:styleId="799" w:customStyle="1">
    <w:name w:val="要点1"/>
    <w:link w:val="678"/>
    <w:uiPriority w:val="0"/>
    <w:qFormat/>
    <w:rPr>
      <w:b/>
      <w:bCs/>
    </w:rPr>
  </w:style>
  <w:style w:type="character" w:styleId="800" w:customStyle="1">
    <w:name w:val="尾注引用1"/>
    <w:link w:val="678"/>
    <w:uiPriority w:val="0"/>
    <w:qFormat/>
    <w:rPr>
      <w:vertAlign w:val="superscript"/>
    </w:rPr>
  </w:style>
  <w:style w:type="character" w:styleId="801" w:customStyle="1">
    <w:name w:val="页码1"/>
    <w:link w:val="678"/>
    <w:uiPriority w:val="0"/>
    <w:qFormat/>
  </w:style>
  <w:style w:type="character" w:styleId="802" w:customStyle="1">
    <w:name w:val="已访问的超链接11"/>
    <w:link w:val="678"/>
    <w:uiPriority w:val="99"/>
    <w:qFormat/>
    <w:rPr>
      <w:color w:val="000000"/>
      <w:u w:val="none"/>
    </w:rPr>
  </w:style>
  <w:style w:type="character" w:styleId="803" w:customStyle="1">
    <w:name w:val="强调1"/>
    <w:link w:val="678"/>
    <w:uiPriority w:val="0"/>
    <w:qFormat/>
    <w:rPr>
      <w:b/>
      <w:bCs/>
      <w:i/>
      <w:iCs/>
      <w:spacing w:val="10"/>
      <w:shd w:val="clear" w:color="auto" w:fill="auto"/>
    </w:rPr>
  </w:style>
  <w:style w:type="character" w:styleId="804" w:customStyle="1">
    <w:name w:val="行号1"/>
    <w:link w:val="678"/>
    <w:uiPriority w:val="0"/>
    <w:qFormat/>
  </w:style>
  <w:style w:type="character" w:styleId="805" w:customStyle="1">
    <w:name w:val="HTML 打字机1"/>
    <w:link w:val="678"/>
    <w:uiPriority w:val="0"/>
    <w:qFormat/>
    <w:rPr>
      <w:rFonts w:ascii="宋体" w:hAnsi="宋体" w:eastAsia="宋体" w:cs="宋体"/>
      <w:sz w:val="24"/>
      <w:szCs w:val="24"/>
    </w:rPr>
  </w:style>
  <w:style w:type="character" w:styleId="806" w:customStyle="1">
    <w:name w:val="HTML 缩写1"/>
    <w:link w:val="678"/>
    <w:uiPriority w:val="0"/>
    <w:qFormat/>
  </w:style>
  <w:style w:type="character" w:styleId="807" w:customStyle="1">
    <w:name w:val="超链接1"/>
    <w:link w:val="678"/>
    <w:uiPriority w:val="99"/>
    <w:qFormat/>
    <w:rPr>
      <w:color w:val="000000"/>
      <w:u w:val="none"/>
    </w:rPr>
  </w:style>
  <w:style w:type="character" w:styleId="808" w:customStyle="1">
    <w:name w:val="HTML 代码1"/>
    <w:link w:val="678"/>
    <w:uiPriority w:val="0"/>
    <w:qFormat/>
    <w:rPr>
      <w:rFonts w:ascii="Courier New" w:hAnsi="Courier New"/>
      <w:sz w:val="20"/>
    </w:rPr>
  </w:style>
  <w:style w:type="character" w:styleId="809" w:customStyle="1">
    <w:name w:val="批注引用1"/>
    <w:link w:val="678"/>
    <w:uiPriority w:val="0"/>
    <w:qFormat/>
    <w:rPr>
      <w:sz w:val="21"/>
    </w:rPr>
  </w:style>
  <w:style w:type="character" w:styleId="810" w:customStyle="1">
    <w:name w:val="脚注引用1"/>
    <w:link w:val="678"/>
    <w:uiPriority w:val="0"/>
    <w:qFormat/>
    <w:rPr>
      <w:vertAlign w:val="superscript"/>
    </w:rPr>
  </w:style>
  <w:style w:type="character" w:styleId="811" w:customStyle="1">
    <w:name w:val="HTML 键盘1"/>
    <w:link w:val="678"/>
    <w:uiPriority w:val="0"/>
    <w:qFormat/>
    <w:rPr>
      <w:rFonts w:ascii="DejaVu Math TeX Gyre" w:hAnsi="DejaVu Math TeX Gyre" w:eastAsia="DejaVu Math TeX Gyre" w:cs="DejaVu Math TeX Gyre"/>
      <w:sz w:val="20"/>
    </w:rPr>
  </w:style>
  <w:style w:type="character" w:styleId="812" w:customStyle="1">
    <w:name w:val="HTML 样本1"/>
    <w:link w:val="678"/>
    <w:uiPriority w:val="0"/>
    <w:qFormat/>
    <w:rPr>
      <w:rFonts w:ascii="Courier New" w:hAnsi="宋体" w:eastAsia="宋体" w:cs="Courier New"/>
    </w:rPr>
  </w:style>
  <w:style w:type="paragraph" w:styleId="813" w:customStyle="1">
    <w:name w:val="正文文本缩进11"/>
    <w:basedOn w:val="814"/>
    <w:next w:val="818"/>
    <w:uiPriority w:val="0"/>
    <w:qFormat/>
    <w:pPr>
      <w:ind w:firstLine="301"/>
      <w:spacing w:line="200" w:lineRule="exact"/>
    </w:pPr>
    <w:rPr>
      <w:rFonts w:ascii="宋体" w:hAnsi="宋体"/>
      <w:spacing w:val="-4"/>
      <w:sz w:val="18"/>
      <w:szCs w:val="20"/>
    </w:rPr>
  </w:style>
  <w:style w:type="paragraph" w:styleId="814" w:customStyle="1">
    <w:name w:val="正文112"/>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正文首行缩进1"/>
    <w:basedOn w:val="816"/>
    <w:uiPriority w:val="0"/>
    <w:semiHidden/>
    <w:qFormat/>
    <w:pPr>
      <w:ind w:firstLine="420"/>
    </w:pPr>
    <w:rPr>
      <w:rFonts w:cs="宋体"/>
      <w:szCs w:val="28"/>
    </w:rPr>
  </w:style>
  <w:style w:type="paragraph" w:styleId="816" w:customStyle="1">
    <w:name w:val="正文文本1"/>
    <w:basedOn w:val="817"/>
    <w:next w:val="678"/>
    <w:uiPriority w:val="0"/>
    <w:qFormat/>
    <w:pPr>
      <w:spacing w:after="120"/>
    </w:pPr>
  </w:style>
  <w:style w:type="paragraph" w:styleId="817" w:customStyle="1">
    <w:name w:val="正文1"/>
    <w:basedOn w:val="678"/>
    <w:next w:val="816"/>
    <w:uiPriority w:val="0"/>
    <w:qFormat/>
    <w:pPr>
      <w:ind w:firstLine="510"/>
      <w:spacing w:before="156" w:line="360" w:lineRule="auto"/>
    </w:pPr>
    <w:rPr>
      <w:sz w:val="24"/>
    </w:rPr>
  </w:style>
  <w:style w:type="paragraph" w:styleId="818" w:customStyle="1">
    <w:name w:val="寄信人地址1"/>
    <w:basedOn w:val="678"/>
    <w:uiPriority w:val="0"/>
    <w:qFormat/>
    <w:rPr>
      <w:rFonts w:ascii="Arial" w:hAnsi="Arial" w:cs="宋体"/>
      <w:szCs w:val="24"/>
    </w:rPr>
  </w:style>
  <w:style w:type="character" w:styleId="819" w:customStyle="1">
    <w:name w:val="Heading 1 Char"/>
    <w:link w:val="678"/>
    <w:uiPriority w:val="9"/>
    <w:qFormat/>
    <w:rPr>
      <w:rFonts w:ascii="Arial" w:hAnsi="Arial" w:eastAsia="Arial" w:cs="Arial"/>
      <w:sz w:val="40"/>
      <w:szCs w:val="40"/>
    </w:rPr>
  </w:style>
  <w:style w:type="character" w:styleId="820" w:customStyle="1">
    <w:name w:val="Heading 2 Char"/>
    <w:link w:val="678"/>
    <w:uiPriority w:val="9"/>
    <w:qFormat/>
    <w:rPr>
      <w:rFonts w:ascii="Arial" w:hAnsi="Arial" w:eastAsia="Arial" w:cs="Arial"/>
      <w:sz w:val="34"/>
    </w:rPr>
  </w:style>
  <w:style w:type="character" w:styleId="821" w:customStyle="1">
    <w:name w:val="Heading 3 Char"/>
    <w:link w:val="678"/>
    <w:uiPriority w:val="9"/>
    <w:qFormat/>
    <w:rPr>
      <w:rFonts w:ascii="Arial" w:hAnsi="Arial" w:eastAsia="Arial" w:cs="Arial"/>
      <w:sz w:val="30"/>
      <w:szCs w:val="30"/>
    </w:rPr>
  </w:style>
  <w:style w:type="character" w:styleId="822" w:customStyle="1">
    <w:name w:val="Heading 4 Char"/>
    <w:link w:val="678"/>
    <w:uiPriority w:val="9"/>
    <w:qFormat/>
    <w:rPr>
      <w:rFonts w:ascii="Arial" w:hAnsi="Arial" w:eastAsia="Arial" w:cs="Arial"/>
      <w:b/>
      <w:bCs/>
      <w:sz w:val="26"/>
      <w:szCs w:val="26"/>
    </w:rPr>
  </w:style>
  <w:style w:type="character" w:styleId="823" w:customStyle="1">
    <w:name w:val="Heading 5 Char"/>
    <w:link w:val="678"/>
    <w:uiPriority w:val="9"/>
    <w:qFormat/>
    <w:rPr>
      <w:rFonts w:ascii="Arial" w:hAnsi="Arial" w:eastAsia="Arial" w:cs="Arial"/>
      <w:b/>
      <w:bCs/>
      <w:sz w:val="24"/>
      <w:szCs w:val="24"/>
    </w:rPr>
  </w:style>
  <w:style w:type="character" w:styleId="824" w:customStyle="1">
    <w:name w:val="Heading 6 Char"/>
    <w:link w:val="678"/>
    <w:uiPriority w:val="9"/>
    <w:qFormat/>
    <w:rPr>
      <w:rFonts w:ascii="Arial" w:hAnsi="Arial" w:eastAsia="Arial" w:cs="Arial"/>
      <w:b/>
      <w:bCs/>
      <w:sz w:val="22"/>
      <w:szCs w:val="22"/>
    </w:rPr>
  </w:style>
  <w:style w:type="character" w:styleId="825" w:customStyle="1">
    <w:name w:val="Heading 7 Char"/>
    <w:link w:val="678"/>
    <w:uiPriority w:val="9"/>
    <w:qFormat/>
    <w:rPr>
      <w:rFonts w:ascii="Arial" w:hAnsi="Arial" w:eastAsia="Arial" w:cs="Arial"/>
      <w:b/>
      <w:bCs/>
      <w:i/>
      <w:iCs/>
      <w:sz w:val="22"/>
      <w:szCs w:val="22"/>
    </w:rPr>
  </w:style>
  <w:style w:type="character" w:styleId="826" w:customStyle="1">
    <w:name w:val="Heading 8 Char"/>
    <w:link w:val="678"/>
    <w:uiPriority w:val="9"/>
    <w:qFormat/>
    <w:rPr>
      <w:rFonts w:ascii="Arial" w:hAnsi="Arial" w:eastAsia="Arial" w:cs="Arial"/>
      <w:i/>
      <w:iCs/>
      <w:sz w:val="22"/>
      <w:szCs w:val="22"/>
    </w:rPr>
  </w:style>
  <w:style w:type="character" w:styleId="827" w:customStyle="1">
    <w:name w:val="Heading 9 Char"/>
    <w:link w:val="678"/>
    <w:uiPriority w:val="9"/>
    <w:qFormat/>
    <w:rPr>
      <w:rFonts w:ascii="Arial" w:hAnsi="Arial" w:eastAsia="Arial" w:cs="Arial"/>
      <w:i/>
      <w:iCs/>
      <w:sz w:val="21"/>
      <w:szCs w:val="21"/>
    </w:rPr>
  </w:style>
  <w:style w:type="character" w:styleId="828" w:customStyle="1">
    <w:name w:val="Title Char"/>
    <w:link w:val="678"/>
    <w:uiPriority w:val="10"/>
    <w:qFormat/>
    <w:rPr>
      <w:sz w:val="48"/>
      <w:szCs w:val="48"/>
    </w:rPr>
  </w:style>
  <w:style w:type="character" w:styleId="829" w:customStyle="1">
    <w:name w:val="Subtitle Char"/>
    <w:link w:val="678"/>
    <w:uiPriority w:val="11"/>
    <w:qFormat/>
    <w:rPr>
      <w:sz w:val="24"/>
      <w:szCs w:val="24"/>
    </w:rPr>
  </w:style>
  <w:style w:type="character" w:styleId="830" w:customStyle="1">
    <w:name w:val="Quote Char"/>
    <w:link w:val="678"/>
    <w:uiPriority w:val="29"/>
    <w:qFormat/>
    <w:rPr>
      <w:i/>
    </w:rPr>
  </w:style>
  <w:style w:type="character" w:styleId="831" w:customStyle="1">
    <w:name w:val="Intense Quote Char"/>
    <w:link w:val="678"/>
    <w:uiPriority w:val="30"/>
    <w:qFormat/>
    <w:rPr>
      <w:i/>
    </w:rPr>
  </w:style>
  <w:style w:type="character" w:styleId="832" w:customStyle="1">
    <w:name w:val="Header Char"/>
    <w:link w:val="678"/>
    <w:uiPriority w:val="99"/>
    <w:qFormat/>
  </w:style>
  <w:style w:type="character" w:styleId="833" w:customStyle="1">
    <w:name w:val="Footer Char"/>
    <w:link w:val="678"/>
    <w:uiPriority w:val="99"/>
    <w:qFormat/>
  </w:style>
  <w:style w:type="character" w:styleId="834" w:customStyle="1">
    <w:name w:val="Caption Char"/>
    <w:link w:val="678"/>
    <w:uiPriority w:val="99"/>
    <w:qFormat/>
  </w:style>
  <w:style w:type="table" w:styleId="835" w:customStyle="1">
    <w:name w:val="Table Grid Light"/>
    <w:basedOn w:val="730"/>
    <w:uiPriority w:val="59"/>
    <w:qFormat/>
    <w:pPr>
      <w:spacing w:after="0" w:line="240" w:lineRule="auto"/>
    </w:pPr>
    <w:tblPr/>
  </w:style>
  <w:style w:type="table" w:styleId="836" w:customStyle="1">
    <w:name w:val="Plain Table 1"/>
    <w:basedOn w:val="730"/>
    <w:uiPriority w:val="59"/>
    <w:qFormat/>
    <w:pPr>
      <w:spacing w:after="0" w:line="240" w:lineRule="auto"/>
    </w:pPr>
    <w:tblPr/>
  </w:style>
  <w:style w:type="table" w:styleId="837" w:customStyle="1">
    <w:name w:val="Plain Table 2"/>
    <w:basedOn w:val="730"/>
    <w:uiPriority w:val="59"/>
    <w:qFormat/>
    <w:pPr>
      <w:spacing w:after="0" w:line="240" w:lineRule="auto"/>
    </w:pPr>
    <w:tblPr/>
  </w:style>
  <w:style w:type="table" w:styleId="838" w:customStyle="1">
    <w:name w:val="Plain Table 3"/>
    <w:basedOn w:val="730"/>
    <w:uiPriority w:val="99"/>
    <w:qFormat/>
    <w:pPr>
      <w:spacing w:after="0" w:line="240" w:lineRule="auto"/>
    </w:pPr>
    <w:tblPr/>
  </w:style>
  <w:style w:type="table" w:styleId="839" w:customStyle="1">
    <w:name w:val="Plain Table 4"/>
    <w:basedOn w:val="730"/>
    <w:uiPriority w:val="99"/>
    <w:qFormat/>
    <w:pPr>
      <w:spacing w:after="0" w:line="240" w:lineRule="auto"/>
    </w:pPr>
    <w:tblPr/>
  </w:style>
  <w:style w:type="table" w:styleId="840" w:customStyle="1">
    <w:name w:val="Plain Table 5"/>
    <w:basedOn w:val="730"/>
    <w:uiPriority w:val="99"/>
    <w:qFormat/>
    <w:pPr>
      <w:spacing w:after="0" w:line="240" w:lineRule="auto"/>
    </w:pPr>
    <w:tblPr/>
  </w:style>
  <w:style w:type="table" w:styleId="841" w:customStyle="1">
    <w:name w:val="Grid Table 1 Light"/>
    <w:basedOn w:val="730"/>
    <w:uiPriority w:val="99"/>
    <w:qFormat/>
    <w:pPr>
      <w:spacing w:after="0" w:line="240" w:lineRule="auto"/>
    </w:pPr>
    <w:tblPr/>
  </w:style>
  <w:style w:type="table" w:styleId="842" w:customStyle="1">
    <w:name w:val="Grid Table 1 Light - Accent 1"/>
    <w:basedOn w:val="730"/>
    <w:uiPriority w:val="99"/>
    <w:qFormat/>
    <w:pPr>
      <w:spacing w:after="0" w:line="240" w:lineRule="auto"/>
    </w:pPr>
    <w:tblPr/>
  </w:style>
  <w:style w:type="table" w:styleId="843" w:customStyle="1">
    <w:name w:val="Grid Table 1 Light - Accent 2"/>
    <w:basedOn w:val="730"/>
    <w:uiPriority w:val="99"/>
    <w:qFormat/>
    <w:pPr>
      <w:spacing w:after="0" w:line="240" w:lineRule="auto"/>
    </w:pPr>
    <w:tblPr/>
  </w:style>
  <w:style w:type="table" w:styleId="844" w:customStyle="1">
    <w:name w:val="Grid Table 1 Light - Accent 3"/>
    <w:basedOn w:val="730"/>
    <w:uiPriority w:val="99"/>
    <w:qFormat/>
    <w:pPr>
      <w:spacing w:after="0" w:line="240" w:lineRule="auto"/>
    </w:pPr>
    <w:tblPr/>
  </w:style>
  <w:style w:type="table" w:styleId="845" w:customStyle="1">
    <w:name w:val="Grid Table 1 Light - Accent 4"/>
    <w:basedOn w:val="730"/>
    <w:uiPriority w:val="99"/>
    <w:qFormat/>
    <w:pPr>
      <w:spacing w:after="0" w:line="240" w:lineRule="auto"/>
    </w:pPr>
    <w:tblPr/>
  </w:style>
  <w:style w:type="table" w:styleId="846" w:customStyle="1">
    <w:name w:val="Grid Table 1 Light - Accent 5"/>
    <w:basedOn w:val="730"/>
    <w:uiPriority w:val="99"/>
    <w:qFormat/>
    <w:pPr>
      <w:spacing w:after="0" w:line="240" w:lineRule="auto"/>
    </w:pPr>
    <w:tblPr/>
  </w:style>
  <w:style w:type="table" w:styleId="847" w:customStyle="1">
    <w:name w:val="Grid Table 1 Light - Accent 6"/>
    <w:basedOn w:val="730"/>
    <w:uiPriority w:val="99"/>
    <w:qFormat/>
    <w:pPr>
      <w:spacing w:after="0" w:line="240" w:lineRule="auto"/>
    </w:pPr>
    <w:tblPr/>
  </w:style>
  <w:style w:type="table" w:styleId="848" w:customStyle="1">
    <w:name w:val="Grid Table 2"/>
    <w:basedOn w:val="730"/>
    <w:uiPriority w:val="99"/>
    <w:qFormat/>
    <w:pPr>
      <w:spacing w:after="0" w:line="240" w:lineRule="auto"/>
    </w:pPr>
    <w:tblPr/>
  </w:style>
  <w:style w:type="table" w:styleId="849" w:customStyle="1">
    <w:name w:val="Grid Table 2 - Accent 1"/>
    <w:basedOn w:val="730"/>
    <w:uiPriority w:val="99"/>
    <w:qFormat/>
    <w:pPr>
      <w:spacing w:after="0" w:line="240" w:lineRule="auto"/>
    </w:pPr>
    <w:tblPr/>
  </w:style>
  <w:style w:type="table" w:styleId="850" w:customStyle="1">
    <w:name w:val="Grid Table 2 - Accent 2"/>
    <w:basedOn w:val="730"/>
    <w:uiPriority w:val="99"/>
    <w:qFormat/>
    <w:pPr>
      <w:spacing w:after="0" w:line="240" w:lineRule="auto"/>
    </w:pPr>
    <w:tblPr/>
  </w:style>
  <w:style w:type="table" w:styleId="851" w:customStyle="1">
    <w:name w:val="Grid Table 2 - Accent 3"/>
    <w:basedOn w:val="730"/>
    <w:uiPriority w:val="99"/>
    <w:qFormat/>
    <w:pPr>
      <w:spacing w:after="0" w:line="240" w:lineRule="auto"/>
    </w:pPr>
    <w:tblPr/>
  </w:style>
  <w:style w:type="table" w:styleId="852" w:customStyle="1">
    <w:name w:val="Grid Table 2 - Accent 4"/>
    <w:basedOn w:val="730"/>
    <w:uiPriority w:val="99"/>
    <w:qFormat/>
    <w:pPr>
      <w:spacing w:after="0" w:line="240" w:lineRule="auto"/>
    </w:pPr>
    <w:tblPr/>
  </w:style>
  <w:style w:type="table" w:styleId="853" w:customStyle="1">
    <w:name w:val="Grid Table 2 - Accent 5"/>
    <w:basedOn w:val="730"/>
    <w:uiPriority w:val="99"/>
    <w:qFormat/>
    <w:pPr>
      <w:spacing w:after="0" w:line="240" w:lineRule="auto"/>
    </w:pPr>
    <w:tblPr/>
  </w:style>
  <w:style w:type="table" w:styleId="854" w:customStyle="1">
    <w:name w:val="Grid Table 2 - Accent 6"/>
    <w:basedOn w:val="730"/>
    <w:uiPriority w:val="99"/>
    <w:qFormat/>
    <w:pPr>
      <w:spacing w:after="0" w:line="240" w:lineRule="auto"/>
    </w:pPr>
    <w:tblPr/>
  </w:style>
  <w:style w:type="table" w:styleId="855" w:customStyle="1">
    <w:name w:val="Grid Table 3"/>
    <w:basedOn w:val="730"/>
    <w:uiPriority w:val="99"/>
    <w:qFormat/>
    <w:pPr>
      <w:spacing w:after="0" w:line="240" w:lineRule="auto"/>
    </w:pPr>
    <w:tblPr/>
  </w:style>
  <w:style w:type="table" w:styleId="856" w:customStyle="1">
    <w:name w:val="Grid Table 3 - Accent 1"/>
    <w:basedOn w:val="730"/>
    <w:uiPriority w:val="99"/>
    <w:qFormat/>
    <w:pPr>
      <w:spacing w:after="0" w:line="240" w:lineRule="auto"/>
    </w:pPr>
    <w:tblPr/>
  </w:style>
  <w:style w:type="table" w:styleId="857" w:customStyle="1">
    <w:name w:val="Grid Table 3 - Accent 2"/>
    <w:basedOn w:val="730"/>
    <w:uiPriority w:val="99"/>
    <w:qFormat/>
    <w:pPr>
      <w:spacing w:after="0" w:line="240" w:lineRule="auto"/>
    </w:pPr>
    <w:tblPr/>
  </w:style>
  <w:style w:type="table" w:styleId="858" w:customStyle="1">
    <w:name w:val="Grid Table 3 - Accent 3"/>
    <w:basedOn w:val="730"/>
    <w:uiPriority w:val="99"/>
    <w:qFormat/>
    <w:pPr>
      <w:spacing w:after="0" w:line="240" w:lineRule="auto"/>
    </w:pPr>
    <w:tblPr/>
  </w:style>
  <w:style w:type="table" w:styleId="859" w:customStyle="1">
    <w:name w:val="Grid Table 3 - Accent 4"/>
    <w:basedOn w:val="730"/>
    <w:uiPriority w:val="99"/>
    <w:qFormat/>
    <w:pPr>
      <w:spacing w:after="0" w:line="240" w:lineRule="auto"/>
    </w:pPr>
    <w:tblPr/>
  </w:style>
  <w:style w:type="table" w:styleId="860" w:customStyle="1">
    <w:name w:val="Grid Table 3 - Accent 5"/>
    <w:basedOn w:val="730"/>
    <w:uiPriority w:val="99"/>
    <w:qFormat/>
    <w:pPr>
      <w:spacing w:after="0" w:line="240" w:lineRule="auto"/>
    </w:pPr>
    <w:tblPr/>
  </w:style>
  <w:style w:type="table" w:styleId="861" w:customStyle="1">
    <w:name w:val="Grid Table 3 - Accent 6"/>
    <w:basedOn w:val="730"/>
    <w:uiPriority w:val="99"/>
    <w:qFormat/>
    <w:pPr>
      <w:spacing w:after="0" w:line="240" w:lineRule="auto"/>
    </w:pPr>
    <w:tblPr/>
  </w:style>
  <w:style w:type="table" w:styleId="862" w:customStyle="1">
    <w:name w:val="Grid Table 4"/>
    <w:basedOn w:val="730"/>
    <w:uiPriority w:val="59"/>
    <w:qFormat/>
    <w:pPr>
      <w:spacing w:after="0" w:line="240" w:lineRule="auto"/>
    </w:pPr>
    <w:tblPr/>
  </w:style>
  <w:style w:type="table" w:styleId="863" w:customStyle="1">
    <w:name w:val="Grid Table 4 - Accent 1"/>
    <w:basedOn w:val="730"/>
    <w:uiPriority w:val="59"/>
    <w:qFormat/>
    <w:pPr>
      <w:spacing w:after="0" w:line="240" w:lineRule="auto"/>
    </w:pPr>
    <w:tblPr/>
  </w:style>
  <w:style w:type="table" w:styleId="864" w:customStyle="1">
    <w:name w:val="Grid Table 4 - Accent 2"/>
    <w:basedOn w:val="730"/>
    <w:uiPriority w:val="59"/>
    <w:qFormat/>
    <w:pPr>
      <w:spacing w:after="0" w:line="240" w:lineRule="auto"/>
    </w:pPr>
    <w:tblPr/>
  </w:style>
  <w:style w:type="table" w:styleId="865" w:customStyle="1">
    <w:name w:val="Grid Table 4 - Accent 3"/>
    <w:basedOn w:val="730"/>
    <w:uiPriority w:val="59"/>
    <w:qFormat/>
    <w:pPr>
      <w:spacing w:after="0" w:line="240" w:lineRule="auto"/>
    </w:pPr>
    <w:tblPr/>
  </w:style>
  <w:style w:type="table" w:styleId="866" w:customStyle="1">
    <w:name w:val="Grid Table 4 - Accent 4"/>
    <w:basedOn w:val="730"/>
    <w:uiPriority w:val="59"/>
    <w:qFormat/>
    <w:pPr>
      <w:spacing w:after="0" w:line="240" w:lineRule="auto"/>
    </w:pPr>
    <w:tblPr/>
  </w:style>
  <w:style w:type="table" w:styleId="867" w:customStyle="1">
    <w:name w:val="Grid Table 4 - Accent 5"/>
    <w:basedOn w:val="730"/>
    <w:uiPriority w:val="59"/>
    <w:qFormat/>
    <w:pPr>
      <w:spacing w:after="0" w:line="240" w:lineRule="auto"/>
    </w:pPr>
    <w:tblPr/>
  </w:style>
  <w:style w:type="table" w:styleId="868" w:customStyle="1">
    <w:name w:val="Grid Table 4 - Accent 6"/>
    <w:basedOn w:val="730"/>
    <w:uiPriority w:val="59"/>
    <w:qFormat/>
    <w:pPr>
      <w:spacing w:after="0" w:line="240" w:lineRule="auto"/>
    </w:pPr>
    <w:tblPr/>
  </w:style>
  <w:style w:type="table" w:styleId="869" w:customStyle="1">
    <w:name w:val="Grid Table 5 Dark"/>
    <w:basedOn w:val="730"/>
    <w:uiPriority w:val="99"/>
    <w:qFormat/>
    <w:pPr>
      <w:spacing w:after="0" w:line="240" w:lineRule="auto"/>
    </w:pPr>
    <w:tblPr/>
  </w:style>
  <w:style w:type="table" w:styleId="870" w:customStyle="1">
    <w:name w:val="Grid Table 5 Dark- Accent 1"/>
    <w:basedOn w:val="730"/>
    <w:uiPriority w:val="99"/>
    <w:qFormat/>
    <w:pPr>
      <w:spacing w:after="0" w:line="240" w:lineRule="auto"/>
    </w:pPr>
    <w:tblPr/>
  </w:style>
  <w:style w:type="table" w:styleId="871" w:customStyle="1">
    <w:name w:val="Grid Table 5 Dark - Accent 2"/>
    <w:basedOn w:val="730"/>
    <w:uiPriority w:val="99"/>
    <w:qFormat/>
    <w:pPr>
      <w:spacing w:after="0" w:line="240" w:lineRule="auto"/>
    </w:pPr>
    <w:tblPr/>
  </w:style>
  <w:style w:type="table" w:styleId="872" w:customStyle="1">
    <w:name w:val="Grid Table 5 Dark - Accent 3"/>
    <w:basedOn w:val="730"/>
    <w:uiPriority w:val="99"/>
    <w:qFormat/>
    <w:pPr>
      <w:spacing w:after="0" w:line="240" w:lineRule="auto"/>
    </w:pPr>
    <w:tblPr/>
  </w:style>
  <w:style w:type="table" w:styleId="873" w:customStyle="1">
    <w:name w:val="Grid Table 5 Dark- Accent 4"/>
    <w:basedOn w:val="730"/>
    <w:uiPriority w:val="99"/>
    <w:qFormat/>
    <w:pPr>
      <w:spacing w:after="0" w:line="240" w:lineRule="auto"/>
    </w:pPr>
    <w:tblPr/>
  </w:style>
  <w:style w:type="table" w:styleId="874" w:customStyle="1">
    <w:name w:val="Grid Table 5 Dark - Accent 5"/>
    <w:basedOn w:val="730"/>
    <w:uiPriority w:val="99"/>
    <w:qFormat/>
    <w:pPr>
      <w:spacing w:after="0" w:line="240" w:lineRule="auto"/>
    </w:pPr>
    <w:tblPr/>
  </w:style>
  <w:style w:type="table" w:styleId="875" w:customStyle="1">
    <w:name w:val="Grid Table 5 Dark - Accent 6"/>
    <w:basedOn w:val="730"/>
    <w:uiPriority w:val="99"/>
    <w:qFormat/>
    <w:pPr>
      <w:spacing w:after="0" w:line="240" w:lineRule="auto"/>
    </w:pPr>
    <w:tblPr/>
  </w:style>
  <w:style w:type="table" w:styleId="876" w:customStyle="1">
    <w:name w:val="Grid Table 6 Colorful"/>
    <w:basedOn w:val="730"/>
    <w:uiPriority w:val="99"/>
    <w:qFormat/>
    <w:pPr>
      <w:spacing w:after="0" w:line="240" w:lineRule="auto"/>
    </w:pPr>
    <w:tblPr/>
  </w:style>
  <w:style w:type="table" w:styleId="877" w:customStyle="1">
    <w:name w:val="Grid Table 6 Colorful - Accent 1"/>
    <w:basedOn w:val="730"/>
    <w:uiPriority w:val="99"/>
    <w:qFormat/>
    <w:pPr>
      <w:spacing w:after="0" w:line="240" w:lineRule="auto"/>
    </w:pPr>
    <w:tblPr/>
  </w:style>
  <w:style w:type="table" w:styleId="878" w:customStyle="1">
    <w:name w:val="Grid Table 6 Colorful - Accent 2"/>
    <w:basedOn w:val="730"/>
    <w:uiPriority w:val="99"/>
    <w:qFormat/>
    <w:pPr>
      <w:spacing w:after="0" w:line="240" w:lineRule="auto"/>
    </w:pPr>
    <w:tblPr/>
  </w:style>
  <w:style w:type="table" w:styleId="879" w:customStyle="1">
    <w:name w:val="Grid Table 6 Colorful - Accent 3"/>
    <w:basedOn w:val="730"/>
    <w:uiPriority w:val="99"/>
    <w:qFormat/>
    <w:pPr>
      <w:spacing w:after="0" w:line="240" w:lineRule="auto"/>
    </w:pPr>
    <w:tblPr/>
  </w:style>
  <w:style w:type="table" w:styleId="880" w:customStyle="1">
    <w:name w:val="Grid Table 6 Colorful - Accent 4"/>
    <w:basedOn w:val="730"/>
    <w:uiPriority w:val="99"/>
    <w:qFormat/>
    <w:pPr>
      <w:spacing w:after="0" w:line="240" w:lineRule="auto"/>
    </w:pPr>
    <w:tblPr/>
  </w:style>
  <w:style w:type="table" w:styleId="881" w:customStyle="1">
    <w:name w:val="Grid Table 6 Colorful - Accent 5"/>
    <w:basedOn w:val="730"/>
    <w:uiPriority w:val="99"/>
    <w:qFormat/>
    <w:pPr>
      <w:spacing w:after="0" w:line="240" w:lineRule="auto"/>
    </w:pPr>
    <w:tblPr/>
  </w:style>
  <w:style w:type="table" w:styleId="882" w:customStyle="1">
    <w:name w:val="Grid Table 6 Colorful - Accent 6"/>
    <w:basedOn w:val="730"/>
    <w:uiPriority w:val="99"/>
    <w:qFormat/>
    <w:pPr>
      <w:spacing w:after="0" w:line="240" w:lineRule="auto"/>
    </w:pPr>
    <w:tblPr/>
  </w:style>
  <w:style w:type="table" w:styleId="883" w:customStyle="1">
    <w:name w:val="Grid Table 7 Colorful"/>
    <w:basedOn w:val="730"/>
    <w:uiPriority w:val="99"/>
    <w:qFormat/>
    <w:pPr>
      <w:spacing w:after="0" w:line="240" w:lineRule="auto"/>
    </w:pPr>
    <w:tblPr/>
  </w:style>
  <w:style w:type="table" w:styleId="884" w:customStyle="1">
    <w:name w:val="Grid Table 7 Colorful - Accent 1"/>
    <w:basedOn w:val="730"/>
    <w:uiPriority w:val="99"/>
    <w:qFormat/>
    <w:pPr>
      <w:spacing w:after="0" w:line="240" w:lineRule="auto"/>
    </w:pPr>
    <w:tblPr/>
  </w:style>
  <w:style w:type="table" w:styleId="885" w:customStyle="1">
    <w:name w:val="Grid Table 7 Colorful - Accent 2"/>
    <w:basedOn w:val="730"/>
    <w:uiPriority w:val="99"/>
    <w:qFormat/>
    <w:pPr>
      <w:spacing w:after="0" w:line="240" w:lineRule="auto"/>
    </w:pPr>
    <w:tblPr/>
  </w:style>
  <w:style w:type="table" w:styleId="886" w:customStyle="1">
    <w:name w:val="Grid Table 7 Colorful - Accent 3"/>
    <w:basedOn w:val="730"/>
    <w:uiPriority w:val="99"/>
    <w:qFormat/>
    <w:pPr>
      <w:spacing w:after="0" w:line="240" w:lineRule="auto"/>
    </w:pPr>
    <w:tblPr/>
  </w:style>
  <w:style w:type="table" w:styleId="887" w:customStyle="1">
    <w:name w:val="Grid Table 7 Colorful - Accent 4"/>
    <w:basedOn w:val="730"/>
    <w:uiPriority w:val="99"/>
    <w:qFormat/>
    <w:pPr>
      <w:spacing w:after="0" w:line="240" w:lineRule="auto"/>
    </w:pPr>
    <w:tblPr/>
  </w:style>
  <w:style w:type="table" w:styleId="888" w:customStyle="1">
    <w:name w:val="Grid Table 7 Colorful - Accent 5"/>
    <w:basedOn w:val="730"/>
    <w:uiPriority w:val="99"/>
    <w:qFormat/>
    <w:pPr>
      <w:spacing w:after="0" w:line="240" w:lineRule="auto"/>
    </w:pPr>
    <w:tblPr/>
  </w:style>
  <w:style w:type="table" w:styleId="889" w:customStyle="1">
    <w:name w:val="Grid Table 7 Colorful - Accent 6"/>
    <w:basedOn w:val="730"/>
    <w:uiPriority w:val="99"/>
    <w:qFormat/>
    <w:pPr>
      <w:spacing w:after="0" w:line="240" w:lineRule="auto"/>
    </w:pPr>
    <w:tblPr/>
  </w:style>
  <w:style w:type="table" w:styleId="890" w:customStyle="1">
    <w:name w:val="List Table 1 Light"/>
    <w:basedOn w:val="730"/>
    <w:uiPriority w:val="99"/>
    <w:qFormat/>
    <w:pPr>
      <w:spacing w:after="0" w:line="240" w:lineRule="auto"/>
    </w:pPr>
    <w:tblPr/>
  </w:style>
  <w:style w:type="table" w:styleId="891" w:customStyle="1">
    <w:name w:val="List Table 1 Light - Accent 1"/>
    <w:basedOn w:val="730"/>
    <w:uiPriority w:val="99"/>
    <w:qFormat/>
    <w:pPr>
      <w:spacing w:after="0" w:line="240" w:lineRule="auto"/>
    </w:pPr>
    <w:tblPr/>
  </w:style>
  <w:style w:type="table" w:styleId="892" w:customStyle="1">
    <w:name w:val="List Table 1 Light - Accent 2"/>
    <w:basedOn w:val="730"/>
    <w:uiPriority w:val="99"/>
    <w:qFormat/>
    <w:pPr>
      <w:spacing w:after="0" w:line="240" w:lineRule="auto"/>
    </w:pPr>
    <w:tblPr/>
  </w:style>
  <w:style w:type="table" w:styleId="893" w:customStyle="1">
    <w:name w:val="List Table 1 Light - Accent 3"/>
    <w:basedOn w:val="730"/>
    <w:uiPriority w:val="99"/>
    <w:qFormat/>
    <w:pPr>
      <w:spacing w:after="0" w:line="240" w:lineRule="auto"/>
    </w:pPr>
    <w:tblPr/>
  </w:style>
  <w:style w:type="table" w:styleId="894" w:customStyle="1">
    <w:name w:val="List Table 1 Light - Accent 4"/>
    <w:basedOn w:val="730"/>
    <w:uiPriority w:val="99"/>
    <w:qFormat/>
    <w:pPr>
      <w:spacing w:after="0" w:line="240" w:lineRule="auto"/>
    </w:pPr>
    <w:tblPr/>
  </w:style>
  <w:style w:type="table" w:styleId="895" w:customStyle="1">
    <w:name w:val="List Table 1 Light - Accent 5"/>
    <w:basedOn w:val="730"/>
    <w:uiPriority w:val="99"/>
    <w:qFormat/>
    <w:pPr>
      <w:spacing w:after="0" w:line="240" w:lineRule="auto"/>
    </w:pPr>
    <w:tblPr/>
  </w:style>
  <w:style w:type="table" w:styleId="896" w:customStyle="1">
    <w:name w:val="List Table 1 Light - Accent 6"/>
    <w:basedOn w:val="730"/>
    <w:uiPriority w:val="99"/>
    <w:qFormat/>
    <w:pPr>
      <w:spacing w:after="0" w:line="240" w:lineRule="auto"/>
    </w:pPr>
    <w:tblPr/>
  </w:style>
  <w:style w:type="table" w:styleId="897" w:customStyle="1">
    <w:name w:val="List Table 2"/>
    <w:basedOn w:val="730"/>
    <w:uiPriority w:val="99"/>
    <w:qFormat/>
    <w:pPr>
      <w:spacing w:after="0" w:line="240" w:lineRule="auto"/>
    </w:pPr>
    <w:tblPr/>
  </w:style>
  <w:style w:type="table" w:styleId="898" w:customStyle="1">
    <w:name w:val="List Table 2 - Accent 1"/>
    <w:basedOn w:val="730"/>
    <w:uiPriority w:val="99"/>
    <w:qFormat/>
    <w:pPr>
      <w:spacing w:after="0" w:line="240" w:lineRule="auto"/>
    </w:pPr>
    <w:tblPr/>
  </w:style>
  <w:style w:type="table" w:styleId="899" w:customStyle="1">
    <w:name w:val="List Table 2 - Accent 2"/>
    <w:basedOn w:val="730"/>
    <w:uiPriority w:val="99"/>
    <w:qFormat/>
    <w:pPr>
      <w:spacing w:after="0" w:line="240" w:lineRule="auto"/>
    </w:pPr>
    <w:tblPr/>
  </w:style>
  <w:style w:type="table" w:styleId="900" w:customStyle="1">
    <w:name w:val="List Table 2 - Accent 3"/>
    <w:basedOn w:val="730"/>
    <w:uiPriority w:val="99"/>
    <w:qFormat/>
    <w:pPr>
      <w:spacing w:after="0" w:line="240" w:lineRule="auto"/>
    </w:pPr>
    <w:tblPr/>
  </w:style>
  <w:style w:type="table" w:styleId="901" w:customStyle="1">
    <w:name w:val="List Table 2 - Accent 4"/>
    <w:basedOn w:val="730"/>
    <w:uiPriority w:val="99"/>
    <w:qFormat/>
    <w:pPr>
      <w:spacing w:after="0" w:line="240" w:lineRule="auto"/>
    </w:pPr>
    <w:tblPr/>
  </w:style>
  <w:style w:type="table" w:styleId="902" w:customStyle="1">
    <w:name w:val="List Table 2 - Accent 5"/>
    <w:basedOn w:val="730"/>
    <w:uiPriority w:val="99"/>
    <w:qFormat/>
    <w:pPr>
      <w:spacing w:after="0" w:line="240" w:lineRule="auto"/>
    </w:pPr>
    <w:tblPr/>
  </w:style>
  <w:style w:type="table" w:styleId="903" w:customStyle="1">
    <w:name w:val="List Table 2 - Accent 6"/>
    <w:basedOn w:val="730"/>
    <w:uiPriority w:val="99"/>
    <w:qFormat/>
    <w:pPr>
      <w:spacing w:after="0" w:line="240" w:lineRule="auto"/>
    </w:pPr>
    <w:tblPr/>
  </w:style>
  <w:style w:type="table" w:styleId="904" w:customStyle="1">
    <w:name w:val="List Table 3"/>
    <w:basedOn w:val="730"/>
    <w:uiPriority w:val="99"/>
    <w:qFormat/>
    <w:pPr>
      <w:spacing w:after="0" w:line="240" w:lineRule="auto"/>
    </w:pPr>
    <w:tblPr/>
  </w:style>
  <w:style w:type="table" w:styleId="905" w:customStyle="1">
    <w:name w:val="List Table 3 - Accent 1"/>
    <w:basedOn w:val="730"/>
    <w:uiPriority w:val="99"/>
    <w:qFormat/>
    <w:pPr>
      <w:spacing w:after="0" w:line="240" w:lineRule="auto"/>
    </w:pPr>
    <w:tblPr/>
  </w:style>
  <w:style w:type="table" w:styleId="906" w:customStyle="1">
    <w:name w:val="List Table 3 - Accent 2"/>
    <w:basedOn w:val="730"/>
    <w:uiPriority w:val="99"/>
    <w:qFormat/>
    <w:pPr>
      <w:spacing w:after="0" w:line="240" w:lineRule="auto"/>
    </w:pPr>
    <w:tblPr/>
  </w:style>
  <w:style w:type="table" w:styleId="907" w:customStyle="1">
    <w:name w:val="List Table 3 - Accent 3"/>
    <w:basedOn w:val="730"/>
    <w:uiPriority w:val="99"/>
    <w:qFormat/>
    <w:pPr>
      <w:spacing w:after="0" w:line="240" w:lineRule="auto"/>
    </w:pPr>
    <w:tblPr/>
  </w:style>
  <w:style w:type="table" w:styleId="908" w:customStyle="1">
    <w:name w:val="List Table 3 - Accent 4"/>
    <w:basedOn w:val="730"/>
    <w:uiPriority w:val="99"/>
    <w:qFormat/>
    <w:pPr>
      <w:spacing w:after="0" w:line="240" w:lineRule="auto"/>
    </w:pPr>
    <w:tblPr/>
  </w:style>
  <w:style w:type="table" w:styleId="909" w:customStyle="1">
    <w:name w:val="List Table 3 - Accent 5"/>
    <w:basedOn w:val="730"/>
    <w:uiPriority w:val="99"/>
    <w:qFormat/>
    <w:pPr>
      <w:spacing w:after="0" w:line="240" w:lineRule="auto"/>
    </w:pPr>
    <w:tblPr/>
  </w:style>
  <w:style w:type="table" w:styleId="910" w:customStyle="1">
    <w:name w:val="List Table 3 - Accent 6"/>
    <w:basedOn w:val="730"/>
    <w:uiPriority w:val="99"/>
    <w:qFormat/>
    <w:pPr>
      <w:spacing w:after="0" w:line="240" w:lineRule="auto"/>
    </w:pPr>
    <w:tblPr/>
  </w:style>
  <w:style w:type="table" w:styleId="911" w:customStyle="1">
    <w:name w:val="List Table 4"/>
    <w:basedOn w:val="730"/>
    <w:uiPriority w:val="99"/>
    <w:qFormat/>
    <w:pPr>
      <w:spacing w:after="0" w:line="240" w:lineRule="auto"/>
    </w:pPr>
    <w:tblPr/>
  </w:style>
  <w:style w:type="table" w:styleId="912" w:customStyle="1">
    <w:name w:val="List Table 4 - Accent 1"/>
    <w:basedOn w:val="730"/>
    <w:uiPriority w:val="99"/>
    <w:qFormat/>
    <w:pPr>
      <w:spacing w:after="0" w:line="240" w:lineRule="auto"/>
    </w:pPr>
    <w:tblPr/>
  </w:style>
  <w:style w:type="table" w:styleId="913" w:customStyle="1">
    <w:name w:val="List Table 4 - Accent 2"/>
    <w:basedOn w:val="730"/>
    <w:uiPriority w:val="99"/>
    <w:qFormat/>
    <w:pPr>
      <w:spacing w:after="0" w:line="240" w:lineRule="auto"/>
    </w:pPr>
    <w:tblPr/>
  </w:style>
  <w:style w:type="table" w:styleId="914" w:customStyle="1">
    <w:name w:val="List Table 4 - Accent 3"/>
    <w:basedOn w:val="730"/>
    <w:uiPriority w:val="99"/>
    <w:qFormat/>
    <w:pPr>
      <w:spacing w:after="0" w:line="240" w:lineRule="auto"/>
    </w:pPr>
    <w:tblPr/>
  </w:style>
  <w:style w:type="table" w:styleId="915" w:customStyle="1">
    <w:name w:val="List Table 4 - Accent 4"/>
    <w:basedOn w:val="730"/>
    <w:uiPriority w:val="99"/>
    <w:qFormat/>
    <w:pPr>
      <w:spacing w:after="0" w:line="240" w:lineRule="auto"/>
    </w:pPr>
    <w:tblPr/>
  </w:style>
  <w:style w:type="table" w:styleId="916" w:customStyle="1">
    <w:name w:val="List Table 4 - Accent 5"/>
    <w:basedOn w:val="730"/>
    <w:uiPriority w:val="99"/>
    <w:qFormat/>
    <w:pPr>
      <w:spacing w:after="0" w:line="240" w:lineRule="auto"/>
    </w:pPr>
    <w:tblPr/>
  </w:style>
  <w:style w:type="table" w:styleId="917" w:customStyle="1">
    <w:name w:val="List Table 4 - Accent 6"/>
    <w:basedOn w:val="730"/>
    <w:uiPriority w:val="99"/>
    <w:qFormat/>
    <w:pPr>
      <w:spacing w:after="0" w:line="240" w:lineRule="auto"/>
    </w:pPr>
    <w:tblPr/>
  </w:style>
  <w:style w:type="table" w:styleId="918" w:customStyle="1">
    <w:name w:val="List Table 5 Dark"/>
    <w:basedOn w:val="730"/>
    <w:uiPriority w:val="99"/>
    <w:qFormat/>
    <w:pPr>
      <w:spacing w:after="0" w:line="240" w:lineRule="auto"/>
    </w:pPr>
    <w:tblPr/>
  </w:style>
  <w:style w:type="table" w:styleId="919" w:customStyle="1">
    <w:name w:val="List Table 5 Dark - Accent 1"/>
    <w:basedOn w:val="730"/>
    <w:uiPriority w:val="99"/>
    <w:qFormat/>
    <w:pPr>
      <w:spacing w:after="0" w:line="240" w:lineRule="auto"/>
    </w:pPr>
    <w:tblPr/>
  </w:style>
  <w:style w:type="table" w:styleId="920" w:customStyle="1">
    <w:name w:val="List Table 5 Dark - Accent 2"/>
    <w:basedOn w:val="730"/>
    <w:uiPriority w:val="99"/>
    <w:qFormat/>
    <w:pPr>
      <w:spacing w:after="0" w:line="240" w:lineRule="auto"/>
    </w:pPr>
    <w:tblPr/>
  </w:style>
  <w:style w:type="table" w:styleId="921" w:customStyle="1">
    <w:name w:val="List Table 5 Dark - Accent 3"/>
    <w:basedOn w:val="730"/>
    <w:uiPriority w:val="99"/>
    <w:qFormat/>
    <w:pPr>
      <w:spacing w:after="0" w:line="240" w:lineRule="auto"/>
    </w:pPr>
    <w:tblPr/>
  </w:style>
  <w:style w:type="table" w:styleId="922" w:customStyle="1">
    <w:name w:val="List Table 5 Dark - Accent 4"/>
    <w:basedOn w:val="730"/>
    <w:uiPriority w:val="99"/>
    <w:qFormat/>
    <w:pPr>
      <w:spacing w:after="0" w:line="240" w:lineRule="auto"/>
    </w:pPr>
    <w:tblPr/>
  </w:style>
  <w:style w:type="table" w:styleId="923" w:customStyle="1">
    <w:name w:val="List Table 5 Dark - Accent 5"/>
    <w:basedOn w:val="730"/>
    <w:uiPriority w:val="99"/>
    <w:qFormat/>
    <w:pPr>
      <w:spacing w:after="0" w:line="240" w:lineRule="auto"/>
    </w:pPr>
    <w:tblPr/>
  </w:style>
  <w:style w:type="table" w:styleId="924" w:customStyle="1">
    <w:name w:val="List Table 5 Dark - Accent 6"/>
    <w:basedOn w:val="730"/>
    <w:uiPriority w:val="99"/>
    <w:qFormat/>
    <w:pPr>
      <w:spacing w:after="0" w:line="240" w:lineRule="auto"/>
    </w:pPr>
    <w:tblPr/>
  </w:style>
  <w:style w:type="table" w:styleId="925" w:customStyle="1">
    <w:name w:val="List Table 6 Colorful"/>
    <w:basedOn w:val="730"/>
    <w:uiPriority w:val="99"/>
    <w:qFormat/>
    <w:pPr>
      <w:spacing w:after="0" w:line="240" w:lineRule="auto"/>
    </w:pPr>
    <w:tblPr/>
  </w:style>
  <w:style w:type="table" w:styleId="926" w:customStyle="1">
    <w:name w:val="List Table 6 Colorful - Accent 1"/>
    <w:basedOn w:val="730"/>
    <w:uiPriority w:val="99"/>
    <w:qFormat/>
    <w:pPr>
      <w:spacing w:after="0" w:line="240" w:lineRule="auto"/>
    </w:pPr>
    <w:tblPr/>
  </w:style>
  <w:style w:type="table" w:styleId="927" w:customStyle="1">
    <w:name w:val="List Table 6 Colorful - Accent 2"/>
    <w:basedOn w:val="730"/>
    <w:uiPriority w:val="99"/>
    <w:qFormat/>
    <w:pPr>
      <w:spacing w:after="0" w:line="240" w:lineRule="auto"/>
    </w:pPr>
    <w:tblPr/>
  </w:style>
  <w:style w:type="table" w:styleId="928" w:customStyle="1">
    <w:name w:val="List Table 6 Colorful - Accent 3"/>
    <w:basedOn w:val="730"/>
    <w:uiPriority w:val="99"/>
    <w:qFormat/>
    <w:pPr>
      <w:spacing w:after="0" w:line="240" w:lineRule="auto"/>
    </w:pPr>
    <w:tblPr/>
  </w:style>
  <w:style w:type="table" w:styleId="929" w:customStyle="1">
    <w:name w:val="List Table 6 Colorful - Accent 4"/>
    <w:basedOn w:val="730"/>
    <w:uiPriority w:val="99"/>
    <w:qFormat/>
    <w:pPr>
      <w:spacing w:after="0" w:line="240" w:lineRule="auto"/>
    </w:pPr>
    <w:tblPr/>
  </w:style>
  <w:style w:type="table" w:styleId="930" w:customStyle="1">
    <w:name w:val="List Table 6 Colorful - Accent 5"/>
    <w:basedOn w:val="730"/>
    <w:uiPriority w:val="99"/>
    <w:qFormat/>
    <w:pPr>
      <w:spacing w:after="0" w:line="240" w:lineRule="auto"/>
    </w:pPr>
    <w:tblPr/>
  </w:style>
  <w:style w:type="table" w:styleId="931" w:customStyle="1">
    <w:name w:val="List Table 6 Colorful - Accent 6"/>
    <w:basedOn w:val="730"/>
    <w:uiPriority w:val="99"/>
    <w:qFormat/>
    <w:pPr>
      <w:spacing w:after="0" w:line="240" w:lineRule="auto"/>
    </w:pPr>
    <w:tblPr/>
  </w:style>
  <w:style w:type="table" w:styleId="932" w:customStyle="1">
    <w:name w:val="List Table 7 Colorful"/>
    <w:basedOn w:val="730"/>
    <w:uiPriority w:val="99"/>
    <w:qFormat/>
    <w:pPr>
      <w:spacing w:after="0" w:line="240" w:lineRule="auto"/>
    </w:pPr>
    <w:tblPr/>
  </w:style>
  <w:style w:type="table" w:styleId="933" w:customStyle="1">
    <w:name w:val="List Table 7 Colorful - Accent 1"/>
    <w:basedOn w:val="730"/>
    <w:uiPriority w:val="99"/>
    <w:qFormat/>
    <w:pPr>
      <w:spacing w:after="0" w:line="240" w:lineRule="auto"/>
    </w:pPr>
    <w:tblPr/>
  </w:style>
  <w:style w:type="table" w:styleId="934" w:customStyle="1">
    <w:name w:val="List Table 7 Colorful - Accent 2"/>
    <w:basedOn w:val="730"/>
    <w:uiPriority w:val="99"/>
    <w:qFormat/>
    <w:pPr>
      <w:spacing w:after="0" w:line="240" w:lineRule="auto"/>
    </w:pPr>
    <w:tblPr/>
  </w:style>
  <w:style w:type="table" w:styleId="935" w:customStyle="1">
    <w:name w:val="List Table 7 Colorful - Accent 3"/>
    <w:basedOn w:val="730"/>
    <w:uiPriority w:val="99"/>
    <w:qFormat/>
    <w:pPr>
      <w:spacing w:after="0" w:line="240" w:lineRule="auto"/>
    </w:pPr>
    <w:tblPr/>
  </w:style>
  <w:style w:type="table" w:styleId="936" w:customStyle="1">
    <w:name w:val="List Table 7 Colorful - Accent 4"/>
    <w:basedOn w:val="730"/>
    <w:uiPriority w:val="99"/>
    <w:qFormat/>
    <w:pPr>
      <w:spacing w:after="0" w:line="240" w:lineRule="auto"/>
    </w:pPr>
    <w:tblPr/>
  </w:style>
  <w:style w:type="table" w:styleId="937" w:customStyle="1">
    <w:name w:val="List Table 7 Colorful - Accent 5"/>
    <w:basedOn w:val="730"/>
    <w:uiPriority w:val="99"/>
    <w:qFormat/>
    <w:pPr>
      <w:spacing w:after="0" w:line="240" w:lineRule="auto"/>
    </w:pPr>
    <w:tblPr/>
  </w:style>
  <w:style w:type="table" w:styleId="938" w:customStyle="1">
    <w:name w:val="List Table 7 Colorful - Accent 6"/>
    <w:basedOn w:val="730"/>
    <w:uiPriority w:val="99"/>
    <w:qFormat/>
    <w:pPr>
      <w:spacing w:after="0" w:line="240" w:lineRule="auto"/>
    </w:pPr>
    <w:tblPr/>
  </w:style>
  <w:style w:type="table" w:styleId="939" w:customStyle="1">
    <w:name w:val="Lined - Accent"/>
    <w:basedOn w:val="730"/>
    <w:uiPriority w:val="99"/>
    <w:qFormat/>
    <w:pPr>
      <w:spacing w:after="0" w:line="240" w:lineRule="auto"/>
    </w:pPr>
    <w:rPr>
      <w:color w:val="404040"/>
    </w:rPr>
    <w:tblPr/>
  </w:style>
  <w:style w:type="table" w:styleId="940" w:customStyle="1">
    <w:name w:val="Lined - Accent 1"/>
    <w:basedOn w:val="730"/>
    <w:uiPriority w:val="99"/>
    <w:qFormat/>
    <w:pPr>
      <w:spacing w:after="0" w:line="240" w:lineRule="auto"/>
    </w:pPr>
    <w:rPr>
      <w:color w:val="404040"/>
    </w:rPr>
    <w:tblPr/>
  </w:style>
  <w:style w:type="table" w:styleId="941" w:customStyle="1">
    <w:name w:val="Lined - Accent 2"/>
    <w:basedOn w:val="730"/>
    <w:uiPriority w:val="99"/>
    <w:qFormat/>
    <w:pPr>
      <w:spacing w:after="0" w:line="240" w:lineRule="auto"/>
    </w:pPr>
    <w:rPr>
      <w:color w:val="404040"/>
    </w:rPr>
    <w:tblPr/>
  </w:style>
  <w:style w:type="table" w:styleId="942" w:customStyle="1">
    <w:name w:val="Lined - Accent 3"/>
    <w:basedOn w:val="730"/>
    <w:uiPriority w:val="99"/>
    <w:qFormat/>
    <w:pPr>
      <w:spacing w:after="0" w:line="240" w:lineRule="auto"/>
    </w:pPr>
    <w:rPr>
      <w:color w:val="404040"/>
    </w:rPr>
    <w:tblPr/>
  </w:style>
  <w:style w:type="table" w:styleId="943" w:customStyle="1">
    <w:name w:val="Lined - Accent 4"/>
    <w:basedOn w:val="730"/>
    <w:uiPriority w:val="99"/>
    <w:qFormat/>
    <w:pPr>
      <w:spacing w:after="0" w:line="240" w:lineRule="auto"/>
    </w:pPr>
    <w:rPr>
      <w:color w:val="404040"/>
    </w:rPr>
    <w:tblPr/>
  </w:style>
  <w:style w:type="table" w:styleId="944" w:customStyle="1">
    <w:name w:val="Lined - Accent 5"/>
    <w:basedOn w:val="730"/>
    <w:uiPriority w:val="99"/>
    <w:qFormat/>
    <w:pPr>
      <w:spacing w:after="0" w:line="240" w:lineRule="auto"/>
    </w:pPr>
    <w:rPr>
      <w:color w:val="404040"/>
    </w:rPr>
    <w:tblPr/>
  </w:style>
  <w:style w:type="table" w:styleId="945" w:customStyle="1">
    <w:name w:val="Lined - Accent 6"/>
    <w:basedOn w:val="730"/>
    <w:uiPriority w:val="99"/>
    <w:qFormat/>
    <w:pPr>
      <w:spacing w:after="0" w:line="240" w:lineRule="auto"/>
    </w:pPr>
    <w:rPr>
      <w:color w:val="404040"/>
    </w:rPr>
    <w:tblPr/>
  </w:style>
  <w:style w:type="table" w:styleId="946" w:customStyle="1">
    <w:name w:val="Bordered &amp; Lined - Accent"/>
    <w:basedOn w:val="730"/>
    <w:uiPriority w:val="99"/>
    <w:qFormat/>
    <w:pPr>
      <w:spacing w:after="0" w:line="240" w:lineRule="auto"/>
    </w:pPr>
    <w:rPr>
      <w:color w:val="404040"/>
    </w:rPr>
    <w:tblPr/>
  </w:style>
  <w:style w:type="table" w:styleId="947" w:customStyle="1">
    <w:name w:val="Bordered &amp; Lined - Accent 1"/>
    <w:basedOn w:val="730"/>
    <w:uiPriority w:val="99"/>
    <w:qFormat/>
    <w:pPr>
      <w:spacing w:after="0" w:line="240" w:lineRule="auto"/>
    </w:pPr>
    <w:rPr>
      <w:color w:val="404040"/>
    </w:rPr>
    <w:tblPr/>
  </w:style>
  <w:style w:type="table" w:styleId="948" w:customStyle="1">
    <w:name w:val="Bordered &amp; Lined - Accent 2"/>
    <w:basedOn w:val="730"/>
    <w:uiPriority w:val="99"/>
    <w:qFormat/>
    <w:pPr>
      <w:spacing w:after="0" w:line="240" w:lineRule="auto"/>
    </w:pPr>
    <w:rPr>
      <w:color w:val="404040"/>
    </w:rPr>
    <w:tblPr/>
  </w:style>
  <w:style w:type="table" w:styleId="949" w:customStyle="1">
    <w:name w:val="Bordered &amp; Lined - Accent 3"/>
    <w:basedOn w:val="730"/>
    <w:uiPriority w:val="99"/>
    <w:qFormat/>
    <w:pPr>
      <w:spacing w:after="0" w:line="240" w:lineRule="auto"/>
    </w:pPr>
    <w:rPr>
      <w:color w:val="404040"/>
    </w:rPr>
    <w:tblPr/>
  </w:style>
  <w:style w:type="table" w:styleId="950" w:customStyle="1">
    <w:name w:val="Bordered &amp; Lined - Accent 4"/>
    <w:basedOn w:val="730"/>
    <w:uiPriority w:val="99"/>
    <w:qFormat/>
    <w:pPr>
      <w:spacing w:after="0" w:line="240" w:lineRule="auto"/>
    </w:pPr>
    <w:rPr>
      <w:color w:val="404040"/>
    </w:rPr>
    <w:tblPr/>
  </w:style>
  <w:style w:type="table" w:styleId="951" w:customStyle="1">
    <w:name w:val="Bordered &amp; Lined - Accent 5"/>
    <w:basedOn w:val="730"/>
    <w:uiPriority w:val="99"/>
    <w:qFormat/>
    <w:pPr>
      <w:spacing w:after="0" w:line="240" w:lineRule="auto"/>
    </w:pPr>
    <w:rPr>
      <w:color w:val="404040"/>
    </w:rPr>
    <w:tblPr/>
  </w:style>
  <w:style w:type="table" w:styleId="952" w:customStyle="1">
    <w:name w:val="Bordered &amp; Lined - Accent 6"/>
    <w:basedOn w:val="730"/>
    <w:uiPriority w:val="99"/>
    <w:qFormat/>
    <w:pPr>
      <w:spacing w:after="0" w:line="240" w:lineRule="auto"/>
    </w:pPr>
    <w:rPr>
      <w:color w:val="404040"/>
    </w:rPr>
    <w:tblPr/>
  </w:style>
  <w:style w:type="table" w:styleId="953" w:customStyle="1">
    <w:name w:val="Bordered"/>
    <w:basedOn w:val="730"/>
    <w:uiPriority w:val="99"/>
    <w:qFormat/>
    <w:pPr>
      <w:spacing w:after="0" w:line="240" w:lineRule="auto"/>
    </w:pPr>
    <w:tblPr/>
  </w:style>
  <w:style w:type="table" w:styleId="954" w:customStyle="1">
    <w:name w:val="Bordered - Accent 1"/>
    <w:basedOn w:val="730"/>
    <w:uiPriority w:val="99"/>
    <w:qFormat/>
    <w:pPr>
      <w:spacing w:after="0" w:line="240" w:lineRule="auto"/>
    </w:pPr>
    <w:tblPr/>
  </w:style>
  <w:style w:type="table" w:styleId="955" w:customStyle="1">
    <w:name w:val="Bordered - Accent 2"/>
    <w:basedOn w:val="730"/>
    <w:uiPriority w:val="99"/>
    <w:qFormat/>
    <w:pPr>
      <w:spacing w:after="0" w:line="240" w:lineRule="auto"/>
    </w:pPr>
    <w:tblPr/>
  </w:style>
  <w:style w:type="table" w:styleId="956" w:customStyle="1">
    <w:name w:val="Bordered - Accent 3"/>
    <w:basedOn w:val="730"/>
    <w:uiPriority w:val="99"/>
    <w:qFormat/>
    <w:pPr>
      <w:spacing w:after="0" w:line="240" w:lineRule="auto"/>
    </w:pPr>
    <w:tblPr/>
  </w:style>
  <w:style w:type="table" w:styleId="957" w:customStyle="1">
    <w:name w:val="Bordered - Accent 4"/>
    <w:basedOn w:val="730"/>
    <w:uiPriority w:val="99"/>
    <w:qFormat/>
    <w:pPr>
      <w:spacing w:after="0" w:line="240" w:lineRule="auto"/>
    </w:pPr>
    <w:tblPr/>
  </w:style>
  <w:style w:type="table" w:styleId="958" w:customStyle="1">
    <w:name w:val="Bordered - Accent 5"/>
    <w:basedOn w:val="730"/>
    <w:uiPriority w:val="99"/>
    <w:qFormat/>
    <w:pPr>
      <w:spacing w:after="0" w:line="240" w:lineRule="auto"/>
    </w:pPr>
    <w:tblPr/>
  </w:style>
  <w:style w:type="table" w:styleId="959" w:customStyle="1">
    <w:name w:val="Bordered - Accent 6"/>
    <w:basedOn w:val="730"/>
    <w:uiPriority w:val="99"/>
    <w:qFormat/>
    <w:pPr>
      <w:spacing w:after="0" w:line="240" w:lineRule="auto"/>
    </w:pPr>
    <w:tblPr/>
  </w:style>
  <w:style w:type="character" w:styleId="960" w:customStyle="1">
    <w:name w:val="Footnote Text Char"/>
    <w:link w:val="678"/>
    <w:uiPriority w:val="99"/>
    <w:qFormat/>
    <w:rPr>
      <w:sz w:val="18"/>
    </w:rPr>
  </w:style>
  <w:style w:type="character" w:styleId="961" w:customStyle="1">
    <w:name w:val="Endnote Text Char"/>
    <w:link w:val="678"/>
    <w:uiPriority w:val="99"/>
    <w:qFormat/>
    <w:rPr>
      <w:sz w:val="20"/>
    </w:rPr>
  </w:style>
  <w:style w:type="paragraph" w:styleId="962" w:customStyle="1">
    <w:name w:val="TOC Heading"/>
    <w:uiPriority w:val="39"/>
    <w:unhideWhenUsed/>
    <w:qFormat/>
    <w:rPr>
      <w:rFonts w:hint="default" w:ascii="Times New Roman" w:hAnsi="Times New Roman" w:eastAsia="宋体" w:cs="Times New Roman"/>
      <w:lang w:val="en-US" w:eastAsia="zh-CN" w:bidi="ar-SA"/>
    </w:rPr>
  </w:style>
  <w:style w:type="character" w:styleId="963" w:customStyle="1">
    <w:name w:val="标题 1 字符"/>
    <w:link w:val="964"/>
    <w:uiPriority w:val="0"/>
    <w:qFormat/>
    <w:rPr>
      <w:b/>
      <w:bCs/>
      <w:sz w:val="32"/>
      <w:szCs w:val="44"/>
    </w:rPr>
  </w:style>
  <w:style w:type="paragraph" w:styleId="964" w:customStyle="1">
    <w:name w:val="标题 11"/>
    <w:basedOn w:val="678"/>
    <w:next w:val="678"/>
    <w:link w:val="963"/>
    <w:uiPriority w:val="0"/>
    <w:qFormat/>
    <w:pPr>
      <w:keepLines/>
      <w:keepNext/>
      <w:spacing w:before="340" w:after="330" w:line="578" w:lineRule="auto"/>
      <w:outlineLvl w:val="0"/>
    </w:pPr>
    <w:rPr>
      <w:b/>
      <w:bCs/>
      <w:sz w:val="32"/>
      <w:szCs w:val="44"/>
    </w:rPr>
  </w:style>
  <w:style w:type="character" w:styleId="965" w:customStyle="1">
    <w:name w:val="111111 Char"/>
    <w:link w:val="966"/>
    <w:uiPriority w:val="0"/>
    <w:qFormat/>
    <w:rPr>
      <w:rFonts w:ascii="宋体" w:hAnsi="宋体" w:eastAsia="黑体" w:cs="宋体"/>
      <w:b/>
      <w:bCs/>
      <w:sz w:val="21"/>
      <w:szCs w:val="21"/>
      <w:lang w:val="en-US" w:eastAsia="zh-CN" w:bidi="ar-SA"/>
    </w:rPr>
  </w:style>
  <w:style w:type="paragraph" w:styleId="966" w:customStyle="1">
    <w:name w:val="111111"/>
    <w:basedOn w:val="678"/>
    <w:link w:val="965"/>
    <w:uiPriority w:val="0"/>
    <w:qFormat/>
    <w:pPr>
      <w:jc w:val="center"/>
      <w:spacing w:before="120" w:after="120"/>
    </w:pPr>
    <w:rPr>
      <w:rFonts w:ascii="宋体" w:hAnsi="宋体" w:eastAsia="黑体" w:cs="宋体"/>
      <w:b/>
      <w:bCs/>
      <w:szCs w:val="21"/>
    </w:rPr>
  </w:style>
  <w:style w:type="character" w:styleId="967" w:customStyle="1">
    <w:name w:val="样式 非加粗"/>
    <w:link w:val="678"/>
    <w:uiPriority w:val="0"/>
    <w:qFormat/>
    <w:rPr>
      <w:rFonts w:eastAsia="宋体"/>
      <w:sz w:val="28"/>
    </w:rPr>
  </w:style>
  <w:style w:type="character" w:styleId="968" w:customStyle="1">
    <w:name w:val="引用 字符"/>
    <w:link w:val="969"/>
    <w:uiPriority w:val="0"/>
    <w:qFormat/>
    <w:rPr>
      <w:rFonts w:ascii="Calibri" w:hAnsi="Calibri" w:eastAsia="宋体"/>
      <w:i/>
      <w:iCs/>
      <w:sz w:val="22"/>
      <w:szCs w:val="22"/>
      <w:lang w:val="en-US" w:eastAsia="en-US" w:bidi="en-US"/>
    </w:rPr>
  </w:style>
  <w:style w:type="paragraph" w:styleId="969" w:customStyle="1">
    <w:name w:val="引用"/>
    <w:basedOn w:val="678"/>
    <w:next w:val="678"/>
    <w:link w:val="968"/>
    <w:uiPriority w:val="0"/>
    <w:qFormat/>
    <w:pPr>
      <w:ind w:left="360" w:right="360"/>
      <w:jc w:val="left"/>
      <w:spacing w:before="200" w:line="276" w:lineRule="auto"/>
      <w:widowControl/>
    </w:pPr>
    <w:rPr>
      <w:rFonts w:ascii="Calibri" w:hAnsi="Calibri"/>
      <w:i/>
      <w:iCs/>
      <w:sz w:val="22"/>
      <w:szCs w:val="22"/>
      <w:lang w:eastAsia="en-US" w:bidi="en-US"/>
    </w:rPr>
  </w:style>
  <w:style w:type="character" w:styleId="970" w:customStyle="1">
    <w:name w:val="case31"/>
    <w:link w:val="678"/>
    <w:uiPriority w:val="0"/>
    <w:qFormat/>
    <w:rPr>
      <w:sz w:val="21"/>
      <w:szCs w:val="21"/>
    </w:rPr>
  </w:style>
  <w:style w:type="character" w:styleId="971" w:customStyle="1">
    <w:name w:val="小四 段落 宋体 Char Char Char Char Char Char"/>
    <w:link w:val="678"/>
    <w:uiPriority w:val="0"/>
    <w:qFormat/>
    <w:rPr>
      <w:rFonts w:eastAsia="宋体"/>
      <w:sz w:val="24"/>
      <w:szCs w:val="24"/>
      <w:lang w:val="en-US" w:eastAsia="zh-CN" w:bidi="ar-SA"/>
    </w:rPr>
  </w:style>
  <w:style w:type="character" w:styleId="972" w:customStyle="1">
    <w:name w:val="华宇段落1 Char Char"/>
    <w:link w:val="678"/>
    <w:uiPriority w:val="0"/>
    <w:qFormat/>
    <w:rPr>
      <w:rFonts w:eastAsia="宋体"/>
      <w:bCs/>
      <w:sz w:val="24"/>
      <w:szCs w:val="24"/>
      <w:lang w:val="en-US" w:eastAsia="zh-CN" w:bidi="ar-SA"/>
    </w:rPr>
  </w:style>
  <w:style w:type="character" w:styleId="973" w:customStyle="1">
    <w:name w:val="Char Char24"/>
    <w:link w:val="678"/>
    <w:uiPriority w:val="0"/>
    <w:qFormat/>
    <w:rPr>
      <w:b/>
      <w:bCs/>
      <w:sz w:val="28"/>
      <w:szCs w:val="28"/>
    </w:rPr>
  </w:style>
  <w:style w:type="character" w:styleId="974" w:customStyle="1">
    <w:name w:val="para_small"/>
    <w:link w:val="678"/>
    <w:uiPriority w:val="0"/>
    <w:qFormat/>
  </w:style>
  <w:style w:type="character" w:styleId="975" w:customStyle="1">
    <w:name w:val="listbenefit"/>
    <w:link w:val="678"/>
    <w:uiPriority w:val="0"/>
    <w:qFormat/>
  </w:style>
  <w:style w:type="character" w:styleId="976" w:customStyle="1">
    <w:name w:val="小四 段落 宋体 Char Char Char Char1"/>
    <w:link w:val="678"/>
    <w:uiPriority w:val="0"/>
    <w:qFormat/>
    <w:rPr>
      <w:rFonts w:eastAsia="宋体"/>
      <w:sz w:val="24"/>
      <w:szCs w:val="24"/>
      <w:lang w:val="en-US" w:eastAsia="zh-CN" w:bidi="ar-SA"/>
    </w:rPr>
  </w:style>
  <w:style w:type="character" w:styleId="977" w:customStyle="1">
    <w:name w:val="textcontents"/>
    <w:link w:val="678"/>
    <w:uiPriority w:val="0"/>
    <w:qFormat/>
  </w:style>
  <w:style w:type="character" w:styleId="978" w:customStyle="1">
    <w:name w:val="Char Char25"/>
    <w:link w:val="678"/>
    <w:uiPriority w:val="0"/>
    <w:qFormat/>
    <w:rPr>
      <w:rFonts w:ascii="Arial" w:hAnsi="Arial" w:eastAsia="黑体"/>
      <w:b/>
      <w:sz w:val="28"/>
    </w:rPr>
  </w:style>
  <w:style w:type="character" w:styleId="979" w:customStyle="1">
    <w:name w:val="param-value"/>
    <w:link w:val="678"/>
    <w:uiPriority w:val="0"/>
    <w:qFormat/>
  </w:style>
  <w:style w:type="character" w:styleId="980" w:customStyle="1">
    <w:name w:val="Book Title"/>
    <w:link w:val="678"/>
    <w:uiPriority w:val="0"/>
    <w:qFormat/>
    <w:rPr>
      <w:i/>
      <w:iCs/>
      <w:smallCaps/>
      <w:spacing w:val="5"/>
    </w:rPr>
  </w:style>
  <w:style w:type="character" w:styleId="981" w:customStyle="1">
    <w:name w:val="已访问的超链接1"/>
    <w:link w:val="678"/>
    <w:uiPriority w:val="0"/>
    <w:qFormat/>
    <w:rPr>
      <w:color w:val="000000"/>
      <w:u w:val="none"/>
    </w:rPr>
  </w:style>
  <w:style w:type="character" w:styleId="982" w:customStyle="1">
    <w:name w:val="Subtle Reference"/>
    <w:link w:val="678"/>
    <w:uiPriority w:val="0"/>
    <w:qFormat/>
    <w:rPr>
      <w:smallCaps/>
    </w:rPr>
  </w:style>
  <w:style w:type="character" w:styleId="983" w:customStyle="1">
    <w:name w:val="华宇段落1 Char Char Char"/>
    <w:link w:val="678"/>
    <w:uiPriority w:val="0"/>
    <w:qFormat/>
    <w:rPr>
      <w:rFonts w:eastAsia="宋体"/>
      <w:bCs/>
      <w:sz w:val="24"/>
      <w:szCs w:val="24"/>
      <w:lang w:val="en-US" w:eastAsia="zh-CN" w:bidi="ar-SA"/>
    </w:rPr>
  </w:style>
  <w:style w:type="character" w:styleId="984" w:customStyle="1">
    <w:name w:val="标题 3 Char"/>
    <w:link w:val="678"/>
    <w:uiPriority w:val="0"/>
    <w:qFormat/>
    <w:rPr>
      <w:rFonts w:ascii="宋体" w:hAnsi="宋体" w:eastAsia="宋体"/>
      <w:b/>
      <w:bCs/>
      <w:sz w:val="24"/>
      <w:szCs w:val="32"/>
      <w:lang w:val="en-US" w:eastAsia="zh-CN" w:bidi="ar-SA"/>
    </w:rPr>
  </w:style>
  <w:style w:type="character" w:styleId="985" w:customStyle="1">
    <w:name w:val="style13"/>
    <w:link w:val="678"/>
    <w:uiPriority w:val="0"/>
    <w:qFormat/>
    <w:rPr>
      <w:sz w:val="18"/>
      <w:szCs w:val="18"/>
    </w:rPr>
  </w:style>
  <w:style w:type="character" w:styleId="986" w:customStyle="1">
    <w:name w:val="Char Char27"/>
    <w:link w:val="678"/>
    <w:uiPriority w:val="0"/>
    <w:qFormat/>
    <w:rPr>
      <w:b/>
      <w:bCs/>
      <w:sz w:val="44"/>
      <w:szCs w:val="44"/>
    </w:rPr>
  </w:style>
  <w:style w:type="character" w:styleId="987" w:customStyle="1">
    <w:name w:val="Char Char28"/>
    <w:link w:val="678"/>
    <w:uiPriority w:val="0"/>
    <w:qFormat/>
    <w:rPr>
      <w:rFonts w:ascii="Arial" w:hAnsi="Arial" w:eastAsia="黑体" w:cs="Arial"/>
      <w:b/>
      <w:bCs/>
      <w:sz w:val="32"/>
      <w:szCs w:val="32"/>
    </w:rPr>
  </w:style>
  <w:style w:type="character" w:styleId="988" w:customStyle="1">
    <w:name w:val="style131"/>
    <w:link w:val="678"/>
    <w:uiPriority w:val="0"/>
    <w:qFormat/>
    <w:rPr>
      <w:rFonts w:cs="Times New Roman"/>
      <w:sz w:val="18"/>
      <w:szCs w:val="18"/>
    </w:rPr>
  </w:style>
  <w:style w:type="character" w:styleId="989" w:customStyle="1">
    <w:name w:val="concon"/>
    <w:link w:val="678"/>
    <w:uiPriority w:val="0"/>
    <w:qFormat/>
  </w:style>
  <w:style w:type="character" w:styleId="990" w:customStyle="1">
    <w:name w:val="subtitle1"/>
    <w:link w:val="678"/>
    <w:uiPriority w:val="0"/>
    <w:qFormat/>
    <w:rPr>
      <w:rFonts w:ascii="Georgia" w:hAnsi="Georgia"/>
      <w:b/>
      <w:bCs/>
      <w:color w:val="666666"/>
      <w:sz w:val="18"/>
      <w:szCs w:val="18"/>
    </w:rPr>
  </w:style>
  <w:style w:type="character" w:styleId="99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678"/>
    <w:uiPriority w:val="0"/>
    <w:qFormat/>
    <w:rPr>
      <w:rFonts w:eastAsia="宋体"/>
      <w:b/>
      <w:bCs/>
      <w:sz w:val="32"/>
      <w:szCs w:val="32"/>
      <w:lang w:val="en-US" w:eastAsia="zh-CN" w:bidi="ar-SA"/>
    </w:rPr>
  </w:style>
  <w:style w:type="character" w:styleId="992" w:customStyle="1">
    <w:name w:val="纯文本 Char1"/>
    <w:link w:val="678"/>
    <w:uiPriority w:val="0"/>
    <w:qFormat/>
    <w:rPr>
      <w:rFonts w:ascii="宋体" w:hAnsi="Courier New" w:cs="Courier New"/>
      <w:sz w:val="21"/>
      <w:szCs w:val="21"/>
    </w:rPr>
  </w:style>
  <w:style w:type="character" w:styleId="993" w:customStyle="1">
    <w:name w:val="小四 段落 宋体 Char Char Char Char Char"/>
    <w:link w:val="678"/>
    <w:uiPriority w:val="0"/>
    <w:qFormat/>
    <w:rPr>
      <w:rFonts w:eastAsia="宋体"/>
      <w:sz w:val="24"/>
      <w:szCs w:val="24"/>
      <w:lang w:val="en-US" w:eastAsia="zh-CN" w:bidi="ar-SA"/>
    </w:rPr>
  </w:style>
  <w:style w:type="character" w:styleId="994" w:customStyle="1">
    <w:name w:val="明显引用 字符"/>
    <w:link w:val="995"/>
    <w:uiPriority w:val="0"/>
    <w:qFormat/>
    <w:rPr>
      <w:rFonts w:ascii="Calibri" w:hAnsi="Calibri" w:eastAsia="宋体"/>
      <w:b/>
      <w:bCs/>
      <w:i/>
      <w:iCs/>
      <w:sz w:val="22"/>
      <w:szCs w:val="22"/>
      <w:lang w:val="en-US" w:eastAsia="en-US" w:bidi="en-US"/>
    </w:rPr>
  </w:style>
  <w:style w:type="paragraph" w:styleId="995" w:customStyle="1">
    <w:name w:val="明显引用"/>
    <w:basedOn w:val="678"/>
    <w:next w:val="678"/>
    <w:link w:val="994"/>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96" w:customStyle="1">
    <w:name w:val="t1"/>
    <w:link w:val="678"/>
    <w:uiPriority w:val="0"/>
    <w:qFormat/>
  </w:style>
  <w:style w:type="character" w:styleId="997" w:customStyle="1">
    <w:name w:val="Title1 Char"/>
    <w:link w:val="678"/>
    <w:uiPriority w:val="0"/>
    <w:qFormat/>
    <w:rPr>
      <w:rFonts w:eastAsia="宋体"/>
      <w:b/>
      <w:bCs/>
      <w:sz w:val="44"/>
      <w:szCs w:val="44"/>
      <w:lang w:val="en-US" w:eastAsia="zh-CN" w:bidi="ar-SA"/>
    </w:rPr>
  </w:style>
  <w:style w:type="character" w:styleId="998" w:customStyle="1">
    <w:name w:val="2nd level Char"/>
    <w:link w:val="678"/>
    <w:uiPriority w:val="0"/>
    <w:qFormat/>
    <w:rPr>
      <w:rFonts w:ascii="Arial" w:hAnsi="Arial" w:eastAsia="黑体"/>
      <w:b/>
      <w:bCs/>
      <w:sz w:val="32"/>
      <w:szCs w:val="32"/>
      <w:lang w:val="en-US" w:eastAsia="zh-CN" w:bidi="ar-SA"/>
    </w:rPr>
  </w:style>
  <w:style w:type="character" w:styleId="999" w:customStyle="1">
    <w:name w:val="彩色列表 - 强调文字颜色 1 Char"/>
    <w:link w:val="1000"/>
    <w:uiPriority w:val="0"/>
    <w:qFormat/>
    <w:rPr>
      <w:rFonts w:ascii="Calibri" w:hAnsi="Calibri"/>
      <w:sz w:val="21"/>
      <w:szCs w:val="22"/>
    </w:rPr>
  </w:style>
  <w:style w:type="paragraph" w:styleId="1000" w:customStyle="1">
    <w:name w:val="彩色列表 - 强调文字颜色 11"/>
    <w:basedOn w:val="678"/>
    <w:link w:val="999"/>
    <w:uiPriority w:val="0"/>
    <w:qFormat/>
    <w:pPr>
      <w:ind w:firstLine="420"/>
    </w:pPr>
    <w:rPr>
      <w:rFonts w:ascii="Calibri" w:hAnsi="Calibri"/>
      <w:szCs w:val="22"/>
    </w:rPr>
  </w:style>
  <w:style w:type="character" w:styleId="1001" w:customStyle="1">
    <w:name w:val="ih151"/>
    <w:link w:val="678"/>
    <w:uiPriority w:val="0"/>
    <w:qFormat/>
    <w:rPr>
      <w:color w:val="666666"/>
      <w:sz w:val="18"/>
      <w:szCs w:val="18"/>
      <w:u w:val="none"/>
    </w:rPr>
  </w:style>
  <w:style w:type="character" w:styleId="1002" w:customStyle="1">
    <w:name w:val="Char Char26"/>
    <w:link w:val="678"/>
    <w:uiPriority w:val="0"/>
    <w:qFormat/>
    <w:rPr>
      <w:b/>
      <w:bCs/>
      <w:sz w:val="32"/>
      <w:szCs w:val="32"/>
    </w:rPr>
  </w:style>
  <w:style w:type="character" w:styleId="1003" w:customStyle="1">
    <w:name w:val="标题 Char1"/>
    <w:link w:val="678"/>
    <w:uiPriority w:val="0"/>
    <w:qFormat/>
    <w:rPr>
      <w:rFonts w:ascii="Cambria" w:eastAsia="宋体" w:cs="Times New Roman"/>
      <w:b/>
      <w:bCs/>
      <w:sz w:val="32"/>
      <w:szCs w:val="32"/>
    </w:rPr>
  </w:style>
  <w:style w:type="character" w:styleId="1004" w:customStyle="1">
    <w:name w:val="纯文本 Char Char"/>
    <w:link w:val="678"/>
    <w:uiPriority w:val="0"/>
    <w:qFormat/>
    <w:rPr>
      <w:rFonts w:ascii="宋体" w:hAnsi="Courier New" w:eastAsia="宋体"/>
      <w:sz w:val="21"/>
      <w:szCs w:val="21"/>
      <w:lang w:val="en-US" w:eastAsia="zh-CN" w:bidi="ar-SA"/>
    </w:rPr>
  </w:style>
  <w:style w:type="character" w:styleId="1005" w:customStyle="1">
    <w:name w:val="Char Char2"/>
    <w:link w:val="678"/>
    <w:uiPriority w:val="0"/>
    <w:qFormat/>
    <w:rPr>
      <w:rFonts w:ascii="宋体" w:hAnsi="Courier New" w:eastAsia="宋体"/>
      <w:sz w:val="21"/>
      <w:szCs w:val="21"/>
      <w:lang w:val="en-US" w:eastAsia="zh-CN" w:bidi="ar-SA"/>
    </w:rPr>
  </w:style>
  <w:style w:type="character" w:styleId="1006" w:customStyle="1">
    <w:name w:val="Char Char23"/>
    <w:link w:val="678"/>
    <w:uiPriority w:val="0"/>
    <w:qFormat/>
    <w:rPr>
      <w:rFonts w:ascii="Arial" w:hAnsi="Arial" w:eastAsia="黑体"/>
      <w:b/>
      <w:bCs/>
      <w:sz w:val="24"/>
      <w:szCs w:val="24"/>
    </w:rPr>
  </w:style>
  <w:style w:type="character" w:styleId="1007" w:customStyle="1">
    <w:name w:val="表格抬头 Char"/>
    <w:link w:val="1008"/>
    <w:uiPriority w:val="0"/>
    <w:qFormat/>
    <w:rPr>
      <w:rFonts w:ascii="黑体" w:eastAsia="黑体"/>
      <w:b/>
      <w:sz w:val="21"/>
      <w:lang w:bidi="ar-SA"/>
    </w:rPr>
  </w:style>
  <w:style w:type="paragraph" w:styleId="1008" w:customStyle="1">
    <w:name w:val="表格抬头"/>
    <w:basedOn w:val="678"/>
    <w:link w:val="1007"/>
    <w:uiPriority w:val="0"/>
    <w:qFormat/>
    <w:pPr>
      <w:jc w:val="center"/>
    </w:pPr>
    <w:rPr>
      <w:rFonts w:ascii="黑体" w:eastAsia="黑体"/>
      <w:b/>
    </w:rPr>
  </w:style>
  <w:style w:type="character" w:styleId="1009" w:customStyle="1">
    <w:name w:val="样式 首行缩进:  2 字符 Char Char"/>
    <w:link w:val="1010"/>
    <w:uiPriority w:val="0"/>
    <w:qFormat/>
    <w:rPr>
      <w:rFonts w:eastAsia="宋体" w:cs="宋体"/>
      <w:sz w:val="24"/>
      <w:lang w:val="en-US" w:eastAsia="zh-CN" w:bidi="ar-SA"/>
    </w:rPr>
  </w:style>
  <w:style w:type="paragraph" w:styleId="1010" w:customStyle="1">
    <w:name w:val="样式 首行缩进:  2 字符"/>
    <w:basedOn w:val="678"/>
    <w:link w:val="1009"/>
    <w:uiPriority w:val="0"/>
    <w:qFormat/>
    <w:pPr>
      <w:ind w:firstLine="480"/>
      <w:spacing w:line="360" w:lineRule="auto"/>
    </w:pPr>
    <w:rPr>
      <w:rFonts w:cs="宋体"/>
      <w:sz w:val="24"/>
    </w:rPr>
  </w:style>
  <w:style w:type="character" w:styleId="1011" w:customStyle="1">
    <w:name w:val="apple-converted-space"/>
    <w:link w:val="678"/>
    <w:uiPriority w:val="0"/>
    <w:qFormat/>
  </w:style>
  <w:style w:type="character" w:styleId="1012" w:customStyle="1">
    <w:name w:val="A2"/>
    <w:link w:val="678"/>
    <w:uiPriority w:val="0"/>
    <w:qFormat/>
    <w:rPr>
      <w:rFonts w:cs="Helvetica LT Pro"/>
      <w:color w:val="000000"/>
      <w:sz w:val="18"/>
      <w:szCs w:val="18"/>
    </w:rPr>
  </w:style>
  <w:style w:type="character" w:styleId="1013" w:customStyle="1">
    <w:name w:val="h Char Char"/>
    <w:link w:val="678"/>
    <w:uiPriority w:val="0"/>
    <w:qFormat/>
    <w:rPr>
      <w:rFonts w:eastAsia="宋体"/>
      <w:sz w:val="18"/>
      <w:szCs w:val="18"/>
      <w:lang w:val="en-US" w:eastAsia="zh-CN" w:bidi="ar-SA"/>
    </w:rPr>
  </w:style>
  <w:style w:type="character" w:styleId="1014" w:customStyle="1">
    <w:name w:val="小四 段落 宋体 Char Char Char1"/>
    <w:link w:val="678"/>
    <w:uiPriority w:val="0"/>
    <w:qFormat/>
    <w:rPr>
      <w:rFonts w:ascii="宋体" w:hAnsi="宋体" w:eastAsia="宋体"/>
      <w:sz w:val="24"/>
      <w:szCs w:val="24"/>
      <w:lang w:val="en-US" w:eastAsia="zh-CN" w:bidi="ar-SA"/>
    </w:rPr>
  </w:style>
  <w:style w:type="character" w:styleId="1015" w:customStyle="1">
    <w:name w:val="标准小四 Char Char"/>
    <w:link w:val="678"/>
    <w:uiPriority w:val="0"/>
    <w:qFormat/>
    <w:rPr>
      <w:rFonts w:ascii="Arial" w:hAnsi="Arial" w:eastAsia="宋体"/>
      <w:sz w:val="24"/>
      <w:szCs w:val="21"/>
      <w:lang w:val="en-US" w:eastAsia="zh-CN" w:bidi="ar-SA"/>
    </w:rPr>
  </w:style>
  <w:style w:type="character" w:styleId="1016" w:customStyle="1">
    <w:name w:val="标准小四 Char"/>
    <w:link w:val="678"/>
    <w:uiPriority w:val="0"/>
    <w:qFormat/>
    <w:rPr>
      <w:rFonts w:ascii="Arial" w:hAnsi="Arial" w:eastAsia="宋体"/>
      <w:sz w:val="24"/>
      <w:szCs w:val="21"/>
      <w:lang w:val="en-US" w:eastAsia="zh-CN" w:bidi="ar-SA"/>
    </w:rPr>
  </w:style>
  <w:style w:type="character" w:styleId="1017" w:customStyle="1">
    <w:name w:val="point_normal1"/>
    <w:link w:val="678"/>
    <w:uiPriority w:val="0"/>
    <w:qFormat/>
    <w:rPr>
      <w:rFonts w:ascii="Arial" w:hAnsi="Arial" w:cs="Arial"/>
      <w:sz w:val="18"/>
      <w:szCs w:val="18"/>
    </w:rPr>
  </w:style>
  <w:style w:type="character" w:styleId="1018" w:customStyle="1">
    <w:name w:val="Char Char21"/>
    <w:link w:val="678"/>
    <w:uiPriority w:val="0"/>
    <w:qFormat/>
    <w:rPr>
      <w:rFonts w:ascii="Arial" w:hAnsi="Arial" w:eastAsia="黑体"/>
      <w:sz w:val="24"/>
      <w:szCs w:val="24"/>
    </w:rPr>
  </w:style>
  <w:style w:type="character" w:styleId="1019" w:customStyle="1">
    <w:name w:val="content_lineheight1"/>
    <w:link w:val="678"/>
    <w:uiPriority w:val="0"/>
    <w:qFormat/>
  </w:style>
  <w:style w:type="character" w:styleId="1020" w:customStyle="1">
    <w:name w:val="content"/>
    <w:link w:val="678"/>
    <w:uiPriority w:val="0"/>
    <w:qFormat/>
  </w:style>
  <w:style w:type="character" w:styleId="1021" w:customStyle="1">
    <w:name w:val="小四 段落 宋体 Char1"/>
    <w:link w:val="678"/>
    <w:uiPriority w:val="0"/>
    <w:qFormat/>
    <w:rPr>
      <w:rFonts w:eastAsia="宋体"/>
      <w:sz w:val="24"/>
      <w:szCs w:val="24"/>
      <w:lang w:val="en-US" w:eastAsia="zh-CN" w:bidi="ar-SA"/>
    </w:rPr>
  </w:style>
  <w:style w:type="character" w:styleId="1022" w:customStyle="1">
    <w:name w:val="标准文本 Char Char"/>
    <w:link w:val="678"/>
    <w:uiPriority w:val="0"/>
    <w:qFormat/>
    <w:rPr>
      <w:rFonts w:eastAsia="宋体" w:cs="宋体"/>
      <w:sz w:val="24"/>
      <w:szCs w:val="24"/>
      <w:lang w:val="en-US" w:eastAsia="zh-CN" w:bidi="ar-SA"/>
    </w:rPr>
  </w:style>
  <w:style w:type="character" w:styleId="1023" w:customStyle="1">
    <w:name w:val="3zw"/>
    <w:link w:val="678"/>
    <w:uiPriority w:val="0"/>
    <w:qFormat/>
  </w:style>
  <w:style w:type="character" w:styleId="1024" w:customStyle="1">
    <w:name w:val="正文缩进 Char1"/>
    <w:link w:val="1025"/>
    <w:uiPriority w:val="0"/>
    <w:qFormat/>
    <w:rPr>
      <w:rFonts w:eastAsia="宋体"/>
      <w:lang w:bidi="ar-SA"/>
    </w:rPr>
  </w:style>
  <w:style w:type="paragraph" w:styleId="1025" w:customStyle="1">
    <w:name w:val="Normal Indent0"/>
    <w:basedOn w:val="678"/>
    <w:link w:val="1024"/>
    <w:uiPriority w:val="0"/>
    <w:qFormat/>
    <w:pPr>
      <w:ind w:firstLine="420"/>
    </w:pPr>
    <w:rPr>
      <w:sz w:val="20"/>
    </w:rPr>
  </w:style>
  <w:style w:type="character" w:styleId="1026" w:customStyle="1">
    <w:name w:val="纯文本 Char Char Char1"/>
    <w:link w:val="678"/>
    <w:uiPriority w:val="0"/>
    <w:qFormat/>
    <w:rPr>
      <w:rFonts w:ascii="宋体" w:hAnsi="Courier New" w:eastAsia="宋体"/>
      <w:sz w:val="21"/>
      <w:szCs w:val="21"/>
      <w:lang w:val="en-US" w:eastAsia="zh-CN" w:bidi="ar-SA"/>
    </w:rPr>
  </w:style>
  <w:style w:type="character" w:styleId="1027" w:customStyle="1">
    <w:name w:val="Char Char20"/>
    <w:link w:val="678"/>
    <w:uiPriority w:val="0"/>
    <w:qFormat/>
    <w:rPr>
      <w:rFonts w:ascii="Arial" w:hAnsi="Arial" w:eastAsia="黑体"/>
      <w:sz w:val="21"/>
      <w:szCs w:val="21"/>
    </w:rPr>
  </w:style>
  <w:style w:type="character" w:styleId="1028" w:customStyle="1">
    <w:name w:val="Subtle Emphasis"/>
    <w:link w:val="678"/>
    <w:uiPriority w:val="0"/>
    <w:qFormat/>
    <w:rPr>
      <w:i/>
      <w:iCs/>
    </w:rPr>
  </w:style>
  <w:style w:type="character" w:styleId="1029" w:customStyle="1">
    <w:name w:val="小四 段落 宋体 Char Char Char Char Char Char Char Char"/>
    <w:link w:val="678"/>
    <w:uiPriority w:val="0"/>
    <w:qFormat/>
    <w:rPr>
      <w:rFonts w:eastAsia="宋体"/>
      <w:sz w:val="24"/>
      <w:szCs w:val="24"/>
      <w:lang w:val="en-US" w:eastAsia="zh-CN" w:bidi="ar-SA"/>
    </w:rPr>
  </w:style>
  <w:style w:type="character" w:styleId="1030" w:customStyle="1">
    <w:name w:val="Intense Emphasis"/>
    <w:link w:val="678"/>
    <w:uiPriority w:val="0"/>
    <w:qFormat/>
    <w:rPr>
      <w:b/>
      <w:bCs/>
    </w:rPr>
  </w:style>
  <w:style w:type="character" w:styleId="1031" w:customStyle="1">
    <w:name w:val="Intense Reference"/>
    <w:link w:val="678"/>
    <w:uiPriority w:val="0"/>
    <w:qFormat/>
    <w:rPr>
      <w:smallCaps/>
      <w:spacing w:val="5"/>
      <w:u w:val="single"/>
    </w:rPr>
  </w:style>
  <w:style w:type="character" w:styleId="1032" w:customStyle="1">
    <w:name w:val="标准文本 Char"/>
    <w:link w:val="678"/>
    <w:uiPriority w:val="0"/>
    <w:qFormat/>
    <w:rPr>
      <w:rFonts w:eastAsia="宋体" w:cs="宋体"/>
      <w:sz w:val="24"/>
      <w:szCs w:val="24"/>
      <w:lang w:val="en-US" w:eastAsia="zh-CN" w:bidi="ar-SA"/>
    </w:rPr>
  </w:style>
  <w:style w:type="character" w:styleId="1033" w:customStyle="1">
    <w:name w:val="标题 3 Char Char"/>
    <w:link w:val="678"/>
    <w:uiPriority w:val="0"/>
    <w:qFormat/>
    <w:rPr>
      <w:rFonts w:eastAsia="方正仿宋_GB2312"/>
      <w:b/>
      <w:bCs/>
      <w:sz w:val="28"/>
      <w:szCs w:val="32"/>
      <w:lang w:val="en-US" w:eastAsia="zh-CN" w:bidi="ar-SA"/>
    </w:rPr>
  </w:style>
  <w:style w:type="character" w:styleId="1034" w:customStyle="1">
    <w:name w:val="Char Char22"/>
    <w:link w:val="678"/>
    <w:uiPriority w:val="0"/>
    <w:qFormat/>
    <w:rPr>
      <w:b/>
      <w:bCs/>
      <w:sz w:val="24"/>
      <w:szCs w:val="24"/>
    </w:rPr>
  </w:style>
  <w:style w:type="character" w:styleId="1035" w:customStyle="1">
    <w:name w:val="Char Char17"/>
    <w:link w:val="678"/>
    <w:uiPriority w:val="0"/>
    <w:qFormat/>
    <w:rPr>
      <w:rFonts w:ascii="宋体" w:hAnsi="Courier New"/>
      <w:sz w:val="21"/>
      <w:szCs w:val="21"/>
    </w:rPr>
  </w:style>
  <w:style w:type="character" w:styleId="1036" w:customStyle="1">
    <w:name w:val="样式 宋体 小四"/>
    <w:link w:val="678"/>
    <w:uiPriority w:val="0"/>
    <w:qFormat/>
    <w:rPr>
      <w:rFonts w:ascii="宋体" w:hAnsi="宋体"/>
      <w:sz w:val="24"/>
    </w:rPr>
  </w:style>
  <w:style w:type="character" w:styleId="1037" w:customStyle="1">
    <w:name w:val="Char Char29"/>
    <w:link w:val="678"/>
    <w:uiPriority w:val="0"/>
    <w:qFormat/>
    <w:rPr>
      <w:rFonts w:ascii="Times New Roman" w:hAnsi="Times New Roman" w:eastAsia="宋体" w:cs="Times New Roman"/>
      <w:b/>
      <w:bCs/>
      <w:sz w:val="44"/>
      <w:szCs w:val="44"/>
    </w:rPr>
  </w:style>
  <w:style w:type="character" w:styleId="1038" w:customStyle="1">
    <w:name w:val="normalfont1"/>
    <w:link w:val="678"/>
    <w:uiPriority w:val="0"/>
    <w:qFormat/>
    <w:rPr>
      <w:rFonts w:ascii="DejaVu Math TeX Gyre" w:hAnsi="DejaVu Math TeX Gyre"/>
      <w:sz w:val="18"/>
      <w:szCs w:val="18"/>
      <w:u w:val="none"/>
    </w:rPr>
  </w:style>
  <w:style w:type="character" w:styleId="1039" w:customStyle="1">
    <w:name w:val="title_emph1"/>
    <w:link w:val="678"/>
    <w:uiPriority w:val="0"/>
    <w:qFormat/>
    <w:rPr>
      <w:rFonts w:ascii="Arial" w:cs="Arial"/>
      <w:b/>
      <w:bCs/>
      <w:sz w:val="18"/>
      <w:szCs w:val="18"/>
    </w:rPr>
  </w:style>
  <w:style w:type="character" w:styleId="1040" w:customStyle="1">
    <w:name w:val="正文 + 宋体 Char"/>
    <w:link w:val="678"/>
    <w:uiPriority w:val="0"/>
    <w:qFormat/>
    <w:rPr>
      <w:rFonts w:eastAsia="宋体"/>
      <w:sz w:val="21"/>
      <w:szCs w:val="24"/>
      <w:lang w:val="en-US" w:eastAsia="zh-CN" w:bidi="ar-SA"/>
    </w:rPr>
  </w:style>
  <w:style w:type="character" w:styleId="1041" w:customStyle="1">
    <w:name w:val="普通文字1 Char"/>
    <w:link w:val="678"/>
    <w:uiPriority w:val="0"/>
    <w:qFormat/>
    <w:rPr>
      <w:rFonts w:ascii="宋体" w:eastAsia="宋体"/>
      <w:sz w:val="21"/>
      <w:szCs w:val="21"/>
      <w:lang w:val="en-US" w:eastAsia="zh-CN" w:bidi="ar-SA"/>
    </w:rPr>
  </w:style>
  <w:style w:type="character" w:styleId="1042" w:customStyle="1">
    <w:name w:val="无间隔 字符"/>
    <w:link w:val="1043"/>
    <w:uiPriority w:val="0"/>
    <w:qFormat/>
    <w:rPr>
      <w:rFonts w:eastAsia="微软雅黑"/>
      <w:sz w:val="24"/>
      <w:szCs w:val="22"/>
      <w:lang w:val="en-US" w:eastAsia="zh-CN" w:bidi="ar-SA"/>
    </w:rPr>
  </w:style>
  <w:style w:type="paragraph" w:styleId="1043" w:customStyle="1">
    <w:name w:val="无间隔"/>
    <w:link w:val="1042"/>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44" w:customStyle="1">
    <w:name w:val="新图表正文 Char Char"/>
    <w:link w:val="1045"/>
    <w:uiPriority w:val="0"/>
    <w:qFormat/>
    <w:rPr>
      <w:rFonts w:ascii="宋体" w:hAnsi="宋体"/>
      <w:sz w:val="18"/>
      <w:szCs w:val="21"/>
      <w:lang w:val="en-US" w:eastAsia="zh-CN" w:bidi="ar-SA"/>
    </w:rPr>
  </w:style>
  <w:style w:type="paragraph" w:styleId="1045" w:customStyle="1">
    <w:name w:val="新图表正文"/>
    <w:link w:val="1044"/>
    <w:uiPriority w:val="0"/>
    <w:qFormat/>
    <w:pPr>
      <w:jc w:val="both"/>
    </w:pPr>
    <w:rPr>
      <w:rFonts w:hint="default" w:ascii="宋体" w:hAnsi="宋体" w:eastAsia="宋体" w:cs="Times New Roman"/>
      <w:sz w:val="18"/>
      <w:szCs w:val="21"/>
      <w:lang w:val="en-US" w:eastAsia="zh-CN" w:bidi="ar-SA"/>
    </w:rPr>
  </w:style>
  <w:style w:type="character" w:styleId="1046" w:customStyle="1">
    <w:name w:val="样式 首行缩进:  2 字符 Char"/>
    <w:link w:val="678"/>
    <w:uiPriority w:val="0"/>
    <w:qFormat/>
    <w:rPr>
      <w:rFonts w:eastAsia="宋体" w:cs="宋体"/>
      <w:sz w:val="24"/>
      <w:lang w:val="en-US" w:eastAsia="zh-CN" w:bidi="ar-SA"/>
    </w:rPr>
  </w:style>
  <w:style w:type="character" w:styleId="1047" w:customStyle="1">
    <w:name w:val="纯文本 Char Char Char"/>
    <w:link w:val="678"/>
    <w:uiPriority w:val="0"/>
    <w:qFormat/>
    <w:rPr>
      <w:rFonts w:ascii="宋体" w:hAnsi="Courier New" w:eastAsia="宋体"/>
      <w:sz w:val="21"/>
      <w:szCs w:val="21"/>
      <w:lang w:val="en-US" w:eastAsia="zh-CN" w:bidi="ar-SA"/>
    </w:rPr>
  </w:style>
  <w:style w:type="character" w:styleId="1048" w:customStyle="1">
    <w:name w:val="特点 Char1"/>
    <w:link w:val="678"/>
    <w:uiPriority w:val="0"/>
    <w:qFormat/>
    <w:rPr>
      <w:rFonts w:eastAsia="宋体"/>
      <w:sz w:val="21"/>
      <w:lang w:val="en-US" w:eastAsia="zh-CN" w:bidi="ar-SA"/>
    </w:rPr>
  </w:style>
  <w:style w:type="paragraph" w:styleId="1049" w:customStyle="1">
    <w:name w:val="Char"/>
    <w:basedOn w:val="678"/>
    <w:uiPriority w:val="0"/>
    <w:qFormat/>
    <w:pPr>
      <w:spacing w:after="156" w:line="360" w:lineRule="auto"/>
    </w:pPr>
    <w:rPr>
      <w:rFonts w:ascii="Tahoma" w:hAnsi="Tahoma"/>
      <w:sz w:val="24"/>
    </w:rPr>
  </w:style>
  <w:style w:type="paragraph" w:styleId="105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51" w:customStyle="1">
    <w:name w:val="样式 样式 标题 3H3sect1.2.3BOD 0Heading 3 - oldh3l3CTLevel 3 Head... +..."/>
    <w:basedOn w:val="678"/>
    <w:uiPriority w:val="0"/>
    <w:qFormat/>
    <w:pPr>
      <w:jc w:val="left"/>
      <w:keepLines/>
      <w:keepNext/>
      <w:spacing w:before="156" w:after="156"/>
      <w:outlineLvl w:val="2"/>
    </w:pPr>
    <w:rPr>
      <w:rFonts w:cs="宋体"/>
      <w:b/>
      <w:bCs/>
      <w:sz w:val="24"/>
    </w:rPr>
  </w:style>
  <w:style w:type="paragraph" w:styleId="1052" w:customStyle="1">
    <w:name w:val="Body Text 20"/>
    <w:basedOn w:val="678"/>
    <w:uiPriority w:val="0"/>
    <w:qFormat/>
    <w:pPr>
      <w:ind w:left="720" w:hanging="720"/>
      <w:widowControl/>
    </w:pPr>
    <w:rPr>
      <w:sz w:val="24"/>
      <w:lang w:val="en-GB"/>
    </w:rPr>
  </w:style>
  <w:style w:type="paragraph" w:styleId="1053" w:customStyle="1">
    <w:name w:val="默认段落字体 Para Char Char Char Char Char Char Char Char Char1 Char Char Char Char Char Char Char"/>
    <w:basedOn w:val="747"/>
    <w:uiPriority w:val="0"/>
    <w:qFormat/>
  </w:style>
  <w:style w:type="paragraph" w:styleId="1054" w:customStyle="1">
    <w:name w:val="Normal1"/>
    <w:basedOn w:val="678"/>
    <w:uiPriority w:val="0"/>
    <w:qFormat/>
    <w:rPr>
      <w:rFonts w:ascii="Calibri" w:hAnsi="Calibri" w:eastAsia="Calibri" w:cs="宋体"/>
      <w:lang w:val="zh-CN"/>
    </w:rPr>
  </w:style>
  <w:style w:type="paragraph" w:styleId="1055" w:customStyle="1">
    <w:name w:val="xl46"/>
    <w:basedOn w:val="67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56" w:customStyle="1">
    <w:name w:val="Char Char Char Char Char Char Char Char Char Char Char Char Char Char Char Char Char Char Char Char Char Char Char"/>
    <w:basedOn w:val="678"/>
    <w:uiPriority w:val="0"/>
    <w:qFormat/>
    <w:rPr>
      <w:rFonts w:ascii="Tahoma" w:hAnsi="Tahoma"/>
      <w:sz w:val="24"/>
    </w:rPr>
  </w:style>
  <w:style w:type="paragraph" w:styleId="1057" w:customStyle="1">
    <w:name w:val="马刚标题1"/>
    <w:basedOn w:val="719"/>
    <w:next w:val="678"/>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58" w:customStyle="1">
    <w:name w:val="7"/>
    <w:basedOn w:val="678"/>
    <w:next w:val="791"/>
    <w:uiPriority w:val="0"/>
    <w:qFormat/>
    <w:pPr>
      <w:jc w:val="left"/>
      <w:spacing w:before="100" w:beforeAutospacing="1" w:after="100" w:afterAutospacing="1"/>
      <w:widowControl/>
    </w:pPr>
    <w:rPr>
      <w:rFonts w:ascii="宋体" w:hAnsi="宋体"/>
      <w:sz w:val="24"/>
    </w:rPr>
  </w:style>
  <w:style w:type="paragraph" w:styleId="1059" w:customStyle="1">
    <w:name w:val="样式 样式 首行缩进:  2 字符 + 行距: 1.5 倍行距"/>
    <w:basedOn w:val="678"/>
    <w:uiPriority w:val="0"/>
    <w:qFormat/>
    <w:pPr>
      <w:ind w:firstLine="470"/>
      <w:spacing w:line="360" w:lineRule="auto"/>
    </w:pPr>
    <w:rPr>
      <w:sz w:val="24"/>
    </w:rPr>
  </w:style>
  <w:style w:type="paragraph" w:styleId="1060" w:customStyle="1">
    <w:name w:val="xl44"/>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61" w:customStyle="1">
    <w:name w:val="中等深浅网格 1 - 强调文字颜色 21"/>
    <w:basedOn w:val="678"/>
    <w:uiPriority w:val="0"/>
    <w:qFormat/>
    <w:pPr>
      <w:ind w:firstLine="420"/>
    </w:pPr>
    <w:rPr>
      <w:rFonts w:ascii="Calibri" w:hAnsi="Calibri"/>
      <w:szCs w:val="22"/>
    </w:rPr>
  </w:style>
  <w:style w:type="paragraph" w:styleId="1062" w:customStyle="1">
    <w:name w:val="greytypebeni"/>
    <w:basedOn w:val="678"/>
    <w:uiPriority w:val="0"/>
    <w:qFormat/>
    <w:pPr>
      <w:jc w:val="left"/>
      <w:widowControl/>
    </w:pPr>
    <w:rPr>
      <w:rFonts w:ascii="宋体" w:hAnsi="宋体" w:cs="宋体"/>
      <w:sz w:val="24"/>
      <w:szCs w:val="24"/>
    </w:rPr>
  </w:style>
  <w:style w:type="paragraph" w:styleId="1063" w:customStyle="1">
    <w:name w:val="font14"/>
    <w:basedOn w:val="678"/>
    <w:uiPriority w:val="0"/>
    <w:qFormat/>
    <w:pPr>
      <w:jc w:val="left"/>
      <w:spacing w:before="100" w:beforeAutospacing="1" w:after="100" w:afterAutospacing="1"/>
      <w:widowControl/>
    </w:pPr>
    <w:rPr>
      <w:sz w:val="36"/>
      <w:szCs w:val="36"/>
    </w:rPr>
  </w:style>
  <w:style w:type="paragraph" w:styleId="1064" w:customStyle="1">
    <w:name w:val="xl3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5" w:customStyle="1">
    <w:name w:val="Char Char Char Char Char Char Char Char Char Char Char Char Char Char"/>
    <w:basedOn w:val="678"/>
    <w:uiPriority w:val="0"/>
    <w:qFormat/>
    <w:rPr>
      <w:rFonts w:ascii="Tahoma" w:hAnsi="Tahoma"/>
      <w:sz w:val="24"/>
    </w:rPr>
  </w:style>
  <w:style w:type="paragraph" w:styleId="1066" w:customStyle="1">
    <w:name w:val="标准小四"/>
    <w:basedOn w:val="678"/>
    <w:uiPriority w:val="0"/>
    <w:qFormat/>
    <w:pPr>
      <w:ind w:firstLine="480"/>
      <w:spacing w:line="360" w:lineRule="auto"/>
    </w:pPr>
    <w:rPr>
      <w:rFonts w:ascii="Arial" w:hAnsi="Arial"/>
      <w:sz w:val="24"/>
      <w:szCs w:val="21"/>
    </w:rPr>
  </w:style>
  <w:style w:type="paragraph" w:styleId="1067" w:customStyle="1">
    <w:name w:val="样式 段后: 0.25 行"/>
    <w:basedOn w:val="678"/>
    <w:uiPriority w:val="0"/>
    <w:qFormat/>
    <w:pPr>
      <w:ind w:firstLine="420"/>
      <w:jc w:val="left"/>
      <w:spacing w:after="78" w:line="300" w:lineRule="auto"/>
      <w:widowControl/>
    </w:pPr>
    <w:rPr>
      <w:rFonts w:ascii="Arial" w:hAnsi="Arial" w:cs="宋体"/>
      <w:sz w:val="22"/>
      <w:lang w:eastAsia="en-US" w:bidi="en-US"/>
    </w:rPr>
  </w:style>
  <w:style w:type="paragraph" w:styleId="1068" w:customStyle="1">
    <w:name w:val="Char Char1"/>
    <w:basedOn w:val="678"/>
    <w:uiPriority w:val="0"/>
    <w:qFormat/>
    <w:rPr>
      <w:rFonts w:ascii="Tahoma" w:hAnsi="Tahoma"/>
      <w:sz w:val="24"/>
    </w:rPr>
  </w:style>
  <w:style w:type="paragraph" w:styleId="1069" w:customStyle="1">
    <w:name w:val="样式3"/>
    <w:basedOn w:val="678"/>
    <w:next w:val="678"/>
    <w:uiPriority w:val="0"/>
    <w:qFormat/>
    <w:pPr>
      <w:spacing w:line="360" w:lineRule="auto"/>
    </w:pPr>
  </w:style>
  <w:style w:type="paragraph" w:styleId="1070" w:customStyle="1">
    <w:name w:val="_Style 42"/>
    <w:basedOn w:val="678"/>
    <w:next w:val="754"/>
    <w:uiPriority w:val="0"/>
    <w:qFormat/>
    <w:rPr>
      <w:rFonts w:ascii="方正楷体_GB2312" w:hAnsi="Arial" w:eastAsia="方正楷体_GB2312"/>
      <w:sz w:val="28"/>
    </w:rPr>
  </w:style>
  <w:style w:type="paragraph" w:styleId="1071" w:customStyle="1">
    <w:name w:val="Char1 Char Char Char"/>
    <w:basedOn w:val="678"/>
    <w:uiPriority w:val="0"/>
    <w:qFormat/>
    <w:rPr>
      <w:rFonts w:ascii="Tahoma" w:hAnsi="Tahoma" w:cs="Tahoma"/>
      <w:sz w:val="24"/>
    </w:rPr>
  </w:style>
  <w:style w:type="paragraph" w:styleId="1072"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73" w:customStyle="1">
    <w:name w:val="Char Char1 Char Char Char Char"/>
    <w:basedOn w:val="747"/>
    <w:uiPriority w:val="0"/>
    <w:qFormat/>
    <w:pPr>
      <w:ind w:left="357"/>
      <w:jc w:val="left"/>
      <w:spacing w:line="436" w:lineRule="exact"/>
      <w:outlineLvl w:val="3"/>
    </w:pPr>
    <w:rPr>
      <w:rFonts w:ascii="Tahoma" w:hAnsi="Tahoma" w:cs="Tahoma"/>
      <w:b/>
      <w:sz w:val="24"/>
      <w:szCs w:val="24"/>
    </w:rPr>
  </w:style>
  <w:style w:type="paragraph" w:styleId="1074" w:customStyle="1">
    <w:name w:val="标题 4宋体"/>
    <w:basedOn w:val="723"/>
    <w:uiPriority w:val="0"/>
    <w:qFormat/>
    <w:pPr>
      <w:jc w:val="left"/>
      <w:keepLines w:val="0"/>
      <w:spacing w:before="0" w:after="0" w:line="360" w:lineRule="auto"/>
    </w:pPr>
    <w:rPr>
      <w:rFonts w:ascii="宋体" w:hAnsi="宋体" w:eastAsia="宋体"/>
      <w:bCs/>
      <w:color w:val="000000"/>
      <w:sz w:val="24"/>
    </w:rPr>
  </w:style>
  <w:style w:type="paragraph" w:styleId="1075" w:customStyle="1">
    <w:name w:val="xl57"/>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76" w:customStyle="1">
    <w:name w:val="Char Char Char Char Char Char Char Char Char Char Char Char Char Char Char Char Char Char Char Char Char"/>
    <w:basedOn w:val="678"/>
    <w:uiPriority w:val="0"/>
    <w:qFormat/>
    <w:rPr>
      <w:rFonts w:ascii="Tahoma" w:hAnsi="Tahoma" w:cs="Tahoma"/>
      <w:sz w:val="24"/>
    </w:rPr>
  </w:style>
  <w:style w:type="paragraph" w:styleId="1077" w:customStyle="1">
    <w:name w:val="xl45"/>
    <w:basedOn w:val="67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78" w:customStyle="1">
    <w:name w:val="xl25"/>
    <w:basedOn w:val="678"/>
    <w:uiPriority w:val="0"/>
    <w:qFormat/>
    <w:pPr>
      <w:jc w:val="center"/>
      <w:spacing w:before="100" w:beforeAutospacing="1" w:after="100" w:afterAutospacing="1"/>
      <w:widowControl/>
      <w:pBdr>
        <w:right w:val="single" w:color="000000" w:sz="4" w:space="0"/>
      </w:pBdr>
    </w:pPr>
    <w:rPr>
      <w:szCs w:val="21"/>
    </w:rPr>
  </w:style>
  <w:style w:type="paragraph" w:styleId="1079" w:customStyle="1">
    <w:name w:val="丁华正文"/>
    <w:basedOn w:val="780"/>
    <w:uiPriority w:val="0"/>
    <w:qFormat/>
    <w:pPr>
      <w:ind w:left="0" w:firstLine="510"/>
      <w:spacing w:line="360" w:lineRule="auto"/>
    </w:pPr>
    <w:rPr>
      <w:rFonts w:ascii="Times New Roman" w:hAnsi="Times New Roman" w:eastAsia="宋体"/>
      <w:color w:val="000000"/>
      <w:sz w:val="24"/>
      <w:szCs w:val="16"/>
    </w:rPr>
  </w:style>
  <w:style w:type="paragraph" w:styleId="1080" w:customStyle="1">
    <w:name w:val="小四 段落 宋体 Char Char"/>
    <w:basedOn w:val="678"/>
    <w:uiPriority w:val="0"/>
    <w:qFormat/>
    <w:pPr>
      <w:ind w:firstLine="480"/>
      <w:spacing w:line="360" w:lineRule="auto"/>
    </w:pPr>
    <w:rPr>
      <w:rFonts w:ascii="宋体" w:hAnsi="宋体"/>
      <w:sz w:val="24"/>
      <w:szCs w:val="24"/>
    </w:rPr>
  </w:style>
  <w:style w:type="paragraph" w:styleId="1081" w:customStyle="1">
    <w:name w:val="样式 标题 2第一章 标题 2Heading 2 HiddenHeading 2 CCBSheading 2H2h2..."/>
    <w:basedOn w:val="72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82" w:customStyle="1">
    <w:name w:val="段落"/>
    <w:basedOn w:val="678"/>
    <w:uiPriority w:val="0"/>
    <w:qFormat/>
    <w:pPr>
      <w:ind w:firstLine="480"/>
      <w:spacing w:line="460" w:lineRule="exact"/>
    </w:pPr>
    <w:rPr>
      <w:sz w:val="24"/>
    </w:rPr>
  </w:style>
  <w:style w:type="paragraph" w:styleId="1083" w:customStyle="1">
    <w:name w:val="Char Char Char Char Char Char Char Char Char Char Char Char Char Char1"/>
    <w:basedOn w:val="678"/>
    <w:uiPriority w:val="0"/>
    <w:qFormat/>
    <w:rPr>
      <w:rFonts w:ascii="Tahoma" w:hAnsi="Tahoma" w:cs="Tahoma"/>
      <w:sz w:val="24"/>
    </w:rPr>
  </w:style>
  <w:style w:type="paragraph" w:styleId="1084" w:customStyle="1">
    <w:name w:val="默认段落字体 Para Char Char Char Char Char Char Char"/>
    <w:basedOn w:val="678"/>
    <w:uiPriority w:val="0"/>
    <w:qFormat/>
  </w:style>
  <w:style w:type="paragraph" w:styleId="108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086" w:customStyle="1">
    <w:name w:val="正文 + Arial Char"/>
    <w:basedOn w:val="678"/>
    <w:uiPriority w:val="0"/>
    <w:qFormat/>
    <w:pPr>
      <w:ind w:left="315" w:hanging="315"/>
      <w:spacing w:line="300" w:lineRule="auto"/>
      <w:widowControl/>
      <w:tabs>
        <w:tab w:val="left" w:pos="315" w:leader="none"/>
      </w:tabs>
    </w:pPr>
    <w:rPr>
      <w:rFonts w:ascii="Arial" w:hAnsi="Arial" w:cs="Arial"/>
      <w:b/>
      <w:color w:val="000000"/>
    </w:rPr>
  </w:style>
  <w:style w:type="paragraph" w:styleId="1087" w:customStyle="1">
    <w:name w:val="Char1"/>
    <w:basedOn w:val="678"/>
    <w:uiPriority w:val="0"/>
    <w:qFormat/>
    <w:pPr>
      <w:jc w:val="left"/>
      <w:spacing w:after="160" w:line="240" w:lineRule="exact"/>
      <w:widowControl/>
    </w:pPr>
    <w:rPr>
      <w:rFonts w:ascii="Verdana" w:hAnsi="Verdana" w:eastAsia="方正仿宋_GB2312"/>
      <w:sz w:val="24"/>
      <w:lang w:eastAsia="en-US"/>
    </w:rPr>
  </w:style>
  <w:style w:type="paragraph" w:styleId="1088" w:customStyle="1">
    <w:name w:val="Pa6"/>
    <w:basedOn w:val="678"/>
    <w:next w:val="678"/>
    <w:uiPriority w:val="0"/>
    <w:qFormat/>
    <w:pPr>
      <w:jc w:val="left"/>
      <w:spacing w:line="241" w:lineRule="atLeast"/>
    </w:pPr>
    <w:rPr>
      <w:rFonts w:ascii="DejaVu Math TeX Gyre" w:eastAsia="DejaVu Math TeX Gyre"/>
      <w:sz w:val="24"/>
      <w:szCs w:val="24"/>
    </w:rPr>
  </w:style>
  <w:style w:type="paragraph" w:styleId="1089" w:customStyle="1">
    <w:name w:val="马刚标题3"/>
    <w:basedOn w:val="678"/>
    <w:next w:val="67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90" w:customStyle="1">
    <w:name w:val="content_lineheight"/>
    <w:basedOn w:val="678"/>
    <w:uiPriority w:val="0"/>
    <w:qFormat/>
    <w:pPr>
      <w:jc w:val="left"/>
      <w:spacing w:before="100" w:beforeAutospacing="1" w:after="100" w:afterAutospacing="1"/>
      <w:widowControl/>
    </w:pPr>
    <w:rPr>
      <w:rFonts w:ascii="宋体" w:hAnsi="宋体"/>
      <w:sz w:val="24"/>
      <w:szCs w:val="24"/>
    </w:rPr>
  </w:style>
  <w:style w:type="paragraph" w:styleId="1091" w:customStyle="1">
    <w:name w:val="默认段落字体 Para Char"/>
    <w:basedOn w:val="678"/>
    <w:uiPriority w:val="0"/>
    <w:qFormat/>
    <w:rPr>
      <w:sz w:val="24"/>
      <w:szCs w:val="24"/>
    </w:rPr>
  </w:style>
  <w:style w:type="paragraph" w:styleId="1092" w:customStyle="1">
    <w:name w:val="表格"/>
    <w:basedOn w:val="678"/>
    <w:uiPriority w:val="0"/>
    <w:qFormat/>
    <w:pPr>
      <w:ind w:firstLine="21"/>
    </w:pPr>
    <w:rPr>
      <w:rFonts w:ascii="宋体" w:hAnsi="宋体" w:cs="宋体"/>
      <w:sz w:val="20"/>
    </w:rPr>
  </w:style>
  <w:style w:type="paragraph" w:styleId="1093" w:customStyle="1">
    <w:name w:val="Char Char Char Char Char Char Char Char Char Char Char"/>
    <w:basedOn w:val="678"/>
    <w:uiPriority w:val="0"/>
    <w:qFormat/>
    <w:rPr>
      <w:rFonts w:ascii="Tahoma" w:hAnsi="Tahoma" w:cs="Tahoma"/>
      <w:sz w:val="24"/>
    </w:rPr>
  </w:style>
  <w:style w:type="paragraph" w:styleId="1094" w:customStyle="1">
    <w:name w:val="丁华标题1"/>
    <w:basedOn w:val="719"/>
    <w:next w:val="1079"/>
    <w:uiPriority w:val="0"/>
    <w:qFormat/>
    <w:pPr>
      <w:numPr>
        <w:ilvl w:val="0"/>
        <w:numId w:val="1"/>
      </w:numPr>
      <w:ind w:firstLine="0"/>
      <w:jc w:val="left"/>
      <w:keepLines/>
      <w:spacing w:before="600" w:after="120" w:line="578" w:lineRule="auto"/>
    </w:pPr>
    <w:rPr>
      <w:rFonts w:ascii="Times New Roman"/>
      <w:b w:val="0"/>
      <w:sz w:val="32"/>
      <w:szCs w:val="20"/>
    </w:rPr>
  </w:style>
  <w:style w:type="paragraph" w:styleId="1095" w:customStyle="1">
    <w:name w:val="列出段落"/>
    <w:basedOn w:val="678"/>
    <w:uiPriority w:val="34"/>
    <w:qFormat/>
    <w:pPr>
      <w:ind w:firstLine="420"/>
    </w:pPr>
    <w:rPr>
      <w:szCs w:val="24"/>
    </w:rPr>
  </w:style>
  <w:style w:type="paragraph" w:styleId="1096" w:customStyle="1">
    <w:name w:val="正文表标题"/>
    <w:next w:val="1097"/>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97" w:customStyle="1">
    <w:name w:val="段"/>
    <w:next w:val="678"/>
    <w:uiPriority w:val="0"/>
    <w:qFormat/>
    <w:pPr>
      <w:ind w:firstLine="200"/>
      <w:jc w:val="both"/>
    </w:pPr>
    <w:rPr>
      <w:rFonts w:hint="default" w:ascii="宋体" w:hAnsi="Times New Roman" w:eastAsia="宋体" w:cs="Times New Roman"/>
      <w:sz w:val="21"/>
      <w:lang w:val="en-US" w:eastAsia="zh-CN" w:bidi="ar-SA"/>
    </w:rPr>
  </w:style>
  <w:style w:type="paragraph" w:styleId="1098" w:customStyle="1">
    <w:name w:val="样式"/>
    <w:basedOn w:val="678"/>
    <w:uiPriority w:val="0"/>
    <w:qFormat/>
    <w:pPr>
      <w:spacing w:before="120" w:after="120" w:line="360" w:lineRule="auto"/>
    </w:pPr>
    <w:rPr>
      <w:rFonts w:ascii="宋体"/>
      <w:sz w:val="24"/>
    </w:rPr>
  </w:style>
  <w:style w:type="paragraph" w:styleId="1099" w:customStyle="1">
    <w:name w:val="Char2"/>
    <w:basedOn w:val="678"/>
    <w:uiPriority w:val="0"/>
    <w:semiHidden/>
    <w:qFormat/>
    <w:rPr>
      <w:rFonts w:ascii="Tahoma" w:hAnsi="Tahoma" w:cs="方正仿宋_GB2312"/>
      <w:sz w:val="24"/>
      <w:szCs w:val="28"/>
    </w:rPr>
  </w:style>
  <w:style w:type="paragraph" w:styleId="1100" w:customStyle="1">
    <w:name w:val="xl43"/>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01" w:customStyle="1">
    <w:name w:val="font13"/>
    <w:basedOn w:val="678"/>
    <w:uiPriority w:val="0"/>
    <w:qFormat/>
    <w:pPr>
      <w:jc w:val="left"/>
      <w:spacing w:before="100" w:beforeAutospacing="1" w:after="100" w:afterAutospacing="1"/>
      <w:widowControl/>
    </w:pPr>
    <w:rPr>
      <w:i/>
      <w:iCs/>
      <w:sz w:val="36"/>
      <w:szCs w:val="36"/>
    </w:rPr>
  </w:style>
  <w:style w:type="paragraph" w:styleId="1102" w:customStyle="1">
    <w:name w:val="a0"/>
    <w:basedOn w:val="678"/>
    <w:uiPriority w:val="0"/>
    <w:qFormat/>
    <w:pPr>
      <w:spacing w:before="100" w:beforeAutospacing="1" w:after="100" w:afterAutospacing="1"/>
      <w:widowControl/>
    </w:pPr>
    <w:rPr>
      <w:rFonts w:ascii="宋体" w:hAnsi="宋体" w:cs="宋体"/>
      <w:sz w:val="24"/>
      <w:szCs w:val="24"/>
    </w:rPr>
  </w:style>
  <w:style w:type="paragraph" w:styleId="1103" w:customStyle="1">
    <w:name w:val="项目符号，一级"/>
    <w:basedOn w:val="1104"/>
    <w:next w:val="1104"/>
    <w:uiPriority w:val="0"/>
    <w:qFormat/>
    <w:pPr>
      <w:ind w:left="376" w:firstLine="0"/>
      <w:spacing w:line="240" w:lineRule="atLeast"/>
      <w:tabs>
        <w:tab w:val="left" w:pos="1320" w:leader="none"/>
      </w:tabs>
    </w:pPr>
    <w:rPr>
      <w:bCs w:val="0"/>
      <w:color w:val="000000"/>
      <w:szCs w:val="24"/>
    </w:rPr>
  </w:style>
  <w:style w:type="paragraph" w:styleId="1104" w:customStyle="1">
    <w:name w:val="正文格式"/>
    <w:basedOn w:val="678"/>
    <w:uiPriority w:val="0"/>
    <w:qFormat/>
    <w:pPr>
      <w:ind w:left="178" w:right="44" w:hanging="178"/>
      <w:jc w:val="left"/>
      <w:spacing w:before="78" w:line="360" w:lineRule="auto"/>
      <w:widowControl/>
    </w:pPr>
    <w:rPr>
      <w:rFonts w:ascii="宋体" w:hAnsi="宋体"/>
      <w:bCs/>
      <w:szCs w:val="21"/>
    </w:rPr>
  </w:style>
  <w:style w:type="paragraph" w:styleId="1105" w:customStyle="1">
    <w:name w:val="Char Char Char Char Char Char Char"/>
    <w:basedOn w:val="678"/>
    <w:uiPriority w:val="0"/>
    <w:qFormat/>
    <w:rPr>
      <w:rFonts w:ascii="Tahoma" w:hAnsi="Tahoma"/>
      <w:sz w:val="24"/>
    </w:rPr>
  </w:style>
  <w:style w:type="paragraph" w:styleId="1106" w:customStyle="1">
    <w:name w:val="xl6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07" w:customStyle="1">
    <w:name w:val="Char Char11"/>
    <w:basedOn w:val="678"/>
    <w:uiPriority w:val="0"/>
    <w:qFormat/>
    <w:rPr>
      <w:rFonts w:ascii="Tahoma" w:hAnsi="Tahoma" w:cs="Tahoma"/>
      <w:sz w:val="24"/>
    </w:rPr>
  </w:style>
  <w:style w:type="paragraph" w:styleId="1108" w:customStyle="1">
    <w:name w:val="Char Char Char Char Char"/>
    <w:basedOn w:val="678"/>
    <w:uiPriority w:val="0"/>
    <w:qFormat/>
    <w:rPr>
      <w:rFonts w:ascii="Tahoma" w:hAnsi="Tahoma"/>
      <w:sz w:val="24"/>
    </w:rPr>
  </w:style>
  <w:style w:type="paragraph" w:styleId="1109" w:customStyle="1">
    <w:name w:val="正文lzq"/>
    <w:basedOn w:val="678"/>
    <w:uiPriority w:val="0"/>
    <w:qFormat/>
    <w:pPr>
      <w:ind w:firstLine="480"/>
      <w:spacing w:line="360" w:lineRule="auto"/>
    </w:pPr>
    <w:rPr>
      <w:sz w:val="24"/>
    </w:rPr>
  </w:style>
  <w:style w:type="paragraph" w:styleId="1110" w:customStyle="1">
    <w:name w:val="xl52"/>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1" w:customStyle="1">
    <w:name w:val="xl56"/>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12" w:customStyle="1">
    <w:name w:val="xl62"/>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13" w:customStyle="1">
    <w:name w:val="列表内容"/>
    <w:basedOn w:val="678"/>
    <w:next w:val="678"/>
    <w:uiPriority w:val="0"/>
    <w:qFormat/>
    <w:pPr>
      <w:ind w:left="840" w:hanging="420"/>
      <w:jc w:val="left"/>
      <w:widowControl/>
      <w:tabs>
        <w:tab w:val="left" w:pos="840" w:leader="none"/>
      </w:tabs>
    </w:pPr>
    <w:rPr>
      <w:sz w:val="18"/>
      <w:szCs w:val="24"/>
    </w:rPr>
  </w:style>
  <w:style w:type="paragraph" w:styleId="1114" w:customStyle="1">
    <w:name w:val="xl47"/>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15" w:customStyle="1">
    <w:name w:val="xl42"/>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6" w:customStyle="1">
    <w:name w:val="xl53"/>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17" w:customStyle="1">
    <w:name w:val="Default"/>
    <w:next w:val="678"/>
    <w:uiPriority w:val="0"/>
    <w:qFormat/>
    <w:pPr>
      <w:widowControl w:val="off"/>
    </w:pPr>
    <w:rPr>
      <w:rFonts w:hint="default" w:ascii="宋体" w:hAnsi="Times New Roman" w:eastAsia="宋体" w:cs="宋体"/>
      <w:color w:val="000000"/>
      <w:sz w:val="24"/>
      <w:szCs w:val="24"/>
      <w:lang w:val="en-US" w:eastAsia="zh-CN" w:bidi="ar-SA"/>
    </w:rPr>
  </w:style>
  <w:style w:type="paragraph" w:styleId="1118" w:customStyle="1">
    <w:name w:val="Char Char Char Char Char Char Char Char Char"/>
    <w:basedOn w:val="678"/>
    <w:uiPriority w:val="0"/>
    <w:qFormat/>
    <w:pPr>
      <w:ind w:left="200" w:hanging="200"/>
      <w:tabs>
        <w:tab w:val="left" w:pos="360" w:leader="none"/>
      </w:tabs>
    </w:pPr>
    <w:rPr>
      <w:sz w:val="24"/>
      <w:szCs w:val="24"/>
    </w:rPr>
  </w:style>
  <w:style w:type="paragraph" w:styleId="1119" w:customStyle="1">
    <w:name w:val="font9"/>
    <w:basedOn w:val="678"/>
    <w:uiPriority w:val="0"/>
    <w:qFormat/>
    <w:pPr>
      <w:jc w:val="left"/>
      <w:spacing w:before="100" w:beforeAutospacing="1" w:after="100" w:afterAutospacing="1"/>
      <w:widowControl/>
    </w:pPr>
    <w:rPr>
      <w:b/>
      <w:bCs/>
      <w:sz w:val="20"/>
    </w:rPr>
  </w:style>
  <w:style w:type="paragraph" w:styleId="1120" w:customStyle="1">
    <w:name w:val="华宇段落1 Char"/>
    <w:basedOn w:val="678"/>
    <w:uiPriority w:val="0"/>
    <w:qFormat/>
    <w:pPr>
      <w:ind w:firstLine="200"/>
      <w:spacing w:line="360" w:lineRule="auto"/>
    </w:pPr>
    <w:rPr>
      <w:bCs/>
      <w:sz w:val="24"/>
      <w:szCs w:val="24"/>
    </w:rPr>
  </w:style>
  <w:style w:type="paragraph" w:styleId="112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22" w:customStyle="1">
    <w:name w:val="xl35"/>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23" w:customStyle="1">
    <w:name w:val="表头_5"/>
    <w:basedOn w:val="678"/>
    <w:uiPriority w:val="0"/>
    <w:qFormat/>
    <w:pPr>
      <w:spacing w:line="360" w:lineRule="auto"/>
    </w:pPr>
    <w:rPr>
      <w:b/>
      <w:bCs/>
      <w:sz w:val="28"/>
      <w:szCs w:val="21"/>
    </w:rPr>
  </w:style>
  <w:style w:type="paragraph" w:styleId="1124" w:customStyle="1">
    <w:name w:val="xl3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customStyle="1">
    <w:name w:val="样式 样式 首行缩进:  0.74 厘米 行距: 1.5 倍行距 + 段后: 0.5 行"/>
    <w:basedOn w:val="678"/>
    <w:uiPriority w:val="0"/>
    <w:qFormat/>
    <w:pPr>
      <w:ind w:firstLine="420"/>
      <w:spacing w:line="360" w:lineRule="auto"/>
    </w:pPr>
    <w:rPr>
      <w:rFonts w:ascii="方正楷体_GB2312" w:eastAsia="方正楷体_GB2312"/>
      <w:bCs/>
      <w:sz w:val="24"/>
    </w:rPr>
  </w:style>
  <w:style w:type="paragraph" w:styleId="1126" w:customStyle="1">
    <w:name w:val="小四 段落 宋体 Char"/>
    <w:basedOn w:val="744"/>
    <w:uiPriority w:val="0"/>
    <w:qFormat/>
    <w:pPr>
      <w:ind w:left="0" w:right="-33" w:firstLine="600"/>
      <w:jc w:val="left"/>
      <w:tabs>
        <w:tab w:val="clear" w:pos="2952" w:leader="none"/>
      </w:tabs>
    </w:pPr>
    <w:rPr>
      <w:rFonts w:ascii="方正仿宋_GB2312" w:eastAsia="方正仿宋_GB2312"/>
      <w:sz w:val="30"/>
      <w:szCs w:val="30"/>
    </w:rPr>
  </w:style>
  <w:style w:type="paragraph" w:styleId="1127" w:customStyle="1">
    <w:name w:val="Char Char Char"/>
    <w:basedOn w:val="678"/>
    <w:uiPriority w:val="0"/>
    <w:qFormat/>
    <w:rPr>
      <w:rFonts w:ascii="Tahoma" w:hAnsi="Tahoma"/>
      <w:sz w:val="24"/>
    </w:rPr>
  </w:style>
  <w:style w:type="paragraph" w:styleId="1128"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29" w:customStyle="1">
    <w:name w:val="纯文本1"/>
    <w:basedOn w:val="678"/>
    <w:uiPriority w:val="0"/>
    <w:qFormat/>
    <w:rPr>
      <w:rFonts w:ascii="宋体" w:hAnsi="宋体" w:eastAsia="方正楷体_GB2312" w:cs="宋体"/>
      <w:sz w:val="28"/>
    </w:rPr>
  </w:style>
  <w:style w:type="paragraph" w:styleId="1130" w:customStyle="1">
    <w:name w:val="Char Char Char Char"/>
    <w:basedOn w:val="747"/>
    <w:uiPriority w:val="0"/>
    <w:qFormat/>
    <w:pPr>
      <w:spacing w:line="360" w:lineRule="auto"/>
    </w:pPr>
    <w:rPr>
      <w:rFonts w:ascii="Tahoma" w:hAnsi="Tahoma"/>
      <w:sz w:val="24"/>
      <w:szCs w:val="24"/>
    </w:rPr>
  </w:style>
  <w:style w:type="paragraph" w:styleId="1131" w:customStyle="1">
    <w:name w:val="符号与编号 Char Char"/>
    <w:basedOn w:val="678"/>
    <w:uiPriority w:val="0"/>
    <w:qFormat/>
    <w:pPr>
      <w:ind w:left="839" w:hanging="419"/>
      <w:spacing w:after="156" w:line="400" w:lineRule="atLeast"/>
      <w:tabs>
        <w:tab w:val="left" w:pos="840" w:leader="none"/>
      </w:tabs>
    </w:pPr>
    <w:rPr>
      <w:sz w:val="24"/>
      <w:szCs w:val="24"/>
    </w:rPr>
  </w:style>
  <w:style w:type="paragraph" w:styleId="1132" w:customStyle="1">
    <w:name w:val="Pa5"/>
    <w:basedOn w:val="678"/>
    <w:next w:val="678"/>
    <w:uiPriority w:val="0"/>
    <w:qFormat/>
    <w:pPr>
      <w:jc w:val="left"/>
      <w:spacing w:line="241" w:lineRule="atLeast"/>
    </w:pPr>
    <w:rPr>
      <w:rFonts w:ascii="DejaVu Math TeX Gyre" w:eastAsia="DejaVu Math TeX Gyre"/>
      <w:sz w:val="24"/>
      <w:szCs w:val="24"/>
    </w:rPr>
  </w:style>
  <w:style w:type="paragraph" w:styleId="1133" w:customStyle="1">
    <w:name w:val="Table Paragraph"/>
    <w:basedOn w:val="678"/>
    <w:uiPriority w:val="1"/>
    <w:qFormat/>
    <w:rPr>
      <w:rFonts w:ascii="宋体" w:hAnsi="宋体" w:cs="宋体"/>
      <w:lang w:val="zh-CN" w:bidi="zh-CN"/>
    </w:rPr>
  </w:style>
  <w:style w:type="paragraph" w:styleId="1134" w:customStyle="1">
    <w:name w:val="列出段落1"/>
    <w:basedOn w:val="678"/>
    <w:uiPriority w:val="0"/>
    <w:qFormat/>
    <w:pPr>
      <w:contextualSpacing/>
      <w:ind w:left="720"/>
      <w:jc w:val="left"/>
      <w:widowControl/>
    </w:pPr>
    <w:rPr>
      <w:rFonts w:ascii="Arial" w:hAnsi="Arial" w:eastAsia="黑体"/>
      <w:sz w:val="24"/>
      <w:szCs w:val="24"/>
      <w:lang w:eastAsia="en-US"/>
    </w:rPr>
  </w:style>
  <w:style w:type="paragraph" w:styleId="1135" w:customStyle="1">
    <w:name w:val="xl3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6" w:customStyle="1">
    <w:name w:val="Bullets L1"/>
    <w:basedOn w:val="678"/>
    <w:uiPriority w:val="0"/>
    <w:qFormat/>
    <w:pPr>
      <w:numPr>
        <w:ilvl w:val="0"/>
        <w:numId w:val="2"/>
      </w:numPr>
      <w:jc w:val="left"/>
      <w:spacing w:before="60" w:after="60"/>
      <w:widowControl/>
    </w:pPr>
    <w:rPr>
      <w:rFonts w:ascii="Arial" w:hAnsi="Arial"/>
      <w:sz w:val="20"/>
    </w:rPr>
  </w:style>
  <w:style w:type="paragraph" w:styleId="1137" w:customStyle="1">
    <w:name w:val="xl3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8" w:customStyle="1">
    <w:name w:val="表格1"/>
    <w:basedOn w:val="678"/>
    <w:uiPriority w:val="0"/>
    <w:qFormat/>
    <w:rPr>
      <w:rFonts w:ascii="宋体"/>
      <w:szCs w:val="21"/>
    </w:rPr>
  </w:style>
  <w:style w:type="paragraph" w:styleId="1139" w:customStyle="1">
    <w:name w:val="标题3"/>
    <w:basedOn w:val="721"/>
    <w:uiPriority w:val="0"/>
    <w:qFormat/>
    <w:pPr>
      <w:keepLines w:val="0"/>
      <w:keepNext w:val="0"/>
      <w:spacing w:line="360" w:lineRule="auto"/>
    </w:pPr>
    <w:rPr>
      <w:rFonts w:eastAsia="方正仿宋_GB2312"/>
      <w:b w:val="0"/>
      <w:bCs/>
      <w:sz w:val="30"/>
      <w:szCs w:val="32"/>
    </w:rPr>
  </w:style>
  <w:style w:type="paragraph" w:styleId="1140" w:customStyle="1">
    <w:name w:val="xl49"/>
    <w:basedOn w:val="67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41" w:customStyle="1">
    <w:name w:val="正文 首行缩进:  2 字符 Char"/>
    <w:basedOn w:val="678"/>
    <w:uiPriority w:val="0"/>
    <w:qFormat/>
    <w:pPr>
      <w:ind w:firstLine="480"/>
      <w:spacing w:line="360" w:lineRule="auto"/>
    </w:pPr>
    <w:rPr>
      <w:rFonts w:cs="宋体"/>
      <w:sz w:val="24"/>
    </w:rPr>
  </w:style>
  <w:style w:type="paragraph" w:styleId="1142" w:customStyle="1">
    <w:name w:val="Char Char Char Char Char Char Char1 Char"/>
    <w:basedOn w:val="678"/>
    <w:uiPriority w:val="0"/>
    <w:qFormat/>
    <w:rPr>
      <w:rFonts w:ascii="Tahoma" w:hAnsi="Tahoma" w:cs="Tahoma"/>
      <w:sz w:val="24"/>
    </w:rPr>
  </w:style>
  <w:style w:type="paragraph" w:styleId="1143" w:customStyle="1">
    <w:name w:val="标题3，章节第三层"/>
    <w:basedOn w:val="678"/>
    <w:next w:val="1104"/>
    <w:uiPriority w:val="0"/>
    <w:qFormat/>
    <w:pPr>
      <w:spacing w:before="78" w:line="300" w:lineRule="auto"/>
      <w:outlineLvl w:val="2"/>
    </w:pPr>
    <w:rPr>
      <w:rFonts w:ascii="Arial" w:hAnsi="Arial" w:eastAsia="华文细黑"/>
      <w:sz w:val="30"/>
      <w:szCs w:val="24"/>
    </w:rPr>
  </w:style>
  <w:style w:type="paragraph" w:styleId="1144" w:customStyle="1">
    <w:name w:val="font6"/>
    <w:basedOn w:val="678"/>
    <w:uiPriority w:val="0"/>
    <w:qFormat/>
    <w:pPr>
      <w:jc w:val="left"/>
      <w:spacing w:before="100" w:beforeAutospacing="1" w:after="100" w:afterAutospacing="1"/>
      <w:widowControl/>
    </w:pPr>
    <w:rPr>
      <w:rFonts w:ascii="宋体" w:hAnsi="宋体" w:cs="宋体"/>
      <w:b/>
      <w:bCs/>
      <w:sz w:val="20"/>
    </w:rPr>
  </w:style>
  <w:style w:type="paragraph" w:styleId="1145"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46" w:customStyle="1">
    <w:name w:val="Char Char Char Char Char Char Char Char Char Char Char Char Char"/>
    <w:basedOn w:val="678"/>
    <w:uiPriority w:val="0"/>
    <w:qFormat/>
    <w:pPr>
      <w:jc w:val="left"/>
      <w:spacing w:after="160" w:line="240" w:lineRule="exact"/>
      <w:widowControl/>
    </w:pPr>
    <w:rPr>
      <w:szCs w:val="24"/>
    </w:rPr>
  </w:style>
  <w:style w:type="paragraph" w:styleId="1147" w:customStyle="1">
    <w:name w:val="Char Char Char Char Char Char Char Char Char1"/>
    <w:basedOn w:val="678"/>
    <w:uiPriority w:val="0"/>
    <w:qFormat/>
    <w:pPr>
      <w:ind w:left="360" w:hanging="360"/>
      <w:tabs>
        <w:tab w:val="left" w:pos="360" w:leader="none"/>
      </w:tabs>
    </w:pPr>
    <w:rPr>
      <w:sz w:val="24"/>
      <w:szCs w:val="24"/>
    </w:rPr>
  </w:style>
  <w:style w:type="paragraph" w:styleId="1148" w:customStyle="1">
    <w:name w:val="列出段落2"/>
    <w:basedOn w:val="678"/>
    <w:uiPriority w:val="0"/>
    <w:qFormat/>
    <w:pPr>
      <w:ind w:left="720"/>
      <w:jc w:val="left"/>
      <w:widowControl/>
    </w:pPr>
    <w:rPr>
      <w:rFonts w:ascii="Arial" w:hAnsi="Arial" w:eastAsia="黑体" w:cs="Arial"/>
      <w:sz w:val="24"/>
      <w:szCs w:val="24"/>
      <w:lang w:eastAsia="en-US"/>
    </w:rPr>
  </w:style>
  <w:style w:type="paragraph" w:styleId="1149" w:customStyle="1">
    <w:name w:val="font5"/>
    <w:basedOn w:val="678"/>
    <w:uiPriority w:val="0"/>
    <w:qFormat/>
    <w:pPr>
      <w:jc w:val="left"/>
      <w:spacing w:before="100" w:beforeAutospacing="1" w:after="100" w:afterAutospacing="1"/>
      <w:widowControl/>
    </w:pPr>
    <w:rPr>
      <w:rFonts w:ascii="宋体" w:hAnsi="宋体" w:cs="宋体"/>
      <w:sz w:val="18"/>
      <w:szCs w:val="18"/>
    </w:rPr>
  </w:style>
  <w:style w:type="paragraph" w:styleId="1150" w:customStyle="1">
    <w:name w:val="xl59"/>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51" w:customStyle="1">
    <w:name w:val="Char Char"/>
    <w:basedOn w:val="678"/>
    <w:uiPriority w:val="0"/>
    <w:qFormat/>
    <w:rPr>
      <w:rFonts w:ascii="Tahoma" w:hAnsi="Tahoma" w:cs="Tahoma"/>
      <w:sz w:val="24"/>
    </w:rPr>
  </w:style>
  <w:style w:type="paragraph" w:styleId="1152" w:customStyle="1">
    <w:name w:val="样式2"/>
    <w:basedOn w:val="678"/>
    <w:uiPriority w:val="0"/>
    <w:qFormat/>
    <w:pPr>
      <w:ind w:left="200"/>
      <w:spacing w:line="360" w:lineRule="auto"/>
    </w:pPr>
    <w:rPr>
      <w:rFonts w:ascii="宋体" w:hAnsi="宋体"/>
      <w:b/>
      <w:sz w:val="24"/>
      <w:szCs w:val="24"/>
    </w:rPr>
  </w:style>
  <w:style w:type="paragraph" w:styleId="1153" w:customStyle="1">
    <w:name w:val="正文 居中"/>
    <w:basedOn w:val="678"/>
    <w:uiPriority w:val="0"/>
    <w:qFormat/>
    <w:pPr>
      <w:jc w:val="center"/>
      <w:spacing w:line="360" w:lineRule="auto"/>
    </w:pPr>
    <w:rPr>
      <w:sz w:val="24"/>
    </w:rPr>
  </w:style>
  <w:style w:type="paragraph" w:styleId="1154" w:customStyle="1">
    <w:name w:val="xl3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5" w:customStyle="1">
    <w:name w:val="Char Char Char Char Char Char Char Char"/>
    <w:basedOn w:val="678"/>
    <w:uiPriority w:val="0"/>
    <w:qFormat/>
    <w:rPr>
      <w:rFonts w:ascii="Tahoma" w:hAnsi="Tahoma" w:cs="Tahoma"/>
      <w:sz w:val="24"/>
    </w:rPr>
  </w:style>
  <w:style w:type="paragraph" w:styleId="1156" w:customStyle="1">
    <w:name w:val="丁华标题2"/>
    <w:basedOn w:val="720"/>
    <w:next w:val="1079"/>
    <w:uiPriority w:val="0"/>
    <w:qFormat/>
    <w:pPr>
      <w:numPr>
        <w:ilvl w:val="1"/>
        <w:numId w:val="1"/>
      </w:numPr>
      <w:spacing w:line="415" w:lineRule="auto"/>
    </w:pPr>
    <w:rPr>
      <w:rFonts w:ascii="Arial" w:hAnsi="Arial" w:eastAsia="黑体"/>
      <w:b w:val="0"/>
      <w:sz w:val="28"/>
      <w:szCs w:val="20"/>
    </w:rPr>
  </w:style>
  <w:style w:type="paragraph" w:styleId="1157" w:customStyle="1">
    <w:name w:val="flName"/>
    <w:basedOn w:val="1158"/>
    <w:uiPriority w:val="0"/>
    <w:qFormat/>
    <w:pPr>
      <w:spacing w:before="0" w:line="113" w:lineRule="atLeast"/>
    </w:pPr>
  </w:style>
  <w:style w:type="paragraph" w:styleId="1158" w:customStyle="1">
    <w:name w:val="flNote"/>
    <w:basedOn w:val="678"/>
    <w:uiPriority w:val="0"/>
    <w:qFormat/>
    <w:pPr>
      <w:jc w:val="center"/>
      <w:spacing w:before="567" w:line="360" w:lineRule="atLeast"/>
    </w:pPr>
    <w:rPr>
      <w:rFonts w:eastAsia="黑体"/>
      <w:b/>
      <w:sz w:val="24"/>
    </w:rPr>
  </w:style>
  <w:style w:type="paragraph" w:styleId="1159" w:customStyle="1">
    <w:name w:val="font7"/>
    <w:basedOn w:val="678"/>
    <w:uiPriority w:val="0"/>
    <w:qFormat/>
    <w:pPr>
      <w:jc w:val="left"/>
      <w:spacing w:before="100" w:beforeAutospacing="1" w:after="100" w:afterAutospacing="1"/>
      <w:widowControl/>
    </w:pPr>
    <w:rPr>
      <w:rFonts w:hint="eastAsia" w:ascii="宋体" w:hAnsi="宋体"/>
      <w:b/>
      <w:bCs/>
      <w:sz w:val="24"/>
      <w:szCs w:val="24"/>
    </w:rPr>
  </w:style>
  <w:style w:type="paragraph" w:styleId="1160" w:customStyle="1">
    <w:name w:val="xl48"/>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61" w:customStyle="1">
    <w:name w:val="Char Char Char Char Char Char Char Char Char Char Char1"/>
    <w:basedOn w:val="678"/>
    <w:uiPriority w:val="0"/>
    <w:qFormat/>
    <w:rPr>
      <w:rFonts w:ascii="Tahoma" w:hAnsi="Tahoma"/>
      <w:sz w:val="24"/>
    </w:rPr>
  </w:style>
  <w:style w:type="paragraph" w:styleId="1162" w:customStyle="1">
    <w:name w:val="xl61"/>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63" w:customStyle="1">
    <w:name w:val="Test2"/>
    <w:basedOn w:val="720"/>
    <w:uiPriority w:val="0"/>
    <w:qFormat/>
    <w:pPr>
      <w:jc w:val="center"/>
      <w:spacing w:before="156" w:after="156" w:line="480" w:lineRule="exact"/>
      <w:widowControl/>
    </w:pPr>
    <w:rPr>
      <w:rFonts w:ascii="黑体" w:hAnsi="Arial" w:eastAsia="黑体"/>
      <w:bCs/>
      <w:sz w:val="24"/>
    </w:rPr>
  </w:style>
  <w:style w:type="paragraph" w:styleId="1164" w:customStyle="1">
    <w:name w:val="插图"/>
    <w:basedOn w:val="678"/>
    <w:uiPriority w:val="0"/>
    <w:qFormat/>
    <w:pPr>
      <w:jc w:val="center"/>
      <w:tabs>
        <w:tab w:val="left" w:pos="1620" w:leader="none"/>
      </w:tabs>
    </w:pPr>
    <w:rPr>
      <w:bCs/>
      <w:color w:val="000000"/>
      <w:szCs w:val="22"/>
    </w:rPr>
  </w:style>
  <w:style w:type="paragraph" w:styleId="1165" w:customStyle="1">
    <w:name w:val="tableau"/>
    <w:basedOn w:val="678"/>
    <w:uiPriority w:val="0"/>
    <w:qFormat/>
    <w:pPr>
      <w:jc w:val="center"/>
      <w:spacing w:before="20" w:after="20"/>
      <w:widowControl/>
    </w:pPr>
    <w:rPr>
      <w:rFonts w:ascii="Arial" w:hAnsi="Arial"/>
      <w:sz w:val="16"/>
      <w:lang w:val="en-GB" w:eastAsia="en-US"/>
    </w:rPr>
  </w:style>
  <w:style w:type="paragraph" w:styleId="1166" w:customStyle="1">
    <w:name w:val="正文 首行缩进:  2 字符 Char Char"/>
    <w:basedOn w:val="678"/>
    <w:uiPriority w:val="0"/>
    <w:qFormat/>
    <w:pPr>
      <w:ind w:firstLine="480"/>
      <w:spacing w:line="360" w:lineRule="auto"/>
    </w:pPr>
    <w:rPr>
      <w:rFonts w:ascii="方正楷体_GB2312" w:eastAsia="方正楷体_GB2312"/>
      <w:bCs/>
      <w:sz w:val="24"/>
      <w:szCs w:val="24"/>
    </w:rPr>
  </w:style>
  <w:style w:type="paragraph" w:styleId="1167" w:customStyle="1">
    <w:name w:val="标题2，章节第二层"/>
    <w:basedOn w:val="678"/>
    <w:next w:val="110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68" w:customStyle="1">
    <w:name w:val="Char Char Char Char Char Char Char Char Char Char Char Char Char1"/>
    <w:basedOn w:val="747"/>
    <w:uiPriority w:val="0"/>
    <w:qFormat/>
    <w:rPr>
      <w:rFonts w:ascii="Tahoma" w:hAnsi="Tahoma"/>
      <w:sz w:val="24"/>
      <w:szCs w:val="24"/>
    </w:rPr>
  </w:style>
  <w:style w:type="paragraph" w:styleId="1169" w:customStyle="1">
    <w:name w:val="二级条标题"/>
    <w:basedOn w:val="678"/>
    <w:next w:val="1097"/>
    <w:uiPriority w:val="0"/>
    <w:qFormat/>
    <w:pPr>
      <w:ind w:hanging="420"/>
      <w:widowControl/>
      <w:tabs>
        <w:tab w:val="left" w:pos="2240" w:leader="none"/>
      </w:tabs>
      <w:outlineLvl w:val="3"/>
    </w:pPr>
    <w:rPr>
      <w:rFonts w:eastAsia="黑体"/>
    </w:rPr>
  </w:style>
  <w:style w:type="paragraph" w:styleId="1170" w:customStyle="1">
    <w:name w:val="样式 加点正文 + 段前: 0.5 行 段后: 0.5 行1"/>
    <w:basedOn w:val="678"/>
    <w:uiPriority w:val="0"/>
    <w:qFormat/>
    <w:pPr>
      <w:numPr>
        <w:ilvl w:val="0"/>
        <w:numId w:val="4"/>
      </w:numPr>
      <w:ind w:left="1268"/>
      <w:spacing w:before="156" w:after="156" w:line="300" w:lineRule="auto"/>
      <w:tabs>
        <w:tab w:val="left" w:pos="1268" w:leader="none"/>
      </w:tabs>
    </w:pPr>
    <w:rPr>
      <w:sz w:val="24"/>
    </w:rPr>
  </w:style>
  <w:style w:type="paragraph" w:styleId="1171" w:customStyle="1">
    <w:name w:val="Char Char Char Char Char Char"/>
    <w:basedOn w:val="678"/>
    <w:uiPriority w:val="0"/>
    <w:qFormat/>
    <w:rPr>
      <w:rFonts w:ascii="Tahoma" w:hAnsi="Tahoma" w:cs="Tahoma"/>
      <w:sz w:val="24"/>
    </w:rPr>
  </w:style>
  <w:style w:type="paragraph" w:styleId="1172" w:customStyle="1">
    <w:name w:val="Char Char1 Char Char Char Char Char Char Char"/>
    <w:basedOn w:val="678"/>
    <w:uiPriority w:val="0"/>
    <w:qFormat/>
    <w:rPr>
      <w:rFonts w:ascii="Tahoma" w:hAnsi="Tahoma" w:cs="Tahoma"/>
      <w:sz w:val="24"/>
    </w:rPr>
  </w:style>
  <w:style w:type="paragraph" w:styleId="1173" w:customStyle="1">
    <w:name w:val="xl30"/>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4" w:customStyle="1">
    <w:name w:val="部分1"/>
    <w:basedOn w:val="678"/>
    <w:uiPriority w:val="0"/>
    <w:qFormat/>
    <w:pPr>
      <w:jc w:val="center"/>
      <w:keepNext/>
      <w:pageBreakBefore/>
      <w:spacing w:line="360" w:lineRule="auto"/>
      <w:tabs>
        <w:tab w:val="left" w:pos="360" w:leader="none"/>
      </w:tabs>
      <w:outlineLvl w:val="0"/>
    </w:pPr>
    <w:rPr>
      <w:rFonts w:eastAsia="黑体"/>
      <w:b/>
      <w:sz w:val="36"/>
    </w:rPr>
  </w:style>
  <w:style w:type="paragraph" w:styleId="1175" w:customStyle="1">
    <w:name w:val="font12"/>
    <w:basedOn w:val="678"/>
    <w:uiPriority w:val="0"/>
    <w:qFormat/>
    <w:pPr>
      <w:jc w:val="left"/>
      <w:spacing w:before="100" w:beforeAutospacing="1" w:after="100" w:afterAutospacing="1"/>
      <w:widowControl/>
    </w:pPr>
    <w:rPr>
      <w:rFonts w:ascii="宋体" w:hAnsi="宋体" w:cs="宋体"/>
      <w:sz w:val="36"/>
      <w:szCs w:val="36"/>
    </w:rPr>
  </w:style>
  <w:style w:type="paragraph" w:styleId="1176" w:customStyle="1">
    <w:name w:val="List Paragraph0"/>
    <w:basedOn w:val="678"/>
    <w:uiPriority w:val="0"/>
    <w:qFormat/>
    <w:pPr>
      <w:contextualSpacing/>
      <w:ind w:left="720"/>
      <w:jc w:val="left"/>
      <w:widowControl/>
    </w:pPr>
    <w:rPr>
      <w:rFonts w:ascii="Arial" w:hAnsi="Arial" w:eastAsia="黑体"/>
      <w:sz w:val="24"/>
      <w:szCs w:val="24"/>
      <w:lang w:eastAsia="en-US"/>
    </w:rPr>
  </w:style>
  <w:style w:type="paragraph" w:styleId="1177" w:customStyle="1">
    <w:name w:val="xl40"/>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8" w:customStyle="1">
    <w:name w:val="Default Text"/>
    <w:basedOn w:val="678"/>
    <w:uiPriority w:val="0"/>
    <w:qFormat/>
    <w:pPr>
      <w:jc w:val="left"/>
      <w:widowControl/>
    </w:pPr>
    <w:rPr>
      <w:sz w:val="24"/>
      <w:lang w:eastAsia="en-US"/>
    </w:rPr>
  </w:style>
  <w:style w:type="paragraph" w:styleId="1179" w:customStyle="1">
    <w:name w:val="Char1 Char Char Char1"/>
    <w:basedOn w:val="678"/>
    <w:uiPriority w:val="0"/>
    <w:qFormat/>
    <w:rPr>
      <w:rFonts w:ascii="Tahoma" w:hAnsi="Tahoma"/>
      <w:sz w:val="24"/>
    </w:rPr>
  </w:style>
  <w:style w:type="paragraph" w:styleId="1180" w:customStyle="1">
    <w:name w:val="retrait3"/>
    <w:basedOn w:val="678"/>
    <w:uiPriority w:val="0"/>
    <w:qFormat/>
    <w:pPr>
      <w:ind w:left="851"/>
      <w:jc w:val="left"/>
      <w:spacing w:before="20" w:after="20"/>
      <w:widowControl/>
    </w:pPr>
    <w:rPr>
      <w:rFonts w:ascii="Arial" w:hAnsi="Arial"/>
      <w:sz w:val="24"/>
      <w:lang w:val="en-GB"/>
    </w:rPr>
  </w:style>
  <w:style w:type="paragraph" w:styleId="1181" w:customStyle="1">
    <w:name w:val="一级标题"/>
    <w:basedOn w:val="678"/>
    <w:uiPriority w:val="0"/>
    <w:qFormat/>
    <w:pPr>
      <w:ind w:left="900" w:hanging="420"/>
      <w:spacing w:line="360" w:lineRule="auto"/>
      <w:tabs>
        <w:tab w:val="left" w:pos="903" w:leader="none"/>
      </w:tabs>
    </w:pPr>
    <w:rPr>
      <w:rFonts w:ascii="Arial" w:hAnsi="Arial" w:cs="Arial"/>
      <w:sz w:val="24"/>
    </w:rPr>
  </w:style>
  <w:style w:type="paragraph" w:styleId="1182" w:customStyle="1">
    <w:name w:val="正文缩进2字符"/>
    <w:basedOn w:val="678"/>
    <w:uiPriority w:val="0"/>
    <w:qFormat/>
    <w:pPr>
      <w:ind w:firstLine="200"/>
      <w:spacing w:line="300" w:lineRule="auto"/>
    </w:pPr>
    <w:rPr>
      <w:rFonts w:ascii="方正仿宋_GB2312" w:eastAsia="方正仿宋_GB2312"/>
      <w:sz w:val="32"/>
      <w:szCs w:val="32"/>
    </w:rPr>
  </w:style>
  <w:style w:type="paragraph" w:styleId="1183" w:customStyle="1">
    <w:name w:val="xl60"/>
    <w:basedOn w:val="67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4" w:customStyle="1">
    <w:name w:val="xl27"/>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5" w:customStyle="1">
    <w:name w:val="表蕊"/>
    <w:basedOn w:val="678"/>
    <w:uiPriority w:val="0"/>
    <w:qFormat/>
    <w:pPr>
      <w:jc w:val="left"/>
      <w:spacing w:line="320" w:lineRule="atLeast"/>
    </w:pPr>
    <w:rPr>
      <w:rFonts w:eastAsia="方正楷体_GB2312"/>
      <w:spacing w:val="-10"/>
    </w:rPr>
  </w:style>
  <w:style w:type="paragraph" w:styleId="1186" w:customStyle="1">
    <w:name w:val="样式 段后: 0.5 行 左  0.75 字符"/>
    <w:basedOn w:val="678"/>
    <w:uiPriority w:val="0"/>
    <w:qFormat/>
    <w:pPr>
      <w:ind w:firstLine="420"/>
      <w:spacing w:line="360" w:lineRule="auto"/>
      <w:widowControl/>
    </w:pPr>
    <w:rPr>
      <w:rFonts w:hAnsi="Arial" w:cs="Arial"/>
      <w:szCs w:val="21"/>
    </w:rPr>
  </w:style>
  <w:style w:type="paragraph" w:styleId="1187" w:customStyle="1">
    <w:name w:val="符号与编号 Char"/>
    <w:basedOn w:val="678"/>
    <w:uiPriority w:val="0"/>
    <w:qFormat/>
    <w:pPr>
      <w:ind w:left="720"/>
      <w:spacing w:after="156" w:line="400" w:lineRule="atLeast"/>
      <w:tabs>
        <w:tab w:val="left" w:pos="720" w:leader="none"/>
      </w:tabs>
    </w:pPr>
    <w:rPr>
      <w:sz w:val="24"/>
      <w:szCs w:val="24"/>
    </w:rPr>
  </w:style>
  <w:style w:type="paragraph" w:styleId="1188" w:customStyle="1">
    <w:name w:val="xl34"/>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9" w:customStyle="1">
    <w:name w:val="文档正文"/>
    <w:basedOn w:val="678"/>
    <w:uiPriority w:val="0"/>
    <w:qFormat/>
    <w:pPr>
      <w:spacing w:line="360" w:lineRule="auto"/>
    </w:pPr>
    <w:rPr>
      <w:rFonts w:ascii="宋体" w:hAnsi="宋体"/>
      <w:b/>
      <w:bCs/>
      <w:szCs w:val="24"/>
    </w:rPr>
  </w:style>
  <w:style w:type="paragraph" w:styleId="1190" w:customStyle="1">
    <w:name w:val="丁华标题3"/>
    <w:basedOn w:val="1156"/>
    <w:next w:val="1079"/>
    <w:uiPriority w:val="0"/>
    <w:qFormat/>
    <w:pPr>
      <w:numPr>
        <w:ilvl w:val="2"/>
      </w:numPr>
      <w:ind w:left="1980" w:hanging="420"/>
      <w:spacing w:after="0"/>
      <w:tabs>
        <w:tab w:val="left" w:pos="1470" w:leader="none"/>
        <w:tab w:val="left" w:pos="1980" w:leader="none"/>
      </w:tabs>
      <w:outlineLvl w:val="2"/>
    </w:pPr>
    <w:rPr>
      <w:sz w:val="24"/>
    </w:rPr>
  </w:style>
  <w:style w:type="paragraph" w:styleId="1191" w:customStyle="1">
    <w:name w:val="我的正文"/>
    <w:basedOn w:val="678"/>
    <w:uiPriority w:val="0"/>
    <w:qFormat/>
    <w:pPr>
      <w:ind w:firstLine="420"/>
      <w:jc w:val="left"/>
      <w:spacing w:line="360" w:lineRule="auto"/>
      <w:widowControl/>
    </w:pPr>
    <w:rPr>
      <w:rFonts w:ascii="宋体" w:hAnsi="宋体" w:cs="宋体"/>
      <w:szCs w:val="21"/>
    </w:rPr>
  </w:style>
  <w:style w:type="paragraph" w:styleId="1192" w:customStyle="1">
    <w:name w:val="公文标题 2"/>
    <w:basedOn w:val="678"/>
    <w:next w:val="1193"/>
    <w:uiPriority w:val="0"/>
    <w:qFormat/>
    <w:pPr>
      <w:outlineLvl w:val="1"/>
    </w:pPr>
    <w:rPr>
      <w:rFonts w:ascii="方正仿宋_GB2312" w:hAnsi="宋体" w:eastAsia="方正仿宋_GB2312"/>
      <w:sz w:val="28"/>
      <w:szCs w:val="24"/>
    </w:rPr>
  </w:style>
  <w:style w:type="paragraph" w:styleId="1193" w:customStyle="1">
    <w:name w:val="公文正文"/>
    <w:basedOn w:val="691"/>
    <w:uiPriority w:val="0"/>
    <w:qFormat/>
    <w:pPr>
      <w:ind w:firstLine="200"/>
    </w:pPr>
    <w:rPr>
      <w:rFonts w:ascii="方正仿宋_GB2312" w:hAnsi="宋体" w:eastAsia="方正仿宋_GB2312"/>
      <w:sz w:val="28"/>
      <w:szCs w:val="24"/>
    </w:rPr>
  </w:style>
  <w:style w:type="paragraph" w:styleId="1194" w:customStyle="1">
    <w:name w:val="Char Char1 Char"/>
    <w:basedOn w:val="678"/>
    <w:uiPriority w:val="0"/>
    <w:qFormat/>
    <w:pPr>
      <w:jc w:val="left"/>
      <w:spacing w:after="160" w:line="240" w:lineRule="exact"/>
      <w:widowControl/>
    </w:pPr>
    <w:rPr>
      <w:rFonts w:ascii="Verdana" w:hAnsi="Verdana"/>
      <w:sz w:val="20"/>
      <w:lang w:eastAsia="en-US"/>
    </w:rPr>
  </w:style>
  <w:style w:type="paragraph" w:styleId="1195" w:customStyle="1">
    <w:name w:val="xl50"/>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96" w:customStyle="1">
    <w:name w:val="zw"/>
    <w:basedOn w:val="678"/>
    <w:uiPriority w:val="0"/>
    <w:qFormat/>
    <w:pPr>
      <w:ind w:firstLine="480"/>
      <w:jc w:val="left"/>
      <w:spacing w:line="360" w:lineRule="auto"/>
      <w:widowControl/>
    </w:pPr>
    <w:rPr>
      <w:rFonts w:ascii="宋体" w:hAnsi="宋体"/>
      <w:bCs/>
      <w:sz w:val="24"/>
    </w:rPr>
  </w:style>
  <w:style w:type="paragraph" w:styleId="1197" w:customStyle="1">
    <w:name w:val="xl2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8" w:customStyle="1">
    <w:name w:val="马刚标题4"/>
    <w:basedOn w:val="1089"/>
    <w:next w:val="678"/>
    <w:uiPriority w:val="0"/>
    <w:qFormat/>
    <w:pPr>
      <w:spacing w:before="100" w:after="40"/>
      <w:tabs>
        <w:tab w:val="left" w:pos="1050" w:leader="none"/>
      </w:tabs>
      <w:outlineLvl w:val="3"/>
    </w:pPr>
    <w:rPr>
      <w:b w:val="0"/>
    </w:rPr>
  </w:style>
  <w:style w:type="paragraph" w:styleId="1199" w:customStyle="1">
    <w:name w:val="标准文本"/>
    <w:basedOn w:val="678"/>
    <w:uiPriority w:val="0"/>
    <w:qFormat/>
    <w:pPr>
      <w:ind w:firstLine="480"/>
      <w:spacing w:line="360" w:lineRule="auto"/>
    </w:pPr>
    <w:rPr>
      <w:rFonts w:cs="宋体"/>
      <w:sz w:val="24"/>
      <w:szCs w:val="24"/>
    </w:rPr>
  </w:style>
  <w:style w:type="paragraph" w:styleId="1200" w:customStyle="1">
    <w:name w:val="正文2"/>
    <w:basedOn w:val="678"/>
    <w:uiPriority w:val="0"/>
    <w:qFormat/>
    <w:pPr>
      <w:ind w:firstLine="510"/>
      <w:spacing w:before="156" w:line="360" w:lineRule="auto"/>
    </w:pPr>
    <w:rPr>
      <w:sz w:val="24"/>
    </w:rPr>
  </w:style>
  <w:style w:type="paragraph" w:styleId="1201" w:customStyle="1">
    <w:name w:val="样式1"/>
    <w:basedOn w:val="678"/>
    <w:uiPriority w:val="0"/>
    <w:qFormat/>
    <w:pPr>
      <w:ind w:firstLine="480"/>
      <w:spacing w:line="300" w:lineRule="auto"/>
    </w:pPr>
    <w:rPr>
      <w:sz w:val="24"/>
      <w:szCs w:val="24"/>
    </w:rPr>
  </w:style>
  <w:style w:type="paragraph" w:styleId="1202" w:customStyle="1">
    <w:name w:val="大标题"/>
    <w:basedOn w:val="678"/>
    <w:next w:val="678"/>
    <w:uiPriority w:val="0"/>
    <w:qFormat/>
    <w:pPr>
      <w:ind w:hanging="420"/>
      <w:pageBreakBefore/>
      <w:spacing w:line="360" w:lineRule="auto"/>
      <w:tabs>
        <w:tab w:val="left" w:pos="420" w:leader="none"/>
      </w:tabs>
      <w:outlineLvl w:val="0"/>
    </w:pPr>
    <w:rPr>
      <w:b/>
      <w:iCs/>
      <w:sz w:val="44"/>
      <w:szCs w:val="24"/>
    </w:rPr>
  </w:style>
  <w:style w:type="paragraph" w:styleId="1203" w:customStyle="1">
    <w:name w:val="Char Char Char Char Char Char Char Char1"/>
    <w:basedOn w:val="678"/>
    <w:uiPriority w:val="0"/>
    <w:qFormat/>
    <w:rPr>
      <w:rFonts w:ascii="Tahoma" w:hAnsi="Tahoma"/>
      <w:sz w:val="24"/>
    </w:rPr>
  </w:style>
  <w:style w:type="paragraph" w:styleId="1204" w:customStyle="1">
    <w:name w:val="1"/>
    <w:basedOn w:val="678"/>
    <w:next w:val="787"/>
    <w:uiPriority w:val="0"/>
    <w:qFormat/>
    <w:pPr>
      <w:spacing w:line="360" w:lineRule="auto"/>
    </w:pPr>
    <w:rPr>
      <w:rFonts w:eastAsia="方正仿宋_GB2312"/>
      <w:sz w:val="24"/>
      <w:szCs w:val="24"/>
    </w:rPr>
  </w:style>
  <w:style w:type="paragraph" w:styleId="1205" w:customStyle="1">
    <w:name w:val="标题6"/>
    <w:basedOn w:val="724"/>
    <w:uiPriority w:val="0"/>
    <w:qFormat/>
    <w:pPr>
      <w:ind w:left="420" w:hanging="420"/>
      <w:keepLines/>
      <w:tabs>
        <w:tab w:val="left" w:pos="420" w:leader="none"/>
      </w:tabs>
    </w:pPr>
    <w:rPr>
      <w:rFonts w:ascii="Times New Roman"/>
      <w:b w:val="0"/>
      <w:bCs/>
      <w:color w:val="000000"/>
      <w:sz w:val="24"/>
      <w:szCs w:val="28"/>
    </w:rPr>
  </w:style>
  <w:style w:type="paragraph" w:styleId="1206" w:customStyle="1">
    <w:name w:val="Char Char Char Char1"/>
    <w:basedOn w:val="678"/>
    <w:uiPriority w:val="0"/>
    <w:qFormat/>
    <w:pPr>
      <w:jc w:val="center"/>
      <w:spacing w:after="160" w:line="240" w:lineRule="exact"/>
      <w:widowControl/>
    </w:pPr>
    <w:rPr>
      <w:rFonts w:ascii="黑体" w:hAnsi="Verdana" w:eastAsia="黑体"/>
      <w:sz w:val="32"/>
      <w:szCs w:val="32"/>
      <w:lang w:eastAsia="en-US"/>
    </w:rPr>
  </w:style>
  <w:style w:type="paragraph" w:styleId="120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08" w:customStyle="1">
    <w:name w:val="正文文本 21"/>
    <w:basedOn w:val="678"/>
    <w:uiPriority w:val="0"/>
    <w:qFormat/>
    <w:pPr>
      <w:ind w:left="720" w:hanging="720"/>
      <w:widowControl/>
    </w:pPr>
    <w:rPr>
      <w:sz w:val="24"/>
      <w:lang w:val="en-GB"/>
    </w:rPr>
  </w:style>
  <w:style w:type="paragraph" w:styleId="1209" w:customStyle="1">
    <w:name w:val="xl4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0" w:customStyle="1">
    <w:name w:val="标题1，章节第一层"/>
    <w:basedOn w:val="1104"/>
    <w:next w:val="1104"/>
    <w:uiPriority w:val="0"/>
    <w:qFormat/>
    <w:pPr>
      <w:ind w:left="482"/>
      <w:spacing w:before="0"/>
      <w:tabs>
        <w:tab w:val="left" w:pos="693" w:leader="none"/>
      </w:tabs>
      <w:outlineLvl w:val="0"/>
    </w:pPr>
    <w:rPr>
      <w:color w:val="000000"/>
      <w:sz w:val="24"/>
      <w:szCs w:val="24"/>
    </w:rPr>
  </w:style>
  <w:style w:type="paragraph" w:styleId="1211" w:customStyle="1">
    <w:name w:val="小四 段落 宋体 Char Char Char Char"/>
    <w:basedOn w:val="678"/>
    <w:uiPriority w:val="0"/>
    <w:qFormat/>
    <w:pPr>
      <w:ind w:right="-33" w:firstLine="480"/>
      <w:jc w:val="left"/>
      <w:spacing w:line="360" w:lineRule="auto"/>
    </w:pPr>
    <w:rPr>
      <w:sz w:val="24"/>
      <w:szCs w:val="24"/>
    </w:rPr>
  </w:style>
  <w:style w:type="paragraph" w:styleId="1212" w:customStyle="1">
    <w:name w:val="Char2 Char Char Char Char Char Char1"/>
    <w:basedOn w:val="678"/>
    <w:uiPriority w:val="0"/>
    <w:qFormat/>
    <w:pPr>
      <w:ind w:hanging="425"/>
      <w:keepNext/>
      <w:spacing w:before="80" w:after="80"/>
      <w:widowControl/>
      <w:tabs>
        <w:tab w:val="left" w:pos="425" w:leader="none"/>
      </w:tabs>
    </w:pPr>
    <w:rPr>
      <w:rFonts w:ascii="Arial" w:hAnsi="Arial" w:cs="Arial"/>
      <w:sz w:val="20"/>
    </w:rPr>
  </w:style>
  <w:style w:type="paragraph" w:styleId="1213" w:customStyle="1">
    <w:name w:val="小四 段落 宋体"/>
    <w:basedOn w:val="744"/>
    <w:uiPriority w:val="0"/>
    <w:qFormat/>
    <w:pPr>
      <w:ind w:left="113" w:right="113" w:firstLine="425"/>
      <w:jc w:val="left"/>
      <w:spacing w:line="360" w:lineRule="auto"/>
      <w:tabs>
        <w:tab w:val="clear" w:pos="2952" w:leader="none"/>
      </w:tabs>
    </w:pPr>
    <w:rPr>
      <w:sz w:val="24"/>
    </w:rPr>
  </w:style>
  <w:style w:type="paragraph" w:styleId="1214" w:customStyle="1">
    <w:name w:val="Char Char1 Char Char Char Char1 Char Char Char Char Char Char"/>
    <w:basedOn w:val="678"/>
    <w:uiPriority w:val="0"/>
    <w:qFormat/>
    <w:rPr>
      <w:rFonts w:ascii="Tahoma" w:hAnsi="Tahoma"/>
      <w:sz w:val="24"/>
    </w:rPr>
  </w:style>
  <w:style w:type="paragraph" w:styleId="1215" w:customStyle="1">
    <w:name w:val="font8"/>
    <w:basedOn w:val="678"/>
    <w:uiPriority w:val="0"/>
    <w:qFormat/>
    <w:pPr>
      <w:jc w:val="left"/>
      <w:spacing w:before="100" w:beforeAutospacing="1" w:after="100" w:afterAutospacing="1"/>
      <w:widowControl/>
    </w:pPr>
    <w:rPr>
      <w:rFonts w:ascii="宋体" w:hAnsi="宋体" w:cs="宋体"/>
      <w:b/>
      <w:bCs/>
      <w:i/>
      <w:iCs/>
      <w:sz w:val="20"/>
    </w:rPr>
  </w:style>
  <w:style w:type="paragraph" w:styleId="1216" w:customStyle="1">
    <w:name w:val="表格内文字"/>
    <w:basedOn w:val="678"/>
    <w:uiPriority w:val="0"/>
    <w:qFormat/>
    <w:pPr>
      <w:spacing w:line="300" w:lineRule="atLeast"/>
    </w:pPr>
    <w:rPr>
      <w:sz w:val="18"/>
      <w:szCs w:val="24"/>
    </w:rPr>
  </w:style>
  <w:style w:type="paragraph" w:styleId="1217" w:customStyle="1">
    <w:name w:val="_Style 1"/>
    <w:basedOn w:val="691"/>
    <w:next w:val="690"/>
    <w:uiPriority w:val="0"/>
    <w:qFormat/>
    <w:pPr>
      <w:ind w:firstLine="420"/>
      <w:spacing w:line="360" w:lineRule="auto"/>
    </w:pPr>
    <w:rPr>
      <w:rFonts w:ascii="Calibri" w:hAnsi="Calibri" w:eastAsia="宋体"/>
      <w:sz w:val="24"/>
    </w:rPr>
  </w:style>
  <w:style w:type="paragraph" w:styleId="1218" w:customStyle="1">
    <w:name w:val="xl3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19" w:customStyle="1">
    <w:name w:val="标题4，章节第四层"/>
    <w:basedOn w:val="678"/>
    <w:next w:val="678"/>
    <w:uiPriority w:val="0"/>
    <w:qFormat/>
    <w:pPr>
      <w:spacing w:line="360" w:lineRule="auto"/>
      <w:tabs>
        <w:tab w:val="left" w:pos="0" w:leader="none"/>
      </w:tabs>
      <w:outlineLvl w:val="3"/>
    </w:pPr>
    <w:rPr>
      <w:rFonts w:ascii="宋体" w:hAnsi="宋体"/>
      <w:b/>
      <w:sz w:val="24"/>
      <w:szCs w:val="24"/>
    </w:rPr>
  </w:style>
  <w:style w:type="paragraph" w:styleId="1220" w:customStyle="1">
    <w:name w:val="xl54"/>
    <w:basedOn w:val="67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21" w:customStyle="1">
    <w:name w:val="正文 + 宋体"/>
    <w:basedOn w:val="678"/>
    <w:uiPriority w:val="0"/>
    <w:qFormat/>
    <w:pPr>
      <w:ind w:firstLine="420"/>
      <w:spacing w:line="360" w:lineRule="auto"/>
    </w:pPr>
    <w:rPr>
      <w:szCs w:val="24"/>
    </w:rPr>
  </w:style>
  <w:style w:type="paragraph" w:styleId="1222" w:customStyle="1">
    <w:name w:val="Char Char Char Char Char Char Char Char Char Char Char1 Char Char Char1"/>
    <w:basedOn w:val="678"/>
    <w:uiPriority w:val="0"/>
    <w:semiHidden/>
    <w:qFormat/>
    <w:pPr>
      <w:ind w:firstLine="200"/>
      <w:jc w:val="left"/>
    </w:pPr>
    <w:rPr>
      <w:rFonts w:ascii="Tahoma" w:hAnsi="Tahoma"/>
      <w:sz w:val="24"/>
      <w:szCs w:val="24"/>
    </w:rPr>
  </w:style>
  <w:style w:type="paragraph" w:styleId="1223" w:customStyle="1">
    <w:name w:val="flType"/>
    <w:basedOn w:val="1157"/>
    <w:uiPriority w:val="0"/>
    <w:qFormat/>
    <w:pPr>
      <w:spacing w:after="284"/>
    </w:pPr>
    <w:rPr>
      <w:rFonts w:eastAsia="宋体"/>
      <w:b w:val="0"/>
    </w:rPr>
  </w:style>
  <w:style w:type="paragraph" w:styleId="1224" w:customStyle="1">
    <w:name w:val="正文--表格内正文"/>
    <w:basedOn w:val="678"/>
    <w:uiPriority w:val="0"/>
    <w:qFormat/>
    <w:pPr>
      <w:jc w:val="center"/>
      <w:spacing w:before="156" w:line="0" w:lineRule="atLeast"/>
    </w:pPr>
    <w:rPr>
      <w:rFonts w:ascii="宋体" w:hAnsi="宋体"/>
      <w:color w:val="000000"/>
      <w:sz w:val="24"/>
      <w:szCs w:val="24"/>
    </w:rPr>
  </w:style>
  <w:style w:type="paragraph" w:styleId="1225" w:customStyle="1">
    <w:name w:val="小四 段落 宋体 Char Char Char"/>
    <w:basedOn w:val="744"/>
    <w:uiPriority w:val="0"/>
    <w:qFormat/>
    <w:pPr>
      <w:ind w:left="0" w:right="-33" w:firstLine="545"/>
      <w:jc w:val="left"/>
      <w:spacing w:line="360" w:lineRule="auto"/>
      <w:tabs>
        <w:tab w:val="clear" w:pos="2952" w:leader="none"/>
      </w:tabs>
    </w:pPr>
    <w:rPr>
      <w:sz w:val="24"/>
    </w:rPr>
  </w:style>
  <w:style w:type="paragraph" w:styleId="1226" w:customStyle="1">
    <w:name w:val="a"/>
    <w:basedOn w:val="678"/>
    <w:uiPriority w:val="0"/>
    <w:qFormat/>
    <w:pPr>
      <w:spacing w:before="100" w:beforeAutospacing="1" w:after="100" w:afterAutospacing="1"/>
      <w:widowControl/>
    </w:pPr>
    <w:rPr>
      <w:rFonts w:ascii="宋体" w:hAnsi="宋体" w:cs="宋体"/>
      <w:sz w:val="24"/>
      <w:szCs w:val="24"/>
    </w:rPr>
  </w:style>
  <w:style w:type="paragraph" w:styleId="1227" w:customStyle="1">
    <w:name w:val="font10"/>
    <w:basedOn w:val="678"/>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28" w:customStyle="1">
    <w:name w:val="Char Char Char Char Char Char Char Char Char Char Char Char Char Char Char Char Char Char Char Char Char Char Char1"/>
    <w:basedOn w:val="678"/>
    <w:uiPriority w:val="0"/>
    <w:qFormat/>
    <w:rPr>
      <w:rFonts w:ascii="Tahoma" w:hAnsi="Tahoma" w:cs="Tahoma"/>
      <w:sz w:val="24"/>
    </w:rPr>
  </w:style>
  <w:style w:type="paragraph" w:styleId="1229" w:customStyle="1">
    <w:name w:val="样式 标题 3H3sect1.2.3BOD 0Heading 3 - oldh3l3CTLevel 3 Head..."/>
    <w:basedOn w:val="721"/>
    <w:uiPriority w:val="0"/>
    <w:qFormat/>
    <w:pPr>
      <w:jc w:val="left"/>
      <w:spacing w:before="156" w:after="156"/>
    </w:pPr>
    <w:rPr>
      <w:rFonts w:cs="宋体"/>
      <w:bCs/>
      <w:sz w:val="30"/>
    </w:rPr>
  </w:style>
  <w:style w:type="paragraph" w:styleId="1230" w:customStyle="1">
    <w:name w:val="正文文本 New New"/>
    <w:basedOn w:val="678"/>
    <w:uiPriority w:val="0"/>
    <w:qFormat/>
    <w:pPr>
      <w:ind w:firstLine="200"/>
      <w:spacing w:before="60" w:after="60" w:line="360" w:lineRule="auto"/>
      <w:widowControl/>
    </w:pPr>
    <w:rPr>
      <w:rFonts w:eastAsia="华文楷体"/>
      <w:sz w:val="24"/>
      <w:szCs w:val="24"/>
    </w:rPr>
  </w:style>
  <w:style w:type="paragraph" w:styleId="1231" w:customStyle="1">
    <w:name w:val="xl51"/>
    <w:basedOn w:val="67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32" w:customStyle="1">
    <w:name w:val="p0"/>
    <w:basedOn w:val="678"/>
    <w:uiPriority w:val="0"/>
    <w:qFormat/>
    <w:pPr>
      <w:jc w:val="left"/>
      <w:spacing w:before="100" w:beforeAutospacing="1" w:after="100" w:afterAutospacing="1"/>
      <w:widowControl/>
    </w:pPr>
    <w:rPr>
      <w:rFonts w:ascii="宋体" w:hAnsi="宋体" w:cs="宋体"/>
      <w:sz w:val="24"/>
      <w:szCs w:val="24"/>
    </w:rPr>
  </w:style>
  <w:style w:type="paragraph" w:styleId="1233" w:customStyle="1">
    <w:name w:val="正文文本缩进1"/>
    <w:basedOn w:val="678"/>
    <w:uiPriority w:val="0"/>
    <w:qFormat/>
    <w:pPr>
      <w:ind w:left="420"/>
      <w:spacing w:after="120"/>
    </w:pPr>
    <w:rPr>
      <w:szCs w:val="24"/>
    </w:rPr>
  </w:style>
  <w:style w:type="paragraph" w:styleId="1234" w:customStyle="1">
    <w:name w:val="标题5，章节第五层"/>
    <w:basedOn w:val="678"/>
    <w:next w:val="67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5" w:customStyle="1">
    <w:name w:val="表格文字"/>
    <w:basedOn w:val="678"/>
    <w:uiPriority w:val="0"/>
    <w:qFormat/>
    <w:pPr>
      <w:ind w:firstLine="200"/>
      <w:jc w:val="left"/>
      <w:spacing w:line="360" w:lineRule="auto"/>
    </w:pPr>
    <w:rPr>
      <w:rFonts w:ascii="Arial" w:hAnsi="Arial"/>
      <w:sz w:val="24"/>
    </w:rPr>
  </w:style>
  <w:style w:type="paragraph" w:styleId="1236" w:customStyle="1">
    <w:name w:val="项目符号：一级"/>
    <w:basedOn w:val="1104"/>
    <w:next w:val="1104"/>
    <w:uiPriority w:val="0"/>
    <w:qFormat/>
    <w:pPr>
      <w:ind w:right="-134"/>
    </w:pPr>
    <w:rPr>
      <w:bCs w:val="0"/>
    </w:rPr>
  </w:style>
  <w:style w:type="paragraph" w:styleId="1237" w:customStyle="1">
    <w:name w:val="Char Char Char Char Char1"/>
    <w:basedOn w:val="678"/>
    <w:uiPriority w:val="0"/>
    <w:qFormat/>
    <w:rPr>
      <w:rFonts w:ascii="Tahoma" w:hAnsi="Tahoma" w:cs="Tahoma"/>
      <w:sz w:val="24"/>
    </w:rPr>
  </w:style>
  <w:style w:type="paragraph" w:styleId="1238" w:customStyle="1">
    <w:name w:val="符号与编号"/>
    <w:basedOn w:val="678"/>
    <w:uiPriority w:val="0"/>
    <w:qFormat/>
    <w:pPr>
      <w:ind w:left="900" w:hanging="420"/>
      <w:spacing w:after="156" w:line="400" w:lineRule="atLeast"/>
      <w:tabs>
        <w:tab w:val="left" w:pos="900" w:leader="none"/>
      </w:tabs>
    </w:pPr>
    <w:rPr>
      <w:sz w:val="24"/>
      <w:szCs w:val="24"/>
    </w:rPr>
  </w:style>
  <w:style w:type="paragraph" w:styleId="1239" w:customStyle="1">
    <w:name w:val="font11"/>
    <w:basedOn w:val="678"/>
    <w:uiPriority w:val="0"/>
    <w:qFormat/>
    <w:pPr>
      <w:jc w:val="left"/>
      <w:spacing w:before="100" w:beforeAutospacing="1" w:after="100" w:afterAutospacing="1"/>
      <w:widowControl/>
    </w:pPr>
    <w:rPr>
      <w:b/>
      <w:bCs/>
      <w:sz w:val="18"/>
      <w:szCs w:val="18"/>
    </w:rPr>
  </w:style>
  <w:style w:type="paragraph" w:styleId="1240" w:customStyle="1">
    <w:name w:val="普通文字"/>
    <w:basedOn w:val="678"/>
    <w:next w:val="678"/>
    <w:uiPriority w:val="0"/>
    <w:qFormat/>
    <w:rPr>
      <w:rFonts w:ascii="宋体" w:hAnsi="宋体" w:cs="宋体"/>
      <w:sz w:val="24"/>
    </w:rPr>
  </w:style>
  <w:style w:type="paragraph" w:styleId="1241" w:customStyle="1">
    <w:name w:val="论文正文"/>
    <w:basedOn w:val="764"/>
    <w:uiPriority w:val="0"/>
    <w:qFormat/>
    <w:pPr>
      <w:ind w:left="0" w:firstLine="200"/>
      <w:jc w:val="left"/>
      <w:spacing w:line="360" w:lineRule="auto"/>
    </w:pPr>
    <w:rPr>
      <w:rFonts w:ascii="Times New Roman" w:hAnsi="Times New Roman"/>
      <w:sz w:val="28"/>
      <w:szCs w:val="24"/>
    </w:rPr>
  </w:style>
  <w:style w:type="paragraph" w:styleId="1242"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43" w:customStyle="1">
    <w:name w:val="Char Char Char Char Char Char Char Char Char Char Char Char Char Char Char Char Char Char Char Char Char1"/>
    <w:basedOn w:val="678"/>
    <w:uiPriority w:val="0"/>
    <w:qFormat/>
    <w:rPr>
      <w:rFonts w:ascii="Tahoma" w:hAnsi="Tahoma"/>
      <w:sz w:val="24"/>
    </w:rPr>
  </w:style>
  <w:style w:type="paragraph" w:styleId="1244"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45" w:customStyle="1">
    <w:name w:val="Char Char1 Char1"/>
    <w:basedOn w:val="678"/>
    <w:uiPriority w:val="0"/>
    <w:qFormat/>
    <w:pPr>
      <w:jc w:val="left"/>
      <w:spacing w:after="160" w:line="240" w:lineRule="exact"/>
      <w:widowControl/>
    </w:pPr>
    <w:rPr>
      <w:rFonts w:ascii="Verdana" w:hAnsi="Verdana"/>
      <w:sz w:val="20"/>
      <w:lang w:eastAsia="en-US"/>
    </w:rPr>
  </w:style>
  <w:style w:type="paragraph" w:styleId="1246" w:customStyle="1">
    <w:name w:val="条1"/>
    <w:basedOn w:val="678"/>
    <w:uiPriority w:val="0"/>
    <w:qFormat/>
    <w:pPr>
      <w:ind w:left="780" w:hanging="360"/>
      <w:spacing w:before="156" w:line="360" w:lineRule="auto"/>
      <w:tabs>
        <w:tab w:val="left" w:pos="780" w:leader="none"/>
      </w:tabs>
    </w:pPr>
    <w:rPr>
      <w:rFonts w:eastAsia="黑体"/>
      <w:sz w:val="24"/>
    </w:rPr>
  </w:style>
  <w:style w:type="paragraph" w:styleId="1247" w:customStyle="1">
    <w:name w:val="Char Char Char Char Char Char Char1"/>
    <w:basedOn w:val="678"/>
    <w:uiPriority w:val="0"/>
    <w:qFormat/>
    <w:pPr>
      <w:jc w:val="left"/>
    </w:pPr>
    <w:rPr>
      <w:rFonts w:ascii="Tahoma" w:hAnsi="Tahoma"/>
      <w:sz w:val="24"/>
    </w:rPr>
  </w:style>
  <w:style w:type="paragraph" w:styleId="124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49" w:customStyle="1">
    <w:name w:val="方案正文"/>
    <w:basedOn w:val="678"/>
    <w:uiPriority w:val="0"/>
    <w:qFormat/>
    <w:pPr>
      <w:ind w:firstLine="359"/>
      <w:jc w:val="left"/>
      <w:spacing w:before="156" w:line="360" w:lineRule="auto"/>
    </w:pPr>
    <w:rPr>
      <w:rFonts w:ascii="Arial" w:hAnsi="Arial" w:cs="宋体"/>
      <w:sz w:val="24"/>
      <w:szCs w:val="21"/>
    </w:rPr>
  </w:style>
  <w:style w:type="paragraph" w:styleId="1250" w:customStyle="1">
    <w:name w:val="章标题"/>
    <w:next w:val="1097"/>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51" w:customStyle="1">
    <w:name w:val="xl32"/>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2" w:customStyle="1">
    <w:name w:val="项目符号，二级"/>
    <w:basedOn w:val="1104"/>
    <w:next w:val="110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53" w:customStyle="1">
    <w:name w:val="xl55"/>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54" w:customStyle="1">
    <w:name w:val="Normal0"/>
    <w:basedOn w:val="678"/>
    <w:uiPriority w:val="0"/>
    <w:qFormat/>
    <w:rPr>
      <w:rFonts w:ascii="Calibri" w:hAnsi="Calibri" w:eastAsia="Calibri" w:cs="宋体"/>
      <w:lang w:val="zh-CN"/>
    </w:rPr>
  </w:style>
  <w:style w:type="paragraph" w:styleId="1255"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56" w:customStyle="1">
    <w:name w:val="xl2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7" w:customStyle="1">
    <w:name w:val="样式4 Char"/>
    <w:basedOn w:val="678"/>
    <w:uiPriority w:val="0"/>
    <w:qFormat/>
    <w:pPr>
      <w:ind w:firstLine="480"/>
      <w:jc w:val="left"/>
      <w:spacing w:line="360" w:lineRule="auto"/>
      <w:widowControl/>
    </w:pPr>
    <w:rPr>
      <w:rFonts w:cs="宋体"/>
      <w:color w:val="000000"/>
      <w:sz w:val="24"/>
      <w:szCs w:val="24"/>
    </w:rPr>
  </w:style>
  <w:style w:type="paragraph" w:styleId="1258" w:customStyle="1">
    <w:name w:val="Char11"/>
    <w:basedOn w:val="678"/>
    <w:uiPriority w:val="0"/>
    <w:qFormat/>
    <w:rPr>
      <w:rFonts w:ascii="方正仿宋_GB2312" w:hAnsi="宋体" w:eastAsia="方正仿宋_GB2312" w:cs="宋体"/>
      <w:b/>
      <w:sz w:val="32"/>
      <w:szCs w:val="32"/>
    </w:rPr>
  </w:style>
  <w:style w:type="paragraph" w:styleId="1259" w:customStyle="1">
    <w:name w:val="表格内容"/>
    <w:basedOn w:val="678"/>
    <w:uiPriority w:val="0"/>
    <w:qFormat/>
    <w:pPr>
      <w:jc w:val="center"/>
      <w:spacing w:before="60" w:line="300" w:lineRule="auto"/>
      <w:widowControl/>
    </w:pPr>
  </w:style>
  <w:style w:type="paragraph" w:styleId="1260" w:customStyle="1">
    <w:name w:val="xl2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1" w:customStyle="1">
    <w:name w:val="Char Char Char1"/>
    <w:basedOn w:val="747"/>
    <w:uiPriority w:val="0"/>
    <w:qFormat/>
    <w:pPr>
      <w:spacing w:line="436" w:lineRule="exact"/>
    </w:pPr>
    <w:rPr>
      <w:szCs w:val="24"/>
    </w:rPr>
  </w:style>
  <w:style w:type="paragraph" w:styleId="1262" w:customStyle="1">
    <w:name w:val="xl58"/>
    <w:basedOn w:val="67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63" w:customStyle="1">
    <w:name w:val="Body Text 21"/>
    <w:basedOn w:val="678"/>
    <w:uiPriority w:val="0"/>
    <w:qFormat/>
    <w:pPr>
      <w:ind w:left="720" w:hanging="720"/>
      <w:widowControl/>
    </w:pPr>
    <w:rPr>
      <w:sz w:val="24"/>
      <w:lang w:val="en-GB"/>
    </w:rPr>
  </w:style>
  <w:style w:type="paragraph" w:styleId="1264" w:customStyle="1">
    <w:name w:val="Char Char3"/>
    <w:basedOn w:val="678"/>
    <w:uiPriority w:val="0"/>
    <w:qFormat/>
    <w:rPr>
      <w:rFonts w:ascii="Tahoma" w:hAnsi="Tahoma"/>
      <w:sz w:val="24"/>
    </w:rPr>
  </w:style>
  <w:style w:type="paragraph" w:styleId="1265" w:customStyle="1">
    <w:name w:val="reader-word-layer"/>
    <w:basedOn w:val="678"/>
    <w:uiPriority w:val="99"/>
    <w:qFormat/>
    <w:pPr>
      <w:jc w:val="left"/>
      <w:spacing w:before="100" w:beforeAutospacing="1" w:after="100" w:afterAutospacing="1"/>
      <w:widowControl/>
    </w:pPr>
    <w:rPr>
      <w:rFonts w:ascii="宋体" w:hAnsi="宋体" w:cs="宋体"/>
      <w:sz w:val="24"/>
      <w:szCs w:val="24"/>
    </w:rPr>
  </w:style>
  <w:style w:type="paragraph" w:styleId="1266" w:customStyle="1">
    <w:name w:val="xl2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67" w:customStyle="1">
    <w:name w:val="font31"/>
    <w:link w:val="678"/>
    <w:uiPriority w:val="0"/>
    <w:qFormat/>
    <w:rPr>
      <w:rFonts w:ascii="等线" w:hAnsi="等线" w:eastAsia="等线" w:cs="等线"/>
      <w:color w:val="000000"/>
      <w:sz w:val="21"/>
      <w:szCs w:val="21"/>
      <w:u w:val="none"/>
    </w:rPr>
  </w:style>
  <w:style w:type="character" w:styleId="1268" w:customStyle="1">
    <w:name w:val="NormalCharacter1"/>
    <w:link w:val="678"/>
    <w:uiPriority w:val="0"/>
    <w:semiHidden/>
    <w:qFormat/>
  </w:style>
  <w:style w:type="character" w:styleId="1269" w:customStyle="1">
    <w:name w:val="font51"/>
    <w:link w:val="678"/>
    <w:uiPriority w:val="0"/>
    <w:qFormat/>
    <w:rPr>
      <w:rFonts w:hint="eastAsia" w:ascii="宋体" w:hAnsi="宋体" w:eastAsia="宋体" w:cs="宋体"/>
      <w:color w:val="ff0000"/>
      <w:sz w:val="22"/>
      <w:szCs w:val="22"/>
      <w:u w:val="none"/>
    </w:rPr>
  </w:style>
  <w:style w:type="table" w:styleId="1270" w:customStyle="1">
    <w:name w:val="Normal Table0"/>
    <w:uiPriority w:val="2"/>
    <w:unhideWhenUsed/>
    <w:qFormat/>
    <w:pPr>
      <w:widowControl w:val="off"/>
    </w:pPr>
    <w:rPr>
      <w:sz w:val="22"/>
      <w:szCs w:val="22"/>
      <w:lang w:val="en-US" w:eastAsia="en-US" w:bidi="ar-SA"/>
    </w:rPr>
    <w:tblPr/>
  </w:style>
  <w:style w:type="paragraph" w:styleId="1271" w:customStyle="1">
    <w:name w:val="二级标题"/>
    <w:next w:val="678"/>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272" w:customStyle="1">
    <w:name w:val="三级标题"/>
    <w:next w:val="678"/>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273" w:customStyle="1">
    <w:name w:val="四级标题"/>
    <w:next w:val="678"/>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274" w:customStyle="1">
    <w:name w:val="msonormal"/>
    <w:basedOn w:val="678"/>
    <w:uiPriority w:val="0"/>
    <w:qFormat/>
    <w:pPr>
      <w:jc w:val="left"/>
      <w:spacing w:before="100" w:beforeAutospacing="1" w:after="100" w:afterAutospacing="1"/>
      <w:widowControl/>
    </w:pPr>
    <w:rPr>
      <w:rFonts w:ascii="宋体" w:hAnsi="宋体" w:cs="宋体"/>
      <w:sz w:val="24"/>
      <w:szCs w:val="24"/>
    </w:rPr>
  </w:style>
  <w:style w:type="paragraph" w:styleId="1275" w:customStyle="1">
    <w:name w:val="xl71"/>
    <w:basedOn w:val="678"/>
    <w:uiPriority w:val="0"/>
    <w:qFormat/>
    <w:pPr>
      <w:jc w:val="left"/>
      <w:spacing w:before="100" w:beforeAutospacing="1" w:after="100" w:afterAutospacing="1"/>
      <w:widowControl/>
    </w:pPr>
    <w:rPr>
      <w:rFonts w:ascii="宋体" w:hAnsi="宋体" w:cs="宋体"/>
      <w:sz w:val="24"/>
      <w:szCs w:val="24"/>
    </w:rPr>
  </w:style>
  <w:style w:type="paragraph" w:styleId="1276" w:customStyle="1">
    <w:name w:val="xl72"/>
    <w:basedOn w:val="678"/>
    <w:uiPriority w:val="0"/>
    <w:qFormat/>
    <w:pPr>
      <w:jc w:val="center"/>
      <w:spacing w:before="100" w:beforeAutospacing="1" w:after="100" w:afterAutospacing="1"/>
      <w:widowControl/>
    </w:pPr>
    <w:rPr>
      <w:rFonts w:ascii="宋体" w:hAnsi="宋体" w:cs="宋体"/>
      <w:sz w:val="24"/>
      <w:szCs w:val="24"/>
    </w:rPr>
  </w:style>
  <w:style w:type="paragraph" w:styleId="1277" w:customStyle="1">
    <w:name w:val="xl73"/>
    <w:basedOn w:val="678"/>
    <w:uiPriority w:val="0"/>
    <w:qFormat/>
    <w:pPr>
      <w:jc w:val="center"/>
      <w:spacing w:before="100" w:beforeAutospacing="1" w:after="100" w:afterAutospacing="1"/>
      <w:widowControl/>
    </w:pPr>
    <w:rPr>
      <w:rFonts w:ascii="宋体" w:hAnsi="宋体" w:cs="宋体"/>
      <w:sz w:val="24"/>
      <w:szCs w:val="24"/>
    </w:rPr>
  </w:style>
  <w:style w:type="paragraph" w:styleId="1278" w:customStyle="1">
    <w:name w:val="xl74"/>
    <w:basedOn w:val="678"/>
    <w:uiPriority w:val="0"/>
    <w:qFormat/>
    <w:pPr>
      <w:jc w:val="center"/>
      <w:spacing w:before="100" w:beforeAutospacing="1" w:after="100" w:afterAutospacing="1"/>
      <w:widowControl/>
    </w:pPr>
    <w:rPr>
      <w:rFonts w:ascii="宋体" w:hAnsi="宋体" w:cs="宋体"/>
      <w:sz w:val="20"/>
    </w:rPr>
  </w:style>
  <w:style w:type="paragraph" w:styleId="1279" w:customStyle="1">
    <w:name w:val="xl7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0" w:customStyle="1">
    <w:name w:val="xl7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1" w:customStyle="1">
    <w:name w:val="xl77"/>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2" w:customStyle="1">
    <w:name w:val="xl7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3" w:customStyle="1">
    <w:name w:val="xl79"/>
    <w:basedOn w:val="678"/>
    <w:uiPriority w:val="0"/>
    <w:qFormat/>
    <w:pPr>
      <w:jc w:val="center"/>
      <w:spacing w:before="100" w:beforeAutospacing="1" w:after="100" w:afterAutospacing="1"/>
      <w:shd w:val="clear" w:color="000000" w:fill="ffffff"/>
      <w:widowControl/>
    </w:pPr>
    <w:rPr>
      <w:rFonts w:ascii="宋体" w:hAnsi="宋体" w:cs="宋体"/>
      <w:sz w:val="20"/>
    </w:rPr>
  </w:style>
  <w:style w:type="paragraph" w:styleId="1284" w:customStyle="1">
    <w:name w:val="xl80"/>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5" w:customStyle="1">
    <w:name w:val="xl8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6" w:customStyle="1">
    <w:name w:val="xl8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7" w:customStyle="1">
    <w:name w:val="xl83"/>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8" w:customStyle="1">
    <w:name w:val="xl84"/>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9" w:customStyle="1">
    <w:name w:val="xl85"/>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0" w:customStyle="1">
    <w:name w:val="纯文本11"/>
    <w:basedOn w:val="678"/>
    <w:uiPriority w:val="0"/>
    <w:qFormat/>
    <w:rPr>
      <w:rFonts w:ascii="宋体" w:hAnsi="Courier New"/>
    </w:rPr>
  </w:style>
  <w:style w:type="paragraph" w:styleId="1291" w:customStyle="1">
    <w:name w:val="_Style 78"/>
    <w:basedOn w:val="678"/>
    <w:next w:val="678"/>
    <w:uiPriority w:val="39"/>
    <w:qFormat/>
    <w:pPr>
      <w:ind w:left="1470"/>
      <w:jc w:val="left"/>
    </w:pPr>
    <w:rPr>
      <w:szCs w:val="21"/>
    </w:rPr>
  </w:style>
  <w:style w:type="paragraph" w:styleId="1292" w:customStyle="1">
    <w:name w:val="页脚1"/>
    <w:basedOn w:val="678"/>
    <w:uiPriority w:val="0"/>
    <w:qFormat/>
    <w:pPr>
      <w:jc w:val="left"/>
      <w:tabs>
        <w:tab w:val="center" w:pos="4153" w:leader="none"/>
        <w:tab w:val="right" w:pos="8306" w:leader="none"/>
      </w:tabs>
    </w:pPr>
    <w:rPr>
      <w:sz w:val="18"/>
      <w:szCs w:val="18"/>
    </w:rPr>
  </w:style>
  <w:style w:type="character" w:styleId="1293" w:customStyle="1">
    <w:name w:val="font61"/>
    <w:link w:val="678"/>
    <w:uiPriority w:val="0"/>
    <w:qFormat/>
    <w:rPr>
      <w:rFonts w:hint="eastAsia" w:ascii="宋体" w:hAnsi="宋体" w:eastAsia="宋体" w:cs="宋体"/>
      <w:color w:val="000000"/>
      <w:sz w:val="20"/>
      <w:szCs w:val="20"/>
      <w:u w:val="none"/>
    </w:rPr>
  </w:style>
  <w:style w:type="character" w:styleId="1294" w:customStyle="1">
    <w:name w:val="font231"/>
    <w:link w:val="678"/>
    <w:uiPriority w:val="0"/>
    <w:qFormat/>
    <w:rPr>
      <w:rFonts w:ascii="Calibri" w:hAnsi="Calibri" w:cs="Calibri"/>
      <w:color w:val="000000"/>
      <w:sz w:val="20"/>
      <w:szCs w:val="20"/>
      <w:u w:val="none"/>
    </w:rPr>
  </w:style>
  <w:style w:type="character" w:styleId="1295" w:customStyle="1">
    <w:name w:val="font241"/>
    <w:link w:val="678"/>
    <w:uiPriority w:val="0"/>
    <w:qFormat/>
    <w:rPr>
      <w:rFonts w:ascii="Calibri" w:hAnsi="Calibri" w:cs="Calibri"/>
      <w:color w:val="000000"/>
      <w:sz w:val="20"/>
      <w:szCs w:val="20"/>
      <w:u w:val="none"/>
    </w:rPr>
  </w:style>
  <w:style w:type="character" w:styleId="1296" w:customStyle="1">
    <w:name w:val="font81"/>
    <w:link w:val="678"/>
    <w:uiPriority w:val="0"/>
    <w:qFormat/>
    <w:rPr>
      <w:rFonts w:ascii="宋体" w:hAnsi="宋体" w:eastAsia="宋体" w:cs="宋体"/>
      <w:color w:val="000000"/>
      <w:sz w:val="20"/>
      <w:szCs w:val="20"/>
      <w:u w:val="none"/>
    </w:rPr>
  </w:style>
  <w:style w:type="character" w:styleId="1297" w:customStyle="1">
    <w:name w:val="font251"/>
    <w:link w:val="678"/>
    <w:uiPriority w:val="0"/>
    <w:qFormat/>
    <w:rPr>
      <w:rFonts w:ascii="宋体" w:hAnsi="宋体" w:eastAsia="宋体" w:cs="宋体"/>
      <w:b/>
      <w:bCs/>
      <w:color w:val="000000"/>
      <w:sz w:val="20"/>
      <w:szCs w:val="20"/>
      <w:u w:val="none"/>
    </w:rPr>
  </w:style>
  <w:style w:type="character" w:styleId="1298" w:customStyle="1">
    <w:name w:val="font112"/>
    <w:link w:val="678"/>
    <w:uiPriority w:val="0"/>
    <w:qFormat/>
    <w:rPr>
      <w:rFonts w:hint="eastAsia" w:ascii="宋体" w:hAnsi="宋体" w:eastAsia="宋体" w:cs="宋体"/>
      <w:b/>
      <w:bCs/>
      <w:color w:val="000000"/>
      <w:sz w:val="20"/>
      <w:szCs w:val="20"/>
      <w:u w:val="none"/>
    </w:rPr>
  </w:style>
  <w:style w:type="character" w:styleId="1299" w:customStyle="1">
    <w:name w:val="font261"/>
    <w:link w:val="678"/>
    <w:uiPriority w:val="0"/>
    <w:qFormat/>
    <w:rPr>
      <w:rFonts w:ascii="微软雅黑" w:hAnsi="微软雅黑" w:eastAsia="微软雅黑" w:cs="微软雅黑"/>
      <w:color w:val="000000"/>
      <w:sz w:val="18"/>
      <w:szCs w:val="18"/>
      <w:u w:val="none"/>
    </w:rPr>
  </w:style>
  <w:style w:type="character" w:styleId="1300" w:customStyle="1">
    <w:name w:val="font271"/>
    <w:link w:val="678"/>
    <w:uiPriority w:val="0"/>
    <w:qFormat/>
    <w:rPr>
      <w:rFonts w:ascii="Arial" w:hAnsi="Arial" w:cs="Arial"/>
      <w:color w:val="000000"/>
      <w:sz w:val="20"/>
      <w:szCs w:val="20"/>
      <w:u w:val="none"/>
    </w:rPr>
  </w:style>
  <w:style w:type="character" w:styleId="1301" w:customStyle="1">
    <w:name w:val="font141"/>
    <w:link w:val="678"/>
    <w:uiPriority w:val="0"/>
    <w:qFormat/>
    <w:rPr>
      <w:rFonts w:ascii="宋体" w:hAnsi="宋体" w:eastAsia="宋体" w:cs="宋体"/>
      <w:color w:val="000000"/>
      <w:sz w:val="20"/>
      <w:szCs w:val="20"/>
      <w:u w:val="none"/>
    </w:rPr>
  </w:style>
  <w:style w:type="character" w:styleId="1302" w:customStyle="1">
    <w:name w:val="font91"/>
    <w:link w:val="678"/>
    <w:uiPriority w:val="0"/>
    <w:qFormat/>
    <w:rPr>
      <w:rFonts w:hint="eastAsia" w:ascii="宋体" w:hAnsi="宋体" w:eastAsia="宋体" w:cs="宋体"/>
      <w:color w:val="000000"/>
      <w:sz w:val="20"/>
      <w:szCs w:val="20"/>
      <w:u w:val="none"/>
    </w:rPr>
  </w:style>
  <w:style w:type="character" w:styleId="1303" w:customStyle="1">
    <w:name w:val="font281"/>
    <w:link w:val="678"/>
    <w:uiPriority w:val="0"/>
    <w:qFormat/>
    <w:rPr>
      <w:rFonts w:ascii="Calibri" w:hAnsi="Calibri" w:cs="Calibri"/>
      <w:color w:val="000000"/>
      <w:sz w:val="20"/>
      <w:szCs w:val="20"/>
      <w:u w:val="none"/>
    </w:rPr>
  </w:style>
  <w:style w:type="table" w:styleId="1304" w:customStyle="1">
    <w:name w:val="Table Normal"/>
    <w:basedOn w:val="730"/>
    <w:uiPriority w:val="2"/>
    <w:unhideWhenUsed/>
    <w:qFormat/>
    <w:tblPr/>
  </w:style>
  <w:style w:type="character" w:styleId="1305" w:customStyle="1">
    <w:name w:val="font41"/>
    <w:link w:val="678"/>
    <w:uiPriority w:val="0"/>
    <w:qFormat/>
    <w:rPr>
      <w:rFonts w:hint="eastAsia" w:ascii="等线" w:hAnsi="等线" w:eastAsia="等线" w:cs="等线"/>
      <w:color w:val="000000"/>
      <w:sz w:val="21"/>
      <w:szCs w:val="21"/>
      <w:u w:val="none"/>
    </w:rPr>
  </w:style>
  <w:style w:type="character" w:styleId="1306" w:customStyle="1">
    <w:name w:val="font291"/>
    <w:link w:val="678"/>
    <w:uiPriority w:val="0"/>
    <w:qFormat/>
    <w:rPr>
      <w:rFonts w:hint="eastAsia" w:ascii="Arial Unicode MS" w:hAnsi="Arial Unicode MS" w:eastAsia="Arial Unicode MS" w:cs="Arial Unicode MS"/>
      <w:color w:val="000000"/>
      <w:sz w:val="18"/>
      <w:szCs w:val="18"/>
      <w:u w:val="none"/>
    </w:rPr>
  </w:style>
  <w:style w:type="character" w:styleId="1307" w:customStyle="1">
    <w:name w:val="font301"/>
    <w:link w:val="678"/>
    <w:uiPriority w:val="0"/>
    <w:qFormat/>
    <w:rPr>
      <w:rFonts w:hint="eastAsia" w:ascii="Arial Unicode MS" w:hAnsi="Arial Unicode MS" w:eastAsia="Arial Unicode MS" w:cs="Arial Unicode MS"/>
      <w:color w:val="000000"/>
      <w:sz w:val="21"/>
      <w:szCs w:val="21"/>
      <w:u w:val="none"/>
    </w:rPr>
  </w:style>
  <w:style w:type="character" w:styleId="1308" w:customStyle="1">
    <w:name w:val="font312"/>
    <w:link w:val="678"/>
    <w:uiPriority w:val="0"/>
    <w:qFormat/>
    <w:rPr>
      <w:rFonts w:ascii="Arial" w:hAnsi="Arial" w:cs="Arial"/>
      <w:color w:val="000000"/>
      <w:sz w:val="21"/>
      <w:szCs w:val="21"/>
      <w:u w:val="none"/>
    </w:rPr>
  </w:style>
  <w:style w:type="character" w:styleId="1309" w:customStyle="1">
    <w:name w:val="font181"/>
    <w:link w:val="678"/>
    <w:uiPriority w:val="0"/>
    <w:qFormat/>
    <w:rPr>
      <w:rFonts w:hint="eastAsia" w:ascii="等线" w:hAnsi="等线" w:eastAsia="等线" w:cs="等线"/>
      <w:color w:val="ff0000"/>
      <w:sz w:val="21"/>
      <w:szCs w:val="21"/>
      <w:u w:val="none"/>
    </w:rPr>
  </w:style>
  <w:style w:type="character" w:styleId="1310" w:customStyle="1">
    <w:name w:val="font321"/>
    <w:link w:val="678"/>
    <w:uiPriority w:val="0"/>
    <w:qFormat/>
    <w:rPr>
      <w:rFonts w:hint="eastAsia" w:ascii="等线" w:hAnsi="等线" w:eastAsia="等线" w:cs="等线"/>
      <w:b/>
      <w:bCs/>
      <w:color w:val="000000"/>
      <w:sz w:val="21"/>
      <w:szCs w:val="21"/>
      <w:u w:val="none"/>
    </w:rPr>
  </w:style>
  <w:style w:type="character" w:styleId="1311" w:customStyle="1">
    <w:name w:val="font331"/>
    <w:link w:val="678"/>
    <w:uiPriority w:val="0"/>
    <w:qFormat/>
    <w:rPr>
      <w:rFonts w:ascii="Arial" w:hAnsi="Arial" w:cs="Arial"/>
      <w:color w:val="000000"/>
      <w:sz w:val="21"/>
      <w:szCs w:val="21"/>
      <w:u w:val="none"/>
    </w:rPr>
  </w:style>
  <w:style w:type="character" w:styleId="1312" w:customStyle="1">
    <w:name w:val="font341"/>
    <w:link w:val="678"/>
    <w:uiPriority w:val="0"/>
    <w:qFormat/>
    <w:rPr>
      <w:rFonts w:ascii="Times New Roman" w:hAnsi="Times New Roman" w:cs="Times New Roman"/>
      <w:color w:val="000000"/>
      <w:sz w:val="21"/>
      <w:szCs w:val="21"/>
      <w:u w:val="none"/>
    </w:rPr>
  </w:style>
  <w:style w:type="character" w:styleId="1313" w:customStyle="1">
    <w:name w:val="font351"/>
    <w:link w:val="678"/>
    <w:uiPriority w:val="0"/>
    <w:qFormat/>
    <w:rPr>
      <w:rFonts w:hint="eastAsia" w:ascii="等线" w:hAnsi="等线" w:eastAsia="等线" w:cs="等线"/>
      <w:color w:val="333333"/>
      <w:sz w:val="21"/>
      <w:szCs w:val="21"/>
      <w:u w:val="none"/>
    </w:rPr>
  </w:style>
  <w:style w:type="character" w:styleId="1314" w:customStyle="1">
    <w:name w:val="font361"/>
    <w:link w:val="678"/>
    <w:uiPriority w:val="0"/>
    <w:qFormat/>
    <w:rPr>
      <w:rFonts w:ascii="Times New Roman" w:hAnsi="Times New Roman" w:cs="Times New Roman"/>
      <w:color w:val="000000"/>
      <w:sz w:val="21"/>
      <w:szCs w:val="21"/>
      <w:u w:val="none"/>
    </w:rPr>
  </w:style>
  <w:style w:type="character" w:styleId="1315" w:customStyle="1">
    <w:name w:val="font191"/>
    <w:link w:val="678"/>
    <w:uiPriority w:val="0"/>
    <w:qFormat/>
    <w:rPr>
      <w:rFonts w:hint="eastAsia" w:ascii="等线" w:hAnsi="等线" w:eastAsia="等线" w:cs="等线"/>
      <w:b/>
      <w:bCs/>
      <w:color w:val="000000"/>
      <w:sz w:val="21"/>
      <w:szCs w:val="21"/>
      <w:u w:val="none"/>
    </w:rPr>
  </w:style>
  <w:style w:type="character" w:styleId="1316" w:customStyle="1">
    <w:name w:val="font371"/>
    <w:link w:val="678"/>
    <w:uiPriority w:val="0"/>
    <w:qFormat/>
    <w:rPr>
      <w:rFonts w:ascii="Arial" w:hAnsi="Arial" w:cs="Arial"/>
      <w:color w:val="000000"/>
      <w:sz w:val="21"/>
      <w:szCs w:val="21"/>
      <w:u w:val="none"/>
    </w:rPr>
  </w:style>
  <w:style w:type="character" w:styleId="1317" w:customStyle="1">
    <w:name w:val="font101"/>
    <w:basedOn w:val="729"/>
    <w:link w:val="678"/>
    <w:uiPriority w:val="0"/>
    <w:qFormat/>
    <w:rPr>
      <w:rFonts w:hint="eastAsia" w:ascii="等线" w:hAnsi="等线" w:eastAsia="等线" w:cs="等线"/>
      <w:color w:val="000000"/>
      <w:sz w:val="21"/>
      <w:szCs w:val="21"/>
      <w:u w:val="none"/>
    </w:rPr>
  </w:style>
  <w:style w:type="character" w:styleId="1318" w:customStyle="1">
    <w:name w:val="正文文本缩进 Char"/>
    <w:link w:val="678"/>
    <w:uiPriority w:val="0"/>
    <w:qFormat/>
    <w:rPr>
      <w:rFonts w:ascii="方正楷体_GB2312" w:eastAsia="方正楷体_GB2312"/>
      <w:sz w:val="32"/>
      <w:lang w:val="en-US" w:eastAsia="zh-CN" w:bidi="ar-SA"/>
    </w:rPr>
  </w:style>
  <w:style w:type="character" w:styleId="1319" w:customStyle="1">
    <w:name w:val="标题 2 Char"/>
    <w:link w:val="678"/>
    <w:uiPriority w:val="0"/>
    <w:qFormat/>
    <w:rPr>
      <w:rFonts w:ascii="宋体" w:hAnsi="宋体" w:eastAsia="宋体"/>
      <w:b/>
      <w:sz w:val="21"/>
      <w:szCs w:val="24"/>
      <w:lang w:val="en-US" w:eastAsia="zh-CN" w:bidi="ar-SA"/>
    </w:rPr>
  </w:style>
  <w:style w:type="character" w:styleId="1320" w:customStyle="1">
    <w:name w:val="标题 3 Char1"/>
    <w:link w:val="678"/>
    <w:uiPriority w:val="0"/>
    <w:qFormat/>
    <w:rPr>
      <w:rFonts w:ascii="宋体" w:hAnsi="宋体" w:eastAsia="宋体"/>
      <w:b/>
      <w:sz w:val="21"/>
      <w:szCs w:val="21"/>
      <w:shd w:val="clear" w:color="auto" w:fill="ffffff"/>
    </w:rPr>
  </w:style>
  <w:style w:type="character" w:styleId="1321" w:customStyle="1">
    <w:name w:val="标题 4 Char"/>
    <w:link w:val="678"/>
    <w:uiPriority w:val="0"/>
    <w:qFormat/>
    <w:rPr>
      <w:rFonts w:ascii="Arial" w:hAnsi="Arial" w:eastAsia="黑体"/>
      <w:b/>
      <w:sz w:val="28"/>
      <w:lang w:val="en-US" w:eastAsia="zh-CN" w:bidi="ar-SA"/>
    </w:rPr>
  </w:style>
  <w:style w:type="character" w:styleId="1322" w:customStyle="1">
    <w:name w:val="标题 5 Char"/>
    <w:link w:val="678"/>
    <w:uiPriority w:val="0"/>
    <w:qFormat/>
    <w:rPr>
      <w:rFonts w:ascii="黑体" w:eastAsia="黑体"/>
      <w:b/>
      <w:color w:val="000000"/>
      <w:sz w:val="28"/>
      <w:lang w:val="en-US" w:eastAsia="zh-CN" w:bidi="ar-SA"/>
    </w:rPr>
  </w:style>
  <w:style w:type="character" w:styleId="1323" w:customStyle="1">
    <w:name w:val="标题 6 Char"/>
    <w:link w:val="678"/>
    <w:uiPriority w:val="0"/>
    <w:qFormat/>
    <w:rPr>
      <w:rFonts w:ascii="Arial" w:hAnsi="Arial" w:eastAsia="黑体"/>
      <w:b/>
      <w:bCs/>
      <w:sz w:val="24"/>
      <w:szCs w:val="24"/>
      <w:lang w:val="en-US" w:eastAsia="zh-CN" w:bidi="ar-SA"/>
    </w:rPr>
  </w:style>
  <w:style w:type="character" w:styleId="1324" w:customStyle="1">
    <w:name w:val="标题 7 Char"/>
    <w:link w:val="678"/>
    <w:uiPriority w:val="0"/>
    <w:qFormat/>
    <w:rPr>
      <w:rFonts w:eastAsia="宋体"/>
      <w:b/>
      <w:bCs/>
      <w:sz w:val="24"/>
      <w:szCs w:val="24"/>
      <w:lang w:val="en-US" w:eastAsia="zh-CN" w:bidi="ar-SA"/>
    </w:rPr>
  </w:style>
  <w:style w:type="character" w:styleId="1325" w:customStyle="1">
    <w:name w:val="标题 8 Char"/>
    <w:link w:val="678"/>
    <w:uiPriority w:val="0"/>
    <w:qFormat/>
    <w:rPr>
      <w:rFonts w:ascii="Arial" w:hAnsi="Arial" w:eastAsia="黑体"/>
      <w:sz w:val="24"/>
      <w:szCs w:val="24"/>
      <w:lang w:val="en-US" w:eastAsia="zh-CN" w:bidi="ar-SA"/>
    </w:rPr>
  </w:style>
  <w:style w:type="character" w:styleId="1326" w:customStyle="1">
    <w:name w:val="标题 9 Char"/>
    <w:link w:val="678"/>
    <w:uiPriority w:val="0"/>
    <w:qFormat/>
    <w:rPr>
      <w:rFonts w:ascii="Arial" w:hAnsi="Arial" w:eastAsia="黑体"/>
      <w:sz w:val="21"/>
      <w:szCs w:val="21"/>
      <w:lang w:val="en-US" w:eastAsia="zh-CN" w:bidi="ar-SA"/>
    </w:rPr>
  </w:style>
  <w:style w:type="character" w:styleId="1327" w:customStyle="1">
    <w:name w:val="文档结构图 Char"/>
    <w:link w:val="678"/>
    <w:uiPriority w:val="0"/>
    <w:qFormat/>
    <w:rPr>
      <w:rFonts w:eastAsia="宋体"/>
      <w:sz w:val="21"/>
      <w:lang w:val="en-US" w:eastAsia="zh-CN" w:bidi="ar-SA"/>
    </w:rPr>
  </w:style>
  <w:style w:type="character" w:styleId="1328" w:customStyle="1">
    <w:name w:val="批注文字 Char"/>
    <w:link w:val="678"/>
    <w:uiPriority w:val="0"/>
    <w:qFormat/>
    <w:rPr>
      <w:rFonts w:eastAsia="宋体"/>
      <w:sz w:val="21"/>
      <w:lang w:val="en-US" w:eastAsia="zh-CN" w:bidi="ar-SA"/>
    </w:rPr>
  </w:style>
  <w:style w:type="character" w:styleId="1329" w:customStyle="1">
    <w:name w:val="纯文本 Char"/>
    <w:link w:val="678"/>
    <w:uiPriority w:val="0"/>
    <w:qFormat/>
    <w:rPr>
      <w:rFonts w:ascii="宋体" w:hAnsi="Courier New" w:eastAsia="宋体"/>
      <w:sz w:val="21"/>
      <w:lang w:val="en-US" w:eastAsia="zh-CN" w:bidi="ar-SA"/>
    </w:rPr>
  </w:style>
  <w:style w:type="character" w:styleId="1330" w:customStyle="1">
    <w:name w:val="正文文本缩进 2 Char"/>
    <w:link w:val="678"/>
    <w:uiPriority w:val="0"/>
    <w:qFormat/>
    <w:rPr>
      <w:rFonts w:ascii="Arial" w:hAnsi="Arial" w:eastAsia="方正仿宋_GB2312"/>
      <w:sz w:val="32"/>
      <w:lang w:val="en-US" w:eastAsia="zh-CN" w:bidi="ar-SA"/>
    </w:rPr>
  </w:style>
  <w:style w:type="character" w:styleId="1331" w:customStyle="1">
    <w:name w:val="页脚 Char"/>
    <w:link w:val="678"/>
    <w:uiPriority w:val="0"/>
    <w:qFormat/>
    <w:rPr>
      <w:sz w:val="18"/>
    </w:rPr>
  </w:style>
  <w:style w:type="character" w:styleId="1332" w:customStyle="1">
    <w:name w:val="正文文本缩进 3 Char"/>
    <w:link w:val="678"/>
    <w:uiPriority w:val="0"/>
    <w:qFormat/>
    <w:rPr>
      <w:rFonts w:ascii="Arial" w:hAnsi="Arial" w:eastAsia="方正仿宋_GB2312"/>
      <w:color w:val="ffff00"/>
      <w:sz w:val="32"/>
      <w:lang w:val="en-US" w:eastAsia="zh-CN" w:bidi="ar-SA"/>
    </w:rPr>
  </w:style>
  <w:style w:type="character" w:styleId="1333" w:customStyle="1">
    <w:name w:val="HTML 预设格式 Char"/>
    <w:link w:val="678"/>
    <w:uiPriority w:val="99"/>
    <w:qFormat/>
    <w:rPr>
      <w:rFonts w:ascii="黑体" w:hAnsi="Courier New" w:eastAsia="黑体" w:cs="Courier New"/>
      <w:lang w:val="en-US" w:eastAsia="zh-CN" w:bidi="ar-SA"/>
    </w:rPr>
  </w:style>
  <w:style w:type="character" w:styleId="1334" w:customStyle="1">
    <w:name w:val="标题 Char"/>
    <w:link w:val="678"/>
    <w:uiPriority w:val="0"/>
    <w:qFormat/>
    <w:rPr>
      <w:rFonts w:eastAsia="黑体"/>
      <w:b/>
      <w:sz w:val="28"/>
      <w:lang w:val="en-GB" w:eastAsia="zh-CN" w:bidi="ar-SA"/>
    </w:rPr>
  </w:style>
  <w:style w:type="character" w:styleId="1335" w:customStyle="1">
    <w:name w:val="批注主题 Char"/>
    <w:link w:val="678"/>
    <w:uiPriority w:val="0"/>
    <w:qFormat/>
    <w:rPr>
      <w:rFonts w:eastAsia="宋体"/>
      <w:b/>
      <w:bCs/>
      <w:sz w:val="21"/>
      <w:lang w:val="en-US" w:eastAsia="zh-CN" w:bidi="ar-SA"/>
    </w:rPr>
  </w:style>
  <w:style w:type="character" w:styleId="1336" w:customStyle="1">
    <w:name w:val="引用 Char"/>
    <w:link w:val="678"/>
    <w:uiPriority w:val="0"/>
    <w:qFormat/>
    <w:rPr>
      <w:rFonts w:ascii="Calibri" w:hAnsi="Calibri" w:eastAsia="宋体"/>
      <w:i/>
      <w:iCs/>
      <w:sz w:val="22"/>
      <w:szCs w:val="22"/>
      <w:lang w:val="en-US" w:eastAsia="en-US" w:bidi="en-US"/>
    </w:rPr>
  </w:style>
  <w:style w:type="character" w:styleId="1337" w:customStyle="1">
    <w:name w:val="明显引用 Char"/>
    <w:link w:val="678"/>
    <w:uiPriority w:val="0"/>
    <w:qFormat/>
    <w:rPr>
      <w:rFonts w:ascii="Calibri" w:hAnsi="Calibri" w:eastAsia="宋体"/>
      <w:b/>
      <w:bCs/>
      <w:i/>
      <w:iCs/>
      <w:sz w:val="22"/>
      <w:szCs w:val="22"/>
      <w:lang w:val="en-US" w:eastAsia="en-US" w:bidi="en-US"/>
    </w:rPr>
  </w:style>
  <w:style w:type="character" w:styleId="1338" w:customStyle="1">
    <w:name w:val="无间隔 Char"/>
    <w:link w:val="678"/>
    <w:uiPriority w:val="0"/>
    <w:qFormat/>
    <w:rPr>
      <w:rFonts w:eastAsia="微软雅黑"/>
      <w:sz w:val="24"/>
      <w:szCs w:val="22"/>
      <w:lang w:val="en-US" w:eastAsia="zh-CN" w:bidi="ar-SA"/>
    </w:rPr>
  </w:style>
  <w:style w:type="numbering" w:styleId="1482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jpg"/><Relationship Id="rId51" Type="http://schemas.openxmlformats.org/officeDocument/2006/relationships/image" Target="media/image40.jpg"/><Relationship Id="rId52" Type="http://schemas.openxmlformats.org/officeDocument/2006/relationships/image" Target="media/image41.jpg"/><Relationship Id="rId53" Type="http://schemas.openxmlformats.org/officeDocument/2006/relationships/image" Target="media/image42.jpg"/><Relationship Id="rId54" Type="http://schemas.openxmlformats.org/officeDocument/2006/relationships/image" Target="media/image43.jpg"/><Relationship Id="rId55" Type="http://schemas.openxmlformats.org/officeDocument/2006/relationships/image" Target="media/image44.jpg"/><Relationship Id="rId56" Type="http://schemas.openxmlformats.org/officeDocument/2006/relationships/image" Target="media/image45.jpg"/><Relationship Id="rId57" Type="http://schemas.openxmlformats.org/officeDocument/2006/relationships/image" Target="media/image4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6</cp:revision>
  <dcterms:created xsi:type="dcterms:W3CDTF">2024-01-04T09:07:00Z</dcterms:created>
  <dcterms:modified xsi:type="dcterms:W3CDTF">2026-06-29T04:13:08Z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eyJoZGlkIjoiMjU2NDY2NjBkZGQzM2FjMWQyZjJkZDEzODgxYTI3MmYiLCJ1c2VySWQiOiI2ODk0NTUyMDgifQ==</vt:lpwstr>
  </property>
  <property fmtid="{D5CDD505-2E9C-101B-9397-08002B2CF9AE}" pid="3" name="KSOProductBuildVer">
    <vt:lpwstr>2052-12.1.0.26375</vt:lpwstr>
  </property>
  <property fmtid="{D5CDD505-2E9C-101B-9397-08002B2CF9AE}" pid="4" name="ICV">
    <vt:lpwstr>47413C4E454943BE9D25ECB1F2B6DA97_12</vt:lpwstr>
  </property>
</Properties>
</file>