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1DA192E">
      <w:pPr>
        <w:jc w:val="center"/>
        <w:rPr>
          <w:rFonts w:hint="eastAsia" w:ascii="宋体" w:hAnsi="宋体" w:cs="宋体"/>
          <w:sz w:val="84"/>
          <w:szCs w:val="84"/>
          <w:highlight w:val="none"/>
        </w:rPr>
      </w:pPr>
    </w:p>
    <w:p w14:paraId="75885CA9">
      <w:pPr>
        <w:jc w:val="center"/>
        <w:rPr>
          <w:rFonts w:hint="eastAsia" w:ascii="宋体" w:hAnsi="宋体" w:cs="宋体"/>
          <w:sz w:val="84"/>
          <w:szCs w:val="84"/>
          <w:highlight w:val="none"/>
        </w:rPr>
      </w:pPr>
    </w:p>
    <w:p w14:paraId="25D9CA0C">
      <w:pPr>
        <w:jc w:val="center"/>
        <w:rPr>
          <w:rFonts w:ascii="宋体" w:hAnsi="宋体" w:cs="宋体"/>
          <w:sz w:val="84"/>
          <w:szCs w:val="84"/>
          <w:highlight w:val="none"/>
        </w:rPr>
      </w:pPr>
      <w:r>
        <w:rPr>
          <w:rFonts w:hint="eastAsia" w:ascii="宋体" w:hAnsi="宋体" w:cs="宋体"/>
          <w:sz w:val="84"/>
          <w:szCs w:val="84"/>
          <w:highlight w:val="none"/>
        </w:rPr>
        <w:t>竞争性磋商文件</w:t>
      </w:r>
    </w:p>
    <w:p w14:paraId="052BA7A4">
      <w:pPr>
        <w:rPr>
          <w:rFonts w:ascii="宋体" w:hAnsi="宋体" w:cs="宋体"/>
          <w:sz w:val="44"/>
          <w:highlight w:val="none"/>
        </w:rPr>
      </w:pPr>
    </w:p>
    <w:p w14:paraId="2872C731">
      <w:pPr>
        <w:pStyle w:val="49"/>
        <w:ind w:firstLine="0"/>
        <w:rPr>
          <w:rFonts w:ascii="宋体" w:hAnsi="宋体" w:cs="宋体"/>
          <w:highlight w:val="none"/>
        </w:rPr>
      </w:pPr>
    </w:p>
    <w:p w14:paraId="1EED898E">
      <w:pPr>
        <w:pStyle w:val="49"/>
        <w:ind w:firstLine="0"/>
        <w:rPr>
          <w:rFonts w:ascii="宋体" w:hAnsi="宋体" w:cs="宋体"/>
          <w:highlight w:val="none"/>
        </w:rPr>
      </w:pPr>
    </w:p>
    <w:p w14:paraId="45954110">
      <w:pPr>
        <w:pStyle w:val="49"/>
        <w:ind w:firstLine="0"/>
        <w:rPr>
          <w:rFonts w:ascii="宋体" w:hAnsi="宋体" w:cs="宋体"/>
          <w:highlight w:val="none"/>
        </w:rPr>
      </w:pPr>
    </w:p>
    <w:p w14:paraId="3A712BA1">
      <w:pPr>
        <w:pStyle w:val="49"/>
        <w:ind w:firstLine="0"/>
        <w:rPr>
          <w:rFonts w:ascii="宋体" w:hAnsi="宋体" w:cs="宋体"/>
          <w:highlight w:val="none"/>
        </w:rPr>
      </w:pPr>
    </w:p>
    <w:p w14:paraId="7311CFAE">
      <w:pPr>
        <w:ind w:firstLine="720"/>
        <w:rPr>
          <w:rFonts w:hint="eastAsia" w:ascii="宋体" w:hAnsi="宋体" w:eastAsia="宋体" w:cs="宋体"/>
          <w:color w:val="auto"/>
          <w:sz w:val="36"/>
          <w:szCs w:val="36"/>
          <w:highlight w:val="none"/>
          <w:lang w:eastAsia="zh-CN"/>
        </w:rPr>
      </w:pPr>
      <w:r>
        <w:rPr>
          <w:rFonts w:hint="eastAsia" w:ascii="宋体" w:hAnsi="宋体" w:cs="宋体"/>
          <w:color w:val="auto"/>
          <w:sz w:val="36"/>
          <w:szCs w:val="36"/>
          <w:highlight w:val="none"/>
        </w:rPr>
        <w:t>项目编号：</w:t>
      </w:r>
      <w:r>
        <w:rPr>
          <w:rFonts w:hint="eastAsia" w:ascii="宋体" w:hAnsi="宋体" w:cs="宋体"/>
          <w:b w:val="0"/>
          <w:bCs w:val="0"/>
          <w:color w:val="auto"/>
          <w:sz w:val="36"/>
          <w:szCs w:val="36"/>
          <w:highlight w:val="none"/>
          <w:lang w:eastAsia="zh-CN"/>
        </w:rPr>
        <w:t>JSZC-320115-NJDX-C2026-0008</w:t>
      </w:r>
    </w:p>
    <w:p w14:paraId="4F612849">
      <w:pPr>
        <w:rPr>
          <w:rFonts w:ascii="宋体" w:hAnsi="宋体" w:cs="宋体"/>
          <w:color w:val="FF0000"/>
          <w:sz w:val="36"/>
          <w:szCs w:val="36"/>
          <w:highlight w:val="none"/>
        </w:rPr>
      </w:pPr>
    </w:p>
    <w:p w14:paraId="1334BD3A">
      <w:pPr>
        <w:spacing w:line="360" w:lineRule="auto"/>
        <w:ind w:left="2518" w:hanging="1800"/>
        <w:jc w:val="left"/>
        <w:rPr>
          <w:rFonts w:hint="eastAsia" w:ascii="宋体" w:hAnsi="宋体" w:eastAsia="宋体" w:cs="宋体"/>
          <w:color w:val="FF0000"/>
          <w:sz w:val="44"/>
          <w:highlight w:val="none"/>
          <w:lang w:eastAsia="zh-CN"/>
        </w:rPr>
      </w:pPr>
      <w:r>
        <w:rPr>
          <w:rFonts w:hint="eastAsia" w:ascii="宋体" w:hAnsi="宋体" w:eastAsia="宋体" w:cs="宋体"/>
          <w:color w:val="auto"/>
          <w:sz w:val="36"/>
          <w:szCs w:val="36"/>
          <w:highlight w:val="none"/>
        </w:rPr>
        <w:t>项目名称：</w:t>
      </w:r>
      <w:bookmarkStart w:id="0" w:name="OLE_LINK1"/>
      <w:r>
        <w:rPr>
          <w:rFonts w:hint="eastAsia" w:ascii="宋体" w:hAnsi="宋体" w:cs="宋体"/>
          <w:i w:val="0"/>
          <w:iCs w:val="0"/>
          <w:caps w:val="0"/>
          <w:color w:val="333333"/>
          <w:spacing w:val="0"/>
          <w:sz w:val="36"/>
          <w:szCs w:val="36"/>
          <w:shd w:val="clear" w:color="auto" w:fill="FFFFFF"/>
          <w:lang w:eastAsia="zh-CN"/>
        </w:rPr>
        <w:t>东山街道2026年既有建筑安全检测评估服务</w:t>
      </w:r>
    </w:p>
    <w:p w14:paraId="39517F81">
      <w:pPr>
        <w:pStyle w:val="49"/>
        <w:ind w:firstLine="0"/>
        <w:rPr>
          <w:rFonts w:ascii="宋体" w:hAnsi="宋体" w:cs="宋体"/>
          <w:highlight w:val="none"/>
        </w:rPr>
      </w:pPr>
    </w:p>
    <w:p w14:paraId="6F163644">
      <w:pPr>
        <w:rPr>
          <w:rFonts w:ascii="宋体" w:hAnsi="宋体" w:cs="宋体"/>
          <w:sz w:val="32"/>
          <w:highlight w:val="none"/>
        </w:rPr>
      </w:pPr>
    </w:p>
    <w:p w14:paraId="3F7FAF11">
      <w:pPr>
        <w:pStyle w:val="49"/>
        <w:ind w:firstLine="560"/>
        <w:rPr>
          <w:rFonts w:ascii="宋体" w:hAnsi="宋体" w:cs="宋体"/>
          <w:highlight w:val="none"/>
        </w:rPr>
      </w:pPr>
    </w:p>
    <w:p w14:paraId="0AEB88A7">
      <w:pPr>
        <w:pStyle w:val="49"/>
        <w:ind w:firstLine="560"/>
        <w:rPr>
          <w:rFonts w:ascii="宋体" w:hAnsi="宋体" w:cs="宋体"/>
          <w:highlight w:val="none"/>
        </w:rPr>
      </w:pPr>
    </w:p>
    <w:p w14:paraId="292A7A65">
      <w:pPr>
        <w:pStyle w:val="49"/>
        <w:ind w:firstLine="560"/>
        <w:rPr>
          <w:rFonts w:ascii="宋体" w:hAnsi="宋体" w:cs="宋体"/>
          <w:highlight w:val="none"/>
        </w:rPr>
      </w:pPr>
    </w:p>
    <w:p w14:paraId="18E6EB6F">
      <w:pPr>
        <w:pStyle w:val="49"/>
        <w:ind w:firstLine="560"/>
        <w:rPr>
          <w:rFonts w:ascii="宋体" w:hAnsi="宋体" w:cs="宋体"/>
          <w:highlight w:val="none"/>
        </w:rPr>
      </w:pPr>
    </w:p>
    <w:p w14:paraId="379320FC">
      <w:pPr>
        <w:rPr>
          <w:rFonts w:ascii="宋体" w:hAnsi="宋体" w:cs="宋体"/>
          <w:sz w:val="32"/>
          <w:highlight w:val="none"/>
        </w:rPr>
      </w:pPr>
    </w:p>
    <w:p w14:paraId="28C76F4B">
      <w:pPr>
        <w:jc w:val="center"/>
        <w:rPr>
          <w:rFonts w:ascii="宋体" w:hAnsi="宋体" w:cs="宋体"/>
          <w:sz w:val="36"/>
          <w:szCs w:val="36"/>
          <w:highlight w:val="none"/>
        </w:rPr>
      </w:pPr>
      <w:r>
        <w:rPr>
          <w:rFonts w:hint="eastAsia" w:ascii="宋体" w:hAnsi="宋体" w:cs="宋体"/>
          <w:sz w:val="36"/>
          <w:szCs w:val="36"/>
          <w:highlight w:val="none"/>
        </w:rPr>
        <w:t>南京东兴工程咨询有限公司</w:t>
      </w:r>
    </w:p>
    <w:p w14:paraId="6D20559E">
      <w:pPr>
        <w:rPr>
          <w:rFonts w:ascii="宋体" w:hAnsi="宋体" w:cs="宋体"/>
          <w:sz w:val="36"/>
          <w:szCs w:val="36"/>
          <w:highlight w:val="none"/>
        </w:rPr>
      </w:pPr>
    </w:p>
    <w:p w14:paraId="7D190F44">
      <w:pPr>
        <w:jc w:val="center"/>
        <w:rPr>
          <w:rFonts w:ascii="宋体" w:hAnsi="宋体" w:cs="宋体"/>
          <w:sz w:val="36"/>
          <w:szCs w:val="36"/>
          <w:highlight w:val="none"/>
        </w:rPr>
      </w:pPr>
      <w:r>
        <w:rPr>
          <w:rFonts w:hint="eastAsia" w:ascii="宋体" w:hAnsi="宋体" w:cs="宋体"/>
          <w:sz w:val="36"/>
          <w:szCs w:val="36"/>
          <w:highlight w:val="none"/>
        </w:rPr>
        <w:t>二〇二</w:t>
      </w:r>
      <w:r>
        <w:rPr>
          <w:rFonts w:hint="eastAsia" w:ascii="宋体" w:hAnsi="宋体" w:cs="宋体"/>
          <w:sz w:val="36"/>
          <w:szCs w:val="36"/>
          <w:highlight w:val="none"/>
          <w:lang w:val="en-US" w:eastAsia="zh-CN"/>
        </w:rPr>
        <w:t>六</w:t>
      </w:r>
      <w:r>
        <w:rPr>
          <w:rFonts w:hint="eastAsia" w:ascii="宋体" w:hAnsi="宋体" w:cs="宋体"/>
          <w:sz w:val="36"/>
          <w:szCs w:val="36"/>
          <w:highlight w:val="none"/>
        </w:rPr>
        <w:t>年</w:t>
      </w:r>
      <w:r>
        <w:rPr>
          <w:rFonts w:hint="eastAsia" w:ascii="宋体" w:hAnsi="宋体" w:cs="宋体"/>
          <w:sz w:val="36"/>
          <w:szCs w:val="36"/>
          <w:highlight w:val="none"/>
          <w:lang w:val="en-US" w:eastAsia="zh-CN"/>
        </w:rPr>
        <w:t>七</w:t>
      </w:r>
      <w:r>
        <w:rPr>
          <w:rFonts w:hint="eastAsia" w:ascii="宋体" w:hAnsi="宋体" w:cs="宋体"/>
          <w:sz w:val="36"/>
          <w:szCs w:val="36"/>
          <w:highlight w:val="none"/>
        </w:rPr>
        <w:t>月</w:t>
      </w:r>
    </w:p>
    <w:p w14:paraId="656D8340">
      <w:pPr>
        <w:tabs>
          <w:tab w:val="left" w:pos="1635"/>
        </w:tabs>
        <w:spacing w:line="480" w:lineRule="auto"/>
        <w:rPr>
          <w:rFonts w:ascii="宋体" w:hAnsi="宋体" w:cs="宋体"/>
          <w:sz w:val="30"/>
          <w:szCs w:val="30"/>
          <w:highlight w:val="none"/>
        </w:rPr>
        <w:sectPr>
          <w:headerReference r:id="rId3" w:type="default"/>
          <w:footerReference r:id="rId4" w:type="default"/>
          <w:pgSz w:w="11906" w:h="16838"/>
          <w:pgMar w:top="1417" w:right="1417" w:bottom="1417" w:left="1417" w:header="851" w:footer="992" w:gutter="0"/>
          <w:cols w:space="720" w:num="1"/>
          <w:docGrid w:linePitch="360" w:charSpace="0"/>
        </w:sectPr>
      </w:pPr>
    </w:p>
    <w:p w14:paraId="1BC5B595">
      <w:pPr>
        <w:tabs>
          <w:tab w:val="left" w:pos="1635"/>
        </w:tabs>
        <w:spacing w:line="480" w:lineRule="auto"/>
        <w:ind w:firstLine="301"/>
        <w:jc w:val="center"/>
        <w:rPr>
          <w:rFonts w:ascii="宋体" w:hAnsi="宋体" w:cs="宋体"/>
          <w:b/>
          <w:sz w:val="30"/>
          <w:szCs w:val="30"/>
          <w:highlight w:val="none"/>
        </w:rPr>
      </w:pPr>
      <w:r>
        <w:rPr>
          <w:rFonts w:hint="eastAsia" w:ascii="宋体" w:hAnsi="宋体" w:cs="宋体"/>
          <w:b/>
          <w:sz w:val="30"/>
          <w:szCs w:val="30"/>
          <w:highlight w:val="none"/>
        </w:rPr>
        <w:t>目  录</w:t>
      </w:r>
    </w:p>
    <w:p w14:paraId="4B114FE6">
      <w:pPr>
        <w:pStyle w:val="26"/>
        <w:tabs>
          <w:tab w:val="right" w:leader="dot" w:pos="9072"/>
        </w:tabs>
      </w:pPr>
      <w:r>
        <w:rPr>
          <w:rFonts w:ascii="宋体" w:hAnsi="宋体" w:cs="宋体"/>
          <w:highlight w:val="none"/>
        </w:rPr>
        <w:fldChar w:fldCharType="begin"/>
      </w:r>
      <w:r>
        <w:rPr>
          <w:rFonts w:ascii="宋体" w:hAnsi="宋体" w:cs="宋体"/>
          <w:highlight w:val="none"/>
        </w:rPr>
        <w:instrText xml:space="preserve">TOC \o "1-3" \h \u </w:instrText>
      </w:r>
      <w:r>
        <w:rPr>
          <w:rFonts w:ascii="宋体" w:hAnsi="宋体" w:cs="宋体"/>
          <w:highlight w:val="none"/>
        </w:rPr>
        <w:fldChar w:fldCharType="separate"/>
      </w:r>
      <w:r>
        <w:rPr>
          <w:rFonts w:ascii="宋体" w:hAnsi="宋体" w:cs="宋体"/>
          <w:highlight w:val="none"/>
        </w:rPr>
        <w:fldChar w:fldCharType="begin"/>
      </w:r>
      <w:r>
        <w:rPr>
          <w:rFonts w:ascii="宋体" w:hAnsi="宋体" w:cs="宋体"/>
          <w:highlight w:val="none"/>
        </w:rPr>
        <w:instrText xml:space="preserve"> HYPERLINK \l _Toc21961 </w:instrText>
      </w:r>
      <w:r>
        <w:rPr>
          <w:rFonts w:ascii="宋体" w:hAnsi="宋体" w:cs="宋体"/>
          <w:highlight w:val="none"/>
        </w:rPr>
        <w:fldChar w:fldCharType="separate"/>
      </w:r>
      <w:r>
        <w:rPr>
          <w:rFonts w:hint="eastAsia" w:ascii="宋体" w:hAnsi="宋体" w:cs="宋体"/>
          <w:bCs/>
          <w:szCs w:val="30"/>
          <w:highlight w:val="none"/>
        </w:rPr>
        <w:t>第一章  竞争性磋商邀请</w:t>
      </w:r>
      <w:r>
        <w:tab/>
      </w:r>
      <w:r>
        <w:fldChar w:fldCharType="begin"/>
      </w:r>
      <w:r>
        <w:instrText xml:space="preserve"> PAGEREF _Toc21961 \h </w:instrText>
      </w:r>
      <w:r>
        <w:fldChar w:fldCharType="separate"/>
      </w:r>
      <w:r>
        <w:t>3</w:t>
      </w:r>
      <w:r>
        <w:fldChar w:fldCharType="end"/>
      </w:r>
      <w:r>
        <w:rPr>
          <w:rFonts w:ascii="宋体" w:hAnsi="宋体" w:cs="宋体"/>
          <w:highlight w:val="none"/>
        </w:rPr>
        <w:fldChar w:fldCharType="end"/>
      </w:r>
    </w:p>
    <w:p w14:paraId="48767A1C">
      <w:pPr>
        <w:pStyle w:val="26"/>
        <w:tabs>
          <w:tab w:val="right" w:leader="dot" w:pos="9072"/>
        </w:tabs>
      </w:pPr>
      <w:r>
        <w:rPr>
          <w:rFonts w:ascii="宋体" w:hAnsi="宋体" w:cs="宋体"/>
          <w:highlight w:val="none"/>
        </w:rPr>
        <w:fldChar w:fldCharType="begin"/>
      </w:r>
      <w:r>
        <w:rPr>
          <w:rFonts w:ascii="宋体" w:hAnsi="宋体" w:cs="宋体"/>
          <w:highlight w:val="none"/>
        </w:rPr>
        <w:instrText xml:space="preserve"> HYPERLINK \l _Toc9434 </w:instrText>
      </w:r>
      <w:r>
        <w:rPr>
          <w:rFonts w:ascii="宋体" w:hAnsi="宋体" w:cs="宋体"/>
          <w:highlight w:val="none"/>
        </w:rPr>
        <w:fldChar w:fldCharType="separate"/>
      </w:r>
      <w:r>
        <w:rPr>
          <w:rFonts w:hint="eastAsia" w:ascii="宋体" w:hAnsi="宋体" w:cs="宋体"/>
          <w:bCs/>
          <w:szCs w:val="30"/>
          <w:highlight w:val="none"/>
        </w:rPr>
        <w:t>第二章  竞争性磋商须知</w:t>
      </w:r>
      <w:r>
        <w:tab/>
      </w:r>
      <w:r>
        <w:fldChar w:fldCharType="begin"/>
      </w:r>
      <w:r>
        <w:instrText xml:space="preserve"> PAGEREF _Toc9434 \h </w:instrText>
      </w:r>
      <w:r>
        <w:fldChar w:fldCharType="separate"/>
      </w:r>
      <w:r>
        <w:t>7</w:t>
      </w:r>
      <w:r>
        <w:fldChar w:fldCharType="end"/>
      </w:r>
      <w:r>
        <w:rPr>
          <w:rFonts w:ascii="宋体" w:hAnsi="宋体" w:cs="宋体"/>
          <w:highlight w:val="none"/>
        </w:rPr>
        <w:fldChar w:fldCharType="end"/>
      </w:r>
    </w:p>
    <w:p w14:paraId="3D20D181">
      <w:pPr>
        <w:pStyle w:val="34"/>
        <w:tabs>
          <w:tab w:val="right" w:leader="dot" w:pos="9072"/>
        </w:tabs>
      </w:pPr>
      <w:r>
        <w:rPr>
          <w:rFonts w:ascii="宋体" w:hAnsi="宋体" w:cs="宋体"/>
          <w:highlight w:val="none"/>
        </w:rPr>
        <w:fldChar w:fldCharType="begin"/>
      </w:r>
      <w:r>
        <w:rPr>
          <w:rFonts w:ascii="宋体" w:hAnsi="宋体" w:cs="宋体"/>
          <w:highlight w:val="none"/>
        </w:rPr>
        <w:instrText xml:space="preserve"> HYPERLINK \l _Toc22186 </w:instrText>
      </w:r>
      <w:r>
        <w:rPr>
          <w:rFonts w:ascii="宋体" w:hAnsi="宋体" w:cs="宋体"/>
          <w:highlight w:val="none"/>
        </w:rPr>
        <w:fldChar w:fldCharType="separate"/>
      </w:r>
      <w:r>
        <w:rPr>
          <w:rFonts w:hint="eastAsia" w:ascii="宋体" w:hAnsi="宋体" w:cs="宋体"/>
          <w:bCs/>
          <w:szCs w:val="21"/>
          <w:highlight w:val="none"/>
          <w:lang w:val="zh-CN"/>
        </w:rPr>
        <w:t>一、总则</w:t>
      </w:r>
      <w:r>
        <w:tab/>
      </w:r>
      <w:r>
        <w:fldChar w:fldCharType="begin"/>
      </w:r>
      <w:r>
        <w:instrText xml:space="preserve"> PAGEREF _Toc22186 \h </w:instrText>
      </w:r>
      <w:r>
        <w:fldChar w:fldCharType="separate"/>
      </w:r>
      <w:r>
        <w:t>8</w:t>
      </w:r>
      <w:r>
        <w:fldChar w:fldCharType="end"/>
      </w:r>
      <w:r>
        <w:rPr>
          <w:rFonts w:ascii="宋体" w:hAnsi="宋体" w:cs="宋体"/>
          <w:highlight w:val="none"/>
        </w:rPr>
        <w:fldChar w:fldCharType="end"/>
      </w:r>
    </w:p>
    <w:p w14:paraId="0FFEC72F">
      <w:pPr>
        <w:pStyle w:val="34"/>
        <w:tabs>
          <w:tab w:val="right" w:leader="dot" w:pos="9072"/>
        </w:tabs>
      </w:pPr>
      <w:r>
        <w:rPr>
          <w:rFonts w:ascii="宋体" w:hAnsi="宋体" w:cs="宋体"/>
          <w:highlight w:val="none"/>
        </w:rPr>
        <w:fldChar w:fldCharType="begin"/>
      </w:r>
      <w:r>
        <w:rPr>
          <w:rFonts w:ascii="宋体" w:hAnsi="宋体" w:cs="宋体"/>
          <w:highlight w:val="none"/>
        </w:rPr>
        <w:instrText xml:space="preserve"> HYPERLINK \l _Toc11035 </w:instrText>
      </w:r>
      <w:r>
        <w:rPr>
          <w:rFonts w:ascii="宋体" w:hAnsi="宋体" w:cs="宋体"/>
          <w:highlight w:val="none"/>
        </w:rPr>
        <w:fldChar w:fldCharType="separate"/>
      </w:r>
      <w:r>
        <w:rPr>
          <w:rFonts w:hint="eastAsia" w:ascii="宋体" w:hAnsi="宋体" w:cs="宋体"/>
          <w:highlight w:val="none"/>
        </w:rPr>
        <w:t>二、响应性文件的编制</w:t>
      </w:r>
      <w:r>
        <w:tab/>
      </w:r>
      <w:r>
        <w:fldChar w:fldCharType="begin"/>
      </w:r>
      <w:r>
        <w:instrText xml:space="preserve"> PAGEREF _Toc11035 \h </w:instrText>
      </w:r>
      <w:r>
        <w:fldChar w:fldCharType="separate"/>
      </w:r>
      <w:r>
        <w:t>10</w:t>
      </w:r>
      <w:r>
        <w:fldChar w:fldCharType="end"/>
      </w:r>
      <w:r>
        <w:rPr>
          <w:rFonts w:ascii="宋体" w:hAnsi="宋体" w:cs="宋体"/>
          <w:highlight w:val="none"/>
        </w:rPr>
        <w:fldChar w:fldCharType="end"/>
      </w:r>
    </w:p>
    <w:p w14:paraId="6D9BF2E5">
      <w:pPr>
        <w:pStyle w:val="34"/>
        <w:tabs>
          <w:tab w:val="right" w:leader="dot" w:pos="9072"/>
        </w:tabs>
      </w:pPr>
      <w:r>
        <w:rPr>
          <w:rFonts w:ascii="宋体" w:hAnsi="宋体" w:cs="宋体"/>
          <w:highlight w:val="none"/>
        </w:rPr>
        <w:fldChar w:fldCharType="begin"/>
      </w:r>
      <w:r>
        <w:rPr>
          <w:rFonts w:ascii="宋体" w:hAnsi="宋体" w:cs="宋体"/>
          <w:highlight w:val="none"/>
        </w:rPr>
        <w:instrText xml:space="preserve"> HYPERLINK \l _Toc23381 </w:instrText>
      </w:r>
      <w:r>
        <w:rPr>
          <w:rFonts w:ascii="宋体" w:hAnsi="宋体" w:cs="宋体"/>
          <w:highlight w:val="none"/>
        </w:rPr>
        <w:fldChar w:fldCharType="separate"/>
      </w:r>
      <w:r>
        <w:rPr>
          <w:rFonts w:hint="eastAsia" w:ascii="宋体" w:hAnsi="宋体" w:cs="宋体"/>
          <w:highlight w:val="none"/>
        </w:rPr>
        <w:t>三、响应性文件递交</w:t>
      </w:r>
      <w:r>
        <w:tab/>
      </w:r>
      <w:r>
        <w:fldChar w:fldCharType="begin"/>
      </w:r>
      <w:r>
        <w:instrText xml:space="preserve"> PAGEREF _Toc23381 \h </w:instrText>
      </w:r>
      <w:r>
        <w:fldChar w:fldCharType="separate"/>
      </w:r>
      <w:r>
        <w:t>12</w:t>
      </w:r>
      <w:r>
        <w:fldChar w:fldCharType="end"/>
      </w:r>
      <w:r>
        <w:rPr>
          <w:rFonts w:ascii="宋体" w:hAnsi="宋体" w:cs="宋体"/>
          <w:highlight w:val="none"/>
        </w:rPr>
        <w:fldChar w:fldCharType="end"/>
      </w:r>
    </w:p>
    <w:p w14:paraId="013655C0">
      <w:pPr>
        <w:pStyle w:val="34"/>
        <w:tabs>
          <w:tab w:val="right" w:leader="dot" w:pos="9072"/>
        </w:tabs>
      </w:pPr>
      <w:r>
        <w:rPr>
          <w:rFonts w:ascii="宋体" w:hAnsi="宋体" w:cs="宋体"/>
          <w:highlight w:val="none"/>
        </w:rPr>
        <w:fldChar w:fldCharType="begin"/>
      </w:r>
      <w:r>
        <w:rPr>
          <w:rFonts w:ascii="宋体" w:hAnsi="宋体" w:cs="宋体"/>
          <w:highlight w:val="none"/>
        </w:rPr>
        <w:instrText xml:space="preserve"> HYPERLINK \l _Toc16496 </w:instrText>
      </w:r>
      <w:r>
        <w:rPr>
          <w:rFonts w:ascii="宋体" w:hAnsi="宋体" w:cs="宋体"/>
          <w:highlight w:val="none"/>
        </w:rPr>
        <w:fldChar w:fldCharType="separate"/>
      </w:r>
      <w:r>
        <w:rPr>
          <w:rFonts w:hint="eastAsia" w:ascii="宋体" w:hAnsi="宋体" w:cs="宋体"/>
          <w:highlight w:val="none"/>
        </w:rPr>
        <w:t>四、诚实信用</w:t>
      </w:r>
      <w:r>
        <w:tab/>
      </w:r>
      <w:r>
        <w:fldChar w:fldCharType="begin"/>
      </w:r>
      <w:r>
        <w:instrText xml:space="preserve"> PAGEREF _Toc16496 \h </w:instrText>
      </w:r>
      <w:r>
        <w:fldChar w:fldCharType="separate"/>
      </w:r>
      <w:r>
        <w:t>12</w:t>
      </w:r>
      <w:r>
        <w:fldChar w:fldCharType="end"/>
      </w:r>
      <w:r>
        <w:rPr>
          <w:rFonts w:ascii="宋体" w:hAnsi="宋体" w:cs="宋体"/>
          <w:highlight w:val="none"/>
        </w:rPr>
        <w:fldChar w:fldCharType="end"/>
      </w:r>
    </w:p>
    <w:p w14:paraId="7D251DB7">
      <w:pPr>
        <w:pStyle w:val="34"/>
        <w:tabs>
          <w:tab w:val="right" w:leader="dot" w:pos="9072"/>
        </w:tabs>
      </w:pPr>
      <w:r>
        <w:rPr>
          <w:rFonts w:ascii="宋体" w:hAnsi="宋体" w:cs="宋体"/>
          <w:highlight w:val="none"/>
        </w:rPr>
        <w:fldChar w:fldCharType="begin"/>
      </w:r>
      <w:r>
        <w:rPr>
          <w:rFonts w:ascii="宋体" w:hAnsi="宋体" w:cs="宋体"/>
          <w:highlight w:val="none"/>
        </w:rPr>
        <w:instrText xml:space="preserve"> HYPERLINK \l _Toc29811 </w:instrText>
      </w:r>
      <w:r>
        <w:rPr>
          <w:rFonts w:ascii="宋体" w:hAnsi="宋体" w:cs="宋体"/>
          <w:highlight w:val="none"/>
        </w:rPr>
        <w:fldChar w:fldCharType="separate"/>
      </w:r>
      <w:r>
        <w:rPr>
          <w:rFonts w:hint="eastAsia" w:ascii="宋体" w:hAnsi="宋体" w:cs="宋体"/>
          <w:highlight w:val="none"/>
        </w:rPr>
        <w:t>五、磋商</w:t>
      </w:r>
      <w:r>
        <w:tab/>
      </w:r>
      <w:r>
        <w:fldChar w:fldCharType="begin"/>
      </w:r>
      <w:r>
        <w:instrText xml:space="preserve"> PAGEREF _Toc29811 \h </w:instrText>
      </w:r>
      <w:r>
        <w:fldChar w:fldCharType="separate"/>
      </w:r>
      <w:r>
        <w:t>13</w:t>
      </w:r>
      <w:r>
        <w:fldChar w:fldCharType="end"/>
      </w:r>
      <w:r>
        <w:rPr>
          <w:rFonts w:ascii="宋体" w:hAnsi="宋体" w:cs="宋体"/>
          <w:highlight w:val="none"/>
        </w:rPr>
        <w:fldChar w:fldCharType="end"/>
      </w:r>
    </w:p>
    <w:p w14:paraId="21F0C761">
      <w:pPr>
        <w:pStyle w:val="34"/>
        <w:tabs>
          <w:tab w:val="right" w:leader="dot" w:pos="9072"/>
        </w:tabs>
      </w:pPr>
      <w:r>
        <w:rPr>
          <w:rFonts w:ascii="宋体" w:hAnsi="宋体" w:cs="宋体"/>
          <w:highlight w:val="none"/>
        </w:rPr>
        <w:fldChar w:fldCharType="begin"/>
      </w:r>
      <w:r>
        <w:rPr>
          <w:rFonts w:ascii="宋体" w:hAnsi="宋体" w:cs="宋体"/>
          <w:highlight w:val="none"/>
        </w:rPr>
        <w:instrText xml:space="preserve"> HYPERLINK \l _Toc8287 </w:instrText>
      </w:r>
      <w:r>
        <w:rPr>
          <w:rFonts w:ascii="宋体" w:hAnsi="宋体" w:cs="宋体"/>
          <w:highlight w:val="none"/>
        </w:rPr>
        <w:fldChar w:fldCharType="separate"/>
      </w:r>
      <w:r>
        <w:rPr>
          <w:rFonts w:hint="eastAsia" w:ascii="宋体" w:hAnsi="宋体" w:cs="宋体"/>
          <w:szCs w:val="21"/>
          <w:highlight w:val="none"/>
        </w:rPr>
        <w:t>六</w:t>
      </w:r>
      <w:r>
        <w:rPr>
          <w:rFonts w:hint="eastAsia" w:ascii="宋体" w:hAnsi="宋体" w:cs="宋体"/>
          <w:szCs w:val="21"/>
          <w:highlight w:val="none"/>
          <w:lang w:val="zh-CN"/>
        </w:rPr>
        <w:t>、</w:t>
      </w:r>
      <w:r>
        <w:rPr>
          <w:rFonts w:hint="eastAsia" w:ascii="宋体" w:hAnsi="宋体" w:cs="宋体"/>
          <w:bCs/>
          <w:szCs w:val="21"/>
          <w:highlight w:val="none"/>
          <w:lang w:val="zh-CN"/>
        </w:rPr>
        <w:t>签订合同</w:t>
      </w:r>
      <w:r>
        <w:tab/>
      </w:r>
      <w:r>
        <w:fldChar w:fldCharType="begin"/>
      </w:r>
      <w:r>
        <w:instrText xml:space="preserve"> PAGEREF _Toc8287 \h </w:instrText>
      </w:r>
      <w:r>
        <w:fldChar w:fldCharType="separate"/>
      </w:r>
      <w:r>
        <w:t>16</w:t>
      </w:r>
      <w:r>
        <w:fldChar w:fldCharType="end"/>
      </w:r>
      <w:r>
        <w:rPr>
          <w:rFonts w:ascii="宋体" w:hAnsi="宋体" w:cs="宋体"/>
          <w:highlight w:val="none"/>
        </w:rPr>
        <w:fldChar w:fldCharType="end"/>
      </w:r>
    </w:p>
    <w:p w14:paraId="5F301284">
      <w:pPr>
        <w:pStyle w:val="34"/>
        <w:tabs>
          <w:tab w:val="right" w:leader="dot" w:pos="9072"/>
        </w:tabs>
      </w:pPr>
      <w:r>
        <w:rPr>
          <w:rFonts w:ascii="宋体" w:hAnsi="宋体" w:cs="宋体"/>
          <w:highlight w:val="none"/>
        </w:rPr>
        <w:fldChar w:fldCharType="begin"/>
      </w:r>
      <w:r>
        <w:rPr>
          <w:rFonts w:ascii="宋体" w:hAnsi="宋体" w:cs="宋体"/>
          <w:highlight w:val="none"/>
        </w:rPr>
        <w:instrText xml:space="preserve"> HYPERLINK \l _Toc12013 </w:instrText>
      </w:r>
      <w:r>
        <w:rPr>
          <w:rFonts w:ascii="宋体" w:hAnsi="宋体" w:cs="宋体"/>
          <w:highlight w:val="none"/>
        </w:rPr>
        <w:fldChar w:fldCharType="separate"/>
      </w:r>
      <w:r>
        <w:rPr>
          <w:rFonts w:hint="eastAsia" w:ascii="宋体" w:hAnsi="宋体" w:cs="宋体"/>
          <w:bCs/>
          <w:szCs w:val="21"/>
          <w:highlight w:val="none"/>
        </w:rPr>
        <w:t>七</w:t>
      </w:r>
      <w:r>
        <w:rPr>
          <w:rFonts w:hint="eastAsia" w:ascii="宋体" w:hAnsi="宋体" w:cs="宋体"/>
          <w:bCs/>
          <w:szCs w:val="21"/>
          <w:highlight w:val="none"/>
          <w:lang w:val="zh-CN"/>
        </w:rPr>
        <w:t>、质疑、投诉</w:t>
      </w:r>
      <w:r>
        <w:tab/>
      </w:r>
      <w:r>
        <w:fldChar w:fldCharType="begin"/>
      </w:r>
      <w:r>
        <w:instrText xml:space="preserve"> PAGEREF _Toc12013 \h </w:instrText>
      </w:r>
      <w:r>
        <w:fldChar w:fldCharType="separate"/>
      </w:r>
      <w:r>
        <w:t>17</w:t>
      </w:r>
      <w:r>
        <w:fldChar w:fldCharType="end"/>
      </w:r>
      <w:r>
        <w:rPr>
          <w:rFonts w:ascii="宋体" w:hAnsi="宋体" w:cs="宋体"/>
          <w:highlight w:val="none"/>
        </w:rPr>
        <w:fldChar w:fldCharType="end"/>
      </w:r>
    </w:p>
    <w:p w14:paraId="087588B8">
      <w:pPr>
        <w:pStyle w:val="26"/>
        <w:tabs>
          <w:tab w:val="right" w:leader="dot" w:pos="9072"/>
        </w:tabs>
      </w:pPr>
      <w:r>
        <w:rPr>
          <w:rFonts w:ascii="宋体" w:hAnsi="宋体" w:cs="宋体"/>
          <w:highlight w:val="none"/>
        </w:rPr>
        <w:fldChar w:fldCharType="begin"/>
      </w:r>
      <w:r>
        <w:rPr>
          <w:rFonts w:ascii="宋体" w:hAnsi="宋体" w:cs="宋体"/>
          <w:highlight w:val="none"/>
        </w:rPr>
        <w:instrText xml:space="preserve"> HYPERLINK \l _Toc19902 </w:instrText>
      </w:r>
      <w:r>
        <w:rPr>
          <w:rFonts w:ascii="宋体" w:hAnsi="宋体" w:cs="宋体"/>
          <w:highlight w:val="none"/>
        </w:rPr>
        <w:fldChar w:fldCharType="separate"/>
      </w:r>
      <w:r>
        <w:rPr>
          <w:rFonts w:hint="eastAsia" w:ascii="宋体" w:hAnsi="宋体" w:cs="宋体"/>
          <w:bCs/>
          <w:szCs w:val="36"/>
          <w:highlight w:val="none"/>
          <w:lang w:val="zh-CN"/>
        </w:rPr>
        <w:t>第三章 磋商项目需求</w:t>
      </w:r>
      <w:r>
        <w:tab/>
      </w:r>
      <w:r>
        <w:fldChar w:fldCharType="begin"/>
      </w:r>
      <w:r>
        <w:instrText xml:space="preserve"> PAGEREF _Toc19902 \h </w:instrText>
      </w:r>
      <w:r>
        <w:fldChar w:fldCharType="separate"/>
      </w:r>
      <w:r>
        <w:t>18</w:t>
      </w:r>
      <w:r>
        <w:fldChar w:fldCharType="end"/>
      </w:r>
      <w:r>
        <w:rPr>
          <w:rFonts w:ascii="宋体" w:hAnsi="宋体" w:cs="宋体"/>
          <w:highlight w:val="none"/>
        </w:rPr>
        <w:fldChar w:fldCharType="end"/>
      </w:r>
    </w:p>
    <w:p w14:paraId="221D1D47">
      <w:pPr>
        <w:pStyle w:val="26"/>
        <w:tabs>
          <w:tab w:val="right" w:leader="dot" w:pos="9072"/>
        </w:tabs>
      </w:pPr>
      <w:r>
        <w:rPr>
          <w:rFonts w:ascii="宋体" w:hAnsi="宋体" w:cs="宋体"/>
          <w:highlight w:val="none"/>
        </w:rPr>
        <w:fldChar w:fldCharType="begin"/>
      </w:r>
      <w:r>
        <w:rPr>
          <w:rFonts w:ascii="宋体" w:hAnsi="宋体" w:cs="宋体"/>
          <w:highlight w:val="none"/>
        </w:rPr>
        <w:instrText xml:space="preserve"> HYPERLINK \l _Toc19851 </w:instrText>
      </w:r>
      <w:r>
        <w:rPr>
          <w:rFonts w:ascii="宋体" w:hAnsi="宋体" w:cs="宋体"/>
          <w:highlight w:val="none"/>
        </w:rPr>
        <w:fldChar w:fldCharType="separate"/>
      </w:r>
      <w:r>
        <w:rPr>
          <w:rFonts w:hint="eastAsia" w:ascii="宋体" w:hAnsi="宋体" w:cs="宋体"/>
          <w:bCs/>
          <w:szCs w:val="36"/>
          <w:highlight w:val="none"/>
          <w:lang w:val="zh-CN"/>
        </w:rPr>
        <w:t>第四章 评分标准</w:t>
      </w:r>
      <w:r>
        <w:tab/>
      </w:r>
      <w:r>
        <w:fldChar w:fldCharType="begin"/>
      </w:r>
      <w:r>
        <w:instrText xml:space="preserve"> PAGEREF _Toc19851 \h </w:instrText>
      </w:r>
      <w:r>
        <w:fldChar w:fldCharType="separate"/>
      </w:r>
      <w:r>
        <w:t>20</w:t>
      </w:r>
      <w:r>
        <w:fldChar w:fldCharType="end"/>
      </w:r>
      <w:r>
        <w:rPr>
          <w:rFonts w:ascii="宋体" w:hAnsi="宋体" w:cs="宋体"/>
          <w:highlight w:val="none"/>
        </w:rPr>
        <w:fldChar w:fldCharType="end"/>
      </w:r>
    </w:p>
    <w:p w14:paraId="39F974A8">
      <w:pPr>
        <w:pStyle w:val="26"/>
        <w:tabs>
          <w:tab w:val="right" w:leader="dot" w:pos="9072"/>
        </w:tabs>
      </w:pPr>
      <w:r>
        <w:rPr>
          <w:rFonts w:ascii="宋体" w:hAnsi="宋体" w:cs="宋体"/>
          <w:highlight w:val="none"/>
        </w:rPr>
        <w:fldChar w:fldCharType="begin"/>
      </w:r>
      <w:r>
        <w:rPr>
          <w:rFonts w:ascii="宋体" w:hAnsi="宋体" w:cs="宋体"/>
          <w:highlight w:val="none"/>
        </w:rPr>
        <w:instrText xml:space="preserve"> HYPERLINK \l _Toc18009 </w:instrText>
      </w:r>
      <w:r>
        <w:rPr>
          <w:rFonts w:ascii="宋体" w:hAnsi="宋体" w:cs="宋体"/>
          <w:highlight w:val="none"/>
        </w:rPr>
        <w:fldChar w:fldCharType="separate"/>
      </w:r>
      <w:r>
        <w:rPr>
          <w:rFonts w:hint="eastAsia" w:ascii="宋体" w:hAnsi="宋体" w:cs="宋体"/>
          <w:szCs w:val="30"/>
          <w:highlight w:val="none"/>
        </w:rPr>
        <w:t>第五章  南京市政府采购合同格式</w:t>
      </w:r>
      <w:r>
        <w:tab/>
      </w:r>
      <w:r>
        <w:fldChar w:fldCharType="begin"/>
      </w:r>
      <w:r>
        <w:instrText xml:space="preserve"> PAGEREF _Toc18009 \h </w:instrText>
      </w:r>
      <w:r>
        <w:fldChar w:fldCharType="separate"/>
      </w:r>
      <w:r>
        <w:t>23</w:t>
      </w:r>
      <w:r>
        <w:fldChar w:fldCharType="end"/>
      </w:r>
      <w:r>
        <w:rPr>
          <w:rFonts w:ascii="宋体" w:hAnsi="宋体" w:cs="宋体"/>
          <w:highlight w:val="none"/>
        </w:rPr>
        <w:fldChar w:fldCharType="end"/>
      </w:r>
    </w:p>
    <w:p w14:paraId="073F714E">
      <w:pPr>
        <w:pStyle w:val="26"/>
        <w:tabs>
          <w:tab w:val="right" w:leader="dot" w:pos="9072"/>
        </w:tabs>
      </w:pPr>
      <w:r>
        <w:rPr>
          <w:rFonts w:ascii="宋体" w:hAnsi="宋体" w:cs="宋体"/>
          <w:highlight w:val="none"/>
        </w:rPr>
        <w:fldChar w:fldCharType="begin"/>
      </w:r>
      <w:r>
        <w:rPr>
          <w:rFonts w:ascii="宋体" w:hAnsi="宋体" w:cs="宋体"/>
          <w:highlight w:val="none"/>
        </w:rPr>
        <w:instrText xml:space="preserve"> HYPERLINK \l _Toc3199 </w:instrText>
      </w:r>
      <w:r>
        <w:rPr>
          <w:rFonts w:ascii="宋体" w:hAnsi="宋体" w:cs="宋体"/>
          <w:highlight w:val="none"/>
        </w:rPr>
        <w:fldChar w:fldCharType="separate"/>
      </w:r>
      <w:r>
        <w:rPr>
          <w:rFonts w:hint="eastAsia" w:ascii="宋体" w:hAnsi="宋体" w:cs="宋体"/>
          <w:szCs w:val="30"/>
          <w:highlight w:val="none"/>
        </w:rPr>
        <w:t>第六章  竞争性磋商响应文件格式及附件</w:t>
      </w:r>
      <w:r>
        <w:tab/>
      </w:r>
      <w:r>
        <w:fldChar w:fldCharType="begin"/>
      </w:r>
      <w:r>
        <w:instrText xml:space="preserve"> PAGEREF _Toc3199 \h </w:instrText>
      </w:r>
      <w:r>
        <w:fldChar w:fldCharType="separate"/>
      </w:r>
      <w:r>
        <w:t>29</w:t>
      </w:r>
      <w:r>
        <w:fldChar w:fldCharType="end"/>
      </w:r>
      <w:r>
        <w:rPr>
          <w:rFonts w:ascii="宋体" w:hAnsi="宋体" w:cs="宋体"/>
          <w:highlight w:val="none"/>
        </w:rPr>
        <w:fldChar w:fldCharType="end"/>
      </w:r>
    </w:p>
    <w:p w14:paraId="28613DF7">
      <w:pPr>
        <w:pStyle w:val="34"/>
        <w:tabs>
          <w:tab w:val="right" w:leader="dot" w:pos="9072"/>
        </w:tabs>
      </w:pPr>
      <w:r>
        <w:rPr>
          <w:rFonts w:ascii="宋体" w:hAnsi="宋体" w:cs="宋体"/>
          <w:highlight w:val="none"/>
        </w:rPr>
        <w:fldChar w:fldCharType="begin"/>
      </w:r>
      <w:r>
        <w:rPr>
          <w:rFonts w:ascii="宋体" w:hAnsi="宋体" w:cs="宋体"/>
          <w:highlight w:val="none"/>
        </w:rPr>
        <w:instrText xml:space="preserve"> HYPERLINK \l _Toc7367 </w:instrText>
      </w:r>
      <w:r>
        <w:rPr>
          <w:rFonts w:ascii="宋体" w:hAnsi="宋体" w:cs="宋体"/>
          <w:highlight w:val="none"/>
        </w:rPr>
        <w:fldChar w:fldCharType="separate"/>
      </w:r>
      <w:r>
        <w:rPr>
          <w:rFonts w:hint="eastAsia" w:ascii="宋体" w:hAnsi="宋体" w:cs="宋体"/>
          <w:szCs w:val="24"/>
          <w:highlight w:val="none"/>
        </w:rPr>
        <w:t>商务部分</w:t>
      </w:r>
      <w:r>
        <w:tab/>
      </w:r>
      <w:r>
        <w:fldChar w:fldCharType="begin"/>
      </w:r>
      <w:r>
        <w:instrText xml:space="preserve"> PAGEREF _Toc7367 \h </w:instrText>
      </w:r>
      <w:r>
        <w:fldChar w:fldCharType="separate"/>
      </w:r>
      <w:r>
        <w:t>30</w:t>
      </w:r>
      <w:r>
        <w:fldChar w:fldCharType="end"/>
      </w:r>
      <w:r>
        <w:rPr>
          <w:rFonts w:ascii="宋体" w:hAnsi="宋体" w:cs="宋体"/>
          <w:highlight w:val="none"/>
        </w:rPr>
        <w:fldChar w:fldCharType="end"/>
      </w:r>
    </w:p>
    <w:p w14:paraId="5B70C4D9">
      <w:pPr>
        <w:pStyle w:val="19"/>
        <w:tabs>
          <w:tab w:val="right" w:leader="dot" w:pos="9072"/>
        </w:tabs>
      </w:pPr>
      <w:r>
        <w:rPr>
          <w:rFonts w:ascii="宋体" w:hAnsi="宋体" w:cs="宋体"/>
          <w:highlight w:val="none"/>
        </w:rPr>
        <w:fldChar w:fldCharType="begin"/>
      </w:r>
      <w:r>
        <w:rPr>
          <w:rFonts w:ascii="宋体" w:hAnsi="宋体" w:cs="宋体"/>
          <w:highlight w:val="none"/>
        </w:rPr>
        <w:instrText xml:space="preserve"> HYPERLINK \l _Toc9844 </w:instrText>
      </w:r>
      <w:r>
        <w:rPr>
          <w:rFonts w:ascii="宋体" w:hAnsi="宋体" w:cs="宋体"/>
          <w:highlight w:val="none"/>
        </w:rPr>
        <w:fldChar w:fldCharType="separate"/>
      </w:r>
      <w:r>
        <w:rPr>
          <w:rFonts w:hint="eastAsia" w:ascii="宋体" w:hAnsi="宋体" w:cs="宋体"/>
          <w:szCs w:val="24"/>
          <w:highlight w:val="none"/>
        </w:rPr>
        <w:t>一、磋商申请及声明</w:t>
      </w:r>
      <w:r>
        <w:tab/>
      </w:r>
      <w:r>
        <w:fldChar w:fldCharType="begin"/>
      </w:r>
      <w:r>
        <w:instrText xml:space="preserve"> PAGEREF _Toc9844 \h </w:instrText>
      </w:r>
      <w:r>
        <w:fldChar w:fldCharType="separate"/>
      </w:r>
      <w:r>
        <w:t>30</w:t>
      </w:r>
      <w:r>
        <w:fldChar w:fldCharType="end"/>
      </w:r>
      <w:r>
        <w:rPr>
          <w:rFonts w:ascii="宋体" w:hAnsi="宋体" w:cs="宋体"/>
          <w:highlight w:val="none"/>
        </w:rPr>
        <w:fldChar w:fldCharType="end"/>
      </w:r>
    </w:p>
    <w:p w14:paraId="7A360989">
      <w:pPr>
        <w:pStyle w:val="19"/>
        <w:tabs>
          <w:tab w:val="right" w:leader="dot" w:pos="9072"/>
        </w:tabs>
      </w:pPr>
      <w:r>
        <w:rPr>
          <w:rFonts w:ascii="宋体" w:hAnsi="宋体" w:cs="宋体"/>
          <w:highlight w:val="none"/>
        </w:rPr>
        <w:fldChar w:fldCharType="begin"/>
      </w:r>
      <w:r>
        <w:rPr>
          <w:rFonts w:ascii="宋体" w:hAnsi="宋体" w:cs="宋体"/>
          <w:highlight w:val="none"/>
        </w:rPr>
        <w:instrText xml:space="preserve"> HYPERLINK \l _Toc29133 </w:instrText>
      </w:r>
      <w:r>
        <w:rPr>
          <w:rFonts w:ascii="宋体" w:hAnsi="宋体" w:cs="宋体"/>
          <w:highlight w:val="none"/>
        </w:rPr>
        <w:fldChar w:fldCharType="separate"/>
      </w:r>
      <w:r>
        <w:rPr>
          <w:rFonts w:hint="eastAsia" w:ascii="宋体" w:hAnsi="宋体" w:cs="宋体"/>
          <w:szCs w:val="24"/>
          <w:highlight w:val="none"/>
        </w:rPr>
        <w:t>二、法定代表人授权委托书</w:t>
      </w:r>
      <w:r>
        <w:tab/>
      </w:r>
      <w:r>
        <w:fldChar w:fldCharType="begin"/>
      </w:r>
      <w:r>
        <w:instrText xml:space="preserve"> PAGEREF _Toc29133 \h </w:instrText>
      </w:r>
      <w:r>
        <w:fldChar w:fldCharType="separate"/>
      </w:r>
      <w:r>
        <w:t>32</w:t>
      </w:r>
      <w:r>
        <w:fldChar w:fldCharType="end"/>
      </w:r>
      <w:r>
        <w:rPr>
          <w:rFonts w:ascii="宋体" w:hAnsi="宋体" w:cs="宋体"/>
          <w:highlight w:val="none"/>
        </w:rPr>
        <w:fldChar w:fldCharType="end"/>
      </w:r>
    </w:p>
    <w:p w14:paraId="62559931">
      <w:pPr>
        <w:pStyle w:val="19"/>
        <w:tabs>
          <w:tab w:val="right" w:leader="dot" w:pos="9072"/>
        </w:tabs>
      </w:pPr>
      <w:r>
        <w:rPr>
          <w:rFonts w:ascii="宋体" w:hAnsi="宋体" w:cs="宋体"/>
          <w:highlight w:val="none"/>
        </w:rPr>
        <w:fldChar w:fldCharType="begin"/>
      </w:r>
      <w:r>
        <w:rPr>
          <w:rFonts w:ascii="宋体" w:hAnsi="宋体" w:cs="宋体"/>
          <w:highlight w:val="none"/>
        </w:rPr>
        <w:instrText xml:space="preserve"> HYPERLINK \l _Toc20178 </w:instrText>
      </w:r>
      <w:r>
        <w:rPr>
          <w:rFonts w:ascii="宋体" w:hAnsi="宋体" w:cs="宋体"/>
          <w:highlight w:val="none"/>
        </w:rPr>
        <w:fldChar w:fldCharType="separate"/>
      </w:r>
      <w:r>
        <w:rPr>
          <w:rFonts w:hint="eastAsia" w:ascii="宋体" w:hAnsi="宋体" w:cs="宋体"/>
          <w:bCs/>
          <w:highlight w:val="none"/>
          <w:lang w:val="en-US" w:eastAsia="zh-CN"/>
        </w:rPr>
        <w:t>三</w:t>
      </w:r>
      <w:r>
        <w:rPr>
          <w:rFonts w:hint="eastAsia" w:ascii="宋体" w:hAnsi="宋体" w:cs="宋体"/>
          <w:bCs/>
          <w:highlight w:val="none"/>
          <w:lang w:val="zh-CN"/>
        </w:rPr>
        <w:t>、</w:t>
      </w:r>
      <w:r>
        <w:rPr>
          <w:rFonts w:hint="eastAsia" w:ascii="宋体" w:hAnsi="宋体" w:cs="宋体"/>
          <w:bCs/>
          <w:highlight w:val="none"/>
        </w:rPr>
        <w:t>南京市政府采购供应商信用记录表暨信用承诺书</w:t>
      </w:r>
      <w:r>
        <w:tab/>
      </w:r>
      <w:r>
        <w:fldChar w:fldCharType="begin"/>
      </w:r>
      <w:r>
        <w:instrText xml:space="preserve"> PAGEREF _Toc20178 \h </w:instrText>
      </w:r>
      <w:r>
        <w:fldChar w:fldCharType="separate"/>
      </w:r>
      <w:r>
        <w:t>33</w:t>
      </w:r>
      <w:r>
        <w:fldChar w:fldCharType="end"/>
      </w:r>
      <w:r>
        <w:rPr>
          <w:rFonts w:ascii="宋体" w:hAnsi="宋体" w:cs="宋体"/>
          <w:highlight w:val="none"/>
        </w:rPr>
        <w:fldChar w:fldCharType="end"/>
      </w:r>
    </w:p>
    <w:p w14:paraId="7D046D93">
      <w:pPr>
        <w:pStyle w:val="19"/>
        <w:tabs>
          <w:tab w:val="right" w:leader="dot" w:pos="9072"/>
        </w:tabs>
      </w:pPr>
      <w:r>
        <w:rPr>
          <w:rFonts w:ascii="宋体" w:hAnsi="宋体" w:cs="宋体"/>
          <w:highlight w:val="none"/>
        </w:rPr>
        <w:fldChar w:fldCharType="begin"/>
      </w:r>
      <w:r>
        <w:rPr>
          <w:rFonts w:ascii="宋体" w:hAnsi="宋体" w:cs="宋体"/>
          <w:highlight w:val="none"/>
        </w:rPr>
        <w:instrText xml:space="preserve"> HYPERLINK \l _Toc20999 </w:instrText>
      </w:r>
      <w:r>
        <w:rPr>
          <w:rFonts w:ascii="宋体" w:hAnsi="宋体" w:cs="宋体"/>
          <w:highlight w:val="none"/>
        </w:rPr>
        <w:fldChar w:fldCharType="separate"/>
      </w:r>
      <w:r>
        <w:rPr>
          <w:rFonts w:hint="eastAsia" w:ascii="宋体" w:hAnsi="宋体" w:cs="宋体"/>
          <w:bCs/>
          <w:highlight w:val="none"/>
          <w:lang w:val="en-US" w:eastAsia="zh-CN"/>
        </w:rPr>
        <w:t>四</w:t>
      </w:r>
      <w:r>
        <w:rPr>
          <w:rFonts w:hint="eastAsia" w:ascii="宋体" w:hAnsi="宋体" w:cs="宋体"/>
          <w:bCs/>
          <w:highlight w:val="none"/>
          <w:lang w:val="zh-CN"/>
        </w:rPr>
        <w:t>、</w:t>
      </w:r>
      <w:r>
        <w:rPr>
          <w:rFonts w:hint="eastAsia" w:ascii="宋体" w:hAnsi="宋体" w:cs="宋体"/>
          <w:highlight w:val="none"/>
        </w:rPr>
        <w:t>企业业绩</w:t>
      </w:r>
      <w:r>
        <w:tab/>
      </w:r>
      <w:r>
        <w:fldChar w:fldCharType="begin"/>
      </w:r>
      <w:r>
        <w:instrText xml:space="preserve"> PAGEREF _Toc20999 \h </w:instrText>
      </w:r>
      <w:r>
        <w:fldChar w:fldCharType="separate"/>
      </w:r>
      <w:r>
        <w:t>34</w:t>
      </w:r>
      <w:r>
        <w:fldChar w:fldCharType="end"/>
      </w:r>
      <w:r>
        <w:rPr>
          <w:rFonts w:ascii="宋体" w:hAnsi="宋体" w:cs="宋体"/>
          <w:highlight w:val="none"/>
        </w:rPr>
        <w:fldChar w:fldCharType="end"/>
      </w:r>
    </w:p>
    <w:p w14:paraId="6AB0DDD8">
      <w:pPr>
        <w:pStyle w:val="19"/>
        <w:tabs>
          <w:tab w:val="right" w:leader="dot" w:pos="9072"/>
        </w:tabs>
      </w:pPr>
      <w:r>
        <w:rPr>
          <w:rFonts w:ascii="宋体" w:hAnsi="宋体" w:cs="宋体"/>
          <w:highlight w:val="none"/>
        </w:rPr>
        <w:fldChar w:fldCharType="begin"/>
      </w:r>
      <w:r>
        <w:rPr>
          <w:rFonts w:ascii="宋体" w:hAnsi="宋体" w:cs="宋体"/>
          <w:highlight w:val="none"/>
        </w:rPr>
        <w:instrText xml:space="preserve"> HYPERLINK \l _Toc13135 </w:instrText>
      </w:r>
      <w:r>
        <w:rPr>
          <w:rFonts w:ascii="宋体" w:hAnsi="宋体" w:cs="宋体"/>
          <w:highlight w:val="none"/>
        </w:rPr>
        <w:fldChar w:fldCharType="separate"/>
      </w:r>
      <w:r>
        <w:rPr>
          <w:rFonts w:hint="eastAsia" w:ascii="宋体" w:hAnsi="宋体" w:cs="宋体"/>
          <w:bCs/>
          <w:highlight w:val="none"/>
          <w:lang w:val="en-US" w:eastAsia="zh-CN"/>
        </w:rPr>
        <w:t>五、</w:t>
      </w:r>
      <w:r>
        <w:rPr>
          <w:rFonts w:hint="eastAsia" w:ascii="宋体" w:hAnsi="宋体" w:cs="宋体"/>
          <w:bCs/>
          <w:highlight w:val="none"/>
          <w:lang w:val="zh-CN" w:eastAsia="zh-CN"/>
        </w:rPr>
        <w:t>供应商认为需要提供的其他证明文件和商务资料</w:t>
      </w:r>
      <w:r>
        <w:tab/>
      </w:r>
      <w:r>
        <w:fldChar w:fldCharType="begin"/>
      </w:r>
      <w:r>
        <w:instrText xml:space="preserve"> PAGEREF _Toc13135 \h </w:instrText>
      </w:r>
      <w:r>
        <w:fldChar w:fldCharType="separate"/>
      </w:r>
      <w:r>
        <w:t>34</w:t>
      </w:r>
      <w:r>
        <w:fldChar w:fldCharType="end"/>
      </w:r>
      <w:r>
        <w:rPr>
          <w:rFonts w:ascii="宋体" w:hAnsi="宋体" w:cs="宋体"/>
          <w:highlight w:val="none"/>
        </w:rPr>
        <w:fldChar w:fldCharType="end"/>
      </w:r>
    </w:p>
    <w:p w14:paraId="5573D33E">
      <w:pPr>
        <w:pStyle w:val="34"/>
        <w:tabs>
          <w:tab w:val="right" w:leader="dot" w:pos="9072"/>
        </w:tabs>
      </w:pPr>
      <w:r>
        <w:rPr>
          <w:rFonts w:ascii="宋体" w:hAnsi="宋体" w:cs="宋体"/>
          <w:highlight w:val="none"/>
        </w:rPr>
        <w:fldChar w:fldCharType="begin"/>
      </w:r>
      <w:r>
        <w:rPr>
          <w:rFonts w:ascii="宋体" w:hAnsi="宋体" w:cs="宋体"/>
          <w:highlight w:val="none"/>
        </w:rPr>
        <w:instrText xml:space="preserve"> HYPERLINK \l _Toc25007 </w:instrText>
      </w:r>
      <w:r>
        <w:rPr>
          <w:rFonts w:ascii="宋体" w:hAnsi="宋体" w:cs="宋体"/>
          <w:highlight w:val="none"/>
        </w:rPr>
        <w:fldChar w:fldCharType="separate"/>
      </w:r>
      <w:r>
        <w:rPr>
          <w:rFonts w:hint="eastAsia" w:ascii="宋体" w:hAnsi="宋体" w:cs="宋体"/>
          <w:szCs w:val="24"/>
          <w:highlight w:val="none"/>
        </w:rPr>
        <w:t>价格部分</w:t>
      </w:r>
      <w:r>
        <w:tab/>
      </w:r>
      <w:r>
        <w:fldChar w:fldCharType="begin"/>
      </w:r>
      <w:r>
        <w:instrText xml:space="preserve"> PAGEREF _Toc25007 \h </w:instrText>
      </w:r>
      <w:r>
        <w:fldChar w:fldCharType="separate"/>
      </w:r>
      <w:r>
        <w:t>35</w:t>
      </w:r>
      <w:r>
        <w:fldChar w:fldCharType="end"/>
      </w:r>
      <w:r>
        <w:rPr>
          <w:rFonts w:ascii="宋体" w:hAnsi="宋体" w:cs="宋体"/>
          <w:highlight w:val="none"/>
        </w:rPr>
        <w:fldChar w:fldCharType="end"/>
      </w:r>
    </w:p>
    <w:p w14:paraId="7BE7C54C">
      <w:pPr>
        <w:pStyle w:val="19"/>
        <w:tabs>
          <w:tab w:val="right" w:leader="dot" w:pos="9072"/>
        </w:tabs>
      </w:pPr>
      <w:r>
        <w:rPr>
          <w:rFonts w:ascii="宋体" w:hAnsi="宋体" w:cs="宋体"/>
          <w:highlight w:val="none"/>
        </w:rPr>
        <w:fldChar w:fldCharType="begin"/>
      </w:r>
      <w:r>
        <w:rPr>
          <w:rFonts w:ascii="宋体" w:hAnsi="宋体" w:cs="宋体"/>
          <w:highlight w:val="none"/>
        </w:rPr>
        <w:instrText xml:space="preserve"> HYPERLINK \l _Toc26392 </w:instrText>
      </w:r>
      <w:r>
        <w:rPr>
          <w:rFonts w:ascii="宋体" w:hAnsi="宋体" w:cs="宋体"/>
          <w:highlight w:val="none"/>
        </w:rPr>
        <w:fldChar w:fldCharType="separate"/>
      </w:r>
      <w:r>
        <w:rPr>
          <w:rFonts w:hint="eastAsia" w:ascii="宋体" w:hAnsi="宋体" w:cs="宋体"/>
          <w:szCs w:val="24"/>
          <w:highlight w:val="none"/>
        </w:rPr>
        <w:t>一、磋商报价表</w:t>
      </w:r>
      <w:r>
        <w:tab/>
      </w:r>
      <w:r>
        <w:fldChar w:fldCharType="begin"/>
      </w:r>
      <w:r>
        <w:instrText xml:space="preserve"> PAGEREF _Toc26392 \h </w:instrText>
      </w:r>
      <w:r>
        <w:fldChar w:fldCharType="separate"/>
      </w:r>
      <w:r>
        <w:t>35</w:t>
      </w:r>
      <w:r>
        <w:fldChar w:fldCharType="end"/>
      </w:r>
      <w:r>
        <w:rPr>
          <w:rFonts w:ascii="宋体" w:hAnsi="宋体" w:cs="宋体"/>
          <w:highlight w:val="none"/>
        </w:rPr>
        <w:fldChar w:fldCharType="end"/>
      </w:r>
    </w:p>
    <w:p w14:paraId="5C003225">
      <w:pPr>
        <w:pStyle w:val="34"/>
        <w:tabs>
          <w:tab w:val="right" w:leader="dot" w:pos="9072"/>
        </w:tabs>
      </w:pPr>
      <w:r>
        <w:rPr>
          <w:rFonts w:ascii="宋体" w:hAnsi="宋体" w:cs="宋体"/>
          <w:highlight w:val="none"/>
        </w:rPr>
        <w:fldChar w:fldCharType="begin"/>
      </w:r>
      <w:r>
        <w:rPr>
          <w:rFonts w:ascii="宋体" w:hAnsi="宋体" w:cs="宋体"/>
          <w:highlight w:val="none"/>
        </w:rPr>
        <w:instrText xml:space="preserve"> HYPERLINK \l _Toc20404 </w:instrText>
      </w:r>
      <w:r>
        <w:rPr>
          <w:rFonts w:ascii="宋体" w:hAnsi="宋体" w:cs="宋体"/>
          <w:highlight w:val="none"/>
        </w:rPr>
        <w:fldChar w:fldCharType="separate"/>
      </w:r>
      <w:r>
        <w:rPr>
          <w:rFonts w:hint="eastAsia" w:ascii="宋体" w:hAnsi="宋体" w:cs="宋体"/>
          <w:szCs w:val="24"/>
          <w:highlight w:val="none"/>
        </w:rPr>
        <w:t>技术部分</w:t>
      </w:r>
      <w:r>
        <w:tab/>
      </w:r>
      <w:r>
        <w:fldChar w:fldCharType="begin"/>
      </w:r>
      <w:r>
        <w:instrText xml:space="preserve"> PAGEREF _Toc20404 \h </w:instrText>
      </w:r>
      <w:r>
        <w:fldChar w:fldCharType="separate"/>
      </w:r>
      <w:r>
        <w:t>36</w:t>
      </w:r>
      <w:r>
        <w:fldChar w:fldCharType="end"/>
      </w:r>
      <w:r>
        <w:rPr>
          <w:rFonts w:ascii="宋体" w:hAnsi="宋体" w:cs="宋体"/>
          <w:highlight w:val="none"/>
        </w:rPr>
        <w:fldChar w:fldCharType="end"/>
      </w:r>
    </w:p>
    <w:p w14:paraId="721C2F0D">
      <w:pPr>
        <w:pStyle w:val="19"/>
        <w:tabs>
          <w:tab w:val="right" w:leader="dot" w:pos="9072"/>
        </w:tabs>
      </w:pPr>
      <w:r>
        <w:rPr>
          <w:rFonts w:ascii="宋体" w:hAnsi="宋体" w:cs="宋体"/>
          <w:highlight w:val="none"/>
        </w:rPr>
        <w:fldChar w:fldCharType="begin"/>
      </w:r>
      <w:r>
        <w:rPr>
          <w:rFonts w:ascii="宋体" w:hAnsi="宋体" w:cs="宋体"/>
          <w:highlight w:val="none"/>
        </w:rPr>
        <w:instrText xml:space="preserve"> HYPERLINK \l _Toc27656 </w:instrText>
      </w:r>
      <w:r>
        <w:rPr>
          <w:rFonts w:ascii="宋体" w:hAnsi="宋体" w:cs="宋体"/>
          <w:highlight w:val="none"/>
        </w:rPr>
        <w:fldChar w:fldCharType="separate"/>
      </w:r>
      <w:r>
        <w:rPr>
          <w:rFonts w:hint="eastAsia" w:ascii="宋体" w:hAnsi="宋体" w:cs="宋体"/>
          <w:szCs w:val="24"/>
          <w:highlight w:val="none"/>
        </w:rPr>
        <w:t>一、项目服务方案</w:t>
      </w:r>
      <w:r>
        <w:tab/>
      </w:r>
      <w:r>
        <w:fldChar w:fldCharType="begin"/>
      </w:r>
      <w:r>
        <w:instrText xml:space="preserve"> PAGEREF _Toc27656 \h </w:instrText>
      </w:r>
      <w:r>
        <w:fldChar w:fldCharType="separate"/>
      </w:r>
      <w:r>
        <w:t>36</w:t>
      </w:r>
      <w:r>
        <w:fldChar w:fldCharType="end"/>
      </w:r>
      <w:r>
        <w:rPr>
          <w:rFonts w:ascii="宋体" w:hAnsi="宋体" w:cs="宋体"/>
          <w:highlight w:val="none"/>
        </w:rPr>
        <w:fldChar w:fldCharType="end"/>
      </w:r>
    </w:p>
    <w:p w14:paraId="0E2554B6">
      <w:pPr>
        <w:pStyle w:val="19"/>
        <w:tabs>
          <w:tab w:val="right" w:leader="dot" w:pos="9072"/>
        </w:tabs>
      </w:pPr>
      <w:r>
        <w:rPr>
          <w:rFonts w:ascii="宋体" w:hAnsi="宋体" w:cs="宋体"/>
          <w:highlight w:val="none"/>
        </w:rPr>
        <w:fldChar w:fldCharType="begin"/>
      </w:r>
      <w:r>
        <w:rPr>
          <w:rFonts w:ascii="宋体" w:hAnsi="宋体" w:cs="宋体"/>
          <w:highlight w:val="none"/>
        </w:rPr>
        <w:instrText xml:space="preserve"> HYPERLINK \l _Toc4743 </w:instrText>
      </w:r>
      <w:r>
        <w:rPr>
          <w:rFonts w:ascii="宋体" w:hAnsi="宋体" w:cs="宋体"/>
          <w:highlight w:val="none"/>
        </w:rPr>
        <w:fldChar w:fldCharType="separate"/>
      </w:r>
      <w:r>
        <w:rPr>
          <w:rFonts w:hint="eastAsia" w:ascii="宋体" w:hAnsi="宋体" w:cs="宋体"/>
          <w:highlight w:val="none"/>
        </w:rPr>
        <w:t>二、项目组成人员一览表</w:t>
      </w:r>
      <w:r>
        <w:tab/>
      </w:r>
      <w:r>
        <w:fldChar w:fldCharType="begin"/>
      </w:r>
      <w:r>
        <w:instrText xml:space="preserve"> PAGEREF _Toc4743 \h </w:instrText>
      </w:r>
      <w:r>
        <w:fldChar w:fldCharType="separate"/>
      </w:r>
      <w:r>
        <w:t>36</w:t>
      </w:r>
      <w:r>
        <w:fldChar w:fldCharType="end"/>
      </w:r>
      <w:r>
        <w:rPr>
          <w:rFonts w:ascii="宋体" w:hAnsi="宋体" w:cs="宋体"/>
          <w:highlight w:val="none"/>
        </w:rPr>
        <w:fldChar w:fldCharType="end"/>
      </w:r>
    </w:p>
    <w:p w14:paraId="4316351F">
      <w:pPr>
        <w:pStyle w:val="19"/>
        <w:tabs>
          <w:tab w:val="right" w:leader="dot" w:pos="9072"/>
        </w:tabs>
      </w:pPr>
      <w:r>
        <w:rPr>
          <w:rFonts w:ascii="宋体" w:hAnsi="宋体" w:cs="宋体"/>
          <w:highlight w:val="none"/>
        </w:rPr>
        <w:fldChar w:fldCharType="begin"/>
      </w:r>
      <w:r>
        <w:rPr>
          <w:rFonts w:ascii="宋体" w:hAnsi="宋体" w:cs="宋体"/>
          <w:highlight w:val="none"/>
        </w:rPr>
        <w:instrText xml:space="preserve"> HYPERLINK \l _Toc29382 </w:instrText>
      </w:r>
      <w:r>
        <w:rPr>
          <w:rFonts w:ascii="宋体" w:hAnsi="宋体" w:cs="宋体"/>
          <w:highlight w:val="none"/>
        </w:rPr>
        <w:fldChar w:fldCharType="separate"/>
      </w:r>
      <w:r>
        <w:rPr>
          <w:rFonts w:hint="eastAsia" w:ascii="宋体" w:hAnsi="宋体" w:cs="宋体"/>
          <w:highlight w:val="none"/>
          <w:lang w:val="en-US" w:eastAsia="zh-CN"/>
        </w:rPr>
        <w:t>三</w:t>
      </w:r>
      <w:r>
        <w:rPr>
          <w:rFonts w:hint="eastAsia" w:ascii="宋体" w:hAnsi="宋体" w:cs="宋体"/>
          <w:highlight w:val="none"/>
        </w:rPr>
        <w:t>、质量保证及服务承诺</w:t>
      </w:r>
      <w:r>
        <w:tab/>
      </w:r>
      <w:r>
        <w:fldChar w:fldCharType="begin"/>
      </w:r>
      <w:r>
        <w:instrText xml:space="preserve"> PAGEREF _Toc29382 \h </w:instrText>
      </w:r>
      <w:r>
        <w:fldChar w:fldCharType="separate"/>
      </w:r>
      <w:r>
        <w:t>37</w:t>
      </w:r>
      <w:r>
        <w:fldChar w:fldCharType="end"/>
      </w:r>
      <w:r>
        <w:rPr>
          <w:rFonts w:ascii="宋体" w:hAnsi="宋体" w:cs="宋体"/>
          <w:highlight w:val="none"/>
        </w:rPr>
        <w:fldChar w:fldCharType="end"/>
      </w:r>
    </w:p>
    <w:p w14:paraId="09536078">
      <w:pPr>
        <w:pStyle w:val="19"/>
        <w:tabs>
          <w:tab w:val="right" w:leader="dot" w:pos="9072"/>
        </w:tabs>
      </w:pPr>
      <w:r>
        <w:rPr>
          <w:rFonts w:ascii="宋体" w:hAnsi="宋体" w:cs="宋体"/>
          <w:highlight w:val="none"/>
        </w:rPr>
        <w:fldChar w:fldCharType="begin"/>
      </w:r>
      <w:r>
        <w:rPr>
          <w:rFonts w:ascii="宋体" w:hAnsi="宋体" w:cs="宋体"/>
          <w:highlight w:val="none"/>
        </w:rPr>
        <w:instrText xml:space="preserve"> HYPERLINK \l _Toc17475 </w:instrText>
      </w:r>
      <w:r>
        <w:rPr>
          <w:rFonts w:ascii="宋体" w:hAnsi="宋体" w:cs="宋体"/>
          <w:highlight w:val="none"/>
        </w:rPr>
        <w:fldChar w:fldCharType="separate"/>
      </w:r>
      <w:r>
        <w:rPr>
          <w:rFonts w:hint="eastAsia" w:ascii="宋体" w:hAnsi="宋体" w:cs="宋体"/>
          <w:highlight w:val="none"/>
          <w:lang w:val="en-US" w:eastAsia="zh-CN"/>
        </w:rPr>
        <w:t>四、</w:t>
      </w:r>
      <w:r>
        <w:rPr>
          <w:rFonts w:hint="eastAsia" w:ascii="宋体" w:hAnsi="宋体" w:cs="宋体"/>
          <w:highlight w:val="none"/>
          <w:lang w:val="zh-CN" w:eastAsia="zh-CN"/>
        </w:rPr>
        <w:t>供应商认为需要提供的其他技术文件或资料等</w:t>
      </w:r>
      <w:r>
        <w:tab/>
      </w:r>
      <w:r>
        <w:fldChar w:fldCharType="begin"/>
      </w:r>
      <w:r>
        <w:instrText xml:space="preserve"> PAGEREF _Toc17475 \h </w:instrText>
      </w:r>
      <w:r>
        <w:fldChar w:fldCharType="separate"/>
      </w:r>
      <w:r>
        <w:t>37</w:t>
      </w:r>
      <w:r>
        <w:fldChar w:fldCharType="end"/>
      </w:r>
      <w:r>
        <w:rPr>
          <w:rFonts w:ascii="宋体" w:hAnsi="宋体" w:cs="宋体"/>
          <w:highlight w:val="none"/>
        </w:rPr>
        <w:fldChar w:fldCharType="end"/>
      </w:r>
    </w:p>
    <w:p w14:paraId="71F626F5">
      <w:pPr>
        <w:pStyle w:val="34"/>
        <w:tabs>
          <w:tab w:val="right" w:leader="dot" w:pos="9072"/>
        </w:tabs>
      </w:pPr>
      <w:r>
        <w:rPr>
          <w:rFonts w:ascii="宋体" w:hAnsi="宋体" w:cs="宋体"/>
          <w:highlight w:val="none"/>
        </w:rPr>
        <w:fldChar w:fldCharType="begin"/>
      </w:r>
      <w:r>
        <w:rPr>
          <w:rFonts w:ascii="宋体" w:hAnsi="宋体" w:cs="宋体"/>
          <w:highlight w:val="none"/>
        </w:rPr>
        <w:instrText xml:space="preserve"> HYPERLINK \l _Toc28878 </w:instrText>
      </w:r>
      <w:r>
        <w:rPr>
          <w:rFonts w:ascii="宋体" w:hAnsi="宋体" w:cs="宋体"/>
          <w:highlight w:val="none"/>
        </w:rPr>
        <w:fldChar w:fldCharType="separate"/>
      </w:r>
      <w:r>
        <w:rPr>
          <w:rFonts w:hint="eastAsia" w:ascii="宋体" w:hAnsi="宋体" w:cs="宋体"/>
          <w:bCs/>
          <w:highlight w:val="none"/>
        </w:rPr>
        <w:t>附件一、中小企业声明函</w:t>
      </w:r>
      <w:r>
        <w:tab/>
      </w:r>
      <w:r>
        <w:fldChar w:fldCharType="begin"/>
      </w:r>
      <w:r>
        <w:instrText xml:space="preserve"> PAGEREF _Toc28878 \h </w:instrText>
      </w:r>
      <w:r>
        <w:fldChar w:fldCharType="separate"/>
      </w:r>
      <w:r>
        <w:t>38</w:t>
      </w:r>
      <w:r>
        <w:fldChar w:fldCharType="end"/>
      </w:r>
      <w:r>
        <w:rPr>
          <w:rFonts w:ascii="宋体" w:hAnsi="宋体" w:cs="宋体"/>
          <w:highlight w:val="none"/>
        </w:rPr>
        <w:fldChar w:fldCharType="end"/>
      </w:r>
    </w:p>
    <w:p w14:paraId="4AAEE151">
      <w:pPr>
        <w:pStyle w:val="34"/>
        <w:tabs>
          <w:tab w:val="right" w:leader="dot" w:pos="9072"/>
        </w:tabs>
      </w:pPr>
      <w:r>
        <w:rPr>
          <w:rFonts w:ascii="宋体" w:hAnsi="宋体" w:cs="宋体"/>
          <w:highlight w:val="none"/>
        </w:rPr>
        <w:fldChar w:fldCharType="begin"/>
      </w:r>
      <w:r>
        <w:rPr>
          <w:rFonts w:ascii="宋体" w:hAnsi="宋体" w:cs="宋体"/>
          <w:highlight w:val="none"/>
        </w:rPr>
        <w:instrText xml:space="preserve"> HYPERLINK \l _Toc24858 </w:instrText>
      </w:r>
      <w:r>
        <w:rPr>
          <w:rFonts w:ascii="宋体" w:hAnsi="宋体" w:cs="宋体"/>
          <w:highlight w:val="none"/>
        </w:rPr>
        <w:fldChar w:fldCharType="separate"/>
      </w:r>
      <w:r>
        <w:rPr>
          <w:rFonts w:hint="eastAsia" w:ascii="宋体" w:hAnsi="宋体" w:cs="宋体"/>
          <w:bCs/>
          <w:highlight w:val="none"/>
        </w:rPr>
        <w:t>附件二、残疾人福利性单位声明函（如有）</w:t>
      </w:r>
      <w:r>
        <w:tab/>
      </w:r>
      <w:r>
        <w:fldChar w:fldCharType="begin"/>
      </w:r>
      <w:r>
        <w:instrText xml:space="preserve"> PAGEREF _Toc24858 \h </w:instrText>
      </w:r>
      <w:r>
        <w:fldChar w:fldCharType="separate"/>
      </w:r>
      <w:r>
        <w:t>39</w:t>
      </w:r>
      <w:r>
        <w:fldChar w:fldCharType="end"/>
      </w:r>
      <w:r>
        <w:rPr>
          <w:rFonts w:ascii="宋体" w:hAnsi="宋体" w:cs="宋体"/>
          <w:highlight w:val="none"/>
        </w:rPr>
        <w:fldChar w:fldCharType="end"/>
      </w:r>
    </w:p>
    <w:p w14:paraId="5A9A3D12">
      <w:pPr>
        <w:pStyle w:val="34"/>
        <w:tabs>
          <w:tab w:val="right" w:leader="dot" w:pos="9072"/>
        </w:tabs>
      </w:pPr>
      <w:r>
        <w:rPr>
          <w:rFonts w:ascii="宋体" w:hAnsi="宋体" w:cs="宋体"/>
          <w:highlight w:val="none"/>
        </w:rPr>
        <w:fldChar w:fldCharType="begin"/>
      </w:r>
      <w:r>
        <w:rPr>
          <w:rFonts w:ascii="宋体" w:hAnsi="宋体" w:cs="宋体"/>
          <w:highlight w:val="none"/>
        </w:rPr>
        <w:instrText xml:space="preserve"> HYPERLINK \l _Toc25507 </w:instrText>
      </w:r>
      <w:r>
        <w:rPr>
          <w:rFonts w:ascii="宋体" w:hAnsi="宋体" w:cs="宋体"/>
          <w:highlight w:val="none"/>
        </w:rPr>
        <w:fldChar w:fldCharType="separate"/>
      </w:r>
      <w:r>
        <w:rPr>
          <w:rFonts w:hint="eastAsia" w:ascii="宋体" w:hAnsi="宋体" w:cs="宋体"/>
          <w:bCs/>
          <w:highlight w:val="none"/>
          <w:lang w:val="zh-CN"/>
        </w:rPr>
        <w:t>附件</w:t>
      </w:r>
      <w:r>
        <w:rPr>
          <w:rFonts w:hint="eastAsia" w:ascii="宋体" w:hAnsi="宋体" w:cs="宋体"/>
          <w:bCs/>
          <w:highlight w:val="none"/>
        </w:rPr>
        <w:t>三</w:t>
      </w:r>
      <w:r>
        <w:rPr>
          <w:rFonts w:hint="eastAsia" w:ascii="宋体" w:hAnsi="宋体" w:cs="宋体"/>
          <w:bCs/>
          <w:highlight w:val="none"/>
          <w:lang w:val="zh-CN"/>
        </w:rPr>
        <w:t>：具备履行合同所必需的设备和专业技术能力的书面声明</w:t>
      </w:r>
      <w:r>
        <w:tab/>
      </w:r>
      <w:r>
        <w:fldChar w:fldCharType="begin"/>
      </w:r>
      <w:r>
        <w:instrText xml:space="preserve"> PAGEREF _Toc25507 \h </w:instrText>
      </w:r>
      <w:r>
        <w:fldChar w:fldCharType="separate"/>
      </w:r>
      <w:r>
        <w:t>40</w:t>
      </w:r>
      <w:r>
        <w:fldChar w:fldCharType="end"/>
      </w:r>
      <w:r>
        <w:rPr>
          <w:rFonts w:ascii="宋体" w:hAnsi="宋体" w:cs="宋体"/>
          <w:highlight w:val="none"/>
        </w:rPr>
        <w:fldChar w:fldCharType="end"/>
      </w:r>
    </w:p>
    <w:p w14:paraId="7276B31F">
      <w:pPr>
        <w:pStyle w:val="34"/>
        <w:tabs>
          <w:tab w:val="right" w:leader="dot" w:pos="9072"/>
        </w:tabs>
      </w:pPr>
      <w:r>
        <w:rPr>
          <w:rFonts w:ascii="宋体" w:hAnsi="宋体" w:cs="宋体"/>
          <w:highlight w:val="none"/>
        </w:rPr>
        <w:fldChar w:fldCharType="begin"/>
      </w:r>
      <w:r>
        <w:rPr>
          <w:rFonts w:ascii="宋体" w:hAnsi="宋体" w:cs="宋体"/>
          <w:highlight w:val="none"/>
        </w:rPr>
        <w:instrText xml:space="preserve"> HYPERLINK \l _Toc558 </w:instrText>
      </w:r>
      <w:r>
        <w:rPr>
          <w:rFonts w:ascii="宋体" w:hAnsi="宋体" w:cs="宋体"/>
          <w:highlight w:val="none"/>
        </w:rPr>
        <w:fldChar w:fldCharType="separate"/>
      </w:r>
      <w:r>
        <w:rPr>
          <w:rFonts w:hint="eastAsia" w:ascii="宋体" w:hAnsi="宋体" w:cs="宋体"/>
          <w:highlight w:val="none"/>
        </w:rPr>
        <w:t>附件四：无重大违法记录声明格式</w:t>
      </w:r>
      <w:r>
        <w:tab/>
      </w:r>
      <w:r>
        <w:fldChar w:fldCharType="begin"/>
      </w:r>
      <w:r>
        <w:instrText xml:space="preserve"> PAGEREF _Toc558 \h </w:instrText>
      </w:r>
      <w:r>
        <w:fldChar w:fldCharType="separate"/>
      </w:r>
      <w:r>
        <w:t>40</w:t>
      </w:r>
      <w:r>
        <w:fldChar w:fldCharType="end"/>
      </w:r>
      <w:r>
        <w:rPr>
          <w:rFonts w:ascii="宋体" w:hAnsi="宋体" w:cs="宋体"/>
          <w:highlight w:val="none"/>
        </w:rPr>
        <w:fldChar w:fldCharType="end"/>
      </w:r>
    </w:p>
    <w:p w14:paraId="137607BD">
      <w:pPr>
        <w:pStyle w:val="34"/>
        <w:tabs>
          <w:tab w:val="right" w:leader="dot" w:pos="9072"/>
        </w:tabs>
      </w:pPr>
      <w:r>
        <w:rPr>
          <w:rFonts w:ascii="宋体" w:hAnsi="宋体" w:cs="宋体"/>
          <w:highlight w:val="none"/>
        </w:rPr>
        <w:fldChar w:fldCharType="begin"/>
      </w:r>
      <w:r>
        <w:rPr>
          <w:rFonts w:ascii="宋体" w:hAnsi="宋体" w:cs="宋体"/>
          <w:highlight w:val="none"/>
        </w:rPr>
        <w:instrText xml:space="preserve"> HYPERLINK \l _Toc4806 </w:instrText>
      </w:r>
      <w:r>
        <w:rPr>
          <w:rFonts w:ascii="宋体" w:hAnsi="宋体" w:cs="宋体"/>
          <w:highlight w:val="none"/>
        </w:rPr>
        <w:fldChar w:fldCharType="separate"/>
      </w:r>
      <w:r>
        <w:rPr>
          <w:rFonts w:hint="eastAsia" w:ascii="宋体" w:hAnsi="宋体" w:eastAsia="宋体" w:cs="宋体"/>
          <w:szCs w:val="24"/>
          <w:highlight w:val="none"/>
          <w:lang w:val="en-US" w:eastAsia="zh-CN" w:bidi="ar-SA"/>
        </w:rPr>
        <w:t>附件五:实质性要求完全响应承诺书</w:t>
      </w:r>
      <w:r>
        <w:rPr>
          <w:rFonts w:hint="eastAsia" w:ascii="宋体" w:hAnsi="宋体" w:cs="宋体"/>
          <w:szCs w:val="24"/>
          <w:highlight w:val="none"/>
          <w:lang w:val="en-US" w:eastAsia="zh-CN" w:bidi="ar-SA"/>
        </w:rPr>
        <w:t>格式</w:t>
      </w:r>
      <w:r>
        <w:tab/>
      </w:r>
      <w:r>
        <w:fldChar w:fldCharType="begin"/>
      </w:r>
      <w:r>
        <w:instrText xml:space="preserve"> PAGEREF _Toc4806 \h </w:instrText>
      </w:r>
      <w:r>
        <w:fldChar w:fldCharType="separate"/>
      </w:r>
      <w:r>
        <w:t>41</w:t>
      </w:r>
      <w:r>
        <w:fldChar w:fldCharType="end"/>
      </w:r>
      <w:r>
        <w:rPr>
          <w:rFonts w:ascii="宋体" w:hAnsi="宋体" w:cs="宋体"/>
          <w:highlight w:val="none"/>
        </w:rPr>
        <w:fldChar w:fldCharType="end"/>
      </w:r>
    </w:p>
    <w:p w14:paraId="65CDE1DA">
      <w:pPr>
        <w:pStyle w:val="26"/>
        <w:tabs>
          <w:tab w:val="right" w:leader="dot" w:pos="9345"/>
        </w:tabs>
        <w:spacing w:line="360" w:lineRule="exact"/>
        <w:rPr>
          <w:rFonts w:ascii="宋体" w:hAnsi="宋体" w:cs="宋体"/>
          <w:highlight w:val="none"/>
        </w:rPr>
      </w:pPr>
      <w:r>
        <w:rPr>
          <w:rFonts w:ascii="宋体" w:hAnsi="宋体" w:cs="宋体"/>
          <w:highlight w:val="none"/>
        </w:rPr>
        <w:fldChar w:fldCharType="end"/>
      </w:r>
    </w:p>
    <w:p w14:paraId="36A3D549">
      <w:pPr>
        <w:rPr>
          <w:rFonts w:ascii="宋体" w:hAnsi="宋体" w:cs="宋体"/>
          <w:highlight w:val="none"/>
        </w:rPr>
      </w:pPr>
    </w:p>
    <w:p w14:paraId="05CE8B4B">
      <w:pPr>
        <w:spacing w:before="156" w:after="156" w:line="460" w:lineRule="exact"/>
        <w:jc w:val="center"/>
        <w:outlineLvl w:val="0"/>
      </w:pPr>
      <w:r>
        <w:rPr>
          <w:rFonts w:hint="eastAsia" w:ascii="宋体" w:hAnsi="宋体" w:cs="宋体"/>
          <w:sz w:val="30"/>
          <w:szCs w:val="30"/>
          <w:highlight w:val="none"/>
        </w:rPr>
        <w:br w:type="page" w:clear="all"/>
      </w:r>
      <w:bookmarkStart w:id="1" w:name="undefined"/>
      <w:bookmarkStart w:id="2" w:name="_Toc21961"/>
      <w:r>
        <w:rPr>
          <w:rFonts w:hint="eastAsia" w:ascii="宋体" w:hAnsi="宋体" w:cs="宋体"/>
          <w:b/>
          <w:bCs/>
          <w:sz w:val="30"/>
          <w:szCs w:val="30"/>
          <w:highlight w:val="none"/>
        </w:rPr>
        <w:t>第一章  竞争性磋商邀请</w:t>
      </w:r>
      <w:bookmarkEnd w:id="1"/>
      <w:bookmarkEnd w:id="2"/>
    </w:p>
    <w:p w14:paraId="2D2791B3">
      <w:pPr>
        <w:spacing w:line="360" w:lineRule="auto"/>
        <w:jc w:val="center"/>
      </w:pPr>
      <w:r>
        <w:rPr>
          <w:rFonts w:hint="eastAsia" w:ascii="宋体" w:hAnsi="宋体" w:cs="宋体"/>
          <w:b/>
          <w:sz w:val="28"/>
          <w:szCs w:val="28"/>
          <w:highlight w:val="none"/>
          <w:lang w:eastAsia="zh-CN"/>
        </w:rPr>
        <w:t>东山街道2026年既有建筑安全检测评估服务</w:t>
      </w:r>
      <w:r>
        <w:rPr>
          <w:rFonts w:hint="eastAsia" w:ascii="宋体" w:hAnsi="宋体" w:cs="宋体"/>
          <w:b/>
          <w:sz w:val="28"/>
          <w:szCs w:val="28"/>
          <w:highlight w:val="none"/>
        </w:rPr>
        <w:t>竞争性磋商采购公告</w:t>
      </w:r>
    </w:p>
    <w:p w14:paraId="08282B58">
      <w:pPr>
        <w:pageBreakBefore w:val="0"/>
        <w:widowControl/>
        <w:spacing w:line="360" w:lineRule="auto"/>
        <w:jc w:val="center"/>
        <w:rPr>
          <w:rFonts w:hint="eastAsia" w:eastAsia="宋体"/>
          <w:lang w:eastAsia="zh-CN"/>
        </w:rPr>
      </w:pPr>
      <w:r>
        <w:rPr>
          <w:rFonts w:hint="eastAsia" w:ascii="宋体" w:hAnsi="宋体" w:cs="宋体"/>
          <w:b/>
          <w:bCs/>
          <w:color w:val="auto"/>
          <w:sz w:val="26"/>
          <w:szCs w:val="26"/>
          <w:highlight w:val="none"/>
        </w:rPr>
        <w:t>编号：</w:t>
      </w:r>
      <w:r>
        <w:rPr>
          <w:rFonts w:hint="eastAsia" w:ascii="宋体" w:hAnsi="宋体" w:cs="宋体"/>
          <w:b/>
          <w:bCs/>
          <w:color w:val="auto"/>
          <w:sz w:val="26"/>
          <w:szCs w:val="26"/>
          <w:highlight w:val="none"/>
          <w:lang w:eastAsia="zh-CN"/>
        </w:rPr>
        <w:t>JSZC-320115-NJDX-C2026-0008</w:t>
      </w:r>
    </w:p>
    <w:p w14:paraId="71855648">
      <w:pPr>
        <w:pageBreakBefore w:val="0"/>
        <w:spacing w:line="360" w:lineRule="auto"/>
      </w:pPr>
      <w:r>
        <w:rPr>
          <w:rFonts w:hint="eastAsia" w:ascii="宋体" w:hAnsi="宋体" w:cs="宋体"/>
          <w:b/>
          <w:bCs/>
          <w:sz w:val="24"/>
          <w:highlight w:val="none"/>
        </w:rPr>
        <w:t>项目概况：</w:t>
      </w:r>
    </w:p>
    <w:p w14:paraId="765760E3">
      <w:pPr>
        <w:pageBreakBefore w:val="0"/>
        <w:spacing w:line="360" w:lineRule="auto"/>
        <w:ind w:firstLine="420"/>
      </w:pPr>
      <w:r>
        <w:rPr>
          <w:rFonts w:hint="eastAsia" w:ascii="宋体" w:hAnsi="宋体" w:cs="宋体"/>
          <w:szCs w:val="21"/>
          <w:highlight w:val="none"/>
          <w:lang w:eastAsia="zh-CN"/>
        </w:rPr>
        <w:t>东山街道2026年既有建筑安全检测评估服务</w:t>
      </w:r>
      <w:r>
        <w:rPr>
          <w:rFonts w:hint="eastAsia" w:ascii="宋体" w:hAnsi="宋体" w:cs="宋体"/>
          <w:szCs w:val="21"/>
          <w:highlight w:val="none"/>
        </w:rPr>
        <w:t xml:space="preserve">的潜在供应商应在 </w:t>
      </w:r>
      <w:r>
        <w:rPr>
          <w:rFonts w:hint="eastAsia" w:ascii="宋体" w:hAnsi="宋体" w:cs="宋体"/>
          <w:szCs w:val="21"/>
          <w:highlight w:val="none"/>
          <w:lang w:val="en-US" w:eastAsia="zh-CN"/>
        </w:rPr>
        <w:t>江苏政府采购网“苏采云”系统</w:t>
      </w:r>
      <w:r>
        <w:rPr>
          <w:rFonts w:hint="eastAsia" w:ascii="宋体" w:hAnsi="宋体" w:cs="宋体"/>
          <w:szCs w:val="21"/>
          <w:highlight w:val="none"/>
        </w:rPr>
        <w:t xml:space="preserve"> 获取采购文件，并于</w:t>
      </w:r>
      <w:r>
        <w:rPr>
          <w:rFonts w:hint="eastAsia" w:ascii="宋体" w:hAnsi="宋体" w:cs="宋体"/>
          <w:color w:val="FF0000"/>
          <w:szCs w:val="21"/>
          <w:highlight w:val="none"/>
          <w:lang w:eastAsia="zh-CN"/>
        </w:rPr>
        <w:t>202</w:t>
      </w:r>
      <w:r>
        <w:rPr>
          <w:rFonts w:hint="eastAsia" w:ascii="宋体" w:hAnsi="宋体" w:cs="宋体"/>
          <w:color w:val="FF0000"/>
          <w:szCs w:val="21"/>
          <w:highlight w:val="none"/>
          <w:lang w:val="en-US" w:eastAsia="zh-CN"/>
        </w:rPr>
        <w:t>6</w:t>
      </w:r>
      <w:r>
        <w:rPr>
          <w:rFonts w:hint="eastAsia" w:ascii="宋体" w:hAnsi="宋体" w:cs="宋体"/>
          <w:color w:val="FF0000"/>
          <w:szCs w:val="21"/>
          <w:highlight w:val="none"/>
          <w:lang w:eastAsia="zh-CN"/>
        </w:rPr>
        <w:t>年</w:t>
      </w:r>
      <w:r>
        <w:rPr>
          <w:rFonts w:hint="eastAsia" w:ascii="宋体" w:hAnsi="宋体" w:cs="宋体"/>
          <w:color w:val="FF0000"/>
          <w:szCs w:val="21"/>
          <w:highlight w:val="none"/>
          <w:lang w:val="en-US" w:eastAsia="zh-CN"/>
        </w:rPr>
        <w:t>8</w:t>
      </w:r>
      <w:r>
        <w:rPr>
          <w:rFonts w:hint="eastAsia" w:ascii="宋体" w:hAnsi="宋体" w:cs="宋体"/>
          <w:color w:val="FF0000"/>
          <w:szCs w:val="21"/>
          <w:highlight w:val="none"/>
          <w:lang w:eastAsia="zh-CN"/>
        </w:rPr>
        <w:t>月</w:t>
      </w:r>
      <w:r>
        <w:rPr>
          <w:rFonts w:hint="eastAsia" w:ascii="宋体" w:hAnsi="宋体" w:cs="宋体"/>
          <w:color w:val="FF0000"/>
          <w:szCs w:val="21"/>
          <w:highlight w:val="none"/>
          <w:lang w:val="en-US" w:eastAsia="zh-CN"/>
        </w:rPr>
        <w:t>6</w:t>
      </w:r>
      <w:r>
        <w:rPr>
          <w:rFonts w:hint="eastAsia" w:ascii="宋体" w:hAnsi="宋体" w:cs="宋体"/>
          <w:color w:val="FF0000"/>
          <w:szCs w:val="21"/>
          <w:highlight w:val="none"/>
          <w:lang w:eastAsia="zh-CN"/>
        </w:rPr>
        <w:t>日</w:t>
      </w:r>
      <w:r>
        <w:rPr>
          <w:rFonts w:hint="eastAsia" w:ascii="宋体" w:hAnsi="宋体" w:cs="宋体"/>
          <w:color w:val="FF0000"/>
          <w:szCs w:val="21"/>
          <w:highlight w:val="none"/>
          <w:lang w:val="en-US" w:eastAsia="zh-CN"/>
        </w:rPr>
        <w:t>14</w:t>
      </w:r>
      <w:r>
        <w:rPr>
          <w:rFonts w:hint="eastAsia" w:ascii="宋体" w:hAnsi="宋体" w:cs="宋体"/>
          <w:color w:val="FF0000"/>
          <w:szCs w:val="21"/>
          <w:highlight w:val="none"/>
          <w:lang w:eastAsia="zh-CN"/>
        </w:rPr>
        <w:t>点30分</w:t>
      </w:r>
      <w:r>
        <w:rPr>
          <w:rFonts w:hint="eastAsia" w:ascii="宋体" w:hAnsi="宋体" w:cs="宋体"/>
          <w:szCs w:val="21"/>
          <w:highlight w:val="none"/>
        </w:rPr>
        <w:t>（北京时间）前提交响应文件。</w:t>
      </w:r>
    </w:p>
    <w:p w14:paraId="7A99E18C">
      <w:pPr>
        <w:keepNext/>
        <w:keepLines/>
        <w:pageBreakBefore w:val="0"/>
        <w:spacing w:line="360" w:lineRule="auto"/>
      </w:pPr>
      <w:r>
        <w:rPr>
          <w:rFonts w:hint="eastAsia" w:ascii="宋体" w:hAnsi="宋体" w:cs="宋体"/>
          <w:b/>
          <w:sz w:val="24"/>
          <w:highlight w:val="none"/>
        </w:rPr>
        <w:t>一、项目基本情况</w:t>
      </w:r>
    </w:p>
    <w:p w14:paraId="406C23DD">
      <w:pPr>
        <w:pageBreakBefore w:val="0"/>
        <w:spacing w:line="360" w:lineRule="auto"/>
        <w:ind w:firstLine="420"/>
        <w:rPr>
          <w:rFonts w:hint="eastAsia" w:eastAsia="宋体"/>
          <w:lang w:eastAsia="zh-CN"/>
        </w:rPr>
      </w:pPr>
      <w:r>
        <w:rPr>
          <w:rFonts w:hint="eastAsia" w:ascii="宋体" w:hAnsi="宋体" w:cs="宋体"/>
          <w:color w:val="auto"/>
          <w:szCs w:val="21"/>
          <w:highlight w:val="none"/>
        </w:rPr>
        <w:t>项目编号：</w:t>
      </w:r>
      <w:r>
        <w:rPr>
          <w:rFonts w:hint="eastAsia" w:ascii="宋体" w:hAnsi="宋体" w:cs="宋体"/>
          <w:color w:val="auto"/>
          <w:szCs w:val="21"/>
          <w:highlight w:val="none"/>
          <w:lang w:eastAsia="zh-CN"/>
        </w:rPr>
        <w:t>JSZC-320115-NJDX-C2026-0008</w:t>
      </w:r>
    </w:p>
    <w:p w14:paraId="514A0799">
      <w:pPr>
        <w:pageBreakBefore w:val="0"/>
        <w:spacing w:line="360" w:lineRule="auto"/>
        <w:ind w:firstLine="420"/>
        <w:rPr>
          <w:rFonts w:hint="eastAsia" w:eastAsia="宋体"/>
          <w:lang w:eastAsia="zh-CN"/>
        </w:rPr>
      </w:pPr>
      <w:r>
        <w:rPr>
          <w:rFonts w:hint="eastAsia" w:ascii="宋体" w:hAnsi="宋体" w:cs="宋体"/>
          <w:szCs w:val="21"/>
          <w:highlight w:val="none"/>
        </w:rPr>
        <w:t>项目名称：</w:t>
      </w:r>
      <w:r>
        <w:rPr>
          <w:rFonts w:hint="eastAsia" w:ascii="宋体" w:hAnsi="宋体" w:cs="宋体"/>
          <w:szCs w:val="21"/>
          <w:highlight w:val="none"/>
          <w:lang w:eastAsia="zh-CN"/>
        </w:rPr>
        <w:t>东山街道2026年既有建筑安全检测评估服务</w:t>
      </w:r>
    </w:p>
    <w:p w14:paraId="02176AFD">
      <w:pPr>
        <w:pageBreakBefore w:val="0"/>
        <w:spacing w:line="360" w:lineRule="auto"/>
        <w:ind w:firstLine="420"/>
      </w:pPr>
      <w:r>
        <w:rPr>
          <w:rFonts w:hint="eastAsia" w:ascii="宋体" w:hAnsi="宋体" w:cs="宋体"/>
          <w:szCs w:val="21"/>
          <w:highlight w:val="none"/>
        </w:rPr>
        <w:t>采购方式：竞争性磋商</w:t>
      </w:r>
    </w:p>
    <w:p w14:paraId="58F7EC87">
      <w:pPr>
        <w:pageBreakBefore w:val="0"/>
        <w:spacing w:line="360" w:lineRule="auto"/>
        <w:ind w:firstLine="420"/>
      </w:pPr>
      <w:r>
        <w:rPr>
          <w:rFonts w:hint="eastAsia" w:ascii="宋体" w:hAnsi="宋体" w:cs="宋体"/>
          <w:szCs w:val="21"/>
          <w:highlight w:val="none"/>
        </w:rPr>
        <w:t>预算金额：</w:t>
      </w:r>
      <w:r>
        <w:rPr>
          <w:rFonts w:hint="eastAsia" w:ascii="宋体" w:hAnsi="宋体" w:cs="宋体"/>
          <w:szCs w:val="21"/>
          <w:highlight w:val="none"/>
          <w:lang w:val="en-US" w:eastAsia="zh-CN"/>
        </w:rPr>
        <w:t>101.456</w:t>
      </w:r>
      <w:r>
        <w:rPr>
          <w:rFonts w:hint="eastAsia" w:ascii="宋体" w:hAnsi="宋体" w:cs="宋体"/>
          <w:szCs w:val="21"/>
          <w:highlight w:val="none"/>
        </w:rPr>
        <w:t>万元</w:t>
      </w:r>
    </w:p>
    <w:p w14:paraId="011CD7DE">
      <w:pPr>
        <w:pageBreakBefore w:val="0"/>
        <w:spacing w:line="360" w:lineRule="auto"/>
        <w:ind w:firstLine="420"/>
      </w:pPr>
      <w:r>
        <w:rPr>
          <w:rFonts w:hint="eastAsia" w:ascii="宋体" w:hAnsi="宋体" w:cs="宋体"/>
          <w:szCs w:val="21"/>
          <w:highlight w:val="none"/>
        </w:rPr>
        <w:t>最高限价：</w:t>
      </w:r>
      <w:r>
        <w:rPr>
          <w:rFonts w:hint="eastAsia" w:ascii="宋体" w:hAnsi="宋体" w:cs="宋体"/>
          <w:szCs w:val="21"/>
          <w:highlight w:val="none"/>
          <w:lang w:val="en-US" w:eastAsia="zh-CN"/>
        </w:rPr>
        <w:t>100.5429</w:t>
      </w:r>
      <w:r>
        <w:rPr>
          <w:rFonts w:hint="eastAsia" w:ascii="宋体" w:hAnsi="宋体" w:cs="宋体"/>
          <w:szCs w:val="21"/>
          <w:highlight w:val="none"/>
        </w:rPr>
        <w:t>万元</w:t>
      </w:r>
      <w:r>
        <w:rPr>
          <w:rFonts w:hint="eastAsia" w:ascii="宋体" w:hAnsi="宋体" w:cs="宋体"/>
          <w:szCs w:val="21"/>
          <w:highlight w:val="none"/>
          <w:lang w:eastAsia="zh-CN"/>
        </w:rPr>
        <w:t>，</w:t>
      </w:r>
      <w:r>
        <w:rPr>
          <w:rFonts w:hint="eastAsia" w:ascii="宋体" w:hAnsi="宋体" w:cs="宋体"/>
          <w:szCs w:val="21"/>
          <w:highlight w:val="none"/>
          <w:lang w:val="en-US" w:eastAsia="zh-CN"/>
        </w:rPr>
        <w:t>其中，包一:55.2919万元，包二：45.251万元。</w:t>
      </w:r>
      <w:r>
        <w:rPr>
          <w:rFonts w:hint="eastAsia" w:ascii="宋体" w:hAnsi="宋体" w:cs="宋体"/>
          <w:szCs w:val="21"/>
          <w:highlight w:val="none"/>
        </w:rPr>
        <w:t>供应商报价超过最高限价的作无效标处理。</w:t>
      </w:r>
    </w:p>
    <w:p w14:paraId="2D8FC3F7">
      <w:pPr>
        <w:pageBreakBefore w:val="0"/>
        <w:spacing w:line="360" w:lineRule="auto"/>
        <w:ind w:firstLine="420"/>
        <w:rPr>
          <w:rFonts w:hint="eastAsia" w:ascii="宋体" w:hAnsi="宋体" w:cs="宋体"/>
          <w:szCs w:val="21"/>
          <w:highlight w:val="none"/>
        </w:rPr>
      </w:pPr>
      <w:r>
        <w:rPr>
          <w:rFonts w:ascii="宋体" w:hAnsi="宋体" w:eastAsia="宋体" w:cs="宋体"/>
          <w:color w:val="000000"/>
          <w:sz w:val="21"/>
        </w:rPr>
        <w:t>采</w:t>
      </w:r>
      <w:r>
        <w:rPr>
          <w:rFonts w:hint="eastAsia" w:ascii="宋体" w:hAnsi="宋体" w:cs="宋体"/>
          <w:szCs w:val="21"/>
          <w:highlight w:val="none"/>
        </w:rPr>
        <w:t>购需求：</w:t>
      </w:r>
      <w:bookmarkStart w:id="3" w:name="OLE_LINK5"/>
      <w:r>
        <w:rPr>
          <w:rFonts w:hint="eastAsia" w:ascii="宋体" w:hAnsi="宋体" w:cs="宋体"/>
          <w:szCs w:val="21"/>
          <w:highlight w:val="none"/>
          <w:lang w:eastAsia="zh-CN"/>
        </w:rPr>
        <w:t>东山街道2026年既有建筑安全检测评估服务</w:t>
      </w:r>
      <w:r>
        <w:rPr>
          <w:rFonts w:hint="eastAsia" w:ascii="宋体" w:hAnsi="宋体" w:cs="宋体"/>
          <w:szCs w:val="21"/>
          <w:highlight w:val="none"/>
        </w:rPr>
        <w:t>，</w:t>
      </w:r>
      <w:r>
        <w:rPr>
          <w:rFonts w:hint="eastAsia" w:ascii="宋体" w:hAnsi="宋体" w:eastAsia="宋体" w:cs="宋体"/>
          <w:szCs w:val="21"/>
          <w:highlight w:val="none"/>
          <w:lang w:eastAsia="zh-CN"/>
        </w:rPr>
        <w:t>每</w:t>
      </w:r>
      <w:r>
        <w:rPr>
          <w:rFonts w:hint="eastAsia" w:ascii="宋体" w:hAnsi="宋体" w:eastAsia="宋体" w:cs="宋体"/>
          <w:szCs w:val="21"/>
          <w:highlight w:val="none"/>
        </w:rPr>
        <w:t>家供应</w:t>
      </w:r>
      <w:r>
        <w:rPr>
          <w:rFonts w:hint="eastAsia" w:ascii="宋体" w:hAnsi="宋体" w:cs="宋体"/>
          <w:szCs w:val="21"/>
          <w:highlight w:val="none"/>
        </w:rPr>
        <w:t>商可参加一个或多个分包的竞争，但最多只能中标一个分包。</w:t>
      </w:r>
      <w:r>
        <w:rPr>
          <w:rFonts w:hint="eastAsia" w:ascii="宋体" w:hAnsi="宋体" w:cs="宋体"/>
          <w:szCs w:val="21"/>
          <w:highlight w:val="none"/>
          <w:lang w:val="en-US" w:eastAsia="zh-CN"/>
        </w:rPr>
        <w:t>本次招标中，</w:t>
      </w:r>
      <w:r>
        <w:rPr>
          <w:rFonts w:hint="eastAsia" w:ascii="宋体" w:hAnsi="宋体" w:cs="宋体"/>
          <w:b w:val="0"/>
          <w:bCs w:val="0"/>
          <w:szCs w:val="21"/>
          <w:highlight w:val="none"/>
          <w:lang w:eastAsia="zh-CN"/>
        </w:rPr>
        <w:t>同一个供应商如同时参加多个包的招标采购，则只能成交一个包，供应商在前一个标包中被确定为成交供应商后，仍然参加后续标包的评审，但是在后续标包中不能被推荐为</w:t>
      </w:r>
      <w:r>
        <w:rPr>
          <w:rFonts w:hint="eastAsia" w:ascii="宋体" w:hAnsi="宋体" w:cs="宋体"/>
          <w:b w:val="0"/>
          <w:bCs w:val="0"/>
          <w:szCs w:val="21"/>
          <w:highlight w:val="none"/>
          <w:lang w:val="en-US" w:eastAsia="zh-CN"/>
        </w:rPr>
        <w:t>成交供应商和候选供应商</w:t>
      </w:r>
      <w:r>
        <w:rPr>
          <w:rFonts w:hint="eastAsia" w:ascii="宋体" w:hAnsi="宋体" w:cs="宋体"/>
          <w:b w:val="0"/>
          <w:bCs w:val="0"/>
          <w:szCs w:val="21"/>
          <w:highlight w:val="none"/>
          <w:lang w:eastAsia="zh-CN"/>
        </w:rPr>
        <w:t>。</w:t>
      </w:r>
      <w:r>
        <w:rPr>
          <w:rFonts w:hint="eastAsia" w:ascii="宋体" w:hAnsi="宋体" w:cs="宋体"/>
          <w:szCs w:val="21"/>
          <w:highlight w:val="none"/>
        </w:rPr>
        <w:t>（分包号次序从分包一至分包</w:t>
      </w:r>
      <w:r>
        <w:rPr>
          <w:rFonts w:hint="eastAsia" w:ascii="宋体" w:hAnsi="宋体" w:cs="宋体"/>
          <w:szCs w:val="21"/>
          <w:highlight w:val="none"/>
          <w:lang w:val="en-US" w:eastAsia="zh-CN"/>
        </w:rPr>
        <w:t>二</w:t>
      </w:r>
      <w:r>
        <w:rPr>
          <w:rFonts w:hint="eastAsia" w:ascii="宋体" w:hAnsi="宋体" w:cs="宋体"/>
          <w:szCs w:val="21"/>
          <w:highlight w:val="none"/>
        </w:rPr>
        <w:t>按顺序排列）。</w:t>
      </w:r>
      <w:r>
        <w:rPr>
          <w:rFonts w:hint="eastAsia" w:ascii="宋体" w:hAnsi="宋体" w:cs="宋体"/>
          <w:szCs w:val="21"/>
          <w:highlight w:val="none"/>
          <w:lang w:val="en-US" w:eastAsia="zh-CN"/>
        </w:rPr>
        <w:t>原项目分3个包，原采购包2（现系统包1）和包3（现系统包2）因有效竞争供应商不满足三家，已作废，现重新采购。</w:t>
      </w:r>
      <w:r>
        <w:rPr>
          <w:rFonts w:hint="eastAsia" w:ascii="宋体" w:hAnsi="宋体" w:cs="宋体"/>
          <w:szCs w:val="21"/>
          <w:highlight w:val="none"/>
        </w:rPr>
        <w:t>具体详见</w:t>
      </w:r>
      <w:r>
        <w:rPr>
          <w:rFonts w:hint="eastAsia" w:ascii="宋体" w:hAnsi="宋体" w:cs="宋体"/>
          <w:szCs w:val="21"/>
          <w:highlight w:val="none"/>
          <w:lang w:val="en-US" w:eastAsia="zh-CN"/>
        </w:rPr>
        <w:t>磋商项目需求</w:t>
      </w:r>
      <w:bookmarkEnd w:id="3"/>
      <w:r>
        <w:rPr>
          <w:rFonts w:hint="eastAsia" w:ascii="宋体" w:hAnsi="宋体" w:cs="宋体"/>
          <w:szCs w:val="21"/>
          <w:highlight w:val="none"/>
        </w:rPr>
        <w:t>。</w:t>
      </w:r>
    </w:p>
    <w:p w14:paraId="0F42BFDF">
      <w:pPr>
        <w:pageBreakBefore w:val="0"/>
        <w:spacing w:line="360" w:lineRule="auto"/>
        <w:ind w:firstLine="420"/>
        <w:rPr>
          <w:rFonts w:hint="eastAsia" w:ascii="宋体" w:hAnsi="宋体" w:cs="宋体"/>
          <w:szCs w:val="21"/>
          <w:highlight w:val="none"/>
        </w:rPr>
      </w:pPr>
      <w:r>
        <w:rPr>
          <w:rFonts w:hint="eastAsia" w:ascii="宋体" w:hAnsi="宋体" w:cs="宋体"/>
          <w:szCs w:val="21"/>
          <w:highlight w:val="none"/>
        </w:rPr>
        <w:t>合同履行期限：</w:t>
      </w:r>
      <w:bookmarkStart w:id="4" w:name="OLE_LINK19"/>
      <w:r>
        <w:rPr>
          <w:rFonts w:hint="eastAsia" w:ascii="宋体" w:hAnsi="宋体" w:cs="宋体"/>
          <w:szCs w:val="21"/>
          <w:highlight w:val="none"/>
        </w:rPr>
        <w:t>1年</w:t>
      </w:r>
      <w:bookmarkEnd w:id="4"/>
      <w:r>
        <w:rPr>
          <w:rFonts w:hint="eastAsia" w:ascii="宋体" w:hAnsi="宋体" w:cs="宋体"/>
          <w:szCs w:val="21"/>
          <w:highlight w:val="none"/>
        </w:rPr>
        <w:t>。</w:t>
      </w:r>
    </w:p>
    <w:p w14:paraId="69B071E2">
      <w:pPr>
        <w:pageBreakBefore w:val="0"/>
        <w:spacing w:line="360" w:lineRule="auto"/>
        <w:ind w:firstLine="420"/>
      </w:pPr>
      <w:r>
        <w:rPr>
          <w:rFonts w:hint="eastAsia" w:ascii="宋体" w:hAnsi="宋体" w:cs="宋体"/>
          <w:szCs w:val="21"/>
          <w:highlight w:val="none"/>
        </w:rPr>
        <w:t>本项目是否接受联合体：否。</w:t>
      </w:r>
    </w:p>
    <w:p w14:paraId="46916807">
      <w:pPr>
        <w:keepNext/>
        <w:keepLines/>
        <w:pageBreakBefore w:val="0"/>
        <w:spacing w:line="360" w:lineRule="auto"/>
        <w:rPr>
          <w:rFonts w:ascii="宋体" w:hAnsi="宋体" w:cs="宋体"/>
          <w:b/>
          <w:bCs/>
          <w:sz w:val="24"/>
          <w:szCs w:val="24"/>
          <w:highlight w:val="none"/>
        </w:rPr>
      </w:pPr>
      <w:r>
        <w:rPr>
          <w:rFonts w:hint="eastAsia" w:ascii="宋体" w:hAnsi="宋体" w:cs="宋体"/>
          <w:b/>
          <w:sz w:val="24"/>
          <w:highlight w:val="none"/>
        </w:rPr>
        <w:t>二、申请人的资格要求：</w:t>
      </w:r>
    </w:p>
    <w:p w14:paraId="644CA2AC">
      <w:pPr>
        <w:pageBreakBefore w:val="0"/>
        <w:spacing w:line="360" w:lineRule="auto"/>
        <w:ind w:firstLine="482"/>
      </w:pPr>
      <w:r>
        <w:rPr>
          <w:rFonts w:hint="eastAsia" w:ascii="宋体" w:hAnsi="宋体" w:cs="宋体"/>
          <w:b/>
          <w:bCs/>
          <w:color w:val="auto"/>
          <w:sz w:val="24"/>
          <w:highlight w:val="none"/>
          <w:lang w:eastAsia="zh-CN"/>
        </w:rPr>
        <w:t>（</w:t>
      </w:r>
      <w:r>
        <w:rPr>
          <w:rFonts w:hint="eastAsia" w:ascii="宋体" w:hAnsi="宋体" w:cs="宋体"/>
          <w:b/>
          <w:bCs/>
          <w:color w:val="auto"/>
          <w:sz w:val="24"/>
          <w:highlight w:val="none"/>
          <w:lang w:val="en-US" w:eastAsia="zh-CN"/>
        </w:rPr>
        <w:t>一</w:t>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rPr>
        <w:t>《中华人民共和国政府采购法》规定的条件:</w:t>
      </w:r>
    </w:p>
    <w:p w14:paraId="0E926972">
      <w:pPr>
        <w:pageBreakBefore w:val="0"/>
        <w:spacing w:line="360" w:lineRule="auto"/>
        <w:ind w:firstLine="420"/>
        <w:rPr>
          <w:b w:val="0"/>
          <w:bCs w:val="0"/>
        </w:rPr>
      </w:pPr>
      <w:r>
        <w:rPr>
          <w:rFonts w:hint="eastAsia" w:ascii="宋体" w:hAnsi="宋体" w:cs="宋体"/>
          <w:color w:val="auto"/>
          <w:szCs w:val="21"/>
          <w:highlight w:val="none"/>
        </w:rPr>
        <w:t>（1）</w:t>
      </w:r>
      <w:r>
        <w:rPr>
          <w:rFonts w:hint="eastAsia" w:ascii="宋体" w:hAnsi="宋体" w:cs="宋体"/>
          <w:color w:val="auto"/>
          <w:szCs w:val="21"/>
          <w:highlight w:val="none"/>
          <w:lang w:val="zh-CN"/>
        </w:rPr>
        <w:t>具有独立承担民事责任的能力（提供法人或者其他组织的营业执照，自然人的身份证明复印件加盖公章）</w:t>
      </w:r>
    </w:p>
    <w:p w14:paraId="389D3A6C">
      <w:pPr>
        <w:pageBreakBefore w:val="0"/>
        <w:spacing w:line="360" w:lineRule="auto"/>
        <w:ind w:firstLine="420"/>
      </w:pPr>
      <w:r>
        <w:rPr>
          <w:rFonts w:hint="eastAsia" w:ascii="宋体" w:hAnsi="宋体" w:cs="宋体"/>
          <w:color w:val="auto"/>
          <w:szCs w:val="21"/>
          <w:highlight w:val="none"/>
        </w:rPr>
        <w:t>（2）本次政府采购活动采用信用承诺制，具体要求详见本公告“七、其他补充事宜”。（供应商提供由法定代表人签字并盖单位公章的《南京市政府采购供应商信用记录表暨信用承诺书》</w:t>
      </w:r>
      <w:r>
        <w:rPr>
          <w:rFonts w:hint="eastAsia" w:ascii="宋体" w:hAnsi="宋体" w:cs="宋体"/>
          <w:color w:val="auto"/>
          <w:szCs w:val="21"/>
          <w:highlight w:val="none"/>
          <w:lang w:eastAsia="zh-CN"/>
        </w:rPr>
        <w:t>，</w:t>
      </w:r>
      <w:r>
        <w:rPr>
          <w:rFonts w:hint="eastAsia" w:ascii="宋体" w:hAnsi="宋体" w:eastAsia="宋体" w:cs="宋体"/>
          <w:bCs w:val="0"/>
          <w:color w:val="auto"/>
          <w:sz w:val="21"/>
          <w:szCs w:val="21"/>
          <w:highlight w:val="none"/>
        </w:rPr>
        <w:t>本表打印时间必须在采购文件发布之日起至提交响应文件截止日前</w:t>
      </w:r>
      <w:r>
        <w:rPr>
          <w:rFonts w:hint="eastAsia" w:ascii="宋体" w:hAnsi="宋体" w:cs="宋体"/>
          <w:color w:val="auto"/>
          <w:szCs w:val="21"/>
          <w:highlight w:val="none"/>
        </w:rPr>
        <w:t>。）</w:t>
      </w:r>
    </w:p>
    <w:p w14:paraId="4A1BB4A0">
      <w:pPr>
        <w:pageBreakBefore w:val="0"/>
        <w:spacing w:line="360" w:lineRule="auto"/>
        <w:ind w:firstLine="482"/>
      </w:pPr>
      <w:r>
        <w:rPr>
          <w:rFonts w:hint="eastAsia" w:ascii="宋体" w:hAnsi="宋体" w:cs="宋体"/>
          <w:b/>
          <w:bCs/>
          <w:color w:val="auto"/>
          <w:sz w:val="24"/>
          <w:highlight w:val="none"/>
          <w:lang w:eastAsia="zh-CN"/>
        </w:rPr>
        <w:t>（</w:t>
      </w:r>
      <w:r>
        <w:rPr>
          <w:rFonts w:hint="eastAsia" w:ascii="宋体" w:hAnsi="宋体" w:cs="宋体"/>
          <w:b/>
          <w:bCs/>
          <w:color w:val="auto"/>
          <w:sz w:val="24"/>
          <w:highlight w:val="none"/>
          <w:lang w:val="en-US" w:eastAsia="zh-CN"/>
        </w:rPr>
        <w:t>二</w:t>
      </w:r>
      <w:r>
        <w:rPr>
          <w:rFonts w:hint="eastAsia" w:ascii="宋体" w:hAnsi="宋体" w:cs="宋体"/>
          <w:b/>
          <w:bCs/>
          <w:color w:val="auto"/>
          <w:sz w:val="24"/>
          <w:highlight w:val="none"/>
          <w:lang w:eastAsia="zh-CN"/>
        </w:rPr>
        <w:t>）</w:t>
      </w:r>
      <w:r>
        <w:rPr>
          <w:rFonts w:ascii="宋体" w:hAnsi="宋体" w:cs="宋体"/>
          <w:b/>
          <w:bCs/>
          <w:color w:val="auto"/>
          <w:sz w:val="24"/>
          <w:highlight w:val="none"/>
        </w:rPr>
        <w:t>落实政府采购政策需满足的资格要求：</w:t>
      </w:r>
    </w:p>
    <w:p w14:paraId="5133E8C1">
      <w:pPr>
        <w:spacing w:line="360" w:lineRule="auto"/>
        <w:ind w:firstLine="420"/>
        <w:rPr>
          <w:rFonts w:hint="eastAsia" w:ascii="宋体" w:hAnsi="宋体" w:cs="宋体"/>
          <w:szCs w:val="21"/>
        </w:rPr>
      </w:pPr>
      <w:r>
        <w:rPr>
          <w:rFonts w:hint="eastAsia" w:ascii="宋体" w:hAnsi="宋体" w:cs="宋体"/>
          <w:szCs w:val="21"/>
        </w:rPr>
        <w:t>如属于专门面向中小企业采购的项目，供应商应为中小微企业、监狱企业、残疾人福利性单位。（提供相关证明材料，具体要求详见采购文件政策功能）</w:t>
      </w:r>
    </w:p>
    <w:p w14:paraId="0C9B3B9D">
      <w:pPr>
        <w:spacing w:line="360" w:lineRule="auto"/>
        <w:ind w:firstLine="420"/>
        <w:rPr>
          <w:rFonts w:hint="eastAsia" w:ascii="宋体" w:hAnsi="宋体" w:cs="宋体"/>
        </w:rPr>
      </w:pPr>
      <w:r>
        <w:rPr>
          <w:rFonts w:hint="eastAsia" w:ascii="宋体" w:hAnsi="宋体" w:cs="宋体"/>
        </w:rPr>
        <w:t>本项目按照采用以下第(</w:t>
      </w:r>
      <w:r>
        <w:rPr>
          <w:rFonts w:hint="eastAsia" w:ascii="宋体" w:hAnsi="宋体" w:cs="宋体"/>
          <w:u w:val="single"/>
          <w:lang w:val="en-US" w:eastAsia="zh-CN"/>
        </w:rPr>
        <w:t>1</w:t>
      </w:r>
      <w:r>
        <w:rPr>
          <w:rFonts w:hint="eastAsia" w:ascii="宋体" w:hAnsi="宋体" w:cs="宋体"/>
        </w:rPr>
        <w:t>)种方式落实政府采购促进中小企业发展的要求：</w:t>
      </w:r>
    </w:p>
    <w:p w14:paraId="3C65E719">
      <w:pPr>
        <w:spacing w:line="360" w:lineRule="auto"/>
        <w:ind w:firstLine="420"/>
        <w:rPr>
          <w:rFonts w:hint="eastAsia" w:ascii="宋体" w:hAnsi="宋体" w:cs="宋体"/>
        </w:rPr>
      </w:pPr>
      <w:r>
        <w:rPr>
          <w:rFonts w:hint="eastAsia" w:ascii="宋体" w:hAnsi="宋体" w:cs="宋体"/>
        </w:rPr>
        <w:t>（1）本项目整体专门面向中小企业采购服务。</w:t>
      </w:r>
    </w:p>
    <w:p w14:paraId="59301028">
      <w:pPr>
        <w:spacing w:line="360" w:lineRule="auto"/>
        <w:ind w:firstLine="420"/>
        <w:rPr>
          <w:rFonts w:hint="eastAsia" w:ascii="宋体" w:hAnsi="宋体" w:cs="宋体"/>
        </w:rPr>
      </w:pPr>
      <w:r>
        <w:rPr>
          <w:rFonts w:hint="eastAsia" w:ascii="宋体" w:hAnsi="宋体" w:cs="宋体"/>
        </w:rPr>
        <w:t>（2）本项目整体专门面向小微企业采购服务。</w:t>
      </w:r>
    </w:p>
    <w:p w14:paraId="6D978FA8">
      <w:pPr>
        <w:spacing w:line="360" w:lineRule="auto"/>
        <w:ind w:firstLine="420"/>
        <w:rPr>
          <w:rFonts w:hint="eastAsia" w:ascii="宋体" w:hAnsi="宋体" w:cs="宋体"/>
        </w:rPr>
      </w:pPr>
      <w:r>
        <w:rPr>
          <w:rFonts w:hint="eastAsia" w:ascii="宋体" w:hAnsi="宋体" w:cs="宋体"/>
        </w:rPr>
        <w:t>（3）本项目通过以下第种方式预留部分采购份额采购中小企业服务：</w:t>
      </w:r>
    </w:p>
    <w:p w14:paraId="64428B07">
      <w:pPr>
        <w:spacing w:line="360" w:lineRule="auto"/>
        <w:ind w:firstLine="420"/>
        <w:rPr>
          <w:rFonts w:hint="eastAsia" w:ascii="宋体" w:hAnsi="宋体" w:cs="宋体"/>
        </w:rPr>
      </w:pPr>
      <w:r>
        <w:rPr>
          <w:rFonts w:hint="eastAsia" w:ascii="宋体" w:hAnsi="宋体" w:cs="宋体"/>
        </w:rPr>
        <w:t>①本项目要求供应商以联合体形式参加，企业合同金额应当达到的比例为%。</w:t>
      </w:r>
    </w:p>
    <w:p w14:paraId="588C7CC4">
      <w:pPr>
        <w:spacing w:line="360" w:lineRule="auto"/>
        <w:ind w:firstLine="420"/>
        <w:rPr>
          <w:rFonts w:hint="eastAsia" w:ascii="宋体" w:hAnsi="宋体" w:cs="宋体"/>
        </w:rPr>
      </w:pPr>
      <w:r>
        <w:rPr>
          <w:rFonts w:hint="eastAsia" w:ascii="宋体" w:hAnsi="宋体" w:cs="宋体"/>
        </w:rPr>
        <w:t>②本项目要求供应商进行合同分包，企业合同金额应当达到的比例为%。</w:t>
      </w:r>
    </w:p>
    <w:p w14:paraId="0418677D">
      <w:pPr>
        <w:spacing w:line="360" w:lineRule="auto"/>
        <w:ind w:firstLine="420"/>
        <w:rPr>
          <w:rFonts w:hint="eastAsia" w:ascii="宋体" w:hAnsi="宋体" w:cs="宋体"/>
          <w:b/>
          <w:bCs/>
          <w:sz w:val="24"/>
          <w:highlight w:val="none"/>
          <w:lang w:eastAsia="zh-CN"/>
        </w:rPr>
      </w:pPr>
      <w:r>
        <w:rPr>
          <w:rFonts w:hint="eastAsia" w:ascii="宋体" w:hAnsi="宋体" w:cs="宋体"/>
        </w:rPr>
        <w:t>（4）本项目为非预留份额的采购项目或采购包，执行价格扣除优惠政策，具体详见采购文件。</w:t>
      </w:r>
    </w:p>
    <w:p w14:paraId="291C5ACE">
      <w:pPr>
        <w:pageBreakBefore w:val="0"/>
        <w:spacing w:line="360" w:lineRule="auto"/>
        <w:ind w:firstLine="482"/>
      </w:pPr>
      <w:r>
        <w:rPr>
          <w:rFonts w:hint="eastAsia" w:ascii="宋体" w:hAnsi="宋体" w:cs="宋体"/>
          <w:b/>
          <w:bCs/>
          <w:sz w:val="24"/>
          <w:highlight w:val="none"/>
          <w:lang w:eastAsia="zh-CN"/>
        </w:rPr>
        <w:t>（</w:t>
      </w:r>
      <w:r>
        <w:rPr>
          <w:rFonts w:hint="eastAsia" w:ascii="宋体" w:hAnsi="宋体" w:cs="宋体"/>
          <w:b/>
          <w:bCs/>
          <w:sz w:val="24"/>
          <w:highlight w:val="none"/>
          <w:lang w:val="en-US" w:eastAsia="zh-CN"/>
        </w:rPr>
        <w:t>三</w:t>
      </w:r>
      <w:r>
        <w:rPr>
          <w:rFonts w:hint="eastAsia" w:ascii="宋体" w:hAnsi="宋体" w:cs="宋体"/>
          <w:b/>
          <w:bCs/>
          <w:sz w:val="24"/>
          <w:highlight w:val="none"/>
          <w:lang w:eastAsia="zh-CN"/>
        </w:rPr>
        <w:t>）</w:t>
      </w:r>
      <w:r>
        <w:rPr>
          <w:rFonts w:hint="eastAsia" w:ascii="宋体" w:hAnsi="宋体" w:cs="宋体"/>
          <w:b/>
          <w:bCs/>
          <w:sz w:val="24"/>
          <w:highlight w:val="none"/>
        </w:rPr>
        <w:t>采购人根据采购项目的特殊要求规定的特定条件：</w:t>
      </w:r>
    </w:p>
    <w:p w14:paraId="7BBBFA10">
      <w:pPr>
        <w:pageBreakBefore w:val="0"/>
        <w:numPr>
          <w:ilvl w:val="0"/>
          <w:numId w:val="0"/>
        </w:numPr>
        <w:spacing w:line="360" w:lineRule="auto"/>
        <w:ind w:firstLine="422"/>
        <w:rPr>
          <w:highlight w:val="none"/>
        </w:rPr>
      </w:pPr>
      <w:r>
        <w:rPr>
          <w:rFonts w:hint="eastAsia"/>
          <w:highlight w:val="none"/>
          <w:lang w:val="zh-CN"/>
        </w:rPr>
        <w:t>供应商具有有效的省级及以上质量技术监督部门颁发的（CMA）计量认证证书</w:t>
      </w:r>
      <w:r>
        <w:rPr>
          <w:rFonts w:hint="eastAsia"/>
          <w:highlight w:val="none"/>
          <w:lang w:val="en-US" w:eastAsia="zh-CN"/>
        </w:rPr>
        <w:t>或</w:t>
      </w:r>
      <w:r>
        <w:rPr>
          <w:rFonts w:hint="eastAsia"/>
          <w:highlight w:val="none"/>
          <w:lang w:val="zh-CN"/>
        </w:rPr>
        <w:t>省级及以上建设工程管理部门颁发的建设工程质量检测机构资质证书（上传加盖供应商公章的证书扫描件）。</w:t>
      </w:r>
    </w:p>
    <w:p w14:paraId="15D6EE70">
      <w:pPr>
        <w:keepNext/>
        <w:keepLines/>
        <w:pageBreakBefore w:val="0"/>
        <w:numPr>
          <w:ilvl w:val="1"/>
          <w:numId w:val="0"/>
        </w:numPr>
        <w:tabs>
          <w:tab w:val="left" w:pos="576"/>
        </w:tabs>
        <w:spacing w:line="360" w:lineRule="auto"/>
      </w:pPr>
      <w:r>
        <w:rPr>
          <w:rFonts w:hint="eastAsia" w:ascii="宋体" w:hAnsi="宋体" w:cs="宋体"/>
          <w:b/>
          <w:sz w:val="24"/>
          <w:highlight w:val="none"/>
        </w:rPr>
        <w:t>三、获取采购文件</w:t>
      </w:r>
    </w:p>
    <w:p w14:paraId="6B599432">
      <w:pPr>
        <w:spacing w:line="360" w:lineRule="auto"/>
        <w:ind w:firstLine="420"/>
      </w:pPr>
      <w:r>
        <w:rPr>
          <w:rFonts w:hint="eastAsia" w:ascii="宋体" w:hAnsi="宋体" w:cs="宋体"/>
          <w:color w:val="auto"/>
          <w:szCs w:val="21"/>
          <w:highlight w:val="none"/>
        </w:rPr>
        <w:t>时间：</w:t>
      </w:r>
      <w:r>
        <w:rPr>
          <w:rFonts w:hint="eastAsia" w:ascii="宋体" w:hAnsi="宋体" w:cs="宋体"/>
          <w:szCs w:val="21"/>
        </w:rPr>
        <w:t>自本公告发布之日5个工作日</w:t>
      </w:r>
    </w:p>
    <w:p w14:paraId="27B3E889">
      <w:pPr>
        <w:pageBreakBefore w:val="0"/>
        <w:widowControl w:val="0"/>
        <w:spacing w:line="360" w:lineRule="auto"/>
        <w:ind w:firstLine="420"/>
      </w:pPr>
      <w:r>
        <w:rPr>
          <w:rFonts w:hint="eastAsia" w:ascii="宋体" w:hAnsi="宋体" w:cs="宋体"/>
          <w:color w:val="auto"/>
          <w:szCs w:val="21"/>
          <w:highlight w:val="none"/>
        </w:rPr>
        <w:t>地点：</w:t>
      </w:r>
      <w:r>
        <w:rPr>
          <w:rFonts w:hint="eastAsia" w:ascii="宋体" w:hAnsi="宋体" w:cs="宋体"/>
          <w:szCs w:val="21"/>
          <w:highlight w:val="none"/>
          <w:lang w:val="en-US" w:eastAsia="zh-CN"/>
        </w:rPr>
        <w:t>江苏政府采购网“苏采云”系统</w:t>
      </w:r>
    </w:p>
    <w:p w14:paraId="14C7DA5C">
      <w:pPr>
        <w:pageBreakBefore w:val="0"/>
        <w:spacing w:line="360" w:lineRule="auto"/>
        <w:ind w:firstLine="420"/>
      </w:pPr>
      <w:r>
        <w:rPr>
          <w:rFonts w:hint="eastAsia" w:ascii="宋体" w:hAnsi="宋体" w:cs="宋体"/>
          <w:color w:val="auto"/>
          <w:szCs w:val="21"/>
          <w:highlight w:val="none"/>
        </w:rPr>
        <w:t>方式：</w:t>
      </w:r>
      <w:r>
        <w:rPr>
          <w:rFonts w:hint="eastAsia" w:ascii="宋体" w:hAnsi="宋体" w:cs="宋体"/>
          <w:color w:val="auto"/>
          <w:highlight w:val="none"/>
        </w:rPr>
        <w:t>供应商登陆“江苏政府采购网”，在网站首页点击“苏采云”→使用CA锁登录系统(新用户需进行“平台用户注册”)→“项目参与”进行登记，在“可参与项目”中选择“我要参与”，参与成功后到“已参与项目”界面中找到该项目下载文件并进行操作。</w:t>
      </w:r>
    </w:p>
    <w:p w14:paraId="514B61A3">
      <w:pPr>
        <w:pageBreakBefore w:val="0"/>
        <w:spacing w:line="360" w:lineRule="auto"/>
        <w:ind w:firstLine="420"/>
      </w:pPr>
      <w:r>
        <w:rPr>
          <w:rFonts w:hint="eastAsia" w:ascii="宋体" w:hAnsi="宋体" w:cs="宋体"/>
          <w:color w:val="auto"/>
          <w:highlight w:val="none"/>
        </w:rPr>
        <w:t>售价：0.00元</w:t>
      </w:r>
    </w:p>
    <w:p w14:paraId="26C596D2">
      <w:pPr>
        <w:keepNext/>
        <w:keepLines/>
        <w:pageBreakBefore w:val="0"/>
        <w:numPr>
          <w:ilvl w:val="1"/>
          <w:numId w:val="0"/>
        </w:numPr>
        <w:tabs>
          <w:tab w:val="left" w:pos="576"/>
        </w:tabs>
        <w:spacing w:line="360" w:lineRule="auto"/>
      </w:pPr>
      <w:r>
        <w:rPr>
          <w:rFonts w:hint="eastAsia" w:ascii="宋体" w:hAnsi="宋体" w:cs="宋体"/>
          <w:b/>
          <w:sz w:val="24"/>
          <w:highlight w:val="none"/>
        </w:rPr>
        <w:t>四、响应文件提交</w:t>
      </w:r>
      <w:bookmarkEnd w:id="0"/>
    </w:p>
    <w:p w14:paraId="5444D667">
      <w:pPr>
        <w:pageBreakBefore w:val="0"/>
        <w:spacing w:line="360" w:lineRule="auto"/>
        <w:ind w:firstLine="420"/>
        <w:rPr>
          <w:rFonts w:hint="eastAsia" w:eastAsia="宋体"/>
          <w:lang w:eastAsia="zh-CN"/>
        </w:rPr>
      </w:pPr>
      <w:r>
        <w:rPr>
          <w:rFonts w:hint="eastAsia" w:ascii="宋体" w:hAnsi="宋体" w:cs="宋体"/>
          <w:szCs w:val="21"/>
          <w:highlight w:val="none"/>
          <w:lang w:val="en-US" w:eastAsia="zh-CN"/>
        </w:rPr>
        <w:t>1</w:t>
      </w:r>
      <w:r>
        <w:rPr>
          <w:rFonts w:hint="eastAsia" w:ascii="宋体" w:hAnsi="宋体" w:cs="宋体"/>
          <w:szCs w:val="21"/>
          <w:highlight w:val="none"/>
        </w:rPr>
        <w:t>、提交磋商响应文件截止时</w:t>
      </w:r>
      <w:r>
        <w:rPr>
          <w:rFonts w:hint="eastAsia" w:ascii="宋体" w:hAnsi="宋体" w:cs="宋体"/>
          <w:color w:val="auto"/>
          <w:szCs w:val="21"/>
          <w:highlight w:val="none"/>
        </w:rPr>
        <w:t>间：</w:t>
      </w:r>
      <w:r>
        <w:rPr>
          <w:rFonts w:hint="eastAsia" w:ascii="宋体" w:hAnsi="宋体" w:cs="宋体"/>
          <w:color w:val="FF0000"/>
          <w:szCs w:val="21"/>
          <w:highlight w:val="none"/>
          <w:lang w:eastAsia="zh-CN"/>
        </w:rPr>
        <w:t>202</w:t>
      </w:r>
      <w:r>
        <w:rPr>
          <w:rFonts w:hint="eastAsia" w:ascii="宋体" w:hAnsi="宋体" w:cs="宋体"/>
          <w:color w:val="FF0000"/>
          <w:szCs w:val="21"/>
          <w:highlight w:val="none"/>
          <w:lang w:val="en-US" w:eastAsia="zh-CN"/>
        </w:rPr>
        <w:t>6</w:t>
      </w:r>
      <w:r>
        <w:rPr>
          <w:rFonts w:hint="eastAsia" w:ascii="宋体" w:hAnsi="宋体" w:cs="宋体"/>
          <w:color w:val="FF0000"/>
          <w:szCs w:val="21"/>
          <w:highlight w:val="none"/>
          <w:lang w:eastAsia="zh-CN"/>
        </w:rPr>
        <w:t>年</w:t>
      </w:r>
      <w:r>
        <w:rPr>
          <w:rFonts w:hint="eastAsia" w:ascii="宋体" w:hAnsi="宋体" w:cs="宋体"/>
          <w:color w:val="FF0000"/>
          <w:szCs w:val="21"/>
          <w:highlight w:val="none"/>
          <w:lang w:val="en-US" w:eastAsia="zh-CN"/>
        </w:rPr>
        <w:t>8</w:t>
      </w:r>
      <w:r>
        <w:rPr>
          <w:rFonts w:hint="eastAsia" w:ascii="宋体" w:hAnsi="宋体" w:cs="宋体"/>
          <w:color w:val="FF0000"/>
          <w:szCs w:val="21"/>
          <w:highlight w:val="none"/>
          <w:lang w:eastAsia="zh-CN"/>
        </w:rPr>
        <w:t>月</w:t>
      </w:r>
      <w:r>
        <w:rPr>
          <w:rFonts w:hint="eastAsia" w:ascii="宋体" w:hAnsi="宋体" w:cs="宋体"/>
          <w:color w:val="FF0000"/>
          <w:szCs w:val="21"/>
          <w:highlight w:val="none"/>
          <w:lang w:val="en-US" w:eastAsia="zh-CN"/>
        </w:rPr>
        <w:t>6</w:t>
      </w:r>
      <w:r>
        <w:rPr>
          <w:rFonts w:hint="eastAsia" w:ascii="宋体" w:hAnsi="宋体" w:cs="宋体"/>
          <w:color w:val="FF0000"/>
          <w:szCs w:val="21"/>
          <w:highlight w:val="none"/>
          <w:lang w:eastAsia="zh-CN"/>
        </w:rPr>
        <w:t>日</w:t>
      </w:r>
      <w:r>
        <w:rPr>
          <w:rFonts w:hint="eastAsia" w:ascii="宋体" w:hAnsi="宋体" w:cs="宋体"/>
          <w:color w:val="FF0000"/>
          <w:szCs w:val="21"/>
          <w:highlight w:val="none"/>
        </w:rPr>
        <w:t xml:space="preserve"> </w:t>
      </w:r>
      <w:r>
        <w:rPr>
          <w:rFonts w:hint="eastAsia" w:ascii="宋体" w:hAnsi="宋体" w:cs="宋体"/>
          <w:bCs/>
          <w:color w:val="FF0000"/>
          <w:szCs w:val="21"/>
          <w:highlight w:val="none"/>
          <w:u w:val="single"/>
          <w:lang w:val="en-US" w:eastAsia="zh-CN"/>
        </w:rPr>
        <w:t>14</w:t>
      </w:r>
      <w:r>
        <w:rPr>
          <w:rFonts w:hint="eastAsia" w:ascii="宋体" w:hAnsi="宋体" w:cs="宋体"/>
          <w:bCs/>
          <w:color w:val="FF0000"/>
          <w:szCs w:val="21"/>
          <w:highlight w:val="none"/>
          <w:u w:val="single"/>
          <w:lang w:eastAsia="zh-CN"/>
        </w:rPr>
        <w:t>点30分</w:t>
      </w:r>
    </w:p>
    <w:p w14:paraId="352E7AEA">
      <w:pPr>
        <w:pBdr>
          <w:top w:val="none" w:color="000000" w:sz="0" w:space="0"/>
          <w:left w:val="none" w:color="000000" w:sz="0" w:space="0"/>
          <w:bottom w:val="none" w:color="000000" w:sz="0" w:space="0"/>
          <w:right w:val="none" w:color="000000" w:sz="0" w:space="0"/>
        </w:pBdr>
        <w:spacing w:before="0" w:after="0"/>
        <w:ind w:left="0" w:right="0" w:firstLine="0"/>
        <w:jc w:val="both"/>
      </w:pPr>
      <w:r>
        <w:rPr>
          <w:rFonts w:hint="eastAsia" w:ascii="宋体" w:hAnsi="宋体" w:cs="宋体"/>
          <w:szCs w:val="21"/>
          <w:highlight w:val="none"/>
          <w:lang w:val="en-US" w:eastAsia="zh-CN"/>
        </w:rPr>
        <w:t xml:space="preserve">    2、</w:t>
      </w:r>
      <w:r>
        <w:rPr>
          <w:rFonts w:hint="eastAsia" w:ascii="宋体" w:hAnsi="宋体" w:cs="宋体"/>
          <w:szCs w:val="21"/>
          <w:highlight w:val="none"/>
        </w:rPr>
        <w:t>提交磋商响应文件地点：</w:t>
      </w:r>
      <w:r>
        <w:rPr>
          <w:rFonts w:ascii="宋体" w:hAnsi="宋体" w:eastAsia="宋体" w:cs="宋体"/>
          <w:color w:val="000000"/>
          <w:sz w:val="21"/>
        </w:rPr>
        <w:t>江苏政府采购网“苏采云”系统</w:t>
      </w:r>
    </w:p>
    <w:p w14:paraId="126D5AD0">
      <w:pPr>
        <w:keepNext/>
        <w:keepLines/>
        <w:pageBreakBefore w:val="0"/>
        <w:numPr>
          <w:ilvl w:val="1"/>
          <w:numId w:val="0"/>
        </w:numPr>
        <w:tabs>
          <w:tab w:val="left" w:pos="576"/>
        </w:tabs>
        <w:spacing w:line="360" w:lineRule="auto"/>
        <w:rPr>
          <w:rFonts w:ascii="宋体" w:hAnsi="宋体" w:cs="宋体"/>
          <w:b/>
          <w:sz w:val="24"/>
          <w:highlight w:val="none"/>
        </w:rPr>
      </w:pPr>
      <w:bookmarkStart w:id="5" w:name="_Toc35393802"/>
      <w:bookmarkStart w:id="6" w:name="_Toc28359016"/>
      <w:bookmarkStart w:id="7" w:name="_Toc28359093"/>
      <w:bookmarkStart w:id="8" w:name="_Toc35393633"/>
      <w:r>
        <w:rPr>
          <w:rFonts w:hint="eastAsia" w:ascii="宋体" w:hAnsi="宋体" w:cs="宋体"/>
          <w:b/>
          <w:sz w:val="24"/>
          <w:highlight w:val="none"/>
        </w:rPr>
        <w:t>五、开启</w:t>
      </w:r>
      <w:bookmarkEnd w:id="5"/>
      <w:bookmarkEnd w:id="6"/>
      <w:bookmarkEnd w:id="7"/>
      <w:bookmarkEnd w:id="8"/>
    </w:p>
    <w:p w14:paraId="06D22E90">
      <w:pPr>
        <w:pageBreakBefore w:val="0"/>
        <w:spacing w:line="360" w:lineRule="auto"/>
        <w:ind w:firstLine="420"/>
        <w:rPr>
          <w:rFonts w:ascii="宋体" w:hAnsi="宋体" w:cs="宋体"/>
          <w:bCs/>
          <w:szCs w:val="21"/>
          <w:highlight w:val="none"/>
          <w:u w:val="single"/>
        </w:rPr>
      </w:pPr>
      <w:r>
        <w:rPr>
          <w:rFonts w:hint="eastAsia" w:ascii="宋体" w:hAnsi="宋体" w:cs="宋体"/>
          <w:szCs w:val="21"/>
          <w:highlight w:val="none"/>
        </w:rPr>
        <w:t>时</w:t>
      </w:r>
      <w:r>
        <w:rPr>
          <w:rFonts w:hint="eastAsia" w:ascii="宋体" w:hAnsi="宋体" w:cs="宋体"/>
          <w:color w:val="auto"/>
          <w:szCs w:val="21"/>
          <w:highlight w:val="none"/>
        </w:rPr>
        <w:t>间：</w:t>
      </w:r>
      <w:r>
        <w:rPr>
          <w:rFonts w:hint="eastAsia" w:ascii="宋体" w:hAnsi="宋体" w:cs="宋体"/>
          <w:color w:val="FF0000"/>
          <w:szCs w:val="21"/>
          <w:highlight w:val="none"/>
          <w:u w:val="single"/>
          <w:lang w:eastAsia="zh-CN"/>
        </w:rPr>
        <w:t>202</w:t>
      </w:r>
      <w:r>
        <w:rPr>
          <w:rFonts w:hint="eastAsia" w:ascii="宋体" w:hAnsi="宋体" w:cs="宋体"/>
          <w:color w:val="FF0000"/>
          <w:szCs w:val="21"/>
          <w:highlight w:val="none"/>
          <w:u w:val="single"/>
          <w:lang w:val="en-US" w:eastAsia="zh-CN"/>
        </w:rPr>
        <w:t>6</w:t>
      </w:r>
      <w:r>
        <w:rPr>
          <w:rFonts w:hint="eastAsia" w:ascii="宋体" w:hAnsi="宋体" w:cs="宋体"/>
          <w:color w:val="FF0000"/>
          <w:szCs w:val="21"/>
          <w:highlight w:val="none"/>
          <w:u w:val="single"/>
          <w:lang w:eastAsia="zh-CN"/>
        </w:rPr>
        <w:t>年</w:t>
      </w:r>
      <w:r>
        <w:rPr>
          <w:rFonts w:hint="eastAsia" w:ascii="宋体" w:hAnsi="宋体" w:cs="宋体"/>
          <w:color w:val="FF0000"/>
          <w:szCs w:val="21"/>
          <w:highlight w:val="none"/>
          <w:u w:val="single"/>
          <w:lang w:val="en-US" w:eastAsia="zh-CN"/>
        </w:rPr>
        <w:t>8</w:t>
      </w:r>
      <w:r>
        <w:rPr>
          <w:rFonts w:hint="eastAsia" w:ascii="宋体" w:hAnsi="宋体" w:cs="宋体"/>
          <w:color w:val="FF0000"/>
          <w:szCs w:val="21"/>
          <w:highlight w:val="none"/>
          <w:u w:val="single"/>
          <w:lang w:eastAsia="zh-CN"/>
        </w:rPr>
        <w:t>月</w:t>
      </w:r>
      <w:r>
        <w:rPr>
          <w:rFonts w:hint="eastAsia" w:ascii="宋体" w:hAnsi="宋体" w:cs="宋体"/>
          <w:color w:val="FF0000"/>
          <w:szCs w:val="21"/>
          <w:highlight w:val="none"/>
          <w:u w:val="single"/>
          <w:lang w:val="en-US" w:eastAsia="zh-CN"/>
        </w:rPr>
        <w:t>6</w:t>
      </w:r>
      <w:r>
        <w:rPr>
          <w:rFonts w:hint="eastAsia" w:ascii="宋体" w:hAnsi="宋体" w:cs="宋体"/>
          <w:color w:val="FF0000"/>
          <w:szCs w:val="21"/>
          <w:highlight w:val="none"/>
          <w:u w:val="single"/>
          <w:lang w:eastAsia="zh-CN"/>
        </w:rPr>
        <w:t>日</w:t>
      </w:r>
      <w:r>
        <w:rPr>
          <w:rFonts w:hint="eastAsia" w:ascii="宋体" w:hAnsi="宋体" w:cs="宋体"/>
          <w:color w:val="FF0000"/>
          <w:szCs w:val="21"/>
          <w:highlight w:val="none"/>
          <w:u w:val="single"/>
          <w:lang w:val="en-US" w:eastAsia="zh-CN"/>
        </w:rPr>
        <w:t>14</w:t>
      </w:r>
      <w:r>
        <w:rPr>
          <w:rFonts w:hint="eastAsia" w:ascii="宋体" w:hAnsi="宋体" w:cs="宋体"/>
          <w:color w:val="FF0000"/>
          <w:szCs w:val="21"/>
          <w:highlight w:val="none"/>
          <w:u w:val="single"/>
          <w:lang w:eastAsia="zh-CN"/>
        </w:rPr>
        <w:t>点30分</w:t>
      </w:r>
      <w:r>
        <w:rPr>
          <w:rFonts w:hint="eastAsia" w:ascii="宋体" w:hAnsi="宋体" w:cs="宋体"/>
          <w:bCs/>
          <w:szCs w:val="21"/>
          <w:highlight w:val="none"/>
        </w:rPr>
        <w:t>（北京时间）</w:t>
      </w:r>
    </w:p>
    <w:p w14:paraId="76CA6829">
      <w:pPr>
        <w:pageBreakBefore w:val="0"/>
        <w:spacing w:line="360" w:lineRule="auto"/>
        <w:ind w:firstLine="420"/>
        <w:rPr>
          <w:rFonts w:ascii="宋体" w:hAnsi="宋体" w:cs="宋体"/>
          <w:bCs/>
          <w:szCs w:val="21"/>
          <w:highlight w:val="none"/>
          <w:u w:val="single"/>
        </w:rPr>
      </w:pPr>
      <w:r>
        <w:rPr>
          <w:rFonts w:hint="eastAsia" w:ascii="宋体" w:hAnsi="宋体" w:cs="宋体"/>
          <w:szCs w:val="21"/>
          <w:highlight w:val="none"/>
        </w:rPr>
        <w:t>地点：江苏省政府采购交易系统（以下简称“苏采云系统”）网上开标大厅</w:t>
      </w:r>
    </w:p>
    <w:p w14:paraId="421E29E9">
      <w:pPr>
        <w:keepNext/>
        <w:keepLines/>
        <w:pageBreakBefore w:val="0"/>
        <w:numPr>
          <w:ilvl w:val="1"/>
          <w:numId w:val="0"/>
        </w:numPr>
        <w:tabs>
          <w:tab w:val="left" w:pos="576"/>
        </w:tabs>
        <w:spacing w:line="360" w:lineRule="auto"/>
        <w:rPr>
          <w:rFonts w:ascii="宋体" w:hAnsi="宋体" w:cs="宋体"/>
          <w:b/>
          <w:sz w:val="24"/>
          <w:highlight w:val="none"/>
        </w:rPr>
      </w:pPr>
      <w:bookmarkStart w:id="9" w:name="_Toc35393803"/>
      <w:bookmarkStart w:id="10" w:name="_Toc28359017"/>
      <w:bookmarkStart w:id="11" w:name="_Toc28359094"/>
      <w:bookmarkStart w:id="12" w:name="_Toc35393634"/>
      <w:r>
        <w:rPr>
          <w:rFonts w:hint="eastAsia" w:ascii="宋体" w:hAnsi="宋体" w:cs="宋体"/>
          <w:b/>
          <w:sz w:val="24"/>
          <w:highlight w:val="none"/>
        </w:rPr>
        <w:t>六、公告期限</w:t>
      </w:r>
      <w:bookmarkEnd w:id="9"/>
      <w:bookmarkEnd w:id="10"/>
      <w:bookmarkEnd w:id="11"/>
      <w:bookmarkEnd w:id="12"/>
    </w:p>
    <w:p w14:paraId="47F2B57E">
      <w:pPr>
        <w:pageBreakBefore w:val="0"/>
        <w:spacing w:line="360" w:lineRule="auto"/>
        <w:ind w:firstLine="420"/>
        <w:rPr>
          <w:rFonts w:ascii="宋体" w:hAnsi="宋体" w:cs="宋体"/>
          <w:szCs w:val="21"/>
          <w:highlight w:val="none"/>
        </w:rPr>
      </w:pPr>
      <w:r>
        <w:rPr>
          <w:rFonts w:hint="eastAsia" w:ascii="宋体" w:hAnsi="宋体" w:cs="宋体"/>
          <w:szCs w:val="21"/>
          <w:highlight w:val="none"/>
        </w:rPr>
        <w:t>自本公告发布之日起</w:t>
      </w:r>
      <w:r>
        <w:rPr>
          <w:rFonts w:hint="eastAsia" w:ascii="宋体" w:hAnsi="宋体" w:cs="宋体"/>
          <w:szCs w:val="21"/>
          <w:highlight w:val="none"/>
          <w:lang w:val="en-US" w:eastAsia="zh-CN"/>
        </w:rPr>
        <w:t>3</w:t>
      </w:r>
      <w:r>
        <w:rPr>
          <w:rFonts w:hint="eastAsia" w:ascii="宋体" w:hAnsi="宋体" w:cs="宋体"/>
          <w:szCs w:val="21"/>
          <w:highlight w:val="none"/>
        </w:rPr>
        <w:t>个工作日。</w:t>
      </w:r>
    </w:p>
    <w:p w14:paraId="06B66DB3">
      <w:pPr>
        <w:keepNext/>
        <w:keepLines/>
        <w:pageBreakBefore w:val="0"/>
        <w:numPr>
          <w:ilvl w:val="1"/>
          <w:numId w:val="0"/>
        </w:numPr>
        <w:tabs>
          <w:tab w:val="left" w:pos="576"/>
        </w:tabs>
        <w:spacing w:line="360" w:lineRule="auto"/>
        <w:rPr>
          <w:rFonts w:ascii="宋体" w:hAnsi="宋体" w:cs="宋体"/>
          <w:b/>
          <w:color w:val="auto"/>
          <w:sz w:val="24"/>
          <w:highlight w:val="none"/>
        </w:rPr>
      </w:pPr>
      <w:bookmarkStart w:id="13" w:name="_Toc35393804"/>
      <w:bookmarkStart w:id="14" w:name="_Toc35393635"/>
      <w:r>
        <w:rPr>
          <w:rFonts w:hint="eastAsia" w:ascii="宋体" w:hAnsi="宋体" w:cs="宋体"/>
          <w:b/>
          <w:color w:val="auto"/>
          <w:sz w:val="24"/>
          <w:highlight w:val="none"/>
        </w:rPr>
        <w:t>七、其他补充事宜</w:t>
      </w:r>
      <w:bookmarkEnd w:id="13"/>
      <w:bookmarkEnd w:id="14"/>
    </w:p>
    <w:p w14:paraId="5A72E62B">
      <w:pPr>
        <w:keepNext w:val="0"/>
        <w:keepLines w:val="0"/>
        <w:pageBreakBefore w:val="0"/>
        <w:widowControl w:val="0"/>
        <w:spacing w:line="360" w:lineRule="auto"/>
        <w:ind w:firstLine="422"/>
        <w:rPr>
          <w:rFonts w:hint="eastAsia" w:ascii="宋体" w:hAnsi="宋体" w:eastAsia="宋体" w:cs="宋体"/>
          <w:b/>
          <w:bCs/>
          <w:color w:val="auto"/>
          <w:sz w:val="21"/>
          <w:szCs w:val="21"/>
          <w:highlight w:val="none"/>
          <w:lang w:val="en-US" w:eastAsia="zh-CN"/>
        </w:rPr>
      </w:pPr>
      <w:bookmarkStart w:id="15" w:name="_Toc28359095"/>
      <w:bookmarkStart w:id="16" w:name="_Toc35393636"/>
      <w:bookmarkStart w:id="17" w:name="_Toc35393805"/>
      <w:bookmarkStart w:id="18" w:name="_Toc28359018"/>
      <w:r>
        <w:rPr>
          <w:rFonts w:hint="eastAsia" w:ascii="宋体" w:hAnsi="宋体" w:eastAsia="宋体" w:cs="宋体"/>
          <w:b/>
          <w:bCs/>
          <w:color w:val="auto"/>
          <w:sz w:val="21"/>
          <w:szCs w:val="21"/>
          <w:highlight w:val="none"/>
          <w:lang w:val="en-US" w:eastAsia="zh-CN"/>
        </w:rPr>
        <w:t>1、政府采购信用承诺</w:t>
      </w:r>
    </w:p>
    <w:p w14:paraId="07E5808B">
      <w:pPr>
        <w:keepNext w:val="0"/>
        <w:keepLines w:val="0"/>
        <w:pageBreakBefore w:val="0"/>
        <w:widowControl w:val="0"/>
        <w:numPr>
          <w:ilvl w:val="0"/>
          <w:numId w:val="0"/>
        </w:numPr>
        <w:spacing w:line="360" w:lineRule="auto"/>
        <w:ind w:firstLine="420"/>
        <w:jc w:val="lef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1</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根据《关于在政府采购活动中推行信用承诺制的通知》宁财购通〔2021〕5号规定，参加南京地区政府采购活动的供应商，应以书面形式向采购人或政府采购代理机构作出信用承诺。供应商应尽早做好承诺工作，点击</w:t>
      </w:r>
      <w:r>
        <w:rPr>
          <w:rFonts w:hint="eastAsia" w:ascii="宋体" w:hAnsi="宋体" w:cs="宋体"/>
          <w:color w:val="auto"/>
          <w:sz w:val="21"/>
          <w:szCs w:val="21"/>
          <w:lang w:eastAsia="zh-CN"/>
        </w:rPr>
        <w:t>“</w:t>
      </w:r>
      <w:r>
        <w:rPr>
          <w:rFonts w:hint="eastAsia" w:ascii="宋体" w:hAnsi="宋体" w:eastAsia="宋体" w:cs="宋体"/>
          <w:color w:val="auto"/>
          <w:sz w:val="21"/>
          <w:szCs w:val="21"/>
        </w:rPr>
        <w:t>南京公共采购信息网</w:t>
      </w:r>
      <w:r>
        <w:rPr>
          <w:rFonts w:hint="eastAsia" w:ascii="宋体" w:hAnsi="宋体" w:cs="宋体"/>
          <w:color w:val="auto"/>
          <w:sz w:val="21"/>
          <w:szCs w:val="21"/>
          <w:lang w:eastAsia="zh-CN"/>
        </w:rPr>
        <w:t>”</w:t>
      </w:r>
      <w:r>
        <w:rPr>
          <w:rFonts w:hint="eastAsia" w:ascii="宋体" w:hAnsi="宋体" w:eastAsia="宋体" w:cs="宋体"/>
          <w:color w:val="auto"/>
          <w:sz w:val="21"/>
          <w:szCs w:val="21"/>
        </w:rPr>
        <w:t>首页</w:t>
      </w:r>
      <w:r>
        <w:rPr>
          <w:rFonts w:hint="eastAsia" w:ascii="宋体" w:hAnsi="宋体" w:cs="宋体"/>
          <w:color w:val="auto"/>
          <w:sz w:val="21"/>
          <w:szCs w:val="21"/>
          <w:lang w:eastAsia="zh-CN"/>
        </w:rPr>
        <w:t>“</w:t>
      </w:r>
      <w:r>
        <w:rPr>
          <w:rFonts w:hint="eastAsia" w:ascii="宋体" w:hAnsi="宋体" w:eastAsia="宋体" w:cs="宋体"/>
          <w:color w:val="auto"/>
          <w:sz w:val="21"/>
          <w:szCs w:val="21"/>
        </w:rPr>
        <w:t>南京市政府采购供应商诚信档案</w:t>
      </w:r>
      <w:r>
        <w:rPr>
          <w:rFonts w:hint="eastAsia" w:ascii="宋体" w:hAnsi="宋体" w:cs="宋体"/>
          <w:color w:val="auto"/>
          <w:sz w:val="21"/>
          <w:szCs w:val="21"/>
          <w:lang w:eastAsia="zh-CN"/>
        </w:rPr>
        <w:t>”</w:t>
      </w:r>
      <w:r>
        <w:rPr>
          <w:rFonts w:hint="eastAsia" w:ascii="宋体" w:hAnsi="宋体" w:eastAsia="宋体" w:cs="宋体"/>
          <w:color w:val="auto"/>
          <w:sz w:val="21"/>
          <w:szCs w:val="21"/>
        </w:rPr>
        <w:t>系统链接打开系统页面登录（未注册的供应商应先点击</w:t>
      </w:r>
      <w:r>
        <w:rPr>
          <w:rFonts w:hint="eastAsia" w:ascii="宋体" w:hAnsi="宋体" w:cs="宋体"/>
          <w:color w:val="auto"/>
          <w:sz w:val="21"/>
          <w:szCs w:val="21"/>
          <w:lang w:eastAsia="zh-CN"/>
        </w:rPr>
        <w:t>“</w:t>
      </w:r>
      <w:r>
        <w:rPr>
          <w:rFonts w:hint="eastAsia" w:ascii="宋体" w:hAnsi="宋体" w:eastAsia="宋体" w:cs="宋体"/>
          <w:color w:val="auto"/>
          <w:sz w:val="21"/>
          <w:szCs w:val="21"/>
        </w:rPr>
        <w:t>供应商注册点这里</w:t>
      </w:r>
      <w:r>
        <w:rPr>
          <w:rFonts w:hint="eastAsia" w:ascii="宋体" w:hAnsi="宋体" w:cs="宋体"/>
          <w:color w:val="auto"/>
          <w:sz w:val="21"/>
          <w:szCs w:val="21"/>
          <w:lang w:eastAsia="zh-CN"/>
        </w:rPr>
        <w:t>”</w:t>
      </w:r>
      <w:r>
        <w:rPr>
          <w:rFonts w:hint="eastAsia" w:ascii="宋体" w:hAnsi="宋体" w:eastAsia="宋体" w:cs="宋体"/>
          <w:color w:val="auto"/>
          <w:sz w:val="21"/>
          <w:szCs w:val="21"/>
        </w:rPr>
        <w:t>并按要求完成注册），然后在“信用记录”模块页面点击“信用记录打印”下载本单位《南京市政府采购供应商信用记录表暨信用承诺书》，由法</w:t>
      </w:r>
      <w:r>
        <w:rPr>
          <w:rFonts w:hint="eastAsia" w:ascii="宋体" w:hAnsi="宋体" w:cs="宋体"/>
          <w:color w:val="auto"/>
          <w:sz w:val="21"/>
          <w:szCs w:val="21"/>
          <w:lang w:val="en-US" w:eastAsia="zh-CN"/>
        </w:rPr>
        <w:t>定代表</w:t>
      </w:r>
      <w:r>
        <w:rPr>
          <w:rFonts w:hint="eastAsia" w:ascii="宋体" w:hAnsi="宋体" w:eastAsia="宋体" w:cs="宋体"/>
          <w:color w:val="auto"/>
          <w:sz w:val="21"/>
          <w:szCs w:val="21"/>
        </w:rPr>
        <w:t>人</w:t>
      </w:r>
      <w:r>
        <w:rPr>
          <w:rFonts w:hint="eastAsia" w:ascii="宋体" w:hAnsi="宋体" w:eastAsia="宋体" w:cs="宋体"/>
          <w:color w:val="auto"/>
          <w:sz w:val="21"/>
          <w:szCs w:val="21"/>
          <w:lang w:val="en-US" w:eastAsia="zh-CN"/>
        </w:rPr>
        <w:t>代表</w:t>
      </w:r>
      <w:r>
        <w:rPr>
          <w:rFonts w:hint="eastAsia" w:ascii="宋体" w:hAnsi="宋体" w:eastAsia="宋体" w:cs="宋体"/>
          <w:color w:val="auto"/>
          <w:sz w:val="21"/>
          <w:szCs w:val="21"/>
        </w:rPr>
        <w:t>签字并盖单位</w:t>
      </w:r>
      <w:r>
        <w:rPr>
          <w:rFonts w:hint="eastAsia" w:ascii="宋体" w:hAnsi="宋体" w:cs="宋体"/>
          <w:color w:val="auto"/>
          <w:sz w:val="21"/>
          <w:szCs w:val="21"/>
          <w:lang w:eastAsia="zh-CN"/>
        </w:rPr>
        <w:t>公章</w:t>
      </w:r>
      <w:r>
        <w:rPr>
          <w:rFonts w:hint="eastAsia" w:ascii="宋体" w:hAnsi="宋体" w:eastAsia="宋体" w:cs="宋体"/>
          <w:color w:val="auto"/>
          <w:sz w:val="21"/>
          <w:szCs w:val="21"/>
        </w:rPr>
        <w:t>，随响应文件一并递交</w:t>
      </w:r>
      <w:r>
        <w:rPr>
          <w:rFonts w:hint="eastAsia" w:ascii="宋体" w:hAnsi="宋体" w:eastAsia="宋体" w:cs="宋体"/>
          <w:color w:val="auto"/>
          <w:sz w:val="21"/>
          <w:szCs w:val="21"/>
          <w:lang w:eastAsia="zh-CN"/>
        </w:rPr>
        <w:t>。</w:t>
      </w:r>
    </w:p>
    <w:p w14:paraId="25DD7041">
      <w:pPr>
        <w:pageBreakBefore w:val="0"/>
        <w:spacing w:line="360" w:lineRule="auto"/>
        <w:ind w:firstLine="420"/>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2</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在政府采购资格审查环节，供应商只需提供书面《南京市政府采购供应商信用记录表暨信用承诺书》，即可替代以下证明材料： </w:t>
      </w:r>
    </w:p>
    <w:p w14:paraId="64B5EC6B">
      <w:pPr>
        <w:keepNext w:val="0"/>
        <w:keepLines w:val="0"/>
        <w:pageBreakBefore w:val="0"/>
        <w:widowControl w:val="0"/>
        <w:spacing w:line="360" w:lineRule="auto"/>
        <w:ind w:firstLine="42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1）具有独立承担民事责任的能力</w:t>
      </w:r>
      <w:r>
        <w:rPr>
          <w:rFonts w:hint="eastAsia" w:ascii="宋体" w:hAnsi="宋体" w:eastAsia="宋体" w:cs="宋体"/>
          <w:color w:val="auto"/>
          <w:kern w:val="0"/>
          <w:sz w:val="21"/>
          <w:szCs w:val="21"/>
          <w:highlight w:val="none"/>
          <w:shd w:val="clear" w:color="auto" w:fill="FFFFFF"/>
          <w:lang w:val="en-US" w:eastAsia="zh-CN" w:bidi="ar-SA"/>
        </w:rPr>
        <w:t>（提供法人或者其他组织的营业执照，自然人的身份证明，复印件加盖公章）</w:t>
      </w:r>
      <w:r>
        <w:rPr>
          <w:rFonts w:hint="eastAsia" w:ascii="宋体" w:hAnsi="宋体" w:eastAsia="宋体" w:cs="宋体"/>
          <w:color w:val="auto"/>
          <w:sz w:val="21"/>
          <w:szCs w:val="21"/>
          <w:highlight w:val="none"/>
        </w:rPr>
        <w:t>；</w:t>
      </w:r>
    </w:p>
    <w:p w14:paraId="10691035">
      <w:pPr>
        <w:keepNext w:val="0"/>
        <w:keepLines w:val="0"/>
        <w:pageBreakBefore w:val="0"/>
        <w:widowControl w:val="0"/>
        <w:spacing w:line="360" w:lineRule="auto"/>
        <w:ind w:firstLine="42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2）具有良好的商业信誉和健全的财务会计制度</w:t>
      </w:r>
      <w:r>
        <w:rPr>
          <w:rFonts w:hint="eastAsia" w:ascii="宋体" w:hAnsi="宋体" w:eastAsia="宋体" w:cs="宋体"/>
          <w:color w:val="auto"/>
          <w:kern w:val="0"/>
          <w:sz w:val="21"/>
          <w:szCs w:val="21"/>
          <w:highlight w:val="none"/>
          <w:shd w:val="clear" w:color="auto" w:fill="FFFFFF"/>
          <w:lang w:val="en-US" w:eastAsia="zh-CN" w:bidi="ar-SA"/>
        </w:rPr>
        <w:t>（</w:t>
      </w:r>
      <w:r>
        <w:rPr>
          <w:rFonts w:hint="eastAsia" w:ascii="宋体" w:hAnsi="宋体" w:eastAsia="宋体" w:cs="宋体"/>
          <w:color w:val="auto"/>
          <w:kern w:val="0"/>
          <w:sz w:val="21"/>
          <w:szCs w:val="21"/>
          <w:highlight w:val="none"/>
          <w:shd w:val="clear" w:color="auto" w:fill="FFFFFF"/>
        </w:rPr>
        <w:t>提供</w:t>
      </w:r>
      <w:r>
        <w:rPr>
          <w:rFonts w:hint="eastAsia" w:ascii="宋体" w:hAnsi="宋体" w:cs="宋体"/>
          <w:color w:val="auto"/>
          <w:kern w:val="0"/>
          <w:sz w:val="21"/>
          <w:szCs w:val="21"/>
          <w:highlight w:val="none"/>
          <w:shd w:val="clear" w:color="auto" w:fill="FFFFFF"/>
          <w:lang w:eastAsia="zh-CN"/>
        </w:rPr>
        <w:t>202</w:t>
      </w:r>
      <w:r>
        <w:rPr>
          <w:rFonts w:hint="eastAsia" w:ascii="宋体" w:hAnsi="宋体" w:cs="宋体"/>
          <w:color w:val="auto"/>
          <w:kern w:val="0"/>
          <w:sz w:val="21"/>
          <w:szCs w:val="21"/>
          <w:highlight w:val="none"/>
          <w:shd w:val="clear" w:color="auto" w:fill="FFFFFF"/>
          <w:lang w:val="en-US" w:eastAsia="zh-CN"/>
        </w:rPr>
        <w:t>5</w:t>
      </w:r>
      <w:r>
        <w:rPr>
          <w:rFonts w:hint="eastAsia" w:ascii="宋体" w:hAnsi="宋体" w:eastAsia="宋体" w:cs="宋体"/>
          <w:color w:val="auto"/>
          <w:kern w:val="0"/>
          <w:sz w:val="21"/>
          <w:szCs w:val="21"/>
          <w:highlight w:val="none"/>
          <w:shd w:val="clear" w:color="auto" w:fill="FFFFFF"/>
        </w:rPr>
        <w:t>年度财务审计报告</w:t>
      </w:r>
      <w:r>
        <w:rPr>
          <w:rFonts w:hint="eastAsia" w:ascii="宋体" w:hAnsi="宋体" w:eastAsia="宋体" w:cs="宋体"/>
          <w:color w:val="auto"/>
          <w:kern w:val="0"/>
          <w:sz w:val="21"/>
          <w:szCs w:val="21"/>
          <w:highlight w:val="none"/>
          <w:shd w:val="clear" w:color="auto" w:fill="FFFFFF"/>
          <w:lang w:val="en-US" w:eastAsia="zh-CN"/>
        </w:rPr>
        <w:t>或</w:t>
      </w:r>
      <w:r>
        <w:rPr>
          <w:rFonts w:hint="eastAsia" w:ascii="宋体" w:hAnsi="宋体" w:eastAsia="宋体" w:cs="宋体"/>
          <w:color w:val="auto"/>
          <w:kern w:val="0"/>
          <w:sz w:val="21"/>
          <w:szCs w:val="21"/>
          <w:highlight w:val="none"/>
          <w:shd w:val="clear" w:color="auto" w:fill="FFFFFF"/>
        </w:rPr>
        <w:t>近半年</w:t>
      </w:r>
      <w:r>
        <w:rPr>
          <w:rFonts w:hint="eastAsia" w:ascii="宋体" w:hAnsi="宋体" w:eastAsia="宋体" w:cs="宋体"/>
          <w:color w:val="auto"/>
          <w:kern w:val="0"/>
          <w:sz w:val="21"/>
          <w:szCs w:val="21"/>
          <w:highlight w:val="none"/>
          <w:shd w:val="clear" w:color="auto" w:fill="FFFFFF"/>
          <w:lang w:eastAsia="zh-CN"/>
        </w:rPr>
        <w:t>（</w:t>
      </w:r>
      <w:r>
        <w:rPr>
          <w:rFonts w:hint="eastAsia" w:ascii="宋体" w:hAnsi="宋体" w:cs="宋体"/>
          <w:color w:val="auto"/>
          <w:kern w:val="0"/>
          <w:sz w:val="21"/>
          <w:szCs w:val="21"/>
          <w:highlight w:val="none"/>
          <w:shd w:val="clear" w:color="auto" w:fill="FFFFFF"/>
          <w:lang w:val="en-US" w:eastAsia="zh-CN"/>
        </w:rPr>
        <w:t>2026年1月-2026年6月</w:t>
      </w:r>
      <w:r>
        <w:rPr>
          <w:rFonts w:hint="eastAsia" w:ascii="宋体" w:hAnsi="宋体" w:eastAsia="宋体" w:cs="宋体"/>
          <w:color w:val="auto"/>
          <w:kern w:val="0"/>
          <w:sz w:val="21"/>
          <w:szCs w:val="21"/>
          <w:highlight w:val="none"/>
          <w:shd w:val="clear" w:color="auto" w:fill="FFFFFF"/>
          <w:lang w:eastAsia="zh-CN"/>
        </w:rPr>
        <w:t>）</w:t>
      </w:r>
      <w:r>
        <w:rPr>
          <w:rFonts w:hint="eastAsia" w:ascii="宋体" w:hAnsi="宋体" w:eastAsia="宋体" w:cs="宋体"/>
          <w:color w:val="auto"/>
          <w:kern w:val="0"/>
          <w:sz w:val="21"/>
          <w:szCs w:val="21"/>
          <w:highlight w:val="none"/>
          <w:shd w:val="clear" w:color="auto" w:fill="FFFFFF"/>
        </w:rPr>
        <w:t>任一月份的财务状况报告（至少包括资产负债表和利润表，法人或者其他组织成立未满一年的可以不提供</w:t>
      </w:r>
      <w:r>
        <w:rPr>
          <w:rFonts w:hint="eastAsia" w:ascii="宋体" w:hAnsi="宋体" w:eastAsia="宋体" w:cs="宋体"/>
          <w:color w:val="auto"/>
          <w:kern w:val="0"/>
          <w:sz w:val="21"/>
          <w:szCs w:val="21"/>
          <w:highlight w:val="none"/>
          <w:shd w:val="clear" w:color="auto" w:fill="FFFFFF"/>
          <w:lang w:eastAsia="zh-CN"/>
        </w:rPr>
        <w:t>，</w:t>
      </w:r>
      <w:r>
        <w:rPr>
          <w:rFonts w:hint="eastAsia" w:ascii="宋体" w:hAnsi="宋体" w:eastAsia="宋体" w:cs="宋体"/>
          <w:color w:val="auto"/>
          <w:kern w:val="0"/>
          <w:sz w:val="21"/>
          <w:szCs w:val="21"/>
          <w:highlight w:val="none"/>
          <w:shd w:val="clear" w:color="auto" w:fill="FFFFFF"/>
          <w:lang w:val="en-US" w:eastAsia="zh-CN" w:bidi="ar-SA"/>
        </w:rPr>
        <w:t>复印件加盖公章）</w:t>
      </w:r>
      <w:r>
        <w:rPr>
          <w:rFonts w:hint="eastAsia" w:ascii="宋体" w:hAnsi="宋体" w:eastAsia="宋体" w:cs="宋体"/>
          <w:color w:val="auto"/>
          <w:sz w:val="21"/>
          <w:szCs w:val="21"/>
          <w:highlight w:val="none"/>
        </w:rPr>
        <w:t>；</w:t>
      </w:r>
    </w:p>
    <w:p w14:paraId="14EF8745">
      <w:pPr>
        <w:keepNext w:val="0"/>
        <w:keepLines w:val="0"/>
        <w:pageBreakBefore w:val="0"/>
        <w:widowControl w:val="0"/>
        <w:spacing w:line="360" w:lineRule="auto"/>
        <w:ind w:firstLine="42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3）具有履行合同所必需的设备和专业技术能力</w:t>
      </w:r>
      <w:r>
        <w:rPr>
          <w:rFonts w:hint="eastAsia" w:ascii="宋体" w:hAnsi="宋体" w:eastAsia="宋体" w:cs="宋体"/>
          <w:color w:val="auto"/>
          <w:kern w:val="0"/>
          <w:sz w:val="21"/>
          <w:szCs w:val="21"/>
          <w:highlight w:val="none"/>
          <w:shd w:val="clear" w:color="auto" w:fill="FFFFFF"/>
          <w:lang w:val="en-US" w:eastAsia="zh-CN" w:bidi="ar-SA"/>
        </w:rPr>
        <w:t>（提供书面声明加盖公章，格式见附件）</w:t>
      </w:r>
      <w:r>
        <w:rPr>
          <w:rFonts w:hint="eastAsia" w:ascii="宋体" w:hAnsi="宋体" w:eastAsia="宋体" w:cs="宋体"/>
          <w:color w:val="auto"/>
          <w:sz w:val="21"/>
          <w:szCs w:val="21"/>
          <w:highlight w:val="none"/>
        </w:rPr>
        <w:t xml:space="preserve">； </w:t>
      </w:r>
    </w:p>
    <w:p w14:paraId="7060DA21">
      <w:pPr>
        <w:keepNext w:val="0"/>
        <w:keepLines w:val="0"/>
        <w:pageBreakBefore w:val="0"/>
        <w:widowControl w:val="0"/>
        <w:spacing w:line="360" w:lineRule="auto"/>
        <w:ind w:firstLine="42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4）有依法缴纳税收和社会保障资金的良好记录</w:t>
      </w:r>
      <w:r>
        <w:rPr>
          <w:rFonts w:hint="eastAsia" w:ascii="宋体" w:hAnsi="宋体" w:eastAsia="宋体" w:cs="宋体"/>
          <w:color w:val="auto"/>
          <w:kern w:val="0"/>
          <w:sz w:val="21"/>
          <w:szCs w:val="21"/>
          <w:highlight w:val="none"/>
          <w:shd w:val="clear" w:color="auto" w:fill="FFFFFF"/>
          <w:lang w:val="en-US" w:eastAsia="zh-CN" w:bidi="ar-SA"/>
        </w:rPr>
        <w:t>（提供参加本次采购活动近半年内</w:t>
      </w:r>
      <w:r>
        <w:rPr>
          <w:rFonts w:hint="eastAsia" w:ascii="宋体" w:hAnsi="宋体" w:eastAsia="宋体" w:cs="宋体"/>
          <w:color w:val="auto"/>
          <w:sz w:val="21"/>
          <w:szCs w:val="21"/>
          <w:highlight w:val="none"/>
          <w:lang w:eastAsia="zh-CN"/>
        </w:rPr>
        <w:t>（</w:t>
      </w:r>
      <w:r>
        <w:rPr>
          <w:rFonts w:hint="eastAsia" w:ascii="宋体" w:hAnsi="宋体" w:cs="宋体"/>
          <w:color w:val="auto"/>
          <w:kern w:val="0"/>
          <w:sz w:val="21"/>
          <w:szCs w:val="21"/>
          <w:highlight w:val="none"/>
          <w:shd w:val="clear" w:color="auto" w:fill="FFFFFF"/>
          <w:lang w:val="en-US" w:eastAsia="zh-CN"/>
        </w:rPr>
        <w:t>2026年1月-2026年6月</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kern w:val="0"/>
          <w:sz w:val="21"/>
          <w:szCs w:val="21"/>
          <w:highlight w:val="none"/>
          <w:shd w:val="clear" w:color="auto" w:fill="FFFFFF"/>
          <w:lang w:val="en-US" w:eastAsia="zh-CN" w:bidi="ar-SA"/>
        </w:rPr>
        <w:t>至少一个月依法缴纳税收和社会保障资金的相关资料，复印件加盖公章）</w:t>
      </w:r>
      <w:r>
        <w:rPr>
          <w:rFonts w:hint="eastAsia" w:ascii="宋体" w:hAnsi="宋体" w:eastAsia="宋体" w:cs="宋体"/>
          <w:color w:val="auto"/>
          <w:sz w:val="21"/>
          <w:szCs w:val="21"/>
          <w:highlight w:val="none"/>
        </w:rPr>
        <w:t>；</w:t>
      </w:r>
    </w:p>
    <w:p w14:paraId="428170E9">
      <w:pPr>
        <w:pageBreakBefore w:val="0"/>
        <w:spacing w:line="360" w:lineRule="auto"/>
        <w:ind w:firstLine="420"/>
        <w:rPr>
          <w:rFonts w:hint="eastAsia" w:ascii="宋体" w:hAnsi="宋体" w:eastAsia="宋体" w:cs="宋体"/>
          <w:color w:val="auto"/>
          <w:sz w:val="21"/>
          <w:szCs w:val="21"/>
          <w:lang w:eastAsia="zh-CN"/>
        </w:rPr>
      </w:pPr>
      <w:r>
        <w:rPr>
          <w:rFonts w:hint="eastAsia" w:ascii="宋体" w:hAnsi="宋体" w:eastAsia="宋体" w:cs="宋体"/>
          <w:color w:val="auto"/>
          <w:sz w:val="21"/>
          <w:szCs w:val="21"/>
          <w:highlight w:val="none"/>
        </w:rPr>
        <w:t>5）参加采购活动前三年内，在经营活动中没有重大违法记录</w:t>
      </w:r>
      <w:r>
        <w:rPr>
          <w:rFonts w:hint="eastAsia" w:ascii="宋体" w:hAnsi="宋体" w:eastAsia="宋体" w:cs="宋体"/>
          <w:color w:val="auto"/>
          <w:kern w:val="0"/>
          <w:sz w:val="21"/>
          <w:szCs w:val="21"/>
          <w:highlight w:val="none"/>
          <w:shd w:val="clear" w:color="auto" w:fill="auto"/>
          <w:lang w:val="en-US" w:eastAsia="zh-CN" w:bidi="ar-SA"/>
        </w:rPr>
        <w:t>（提供书面声明加盖公章，格式见附件）</w:t>
      </w:r>
      <w:r>
        <w:rPr>
          <w:rFonts w:hint="eastAsia" w:ascii="宋体" w:hAnsi="宋体" w:eastAsia="宋体" w:cs="宋体"/>
          <w:color w:val="auto"/>
          <w:sz w:val="21"/>
          <w:szCs w:val="21"/>
        </w:rPr>
        <w:t>。 </w:t>
      </w:r>
    </w:p>
    <w:p w14:paraId="73ADE19C">
      <w:pPr>
        <w:pageBreakBefore w:val="0"/>
        <w:spacing w:line="360" w:lineRule="auto"/>
        <w:ind w:firstLine="420"/>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供应商在中标（成交）后，应按采购文件要求，将上述由信用承诺书替代的证明材料提交采购人或采购代理机构核验。经核验无误后，由采购人或采购代理机构发出中标（成交）通知书。 </w:t>
      </w:r>
    </w:p>
    <w:p w14:paraId="4FD27440">
      <w:pPr>
        <w:pageBreakBefore w:val="0"/>
        <w:spacing w:line="360" w:lineRule="auto"/>
        <w:ind w:firstLine="420"/>
        <w:rPr>
          <w:rFonts w:hint="eastAsia" w:ascii="宋体" w:hAnsi="宋体" w:eastAsia="宋体" w:cs="宋体"/>
          <w:color w:val="auto"/>
          <w:sz w:val="21"/>
          <w:szCs w:val="21"/>
          <w:lang w:eastAsia="zh-CN"/>
        </w:rPr>
      </w:pPr>
      <w:r>
        <w:rPr>
          <w:rFonts w:hint="eastAsia" w:ascii="宋体" w:hAnsi="宋体" w:eastAsia="宋体" w:cs="宋体"/>
          <w:color w:val="auto"/>
          <w:sz w:val="21"/>
          <w:szCs w:val="21"/>
        </w:rPr>
        <w:t>供应商涉及以下情形的，不适用信用承诺： </w:t>
      </w:r>
    </w:p>
    <w:p w14:paraId="6510FD2D">
      <w:pPr>
        <w:pageBreakBefore w:val="0"/>
        <w:spacing w:line="360" w:lineRule="auto"/>
        <w:ind w:firstLine="420"/>
        <w:rPr>
          <w:rFonts w:hint="eastAsia" w:ascii="宋体" w:hAnsi="宋体" w:eastAsia="宋体" w:cs="宋体"/>
          <w:color w:val="auto"/>
          <w:sz w:val="21"/>
          <w:szCs w:val="21"/>
          <w:lang w:eastAsia="zh-CN"/>
        </w:rPr>
      </w:pPr>
      <w:r>
        <w:rPr>
          <w:rFonts w:hint="eastAsia" w:ascii="宋体" w:hAnsi="宋体" w:eastAsia="宋体" w:cs="宋体"/>
          <w:color w:val="auto"/>
          <w:sz w:val="21"/>
          <w:szCs w:val="21"/>
        </w:rPr>
        <w:t>1）供应商被列入严重失信主体名单； </w:t>
      </w:r>
    </w:p>
    <w:p w14:paraId="1A7DE230">
      <w:pPr>
        <w:pageBreakBefore w:val="0"/>
        <w:spacing w:line="360" w:lineRule="auto"/>
        <w:ind w:firstLine="420"/>
        <w:rPr>
          <w:rFonts w:hint="eastAsia" w:ascii="宋体" w:hAnsi="宋体" w:eastAsia="宋体" w:cs="宋体"/>
          <w:color w:val="auto"/>
          <w:sz w:val="21"/>
          <w:szCs w:val="21"/>
          <w:lang w:eastAsia="zh-CN"/>
        </w:rPr>
      </w:pPr>
      <w:r>
        <w:rPr>
          <w:rFonts w:hint="eastAsia" w:ascii="宋体" w:hAnsi="宋体" w:eastAsia="宋体" w:cs="宋体"/>
          <w:color w:val="auto"/>
          <w:sz w:val="21"/>
          <w:szCs w:val="21"/>
        </w:rPr>
        <w:t>2）被相关监管部门作出行政处罚且尚在处罚有效期内； </w:t>
      </w:r>
    </w:p>
    <w:p w14:paraId="138BE1CD">
      <w:pPr>
        <w:pageBreakBefore w:val="0"/>
        <w:spacing w:line="360" w:lineRule="auto"/>
        <w:ind w:firstLine="420"/>
        <w:rPr>
          <w:rFonts w:hint="eastAsia" w:ascii="宋体" w:hAnsi="宋体" w:eastAsia="宋体" w:cs="宋体"/>
          <w:color w:val="auto"/>
          <w:sz w:val="21"/>
          <w:szCs w:val="21"/>
          <w:lang w:eastAsia="zh-CN"/>
        </w:rPr>
      </w:pPr>
      <w:r>
        <w:rPr>
          <w:rFonts w:hint="eastAsia" w:ascii="宋体" w:hAnsi="宋体" w:eastAsia="宋体" w:cs="宋体"/>
          <w:color w:val="auto"/>
          <w:sz w:val="21"/>
          <w:szCs w:val="21"/>
        </w:rPr>
        <w:t>3）其他法律、行政法规规定的不适用信用承诺的情形。 </w:t>
      </w:r>
    </w:p>
    <w:p w14:paraId="45405453">
      <w:pPr>
        <w:pageBreakBefore w:val="0"/>
        <w:spacing w:line="360" w:lineRule="auto"/>
        <w:ind w:firstLine="420"/>
        <w:rPr>
          <w:rFonts w:hint="eastAsia" w:ascii="宋体" w:hAnsi="宋体" w:eastAsia="宋体" w:cs="宋体"/>
          <w:color w:val="auto"/>
          <w:sz w:val="21"/>
          <w:szCs w:val="21"/>
        </w:rPr>
      </w:pP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4</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供应商对信用承诺内容的真实性、合法性、有效性负责。如作出虚假信用承诺，视同为“提供虚假材料谋取中标、成交”的违法行为。</w:t>
      </w:r>
    </w:p>
    <w:p w14:paraId="1BAE1186">
      <w:pPr>
        <w:pageBreakBefore w:val="0"/>
        <w:spacing w:line="360" w:lineRule="auto"/>
        <w:ind w:firstLine="420"/>
        <w:rPr>
          <w:rFonts w:hint="eastAsia" w:ascii="宋体" w:hAnsi="宋体" w:cs="宋体"/>
          <w:b w:val="0"/>
          <w:bCs w:val="0"/>
          <w:color w:val="auto"/>
          <w:sz w:val="21"/>
          <w:szCs w:val="21"/>
          <w:highlight w:val="none"/>
        </w:rPr>
      </w:pPr>
      <w:r>
        <w:rPr>
          <w:rFonts w:hint="eastAsia" w:ascii="宋体" w:hAnsi="宋体" w:cs="宋体"/>
          <w:b w:val="0"/>
          <w:bCs w:val="0"/>
          <w:color w:val="auto"/>
          <w:szCs w:val="21"/>
          <w:highlight w:val="none"/>
          <w:lang w:val="en-US" w:eastAsia="zh-CN"/>
        </w:rPr>
        <w:t>2</w:t>
      </w:r>
      <w:r>
        <w:rPr>
          <w:rFonts w:hint="eastAsia" w:ascii="宋体" w:hAnsi="宋体" w:cs="宋体"/>
          <w:b w:val="0"/>
          <w:bCs w:val="0"/>
          <w:color w:val="auto"/>
          <w:szCs w:val="21"/>
          <w:highlight w:val="none"/>
          <w:lang w:eastAsia="zh-CN"/>
        </w:rPr>
        <w:t>、</w:t>
      </w:r>
      <w:r>
        <w:rPr>
          <w:rFonts w:hint="eastAsia" w:ascii="宋体" w:hAnsi="宋体" w:cs="宋体"/>
          <w:b w:val="0"/>
          <w:bCs w:val="0"/>
          <w:color w:val="auto"/>
          <w:sz w:val="21"/>
          <w:szCs w:val="21"/>
          <w:highlight w:val="none"/>
        </w:rPr>
        <w:t>拒绝下述供应商参加本次采购活动：</w:t>
      </w:r>
    </w:p>
    <w:p w14:paraId="0EB2C1FD">
      <w:pPr>
        <w:pageBreakBefore w:val="0"/>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（1）供应商单位负责人为同一人或者存在直接控股、管理关系的不同供应商，不得参加同一合同项下的政府采购活动。</w:t>
      </w:r>
    </w:p>
    <w:p w14:paraId="1CE24C49">
      <w:pPr>
        <w:pageBreakBefore w:val="0"/>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（2）除单一来源采购项目外，为采购项目提供整体设计、规范编制或者项目管理、监理、检测等服务的供应商，不得再参加该采购项目的其他采购活动。</w:t>
      </w:r>
    </w:p>
    <w:p w14:paraId="656B6864">
      <w:pPr>
        <w:pageBreakBefore w:val="0"/>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（3）供应商被“信用中国”网站、“中国政府采购网”列入失信被执行人、重大税收违法案件当事人名单、政府采购严重违法失信行为记录名单。</w:t>
      </w:r>
    </w:p>
    <w:p w14:paraId="41971F29">
      <w:pPr>
        <w:pageBreakBefore w:val="0"/>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现场考察：采购人不组织，</w:t>
      </w:r>
      <w:r>
        <w:rPr>
          <w:rFonts w:hint="eastAsia" w:ascii="宋体" w:hAnsi="宋体" w:cs="宋体"/>
          <w:color w:val="auto"/>
          <w:szCs w:val="21"/>
          <w:highlight w:val="none"/>
          <w:lang w:eastAsia="zh-CN"/>
        </w:rPr>
        <w:t>供应商</w:t>
      </w:r>
      <w:r>
        <w:rPr>
          <w:rFonts w:hint="eastAsia" w:ascii="宋体" w:hAnsi="宋体" w:cs="宋体"/>
          <w:color w:val="auto"/>
          <w:szCs w:val="21"/>
          <w:highlight w:val="none"/>
        </w:rPr>
        <w:t>可自行踏勘。请务必对项目现场和周围环境进行仔细认真地查勘，在随后的采购中，对现场资料和数据所作出的推论、解释和结论及由此造成的后果由供应商负责。</w:t>
      </w:r>
    </w:p>
    <w:p w14:paraId="3FF81EA0">
      <w:pPr>
        <w:pageBreakBefore w:val="0"/>
        <w:spacing w:line="360" w:lineRule="auto"/>
        <w:ind w:firstLine="420"/>
        <w:jc w:val="lef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4、本次采购采用“政府采购管理交易系统（苏采云）”，招标、投标、评标和中标结果发布全程电子化，开标方式为不见面开标。</w:t>
      </w:r>
      <w:r>
        <w:rPr>
          <w:rFonts w:hint="eastAsia" w:ascii="宋体" w:hAnsi="宋体" w:cs="宋体"/>
          <w:color w:val="auto"/>
          <w:szCs w:val="21"/>
          <w:highlight w:val="none"/>
        </w:rPr>
        <w:t>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w:t>
      </w:r>
      <w:r>
        <w:rPr>
          <w:rFonts w:hint="eastAsia" w:ascii="宋体" w:hAnsi="宋体" w:cs="宋体"/>
          <w:color w:val="auto"/>
          <w:szCs w:val="21"/>
          <w:highlight w:val="none"/>
          <w:lang w:eastAsia="zh-CN"/>
        </w:rPr>
        <w:t>：</w:t>
      </w:r>
      <w:bookmarkStart w:id="19" w:name="OLE_LINK17"/>
      <w:r>
        <w:rPr>
          <w:rFonts w:hint="eastAsia" w:ascii="宋体" w:hAnsi="宋体" w:cs="宋体"/>
          <w:color w:val="auto"/>
          <w:szCs w:val="21"/>
          <w:highlight w:val="none"/>
        </w:rPr>
        <w:t>http://www.ccgp-jiangsu.gov.cn/jiangsu/zlxz/ee/ee3a4bc5a3454aa2b0d9312230633ce9.html</w:t>
      </w:r>
      <w:bookmarkEnd w:id="19"/>
      <w:r>
        <w:rPr>
          <w:rFonts w:hint="eastAsia" w:ascii="宋体" w:hAnsi="宋体" w:cs="宋体"/>
          <w:color w:val="auto"/>
          <w:szCs w:val="21"/>
          <w:highlight w:val="none"/>
          <w:lang w:eastAsia="zh-CN"/>
        </w:rPr>
        <w:t>（“苏采云”南京地区客服热线025-83633744、025-83633743。）</w:t>
      </w:r>
    </w:p>
    <w:p w14:paraId="5D65376C">
      <w:pPr>
        <w:pageBreakBefore w:val="0"/>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lang w:val="en-US" w:eastAsia="zh-CN"/>
        </w:rPr>
        <w:t>5</w:t>
      </w:r>
      <w:r>
        <w:rPr>
          <w:rFonts w:hint="eastAsia" w:ascii="宋体" w:hAnsi="宋体" w:cs="宋体"/>
          <w:color w:val="auto"/>
          <w:szCs w:val="21"/>
          <w:highlight w:val="none"/>
          <w:lang w:eastAsia="zh-CN"/>
        </w:rPr>
        <w:t>、</w:t>
      </w:r>
      <w:r>
        <w:rPr>
          <w:rFonts w:hint="eastAsia" w:ascii="宋体" w:hAnsi="宋体" w:cs="宋体"/>
          <w:color w:val="auto"/>
          <w:szCs w:val="21"/>
          <w:highlight w:val="none"/>
        </w:rPr>
        <w:t>有关本次磋商的事项若存在变动或修改，敬请及时关注“中国政府采购网”“江苏政府采购网”“南京公共采购信息网”发布的信息更正公告。</w:t>
      </w:r>
    </w:p>
    <w:p w14:paraId="68EBED8D">
      <w:pPr>
        <w:keepNext/>
        <w:keepLines/>
        <w:pageBreakBefore w:val="0"/>
        <w:numPr>
          <w:ilvl w:val="1"/>
          <w:numId w:val="0"/>
        </w:numPr>
        <w:tabs>
          <w:tab w:val="left" w:pos="576"/>
        </w:tabs>
        <w:spacing w:line="360" w:lineRule="auto"/>
        <w:rPr>
          <w:rFonts w:ascii="宋体" w:hAnsi="宋体" w:cs="宋体"/>
          <w:b/>
          <w:sz w:val="24"/>
          <w:highlight w:val="none"/>
        </w:rPr>
      </w:pPr>
      <w:r>
        <w:rPr>
          <w:rFonts w:hint="eastAsia" w:ascii="宋体" w:hAnsi="宋体" w:cs="宋体"/>
          <w:b/>
          <w:sz w:val="24"/>
          <w:highlight w:val="none"/>
        </w:rPr>
        <w:t>八、凡对本次采购提出询问，请按以下方式联系。</w:t>
      </w:r>
      <w:bookmarkEnd w:id="15"/>
      <w:bookmarkEnd w:id="16"/>
      <w:bookmarkEnd w:id="17"/>
      <w:bookmarkEnd w:id="18"/>
    </w:p>
    <w:p w14:paraId="64C047DC">
      <w:pPr>
        <w:pageBreakBefore w:val="0"/>
        <w:spacing w:line="360" w:lineRule="auto"/>
        <w:ind w:left="630"/>
        <w:rPr>
          <w:rFonts w:ascii="宋体" w:hAnsi="宋体" w:cs="宋体"/>
          <w:szCs w:val="21"/>
          <w:highlight w:val="none"/>
        </w:rPr>
      </w:pPr>
      <w:bookmarkStart w:id="20" w:name="_Toc35393637"/>
      <w:bookmarkStart w:id="21" w:name="_Toc28359096"/>
      <w:bookmarkStart w:id="22" w:name="_Toc35393806"/>
      <w:bookmarkStart w:id="23" w:name="_Toc28359019"/>
      <w:r>
        <w:rPr>
          <w:rFonts w:hint="eastAsia" w:ascii="宋体" w:hAnsi="宋体" w:cs="宋体"/>
          <w:szCs w:val="21"/>
          <w:highlight w:val="none"/>
        </w:rPr>
        <w:t>1.采购人信息</w:t>
      </w:r>
      <w:bookmarkEnd w:id="20"/>
      <w:bookmarkEnd w:id="21"/>
      <w:bookmarkEnd w:id="22"/>
      <w:bookmarkEnd w:id="23"/>
    </w:p>
    <w:p w14:paraId="36F3CE97">
      <w:pPr>
        <w:pageBreakBefore w:val="0"/>
        <w:spacing w:line="360" w:lineRule="auto"/>
        <w:ind w:left="630"/>
        <w:jc w:val="left"/>
        <w:rPr>
          <w:rFonts w:hint="eastAsia" w:ascii="宋体" w:hAnsi="宋体" w:eastAsia="宋体" w:cs="宋体"/>
          <w:highlight w:val="none"/>
          <w:u w:val="single"/>
          <w:lang w:eastAsia="zh-CN"/>
        </w:rPr>
      </w:pPr>
      <w:r>
        <w:rPr>
          <w:rFonts w:hint="eastAsia" w:ascii="宋体" w:hAnsi="宋体" w:cs="宋体"/>
          <w:highlight w:val="none"/>
        </w:rPr>
        <w:t>单位名称：</w:t>
      </w:r>
      <w:r>
        <w:rPr>
          <w:rFonts w:hint="eastAsia" w:ascii="宋体" w:hAnsi="宋体" w:cs="宋体"/>
          <w:highlight w:val="none"/>
          <w:u w:val="single"/>
          <w:lang w:eastAsia="zh-CN"/>
        </w:rPr>
        <w:t>南京市江宁区人民政府东山街道办事处</w:t>
      </w:r>
    </w:p>
    <w:p w14:paraId="3C767D6C">
      <w:pPr>
        <w:pageBreakBefore w:val="0"/>
        <w:spacing w:line="360" w:lineRule="auto"/>
        <w:ind w:left="630"/>
        <w:jc w:val="left"/>
        <w:rPr>
          <w:rFonts w:hint="eastAsia" w:ascii="宋体" w:hAnsi="宋体"/>
          <w:color w:val="000000"/>
          <w:szCs w:val="21"/>
          <w:highlight w:val="none"/>
          <w:u w:val="single"/>
          <w:lang w:val="zh-CN"/>
        </w:rPr>
      </w:pPr>
      <w:r>
        <w:rPr>
          <w:rFonts w:hint="eastAsia" w:ascii="宋体" w:hAnsi="宋体" w:cs="宋体"/>
          <w:highlight w:val="none"/>
        </w:rPr>
        <w:t>采购单位地址：</w:t>
      </w:r>
      <w:r>
        <w:rPr>
          <w:rFonts w:hint="eastAsia" w:ascii="宋体" w:hAnsi="宋体"/>
          <w:color w:val="000000"/>
          <w:szCs w:val="21"/>
          <w:highlight w:val="none"/>
          <w:u w:val="single"/>
          <w:lang w:val="zh-CN"/>
        </w:rPr>
        <w:t>南京市江宁区东山街道上元大街229号</w:t>
      </w:r>
    </w:p>
    <w:p w14:paraId="4D2DAE3D">
      <w:pPr>
        <w:pageBreakBefore w:val="0"/>
        <w:spacing w:line="360" w:lineRule="auto"/>
        <w:ind w:left="630"/>
        <w:jc w:val="left"/>
        <w:rPr>
          <w:rFonts w:hint="eastAsia" w:ascii="宋体" w:hAnsi="宋体" w:eastAsia="宋体" w:cs="宋体"/>
          <w:highlight w:val="none"/>
          <w:lang w:val="en-US" w:eastAsia="zh-CN"/>
        </w:rPr>
      </w:pPr>
      <w:r>
        <w:rPr>
          <w:rFonts w:hint="eastAsia" w:ascii="宋体" w:hAnsi="宋体" w:eastAsia="宋体" w:cs="宋体"/>
          <w:highlight w:val="none"/>
          <w:lang w:val="zh-CN"/>
        </w:rPr>
        <w:t>联系人：</w:t>
      </w:r>
      <w:r>
        <w:rPr>
          <w:rFonts w:hint="eastAsia" w:ascii="宋体" w:hAnsi="宋体" w:cs="宋体"/>
          <w:highlight w:val="none"/>
          <w:lang w:val="en-US" w:eastAsia="zh-CN"/>
        </w:rPr>
        <w:t>曹工</w:t>
      </w:r>
    </w:p>
    <w:p w14:paraId="654C7E2D">
      <w:pPr>
        <w:pageBreakBefore w:val="0"/>
        <w:spacing w:line="360" w:lineRule="auto"/>
        <w:ind w:left="630"/>
        <w:jc w:val="left"/>
        <w:rPr>
          <w:rFonts w:hint="eastAsia" w:ascii="宋体" w:hAnsi="宋体" w:eastAsia="宋体" w:cs="宋体"/>
          <w:highlight w:val="none"/>
          <w:lang w:val="en-US" w:eastAsia="zh-CN"/>
        </w:rPr>
      </w:pPr>
      <w:r>
        <w:rPr>
          <w:rFonts w:hint="eastAsia" w:ascii="宋体" w:hAnsi="宋体" w:cs="宋体"/>
          <w:highlight w:val="none"/>
          <w:lang w:val="en-US" w:eastAsia="zh-CN"/>
        </w:rPr>
        <w:t>联系电话：</w:t>
      </w:r>
      <w:r>
        <w:rPr>
          <w:rFonts w:hint="eastAsia" w:ascii="宋体" w:hAnsi="宋体" w:eastAsia="宋体" w:cs="宋体"/>
          <w:color w:val="000000"/>
          <w:sz w:val="21"/>
          <w:szCs w:val="21"/>
          <w:shd w:val="clear" w:color="auto" w:fill="FFFFFF"/>
          <w:lang w:val="en-US" w:eastAsia="zh-CN"/>
        </w:rPr>
        <w:t>025-86111302</w:t>
      </w:r>
    </w:p>
    <w:p w14:paraId="6B0787DB">
      <w:pPr>
        <w:pageBreakBefore w:val="0"/>
        <w:spacing w:line="360" w:lineRule="auto"/>
        <w:ind w:left="630"/>
        <w:rPr>
          <w:rFonts w:ascii="宋体" w:hAnsi="宋体" w:cs="宋体"/>
          <w:szCs w:val="21"/>
          <w:highlight w:val="none"/>
        </w:rPr>
      </w:pPr>
      <w:bookmarkStart w:id="24" w:name="_Toc35393807"/>
      <w:bookmarkStart w:id="25" w:name="_Toc28359097"/>
      <w:bookmarkStart w:id="26" w:name="_Toc28359020"/>
      <w:bookmarkStart w:id="27" w:name="_Toc35393638"/>
      <w:r>
        <w:rPr>
          <w:rFonts w:hint="eastAsia" w:ascii="宋体" w:hAnsi="宋体" w:cs="宋体"/>
          <w:szCs w:val="21"/>
          <w:highlight w:val="none"/>
        </w:rPr>
        <w:t>2.采购代理机构信息</w:t>
      </w:r>
      <w:bookmarkEnd w:id="24"/>
      <w:bookmarkEnd w:id="25"/>
      <w:bookmarkEnd w:id="26"/>
      <w:bookmarkEnd w:id="27"/>
    </w:p>
    <w:p w14:paraId="1A46E1B8">
      <w:pPr>
        <w:pageBreakBefore w:val="0"/>
        <w:spacing w:line="360" w:lineRule="auto"/>
        <w:ind w:firstLine="630"/>
        <w:rPr>
          <w:rFonts w:ascii="宋体" w:hAnsi="宋体" w:cs="宋体"/>
          <w:szCs w:val="21"/>
          <w:highlight w:val="none"/>
        </w:rPr>
      </w:pPr>
      <w:r>
        <w:rPr>
          <w:rFonts w:hint="eastAsia" w:ascii="宋体" w:hAnsi="宋体" w:cs="宋体"/>
          <w:szCs w:val="21"/>
          <w:highlight w:val="none"/>
        </w:rPr>
        <w:t>名    称：</w:t>
      </w:r>
      <w:bookmarkStart w:id="28" w:name="OLE_LINK22"/>
      <w:r>
        <w:rPr>
          <w:rFonts w:hint="eastAsia" w:ascii="宋体" w:hAnsi="宋体" w:cs="宋体"/>
          <w:szCs w:val="21"/>
          <w:highlight w:val="none"/>
          <w:u w:val="single"/>
        </w:rPr>
        <w:t>南京东兴工程咨询有限公司</w:t>
      </w:r>
      <w:bookmarkEnd w:id="28"/>
    </w:p>
    <w:p w14:paraId="0E54E0D5">
      <w:pPr>
        <w:pageBreakBefore w:val="0"/>
        <w:spacing w:line="360" w:lineRule="auto"/>
        <w:ind w:firstLine="630"/>
        <w:rPr>
          <w:rFonts w:ascii="宋体" w:hAnsi="宋体" w:cs="宋体"/>
          <w:szCs w:val="21"/>
          <w:highlight w:val="none"/>
        </w:rPr>
      </w:pPr>
      <w:r>
        <w:rPr>
          <w:rFonts w:hint="eastAsia" w:ascii="宋体" w:hAnsi="宋体" w:cs="宋体"/>
          <w:szCs w:val="21"/>
          <w:highlight w:val="none"/>
        </w:rPr>
        <w:t>地　　址：</w:t>
      </w:r>
      <w:r>
        <w:rPr>
          <w:rFonts w:hint="eastAsia" w:ascii="宋体" w:hAnsi="宋体" w:cs="宋体"/>
          <w:szCs w:val="21"/>
          <w:highlight w:val="none"/>
          <w:u w:val="single"/>
        </w:rPr>
        <w:t>南京市江宁区天元中路128号诚基名苑2幢618室</w:t>
      </w:r>
    </w:p>
    <w:p w14:paraId="1AA296F9">
      <w:pPr>
        <w:pageBreakBefore w:val="0"/>
        <w:spacing w:line="360" w:lineRule="auto"/>
        <w:ind w:firstLine="630"/>
        <w:rPr>
          <w:rFonts w:ascii="宋体" w:hAnsi="宋体" w:cs="宋体"/>
          <w:szCs w:val="21"/>
          <w:highlight w:val="none"/>
          <w:u w:val="single"/>
        </w:rPr>
      </w:pPr>
      <w:r>
        <w:rPr>
          <w:rFonts w:hint="eastAsia" w:ascii="宋体" w:hAnsi="宋体" w:cs="宋体"/>
          <w:szCs w:val="21"/>
          <w:highlight w:val="none"/>
        </w:rPr>
        <w:t>联系方式：</w:t>
      </w:r>
      <w:r>
        <w:rPr>
          <w:rFonts w:hint="eastAsia" w:ascii="宋体" w:hAnsi="宋体" w:cs="宋体"/>
          <w:szCs w:val="21"/>
          <w:highlight w:val="none"/>
          <w:u w:val="single"/>
        </w:rPr>
        <w:t>025-52140133</w:t>
      </w:r>
    </w:p>
    <w:p w14:paraId="3252D00E">
      <w:pPr>
        <w:pageBreakBefore w:val="0"/>
        <w:spacing w:line="360" w:lineRule="auto"/>
        <w:ind w:left="630"/>
        <w:rPr>
          <w:rFonts w:ascii="宋体" w:hAnsi="宋体" w:cs="宋体"/>
          <w:szCs w:val="21"/>
          <w:highlight w:val="none"/>
        </w:rPr>
      </w:pPr>
      <w:bookmarkStart w:id="29" w:name="_Toc35393808"/>
      <w:bookmarkStart w:id="30" w:name="_Toc35393639"/>
      <w:bookmarkStart w:id="31" w:name="_Toc28359021"/>
      <w:bookmarkStart w:id="32" w:name="_Toc28359098"/>
      <w:r>
        <w:rPr>
          <w:rFonts w:hint="eastAsia" w:ascii="宋体" w:hAnsi="宋体" w:cs="宋体"/>
          <w:szCs w:val="21"/>
          <w:highlight w:val="none"/>
        </w:rPr>
        <w:t>3.项目联系方式</w:t>
      </w:r>
      <w:bookmarkEnd w:id="29"/>
      <w:bookmarkEnd w:id="30"/>
      <w:bookmarkEnd w:id="31"/>
      <w:bookmarkEnd w:id="32"/>
    </w:p>
    <w:p w14:paraId="2A299C68">
      <w:pPr>
        <w:pStyle w:val="20"/>
        <w:pageBreakBefore w:val="0"/>
        <w:spacing w:line="360" w:lineRule="auto"/>
        <w:ind w:firstLine="630"/>
        <w:rPr>
          <w:rFonts w:hint="eastAsia" w:hAnsi="宋体" w:eastAsia="宋体" w:cs="宋体"/>
          <w:highlight w:val="none"/>
          <w:lang w:val="en-US" w:eastAsia="zh-CN"/>
        </w:rPr>
      </w:pPr>
      <w:r>
        <w:rPr>
          <w:rFonts w:hint="eastAsia" w:hAnsi="宋体" w:cs="宋体"/>
          <w:highlight w:val="none"/>
        </w:rPr>
        <w:t>项目联系人：</w:t>
      </w:r>
      <w:r>
        <w:rPr>
          <w:rFonts w:hint="eastAsia" w:hAnsi="宋体" w:cs="宋体"/>
          <w:highlight w:val="none"/>
          <w:lang w:val="en-US" w:eastAsia="zh-CN"/>
        </w:rPr>
        <w:t>张工</w:t>
      </w:r>
    </w:p>
    <w:p w14:paraId="0A88BAA6">
      <w:pPr>
        <w:pageBreakBefore w:val="0"/>
        <w:spacing w:line="360" w:lineRule="auto"/>
        <w:ind w:firstLine="630"/>
        <w:rPr>
          <w:rFonts w:ascii="宋体" w:hAnsi="宋体" w:cs="宋体"/>
          <w:szCs w:val="21"/>
          <w:highlight w:val="none"/>
          <w:u w:val="single"/>
        </w:rPr>
      </w:pPr>
      <w:r>
        <w:rPr>
          <w:rFonts w:hint="eastAsia" w:ascii="宋体" w:hAnsi="宋体" w:cs="宋体"/>
          <w:szCs w:val="21"/>
          <w:highlight w:val="none"/>
        </w:rPr>
        <w:t>电　　 话：</w:t>
      </w:r>
      <w:r>
        <w:rPr>
          <w:rFonts w:hint="eastAsia" w:ascii="宋体" w:hAnsi="宋体" w:cs="宋体"/>
          <w:szCs w:val="21"/>
          <w:highlight w:val="none"/>
          <w:u w:val="single"/>
        </w:rPr>
        <w:t>025-52140133</w:t>
      </w:r>
    </w:p>
    <w:p w14:paraId="7C4AEF22">
      <w:pPr>
        <w:spacing w:before="156" w:after="156" w:line="460" w:lineRule="exact"/>
        <w:jc w:val="center"/>
        <w:outlineLvl w:val="0"/>
        <w:rPr>
          <w:rFonts w:ascii="宋体" w:hAnsi="宋体" w:cs="宋体"/>
          <w:sz w:val="30"/>
          <w:szCs w:val="30"/>
          <w:highlight w:val="none"/>
        </w:rPr>
      </w:pPr>
      <w:bookmarkStart w:id="33" w:name="_Toc6289"/>
      <w:bookmarkStart w:id="34" w:name="_Toc11159"/>
      <w:bookmarkStart w:id="35" w:name="_Toc26743"/>
      <w:bookmarkStart w:id="36" w:name="_Toc3663"/>
      <w:bookmarkStart w:id="37" w:name="_Toc28132"/>
      <w:bookmarkStart w:id="38" w:name="_Toc3015"/>
      <w:bookmarkStart w:id="39" w:name="_Toc4835"/>
      <w:bookmarkStart w:id="40" w:name="_Toc504141736"/>
      <w:bookmarkStart w:id="41" w:name="_Toc24440"/>
      <w:bookmarkStart w:id="42" w:name="_Toc10849"/>
      <w:bookmarkStart w:id="43" w:name="_Toc16475"/>
      <w:bookmarkStart w:id="44" w:name="_Toc14061"/>
      <w:r>
        <w:rPr>
          <w:rFonts w:hint="eastAsia" w:ascii="宋体" w:hAnsi="宋体" w:cs="宋体"/>
          <w:sz w:val="30"/>
          <w:szCs w:val="30"/>
          <w:highlight w:val="none"/>
        </w:rPr>
        <w:br w:type="page" w:clear="all"/>
      </w:r>
      <w:bookmarkStart w:id="45" w:name="_Toc29644"/>
      <w:bookmarkStart w:id="46" w:name="_Toc25233"/>
      <w:bookmarkStart w:id="47" w:name="_Toc16072"/>
      <w:bookmarkStart w:id="48" w:name="_Toc26338"/>
      <w:bookmarkStart w:id="49" w:name="_Toc29693"/>
      <w:bookmarkStart w:id="50" w:name="_Toc6658"/>
      <w:bookmarkStart w:id="51" w:name="_Toc10723"/>
      <w:bookmarkStart w:id="52" w:name="_Toc100"/>
      <w:bookmarkStart w:id="53" w:name="_Toc22154"/>
      <w:bookmarkStart w:id="54" w:name="_Toc29657"/>
      <w:bookmarkStart w:id="55" w:name="_Toc26243"/>
      <w:bookmarkStart w:id="56" w:name="_Toc26996"/>
      <w:bookmarkStart w:id="57" w:name="_Toc2028"/>
      <w:bookmarkStart w:id="58" w:name="_Toc9155"/>
      <w:bookmarkStart w:id="59" w:name="_Toc9434"/>
      <w:r>
        <w:rPr>
          <w:rFonts w:hint="eastAsia" w:ascii="宋体" w:hAnsi="宋体" w:cs="宋体"/>
          <w:b/>
          <w:bCs/>
          <w:sz w:val="30"/>
          <w:szCs w:val="30"/>
          <w:highlight w:val="none"/>
        </w:rPr>
        <w:t>第二章  竞争性磋商须知</w:t>
      </w:r>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p>
    <w:p w14:paraId="721D6BE3">
      <w:pPr>
        <w:ind w:firstLine="420"/>
        <w:rPr>
          <w:rFonts w:ascii="宋体" w:hAnsi="宋体" w:cs="宋体"/>
          <w:szCs w:val="21"/>
          <w:highlight w:val="none"/>
          <w:lang w:val="zh-CN"/>
        </w:rPr>
      </w:pPr>
      <w:bookmarkStart w:id="60" w:name="_Toc32753"/>
      <w:bookmarkStart w:id="61" w:name="_Toc8989"/>
      <w:bookmarkStart w:id="62" w:name="_Toc22366"/>
      <w:bookmarkStart w:id="63" w:name="_Toc28353"/>
      <w:bookmarkStart w:id="64" w:name="_Toc504141737"/>
      <w:bookmarkStart w:id="65" w:name="_Toc10178"/>
      <w:bookmarkStart w:id="66" w:name="_Toc32136"/>
      <w:bookmarkStart w:id="67" w:name="_Toc24504"/>
      <w:bookmarkStart w:id="68" w:name="_Toc11048"/>
      <w:bookmarkStart w:id="69" w:name="_Toc2932"/>
      <w:bookmarkStart w:id="70" w:name="_Toc18735"/>
      <w:bookmarkStart w:id="71" w:name="_Toc11826"/>
      <w:r>
        <w:rPr>
          <w:rFonts w:hint="eastAsia" w:ascii="宋体" w:hAnsi="宋体" w:cs="宋体"/>
          <w:b/>
          <w:bCs/>
          <w:szCs w:val="21"/>
          <w:highlight w:val="none"/>
          <w:lang w:val="zh-CN"/>
        </w:rPr>
        <w:t>南京东兴工程咨询有限公司</w:t>
      </w:r>
      <w:r>
        <w:rPr>
          <w:rFonts w:hint="eastAsia" w:ascii="宋体" w:hAnsi="宋体" w:cs="宋体"/>
          <w:szCs w:val="21"/>
          <w:highlight w:val="none"/>
          <w:lang w:val="zh-CN"/>
        </w:rPr>
        <w:t>（采购代理机构）受</w:t>
      </w:r>
      <w:r>
        <w:rPr>
          <w:rFonts w:hint="eastAsia" w:ascii="宋体" w:hAnsi="宋体" w:cs="宋体"/>
          <w:b/>
          <w:bCs/>
          <w:szCs w:val="21"/>
          <w:highlight w:val="none"/>
          <w:lang w:val="zh-CN"/>
        </w:rPr>
        <w:t>南京市江宁区人民政府东山街道办事处</w:t>
      </w:r>
      <w:r>
        <w:rPr>
          <w:rFonts w:hint="eastAsia" w:ascii="宋体" w:hAnsi="宋体" w:cs="宋体"/>
          <w:szCs w:val="21"/>
          <w:highlight w:val="none"/>
          <w:lang w:val="zh-CN"/>
        </w:rPr>
        <w:t>（采购人）委托，对</w:t>
      </w:r>
      <w:r>
        <w:rPr>
          <w:rFonts w:hint="eastAsia" w:ascii="宋体" w:hAnsi="宋体" w:cs="宋体"/>
          <w:b/>
          <w:bCs/>
          <w:szCs w:val="21"/>
          <w:highlight w:val="none"/>
          <w:lang w:eastAsia="zh-CN"/>
        </w:rPr>
        <w:t>东山街道2026年既有建筑安全检测评估服务</w:t>
      </w:r>
      <w:r>
        <w:rPr>
          <w:rFonts w:hint="eastAsia" w:ascii="宋体" w:hAnsi="宋体" w:cs="宋体"/>
          <w:szCs w:val="21"/>
          <w:highlight w:val="none"/>
          <w:lang w:val="zh-CN"/>
        </w:rPr>
        <w:t>（项目名称）进行竞争性磋商采购，兹邀请符合条件的供应商参与投标，相关信息如下：</w:t>
      </w:r>
    </w:p>
    <w:tbl>
      <w:tblPr>
        <w:tblStyle w:val="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900"/>
        <w:gridCol w:w="1080"/>
        <w:gridCol w:w="1620"/>
        <w:gridCol w:w="4530"/>
      </w:tblGrid>
      <w:tr w14:paraId="0071C2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20" w:type="dxa"/>
            <w:tcBorders>
              <w:top w:val="single" w:color="auto" w:sz="4" w:space="0"/>
              <w:left w:val="single" w:color="auto" w:sz="4" w:space="0"/>
              <w:bottom w:val="single" w:color="auto" w:sz="4" w:space="0"/>
              <w:right w:val="single" w:color="auto" w:sz="4" w:space="0"/>
            </w:tcBorders>
            <w:noWrap/>
            <w:vAlign w:val="center"/>
          </w:tcPr>
          <w:p w14:paraId="55FEE859">
            <w:pPr>
              <w:jc w:val="center"/>
              <w:rPr>
                <w:rFonts w:ascii="宋体" w:hAnsi="宋体" w:cs="宋体"/>
                <w:b/>
                <w:szCs w:val="21"/>
                <w:highlight w:val="none"/>
              </w:rPr>
            </w:pPr>
            <w:r>
              <w:rPr>
                <w:rFonts w:hint="eastAsia" w:ascii="宋体" w:hAnsi="宋体" w:cs="宋体"/>
                <w:b/>
                <w:szCs w:val="21"/>
                <w:highlight w:val="none"/>
              </w:rPr>
              <w:t>序号</w:t>
            </w:r>
          </w:p>
        </w:tc>
        <w:tc>
          <w:tcPr>
            <w:tcW w:w="1980" w:type="dxa"/>
            <w:gridSpan w:val="2"/>
            <w:tcBorders>
              <w:top w:val="single" w:color="auto" w:sz="4" w:space="0"/>
              <w:left w:val="single" w:color="auto" w:sz="4" w:space="0"/>
              <w:bottom w:val="single" w:color="auto" w:sz="4" w:space="0"/>
              <w:right w:val="single" w:color="auto" w:sz="4" w:space="0"/>
            </w:tcBorders>
            <w:noWrap/>
            <w:vAlign w:val="center"/>
          </w:tcPr>
          <w:p w14:paraId="130A6C99">
            <w:pPr>
              <w:jc w:val="center"/>
              <w:rPr>
                <w:rFonts w:ascii="宋体" w:hAnsi="宋体" w:cs="宋体"/>
                <w:b/>
                <w:szCs w:val="21"/>
                <w:highlight w:val="none"/>
              </w:rPr>
            </w:pPr>
            <w:r>
              <w:rPr>
                <w:rFonts w:hint="eastAsia" w:ascii="宋体" w:hAnsi="宋体" w:cs="宋体"/>
                <w:b/>
                <w:szCs w:val="21"/>
                <w:highlight w:val="none"/>
              </w:rPr>
              <w:t>项  目</w:t>
            </w:r>
          </w:p>
        </w:tc>
        <w:tc>
          <w:tcPr>
            <w:tcW w:w="6150" w:type="dxa"/>
            <w:gridSpan w:val="2"/>
            <w:tcBorders>
              <w:top w:val="single" w:color="auto" w:sz="4" w:space="0"/>
              <w:left w:val="single" w:color="auto" w:sz="4" w:space="0"/>
              <w:bottom w:val="single" w:color="auto" w:sz="4" w:space="0"/>
              <w:right w:val="single" w:color="auto" w:sz="4" w:space="0"/>
            </w:tcBorders>
            <w:noWrap/>
            <w:vAlign w:val="center"/>
          </w:tcPr>
          <w:p w14:paraId="4A0C40FF">
            <w:pPr>
              <w:jc w:val="center"/>
              <w:rPr>
                <w:rFonts w:ascii="宋体" w:hAnsi="宋体" w:cs="宋体"/>
                <w:b/>
                <w:szCs w:val="21"/>
                <w:highlight w:val="none"/>
              </w:rPr>
            </w:pPr>
            <w:r>
              <w:rPr>
                <w:rFonts w:hint="eastAsia" w:ascii="宋体" w:hAnsi="宋体" w:cs="宋体"/>
                <w:b/>
                <w:szCs w:val="21"/>
                <w:highlight w:val="none"/>
              </w:rPr>
              <w:t>内         容</w:t>
            </w:r>
          </w:p>
        </w:tc>
      </w:tr>
      <w:tr w14:paraId="22D585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jc w:val="center"/>
        </w:trPr>
        <w:tc>
          <w:tcPr>
            <w:tcW w:w="720" w:type="dxa"/>
            <w:tcBorders>
              <w:top w:val="single" w:color="auto" w:sz="4" w:space="0"/>
              <w:left w:val="single" w:color="auto" w:sz="4" w:space="0"/>
              <w:bottom w:val="single" w:color="auto" w:sz="4" w:space="0"/>
              <w:right w:val="single" w:color="auto" w:sz="4" w:space="0"/>
            </w:tcBorders>
            <w:noWrap/>
            <w:vAlign w:val="center"/>
          </w:tcPr>
          <w:p w14:paraId="23156C28">
            <w:pPr>
              <w:jc w:val="center"/>
              <w:rPr>
                <w:rFonts w:ascii="宋体" w:hAnsi="宋体" w:cs="宋体"/>
                <w:szCs w:val="21"/>
                <w:highlight w:val="none"/>
              </w:rPr>
            </w:pPr>
            <w:r>
              <w:rPr>
                <w:rFonts w:hint="eastAsia" w:ascii="宋体" w:hAnsi="宋体" w:cs="宋体"/>
                <w:szCs w:val="21"/>
                <w:highlight w:val="none"/>
              </w:rPr>
              <w:t>1</w:t>
            </w:r>
          </w:p>
        </w:tc>
        <w:tc>
          <w:tcPr>
            <w:tcW w:w="1980" w:type="dxa"/>
            <w:gridSpan w:val="2"/>
            <w:tcBorders>
              <w:top w:val="single" w:color="auto" w:sz="4" w:space="0"/>
              <w:left w:val="single" w:color="auto" w:sz="4" w:space="0"/>
              <w:bottom w:val="single" w:color="auto" w:sz="4" w:space="0"/>
              <w:right w:val="single" w:color="auto" w:sz="4" w:space="0"/>
            </w:tcBorders>
            <w:noWrap/>
            <w:vAlign w:val="center"/>
          </w:tcPr>
          <w:p w14:paraId="02CE5B2D">
            <w:pPr>
              <w:jc w:val="center"/>
              <w:rPr>
                <w:rFonts w:ascii="宋体" w:hAnsi="宋体" w:cs="宋体"/>
                <w:color w:val="FF0000"/>
                <w:szCs w:val="21"/>
                <w:highlight w:val="none"/>
              </w:rPr>
            </w:pPr>
            <w:r>
              <w:rPr>
                <w:rFonts w:hint="eastAsia" w:ascii="宋体" w:hAnsi="宋体" w:cs="宋体"/>
                <w:color w:val="auto"/>
                <w:szCs w:val="21"/>
                <w:highlight w:val="none"/>
              </w:rPr>
              <w:t>项目编号</w:t>
            </w:r>
          </w:p>
        </w:tc>
        <w:tc>
          <w:tcPr>
            <w:tcW w:w="6150" w:type="dxa"/>
            <w:gridSpan w:val="2"/>
            <w:tcBorders>
              <w:top w:val="single" w:color="auto" w:sz="4" w:space="0"/>
              <w:left w:val="single" w:color="auto" w:sz="4" w:space="0"/>
              <w:bottom w:val="single" w:color="auto" w:sz="4" w:space="0"/>
              <w:right w:val="single" w:color="auto" w:sz="4" w:space="0"/>
            </w:tcBorders>
            <w:noWrap/>
            <w:vAlign w:val="center"/>
          </w:tcPr>
          <w:p w14:paraId="571D7ADE">
            <w:pPr>
              <w:rPr>
                <w:rFonts w:hint="eastAsia" w:ascii="宋体" w:hAnsi="宋体" w:eastAsia="宋体" w:cs="宋体"/>
                <w:szCs w:val="21"/>
                <w:highlight w:val="none"/>
                <w:lang w:eastAsia="zh-CN"/>
              </w:rPr>
            </w:pPr>
            <w:r>
              <w:rPr>
                <w:rFonts w:hint="eastAsia" w:ascii="宋体" w:hAnsi="宋体" w:cs="宋体"/>
                <w:color w:val="auto"/>
                <w:szCs w:val="21"/>
                <w:highlight w:val="none"/>
                <w:lang w:eastAsia="zh-CN"/>
              </w:rPr>
              <w:t>JSZC-320115-NJDX-C2026-0008</w:t>
            </w:r>
          </w:p>
        </w:tc>
      </w:tr>
      <w:tr w14:paraId="29F436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20" w:type="dxa"/>
            <w:tcBorders>
              <w:top w:val="single" w:color="auto" w:sz="4" w:space="0"/>
              <w:left w:val="single" w:color="auto" w:sz="4" w:space="0"/>
              <w:bottom w:val="single" w:color="auto" w:sz="4" w:space="0"/>
              <w:right w:val="single" w:color="auto" w:sz="4" w:space="0"/>
            </w:tcBorders>
            <w:noWrap/>
            <w:vAlign w:val="center"/>
          </w:tcPr>
          <w:p w14:paraId="1173AAF4">
            <w:pPr>
              <w:jc w:val="center"/>
              <w:rPr>
                <w:rFonts w:ascii="宋体" w:hAnsi="宋体" w:cs="宋体"/>
                <w:szCs w:val="21"/>
                <w:highlight w:val="none"/>
              </w:rPr>
            </w:pPr>
            <w:r>
              <w:rPr>
                <w:rFonts w:hint="eastAsia" w:ascii="宋体" w:hAnsi="宋体" w:cs="宋体"/>
                <w:szCs w:val="21"/>
                <w:highlight w:val="none"/>
              </w:rPr>
              <w:t>2</w:t>
            </w:r>
          </w:p>
        </w:tc>
        <w:tc>
          <w:tcPr>
            <w:tcW w:w="1980" w:type="dxa"/>
            <w:gridSpan w:val="2"/>
            <w:tcBorders>
              <w:top w:val="single" w:color="auto" w:sz="4" w:space="0"/>
              <w:left w:val="single" w:color="auto" w:sz="4" w:space="0"/>
              <w:bottom w:val="single" w:color="auto" w:sz="4" w:space="0"/>
              <w:right w:val="single" w:color="auto" w:sz="4" w:space="0"/>
            </w:tcBorders>
            <w:noWrap/>
            <w:vAlign w:val="center"/>
          </w:tcPr>
          <w:p w14:paraId="78C2D7EA">
            <w:pPr>
              <w:jc w:val="center"/>
              <w:rPr>
                <w:rFonts w:ascii="宋体" w:hAnsi="宋体" w:cs="宋体"/>
                <w:color w:val="FF0000"/>
                <w:szCs w:val="21"/>
                <w:highlight w:val="none"/>
              </w:rPr>
            </w:pPr>
            <w:r>
              <w:rPr>
                <w:rFonts w:hint="eastAsia" w:ascii="宋体" w:hAnsi="宋体" w:cs="宋体"/>
                <w:color w:val="auto"/>
                <w:szCs w:val="21"/>
                <w:highlight w:val="none"/>
              </w:rPr>
              <w:t>项目名称</w:t>
            </w:r>
          </w:p>
        </w:tc>
        <w:tc>
          <w:tcPr>
            <w:tcW w:w="6150" w:type="dxa"/>
            <w:gridSpan w:val="2"/>
            <w:tcBorders>
              <w:top w:val="single" w:color="auto" w:sz="4" w:space="0"/>
              <w:left w:val="single" w:color="auto" w:sz="4" w:space="0"/>
              <w:bottom w:val="single" w:color="auto" w:sz="4" w:space="0"/>
              <w:right w:val="single" w:color="auto" w:sz="4" w:space="0"/>
            </w:tcBorders>
            <w:noWrap/>
            <w:vAlign w:val="center"/>
          </w:tcPr>
          <w:p w14:paraId="65EDCB17">
            <w:pPr>
              <w:rPr>
                <w:rFonts w:hint="eastAsia" w:ascii="宋体" w:hAnsi="宋体" w:eastAsia="宋体" w:cs="宋体"/>
                <w:szCs w:val="21"/>
                <w:highlight w:val="none"/>
                <w:lang w:eastAsia="zh-CN"/>
              </w:rPr>
            </w:pPr>
            <w:r>
              <w:rPr>
                <w:rFonts w:hint="eastAsia" w:ascii="宋体" w:hAnsi="宋体" w:cs="宋体"/>
                <w:szCs w:val="21"/>
                <w:highlight w:val="none"/>
                <w:lang w:eastAsia="zh-CN"/>
              </w:rPr>
              <w:t>东山街道2026年既有建筑安全检测评估服务</w:t>
            </w:r>
          </w:p>
        </w:tc>
      </w:tr>
      <w:tr w14:paraId="5AD1D8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jc w:val="center"/>
        </w:trPr>
        <w:tc>
          <w:tcPr>
            <w:tcW w:w="720" w:type="dxa"/>
            <w:tcBorders>
              <w:top w:val="single" w:color="auto" w:sz="4" w:space="0"/>
              <w:left w:val="single" w:color="auto" w:sz="4" w:space="0"/>
              <w:bottom w:val="single" w:color="auto" w:sz="4" w:space="0"/>
              <w:right w:val="single" w:color="auto" w:sz="4" w:space="0"/>
            </w:tcBorders>
            <w:noWrap/>
            <w:vAlign w:val="center"/>
          </w:tcPr>
          <w:p w14:paraId="4F5D51A0">
            <w:pPr>
              <w:jc w:val="center"/>
              <w:rPr>
                <w:rFonts w:ascii="宋体" w:hAnsi="宋体" w:cs="宋体"/>
                <w:szCs w:val="21"/>
                <w:highlight w:val="none"/>
              </w:rPr>
            </w:pPr>
            <w:r>
              <w:rPr>
                <w:rFonts w:hint="eastAsia" w:ascii="宋体" w:hAnsi="宋体" w:cs="宋体"/>
                <w:szCs w:val="21"/>
                <w:highlight w:val="none"/>
              </w:rPr>
              <w:t>3</w:t>
            </w:r>
          </w:p>
        </w:tc>
        <w:tc>
          <w:tcPr>
            <w:tcW w:w="1980" w:type="dxa"/>
            <w:gridSpan w:val="2"/>
            <w:tcBorders>
              <w:top w:val="single" w:color="auto" w:sz="4" w:space="0"/>
              <w:left w:val="single" w:color="auto" w:sz="4" w:space="0"/>
              <w:bottom w:val="single" w:color="auto" w:sz="4" w:space="0"/>
              <w:right w:val="single" w:color="auto" w:sz="4" w:space="0"/>
            </w:tcBorders>
            <w:noWrap/>
            <w:vAlign w:val="center"/>
          </w:tcPr>
          <w:p w14:paraId="1A95E521">
            <w:pPr>
              <w:jc w:val="center"/>
              <w:rPr>
                <w:rFonts w:ascii="宋体" w:hAnsi="宋体" w:cs="宋体"/>
                <w:szCs w:val="21"/>
                <w:highlight w:val="none"/>
              </w:rPr>
            </w:pPr>
            <w:r>
              <w:rPr>
                <w:rFonts w:hint="eastAsia" w:ascii="宋体" w:hAnsi="宋体" w:cs="宋体"/>
                <w:szCs w:val="21"/>
                <w:highlight w:val="none"/>
              </w:rPr>
              <w:t>采购代理机构</w:t>
            </w:r>
          </w:p>
        </w:tc>
        <w:tc>
          <w:tcPr>
            <w:tcW w:w="6150" w:type="dxa"/>
            <w:gridSpan w:val="2"/>
            <w:tcBorders>
              <w:top w:val="single" w:color="auto" w:sz="4" w:space="0"/>
              <w:left w:val="single" w:color="auto" w:sz="4" w:space="0"/>
              <w:bottom w:val="single" w:color="auto" w:sz="4" w:space="0"/>
              <w:right w:val="single" w:color="auto" w:sz="4" w:space="0"/>
            </w:tcBorders>
            <w:noWrap/>
            <w:vAlign w:val="center"/>
          </w:tcPr>
          <w:p w14:paraId="378A6746">
            <w:pPr>
              <w:rPr>
                <w:rFonts w:ascii="宋体" w:hAnsi="宋体" w:cs="宋体"/>
                <w:szCs w:val="21"/>
                <w:highlight w:val="none"/>
              </w:rPr>
            </w:pPr>
            <w:r>
              <w:rPr>
                <w:rFonts w:hint="eastAsia" w:ascii="宋体" w:hAnsi="宋体" w:cs="宋体"/>
                <w:szCs w:val="21"/>
                <w:highlight w:val="none"/>
              </w:rPr>
              <w:t>南京东兴工程咨询有限公司</w:t>
            </w:r>
          </w:p>
        </w:tc>
      </w:tr>
      <w:tr w14:paraId="27D03E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jc w:val="center"/>
        </w:trPr>
        <w:tc>
          <w:tcPr>
            <w:tcW w:w="720" w:type="dxa"/>
            <w:tcBorders>
              <w:top w:val="single" w:color="auto" w:sz="4" w:space="0"/>
              <w:left w:val="single" w:color="auto" w:sz="4" w:space="0"/>
              <w:bottom w:val="single" w:color="auto" w:sz="4" w:space="0"/>
              <w:right w:val="single" w:color="auto" w:sz="4" w:space="0"/>
            </w:tcBorders>
            <w:noWrap/>
            <w:vAlign w:val="center"/>
          </w:tcPr>
          <w:p w14:paraId="667306D2">
            <w:pPr>
              <w:jc w:val="center"/>
              <w:rPr>
                <w:rFonts w:ascii="宋体" w:hAnsi="宋体" w:cs="宋体"/>
                <w:szCs w:val="21"/>
                <w:highlight w:val="none"/>
              </w:rPr>
            </w:pPr>
            <w:r>
              <w:rPr>
                <w:rFonts w:hint="eastAsia" w:ascii="宋体" w:hAnsi="宋体" w:cs="宋体"/>
                <w:szCs w:val="21"/>
                <w:highlight w:val="none"/>
              </w:rPr>
              <w:t>4</w:t>
            </w:r>
          </w:p>
        </w:tc>
        <w:tc>
          <w:tcPr>
            <w:tcW w:w="1980" w:type="dxa"/>
            <w:gridSpan w:val="2"/>
            <w:tcBorders>
              <w:top w:val="single" w:color="auto" w:sz="4" w:space="0"/>
              <w:left w:val="single" w:color="auto" w:sz="4" w:space="0"/>
              <w:bottom w:val="single" w:color="auto" w:sz="4" w:space="0"/>
              <w:right w:val="single" w:color="auto" w:sz="4" w:space="0"/>
            </w:tcBorders>
            <w:noWrap/>
            <w:vAlign w:val="center"/>
          </w:tcPr>
          <w:p w14:paraId="1D2FEDD8">
            <w:pPr>
              <w:jc w:val="center"/>
              <w:rPr>
                <w:rFonts w:ascii="宋体" w:hAnsi="宋体" w:cs="宋体"/>
                <w:szCs w:val="21"/>
                <w:highlight w:val="none"/>
              </w:rPr>
            </w:pPr>
            <w:r>
              <w:rPr>
                <w:rFonts w:hint="eastAsia" w:ascii="宋体" w:hAnsi="宋体" w:cs="宋体"/>
                <w:szCs w:val="21"/>
                <w:highlight w:val="none"/>
              </w:rPr>
              <w:t>采购代理机构地址</w:t>
            </w:r>
          </w:p>
        </w:tc>
        <w:tc>
          <w:tcPr>
            <w:tcW w:w="6150" w:type="dxa"/>
            <w:gridSpan w:val="2"/>
            <w:tcBorders>
              <w:top w:val="single" w:color="auto" w:sz="4" w:space="0"/>
              <w:left w:val="single" w:color="auto" w:sz="4" w:space="0"/>
              <w:bottom w:val="single" w:color="auto" w:sz="4" w:space="0"/>
              <w:right w:val="single" w:color="auto" w:sz="4" w:space="0"/>
            </w:tcBorders>
            <w:noWrap/>
            <w:vAlign w:val="center"/>
          </w:tcPr>
          <w:p w14:paraId="1B8653EA">
            <w:pPr>
              <w:rPr>
                <w:rFonts w:ascii="宋体" w:hAnsi="宋体" w:cs="宋体"/>
                <w:szCs w:val="21"/>
                <w:highlight w:val="none"/>
              </w:rPr>
            </w:pPr>
            <w:r>
              <w:rPr>
                <w:rFonts w:hint="eastAsia" w:ascii="宋体" w:hAnsi="宋体" w:cs="宋体"/>
                <w:szCs w:val="21"/>
                <w:highlight w:val="none"/>
              </w:rPr>
              <w:t>南京市江宁区天元中路128号诚基名苑2幢618室</w:t>
            </w:r>
          </w:p>
        </w:tc>
      </w:tr>
      <w:tr w14:paraId="42232F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20" w:type="dxa"/>
            <w:tcBorders>
              <w:top w:val="single" w:color="auto" w:sz="4" w:space="0"/>
              <w:left w:val="single" w:color="auto" w:sz="4" w:space="0"/>
              <w:bottom w:val="single" w:color="auto" w:sz="4" w:space="0"/>
              <w:right w:val="single" w:color="auto" w:sz="4" w:space="0"/>
            </w:tcBorders>
            <w:noWrap/>
            <w:vAlign w:val="center"/>
          </w:tcPr>
          <w:p w14:paraId="2CAF985F">
            <w:pPr>
              <w:jc w:val="center"/>
              <w:rPr>
                <w:rFonts w:ascii="宋体" w:hAnsi="宋体" w:cs="宋体"/>
                <w:szCs w:val="21"/>
                <w:highlight w:val="none"/>
              </w:rPr>
            </w:pPr>
            <w:r>
              <w:rPr>
                <w:rFonts w:hint="eastAsia" w:ascii="宋体" w:hAnsi="宋体" w:cs="宋体"/>
                <w:szCs w:val="21"/>
                <w:highlight w:val="none"/>
              </w:rPr>
              <w:t>5</w:t>
            </w:r>
          </w:p>
        </w:tc>
        <w:tc>
          <w:tcPr>
            <w:tcW w:w="1980" w:type="dxa"/>
            <w:gridSpan w:val="2"/>
            <w:tcBorders>
              <w:top w:val="single" w:color="auto" w:sz="4" w:space="0"/>
              <w:left w:val="single" w:color="auto" w:sz="4" w:space="0"/>
              <w:bottom w:val="single" w:color="auto" w:sz="4" w:space="0"/>
              <w:right w:val="single" w:color="auto" w:sz="4" w:space="0"/>
            </w:tcBorders>
            <w:noWrap/>
            <w:vAlign w:val="center"/>
          </w:tcPr>
          <w:p w14:paraId="3E8CF87A">
            <w:pPr>
              <w:jc w:val="center"/>
              <w:rPr>
                <w:rFonts w:ascii="宋体" w:hAnsi="宋体" w:cs="宋体"/>
                <w:szCs w:val="21"/>
                <w:highlight w:val="none"/>
              </w:rPr>
            </w:pPr>
            <w:r>
              <w:rPr>
                <w:rFonts w:hint="eastAsia" w:ascii="宋体" w:hAnsi="宋体" w:cs="宋体"/>
                <w:szCs w:val="21"/>
                <w:highlight w:val="none"/>
              </w:rPr>
              <w:t>磋商文件获取方法</w:t>
            </w:r>
          </w:p>
        </w:tc>
        <w:tc>
          <w:tcPr>
            <w:tcW w:w="6150" w:type="dxa"/>
            <w:gridSpan w:val="2"/>
            <w:tcBorders>
              <w:top w:val="single" w:color="auto" w:sz="4" w:space="0"/>
              <w:left w:val="single" w:color="auto" w:sz="4" w:space="0"/>
              <w:bottom w:val="single" w:color="auto" w:sz="4" w:space="0"/>
              <w:right w:val="single" w:color="auto" w:sz="4" w:space="0"/>
            </w:tcBorders>
            <w:noWrap/>
            <w:vAlign w:val="center"/>
          </w:tcPr>
          <w:p w14:paraId="7FB40E5A">
            <w:pPr>
              <w:rPr>
                <w:rFonts w:hint="eastAsia" w:ascii="宋体" w:hAnsi="宋体" w:cs="宋体"/>
                <w:szCs w:val="21"/>
                <w:highlight w:val="none"/>
              </w:rPr>
            </w:pPr>
            <w:r>
              <w:rPr>
                <w:rFonts w:hint="eastAsia" w:ascii="宋体" w:hAnsi="宋体" w:cs="宋体"/>
                <w:szCs w:val="21"/>
                <w:highlight w:val="none"/>
              </w:rPr>
              <w:t>时间：</w:t>
            </w:r>
            <w:r>
              <w:rPr>
                <w:rFonts w:hint="eastAsia" w:ascii="宋体" w:hAnsi="宋体" w:cs="宋体"/>
                <w:szCs w:val="21"/>
              </w:rPr>
              <w:t>自本公告发布之日5个工作日</w:t>
            </w:r>
          </w:p>
          <w:p w14:paraId="7CAE3399">
            <w:pPr>
              <w:rPr>
                <w:rFonts w:hint="default" w:ascii="宋体" w:hAnsi="宋体" w:cs="宋体"/>
                <w:szCs w:val="21"/>
                <w:highlight w:val="none"/>
                <w:lang w:val="en-US" w:eastAsia="zh-CN"/>
              </w:rPr>
            </w:pPr>
            <w:r>
              <w:rPr>
                <w:rFonts w:hint="eastAsia" w:ascii="宋体" w:hAnsi="宋体" w:cs="宋体"/>
                <w:szCs w:val="21"/>
                <w:highlight w:val="none"/>
              </w:rPr>
              <w:t>地点：</w:t>
            </w:r>
            <w:r>
              <w:rPr>
                <w:rFonts w:hint="eastAsia" w:ascii="宋体" w:hAnsi="宋体" w:cs="宋体"/>
                <w:szCs w:val="21"/>
                <w:highlight w:val="none"/>
                <w:lang w:val="en-US" w:eastAsia="zh-CN"/>
              </w:rPr>
              <w:t>江苏政府采购网“苏采云”系统</w:t>
            </w:r>
          </w:p>
          <w:p w14:paraId="27E5F6BD">
            <w:pPr>
              <w:rPr>
                <w:rFonts w:hint="eastAsia" w:ascii="宋体" w:hAnsi="宋体" w:cs="宋体"/>
                <w:szCs w:val="21"/>
                <w:highlight w:val="none"/>
              </w:rPr>
            </w:pPr>
            <w:r>
              <w:rPr>
                <w:rFonts w:hint="eastAsia" w:ascii="宋体" w:hAnsi="宋体" w:cs="宋体"/>
                <w:szCs w:val="21"/>
                <w:highlight w:val="none"/>
              </w:rPr>
              <w:t>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p>
          <w:p w14:paraId="0171B4DE">
            <w:pPr>
              <w:rPr>
                <w:rFonts w:hint="eastAsia" w:ascii="宋体" w:hAnsi="宋体" w:cs="宋体"/>
                <w:szCs w:val="21"/>
                <w:highlight w:val="none"/>
              </w:rPr>
            </w:pPr>
            <w:r>
              <w:rPr>
                <w:rFonts w:hint="eastAsia" w:ascii="宋体" w:hAnsi="宋体" w:cs="宋体"/>
                <w:szCs w:val="21"/>
                <w:highlight w:val="none"/>
              </w:rPr>
              <w:t>售价：0.00元</w:t>
            </w:r>
          </w:p>
        </w:tc>
      </w:tr>
      <w:tr w14:paraId="64A3F1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20" w:type="dxa"/>
            <w:tcBorders>
              <w:top w:val="single" w:color="auto" w:sz="4" w:space="0"/>
              <w:left w:val="single" w:color="auto" w:sz="4" w:space="0"/>
              <w:bottom w:val="single" w:color="auto" w:sz="4" w:space="0"/>
              <w:right w:val="single" w:color="auto" w:sz="4" w:space="0"/>
            </w:tcBorders>
            <w:noWrap/>
            <w:vAlign w:val="center"/>
          </w:tcPr>
          <w:p w14:paraId="6097F0CC">
            <w:pPr>
              <w:jc w:val="center"/>
              <w:rPr>
                <w:rFonts w:ascii="宋体" w:hAnsi="宋体" w:cs="宋体"/>
                <w:szCs w:val="21"/>
                <w:highlight w:val="none"/>
              </w:rPr>
            </w:pPr>
            <w:r>
              <w:rPr>
                <w:rFonts w:hint="eastAsia" w:ascii="宋体" w:hAnsi="宋体" w:cs="宋体"/>
                <w:szCs w:val="21"/>
                <w:highlight w:val="none"/>
              </w:rPr>
              <w:t>6</w:t>
            </w:r>
          </w:p>
        </w:tc>
        <w:tc>
          <w:tcPr>
            <w:tcW w:w="1980" w:type="dxa"/>
            <w:gridSpan w:val="2"/>
            <w:tcBorders>
              <w:top w:val="single" w:color="auto" w:sz="4" w:space="0"/>
              <w:left w:val="single" w:color="auto" w:sz="4" w:space="0"/>
              <w:bottom w:val="single" w:color="auto" w:sz="4" w:space="0"/>
              <w:right w:val="single" w:color="auto" w:sz="4" w:space="0"/>
            </w:tcBorders>
            <w:noWrap/>
            <w:vAlign w:val="center"/>
          </w:tcPr>
          <w:p w14:paraId="375BC8AF">
            <w:pPr>
              <w:jc w:val="center"/>
              <w:rPr>
                <w:rFonts w:ascii="宋体" w:hAnsi="宋体" w:cs="宋体"/>
                <w:szCs w:val="21"/>
                <w:highlight w:val="none"/>
              </w:rPr>
            </w:pPr>
            <w:r>
              <w:rPr>
                <w:rFonts w:hint="eastAsia" w:ascii="宋体" w:hAnsi="宋体" w:cs="宋体"/>
                <w:szCs w:val="21"/>
                <w:highlight w:val="none"/>
              </w:rPr>
              <w:t>最高限价</w:t>
            </w:r>
          </w:p>
        </w:tc>
        <w:tc>
          <w:tcPr>
            <w:tcW w:w="6150" w:type="dxa"/>
            <w:gridSpan w:val="2"/>
            <w:tcBorders>
              <w:top w:val="single" w:color="auto" w:sz="4" w:space="0"/>
              <w:left w:val="single" w:color="auto" w:sz="4" w:space="0"/>
              <w:bottom w:val="single" w:color="auto" w:sz="4" w:space="0"/>
              <w:right w:val="single" w:color="auto" w:sz="4" w:space="0"/>
            </w:tcBorders>
            <w:noWrap/>
            <w:vAlign w:val="center"/>
          </w:tcPr>
          <w:p w14:paraId="17D04EBE">
            <w:pPr>
              <w:rPr>
                <w:rFonts w:hint="eastAsia" w:ascii="宋体" w:hAnsi="宋体" w:eastAsia="宋体" w:cs="宋体"/>
                <w:szCs w:val="21"/>
                <w:highlight w:val="none"/>
                <w:lang w:eastAsia="zh-CN"/>
              </w:rPr>
            </w:pPr>
            <w:r>
              <w:rPr>
                <w:rFonts w:hint="eastAsia" w:ascii="宋体" w:hAnsi="宋体" w:cs="宋体"/>
                <w:szCs w:val="21"/>
                <w:highlight w:val="none"/>
              </w:rPr>
              <w:t>最</w:t>
            </w:r>
            <w:r>
              <w:rPr>
                <w:rFonts w:hint="eastAsia" w:ascii="宋体" w:hAnsi="宋体" w:cs="宋体"/>
                <w:szCs w:val="21"/>
                <w:highlight w:val="none"/>
                <w:shd w:val="clear"/>
              </w:rPr>
              <w:t>高限价：</w:t>
            </w:r>
            <w:r>
              <w:rPr>
                <w:rFonts w:hint="eastAsia" w:ascii="宋体" w:hAnsi="宋体" w:cs="宋体"/>
                <w:szCs w:val="21"/>
                <w:highlight w:val="none"/>
                <w:shd w:val="clear"/>
                <w:lang w:val="en-US" w:eastAsia="zh-CN"/>
              </w:rPr>
              <w:t>100.5429</w:t>
            </w:r>
            <w:r>
              <w:rPr>
                <w:rFonts w:hint="eastAsia" w:ascii="宋体" w:hAnsi="宋体" w:cs="宋体"/>
                <w:szCs w:val="21"/>
                <w:highlight w:val="none"/>
                <w:shd w:val="clear"/>
              </w:rPr>
              <w:t>万元</w:t>
            </w:r>
            <w:r>
              <w:rPr>
                <w:rFonts w:hint="eastAsia" w:ascii="宋体" w:hAnsi="宋体" w:cs="宋体"/>
                <w:szCs w:val="21"/>
                <w:highlight w:val="none"/>
                <w:shd w:val="clear"/>
                <w:lang w:eastAsia="zh-CN"/>
              </w:rPr>
              <w:t>，</w:t>
            </w:r>
            <w:r>
              <w:rPr>
                <w:rFonts w:hint="eastAsia" w:ascii="宋体" w:hAnsi="宋体" w:cs="宋体"/>
                <w:szCs w:val="21"/>
                <w:highlight w:val="none"/>
                <w:shd w:val="clear"/>
                <w:lang w:val="en-US" w:eastAsia="zh-CN"/>
              </w:rPr>
              <w:t>其中包一:55.2919万元，</w:t>
            </w:r>
            <w:r>
              <w:rPr>
                <w:rFonts w:hint="eastAsia" w:ascii="宋体" w:hAnsi="宋体" w:cs="宋体"/>
                <w:szCs w:val="21"/>
                <w:highlight w:val="none"/>
                <w:lang w:val="en-US" w:eastAsia="zh-CN"/>
              </w:rPr>
              <w:t>包二45.251万元</w:t>
            </w:r>
            <w:r>
              <w:rPr>
                <w:rFonts w:hint="eastAsia" w:ascii="宋体" w:hAnsi="宋体" w:cs="宋体"/>
                <w:szCs w:val="21"/>
                <w:highlight w:val="none"/>
              </w:rPr>
              <w:t>（供应商报价超过最高限价的作无效标处理）</w:t>
            </w:r>
            <w:r>
              <w:rPr>
                <w:rFonts w:hint="eastAsia" w:ascii="宋体" w:hAnsi="宋体" w:cs="宋体"/>
                <w:szCs w:val="21"/>
                <w:highlight w:val="none"/>
                <w:lang w:eastAsia="zh-CN"/>
              </w:rPr>
              <w:t>。</w:t>
            </w:r>
          </w:p>
        </w:tc>
      </w:tr>
      <w:tr w14:paraId="20172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20" w:type="dxa"/>
            <w:tcBorders>
              <w:top w:val="single" w:color="auto" w:sz="4" w:space="0"/>
              <w:left w:val="single" w:color="auto" w:sz="4" w:space="0"/>
              <w:bottom w:val="single" w:color="auto" w:sz="4" w:space="0"/>
              <w:right w:val="single" w:color="auto" w:sz="4" w:space="0"/>
            </w:tcBorders>
            <w:noWrap/>
            <w:vAlign w:val="center"/>
          </w:tcPr>
          <w:p w14:paraId="74D48479">
            <w:pPr>
              <w:jc w:val="center"/>
              <w:rPr>
                <w:rFonts w:ascii="宋体" w:hAnsi="宋体" w:cs="宋体"/>
                <w:szCs w:val="21"/>
                <w:highlight w:val="none"/>
              </w:rPr>
            </w:pPr>
            <w:r>
              <w:rPr>
                <w:rFonts w:hint="eastAsia" w:ascii="宋体" w:hAnsi="宋体" w:cs="宋体"/>
                <w:szCs w:val="21"/>
                <w:highlight w:val="none"/>
              </w:rPr>
              <w:t>7</w:t>
            </w:r>
          </w:p>
        </w:tc>
        <w:tc>
          <w:tcPr>
            <w:tcW w:w="1980" w:type="dxa"/>
            <w:gridSpan w:val="2"/>
            <w:tcBorders>
              <w:top w:val="single" w:color="auto" w:sz="4" w:space="0"/>
              <w:left w:val="single" w:color="auto" w:sz="4" w:space="0"/>
              <w:bottom w:val="single" w:color="auto" w:sz="4" w:space="0"/>
              <w:right w:val="single" w:color="auto" w:sz="4" w:space="0"/>
            </w:tcBorders>
            <w:noWrap/>
            <w:vAlign w:val="center"/>
          </w:tcPr>
          <w:p w14:paraId="63B70D32">
            <w:pPr>
              <w:jc w:val="center"/>
              <w:rPr>
                <w:rFonts w:ascii="宋体" w:hAnsi="宋体" w:cs="宋体"/>
                <w:szCs w:val="21"/>
                <w:highlight w:val="none"/>
              </w:rPr>
            </w:pPr>
            <w:r>
              <w:rPr>
                <w:rFonts w:hint="eastAsia" w:ascii="宋体" w:hAnsi="宋体" w:cs="宋体"/>
                <w:szCs w:val="21"/>
                <w:highlight w:val="none"/>
              </w:rPr>
              <w:t>服务期限</w:t>
            </w:r>
          </w:p>
        </w:tc>
        <w:tc>
          <w:tcPr>
            <w:tcW w:w="6150" w:type="dxa"/>
            <w:gridSpan w:val="2"/>
            <w:tcBorders>
              <w:top w:val="single" w:color="auto" w:sz="4" w:space="0"/>
              <w:left w:val="single" w:color="auto" w:sz="4" w:space="0"/>
              <w:bottom w:val="single" w:color="auto" w:sz="4" w:space="0"/>
              <w:right w:val="single" w:color="auto" w:sz="4" w:space="0"/>
            </w:tcBorders>
            <w:noWrap/>
            <w:vAlign w:val="center"/>
          </w:tcPr>
          <w:p w14:paraId="6F3D953F">
            <w:pPr>
              <w:pStyle w:val="16"/>
              <w:spacing w:after="0"/>
              <w:jc w:val="left"/>
              <w:rPr>
                <w:rFonts w:hint="default" w:ascii="宋体" w:hAnsi="宋体" w:eastAsia="宋体" w:cs="宋体"/>
                <w:szCs w:val="21"/>
                <w:highlight w:val="none"/>
                <w:lang w:val="en-US" w:eastAsia="zh-CN"/>
              </w:rPr>
            </w:pPr>
            <w:r>
              <w:rPr>
                <w:rFonts w:hint="eastAsia" w:ascii="宋体" w:hAnsi="宋体" w:cs="宋体"/>
                <w:highlight w:val="none"/>
                <w:lang w:val="en-US" w:eastAsia="zh-CN"/>
              </w:rPr>
              <w:t>1年。</w:t>
            </w:r>
          </w:p>
        </w:tc>
      </w:tr>
      <w:tr w14:paraId="3A0D2D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720" w:type="dxa"/>
            <w:tcBorders>
              <w:top w:val="single" w:color="auto" w:sz="4" w:space="0"/>
              <w:left w:val="single" w:color="auto" w:sz="4" w:space="0"/>
              <w:bottom w:val="single" w:color="auto" w:sz="4" w:space="0"/>
              <w:right w:val="single" w:color="auto" w:sz="4" w:space="0"/>
            </w:tcBorders>
            <w:noWrap/>
            <w:vAlign w:val="center"/>
          </w:tcPr>
          <w:p w14:paraId="7DEB752F">
            <w:pPr>
              <w:jc w:val="center"/>
              <w:rPr>
                <w:rFonts w:ascii="宋体" w:hAnsi="宋体" w:cs="宋体"/>
                <w:szCs w:val="21"/>
                <w:highlight w:val="none"/>
              </w:rPr>
            </w:pPr>
            <w:r>
              <w:rPr>
                <w:rFonts w:hint="eastAsia" w:ascii="宋体" w:hAnsi="宋体" w:cs="宋体"/>
                <w:szCs w:val="21"/>
                <w:highlight w:val="none"/>
              </w:rPr>
              <w:t>8</w:t>
            </w:r>
          </w:p>
        </w:tc>
        <w:tc>
          <w:tcPr>
            <w:tcW w:w="1980" w:type="dxa"/>
            <w:gridSpan w:val="2"/>
            <w:tcBorders>
              <w:top w:val="single" w:color="auto" w:sz="4" w:space="0"/>
              <w:left w:val="single" w:color="auto" w:sz="4" w:space="0"/>
              <w:bottom w:val="single" w:color="auto" w:sz="4" w:space="0"/>
              <w:right w:val="single" w:color="auto" w:sz="4" w:space="0"/>
            </w:tcBorders>
            <w:noWrap/>
            <w:vAlign w:val="center"/>
          </w:tcPr>
          <w:p w14:paraId="4C436296">
            <w:pPr>
              <w:jc w:val="center"/>
              <w:rPr>
                <w:rFonts w:ascii="宋体" w:hAnsi="宋体" w:cs="宋体"/>
                <w:szCs w:val="21"/>
                <w:highlight w:val="none"/>
              </w:rPr>
            </w:pPr>
            <w:r>
              <w:rPr>
                <w:rFonts w:hint="eastAsia" w:ascii="宋体" w:hAnsi="宋体" w:cs="宋体"/>
                <w:szCs w:val="21"/>
                <w:highlight w:val="none"/>
              </w:rPr>
              <w:t>磋商有效期</w:t>
            </w:r>
          </w:p>
        </w:tc>
        <w:tc>
          <w:tcPr>
            <w:tcW w:w="6150" w:type="dxa"/>
            <w:gridSpan w:val="2"/>
            <w:tcBorders>
              <w:top w:val="single" w:color="auto" w:sz="4" w:space="0"/>
              <w:left w:val="single" w:color="auto" w:sz="4" w:space="0"/>
              <w:bottom w:val="single" w:color="auto" w:sz="4" w:space="0"/>
              <w:right w:val="single" w:color="auto" w:sz="4" w:space="0"/>
            </w:tcBorders>
            <w:noWrap/>
            <w:vAlign w:val="center"/>
          </w:tcPr>
          <w:p w14:paraId="2517EF68">
            <w:pPr>
              <w:jc w:val="left"/>
              <w:rPr>
                <w:rFonts w:ascii="宋体" w:hAnsi="宋体" w:cs="宋体"/>
                <w:szCs w:val="21"/>
                <w:highlight w:val="none"/>
              </w:rPr>
            </w:pPr>
            <w:r>
              <w:rPr>
                <w:rFonts w:hint="eastAsia" w:ascii="宋体" w:hAnsi="宋体" w:cs="宋体"/>
                <w:szCs w:val="21"/>
                <w:highlight w:val="none"/>
                <w:lang w:val="zh-CN"/>
              </w:rPr>
              <w:t>磋商之日起</w:t>
            </w:r>
            <w:r>
              <w:rPr>
                <w:rFonts w:hint="eastAsia" w:ascii="宋体" w:hAnsi="宋体" w:cs="宋体"/>
                <w:szCs w:val="21"/>
                <w:highlight w:val="none"/>
              </w:rPr>
              <w:t>9</w:t>
            </w:r>
            <w:r>
              <w:rPr>
                <w:rFonts w:hint="eastAsia" w:ascii="宋体" w:hAnsi="宋体" w:cs="宋体"/>
                <w:szCs w:val="21"/>
                <w:highlight w:val="none"/>
                <w:lang w:val="zh-CN"/>
              </w:rPr>
              <w:t>0天</w:t>
            </w:r>
          </w:p>
        </w:tc>
      </w:tr>
      <w:tr w14:paraId="48A7E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20" w:type="dxa"/>
            <w:vMerge w:val="restart"/>
            <w:tcBorders>
              <w:top w:val="single" w:color="auto" w:sz="4" w:space="0"/>
              <w:left w:val="single" w:color="auto" w:sz="4" w:space="0"/>
              <w:bottom w:val="single" w:color="auto" w:sz="4" w:space="0"/>
              <w:right w:val="single" w:color="auto" w:sz="4" w:space="0"/>
            </w:tcBorders>
            <w:noWrap/>
            <w:vAlign w:val="center"/>
          </w:tcPr>
          <w:p w14:paraId="48EFDD16">
            <w:pPr>
              <w:jc w:val="center"/>
              <w:rPr>
                <w:rFonts w:ascii="宋体" w:hAnsi="宋体" w:cs="宋体"/>
                <w:szCs w:val="21"/>
                <w:highlight w:val="none"/>
              </w:rPr>
            </w:pPr>
            <w:r>
              <w:rPr>
                <w:rFonts w:hint="eastAsia" w:ascii="宋体" w:hAnsi="宋体" w:cs="宋体"/>
                <w:szCs w:val="21"/>
                <w:highlight w:val="none"/>
              </w:rPr>
              <w:t>9</w:t>
            </w:r>
          </w:p>
        </w:tc>
        <w:tc>
          <w:tcPr>
            <w:tcW w:w="900" w:type="dxa"/>
            <w:vMerge w:val="restart"/>
            <w:tcBorders>
              <w:top w:val="single" w:color="auto" w:sz="4" w:space="0"/>
              <w:left w:val="single" w:color="auto" w:sz="4" w:space="0"/>
              <w:bottom w:val="single" w:color="auto" w:sz="4" w:space="0"/>
              <w:right w:val="single" w:color="auto" w:sz="4" w:space="0"/>
            </w:tcBorders>
            <w:noWrap/>
            <w:vAlign w:val="center"/>
          </w:tcPr>
          <w:p w14:paraId="2750FEAC">
            <w:pPr>
              <w:jc w:val="center"/>
              <w:rPr>
                <w:rFonts w:ascii="宋体" w:hAnsi="宋体" w:cs="宋体"/>
                <w:szCs w:val="21"/>
                <w:highlight w:val="none"/>
              </w:rPr>
            </w:pPr>
            <w:r>
              <w:rPr>
                <w:rFonts w:hint="eastAsia" w:ascii="宋体" w:hAnsi="宋体" w:cs="宋体"/>
                <w:szCs w:val="21"/>
                <w:highlight w:val="none"/>
              </w:rPr>
              <w:t>磋商</w:t>
            </w:r>
          </w:p>
          <w:p w14:paraId="735C0335">
            <w:pPr>
              <w:jc w:val="center"/>
              <w:rPr>
                <w:rFonts w:ascii="宋体" w:hAnsi="宋体" w:cs="宋体"/>
                <w:szCs w:val="21"/>
                <w:highlight w:val="none"/>
              </w:rPr>
            </w:pPr>
            <w:r>
              <w:rPr>
                <w:rFonts w:hint="eastAsia" w:ascii="宋体" w:hAnsi="宋体" w:cs="宋体"/>
                <w:szCs w:val="21"/>
                <w:highlight w:val="none"/>
              </w:rPr>
              <w:t>报名</w:t>
            </w:r>
          </w:p>
        </w:tc>
        <w:tc>
          <w:tcPr>
            <w:tcW w:w="1080" w:type="dxa"/>
            <w:tcBorders>
              <w:top w:val="single" w:color="auto" w:sz="4" w:space="0"/>
              <w:left w:val="single" w:color="auto" w:sz="4" w:space="0"/>
              <w:bottom w:val="single" w:color="auto" w:sz="4" w:space="0"/>
              <w:right w:val="single" w:color="auto" w:sz="4" w:space="0"/>
            </w:tcBorders>
            <w:noWrap/>
            <w:vAlign w:val="center"/>
          </w:tcPr>
          <w:p w14:paraId="18566E5F">
            <w:pPr>
              <w:jc w:val="center"/>
              <w:rPr>
                <w:rFonts w:ascii="宋体" w:hAnsi="宋体" w:cs="宋体"/>
                <w:szCs w:val="21"/>
                <w:highlight w:val="none"/>
              </w:rPr>
            </w:pPr>
            <w:r>
              <w:rPr>
                <w:rFonts w:hint="eastAsia" w:ascii="宋体" w:hAnsi="宋体" w:cs="宋体"/>
                <w:szCs w:val="21"/>
                <w:highlight w:val="none"/>
              </w:rPr>
              <w:t>时间</w:t>
            </w:r>
          </w:p>
        </w:tc>
        <w:tc>
          <w:tcPr>
            <w:tcW w:w="6150" w:type="dxa"/>
            <w:gridSpan w:val="2"/>
            <w:tcBorders>
              <w:top w:val="single" w:color="auto" w:sz="4" w:space="0"/>
              <w:left w:val="single" w:color="auto" w:sz="4" w:space="0"/>
              <w:bottom w:val="single" w:color="auto" w:sz="4" w:space="0"/>
              <w:right w:val="single" w:color="auto" w:sz="4" w:space="0"/>
            </w:tcBorders>
            <w:noWrap/>
            <w:vAlign w:val="center"/>
          </w:tcPr>
          <w:p w14:paraId="3E8548AF">
            <w:pPr>
              <w:rPr>
                <w:rFonts w:ascii="宋体" w:hAnsi="宋体" w:cs="宋体"/>
                <w:szCs w:val="21"/>
                <w:highlight w:val="none"/>
              </w:rPr>
            </w:pPr>
            <w:r>
              <w:rPr>
                <w:rFonts w:hint="eastAsia" w:ascii="宋体" w:hAnsi="宋体" w:cs="宋体"/>
                <w:szCs w:val="21"/>
              </w:rPr>
              <w:t>自本公告发布之日5个工作日</w:t>
            </w:r>
          </w:p>
        </w:tc>
      </w:tr>
      <w:tr w14:paraId="20CE67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20" w:type="dxa"/>
            <w:vMerge w:val="continue"/>
            <w:tcBorders>
              <w:top w:val="single" w:color="auto" w:sz="4" w:space="0"/>
              <w:left w:val="single" w:color="auto" w:sz="4" w:space="0"/>
              <w:bottom w:val="single" w:color="auto" w:sz="4" w:space="0"/>
              <w:right w:val="single" w:color="auto" w:sz="4" w:space="0"/>
            </w:tcBorders>
            <w:noWrap/>
            <w:vAlign w:val="center"/>
          </w:tcPr>
          <w:p w14:paraId="515280CA">
            <w:pPr>
              <w:widowControl/>
              <w:jc w:val="left"/>
              <w:rPr>
                <w:rFonts w:ascii="宋体" w:hAnsi="宋体" w:cs="宋体"/>
                <w:szCs w:val="21"/>
                <w:highlight w:val="none"/>
              </w:rPr>
            </w:pPr>
          </w:p>
        </w:tc>
        <w:tc>
          <w:tcPr>
            <w:tcW w:w="900" w:type="dxa"/>
            <w:vMerge w:val="continue"/>
            <w:tcBorders>
              <w:top w:val="single" w:color="auto" w:sz="4" w:space="0"/>
              <w:left w:val="single" w:color="auto" w:sz="4" w:space="0"/>
              <w:bottom w:val="single" w:color="auto" w:sz="4" w:space="0"/>
              <w:right w:val="single" w:color="auto" w:sz="4" w:space="0"/>
            </w:tcBorders>
            <w:noWrap/>
            <w:vAlign w:val="center"/>
          </w:tcPr>
          <w:p w14:paraId="3CAF13AB">
            <w:pPr>
              <w:widowControl/>
              <w:jc w:val="left"/>
              <w:rPr>
                <w:rFonts w:ascii="宋体" w:hAnsi="宋体" w:cs="宋体"/>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ign w:val="center"/>
          </w:tcPr>
          <w:p w14:paraId="796BB29B">
            <w:pPr>
              <w:jc w:val="center"/>
              <w:rPr>
                <w:rFonts w:ascii="宋体" w:hAnsi="宋体" w:cs="宋体"/>
                <w:szCs w:val="21"/>
                <w:highlight w:val="none"/>
              </w:rPr>
            </w:pPr>
            <w:r>
              <w:rPr>
                <w:rFonts w:hint="eastAsia" w:ascii="宋体" w:hAnsi="宋体" w:cs="宋体"/>
                <w:szCs w:val="21"/>
                <w:highlight w:val="none"/>
              </w:rPr>
              <w:t>地点</w:t>
            </w:r>
          </w:p>
        </w:tc>
        <w:tc>
          <w:tcPr>
            <w:tcW w:w="6150" w:type="dxa"/>
            <w:gridSpan w:val="2"/>
            <w:tcBorders>
              <w:top w:val="single" w:color="auto" w:sz="4" w:space="0"/>
              <w:left w:val="single" w:color="auto" w:sz="4" w:space="0"/>
              <w:bottom w:val="single" w:color="auto" w:sz="4" w:space="0"/>
              <w:right w:val="single" w:color="auto" w:sz="4" w:space="0"/>
            </w:tcBorders>
            <w:noWrap/>
            <w:vAlign w:val="center"/>
          </w:tcPr>
          <w:p w14:paraId="29ABAB3D">
            <w:pPr>
              <w:jc w:val="left"/>
              <w:rPr>
                <w:rFonts w:ascii="宋体" w:hAnsi="宋体" w:cs="宋体"/>
                <w:szCs w:val="21"/>
                <w:highlight w:val="none"/>
              </w:rPr>
            </w:pPr>
            <w:r>
              <w:rPr>
                <w:rFonts w:hint="eastAsia" w:ascii="宋体" w:hAnsi="宋体" w:cs="宋体"/>
                <w:szCs w:val="21"/>
                <w:highlight w:val="none"/>
                <w:lang w:val="en-US" w:eastAsia="zh-CN"/>
              </w:rPr>
              <w:t>江苏政府采购网“苏采云”系统</w:t>
            </w:r>
          </w:p>
        </w:tc>
      </w:tr>
      <w:tr w14:paraId="4D2DB2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20" w:type="dxa"/>
            <w:vMerge w:val="continue"/>
            <w:tcBorders>
              <w:top w:val="single" w:color="auto" w:sz="4" w:space="0"/>
              <w:left w:val="single" w:color="auto" w:sz="4" w:space="0"/>
              <w:bottom w:val="single" w:color="auto" w:sz="4" w:space="0"/>
              <w:right w:val="single" w:color="auto" w:sz="4" w:space="0"/>
            </w:tcBorders>
            <w:noWrap/>
            <w:vAlign w:val="center"/>
          </w:tcPr>
          <w:p w14:paraId="4D8D9967">
            <w:pPr>
              <w:widowControl/>
              <w:jc w:val="left"/>
              <w:rPr>
                <w:rFonts w:ascii="宋体" w:hAnsi="宋体" w:cs="宋体"/>
                <w:szCs w:val="21"/>
                <w:highlight w:val="none"/>
              </w:rPr>
            </w:pPr>
          </w:p>
        </w:tc>
        <w:tc>
          <w:tcPr>
            <w:tcW w:w="900" w:type="dxa"/>
            <w:vMerge w:val="continue"/>
            <w:tcBorders>
              <w:top w:val="single" w:color="auto" w:sz="4" w:space="0"/>
              <w:left w:val="single" w:color="auto" w:sz="4" w:space="0"/>
              <w:bottom w:val="single" w:color="auto" w:sz="4" w:space="0"/>
              <w:right w:val="single" w:color="auto" w:sz="4" w:space="0"/>
            </w:tcBorders>
            <w:noWrap/>
            <w:vAlign w:val="center"/>
          </w:tcPr>
          <w:p w14:paraId="02A306F3">
            <w:pPr>
              <w:widowControl/>
              <w:jc w:val="left"/>
              <w:rPr>
                <w:rFonts w:ascii="宋体" w:hAnsi="宋体" w:cs="宋体"/>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ign w:val="center"/>
          </w:tcPr>
          <w:p w14:paraId="1530A5F8">
            <w:pPr>
              <w:jc w:val="center"/>
              <w:rPr>
                <w:rFonts w:hint="eastAsia" w:ascii="宋体" w:hAnsi="宋体" w:eastAsia="宋体" w:cs="宋体"/>
                <w:szCs w:val="21"/>
                <w:highlight w:val="none"/>
                <w:lang w:eastAsia="zh-CN"/>
              </w:rPr>
            </w:pPr>
            <w:r>
              <w:rPr>
                <w:rFonts w:hint="eastAsia" w:ascii="宋体" w:hAnsi="宋体" w:cs="宋体"/>
                <w:szCs w:val="21"/>
                <w:highlight w:val="none"/>
                <w:lang w:val="en-US" w:eastAsia="zh-CN"/>
              </w:rPr>
              <w:t>方式</w:t>
            </w:r>
          </w:p>
        </w:tc>
        <w:tc>
          <w:tcPr>
            <w:tcW w:w="6150" w:type="dxa"/>
            <w:gridSpan w:val="2"/>
            <w:tcBorders>
              <w:top w:val="single" w:color="auto" w:sz="4" w:space="0"/>
              <w:left w:val="single" w:color="auto" w:sz="4" w:space="0"/>
              <w:bottom w:val="single" w:color="auto" w:sz="4" w:space="0"/>
              <w:right w:val="single" w:color="auto" w:sz="4" w:space="0"/>
            </w:tcBorders>
            <w:noWrap/>
            <w:vAlign w:val="center"/>
          </w:tcPr>
          <w:p w14:paraId="31C80CCA">
            <w:pPr>
              <w:rPr>
                <w:rFonts w:ascii="宋体" w:hAnsi="宋体" w:cs="宋体"/>
                <w:szCs w:val="21"/>
                <w:highlight w:val="none"/>
              </w:rPr>
            </w:pPr>
            <w:r>
              <w:rPr>
                <w:rFonts w:hint="eastAsia" w:ascii="宋体" w:hAnsi="宋体" w:cs="宋体"/>
                <w:szCs w:val="21"/>
                <w:highlight w:val="none"/>
              </w:rPr>
              <w:t>供应商登陆“江苏政府采购网”，在网站首页点击“苏采云”→使用CA锁登录系统(新用户需进行“平台用户注册”)→“项目参与”进行登记，在“可参与项目”中选择“我要参与”，参与成功后到“已参与项目”界面中找到该项目下载文件并进行操作。</w:t>
            </w:r>
          </w:p>
        </w:tc>
      </w:tr>
      <w:tr w14:paraId="2D745A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20" w:type="dxa"/>
            <w:vMerge w:val="restart"/>
            <w:tcBorders>
              <w:top w:val="single" w:color="auto" w:sz="4" w:space="0"/>
              <w:left w:val="single" w:color="auto" w:sz="4" w:space="0"/>
              <w:right w:val="single" w:color="auto" w:sz="4" w:space="0"/>
            </w:tcBorders>
            <w:noWrap/>
            <w:vAlign w:val="center"/>
          </w:tcPr>
          <w:p w14:paraId="17524FFE">
            <w:pPr>
              <w:jc w:val="center"/>
              <w:rPr>
                <w:rFonts w:ascii="宋体" w:hAnsi="宋体" w:cs="宋体"/>
                <w:szCs w:val="21"/>
                <w:highlight w:val="none"/>
              </w:rPr>
            </w:pPr>
            <w:r>
              <w:rPr>
                <w:rFonts w:hint="eastAsia" w:ascii="宋体" w:hAnsi="宋体" w:cs="宋体"/>
                <w:szCs w:val="21"/>
                <w:highlight w:val="none"/>
              </w:rPr>
              <w:t>10</w:t>
            </w:r>
          </w:p>
        </w:tc>
        <w:tc>
          <w:tcPr>
            <w:tcW w:w="900" w:type="dxa"/>
            <w:vMerge w:val="restart"/>
            <w:tcBorders>
              <w:top w:val="single" w:color="auto" w:sz="4" w:space="0"/>
              <w:left w:val="single" w:color="auto" w:sz="4" w:space="0"/>
              <w:right w:val="single" w:color="auto" w:sz="4" w:space="0"/>
            </w:tcBorders>
            <w:noWrap/>
            <w:vAlign w:val="center"/>
          </w:tcPr>
          <w:p w14:paraId="156DB219">
            <w:pPr>
              <w:jc w:val="center"/>
              <w:rPr>
                <w:rFonts w:ascii="宋体" w:hAnsi="宋体" w:cs="宋体"/>
                <w:szCs w:val="21"/>
                <w:highlight w:val="none"/>
              </w:rPr>
            </w:pPr>
            <w:r>
              <w:rPr>
                <w:rFonts w:hint="eastAsia" w:ascii="宋体" w:hAnsi="宋体" w:cs="宋体"/>
                <w:szCs w:val="21"/>
                <w:highlight w:val="none"/>
              </w:rPr>
              <w:t>响应性文件递交信息</w:t>
            </w:r>
          </w:p>
        </w:tc>
        <w:tc>
          <w:tcPr>
            <w:tcW w:w="1080" w:type="dxa"/>
            <w:tcBorders>
              <w:top w:val="single" w:color="auto" w:sz="4" w:space="0"/>
              <w:left w:val="single" w:color="auto" w:sz="4" w:space="0"/>
              <w:bottom w:val="single" w:color="auto" w:sz="4" w:space="0"/>
              <w:right w:val="single" w:color="auto" w:sz="4" w:space="0"/>
            </w:tcBorders>
            <w:noWrap/>
            <w:vAlign w:val="center"/>
          </w:tcPr>
          <w:p w14:paraId="6B38C4AF">
            <w:pPr>
              <w:jc w:val="center"/>
              <w:rPr>
                <w:rFonts w:ascii="宋体" w:hAnsi="宋体" w:cs="宋体"/>
                <w:szCs w:val="21"/>
                <w:highlight w:val="none"/>
              </w:rPr>
            </w:pPr>
            <w:r>
              <w:rPr>
                <w:rFonts w:hint="eastAsia" w:ascii="宋体" w:hAnsi="宋体" w:cs="宋体"/>
                <w:szCs w:val="21"/>
                <w:highlight w:val="none"/>
                <w:lang w:val="en-US" w:eastAsia="zh-CN"/>
              </w:rPr>
              <w:t>截止</w:t>
            </w:r>
            <w:r>
              <w:rPr>
                <w:rFonts w:hint="eastAsia" w:ascii="宋体" w:hAnsi="宋体" w:cs="宋体"/>
                <w:szCs w:val="21"/>
                <w:highlight w:val="none"/>
              </w:rPr>
              <w:t>时间</w:t>
            </w:r>
          </w:p>
        </w:tc>
        <w:tc>
          <w:tcPr>
            <w:tcW w:w="6150" w:type="dxa"/>
            <w:gridSpan w:val="2"/>
            <w:tcBorders>
              <w:top w:val="single" w:color="auto" w:sz="4" w:space="0"/>
              <w:left w:val="single" w:color="auto" w:sz="4" w:space="0"/>
              <w:bottom w:val="single" w:color="auto" w:sz="4" w:space="0"/>
              <w:right w:val="single" w:color="auto" w:sz="4" w:space="0"/>
            </w:tcBorders>
            <w:noWrap/>
            <w:vAlign w:val="center"/>
          </w:tcPr>
          <w:p w14:paraId="791577F1">
            <w:pPr>
              <w:rPr>
                <w:rFonts w:hint="eastAsia" w:ascii="宋体" w:hAnsi="宋体" w:eastAsia="宋体" w:cs="宋体"/>
                <w:szCs w:val="21"/>
                <w:highlight w:val="none"/>
                <w:lang w:eastAsia="zh-CN"/>
              </w:rPr>
            </w:pPr>
            <w:r>
              <w:rPr>
                <w:rFonts w:hint="eastAsia" w:ascii="宋体" w:hAnsi="宋体" w:cs="宋体"/>
                <w:color w:val="FF0000"/>
                <w:szCs w:val="21"/>
                <w:highlight w:val="none"/>
                <w:lang w:eastAsia="zh-CN"/>
              </w:rPr>
              <w:t>2026年</w:t>
            </w:r>
            <w:r>
              <w:rPr>
                <w:rFonts w:hint="eastAsia" w:ascii="宋体" w:hAnsi="宋体" w:cs="宋体"/>
                <w:color w:val="FF0000"/>
                <w:szCs w:val="21"/>
                <w:highlight w:val="none"/>
                <w:lang w:val="en-US" w:eastAsia="zh-CN"/>
              </w:rPr>
              <w:t>8</w:t>
            </w:r>
            <w:r>
              <w:rPr>
                <w:rFonts w:hint="eastAsia" w:ascii="宋体" w:hAnsi="宋体" w:cs="宋体"/>
                <w:color w:val="FF0000"/>
                <w:szCs w:val="21"/>
                <w:highlight w:val="none"/>
                <w:lang w:eastAsia="zh-CN"/>
              </w:rPr>
              <w:t>月</w:t>
            </w:r>
            <w:r>
              <w:rPr>
                <w:rFonts w:hint="eastAsia" w:ascii="宋体" w:hAnsi="宋体" w:cs="宋体"/>
                <w:color w:val="FF0000"/>
                <w:szCs w:val="21"/>
                <w:highlight w:val="none"/>
                <w:lang w:val="en-US" w:eastAsia="zh-CN"/>
              </w:rPr>
              <w:t>6</w:t>
            </w:r>
            <w:r>
              <w:rPr>
                <w:rFonts w:hint="eastAsia" w:ascii="宋体" w:hAnsi="宋体" w:cs="宋体"/>
                <w:color w:val="FF0000"/>
                <w:szCs w:val="21"/>
                <w:highlight w:val="none"/>
                <w:lang w:eastAsia="zh-CN"/>
              </w:rPr>
              <w:t>日</w:t>
            </w:r>
            <w:r>
              <w:rPr>
                <w:rFonts w:hint="eastAsia" w:ascii="宋体" w:hAnsi="宋体" w:cs="宋体"/>
                <w:color w:val="FF0000"/>
                <w:szCs w:val="21"/>
                <w:highlight w:val="none"/>
                <w:lang w:val="en-US" w:eastAsia="zh-CN"/>
              </w:rPr>
              <w:t>14</w:t>
            </w:r>
            <w:r>
              <w:rPr>
                <w:rFonts w:hint="eastAsia" w:ascii="宋体" w:hAnsi="宋体" w:cs="宋体"/>
                <w:color w:val="FF0000"/>
                <w:szCs w:val="21"/>
                <w:highlight w:val="none"/>
                <w:lang w:eastAsia="zh-CN"/>
              </w:rPr>
              <w:t>点30分</w:t>
            </w:r>
          </w:p>
        </w:tc>
      </w:tr>
      <w:tr w14:paraId="0BBF7C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20" w:type="dxa"/>
            <w:vMerge w:val="continue"/>
            <w:tcBorders>
              <w:left w:val="single" w:color="auto" w:sz="4" w:space="0"/>
              <w:right w:val="single" w:color="auto" w:sz="4" w:space="0"/>
            </w:tcBorders>
            <w:noWrap/>
            <w:vAlign w:val="center"/>
          </w:tcPr>
          <w:p w14:paraId="2DC57826">
            <w:pPr>
              <w:widowControl/>
              <w:jc w:val="left"/>
              <w:rPr>
                <w:rFonts w:ascii="宋体" w:hAnsi="宋体" w:cs="宋体"/>
                <w:szCs w:val="21"/>
                <w:highlight w:val="none"/>
              </w:rPr>
            </w:pPr>
          </w:p>
        </w:tc>
        <w:tc>
          <w:tcPr>
            <w:tcW w:w="900" w:type="dxa"/>
            <w:vMerge w:val="continue"/>
            <w:tcBorders>
              <w:left w:val="single" w:color="auto" w:sz="4" w:space="0"/>
              <w:right w:val="single" w:color="auto" w:sz="4" w:space="0"/>
            </w:tcBorders>
            <w:noWrap/>
            <w:vAlign w:val="center"/>
          </w:tcPr>
          <w:p w14:paraId="0CCCC252">
            <w:pPr>
              <w:widowControl/>
              <w:jc w:val="left"/>
              <w:rPr>
                <w:rFonts w:ascii="宋体" w:hAnsi="宋体" w:cs="宋体"/>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ign w:val="center"/>
          </w:tcPr>
          <w:p w14:paraId="2EC02126">
            <w:pPr>
              <w:jc w:val="center"/>
              <w:rPr>
                <w:rFonts w:ascii="宋体" w:hAnsi="宋体" w:cs="宋体"/>
                <w:szCs w:val="21"/>
                <w:highlight w:val="none"/>
              </w:rPr>
            </w:pPr>
            <w:r>
              <w:rPr>
                <w:rFonts w:hint="eastAsia" w:ascii="宋体" w:hAnsi="宋体" w:cs="宋体"/>
                <w:szCs w:val="21"/>
                <w:highlight w:val="none"/>
              </w:rPr>
              <w:t>地点</w:t>
            </w:r>
          </w:p>
        </w:tc>
        <w:tc>
          <w:tcPr>
            <w:tcW w:w="6150" w:type="dxa"/>
            <w:gridSpan w:val="2"/>
            <w:tcBorders>
              <w:top w:val="single" w:color="auto" w:sz="4" w:space="0"/>
              <w:left w:val="single" w:color="auto" w:sz="4" w:space="0"/>
              <w:bottom w:val="single" w:color="auto" w:sz="4" w:space="0"/>
              <w:right w:val="single" w:color="auto" w:sz="4" w:space="0"/>
            </w:tcBorders>
            <w:noWrap/>
            <w:vAlign w:val="center"/>
          </w:tcPr>
          <w:p w14:paraId="09AB45EA">
            <w:pPr>
              <w:rPr>
                <w:rFonts w:ascii="宋体" w:hAnsi="宋体" w:cs="宋体"/>
                <w:szCs w:val="21"/>
                <w:highlight w:val="none"/>
              </w:rPr>
            </w:pPr>
            <w:r>
              <w:rPr>
                <w:rFonts w:ascii="宋体" w:hAnsi="宋体" w:eastAsia="宋体" w:cs="宋体"/>
                <w:color w:val="000000"/>
                <w:sz w:val="21"/>
              </w:rPr>
              <w:t>江苏政府采购网“苏采云”系统</w:t>
            </w:r>
          </w:p>
        </w:tc>
      </w:tr>
      <w:tr w14:paraId="5D0AEF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5" w:hRule="atLeast"/>
          <w:jc w:val="center"/>
        </w:trPr>
        <w:tc>
          <w:tcPr>
            <w:tcW w:w="720" w:type="dxa"/>
            <w:tcBorders>
              <w:top w:val="single" w:color="auto" w:sz="4" w:space="0"/>
              <w:left w:val="single" w:color="auto" w:sz="4" w:space="0"/>
              <w:bottom w:val="single" w:color="auto" w:sz="4" w:space="0"/>
              <w:right w:val="single" w:color="auto" w:sz="4" w:space="0"/>
            </w:tcBorders>
            <w:noWrap/>
            <w:vAlign w:val="center"/>
          </w:tcPr>
          <w:p w14:paraId="25C6C143">
            <w:pPr>
              <w:jc w:val="center"/>
              <w:rPr>
                <w:rFonts w:ascii="宋体" w:hAnsi="宋体" w:cs="宋体"/>
                <w:szCs w:val="21"/>
                <w:highlight w:val="none"/>
              </w:rPr>
            </w:pPr>
            <w:r>
              <w:rPr>
                <w:rFonts w:hint="eastAsia" w:ascii="宋体" w:hAnsi="宋体" w:cs="宋体"/>
                <w:szCs w:val="21"/>
                <w:highlight w:val="none"/>
              </w:rPr>
              <w:t>11</w:t>
            </w:r>
          </w:p>
        </w:tc>
        <w:tc>
          <w:tcPr>
            <w:tcW w:w="1980" w:type="dxa"/>
            <w:gridSpan w:val="2"/>
            <w:tcBorders>
              <w:top w:val="single" w:color="auto" w:sz="4" w:space="0"/>
              <w:left w:val="single" w:color="auto" w:sz="4" w:space="0"/>
              <w:bottom w:val="single" w:color="auto" w:sz="4" w:space="0"/>
              <w:right w:val="single" w:color="auto" w:sz="4" w:space="0"/>
            </w:tcBorders>
            <w:noWrap/>
            <w:vAlign w:val="center"/>
          </w:tcPr>
          <w:p w14:paraId="0C640AF0">
            <w:pPr>
              <w:jc w:val="center"/>
              <w:rPr>
                <w:rFonts w:ascii="宋体" w:hAnsi="宋体" w:cs="宋体"/>
                <w:szCs w:val="21"/>
                <w:highlight w:val="none"/>
              </w:rPr>
            </w:pPr>
            <w:r>
              <w:rPr>
                <w:rFonts w:hint="eastAsia" w:ascii="宋体" w:hAnsi="宋体" w:cs="宋体"/>
                <w:szCs w:val="21"/>
                <w:highlight w:val="none"/>
              </w:rPr>
              <w:t>响应性文件份数</w:t>
            </w:r>
          </w:p>
        </w:tc>
        <w:tc>
          <w:tcPr>
            <w:tcW w:w="6150" w:type="dxa"/>
            <w:gridSpan w:val="2"/>
            <w:tcBorders>
              <w:top w:val="single" w:color="auto" w:sz="4" w:space="0"/>
              <w:left w:val="single" w:color="auto" w:sz="4" w:space="0"/>
              <w:bottom w:val="single" w:color="auto" w:sz="4" w:space="0"/>
              <w:right w:val="single" w:color="auto" w:sz="4" w:space="0"/>
            </w:tcBorders>
            <w:noWrap/>
            <w:vAlign w:val="center"/>
          </w:tcPr>
          <w:p w14:paraId="24FFC7E9">
            <w:pPr>
              <w:rPr>
                <w:rFonts w:hint="eastAsia" w:ascii="宋体" w:hAnsi="宋体" w:eastAsia="宋体" w:cs="宋体"/>
                <w:b/>
                <w:bCs/>
                <w:szCs w:val="21"/>
                <w:highlight w:val="none"/>
              </w:rPr>
            </w:pPr>
            <w:r>
              <w:rPr>
                <w:rFonts w:hint="eastAsia" w:ascii="宋体" w:hAnsi="宋体" w:eastAsia="宋体" w:cs="宋体"/>
                <w:b/>
                <w:bCs/>
                <w:szCs w:val="21"/>
                <w:highlight w:val="none"/>
              </w:rPr>
              <w:t>在成交后，成交供应商须配合采购人提供纸质投标文件（与在苏采云系统内最终提交的响应文件一致）。具体数量如下：正本壹份；副本贰份。</w:t>
            </w:r>
          </w:p>
        </w:tc>
      </w:tr>
      <w:tr w14:paraId="3A437B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5" w:hRule="atLeast"/>
          <w:jc w:val="center"/>
        </w:trPr>
        <w:tc>
          <w:tcPr>
            <w:tcW w:w="720" w:type="dxa"/>
            <w:tcBorders>
              <w:top w:val="single" w:color="auto" w:sz="4" w:space="0"/>
              <w:left w:val="single" w:color="auto" w:sz="4" w:space="0"/>
              <w:bottom w:val="single" w:color="auto" w:sz="4" w:space="0"/>
              <w:right w:val="single" w:color="auto" w:sz="4" w:space="0"/>
            </w:tcBorders>
            <w:noWrap/>
            <w:vAlign w:val="center"/>
          </w:tcPr>
          <w:p w14:paraId="5E5949FF">
            <w:pPr>
              <w:jc w:val="cente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12</w:t>
            </w:r>
          </w:p>
        </w:tc>
        <w:tc>
          <w:tcPr>
            <w:tcW w:w="1980" w:type="dxa"/>
            <w:gridSpan w:val="2"/>
            <w:tcBorders>
              <w:top w:val="single" w:color="auto" w:sz="4" w:space="0"/>
              <w:left w:val="single" w:color="auto" w:sz="4" w:space="0"/>
              <w:bottom w:val="single" w:color="auto" w:sz="4" w:space="0"/>
              <w:right w:val="single" w:color="auto" w:sz="4" w:space="0"/>
            </w:tcBorders>
            <w:shd w:val="clear" w:color="auto" w:fill="auto"/>
            <w:noWrap/>
            <w:vAlign w:val="center"/>
          </w:tcPr>
          <w:p w14:paraId="29CFF459">
            <w:pPr>
              <w:keepNext w:val="0"/>
              <w:keepLines w:val="0"/>
              <w:pageBreakBefore w:val="0"/>
              <w:spacing w:line="360" w:lineRule="auto"/>
              <w:ind w:left="0" w:right="0" w:firstLine="0"/>
              <w:jc w:val="cente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Cs w:val="21"/>
                <w:highlight w:val="none"/>
                <w:lang w:val="en-US" w:eastAsia="zh-CN"/>
              </w:rPr>
              <w:t>资格承诺制</w:t>
            </w:r>
          </w:p>
        </w:tc>
        <w:tc>
          <w:tcPr>
            <w:tcW w:w="6150" w:type="dxa"/>
            <w:gridSpan w:val="2"/>
            <w:tcBorders>
              <w:top w:val="single" w:color="auto" w:sz="4" w:space="0"/>
              <w:left w:val="single" w:color="auto" w:sz="4" w:space="0"/>
              <w:bottom w:val="single" w:color="auto" w:sz="4" w:space="0"/>
              <w:right w:val="single" w:color="auto" w:sz="4" w:space="0"/>
            </w:tcBorders>
            <w:shd w:val="clear" w:color="auto" w:fill="auto"/>
            <w:noWrap/>
            <w:vAlign w:val="center"/>
          </w:tcPr>
          <w:p w14:paraId="4A609828">
            <w:pPr>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rPr>
              <w:t>在成交后，成交供应商仅提供资格承诺书而未提供资格条件中涉及的证明材料的，须在结果公告发布后 7 个工作日内另行提供由资格承诺书替代的证明材料（一式三份），材料须加盖公章并按采购文件要求提交采购人或采购代理机构核验。经核验无误后，由采购人或采购代理机构发出</w:t>
            </w:r>
            <w:r>
              <w:rPr>
                <w:rFonts w:hint="eastAsia" w:ascii="宋体" w:hAnsi="宋体" w:cs="宋体"/>
                <w:b/>
                <w:bCs/>
                <w:szCs w:val="21"/>
                <w:highlight w:val="none"/>
                <w:lang w:val="en-US" w:eastAsia="zh-CN"/>
              </w:rPr>
              <w:t>成交</w:t>
            </w:r>
            <w:r>
              <w:rPr>
                <w:rFonts w:hint="eastAsia" w:ascii="宋体" w:hAnsi="宋体" w:eastAsia="宋体" w:cs="宋体"/>
                <w:b/>
                <w:bCs/>
                <w:szCs w:val="21"/>
                <w:highlight w:val="none"/>
              </w:rPr>
              <w:t>通知书。</w:t>
            </w:r>
          </w:p>
        </w:tc>
      </w:tr>
      <w:tr w14:paraId="3F204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20" w:type="dxa"/>
            <w:vMerge w:val="restart"/>
            <w:tcBorders>
              <w:top w:val="single" w:color="auto" w:sz="4" w:space="0"/>
              <w:left w:val="single" w:color="auto" w:sz="4" w:space="0"/>
              <w:bottom w:val="single" w:color="auto" w:sz="4" w:space="0"/>
              <w:right w:val="single" w:color="auto" w:sz="4" w:space="0"/>
            </w:tcBorders>
            <w:noWrap/>
            <w:vAlign w:val="center"/>
          </w:tcPr>
          <w:p w14:paraId="342FD75C">
            <w:pPr>
              <w:jc w:val="cente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13</w:t>
            </w:r>
          </w:p>
        </w:tc>
        <w:tc>
          <w:tcPr>
            <w:tcW w:w="900" w:type="dxa"/>
            <w:vMerge w:val="restart"/>
            <w:tcBorders>
              <w:top w:val="single" w:color="auto" w:sz="4" w:space="0"/>
              <w:left w:val="single" w:color="auto" w:sz="4" w:space="0"/>
              <w:bottom w:val="single" w:color="auto" w:sz="4" w:space="0"/>
              <w:right w:val="single" w:color="auto" w:sz="4" w:space="0"/>
            </w:tcBorders>
            <w:noWrap/>
            <w:vAlign w:val="center"/>
          </w:tcPr>
          <w:p w14:paraId="0994A0B4">
            <w:pPr>
              <w:jc w:val="center"/>
              <w:rPr>
                <w:rFonts w:ascii="宋体" w:hAnsi="宋体" w:cs="宋体"/>
                <w:szCs w:val="21"/>
                <w:highlight w:val="none"/>
              </w:rPr>
            </w:pPr>
            <w:r>
              <w:rPr>
                <w:rFonts w:hint="eastAsia" w:ascii="宋体" w:hAnsi="宋体" w:cs="宋体"/>
                <w:szCs w:val="21"/>
                <w:highlight w:val="none"/>
              </w:rPr>
              <w:t>磋商 信息</w:t>
            </w:r>
          </w:p>
        </w:tc>
        <w:tc>
          <w:tcPr>
            <w:tcW w:w="1080" w:type="dxa"/>
            <w:tcBorders>
              <w:top w:val="single" w:color="auto" w:sz="4" w:space="0"/>
              <w:left w:val="single" w:color="auto" w:sz="4" w:space="0"/>
              <w:bottom w:val="single" w:color="auto" w:sz="4" w:space="0"/>
              <w:right w:val="single" w:color="auto" w:sz="4" w:space="0"/>
            </w:tcBorders>
            <w:noWrap/>
            <w:vAlign w:val="center"/>
          </w:tcPr>
          <w:p w14:paraId="77EF2881">
            <w:pPr>
              <w:jc w:val="center"/>
              <w:rPr>
                <w:rFonts w:ascii="宋体" w:hAnsi="宋体" w:cs="宋体"/>
                <w:szCs w:val="21"/>
                <w:highlight w:val="none"/>
              </w:rPr>
            </w:pPr>
            <w:r>
              <w:rPr>
                <w:rFonts w:hint="eastAsia" w:ascii="宋体" w:hAnsi="宋体" w:cs="宋体"/>
                <w:szCs w:val="21"/>
                <w:highlight w:val="none"/>
                <w:lang w:val="en-US" w:eastAsia="zh-CN"/>
              </w:rPr>
              <w:t>截止</w:t>
            </w:r>
            <w:r>
              <w:rPr>
                <w:rFonts w:hint="eastAsia" w:ascii="宋体" w:hAnsi="宋体" w:cs="宋体"/>
                <w:szCs w:val="21"/>
                <w:highlight w:val="none"/>
              </w:rPr>
              <w:t>时间</w:t>
            </w:r>
          </w:p>
        </w:tc>
        <w:tc>
          <w:tcPr>
            <w:tcW w:w="6150" w:type="dxa"/>
            <w:gridSpan w:val="2"/>
            <w:tcBorders>
              <w:top w:val="single" w:color="auto" w:sz="4" w:space="0"/>
              <w:left w:val="single" w:color="auto" w:sz="4" w:space="0"/>
              <w:bottom w:val="single" w:color="auto" w:sz="4" w:space="0"/>
              <w:right w:val="single" w:color="auto" w:sz="4" w:space="0"/>
            </w:tcBorders>
            <w:noWrap/>
            <w:vAlign w:val="center"/>
          </w:tcPr>
          <w:p w14:paraId="699471D0">
            <w:pPr>
              <w:rPr>
                <w:rFonts w:hint="eastAsia" w:ascii="宋体" w:hAnsi="宋体" w:eastAsia="宋体" w:cs="宋体"/>
                <w:szCs w:val="21"/>
                <w:highlight w:val="none"/>
                <w:lang w:eastAsia="zh-CN"/>
              </w:rPr>
            </w:pPr>
            <w:r>
              <w:rPr>
                <w:rFonts w:hint="eastAsia" w:ascii="宋体" w:hAnsi="宋体" w:cs="宋体"/>
                <w:color w:val="FF0000"/>
                <w:szCs w:val="21"/>
                <w:highlight w:val="none"/>
                <w:lang w:eastAsia="zh-CN"/>
              </w:rPr>
              <w:t>2026年</w:t>
            </w:r>
            <w:r>
              <w:rPr>
                <w:rFonts w:hint="eastAsia" w:ascii="宋体" w:hAnsi="宋体" w:cs="宋体"/>
                <w:color w:val="FF0000"/>
                <w:szCs w:val="21"/>
                <w:highlight w:val="none"/>
                <w:lang w:val="en-US" w:eastAsia="zh-CN"/>
              </w:rPr>
              <w:t>8</w:t>
            </w:r>
            <w:r>
              <w:rPr>
                <w:rFonts w:hint="eastAsia" w:ascii="宋体" w:hAnsi="宋体" w:cs="宋体"/>
                <w:color w:val="FF0000"/>
                <w:szCs w:val="21"/>
                <w:highlight w:val="none"/>
                <w:lang w:eastAsia="zh-CN"/>
              </w:rPr>
              <w:t>月</w:t>
            </w:r>
            <w:r>
              <w:rPr>
                <w:rFonts w:hint="eastAsia" w:ascii="宋体" w:hAnsi="宋体" w:cs="宋体"/>
                <w:color w:val="FF0000"/>
                <w:szCs w:val="21"/>
                <w:highlight w:val="none"/>
                <w:lang w:val="en-US" w:eastAsia="zh-CN"/>
              </w:rPr>
              <w:t>6</w:t>
            </w:r>
            <w:bookmarkStart w:id="645" w:name="_GoBack"/>
            <w:bookmarkEnd w:id="645"/>
            <w:r>
              <w:rPr>
                <w:rFonts w:hint="eastAsia" w:ascii="宋体" w:hAnsi="宋体" w:cs="宋体"/>
                <w:color w:val="FF0000"/>
                <w:szCs w:val="21"/>
                <w:highlight w:val="none"/>
                <w:lang w:eastAsia="zh-CN"/>
              </w:rPr>
              <w:t>日</w:t>
            </w:r>
            <w:r>
              <w:rPr>
                <w:rFonts w:hint="eastAsia" w:ascii="宋体" w:hAnsi="宋体" w:cs="宋体"/>
                <w:color w:val="FF0000"/>
                <w:szCs w:val="21"/>
                <w:highlight w:val="none"/>
              </w:rPr>
              <w:t xml:space="preserve"> </w:t>
            </w:r>
            <w:r>
              <w:rPr>
                <w:rFonts w:hint="eastAsia" w:ascii="宋体" w:hAnsi="宋体" w:cs="宋体"/>
                <w:color w:val="FF0000"/>
                <w:szCs w:val="21"/>
                <w:highlight w:val="none"/>
                <w:lang w:val="en-US" w:eastAsia="zh-CN"/>
              </w:rPr>
              <w:t>14</w:t>
            </w:r>
            <w:r>
              <w:rPr>
                <w:rFonts w:hint="eastAsia" w:ascii="宋体" w:hAnsi="宋体" w:cs="宋体"/>
                <w:color w:val="FF0000"/>
                <w:szCs w:val="21"/>
                <w:highlight w:val="none"/>
                <w:lang w:eastAsia="zh-CN"/>
              </w:rPr>
              <w:t>点30分</w:t>
            </w:r>
          </w:p>
        </w:tc>
      </w:tr>
      <w:tr w14:paraId="2FC129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20" w:type="dxa"/>
            <w:vMerge w:val="continue"/>
            <w:tcBorders>
              <w:top w:val="single" w:color="auto" w:sz="4" w:space="0"/>
              <w:left w:val="single" w:color="auto" w:sz="4" w:space="0"/>
              <w:bottom w:val="single" w:color="auto" w:sz="4" w:space="0"/>
              <w:right w:val="single" w:color="auto" w:sz="4" w:space="0"/>
            </w:tcBorders>
            <w:noWrap/>
            <w:vAlign w:val="center"/>
          </w:tcPr>
          <w:p w14:paraId="6C2842DD">
            <w:pPr>
              <w:widowControl/>
              <w:jc w:val="left"/>
              <w:rPr>
                <w:rFonts w:ascii="宋体" w:hAnsi="宋体" w:cs="宋体"/>
                <w:szCs w:val="21"/>
                <w:highlight w:val="none"/>
              </w:rPr>
            </w:pPr>
          </w:p>
        </w:tc>
        <w:tc>
          <w:tcPr>
            <w:tcW w:w="900" w:type="dxa"/>
            <w:vMerge w:val="continue"/>
            <w:tcBorders>
              <w:top w:val="single" w:color="auto" w:sz="4" w:space="0"/>
              <w:left w:val="single" w:color="auto" w:sz="4" w:space="0"/>
              <w:bottom w:val="single" w:color="auto" w:sz="4" w:space="0"/>
              <w:right w:val="single" w:color="auto" w:sz="4" w:space="0"/>
            </w:tcBorders>
            <w:noWrap/>
            <w:vAlign w:val="center"/>
          </w:tcPr>
          <w:p w14:paraId="3C1C1037">
            <w:pPr>
              <w:widowControl/>
              <w:jc w:val="left"/>
              <w:rPr>
                <w:rFonts w:ascii="宋体" w:hAnsi="宋体" w:cs="宋体"/>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ign w:val="center"/>
          </w:tcPr>
          <w:p w14:paraId="0EF8D81F">
            <w:pPr>
              <w:jc w:val="center"/>
              <w:rPr>
                <w:rFonts w:ascii="宋体" w:hAnsi="宋体" w:cs="宋体"/>
                <w:szCs w:val="21"/>
                <w:highlight w:val="none"/>
              </w:rPr>
            </w:pPr>
            <w:r>
              <w:rPr>
                <w:rFonts w:hint="eastAsia" w:ascii="宋体" w:hAnsi="宋体" w:cs="宋体"/>
                <w:szCs w:val="21"/>
                <w:highlight w:val="none"/>
              </w:rPr>
              <w:t>地点</w:t>
            </w:r>
          </w:p>
        </w:tc>
        <w:tc>
          <w:tcPr>
            <w:tcW w:w="6150" w:type="dxa"/>
            <w:gridSpan w:val="2"/>
            <w:tcBorders>
              <w:top w:val="single" w:color="auto" w:sz="4" w:space="0"/>
              <w:left w:val="single" w:color="auto" w:sz="4" w:space="0"/>
              <w:bottom w:val="single" w:color="auto" w:sz="4" w:space="0"/>
              <w:right w:val="single" w:color="auto" w:sz="4" w:space="0"/>
            </w:tcBorders>
            <w:noWrap/>
            <w:vAlign w:val="center"/>
          </w:tcPr>
          <w:p w14:paraId="0F8C5066">
            <w:pPr>
              <w:rPr>
                <w:rFonts w:ascii="宋体" w:hAnsi="宋体" w:cs="宋体"/>
                <w:szCs w:val="21"/>
                <w:highlight w:val="none"/>
              </w:rPr>
            </w:pPr>
            <w:r>
              <w:rPr>
                <w:rFonts w:ascii="宋体" w:hAnsi="宋体" w:eastAsia="宋体" w:cs="宋体"/>
                <w:color w:val="auto"/>
                <w:sz w:val="21"/>
              </w:rPr>
              <w:t>江苏省政府采购交易系统（以下简</w:t>
            </w:r>
            <w:r>
              <w:rPr>
                <w:rFonts w:ascii="宋体" w:hAnsi="宋体" w:eastAsia="宋体" w:cs="宋体"/>
                <w:color w:val="000000"/>
                <w:sz w:val="21"/>
              </w:rPr>
              <w:t>称“苏采云系统”）网上开标大厅</w:t>
            </w:r>
          </w:p>
        </w:tc>
      </w:tr>
      <w:tr w14:paraId="204B9E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720" w:type="dxa"/>
            <w:vMerge w:val="restart"/>
            <w:tcBorders>
              <w:top w:val="single" w:color="auto" w:sz="4" w:space="0"/>
              <w:left w:val="single" w:color="auto" w:sz="4" w:space="0"/>
              <w:right w:val="single" w:color="auto" w:sz="4" w:space="0"/>
            </w:tcBorders>
            <w:noWrap/>
            <w:vAlign w:val="center"/>
          </w:tcPr>
          <w:p w14:paraId="7BB5C9F0">
            <w:pPr>
              <w:spacing w:line="440" w:lineRule="exact"/>
              <w:jc w:val="cente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14</w:t>
            </w:r>
          </w:p>
        </w:tc>
        <w:tc>
          <w:tcPr>
            <w:tcW w:w="900" w:type="dxa"/>
            <w:vMerge w:val="restart"/>
            <w:tcBorders>
              <w:top w:val="single" w:color="auto" w:sz="4" w:space="0"/>
              <w:left w:val="single" w:color="auto" w:sz="4" w:space="0"/>
              <w:right w:val="single" w:color="auto" w:sz="4" w:space="0"/>
            </w:tcBorders>
            <w:noWrap/>
            <w:vAlign w:val="center"/>
          </w:tcPr>
          <w:p w14:paraId="2BB45979">
            <w:pPr>
              <w:spacing w:line="440" w:lineRule="exact"/>
              <w:jc w:val="center"/>
              <w:rPr>
                <w:rFonts w:ascii="宋体" w:hAnsi="宋体" w:cs="宋体"/>
                <w:szCs w:val="21"/>
                <w:highlight w:val="none"/>
              </w:rPr>
            </w:pPr>
            <w:r>
              <w:rPr>
                <w:rFonts w:hint="eastAsia" w:ascii="宋体" w:hAnsi="宋体" w:cs="宋体"/>
                <w:szCs w:val="21"/>
                <w:highlight w:val="none"/>
              </w:rPr>
              <w:t>联系 事项</w:t>
            </w:r>
          </w:p>
        </w:tc>
        <w:tc>
          <w:tcPr>
            <w:tcW w:w="1080" w:type="dxa"/>
            <w:vMerge w:val="restart"/>
            <w:tcBorders>
              <w:top w:val="single" w:color="auto" w:sz="4" w:space="0"/>
              <w:left w:val="single" w:color="auto" w:sz="4" w:space="0"/>
              <w:right w:val="single" w:color="auto" w:sz="4" w:space="0"/>
            </w:tcBorders>
            <w:noWrap/>
            <w:vAlign w:val="center"/>
          </w:tcPr>
          <w:p w14:paraId="761A4D9A">
            <w:pPr>
              <w:spacing w:line="440" w:lineRule="exact"/>
              <w:rPr>
                <w:rFonts w:ascii="宋体" w:hAnsi="宋体" w:cs="宋体"/>
                <w:szCs w:val="21"/>
                <w:highlight w:val="none"/>
              </w:rPr>
            </w:pPr>
            <w:r>
              <w:rPr>
                <w:rFonts w:hint="eastAsia" w:ascii="宋体" w:hAnsi="宋体" w:cs="宋体"/>
                <w:szCs w:val="21"/>
                <w:highlight w:val="none"/>
              </w:rPr>
              <w:t>采购单位</w:t>
            </w:r>
          </w:p>
        </w:tc>
        <w:tc>
          <w:tcPr>
            <w:tcW w:w="1620" w:type="dxa"/>
            <w:tcBorders>
              <w:top w:val="single" w:color="auto" w:sz="4" w:space="0"/>
              <w:left w:val="single" w:color="auto" w:sz="4" w:space="0"/>
              <w:bottom w:val="single" w:color="auto" w:sz="4" w:space="0"/>
              <w:right w:val="single" w:color="auto" w:sz="4" w:space="0"/>
            </w:tcBorders>
            <w:noWrap/>
            <w:vAlign w:val="center"/>
          </w:tcPr>
          <w:p w14:paraId="4B2ABFE3">
            <w:pPr>
              <w:rPr>
                <w:rFonts w:ascii="宋体" w:hAnsi="宋体" w:cs="宋体"/>
                <w:szCs w:val="21"/>
                <w:highlight w:val="none"/>
              </w:rPr>
            </w:pPr>
            <w:r>
              <w:rPr>
                <w:rFonts w:hint="eastAsia" w:ascii="宋体" w:hAnsi="宋体" w:cs="宋体"/>
                <w:szCs w:val="21"/>
                <w:highlight w:val="none"/>
              </w:rPr>
              <w:t>联系人</w:t>
            </w:r>
          </w:p>
        </w:tc>
        <w:tc>
          <w:tcPr>
            <w:tcW w:w="4530" w:type="dxa"/>
            <w:tcBorders>
              <w:top w:val="single" w:color="auto" w:sz="4" w:space="0"/>
              <w:left w:val="single" w:color="auto" w:sz="4" w:space="0"/>
              <w:bottom w:val="single" w:color="auto" w:sz="4" w:space="0"/>
              <w:right w:val="single" w:color="auto" w:sz="4" w:space="0"/>
            </w:tcBorders>
            <w:noWrap/>
            <w:vAlign w:val="center"/>
          </w:tcPr>
          <w:p w14:paraId="331AB859">
            <w:pPr>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曹</w:t>
            </w:r>
            <w:r>
              <w:rPr>
                <w:rFonts w:hint="eastAsia" w:ascii="宋体" w:hAnsi="宋体" w:cs="宋体"/>
                <w:szCs w:val="21"/>
                <w:highlight w:val="none"/>
                <w:lang w:eastAsia="zh-CN"/>
              </w:rPr>
              <w:t>工</w:t>
            </w:r>
          </w:p>
        </w:tc>
      </w:tr>
      <w:tr w14:paraId="06F48D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20" w:type="dxa"/>
            <w:vMerge w:val="continue"/>
            <w:tcBorders>
              <w:left w:val="single" w:color="auto" w:sz="4" w:space="0"/>
              <w:right w:val="single" w:color="auto" w:sz="4" w:space="0"/>
            </w:tcBorders>
            <w:noWrap/>
            <w:vAlign w:val="center"/>
          </w:tcPr>
          <w:p w14:paraId="10D2EA7E">
            <w:pPr>
              <w:spacing w:line="440" w:lineRule="exact"/>
              <w:jc w:val="center"/>
              <w:rPr>
                <w:rFonts w:ascii="宋体" w:hAnsi="宋体" w:cs="宋体"/>
                <w:szCs w:val="21"/>
                <w:highlight w:val="none"/>
              </w:rPr>
            </w:pPr>
          </w:p>
        </w:tc>
        <w:tc>
          <w:tcPr>
            <w:tcW w:w="900" w:type="dxa"/>
            <w:vMerge w:val="continue"/>
            <w:tcBorders>
              <w:left w:val="single" w:color="auto" w:sz="4" w:space="0"/>
              <w:right w:val="single" w:color="auto" w:sz="4" w:space="0"/>
            </w:tcBorders>
            <w:noWrap/>
            <w:vAlign w:val="center"/>
          </w:tcPr>
          <w:p w14:paraId="63A435CB">
            <w:pPr>
              <w:spacing w:line="440" w:lineRule="exact"/>
              <w:jc w:val="center"/>
              <w:rPr>
                <w:rFonts w:ascii="宋体" w:hAnsi="宋体" w:cs="宋体"/>
                <w:szCs w:val="21"/>
                <w:highlight w:val="none"/>
              </w:rPr>
            </w:pPr>
          </w:p>
        </w:tc>
        <w:tc>
          <w:tcPr>
            <w:tcW w:w="1080" w:type="dxa"/>
            <w:vMerge w:val="continue"/>
            <w:tcBorders>
              <w:left w:val="single" w:color="auto" w:sz="4" w:space="0"/>
              <w:bottom w:val="single" w:color="auto" w:sz="4" w:space="0"/>
              <w:right w:val="single" w:color="auto" w:sz="4" w:space="0"/>
            </w:tcBorders>
            <w:noWrap/>
            <w:vAlign w:val="center"/>
          </w:tcPr>
          <w:p w14:paraId="66112AB4">
            <w:pPr>
              <w:spacing w:line="440" w:lineRule="exact"/>
              <w:rPr>
                <w:rFonts w:ascii="宋体" w:hAnsi="宋体" w:cs="宋体"/>
                <w:szCs w:val="21"/>
                <w:highlight w:val="none"/>
              </w:rPr>
            </w:pPr>
          </w:p>
        </w:tc>
        <w:tc>
          <w:tcPr>
            <w:tcW w:w="1620" w:type="dxa"/>
            <w:tcBorders>
              <w:top w:val="single" w:color="auto" w:sz="4" w:space="0"/>
              <w:left w:val="single" w:color="auto" w:sz="4" w:space="0"/>
              <w:bottom w:val="single" w:color="auto" w:sz="4" w:space="0"/>
              <w:right w:val="single" w:color="auto" w:sz="4" w:space="0"/>
            </w:tcBorders>
            <w:noWrap/>
            <w:vAlign w:val="center"/>
          </w:tcPr>
          <w:p w14:paraId="3E9B4110">
            <w:pPr>
              <w:rPr>
                <w:rFonts w:ascii="宋体" w:hAnsi="宋体" w:cs="宋体"/>
                <w:szCs w:val="21"/>
                <w:highlight w:val="none"/>
              </w:rPr>
            </w:pPr>
            <w:r>
              <w:rPr>
                <w:rFonts w:hint="eastAsia" w:ascii="宋体" w:hAnsi="宋体" w:cs="宋体"/>
                <w:szCs w:val="21"/>
                <w:highlight w:val="none"/>
              </w:rPr>
              <w:t>联系电话</w:t>
            </w:r>
          </w:p>
        </w:tc>
        <w:tc>
          <w:tcPr>
            <w:tcW w:w="4530" w:type="dxa"/>
            <w:tcBorders>
              <w:top w:val="single" w:color="auto" w:sz="4" w:space="0"/>
              <w:left w:val="single" w:color="auto" w:sz="4" w:space="0"/>
              <w:bottom w:val="single" w:color="auto" w:sz="4" w:space="0"/>
              <w:right w:val="single" w:color="auto" w:sz="4" w:space="0"/>
            </w:tcBorders>
            <w:noWrap/>
            <w:vAlign w:val="center"/>
          </w:tcPr>
          <w:p w14:paraId="035821BD">
            <w:pPr>
              <w:jc w:val="left"/>
              <w:rPr>
                <w:rFonts w:hint="default" w:ascii="宋体" w:hAnsi="宋体" w:eastAsia="宋体" w:cs="宋体"/>
                <w:szCs w:val="21"/>
                <w:highlight w:val="none"/>
                <w:lang w:val="en-US" w:eastAsia="zh-CN"/>
              </w:rPr>
            </w:pPr>
            <w:r>
              <w:rPr>
                <w:rFonts w:hint="eastAsia" w:ascii="宋体" w:hAnsi="宋体" w:eastAsia="宋体" w:cs="宋体"/>
                <w:color w:val="000000"/>
                <w:sz w:val="21"/>
                <w:szCs w:val="21"/>
                <w:shd w:val="clear" w:color="auto" w:fill="FFFFFF"/>
                <w:lang w:val="en-US" w:eastAsia="zh-CN"/>
              </w:rPr>
              <w:t>025-86111302</w:t>
            </w:r>
          </w:p>
        </w:tc>
      </w:tr>
      <w:tr w14:paraId="79BE8A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jc w:val="center"/>
        </w:trPr>
        <w:tc>
          <w:tcPr>
            <w:tcW w:w="720" w:type="dxa"/>
            <w:vMerge w:val="continue"/>
            <w:tcBorders>
              <w:left w:val="single" w:color="auto" w:sz="4" w:space="0"/>
              <w:right w:val="single" w:color="auto" w:sz="4" w:space="0"/>
            </w:tcBorders>
            <w:noWrap/>
            <w:vAlign w:val="center"/>
          </w:tcPr>
          <w:p w14:paraId="7A998E75">
            <w:pPr>
              <w:spacing w:line="440" w:lineRule="exact"/>
              <w:jc w:val="center"/>
              <w:rPr>
                <w:rFonts w:ascii="宋体" w:hAnsi="宋体" w:cs="宋体"/>
                <w:szCs w:val="21"/>
                <w:highlight w:val="none"/>
              </w:rPr>
            </w:pPr>
          </w:p>
        </w:tc>
        <w:tc>
          <w:tcPr>
            <w:tcW w:w="900" w:type="dxa"/>
            <w:vMerge w:val="continue"/>
            <w:tcBorders>
              <w:left w:val="single" w:color="auto" w:sz="4" w:space="0"/>
              <w:right w:val="single" w:color="auto" w:sz="4" w:space="0"/>
            </w:tcBorders>
            <w:noWrap/>
            <w:vAlign w:val="center"/>
          </w:tcPr>
          <w:p w14:paraId="6F760520">
            <w:pPr>
              <w:spacing w:line="440" w:lineRule="exact"/>
              <w:jc w:val="center"/>
              <w:rPr>
                <w:rFonts w:ascii="宋体" w:hAnsi="宋体" w:cs="宋体"/>
                <w:szCs w:val="21"/>
                <w:highlight w:val="none"/>
              </w:rPr>
            </w:pPr>
          </w:p>
        </w:tc>
        <w:tc>
          <w:tcPr>
            <w:tcW w:w="1080" w:type="dxa"/>
            <w:vMerge w:val="restart"/>
            <w:tcBorders>
              <w:top w:val="single" w:color="auto" w:sz="4" w:space="0"/>
              <w:left w:val="single" w:color="auto" w:sz="4" w:space="0"/>
              <w:right w:val="single" w:color="auto" w:sz="4" w:space="0"/>
            </w:tcBorders>
            <w:noWrap/>
            <w:vAlign w:val="center"/>
          </w:tcPr>
          <w:p w14:paraId="6BC1D692">
            <w:pPr>
              <w:jc w:val="center"/>
              <w:rPr>
                <w:rFonts w:ascii="宋体" w:hAnsi="宋体" w:cs="宋体"/>
                <w:szCs w:val="21"/>
                <w:highlight w:val="none"/>
              </w:rPr>
            </w:pPr>
            <w:r>
              <w:rPr>
                <w:rFonts w:hint="eastAsia" w:ascii="宋体" w:hAnsi="宋体" w:cs="宋体"/>
                <w:szCs w:val="21"/>
                <w:highlight w:val="none"/>
              </w:rPr>
              <w:t>采购代理机构</w:t>
            </w:r>
          </w:p>
        </w:tc>
        <w:tc>
          <w:tcPr>
            <w:tcW w:w="1620" w:type="dxa"/>
            <w:tcBorders>
              <w:top w:val="single" w:color="auto" w:sz="4" w:space="0"/>
              <w:left w:val="single" w:color="auto" w:sz="4" w:space="0"/>
              <w:bottom w:val="single" w:color="auto" w:sz="4" w:space="0"/>
              <w:right w:val="single" w:color="auto" w:sz="4" w:space="0"/>
            </w:tcBorders>
            <w:noWrap/>
            <w:vAlign w:val="center"/>
          </w:tcPr>
          <w:p w14:paraId="764CEAE5">
            <w:pPr>
              <w:rPr>
                <w:rFonts w:ascii="宋体" w:hAnsi="宋体" w:cs="宋体"/>
                <w:szCs w:val="21"/>
                <w:highlight w:val="none"/>
              </w:rPr>
            </w:pPr>
            <w:r>
              <w:rPr>
                <w:rFonts w:hint="eastAsia" w:ascii="宋体" w:hAnsi="宋体" w:cs="宋体"/>
                <w:szCs w:val="21"/>
                <w:highlight w:val="none"/>
              </w:rPr>
              <w:t>联系人</w:t>
            </w:r>
          </w:p>
        </w:tc>
        <w:tc>
          <w:tcPr>
            <w:tcW w:w="4530" w:type="dxa"/>
            <w:tcBorders>
              <w:top w:val="single" w:color="auto" w:sz="4" w:space="0"/>
              <w:left w:val="single" w:color="auto" w:sz="4" w:space="0"/>
              <w:bottom w:val="single" w:color="auto" w:sz="4" w:space="0"/>
              <w:right w:val="single" w:color="auto" w:sz="4" w:space="0"/>
            </w:tcBorders>
            <w:noWrap/>
            <w:vAlign w:val="center"/>
          </w:tcPr>
          <w:p w14:paraId="651F7CFD">
            <w:pPr>
              <w:pStyle w:val="28"/>
              <w:rPr>
                <w:rFonts w:ascii="宋体" w:hAnsi="宋体" w:cs="宋体"/>
                <w:szCs w:val="21"/>
                <w:highlight w:val="none"/>
              </w:rPr>
            </w:pPr>
            <w:r>
              <w:rPr>
                <w:rFonts w:hint="eastAsia" w:ascii="宋体" w:hAnsi="宋体" w:cs="宋体"/>
                <w:szCs w:val="21"/>
                <w:highlight w:val="none"/>
                <w:lang w:val="en-US" w:eastAsia="zh-CN"/>
              </w:rPr>
              <w:t>张工</w:t>
            </w:r>
          </w:p>
        </w:tc>
      </w:tr>
      <w:tr w14:paraId="60E14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720" w:type="dxa"/>
            <w:vMerge w:val="continue"/>
            <w:tcBorders>
              <w:left w:val="single" w:color="auto" w:sz="4" w:space="0"/>
              <w:right w:val="single" w:color="auto" w:sz="4" w:space="0"/>
            </w:tcBorders>
            <w:noWrap/>
            <w:vAlign w:val="center"/>
          </w:tcPr>
          <w:p w14:paraId="4AD733BC">
            <w:pPr>
              <w:widowControl/>
              <w:jc w:val="left"/>
              <w:rPr>
                <w:rFonts w:ascii="宋体" w:hAnsi="宋体" w:cs="宋体"/>
                <w:szCs w:val="21"/>
                <w:highlight w:val="none"/>
              </w:rPr>
            </w:pPr>
          </w:p>
        </w:tc>
        <w:tc>
          <w:tcPr>
            <w:tcW w:w="900" w:type="dxa"/>
            <w:vMerge w:val="continue"/>
            <w:tcBorders>
              <w:left w:val="single" w:color="auto" w:sz="4" w:space="0"/>
              <w:right w:val="single" w:color="auto" w:sz="4" w:space="0"/>
            </w:tcBorders>
            <w:noWrap/>
            <w:vAlign w:val="center"/>
          </w:tcPr>
          <w:p w14:paraId="1C577AFE">
            <w:pPr>
              <w:widowControl/>
              <w:jc w:val="left"/>
              <w:rPr>
                <w:rFonts w:ascii="宋体" w:hAnsi="宋体" w:cs="宋体"/>
                <w:szCs w:val="21"/>
                <w:highlight w:val="none"/>
              </w:rPr>
            </w:pPr>
          </w:p>
        </w:tc>
        <w:tc>
          <w:tcPr>
            <w:tcW w:w="1080" w:type="dxa"/>
            <w:vMerge w:val="continue"/>
            <w:tcBorders>
              <w:left w:val="single" w:color="auto" w:sz="4" w:space="0"/>
              <w:right w:val="single" w:color="auto" w:sz="4" w:space="0"/>
            </w:tcBorders>
            <w:noWrap/>
            <w:vAlign w:val="center"/>
          </w:tcPr>
          <w:p w14:paraId="096282D8">
            <w:pPr>
              <w:widowControl/>
              <w:rPr>
                <w:rFonts w:ascii="宋体" w:hAnsi="宋体" w:cs="宋体"/>
                <w:szCs w:val="21"/>
                <w:highlight w:val="none"/>
              </w:rPr>
            </w:pPr>
          </w:p>
        </w:tc>
        <w:tc>
          <w:tcPr>
            <w:tcW w:w="1620" w:type="dxa"/>
            <w:tcBorders>
              <w:top w:val="single" w:color="auto" w:sz="4" w:space="0"/>
              <w:left w:val="single" w:color="auto" w:sz="4" w:space="0"/>
              <w:bottom w:val="single" w:color="auto" w:sz="4" w:space="0"/>
              <w:right w:val="single" w:color="auto" w:sz="4" w:space="0"/>
            </w:tcBorders>
            <w:noWrap/>
            <w:vAlign w:val="center"/>
          </w:tcPr>
          <w:p w14:paraId="24E5FAA1">
            <w:pPr>
              <w:rPr>
                <w:rFonts w:ascii="宋体" w:hAnsi="宋体" w:cs="宋体"/>
                <w:szCs w:val="21"/>
                <w:highlight w:val="none"/>
              </w:rPr>
            </w:pPr>
            <w:r>
              <w:rPr>
                <w:rFonts w:hint="eastAsia" w:ascii="宋体" w:hAnsi="宋体" w:cs="宋体"/>
                <w:szCs w:val="21"/>
                <w:highlight w:val="none"/>
              </w:rPr>
              <w:t>联系电话</w:t>
            </w:r>
          </w:p>
        </w:tc>
        <w:tc>
          <w:tcPr>
            <w:tcW w:w="4530" w:type="dxa"/>
            <w:tcBorders>
              <w:top w:val="single" w:color="auto" w:sz="4" w:space="0"/>
              <w:left w:val="single" w:color="auto" w:sz="4" w:space="0"/>
              <w:bottom w:val="single" w:color="auto" w:sz="4" w:space="0"/>
              <w:right w:val="single" w:color="auto" w:sz="4" w:space="0"/>
            </w:tcBorders>
            <w:noWrap/>
            <w:vAlign w:val="center"/>
          </w:tcPr>
          <w:p w14:paraId="0E1D000A">
            <w:pPr>
              <w:pStyle w:val="28"/>
              <w:rPr>
                <w:rFonts w:ascii="宋体" w:hAnsi="宋体" w:cs="宋体"/>
                <w:szCs w:val="21"/>
                <w:highlight w:val="none"/>
              </w:rPr>
            </w:pPr>
            <w:r>
              <w:rPr>
                <w:rFonts w:hint="eastAsia" w:ascii="宋体" w:hAnsi="宋体" w:cs="宋体"/>
                <w:szCs w:val="21"/>
                <w:highlight w:val="none"/>
              </w:rPr>
              <w:t>025-52140133</w:t>
            </w:r>
            <w:bookmarkEnd w:id="60"/>
            <w:bookmarkEnd w:id="61"/>
            <w:bookmarkEnd w:id="62"/>
            <w:bookmarkEnd w:id="63"/>
            <w:bookmarkEnd w:id="64"/>
            <w:bookmarkEnd w:id="65"/>
            <w:bookmarkEnd w:id="66"/>
            <w:bookmarkEnd w:id="67"/>
            <w:bookmarkEnd w:id="68"/>
            <w:bookmarkEnd w:id="69"/>
            <w:bookmarkEnd w:id="70"/>
            <w:bookmarkEnd w:id="71"/>
          </w:p>
        </w:tc>
      </w:tr>
    </w:tbl>
    <w:p w14:paraId="14511E94">
      <w:pPr>
        <w:pageBreakBefore w:val="0"/>
        <w:spacing w:line="360" w:lineRule="auto"/>
        <w:ind w:firstLine="420"/>
        <w:outlineLvl w:val="1"/>
        <w:rPr>
          <w:rFonts w:hint="eastAsia" w:ascii="宋体" w:hAnsi="宋体" w:cs="宋体"/>
          <w:b/>
          <w:bCs/>
          <w:color w:val="auto"/>
          <w:szCs w:val="21"/>
          <w:highlight w:val="none"/>
          <w:lang w:val="zh-CN"/>
        </w:rPr>
      </w:pPr>
      <w:bookmarkStart w:id="72" w:name="_Toc22186"/>
      <w:bookmarkStart w:id="73" w:name="_Toc25026"/>
      <w:r>
        <w:rPr>
          <w:rFonts w:hint="eastAsia" w:ascii="宋体" w:hAnsi="宋体" w:cs="宋体"/>
          <w:b/>
          <w:bCs/>
          <w:color w:val="auto"/>
          <w:szCs w:val="21"/>
          <w:highlight w:val="none"/>
          <w:lang w:val="zh-CN"/>
        </w:rPr>
        <w:t>一、总则</w:t>
      </w:r>
      <w:bookmarkEnd w:id="72"/>
      <w:bookmarkEnd w:id="73"/>
    </w:p>
    <w:p w14:paraId="02A4EDA7">
      <w:pPr>
        <w:pageBreakBefore w:val="0"/>
        <w:spacing w:line="360" w:lineRule="auto"/>
        <w:ind w:firstLine="422"/>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1.适用法律</w:t>
      </w:r>
    </w:p>
    <w:p w14:paraId="5CD51EA0">
      <w:pPr>
        <w:pageBreakBefore w:val="0"/>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1.1《中华人民共和国政府采购法》、《中华人民共和国政府采购法实施条例》、《政府采购竞争性磋商采购方式管理暂行办法》等有关法律、规章和规定等。</w:t>
      </w:r>
    </w:p>
    <w:p w14:paraId="7075AB0A">
      <w:pPr>
        <w:pageBreakBefore w:val="0"/>
        <w:spacing w:line="360" w:lineRule="auto"/>
        <w:ind w:firstLine="420"/>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2、定义</w:t>
      </w:r>
    </w:p>
    <w:p w14:paraId="26B865B1">
      <w:pPr>
        <w:pageBreakBefore w:val="0"/>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2.1“</w:t>
      </w:r>
      <w:r>
        <w:rPr>
          <w:rFonts w:hint="eastAsia" w:ascii="宋体" w:hAnsi="宋体" w:cs="宋体"/>
          <w:b/>
          <w:color w:val="auto"/>
          <w:szCs w:val="21"/>
          <w:highlight w:val="none"/>
          <w:lang w:val="zh-CN"/>
        </w:rPr>
        <w:t>供应商</w:t>
      </w:r>
      <w:r>
        <w:rPr>
          <w:rFonts w:hint="eastAsia" w:ascii="宋体" w:hAnsi="宋体" w:cs="宋体"/>
          <w:color w:val="auto"/>
          <w:szCs w:val="21"/>
          <w:highlight w:val="none"/>
          <w:lang w:val="zh-CN"/>
        </w:rPr>
        <w:t>”</w:t>
      </w:r>
      <w:r>
        <w:rPr>
          <w:rFonts w:hint="eastAsia" w:ascii="宋体" w:hAnsi="宋体" w:cs="宋体"/>
          <w:color w:val="auto"/>
          <w:highlight w:val="none"/>
        </w:rPr>
        <w:t>是指参加磋商竞争，并符合采购文件规定资格条件的法人、其他组织或者自然人。</w:t>
      </w:r>
    </w:p>
    <w:p w14:paraId="4B07DED7">
      <w:pPr>
        <w:pageBreakBefore w:val="0"/>
        <w:spacing w:line="360" w:lineRule="auto"/>
        <w:ind w:firstLine="420"/>
        <w:rPr>
          <w:rFonts w:hint="eastAsia" w:ascii="宋体" w:hAnsi="宋体" w:cs="宋体"/>
          <w:b/>
          <w:color w:val="auto"/>
          <w:szCs w:val="21"/>
          <w:highlight w:val="none"/>
          <w:lang w:val="zh-CN"/>
        </w:rPr>
      </w:pPr>
      <w:r>
        <w:rPr>
          <w:rFonts w:hint="eastAsia" w:ascii="宋体" w:hAnsi="宋体" w:cs="宋体"/>
          <w:color w:val="auto"/>
          <w:szCs w:val="21"/>
          <w:highlight w:val="none"/>
          <w:lang w:val="zh-CN"/>
        </w:rPr>
        <w:t>2.2“货物和服务”指本磋商文件中所述产品及相关服务。</w:t>
      </w:r>
      <w:r>
        <w:rPr>
          <w:rFonts w:hint="eastAsia" w:ascii="宋体" w:hAnsi="宋体" w:cs="宋体"/>
          <w:b/>
          <w:color w:val="auto"/>
          <w:szCs w:val="21"/>
          <w:highlight w:val="none"/>
          <w:lang w:val="zh-CN"/>
        </w:rPr>
        <w:t>本次采购不接受进口产品投标</w:t>
      </w:r>
      <w:r>
        <w:rPr>
          <w:rFonts w:hint="eastAsia" w:ascii="宋体" w:hAnsi="宋体" w:cs="宋体"/>
          <w:color w:val="auto"/>
          <w:szCs w:val="21"/>
          <w:highlight w:val="none"/>
          <w:lang w:val="zh-CN"/>
        </w:rPr>
        <w:t>，进口产品是指通过中国海关报关验放进入中国境内且产自关境外的产品。</w:t>
      </w:r>
    </w:p>
    <w:p w14:paraId="1B51BD5F">
      <w:pPr>
        <w:pageBreakBefore w:val="0"/>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2.3“采购人或使用单位”是指使用服务的单位。</w:t>
      </w:r>
    </w:p>
    <w:p w14:paraId="735EBD14">
      <w:pPr>
        <w:pageBreakBefore w:val="0"/>
        <w:spacing w:line="360" w:lineRule="auto"/>
        <w:ind w:firstLine="420"/>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3．政策功能</w:t>
      </w:r>
    </w:p>
    <w:p w14:paraId="38FD8F42">
      <w:pPr>
        <w:pageBreakBefore w:val="0"/>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3.1政府采购促进中小企业发展，在政府采购活动中，供应商提供的货物、工程或者服务符合下列情形的，享受中小企业扶持政策：</w:t>
      </w:r>
    </w:p>
    <w:p w14:paraId="13FD8D20">
      <w:pPr>
        <w:pageBreakBefore w:val="0"/>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（1）在货物采购项目中，货物由中小企业制造，即货物由中小企业生产且使用该中小企业商号或者注册商标；</w:t>
      </w:r>
    </w:p>
    <w:p w14:paraId="754E516A">
      <w:pPr>
        <w:pageBreakBefore w:val="0"/>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（2）在工程采购项目中，工程由中小企业承建，即工程施工单位为中小企业；</w:t>
      </w:r>
    </w:p>
    <w:p w14:paraId="6F9D16DB">
      <w:pPr>
        <w:pageBreakBefore w:val="0"/>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（3）在服务采购项目中，服务由中小企业承接，即提供服务的人员为中小企业依照《中华人民共和国劳动合同法》订立劳动合同的从业人员。</w:t>
      </w:r>
    </w:p>
    <w:p w14:paraId="788F806B">
      <w:pPr>
        <w:pageBreakBefore w:val="0"/>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在货物采购项目中，供应商提供的货物既有中小企业制造货物，也有大型企业制造货物的，不享受中小企业扶持政策。</w:t>
      </w:r>
    </w:p>
    <w:p w14:paraId="1F49A0CF">
      <w:pPr>
        <w:pageBreakBefore w:val="0"/>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以联合体形式参加政府采购活动，联合体各方均为中小企业的，联合体视同中小企业。其中，联合体各方均为小微企业的，联合体视同小微企业。</w:t>
      </w:r>
    </w:p>
    <w:p w14:paraId="447A2C21">
      <w:pPr>
        <w:pageBreakBefore w:val="0"/>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中小企业供应商参加政府采购活动，应当出具《中小企业声明函》（格式见后附件），否则不得享受相关中小企业扶持政策。</w:t>
      </w:r>
    </w:p>
    <w:p w14:paraId="11BBEDD0">
      <w:pPr>
        <w:pageBreakBefore w:val="0"/>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p>
    <w:p w14:paraId="1E9698A1">
      <w:pPr>
        <w:pageBreakBefore w:val="0"/>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3.2政府采购支持监狱和戒毒企业发展政策，监狱和戒毒企业提供的产品和服务在评标时将获得优势，参加磋商的监狱和戒毒企业，应当提供由省级以上监狱管理局、戒毒管理局（含新疆生产建设兵团）出具的属于监狱企业的证明文件，监狱和戒毒企业享受政府采购支持政策的要求详见财库〔2014〕68号。</w:t>
      </w:r>
    </w:p>
    <w:p w14:paraId="6A1CA151">
      <w:pPr>
        <w:pageBreakBefore w:val="0"/>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3.3政府采购促进残疾人就业政策，残疾人福利性单位提供的产品和服务在评标时将获得优势，参加磋商的残疾人福利性单位，应当提供《残疾人福利性单位声明函》，残疾人福利性单位享受政府采购支持政策的要求详见财库〔2017〕141号。</w:t>
      </w:r>
    </w:p>
    <w:p w14:paraId="34FC18BE">
      <w:pPr>
        <w:pageBreakBefore w:val="0"/>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3.4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w:t>
      </w:r>
    </w:p>
    <w:p w14:paraId="05EA1992">
      <w:pPr>
        <w:pageBreakBefore w:val="0"/>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3.5提供的产品属于信息安全产品的，供应商应当选择经国家认证的信息安全产品磋商，并提供由中国信息安全认证中心按国家标准认证颁发的有效认证证书。</w:t>
      </w:r>
    </w:p>
    <w:p w14:paraId="683B2A70">
      <w:pPr>
        <w:pageBreakBefore w:val="0"/>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3.6提供的产品属于政府强制采购节能产品的，供应商应当选择经过认证的节能产品磋商，并提供有效的节能产品认证证书。</w:t>
      </w:r>
    </w:p>
    <w:p w14:paraId="2113A162">
      <w:pPr>
        <w:pageBreakBefore w:val="0"/>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3.7提供的产品属于环境标志产品的,供应商应当选择经过认证的环境标志产品磋商,并提供有效的环境标志产品认证证书。</w:t>
      </w:r>
    </w:p>
    <w:p w14:paraId="2ACC0619">
      <w:pPr>
        <w:pageBreakBefore w:val="0"/>
        <w:spacing w:line="360" w:lineRule="auto"/>
        <w:ind w:firstLine="422"/>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4.参与竞争性磋商供应商资格条件</w:t>
      </w:r>
    </w:p>
    <w:p w14:paraId="7765B508">
      <w:pPr>
        <w:pageBreakBefore w:val="0"/>
        <w:spacing w:line="360" w:lineRule="auto"/>
        <w:ind w:firstLine="420"/>
        <w:rPr>
          <w:rFonts w:hint="eastAsia" w:ascii="宋体" w:hAnsi="宋体" w:eastAsia="宋体" w:cs="宋体"/>
          <w:b w:val="0"/>
          <w:bCs/>
          <w:color w:val="auto"/>
          <w:szCs w:val="21"/>
          <w:highlight w:val="none"/>
          <w:lang w:val="en-US" w:eastAsia="zh-CN"/>
        </w:rPr>
      </w:pPr>
      <w:r>
        <w:rPr>
          <w:rFonts w:hint="eastAsia" w:ascii="宋体" w:hAnsi="宋体" w:eastAsia="宋体" w:cs="宋体"/>
          <w:b w:val="0"/>
          <w:bCs/>
          <w:color w:val="auto"/>
          <w:szCs w:val="21"/>
          <w:highlight w:val="none"/>
          <w:lang w:val="en-US" w:eastAsia="zh-CN"/>
        </w:rPr>
        <w:t>详见第一章竞争性磋商邀请</w:t>
      </w:r>
    </w:p>
    <w:p w14:paraId="5D557ED6">
      <w:pPr>
        <w:pageBreakBefore w:val="0"/>
        <w:spacing w:line="360" w:lineRule="auto"/>
        <w:ind w:firstLine="422"/>
        <w:rPr>
          <w:rFonts w:hint="eastAsia" w:ascii="宋体" w:hAnsi="宋体" w:cs="宋体"/>
          <w:b/>
          <w:color w:val="auto"/>
          <w:szCs w:val="21"/>
          <w:highlight w:val="none"/>
        </w:rPr>
      </w:pPr>
      <w:r>
        <w:rPr>
          <w:rFonts w:hint="eastAsia" w:ascii="宋体" w:hAnsi="宋体" w:cs="宋体"/>
          <w:b/>
          <w:color w:val="auto"/>
          <w:szCs w:val="21"/>
          <w:highlight w:val="none"/>
        </w:rPr>
        <w:t>5.供应商的义务及注意事项</w:t>
      </w:r>
    </w:p>
    <w:p w14:paraId="21F26597">
      <w:pPr>
        <w:pageBreakBefore w:val="0"/>
        <w:spacing w:line="360" w:lineRule="auto"/>
        <w:ind w:firstLine="422"/>
        <w:rPr>
          <w:rFonts w:hint="eastAsia" w:ascii="宋体" w:hAnsi="宋体" w:cs="宋体"/>
          <w:b/>
          <w:color w:val="auto"/>
          <w:szCs w:val="21"/>
          <w:highlight w:val="none"/>
          <w:lang w:val="zh-CN"/>
        </w:rPr>
      </w:pPr>
      <w:r>
        <w:rPr>
          <w:rFonts w:hint="eastAsia" w:ascii="宋体" w:hAnsi="宋体" w:cs="宋体"/>
          <w:b/>
          <w:color w:val="auto"/>
          <w:szCs w:val="21"/>
          <w:highlight w:val="none"/>
        </w:rPr>
        <w:t>5.1</w:t>
      </w:r>
      <w:r>
        <w:rPr>
          <w:rFonts w:hint="eastAsia" w:ascii="宋体" w:hAnsi="宋体" w:cs="宋体"/>
          <w:b/>
          <w:color w:val="auto"/>
          <w:szCs w:val="21"/>
          <w:highlight w:val="none"/>
          <w:lang w:val="zh-CN"/>
        </w:rPr>
        <w:t>集中现场</w:t>
      </w:r>
      <w:r>
        <w:rPr>
          <w:rFonts w:hint="eastAsia" w:ascii="宋体" w:hAnsi="宋体" w:cs="宋体"/>
          <w:b/>
          <w:color w:val="auto"/>
          <w:szCs w:val="21"/>
          <w:highlight w:val="none"/>
        </w:rPr>
        <w:t>答疑/勘察</w:t>
      </w:r>
      <w:r>
        <w:rPr>
          <w:rFonts w:hint="eastAsia" w:ascii="宋体" w:hAnsi="宋体" w:cs="宋体"/>
          <w:b/>
          <w:color w:val="auto"/>
          <w:szCs w:val="21"/>
          <w:highlight w:val="none"/>
          <w:lang w:val="zh-CN"/>
        </w:rPr>
        <w:t>：无。</w:t>
      </w:r>
    </w:p>
    <w:p w14:paraId="48BFEC7C">
      <w:pPr>
        <w:pageBreakBefore w:val="0"/>
        <w:spacing w:line="360" w:lineRule="auto"/>
        <w:ind w:firstLine="422"/>
        <w:rPr>
          <w:rFonts w:hint="eastAsia" w:ascii="宋体" w:hAnsi="宋体" w:cs="宋体"/>
          <w:b/>
          <w:color w:val="auto"/>
          <w:szCs w:val="21"/>
          <w:highlight w:val="none"/>
        </w:rPr>
      </w:pPr>
      <w:r>
        <w:rPr>
          <w:rFonts w:hint="eastAsia" w:ascii="宋体" w:hAnsi="宋体" w:cs="宋体"/>
          <w:b/>
          <w:color w:val="auto"/>
          <w:szCs w:val="21"/>
          <w:highlight w:val="none"/>
        </w:rPr>
        <w:t>5.2义务</w:t>
      </w:r>
    </w:p>
    <w:p w14:paraId="3584D8D4">
      <w:pPr>
        <w:pageBreakBefore w:val="0"/>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5.2.1供应商应当认真阅读本磋商文件，完全明了本项目之名称、用途、数量、质量和提供服务时间，完全明了应具备的资格条件。</w:t>
      </w:r>
    </w:p>
    <w:p w14:paraId="45946215">
      <w:pPr>
        <w:pageBreakBefore w:val="0"/>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5.2.2供应商应当按照磋商文件的要求编制响应性文件。响应性文件应对磋商文件提出的实质性要求和条件作出完全响应。</w:t>
      </w:r>
    </w:p>
    <w:p w14:paraId="48FF45DD">
      <w:pPr>
        <w:pageBreakBefore w:val="0"/>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5.2.3供应商应在磋商截止时间前，将密封的响应性文件送达磋商地点。</w:t>
      </w:r>
    </w:p>
    <w:p w14:paraId="3380BEA0">
      <w:pPr>
        <w:pageBreakBefore w:val="0"/>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5.2.4供应商不得相互串通报价，不得排挤其他供应商的公平竞争，损害采购人或者其他供应商的合法权益。供应商不得与采购人串通磋商，损害国家利益，公众利益或者他人的合法权益。</w:t>
      </w:r>
    </w:p>
    <w:p w14:paraId="70A5F8DA">
      <w:pPr>
        <w:pStyle w:val="22"/>
        <w:pageBreakBefore w:val="0"/>
        <w:spacing w:line="360" w:lineRule="auto"/>
        <w:ind w:left="0"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5.2.5供应商在磋商截止时间前，对所递交的响应性文件可以补充、修改或者撤回，并书面通知代理机构。补充、修改的内容为响应性文件的组成部分。</w:t>
      </w:r>
    </w:p>
    <w:p w14:paraId="218560F6">
      <w:pPr>
        <w:pageBreakBefore w:val="0"/>
        <w:spacing w:line="360" w:lineRule="auto"/>
        <w:ind w:firstLine="413"/>
        <w:rPr>
          <w:rFonts w:hint="eastAsia" w:ascii="宋体" w:hAnsi="宋体" w:cs="宋体"/>
          <w:b/>
          <w:color w:val="auto"/>
          <w:szCs w:val="21"/>
          <w:highlight w:val="none"/>
        </w:rPr>
      </w:pPr>
      <w:r>
        <w:rPr>
          <w:rFonts w:hint="eastAsia" w:ascii="宋体" w:hAnsi="宋体" w:cs="宋体"/>
          <w:b/>
          <w:color w:val="auto"/>
          <w:szCs w:val="21"/>
          <w:highlight w:val="none"/>
        </w:rPr>
        <w:t>5.3注意事项</w:t>
      </w:r>
    </w:p>
    <w:p w14:paraId="1DEB8460">
      <w:pPr>
        <w:pageBreakBefore w:val="0"/>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5.3.1本项目采购方式是</w:t>
      </w:r>
      <w:r>
        <w:rPr>
          <w:rFonts w:hint="eastAsia" w:ascii="宋体" w:hAnsi="宋体" w:cs="宋体"/>
          <w:b/>
          <w:color w:val="auto"/>
          <w:szCs w:val="21"/>
          <w:highlight w:val="none"/>
        </w:rPr>
        <w:t>竞争性磋商</w:t>
      </w:r>
      <w:r>
        <w:rPr>
          <w:rFonts w:hint="eastAsia" w:ascii="宋体" w:hAnsi="宋体" w:cs="宋体"/>
          <w:color w:val="auto"/>
          <w:szCs w:val="21"/>
          <w:highlight w:val="none"/>
        </w:rPr>
        <w:t>，整个项目是一个整体、不可分割。</w:t>
      </w:r>
    </w:p>
    <w:p w14:paraId="478F52B4">
      <w:pPr>
        <w:pageBreakBefore w:val="0"/>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5.3.2验收标准</w:t>
      </w:r>
    </w:p>
    <w:p w14:paraId="622E85B6">
      <w:pPr>
        <w:pageBreakBefore w:val="0"/>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5.3.2.1磋商文件中明确的标准和技术要求，未明确部分按照国家最新的相关标准；</w:t>
      </w:r>
    </w:p>
    <w:p w14:paraId="61879CDC">
      <w:pPr>
        <w:pageBreakBefore w:val="0"/>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5.3.2.2供应商随响应性文件提供的货物制造国制造及验收的官方标准或货物验收大纲，经</w:t>
      </w:r>
      <w:r>
        <w:rPr>
          <w:rFonts w:hint="eastAsia" w:ascii="宋体" w:hAnsi="宋体" w:cs="宋体"/>
          <w:color w:val="auto"/>
          <w:szCs w:val="21"/>
          <w:highlight w:val="none"/>
          <w:lang w:eastAsia="zh-CN"/>
        </w:rPr>
        <w:t>采购人</w:t>
      </w:r>
      <w:r>
        <w:rPr>
          <w:rFonts w:hint="eastAsia" w:ascii="宋体" w:hAnsi="宋体" w:cs="宋体"/>
          <w:color w:val="auto"/>
          <w:szCs w:val="21"/>
          <w:highlight w:val="none"/>
        </w:rPr>
        <w:t>确认后，将作为对货物的验收依据之一；</w:t>
      </w:r>
    </w:p>
    <w:p w14:paraId="242142C8">
      <w:pPr>
        <w:pageBreakBefore w:val="0"/>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5.3.2.3供应商在澄清响应文件时作出的承诺，经</w:t>
      </w:r>
      <w:r>
        <w:rPr>
          <w:rFonts w:hint="eastAsia" w:ascii="宋体" w:hAnsi="宋体" w:cs="宋体"/>
          <w:color w:val="auto"/>
          <w:szCs w:val="21"/>
          <w:highlight w:val="none"/>
          <w:lang w:eastAsia="zh-CN"/>
        </w:rPr>
        <w:t>采购人</w:t>
      </w:r>
      <w:r>
        <w:rPr>
          <w:rFonts w:hint="eastAsia" w:ascii="宋体" w:hAnsi="宋体" w:cs="宋体"/>
          <w:color w:val="auto"/>
          <w:szCs w:val="21"/>
          <w:highlight w:val="none"/>
        </w:rPr>
        <w:t>确认后，将作为对货物的验收依据之一；</w:t>
      </w:r>
    </w:p>
    <w:p w14:paraId="7AD50015">
      <w:pPr>
        <w:pageBreakBefore w:val="0"/>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5.3.2.4项目完毕后，由</w:t>
      </w:r>
      <w:r>
        <w:rPr>
          <w:rFonts w:hint="eastAsia" w:ascii="宋体" w:hAnsi="宋体" w:cs="宋体"/>
          <w:color w:val="auto"/>
          <w:szCs w:val="21"/>
          <w:highlight w:val="none"/>
          <w:lang w:eastAsia="zh-CN"/>
        </w:rPr>
        <w:t>采购人</w:t>
      </w:r>
      <w:r>
        <w:rPr>
          <w:rFonts w:hint="eastAsia" w:ascii="宋体" w:hAnsi="宋体" w:cs="宋体"/>
          <w:color w:val="auto"/>
          <w:szCs w:val="21"/>
          <w:highlight w:val="none"/>
        </w:rPr>
        <w:t>组织按国家相关标准进行验收。</w:t>
      </w:r>
    </w:p>
    <w:p w14:paraId="292AC2CF">
      <w:pPr>
        <w:pageBreakBefore w:val="0"/>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5.3.3供应商应认真阅读磋商文件中所有的事项、格式、条款和规范等要求，如果没有按照磋商文件要求提交全部资料，或者没有对磋商文件作出实质性响应，相应风险应由供应商承担，包括作无效磋商处理。</w:t>
      </w:r>
    </w:p>
    <w:p w14:paraId="4B908433">
      <w:pPr>
        <w:pageBreakBefore w:val="0"/>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5.3.4任何供应商成交，须保证所供货物能通过当地有关职能部门验收，否则</w:t>
      </w:r>
      <w:r>
        <w:rPr>
          <w:rFonts w:hint="eastAsia" w:ascii="宋体" w:hAnsi="宋体" w:cs="宋体"/>
          <w:color w:val="auto"/>
          <w:szCs w:val="21"/>
          <w:highlight w:val="none"/>
          <w:lang w:eastAsia="zh-CN"/>
        </w:rPr>
        <w:t>采购人</w:t>
      </w:r>
      <w:r>
        <w:rPr>
          <w:rFonts w:hint="eastAsia" w:ascii="宋体" w:hAnsi="宋体" w:cs="宋体"/>
          <w:color w:val="auto"/>
          <w:szCs w:val="21"/>
          <w:highlight w:val="none"/>
        </w:rPr>
        <w:t>有权拒绝支付合同款项。</w:t>
      </w:r>
    </w:p>
    <w:p w14:paraId="70EE8216">
      <w:pPr>
        <w:pageBreakBefore w:val="0"/>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5.3.5供应商应保证采购人在使用该货物或其任何一部分时不受第三方提出侵犯其专利权、版权、商标权或其他权利的起诉。一旦出现侵权，供应商应承担全部责任。</w:t>
      </w:r>
    </w:p>
    <w:p w14:paraId="28B25298">
      <w:pPr>
        <w:pageBreakBefore w:val="0"/>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5.3.6本次项目</w:t>
      </w:r>
      <w:r>
        <w:rPr>
          <w:rFonts w:hint="eastAsia" w:ascii="宋体" w:hAnsi="宋体" w:cs="宋体"/>
          <w:b/>
          <w:color w:val="auto"/>
          <w:szCs w:val="21"/>
          <w:highlight w:val="none"/>
        </w:rPr>
        <w:t>不接受联合体磋商</w:t>
      </w:r>
      <w:r>
        <w:rPr>
          <w:rFonts w:hint="eastAsia" w:ascii="宋体" w:hAnsi="宋体" w:cs="宋体"/>
          <w:color w:val="auto"/>
          <w:szCs w:val="21"/>
          <w:highlight w:val="none"/>
        </w:rPr>
        <w:t>。</w:t>
      </w:r>
    </w:p>
    <w:p w14:paraId="583E6173">
      <w:pPr>
        <w:pageBreakBefore w:val="0"/>
        <w:tabs>
          <w:tab w:val="left" w:pos="1260"/>
        </w:tabs>
        <w:spacing w:line="360" w:lineRule="auto"/>
        <w:ind w:firstLine="422"/>
        <w:rPr>
          <w:rFonts w:hint="eastAsia" w:ascii="宋体" w:hAnsi="宋体" w:cs="宋体"/>
          <w:b/>
          <w:color w:val="auto"/>
          <w:highlight w:val="none"/>
        </w:rPr>
      </w:pPr>
      <w:r>
        <w:rPr>
          <w:rFonts w:hint="eastAsia" w:ascii="宋体" w:hAnsi="宋体" w:cs="宋体"/>
          <w:b/>
          <w:color w:val="auto"/>
          <w:highlight w:val="none"/>
        </w:rPr>
        <w:t>6.磋商文件的澄清、修改</w:t>
      </w:r>
    </w:p>
    <w:p w14:paraId="2B7D4F2D">
      <w:pPr>
        <w:pageBreakBefore w:val="0"/>
        <w:spacing w:line="360" w:lineRule="auto"/>
        <w:ind w:firstLine="420"/>
        <w:rPr>
          <w:rFonts w:hint="eastAsia" w:ascii="宋体" w:hAnsi="宋体" w:cs="宋体"/>
          <w:color w:val="auto"/>
          <w:highlight w:val="none"/>
        </w:rPr>
      </w:pPr>
      <w:r>
        <w:rPr>
          <w:rFonts w:hint="eastAsia" w:ascii="宋体" w:hAnsi="宋体" w:cs="宋体"/>
          <w:color w:val="auto"/>
          <w:highlight w:val="none"/>
        </w:rPr>
        <w:t>6.1磋商文件公布期间如有实质性变动的，代理机构将在原磋商采购信息发布媒体上发布变更公告，并自变更之日起公布期限顺延，相关供应商应请及时关注。如果潜在供应商因自身的原因未能及时获取相应信息，供应商将承担被拒绝参加磋商或被视为非实质性响应磋商文件的风险。</w:t>
      </w:r>
    </w:p>
    <w:p w14:paraId="70B421D5">
      <w:pPr>
        <w:keepNext w:val="0"/>
        <w:keepLines w:val="0"/>
        <w:pageBreakBefore w:val="0"/>
        <w:widowControl w:val="0"/>
        <w:spacing w:line="360" w:lineRule="auto"/>
        <w:ind w:firstLine="422"/>
        <w:rPr>
          <w:rFonts w:hint="eastAsia" w:ascii="宋体" w:hAnsi="宋体" w:cs="宋体"/>
          <w:b/>
          <w:color w:val="auto"/>
          <w:highlight w:val="none"/>
        </w:rPr>
      </w:pPr>
      <w:r>
        <w:rPr>
          <w:rFonts w:hint="eastAsia" w:ascii="宋体" w:hAnsi="宋体" w:cs="宋体"/>
          <w:b/>
          <w:color w:val="auto"/>
          <w:highlight w:val="none"/>
        </w:rPr>
        <w:t>7．磋商有效期</w:t>
      </w:r>
    </w:p>
    <w:p w14:paraId="226F8575">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7.1磋商有效期为磋商文件规定的磋商之日后90天。</w:t>
      </w:r>
    </w:p>
    <w:p w14:paraId="4EE1E24E">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7.2在特殊情况下，代理机构于原磋商有效期满之前，可向供应商提出延长磋商有效期的要求。同意延长的供应商既不能要求也不允许修改其响应性文件。</w:t>
      </w:r>
    </w:p>
    <w:p w14:paraId="39FCCD00">
      <w:pPr>
        <w:keepNext w:val="0"/>
        <w:keepLines w:val="0"/>
        <w:pageBreakBefore w:val="0"/>
        <w:widowControl w:val="0"/>
        <w:spacing w:line="360" w:lineRule="auto"/>
        <w:ind w:firstLine="420"/>
        <w:rPr>
          <w:rFonts w:ascii="宋体" w:hAnsi="宋体" w:cs="宋体"/>
          <w:b/>
          <w:bCs/>
          <w:szCs w:val="21"/>
          <w:highlight w:val="none"/>
          <w:lang w:val="zh-CN"/>
        </w:rPr>
      </w:pPr>
      <w:r>
        <w:rPr>
          <w:rFonts w:hint="eastAsia" w:ascii="宋体" w:hAnsi="宋体" w:cs="宋体"/>
          <w:b/>
          <w:bCs/>
          <w:szCs w:val="21"/>
          <w:highlight w:val="none"/>
        </w:rPr>
        <w:t>8</w:t>
      </w:r>
      <w:r>
        <w:rPr>
          <w:rFonts w:hint="eastAsia" w:ascii="宋体" w:hAnsi="宋体" w:cs="宋体"/>
          <w:b/>
          <w:bCs/>
          <w:szCs w:val="21"/>
          <w:highlight w:val="none"/>
          <w:lang w:val="zh-CN"/>
        </w:rPr>
        <w:t>．磋商费用</w:t>
      </w:r>
    </w:p>
    <w:p w14:paraId="56B6190C">
      <w:pPr>
        <w:keepNext w:val="0"/>
        <w:keepLines w:val="0"/>
        <w:pageBreakBefore w:val="0"/>
        <w:widowControl w:val="0"/>
        <w:spacing w:line="360" w:lineRule="auto"/>
        <w:ind w:firstLine="420"/>
        <w:rPr>
          <w:rFonts w:ascii="宋体" w:hAnsi="宋体" w:cs="宋体"/>
          <w:szCs w:val="21"/>
          <w:highlight w:val="none"/>
          <w:lang w:val="zh-CN"/>
        </w:rPr>
      </w:pPr>
      <w:r>
        <w:rPr>
          <w:rFonts w:hint="eastAsia" w:ascii="宋体" w:hAnsi="宋体" w:cs="宋体"/>
          <w:szCs w:val="21"/>
          <w:highlight w:val="none"/>
        </w:rPr>
        <w:t>8.1供应商</w:t>
      </w:r>
      <w:r>
        <w:rPr>
          <w:rFonts w:hint="eastAsia" w:ascii="宋体" w:hAnsi="宋体" w:cs="宋体"/>
          <w:szCs w:val="21"/>
          <w:highlight w:val="none"/>
          <w:lang w:val="zh-CN"/>
        </w:rPr>
        <w:t>应承担所有与准备和参加磋商有关的费用，代理机构和采购人在任何情况下均无义务和责任承担这些费用。</w:t>
      </w:r>
    </w:p>
    <w:p w14:paraId="52200475">
      <w:pPr>
        <w:keepNext w:val="0"/>
        <w:keepLines w:val="0"/>
        <w:pageBreakBefore w:val="0"/>
        <w:widowControl w:val="0"/>
        <w:spacing w:line="360" w:lineRule="auto"/>
        <w:ind w:firstLine="420"/>
        <w:rPr>
          <w:rFonts w:ascii="宋体" w:hAnsi="宋体" w:cs="宋体"/>
          <w:b/>
          <w:bCs/>
          <w:szCs w:val="21"/>
          <w:highlight w:val="none"/>
          <w:lang w:val="zh-CN"/>
        </w:rPr>
      </w:pPr>
      <w:r>
        <w:rPr>
          <w:rFonts w:hint="eastAsia" w:ascii="宋体" w:hAnsi="宋体" w:cs="宋体"/>
          <w:b/>
          <w:szCs w:val="21"/>
          <w:highlight w:val="none"/>
        </w:rPr>
        <w:t>8</w:t>
      </w:r>
      <w:r>
        <w:rPr>
          <w:rFonts w:hint="eastAsia" w:ascii="宋体" w:hAnsi="宋体" w:cs="宋体"/>
          <w:b/>
          <w:szCs w:val="21"/>
          <w:highlight w:val="none"/>
          <w:lang w:val="zh-CN"/>
        </w:rPr>
        <w:t>.2本次采购招标代理服务费由</w:t>
      </w:r>
      <w:r>
        <w:rPr>
          <w:rFonts w:hint="eastAsia" w:ascii="宋体" w:hAnsi="宋体" w:cs="宋体"/>
          <w:b/>
          <w:szCs w:val="21"/>
          <w:highlight w:val="none"/>
          <w:lang w:val="zh-CN" w:eastAsia="zh-CN"/>
        </w:rPr>
        <w:t>采购人</w:t>
      </w:r>
      <w:r>
        <w:rPr>
          <w:rFonts w:hint="eastAsia" w:ascii="宋体" w:hAnsi="宋体" w:cs="宋体"/>
          <w:b/>
          <w:szCs w:val="21"/>
          <w:highlight w:val="none"/>
          <w:lang w:val="zh-CN"/>
        </w:rPr>
        <w:t>支付。</w:t>
      </w:r>
    </w:p>
    <w:p w14:paraId="2E3EA44A">
      <w:pPr>
        <w:keepNext w:val="0"/>
        <w:keepLines w:val="0"/>
        <w:pageBreakBefore w:val="0"/>
        <w:spacing w:line="360" w:lineRule="auto"/>
        <w:ind w:firstLine="420"/>
        <w:outlineLvl w:val="1"/>
        <w:rPr>
          <w:rFonts w:ascii="宋体" w:hAnsi="宋体" w:cs="宋体"/>
          <w:b/>
          <w:highlight w:val="none"/>
        </w:rPr>
      </w:pPr>
      <w:bookmarkStart w:id="74" w:name="_Toc12217"/>
      <w:bookmarkStart w:id="75" w:name="_Toc20309"/>
      <w:bookmarkStart w:id="76" w:name="_Toc27328"/>
      <w:bookmarkStart w:id="77" w:name="_Toc23454"/>
      <w:bookmarkStart w:id="78" w:name="_Toc22931"/>
      <w:bookmarkStart w:id="79" w:name="_Toc32283"/>
      <w:bookmarkStart w:id="80" w:name="_Toc8640"/>
      <w:bookmarkStart w:id="81" w:name="_Toc10774"/>
      <w:bookmarkStart w:id="82" w:name="_Toc11035"/>
      <w:bookmarkStart w:id="83" w:name="_Toc15276"/>
      <w:bookmarkStart w:id="84" w:name="_Toc5467"/>
      <w:bookmarkStart w:id="85" w:name="_Toc4853"/>
      <w:bookmarkStart w:id="86" w:name="_Toc16395"/>
      <w:bookmarkStart w:id="87" w:name="_Toc504141738"/>
      <w:bookmarkStart w:id="88" w:name="_Toc9417"/>
      <w:bookmarkStart w:id="89" w:name="_Toc27537"/>
      <w:bookmarkStart w:id="90" w:name="_Toc25749"/>
      <w:bookmarkStart w:id="91" w:name="_Toc29078"/>
      <w:bookmarkStart w:id="92" w:name="_Toc20699"/>
      <w:bookmarkStart w:id="93" w:name="_Toc25994"/>
      <w:bookmarkStart w:id="94" w:name="_Toc16353"/>
      <w:bookmarkStart w:id="95" w:name="_Toc345336137"/>
      <w:bookmarkStart w:id="96" w:name="_Toc25711"/>
      <w:bookmarkStart w:id="97" w:name="_Toc80"/>
      <w:bookmarkStart w:id="98" w:name="_Toc28108"/>
      <w:bookmarkStart w:id="99" w:name="_Toc3329"/>
      <w:r>
        <w:rPr>
          <w:rFonts w:hint="eastAsia" w:ascii="宋体" w:hAnsi="宋体" w:cs="宋体"/>
          <w:b/>
          <w:highlight w:val="none"/>
        </w:rPr>
        <w:t>二、响应性文件的编制</w:t>
      </w:r>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p>
    <w:p w14:paraId="55B7EB72">
      <w:pPr>
        <w:keepNext w:val="0"/>
        <w:keepLines w:val="0"/>
        <w:pageBreakBefore w:val="0"/>
        <w:spacing w:line="360" w:lineRule="auto"/>
        <w:ind w:firstLine="422"/>
        <w:rPr>
          <w:rFonts w:ascii="宋体" w:hAnsi="宋体" w:cs="宋体"/>
          <w:b/>
          <w:szCs w:val="21"/>
          <w:highlight w:val="none"/>
        </w:rPr>
      </w:pPr>
      <w:r>
        <w:rPr>
          <w:rFonts w:hint="eastAsia" w:ascii="宋体" w:hAnsi="宋体" w:cs="宋体"/>
          <w:b/>
          <w:szCs w:val="21"/>
          <w:highlight w:val="none"/>
        </w:rPr>
        <w:t>9.响应性文件的语言、计量单位、货币和编制</w:t>
      </w:r>
    </w:p>
    <w:p w14:paraId="563AD7DA">
      <w:pPr>
        <w:keepNext w:val="0"/>
        <w:keepLines w:val="0"/>
        <w:pageBreakBefore w:val="0"/>
        <w:spacing w:line="360" w:lineRule="auto"/>
        <w:ind w:firstLine="420"/>
        <w:rPr>
          <w:rFonts w:ascii="宋体" w:hAnsi="宋体" w:cs="宋体"/>
          <w:szCs w:val="21"/>
          <w:highlight w:val="none"/>
        </w:rPr>
      </w:pPr>
      <w:r>
        <w:rPr>
          <w:rFonts w:hint="eastAsia" w:ascii="宋体" w:hAnsi="宋体" w:cs="宋体"/>
          <w:szCs w:val="21"/>
          <w:highlight w:val="none"/>
        </w:rPr>
        <w:t>9.1供应商提交的响应性文件、技术文件和资料，以及供应商与代理机构就有关磋商的所有来往函电均应使用中文。响应性文件中若有英文或其他语言文字的资料，应提供相应的中文翻译资料。</w:t>
      </w:r>
      <w:r>
        <w:rPr>
          <w:rFonts w:hint="eastAsia" w:ascii="宋体" w:hAnsi="宋体" w:cs="宋体"/>
          <w:szCs w:val="21"/>
          <w:highlight w:val="none"/>
          <w:lang w:val="zh-CN"/>
        </w:rPr>
        <w:t>对不同文本磋商响应文件的解释发生异议的，以中文文本为准。</w:t>
      </w:r>
    </w:p>
    <w:p w14:paraId="38745B75">
      <w:pPr>
        <w:keepNext w:val="0"/>
        <w:keepLines w:val="0"/>
        <w:pageBreakBefore w:val="0"/>
        <w:spacing w:line="360" w:lineRule="auto"/>
        <w:ind w:firstLine="420"/>
        <w:rPr>
          <w:rFonts w:ascii="宋体" w:hAnsi="宋体" w:cs="宋体"/>
          <w:szCs w:val="21"/>
          <w:highlight w:val="none"/>
        </w:rPr>
      </w:pPr>
      <w:r>
        <w:rPr>
          <w:rFonts w:hint="eastAsia" w:ascii="宋体" w:hAnsi="宋体" w:cs="宋体"/>
          <w:szCs w:val="21"/>
          <w:highlight w:val="none"/>
        </w:rPr>
        <w:t>9.2供应商所使用的计量单位应为国家法定计量单位。</w:t>
      </w:r>
    </w:p>
    <w:p w14:paraId="3FCEA47D">
      <w:pPr>
        <w:keepNext w:val="0"/>
        <w:keepLines w:val="0"/>
        <w:pageBreakBefore w:val="0"/>
        <w:spacing w:line="360" w:lineRule="auto"/>
        <w:ind w:firstLine="420"/>
        <w:rPr>
          <w:rFonts w:ascii="宋体" w:hAnsi="宋体" w:cs="宋体"/>
          <w:b/>
          <w:szCs w:val="21"/>
          <w:highlight w:val="none"/>
          <w:lang w:val="zh-CN"/>
        </w:rPr>
      </w:pPr>
      <w:r>
        <w:rPr>
          <w:rFonts w:hint="eastAsia" w:ascii="宋体" w:hAnsi="宋体" w:cs="宋体"/>
          <w:szCs w:val="21"/>
          <w:highlight w:val="none"/>
        </w:rPr>
        <w:t>9.3供应商应用人民币报价。</w:t>
      </w:r>
      <w:r>
        <w:rPr>
          <w:rFonts w:hint="eastAsia" w:ascii="宋体" w:hAnsi="宋体" w:cs="宋体"/>
          <w:szCs w:val="21"/>
          <w:highlight w:val="none"/>
          <w:lang w:val="zh-CN"/>
        </w:rPr>
        <w:t>报价产品如果是进口产品的，应提供人民币与</w:t>
      </w:r>
      <w:r>
        <w:rPr>
          <w:rFonts w:hint="eastAsia" w:ascii="宋体" w:hAnsi="宋体" w:cs="宋体"/>
          <w:b/>
          <w:szCs w:val="21"/>
          <w:highlight w:val="none"/>
          <w:lang w:val="zh-CN"/>
        </w:rPr>
        <w:t>美元之间的汇率；报价单位为“元”。</w:t>
      </w:r>
    </w:p>
    <w:p w14:paraId="532CC23E">
      <w:pPr>
        <w:keepNext w:val="0"/>
        <w:keepLines w:val="0"/>
        <w:pageBreakBefore w:val="0"/>
        <w:spacing w:line="360" w:lineRule="auto"/>
        <w:ind w:firstLine="422"/>
        <w:rPr>
          <w:rFonts w:ascii="宋体" w:hAnsi="宋体" w:cs="宋体"/>
          <w:b/>
          <w:szCs w:val="21"/>
          <w:highlight w:val="none"/>
        </w:rPr>
      </w:pPr>
      <w:r>
        <w:rPr>
          <w:rFonts w:hint="eastAsia" w:ascii="宋体" w:hAnsi="宋体" w:cs="宋体"/>
          <w:b/>
          <w:szCs w:val="21"/>
          <w:highlight w:val="none"/>
        </w:rPr>
        <w:t>10.响应性文件的组成</w:t>
      </w:r>
    </w:p>
    <w:p w14:paraId="47546264">
      <w:pPr>
        <w:keepNext w:val="0"/>
        <w:keepLines w:val="0"/>
        <w:pageBreakBefore w:val="0"/>
        <w:widowControl w:val="0"/>
        <w:spacing w:line="360" w:lineRule="auto"/>
        <w:ind w:firstLine="420"/>
        <w:rPr>
          <w:rFonts w:ascii="宋体" w:hAnsi="宋体" w:cs="宋体"/>
          <w:b/>
          <w:szCs w:val="21"/>
          <w:highlight w:val="none"/>
        </w:rPr>
      </w:pPr>
      <w:r>
        <w:rPr>
          <w:rFonts w:hint="eastAsia" w:ascii="宋体" w:hAnsi="宋体" w:cs="宋体"/>
          <w:szCs w:val="21"/>
          <w:highlight w:val="none"/>
          <w:lang w:val="zh-CN"/>
        </w:rPr>
        <w:t>1</w:t>
      </w:r>
      <w:r>
        <w:rPr>
          <w:rFonts w:hint="eastAsia" w:ascii="宋体" w:hAnsi="宋体" w:cs="宋体"/>
          <w:szCs w:val="21"/>
          <w:highlight w:val="none"/>
        </w:rPr>
        <w:t>0</w:t>
      </w:r>
      <w:r>
        <w:rPr>
          <w:rFonts w:hint="eastAsia" w:ascii="宋体" w:hAnsi="宋体" w:cs="宋体"/>
          <w:szCs w:val="21"/>
          <w:highlight w:val="none"/>
          <w:lang w:val="zh-CN"/>
        </w:rPr>
        <w:t xml:space="preserve">.1 </w:t>
      </w:r>
      <w:r>
        <w:rPr>
          <w:rFonts w:hint="eastAsia" w:ascii="宋体" w:hAnsi="宋体" w:cs="宋体"/>
          <w:szCs w:val="21"/>
          <w:highlight w:val="none"/>
        </w:rPr>
        <w:t>供应商应当根据竞争性磋商文件要求编制磋商响应文件，并根据自己的商务能力、技术水平对竞争性磋商文件提出的要求和条件逐条标明是否响应。</w:t>
      </w:r>
    </w:p>
    <w:p w14:paraId="7C4DC1EA">
      <w:pPr>
        <w:keepNext w:val="0"/>
        <w:keepLines w:val="0"/>
        <w:pageBreakBefore w:val="0"/>
        <w:widowControl w:val="0"/>
        <w:spacing w:line="360" w:lineRule="auto"/>
        <w:ind w:firstLine="420"/>
        <w:rPr>
          <w:rFonts w:hint="eastAsia" w:ascii="宋体" w:hAnsi="宋体" w:cs="宋体"/>
          <w:szCs w:val="21"/>
          <w:highlight w:val="none"/>
          <w:lang w:val="zh-CN"/>
        </w:rPr>
      </w:pPr>
      <w:r>
        <w:rPr>
          <w:rFonts w:hint="eastAsia" w:ascii="宋体" w:hAnsi="宋体" w:cs="宋体"/>
          <w:szCs w:val="21"/>
          <w:highlight w:val="none"/>
        </w:rPr>
        <w:t>10.2</w:t>
      </w:r>
      <w:r>
        <w:rPr>
          <w:rFonts w:hint="eastAsia" w:ascii="宋体" w:hAnsi="宋体" w:cs="宋体"/>
          <w:szCs w:val="21"/>
          <w:highlight w:val="none"/>
          <w:lang w:val="zh-CN"/>
        </w:rPr>
        <w:t>磋商响应文件由商务部分、技术部分、价格部分，以及其他部分组成。</w:t>
      </w:r>
    </w:p>
    <w:p w14:paraId="032C3564">
      <w:pPr>
        <w:keepNext w:val="0"/>
        <w:keepLines w:val="0"/>
        <w:pageBreakBefore w:val="0"/>
        <w:widowControl w:val="0"/>
        <w:spacing w:line="360" w:lineRule="auto"/>
        <w:ind w:firstLine="420"/>
        <w:rPr>
          <w:rFonts w:hint="eastAsia" w:ascii="宋体" w:hAnsi="宋体" w:cs="宋体"/>
          <w:szCs w:val="21"/>
          <w:highlight w:val="none"/>
          <w:lang w:eastAsia="zh-CN"/>
        </w:rPr>
      </w:pPr>
      <w:r>
        <w:rPr>
          <w:rFonts w:hint="eastAsia" w:ascii="宋体" w:hAnsi="宋体" w:cs="宋体"/>
          <w:szCs w:val="21"/>
          <w:highlight w:val="none"/>
          <w:lang w:val="en-US" w:eastAsia="zh-CN"/>
        </w:rPr>
        <w:t>10.3</w:t>
      </w:r>
      <w:r>
        <w:rPr>
          <w:rFonts w:hint="eastAsia" w:ascii="宋体" w:hAnsi="宋体" w:cs="宋体"/>
          <w:szCs w:val="21"/>
          <w:highlight w:val="none"/>
          <w:lang w:eastAsia="zh-CN"/>
        </w:rPr>
        <w:t>如标书制作工具中格式和内容与“江苏政府采购网”发布的磋商文件不一致，以“江苏政府采购网”发布的磋商文件为准。</w:t>
      </w:r>
    </w:p>
    <w:p w14:paraId="10E716E0">
      <w:pPr>
        <w:keepNext w:val="0"/>
        <w:keepLines w:val="0"/>
        <w:pageBreakBefore w:val="0"/>
        <w:spacing w:line="360" w:lineRule="auto"/>
        <w:ind w:firstLine="420"/>
        <w:rPr>
          <w:rFonts w:ascii="宋体" w:hAnsi="宋体" w:cs="宋体"/>
          <w:szCs w:val="21"/>
          <w:highlight w:val="none"/>
          <w:lang w:val="zh-CN"/>
        </w:rPr>
      </w:pPr>
      <w:r>
        <w:rPr>
          <w:rFonts w:hint="eastAsia" w:ascii="宋体" w:hAnsi="宋体" w:cs="宋体"/>
          <w:b/>
          <w:szCs w:val="21"/>
          <w:highlight w:val="none"/>
        </w:rPr>
        <w:t>11.响应性文件的商务部分</w:t>
      </w:r>
      <w:r>
        <w:rPr>
          <w:rFonts w:hint="eastAsia" w:ascii="宋体" w:hAnsi="宋体" w:cs="宋体"/>
          <w:szCs w:val="21"/>
          <w:highlight w:val="none"/>
        </w:rPr>
        <w:t>:</w:t>
      </w:r>
      <w:r>
        <w:rPr>
          <w:rFonts w:hint="eastAsia" w:ascii="宋体" w:hAnsi="宋体" w:cs="宋体"/>
          <w:szCs w:val="21"/>
          <w:highlight w:val="none"/>
          <w:lang w:val="zh-CN"/>
        </w:rPr>
        <w:t xml:space="preserve"> 商务部分是证明供应商有资格参加磋商和成交后有能力履行合同的文件，</w:t>
      </w:r>
      <w:r>
        <w:rPr>
          <w:rFonts w:hint="eastAsia" w:ascii="宋体" w:hAnsi="宋体" w:cs="宋体"/>
          <w:szCs w:val="21"/>
          <w:highlight w:val="none"/>
        </w:rPr>
        <w:t>这些文件应能满足竞争性磋商采购的要求</w:t>
      </w:r>
      <w:r>
        <w:rPr>
          <w:rFonts w:hint="eastAsia" w:ascii="宋体" w:hAnsi="宋体" w:cs="宋体"/>
          <w:szCs w:val="21"/>
          <w:highlight w:val="none"/>
          <w:lang w:val="zh-CN"/>
        </w:rPr>
        <w:t>，包括但不限于下列文件，其中加</w:t>
      </w:r>
      <w:r>
        <w:rPr>
          <w:rFonts w:hint="eastAsia" w:ascii="宋体" w:hAnsi="宋体" w:cs="宋体"/>
          <w:szCs w:val="21"/>
          <w:highlight w:val="none"/>
          <w:lang w:val="zh-CN" w:eastAsia="zh-CN"/>
        </w:rPr>
        <w:t>★</w:t>
      </w:r>
      <w:r>
        <w:rPr>
          <w:rFonts w:hint="eastAsia" w:ascii="宋体" w:hAnsi="宋体" w:cs="宋体"/>
          <w:szCs w:val="21"/>
          <w:highlight w:val="none"/>
          <w:lang w:val="zh-CN"/>
        </w:rPr>
        <w:t>项目不得有缺失或无效。</w:t>
      </w:r>
    </w:p>
    <w:p w14:paraId="62713B4C">
      <w:pPr>
        <w:keepNext w:val="0"/>
        <w:keepLines w:val="0"/>
        <w:pageBreakBefore w:val="0"/>
        <w:widowControl/>
        <w:spacing w:line="360" w:lineRule="auto"/>
        <w:ind w:firstLine="420"/>
        <w:rPr>
          <w:rFonts w:hint="eastAsia" w:ascii="宋体" w:hAnsi="宋体" w:eastAsia="宋体" w:cs="宋体"/>
          <w:szCs w:val="21"/>
          <w:highlight w:val="none"/>
          <w:lang w:val="zh-CN"/>
        </w:rPr>
      </w:pPr>
      <w:r>
        <w:rPr>
          <w:rFonts w:hint="eastAsia" w:ascii="宋体" w:hAnsi="宋体" w:cs="宋体"/>
          <w:szCs w:val="21"/>
          <w:highlight w:val="none"/>
          <w:lang w:val="zh-CN"/>
        </w:rPr>
        <w:t>（1）</w:t>
      </w:r>
      <w:r>
        <w:rPr>
          <w:rFonts w:hint="eastAsia" w:ascii="宋体" w:hAnsi="宋体" w:cs="宋体"/>
          <w:b/>
          <w:szCs w:val="21"/>
          <w:highlight w:val="none"/>
        </w:rPr>
        <w:t>★</w:t>
      </w:r>
      <w:r>
        <w:rPr>
          <w:rFonts w:hint="eastAsia" w:ascii="宋体" w:hAnsi="宋体" w:cs="宋体"/>
          <w:szCs w:val="21"/>
          <w:highlight w:val="none"/>
          <w:lang w:val="zh-CN"/>
        </w:rPr>
        <w:t>磋商申请及声明；</w:t>
      </w:r>
    </w:p>
    <w:p w14:paraId="3C1DA44B">
      <w:pPr>
        <w:keepNext w:val="0"/>
        <w:keepLines w:val="0"/>
        <w:pageBreakBefore w:val="0"/>
        <w:widowControl/>
        <w:spacing w:line="360" w:lineRule="auto"/>
        <w:ind w:firstLine="420"/>
        <w:rPr>
          <w:rFonts w:hint="eastAsia" w:ascii="宋体" w:hAnsi="宋体" w:eastAsia="宋体" w:cs="宋体"/>
          <w:szCs w:val="21"/>
          <w:highlight w:val="none"/>
          <w:lang w:val="zh-CN"/>
        </w:rPr>
      </w:pPr>
      <w:r>
        <w:rPr>
          <w:rFonts w:hint="eastAsia" w:ascii="宋体" w:hAnsi="宋体" w:eastAsia="宋体" w:cs="宋体"/>
          <w:szCs w:val="21"/>
          <w:highlight w:val="none"/>
          <w:lang w:val="zh-CN"/>
        </w:rPr>
        <w:t>（2）★法定代表人授权委托书及委托代理人的身份证明文件</w:t>
      </w:r>
      <w:r>
        <w:rPr>
          <w:rFonts w:hint="eastAsia" w:ascii="宋体" w:hAnsi="宋体" w:eastAsia="宋体" w:cs="宋体"/>
          <w:color w:val="auto"/>
          <w:szCs w:val="21"/>
          <w:highlight w:val="none"/>
          <w:lang w:val="zh-CN"/>
        </w:rPr>
        <w:t>的扫描件、近三个月内任意一个月（</w:t>
      </w:r>
      <w:r>
        <w:rPr>
          <w:rFonts w:hint="eastAsia" w:ascii="宋体" w:hAnsi="宋体" w:cs="宋体"/>
          <w:color w:val="auto"/>
          <w:szCs w:val="21"/>
          <w:highlight w:val="none"/>
          <w:lang w:val="zh-CN"/>
        </w:rPr>
        <w:t>2026</w:t>
      </w:r>
      <w:r>
        <w:rPr>
          <w:rFonts w:hint="eastAsia" w:ascii="宋体" w:hAnsi="宋体" w:eastAsia="宋体" w:cs="宋体"/>
          <w:color w:val="auto"/>
          <w:szCs w:val="21"/>
          <w:highlight w:val="none"/>
          <w:lang w:val="zh-CN"/>
        </w:rPr>
        <w:t>年</w:t>
      </w:r>
      <w:r>
        <w:rPr>
          <w:rFonts w:hint="eastAsia" w:ascii="宋体" w:hAnsi="宋体" w:cs="宋体"/>
          <w:color w:val="auto"/>
          <w:szCs w:val="21"/>
          <w:highlight w:val="none"/>
          <w:lang w:val="en-US" w:eastAsia="zh-CN"/>
        </w:rPr>
        <w:t>4</w:t>
      </w:r>
      <w:r>
        <w:rPr>
          <w:rFonts w:hint="eastAsia" w:ascii="宋体" w:hAnsi="宋体" w:eastAsia="宋体" w:cs="宋体"/>
          <w:color w:val="auto"/>
          <w:szCs w:val="21"/>
          <w:highlight w:val="none"/>
          <w:lang w:val="zh-CN"/>
        </w:rPr>
        <w:t>月-2026年</w:t>
      </w:r>
      <w:r>
        <w:rPr>
          <w:rFonts w:hint="eastAsia" w:ascii="宋体" w:hAnsi="宋体" w:cs="宋体"/>
          <w:color w:val="auto"/>
          <w:szCs w:val="21"/>
          <w:highlight w:val="none"/>
          <w:lang w:val="en-US" w:eastAsia="zh-CN"/>
        </w:rPr>
        <w:t>6</w:t>
      </w:r>
      <w:r>
        <w:rPr>
          <w:rFonts w:hint="eastAsia" w:ascii="宋体" w:hAnsi="宋体" w:eastAsia="宋体" w:cs="宋体"/>
          <w:color w:val="auto"/>
          <w:szCs w:val="21"/>
          <w:highlight w:val="none"/>
          <w:lang w:val="zh-CN"/>
        </w:rPr>
        <w:t>月）供应商为委托代理人缴纳的社保缴纳凭证，加盖社保公章或具有可验证的二维码（或验证码），以上材料</w:t>
      </w:r>
      <w:r>
        <w:rPr>
          <w:rFonts w:hint="eastAsia" w:ascii="宋体" w:hAnsi="宋体" w:eastAsia="宋体" w:cs="宋体"/>
          <w:color w:val="auto"/>
          <w:szCs w:val="21"/>
          <w:highlight w:val="none"/>
          <w:lang w:val="en-US" w:eastAsia="zh-CN"/>
        </w:rPr>
        <w:t>提供</w:t>
      </w:r>
      <w:r>
        <w:rPr>
          <w:rFonts w:hint="eastAsia" w:ascii="宋体" w:hAnsi="宋体" w:eastAsia="宋体" w:cs="宋体"/>
          <w:color w:val="auto"/>
          <w:szCs w:val="21"/>
          <w:highlight w:val="none"/>
          <w:lang w:val="zh-CN"/>
        </w:rPr>
        <w:t>扫描件并加盖投标供应商公章后上传至投标系统；</w:t>
      </w:r>
    </w:p>
    <w:p w14:paraId="751E4335">
      <w:pPr>
        <w:keepNext w:val="0"/>
        <w:keepLines w:val="0"/>
        <w:pageBreakBefore w:val="0"/>
        <w:widowControl/>
        <w:spacing w:line="360" w:lineRule="auto"/>
        <w:ind w:firstLine="420"/>
        <w:jc w:val="left"/>
        <w:rPr>
          <w:rFonts w:hint="eastAsia" w:ascii="宋体" w:hAnsi="宋体" w:cs="宋体"/>
          <w:szCs w:val="21"/>
          <w:highlight w:val="none"/>
          <w:lang w:val="zh-CN" w:eastAsia="zh-CN"/>
        </w:rPr>
      </w:pPr>
      <w:r>
        <w:rPr>
          <w:rFonts w:hint="eastAsia" w:ascii="宋体" w:hAnsi="宋体" w:cs="宋体"/>
          <w:szCs w:val="21"/>
          <w:highlight w:val="none"/>
          <w:lang w:val="zh-CN" w:eastAsia="zh-CN"/>
        </w:rPr>
        <w:t>（</w:t>
      </w:r>
      <w:r>
        <w:rPr>
          <w:rFonts w:hint="eastAsia" w:ascii="宋体" w:hAnsi="宋体" w:cs="宋体"/>
          <w:szCs w:val="21"/>
          <w:highlight w:val="none"/>
          <w:lang w:val="en-US" w:eastAsia="zh-CN"/>
        </w:rPr>
        <w:t>3</w:t>
      </w:r>
      <w:r>
        <w:rPr>
          <w:rFonts w:hint="eastAsia" w:ascii="宋体" w:hAnsi="宋体" w:cs="宋体"/>
          <w:szCs w:val="21"/>
          <w:highlight w:val="none"/>
          <w:lang w:val="zh-CN" w:eastAsia="zh-CN"/>
        </w:rPr>
        <w:t>）★第</w:t>
      </w:r>
      <w:r>
        <w:rPr>
          <w:rFonts w:hint="eastAsia" w:ascii="宋体" w:hAnsi="宋体" w:cs="宋体"/>
          <w:szCs w:val="21"/>
          <w:highlight w:val="none"/>
          <w:lang w:val="en-US" w:eastAsia="zh-CN"/>
        </w:rPr>
        <w:t>一</w:t>
      </w:r>
      <w:r>
        <w:rPr>
          <w:rFonts w:hint="eastAsia" w:ascii="宋体" w:hAnsi="宋体" w:cs="宋体"/>
          <w:szCs w:val="21"/>
          <w:highlight w:val="none"/>
          <w:lang w:val="zh-CN" w:eastAsia="zh-CN"/>
        </w:rPr>
        <w:t>章</w:t>
      </w:r>
      <w:r>
        <w:rPr>
          <w:rFonts w:hint="eastAsia" w:ascii="宋体" w:hAnsi="宋体" w:cs="宋体"/>
          <w:szCs w:val="21"/>
          <w:highlight w:val="none"/>
          <w:lang w:val="en-US" w:eastAsia="zh-CN"/>
        </w:rPr>
        <w:t>竞争性磋商邀请中</w:t>
      </w:r>
      <w:r>
        <w:rPr>
          <w:rFonts w:hint="eastAsia" w:ascii="宋体" w:hAnsi="宋体" w:cs="宋体"/>
          <w:szCs w:val="21"/>
          <w:highlight w:val="none"/>
          <w:lang w:val="zh-CN" w:eastAsia="zh-CN"/>
        </w:rPr>
        <w:t>（</w:t>
      </w:r>
      <w:r>
        <w:rPr>
          <w:rFonts w:hint="eastAsia" w:ascii="宋体" w:hAnsi="宋体" w:cs="宋体"/>
          <w:szCs w:val="21"/>
          <w:highlight w:val="none"/>
          <w:lang w:val="en-US" w:eastAsia="zh-CN"/>
        </w:rPr>
        <w:t>一</w:t>
      </w:r>
      <w:r>
        <w:rPr>
          <w:rFonts w:hint="eastAsia" w:ascii="宋体" w:hAnsi="宋体" w:cs="宋体"/>
          <w:szCs w:val="21"/>
          <w:highlight w:val="none"/>
          <w:lang w:val="zh-CN" w:eastAsia="zh-CN"/>
        </w:rPr>
        <w:t>）《中华人民共和国政府采购法》规定的条件；</w:t>
      </w:r>
    </w:p>
    <w:p w14:paraId="399498C8">
      <w:pPr>
        <w:keepNext w:val="0"/>
        <w:keepLines w:val="0"/>
        <w:pageBreakBefore w:val="0"/>
        <w:widowControl/>
        <w:spacing w:line="360" w:lineRule="auto"/>
        <w:ind w:firstLine="420"/>
        <w:jc w:val="left"/>
        <w:rPr>
          <w:rFonts w:hint="eastAsia" w:ascii="宋体" w:hAnsi="宋体" w:cs="宋体"/>
          <w:szCs w:val="21"/>
          <w:highlight w:val="none"/>
          <w:lang w:val="zh-CN" w:eastAsia="zh-CN"/>
        </w:rPr>
      </w:pPr>
      <w:r>
        <w:rPr>
          <w:rFonts w:hint="eastAsia" w:ascii="宋体" w:hAnsi="宋体" w:cs="宋体"/>
          <w:szCs w:val="21"/>
          <w:highlight w:val="none"/>
          <w:lang w:val="zh-CN" w:eastAsia="zh-CN"/>
        </w:rPr>
        <w:t>（</w:t>
      </w:r>
      <w:r>
        <w:rPr>
          <w:rFonts w:hint="eastAsia" w:ascii="宋体" w:hAnsi="宋体" w:cs="宋体"/>
          <w:szCs w:val="21"/>
          <w:highlight w:val="none"/>
          <w:lang w:val="en-US" w:eastAsia="zh-CN"/>
        </w:rPr>
        <w:t>4</w:t>
      </w:r>
      <w:r>
        <w:rPr>
          <w:rFonts w:hint="eastAsia" w:ascii="宋体" w:hAnsi="宋体" w:cs="宋体"/>
          <w:szCs w:val="21"/>
          <w:highlight w:val="none"/>
          <w:lang w:val="zh-CN" w:eastAsia="zh-CN"/>
        </w:rPr>
        <w:t>）★第二章</w:t>
      </w:r>
      <w:r>
        <w:rPr>
          <w:rFonts w:hint="eastAsia" w:ascii="宋体" w:hAnsi="宋体" w:cs="宋体"/>
          <w:szCs w:val="21"/>
          <w:highlight w:val="none"/>
          <w:lang w:val="en-US" w:eastAsia="zh-CN"/>
        </w:rPr>
        <w:t>竞争性磋商邀请中</w:t>
      </w:r>
      <w:r>
        <w:rPr>
          <w:rFonts w:hint="eastAsia" w:ascii="宋体" w:hAnsi="宋体" w:cs="宋体"/>
          <w:szCs w:val="21"/>
          <w:highlight w:val="none"/>
          <w:lang w:val="zh-CN" w:eastAsia="zh-CN"/>
        </w:rPr>
        <w:t>（</w:t>
      </w:r>
      <w:r>
        <w:rPr>
          <w:rFonts w:hint="eastAsia" w:ascii="宋体" w:hAnsi="宋体" w:cs="宋体"/>
          <w:szCs w:val="21"/>
          <w:highlight w:val="none"/>
          <w:lang w:val="en-US" w:eastAsia="zh-CN"/>
        </w:rPr>
        <w:t>二</w:t>
      </w:r>
      <w:r>
        <w:rPr>
          <w:rFonts w:hint="eastAsia" w:ascii="宋体" w:hAnsi="宋体" w:cs="宋体"/>
          <w:szCs w:val="21"/>
          <w:highlight w:val="none"/>
          <w:lang w:val="zh-CN" w:eastAsia="zh-CN"/>
        </w:rPr>
        <w:t>）落实政府采购政策需满足的资格要求；</w:t>
      </w:r>
    </w:p>
    <w:p w14:paraId="7B7CB456">
      <w:pPr>
        <w:keepNext w:val="0"/>
        <w:keepLines w:val="0"/>
        <w:pageBreakBefore w:val="0"/>
        <w:widowControl/>
        <w:spacing w:line="360" w:lineRule="auto"/>
        <w:ind w:firstLine="420"/>
        <w:jc w:val="left"/>
        <w:rPr>
          <w:rFonts w:hint="eastAsia" w:ascii="宋体" w:hAnsi="宋体" w:cs="宋体"/>
          <w:szCs w:val="21"/>
          <w:highlight w:val="none"/>
          <w:lang w:val="zh-CN" w:eastAsia="zh-CN"/>
        </w:rPr>
      </w:pPr>
      <w:r>
        <w:rPr>
          <w:rFonts w:hint="eastAsia" w:ascii="宋体" w:hAnsi="宋体" w:cs="宋体"/>
          <w:szCs w:val="21"/>
          <w:highlight w:val="none"/>
          <w:lang w:val="zh-CN" w:eastAsia="zh-CN"/>
        </w:rPr>
        <w:t>（</w:t>
      </w:r>
      <w:r>
        <w:rPr>
          <w:rFonts w:hint="eastAsia" w:ascii="宋体" w:hAnsi="宋体" w:cs="宋体"/>
          <w:szCs w:val="21"/>
          <w:highlight w:val="none"/>
          <w:lang w:val="en-US" w:eastAsia="zh-CN"/>
        </w:rPr>
        <w:t>5</w:t>
      </w:r>
      <w:r>
        <w:rPr>
          <w:rFonts w:hint="eastAsia" w:ascii="宋体" w:hAnsi="宋体" w:cs="宋体"/>
          <w:szCs w:val="21"/>
          <w:highlight w:val="none"/>
          <w:lang w:val="zh-CN" w:eastAsia="zh-CN"/>
        </w:rPr>
        <w:t>）★第二章</w:t>
      </w:r>
      <w:r>
        <w:rPr>
          <w:rFonts w:hint="eastAsia" w:ascii="宋体" w:hAnsi="宋体" w:cs="宋体"/>
          <w:szCs w:val="21"/>
          <w:highlight w:val="none"/>
          <w:lang w:val="en-US" w:eastAsia="zh-CN"/>
        </w:rPr>
        <w:t>竞争性磋商邀请中（三）采购人根据采购项目的特殊要求规定的特定条件</w:t>
      </w:r>
      <w:r>
        <w:rPr>
          <w:rFonts w:hint="eastAsia" w:ascii="宋体" w:hAnsi="宋体" w:cs="宋体"/>
          <w:szCs w:val="21"/>
          <w:highlight w:val="none"/>
          <w:lang w:val="zh-CN" w:eastAsia="zh-CN"/>
        </w:rPr>
        <w:t>；</w:t>
      </w:r>
    </w:p>
    <w:p w14:paraId="5F13B275">
      <w:pPr>
        <w:keepNext w:val="0"/>
        <w:keepLines w:val="0"/>
        <w:pageBreakBefore w:val="0"/>
        <w:widowControl/>
        <w:spacing w:line="360" w:lineRule="auto"/>
        <w:ind w:firstLine="420"/>
        <w:jc w:val="left"/>
        <w:rPr>
          <w:rFonts w:hint="eastAsia" w:ascii="宋体" w:hAnsi="宋体" w:cs="宋体"/>
          <w:szCs w:val="21"/>
          <w:highlight w:val="none"/>
          <w:lang w:val="en-US" w:eastAsia="zh-CN"/>
        </w:rPr>
      </w:pPr>
      <w:r>
        <w:rPr>
          <w:rFonts w:hint="eastAsia" w:ascii="宋体" w:hAnsi="宋体" w:cs="宋体"/>
          <w:szCs w:val="21"/>
          <w:highlight w:val="none"/>
          <w:lang w:val="zh-CN" w:eastAsia="zh-CN"/>
        </w:rPr>
        <w:t>（</w:t>
      </w:r>
      <w:r>
        <w:rPr>
          <w:rFonts w:hint="eastAsia" w:ascii="宋体" w:hAnsi="宋体" w:cs="宋体"/>
          <w:szCs w:val="21"/>
          <w:highlight w:val="none"/>
          <w:lang w:val="en-US" w:eastAsia="zh-CN"/>
        </w:rPr>
        <w:t>6</w:t>
      </w:r>
      <w:r>
        <w:rPr>
          <w:rFonts w:hint="eastAsia" w:ascii="宋体" w:hAnsi="宋体" w:cs="宋体"/>
          <w:szCs w:val="21"/>
          <w:highlight w:val="none"/>
          <w:lang w:val="zh-CN" w:eastAsia="zh-CN"/>
        </w:rPr>
        <w:t>）★</w:t>
      </w:r>
      <w:r>
        <w:rPr>
          <w:rFonts w:hint="eastAsia" w:ascii="宋体" w:hAnsi="宋体" w:cs="宋体"/>
          <w:szCs w:val="21"/>
          <w:highlight w:val="none"/>
          <w:lang w:val="en-US" w:eastAsia="zh-CN"/>
        </w:rPr>
        <w:t>磋商报价表及分项报价明细表</w:t>
      </w:r>
    </w:p>
    <w:p w14:paraId="779C4F19">
      <w:pPr>
        <w:keepNext w:val="0"/>
        <w:keepLines w:val="0"/>
        <w:pageBreakBefore w:val="0"/>
        <w:widowControl/>
        <w:spacing w:line="360" w:lineRule="auto"/>
        <w:ind w:firstLine="420"/>
        <w:jc w:val="left"/>
        <w:rPr>
          <w:rFonts w:hint="eastAsia" w:ascii="宋体" w:hAnsi="宋体" w:cs="宋体"/>
          <w:szCs w:val="21"/>
          <w:highlight w:val="none"/>
          <w:lang w:val="zh-CN" w:eastAsia="zh-CN"/>
        </w:rPr>
      </w:pPr>
      <w:r>
        <w:rPr>
          <w:rFonts w:hint="eastAsia" w:ascii="宋体" w:hAnsi="宋体" w:cs="宋体"/>
          <w:szCs w:val="21"/>
          <w:highlight w:val="none"/>
          <w:lang w:val="zh-CN" w:eastAsia="zh-CN"/>
        </w:rPr>
        <w:t>（</w:t>
      </w:r>
      <w:r>
        <w:rPr>
          <w:rFonts w:hint="eastAsia" w:ascii="宋体" w:hAnsi="宋体" w:cs="宋体"/>
          <w:szCs w:val="21"/>
          <w:highlight w:val="none"/>
          <w:lang w:val="en-US" w:eastAsia="zh-CN"/>
        </w:rPr>
        <w:t>7</w:t>
      </w:r>
      <w:r>
        <w:rPr>
          <w:rFonts w:hint="eastAsia" w:ascii="宋体" w:hAnsi="宋体" w:cs="宋体"/>
          <w:szCs w:val="21"/>
          <w:highlight w:val="none"/>
          <w:lang w:val="zh-CN" w:eastAsia="zh-CN"/>
        </w:rPr>
        <w:t>）</w:t>
      </w:r>
      <w:r>
        <w:rPr>
          <w:rFonts w:hint="eastAsia" w:ascii="宋体" w:hAnsi="宋体" w:eastAsia="宋体" w:cs="宋体"/>
          <w:szCs w:val="21"/>
          <w:highlight w:val="none"/>
          <w:lang w:val="en-US" w:eastAsia="zh-CN"/>
        </w:rPr>
        <w:t>商务条款偏离表</w:t>
      </w:r>
    </w:p>
    <w:p w14:paraId="2CDC775E">
      <w:pPr>
        <w:keepNext w:val="0"/>
        <w:keepLines w:val="0"/>
        <w:pageBreakBefore w:val="0"/>
        <w:widowControl/>
        <w:spacing w:line="360" w:lineRule="auto"/>
        <w:ind w:firstLine="420"/>
        <w:jc w:val="left"/>
        <w:rPr>
          <w:rFonts w:hint="eastAsia" w:ascii="宋体" w:hAnsi="宋体" w:cs="宋体"/>
          <w:szCs w:val="21"/>
          <w:highlight w:val="none"/>
          <w:lang w:val="zh-CN" w:eastAsia="zh-CN"/>
        </w:rPr>
      </w:pPr>
      <w:r>
        <w:rPr>
          <w:rFonts w:hint="eastAsia" w:ascii="宋体" w:hAnsi="宋体" w:cs="宋体"/>
          <w:szCs w:val="21"/>
          <w:highlight w:val="none"/>
          <w:lang w:val="zh-CN" w:eastAsia="zh-CN"/>
        </w:rPr>
        <w:t>（</w:t>
      </w:r>
      <w:r>
        <w:rPr>
          <w:rFonts w:hint="eastAsia" w:ascii="宋体" w:hAnsi="宋体" w:cs="宋体"/>
          <w:szCs w:val="21"/>
          <w:highlight w:val="none"/>
          <w:lang w:val="en-US" w:eastAsia="zh-CN"/>
        </w:rPr>
        <w:t>8</w:t>
      </w:r>
      <w:r>
        <w:rPr>
          <w:rFonts w:hint="eastAsia" w:ascii="宋体" w:hAnsi="宋体" w:cs="宋体"/>
          <w:szCs w:val="21"/>
          <w:highlight w:val="none"/>
          <w:lang w:val="zh-CN" w:eastAsia="zh-CN"/>
        </w:rPr>
        <w:t>）企业业绩；</w:t>
      </w:r>
    </w:p>
    <w:p w14:paraId="2F978F62">
      <w:pPr>
        <w:keepNext w:val="0"/>
        <w:keepLines w:val="0"/>
        <w:pageBreakBefore w:val="0"/>
        <w:widowControl/>
        <w:spacing w:line="360" w:lineRule="auto"/>
        <w:ind w:firstLine="420"/>
        <w:rPr>
          <w:rFonts w:hint="eastAsia" w:ascii="宋体" w:hAnsi="宋体" w:cs="宋体"/>
          <w:szCs w:val="21"/>
          <w:highlight w:val="none"/>
          <w:lang w:val="zh-CN"/>
        </w:rPr>
      </w:pPr>
      <w:r>
        <w:rPr>
          <w:rFonts w:hint="eastAsia" w:ascii="宋体" w:hAnsi="宋体" w:cs="宋体"/>
          <w:szCs w:val="21"/>
          <w:highlight w:val="none"/>
          <w:lang w:val="zh-CN"/>
        </w:rPr>
        <w:t>（</w:t>
      </w:r>
      <w:r>
        <w:rPr>
          <w:rFonts w:hint="eastAsia" w:ascii="宋体" w:hAnsi="宋体" w:cs="宋体"/>
          <w:szCs w:val="21"/>
          <w:highlight w:val="none"/>
          <w:lang w:val="en-US" w:eastAsia="zh-CN"/>
        </w:rPr>
        <w:t>9</w:t>
      </w:r>
      <w:r>
        <w:rPr>
          <w:rFonts w:hint="eastAsia" w:ascii="宋体" w:hAnsi="宋体" w:cs="宋体"/>
          <w:szCs w:val="21"/>
          <w:highlight w:val="none"/>
          <w:lang w:val="zh-CN"/>
        </w:rPr>
        <w:t>）</w:t>
      </w:r>
      <w:bookmarkStart w:id="100" w:name="OLE_LINK15"/>
      <w:r>
        <w:rPr>
          <w:rFonts w:hint="eastAsia" w:ascii="宋体" w:hAnsi="宋体" w:cs="宋体"/>
          <w:szCs w:val="21"/>
          <w:highlight w:val="none"/>
          <w:lang w:val="zh-CN"/>
        </w:rPr>
        <w:t>供应商认为需要提供的其他证明文件和商务资料</w:t>
      </w:r>
      <w:bookmarkEnd w:id="100"/>
      <w:r>
        <w:rPr>
          <w:rFonts w:hint="eastAsia" w:ascii="宋体" w:hAnsi="宋体" w:cs="宋体"/>
          <w:szCs w:val="21"/>
          <w:highlight w:val="none"/>
          <w:lang w:val="zh-CN"/>
        </w:rPr>
        <w:t>。</w:t>
      </w:r>
    </w:p>
    <w:p w14:paraId="615DF174">
      <w:pPr>
        <w:keepNext w:val="0"/>
        <w:keepLines w:val="0"/>
        <w:pageBreakBefore w:val="0"/>
        <w:widowControl w:val="0"/>
        <w:spacing w:line="360" w:lineRule="auto"/>
        <w:ind w:firstLine="420"/>
        <w:rPr>
          <w:rFonts w:ascii="宋体" w:hAnsi="宋体" w:cs="宋体"/>
          <w:b/>
          <w:highlight w:val="none"/>
        </w:rPr>
      </w:pPr>
      <w:r>
        <w:rPr>
          <w:rFonts w:hint="eastAsia" w:ascii="宋体" w:hAnsi="宋体" w:cs="宋体"/>
          <w:b/>
          <w:highlight w:val="none"/>
        </w:rPr>
        <w:t>12.价格部分</w:t>
      </w:r>
    </w:p>
    <w:p w14:paraId="6F81752E">
      <w:pPr>
        <w:keepNext w:val="0"/>
        <w:keepLines w:val="0"/>
        <w:pageBreakBefore w:val="0"/>
        <w:widowControl w:val="0"/>
        <w:spacing w:line="360" w:lineRule="auto"/>
        <w:ind w:firstLine="420"/>
        <w:rPr>
          <w:rFonts w:ascii="宋体" w:hAnsi="宋体" w:cs="宋体"/>
          <w:szCs w:val="21"/>
          <w:highlight w:val="none"/>
          <w:lang w:val="zh-CN"/>
        </w:rPr>
      </w:pPr>
      <w:r>
        <w:rPr>
          <w:rFonts w:hint="eastAsia" w:ascii="宋体" w:hAnsi="宋体" w:cs="宋体"/>
          <w:szCs w:val="21"/>
          <w:highlight w:val="none"/>
          <w:lang w:val="zh-CN"/>
        </w:rPr>
        <w:t>1</w:t>
      </w:r>
      <w:r>
        <w:rPr>
          <w:rFonts w:hint="eastAsia" w:ascii="宋体" w:hAnsi="宋体" w:cs="宋体"/>
          <w:szCs w:val="21"/>
          <w:highlight w:val="none"/>
        </w:rPr>
        <w:t>2</w:t>
      </w:r>
      <w:r>
        <w:rPr>
          <w:rFonts w:hint="eastAsia" w:ascii="宋体" w:hAnsi="宋体" w:cs="宋体"/>
          <w:szCs w:val="21"/>
          <w:highlight w:val="none"/>
          <w:lang w:val="zh-CN"/>
        </w:rPr>
        <w:t>.1价格部分是对货物和服务价格构成的说明，竞争性磋商文件如没有特别说明的话，对每一项货物和服务仅接受一个价格。</w:t>
      </w:r>
    </w:p>
    <w:p w14:paraId="4244BEF1">
      <w:pPr>
        <w:keepNext w:val="0"/>
        <w:keepLines w:val="0"/>
        <w:pageBreakBefore w:val="0"/>
        <w:widowControl w:val="0"/>
        <w:spacing w:line="360" w:lineRule="auto"/>
        <w:ind w:firstLine="420"/>
        <w:contextualSpacing/>
        <w:rPr>
          <w:rFonts w:ascii="宋体" w:hAnsi="宋体" w:cs="宋体"/>
          <w:highlight w:val="none"/>
        </w:rPr>
      </w:pPr>
      <w:r>
        <w:rPr>
          <w:rFonts w:hint="eastAsia" w:ascii="宋体" w:hAnsi="宋体" w:cs="宋体"/>
          <w:szCs w:val="21"/>
          <w:highlight w:val="none"/>
          <w:lang w:val="zh-CN"/>
        </w:rPr>
        <w:t>1</w:t>
      </w:r>
      <w:r>
        <w:rPr>
          <w:rFonts w:hint="eastAsia" w:ascii="宋体" w:hAnsi="宋体" w:cs="宋体"/>
          <w:szCs w:val="21"/>
          <w:highlight w:val="none"/>
        </w:rPr>
        <w:t>2</w:t>
      </w:r>
      <w:r>
        <w:rPr>
          <w:rFonts w:hint="eastAsia" w:ascii="宋体" w:hAnsi="宋体" w:cs="宋体"/>
          <w:szCs w:val="21"/>
          <w:highlight w:val="none"/>
          <w:lang w:val="zh-CN"/>
        </w:rPr>
        <w:t>.2</w:t>
      </w:r>
      <w:r>
        <w:rPr>
          <w:rFonts w:hint="eastAsia" w:ascii="宋体" w:hAnsi="宋体" w:cs="宋体"/>
          <w:szCs w:val="21"/>
          <w:highlight w:val="none"/>
        </w:rPr>
        <w:t>磋商</w:t>
      </w:r>
      <w:r>
        <w:rPr>
          <w:rFonts w:hint="eastAsia" w:ascii="宋体" w:hAnsi="宋体" w:cs="宋体"/>
          <w:szCs w:val="21"/>
          <w:highlight w:val="none"/>
          <w:lang w:val="zh-CN"/>
        </w:rPr>
        <w:t>报价是磋商文件所确定的采购范围内的全部货物或服务的价格体现。</w:t>
      </w:r>
      <w:r>
        <w:rPr>
          <w:rFonts w:hint="eastAsia" w:ascii="宋体" w:hAnsi="宋体" w:cs="宋体"/>
          <w:szCs w:val="21"/>
          <w:highlight w:val="none"/>
        </w:rPr>
        <w:t>磋商</w:t>
      </w:r>
      <w:r>
        <w:rPr>
          <w:rFonts w:hint="eastAsia" w:ascii="宋体" w:hAnsi="宋体" w:cs="宋体"/>
          <w:szCs w:val="21"/>
          <w:highlight w:val="none"/>
          <w:lang w:val="zh-CN"/>
        </w:rPr>
        <w:t>报价：包括但不限于完成文件所确定的服务范围所需的材料、设备、管理、</w:t>
      </w:r>
      <w:r>
        <w:rPr>
          <w:rFonts w:hint="eastAsia" w:ascii="宋体" w:hAnsi="宋体" w:cs="宋体"/>
          <w:szCs w:val="21"/>
          <w:highlight w:val="none"/>
        </w:rPr>
        <w:t>差旅、</w:t>
      </w:r>
      <w:r>
        <w:rPr>
          <w:rFonts w:hint="eastAsia" w:ascii="宋体" w:hAnsi="宋体" w:cs="宋体"/>
          <w:szCs w:val="21"/>
          <w:highlight w:val="none"/>
          <w:lang w:val="zh-CN"/>
        </w:rPr>
        <w:t>维护、利润、支付给员工的工资和国家强制缴纳的各种社会保障资金等全部费用，及政策性文件规定、采购过程中发生的市场风险、责任等各项应有费用，不论其在采购文件中是否有提及。投标供应商应根据上述因素自行考虑含入投标报价。</w:t>
      </w:r>
    </w:p>
    <w:p w14:paraId="50B07611">
      <w:pPr>
        <w:keepNext w:val="0"/>
        <w:keepLines w:val="0"/>
        <w:pageBreakBefore w:val="0"/>
        <w:widowControl w:val="0"/>
        <w:spacing w:line="360" w:lineRule="auto"/>
        <w:ind w:firstLine="420"/>
        <w:rPr>
          <w:rFonts w:ascii="宋体" w:hAnsi="宋体" w:cs="宋体"/>
          <w:highlight w:val="none"/>
        </w:rPr>
      </w:pPr>
      <w:r>
        <w:rPr>
          <w:rFonts w:hint="eastAsia" w:ascii="宋体" w:hAnsi="宋体" w:cs="宋体"/>
          <w:highlight w:val="none"/>
        </w:rPr>
        <w:t>12.3供应商应在《磋商报价汇总表》中标明拟提供货物</w:t>
      </w:r>
      <w:r>
        <w:rPr>
          <w:rFonts w:hint="eastAsia" w:ascii="宋体" w:hAnsi="宋体" w:cs="宋体"/>
          <w:highlight w:val="none"/>
          <w:lang w:val="en-US" w:eastAsia="zh-CN"/>
        </w:rPr>
        <w:t>或</w:t>
      </w:r>
      <w:r>
        <w:rPr>
          <w:rFonts w:hint="eastAsia" w:ascii="宋体" w:hAnsi="宋体" w:cs="宋体"/>
          <w:highlight w:val="none"/>
        </w:rPr>
        <w:t>服务</w:t>
      </w:r>
      <w:r>
        <w:rPr>
          <w:rFonts w:hint="eastAsia" w:ascii="宋体" w:hAnsi="宋体" w:cs="宋体"/>
          <w:highlight w:val="none"/>
          <w:lang w:val="en-US" w:eastAsia="zh-CN"/>
        </w:rPr>
        <w:t>磋商</w:t>
      </w:r>
      <w:r>
        <w:rPr>
          <w:rFonts w:hint="eastAsia" w:ascii="宋体" w:hAnsi="宋体" w:cs="宋体"/>
          <w:highlight w:val="none"/>
        </w:rPr>
        <w:t>报价。</w:t>
      </w:r>
    </w:p>
    <w:p w14:paraId="7AAE759C">
      <w:pPr>
        <w:keepNext w:val="0"/>
        <w:keepLines w:val="0"/>
        <w:pageBreakBefore w:val="0"/>
        <w:widowControl w:val="0"/>
        <w:spacing w:line="360" w:lineRule="auto"/>
        <w:ind w:firstLine="420"/>
        <w:rPr>
          <w:rFonts w:ascii="宋体" w:hAnsi="宋体" w:cs="宋体"/>
          <w:b/>
          <w:szCs w:val="21"/>
          <w:highlight w:val="none"/>
          <w:lang w:val="zh-CN"/>
        </w:rPr>
      </w:pPr>
      <w:r>
        <w:rPr>
          <w:rFonts w:hint="eastAsia" w:ascii="宋体" w:hAnsi="宋体" w:cs="宋体"/>
          <w:highlight w:val="none"/>
        </w:rPr>
        <w:t>12.4</w:t>
      </w:r>
      <w:r>
        <w:rPr>
          <w:rFonts w:hint="eastAsia" w:ascii="宋体" w:hAnsi="宋体" w:cs="宋体"/>
          <w:b/>
          <w:szCs w:val="21"/>
          <w:highlight w:val="none"/>
          <w:lang w:val="zh-CN"/>
        </w:rPr>
        <w:t>供应商应</w:t>
      </w:r>
      <w:r>
        <w:rPr>
          <w:rFonts w:hint="eastAsia" w:ascii="宋体" w:hAnsi="宋体" w:cs="宋体"/>
          <w:b/>
          <w:szCs w:val="21"/>
          <w:highlight w:val="none"/>
        </w:rPr>
        <w:t>仔细阅读和理解磋商文件中有关项目需求、义务、付款方式、付款条件和时间进度安排，</w:t>
      </w:r>
      <w:r>
        <w:rPr>
          <w:rFonts w:hint="eastAsia" w:ascii="宋体" w:hAnsi="宋体" w:cs="宋体"/>
          <w:b/>
          <w:szCs w:val="21"/>
          <w:highlight w:val="none"/>
          <w:lang w:val="zh-CN"/>
        </w:rPr>
        <w:t>充分考虑到市场价格变动以及项目实施过程中的不可预见因素，</w:t>
      </w:r>
      <w:r>
        <w:rPr>
          <w:rFonts w:hint="eastAsia" w:ascii="宋体" w:hAnsi="宋体" w:cs="宋体"/>
          <w:b/>
          <w:szCs w:val="21"/>
          <w:highlight w:val="none"/>
        </w:rPr>
        <w:t>结合企业自身条件进行报价，</w:t>
      </w:r>
      <w:r>
        <w:rPr>
          <w:rFonts w:hint="eastAsia" w:ascii="宋体" w:hAnsi="宋体" w:cs="宋体"/>
          <w:b/>
          <w:szCs w:val="21"/>
          <w:highlight w:val="none"/>
          <w:lang w:val="zh-CN"/>
        </w:rPr>
        <w:t>一旦成交，如果有漏项，视同让利。</w:t>
      </w:r>
    </w:p>
    <w:p w14:paraId="6184EB20">
      <w:pPr>
        <w:keepNext w:val="0"/>
        <w:keepLines w:val="0"/>
        <w:pageBreakBefore w:val="0"/>
        <w:widowControl w:val="0"/>
        <w:spacing w:line="360" w:lineRule="auto"/>
        <w:ind w:firstLine="422"/>
        <w:rPr>
          <w:rFonts w:ascii="宋体" w:hAnsi="宋体" w:cs="宋体"/>
          <w:b/>
          <w:szCs w:val="21"/>
          <w:highlight w:val="none"/>
          <w:lang w:val="zh-CN"/>
        </w:rPr>
      </w:pPr>
      <w:r>
        <w:rPr>
          <w:rFonts w:hint="eastAsia" w:ascii="宋体" w:hAnsi="宋体" w:cs="宋体"/>
          <w:b/>
          <w:szCs w:val="21"/>
          <w:highlight w:val="none"/>
          <w:lang w:val="zh-CN"/>
        </w:rPr>
        <w:t>1</w:t>
      </w:r>
      <w:r>
        <w:rPr>
          <w:rFonts w:hint="eastAsia" w:ascii="宋体" w:hAnsi="宋体" w:cs="宋体"/>
          <w:b/>
          <w:szCs w:val="21"/>
          <w:highlight w:val="none"/>
        </w:rPr>
        <w:t>2</w:t>
      </w:r>
      <w:r>
        <w:rPr>
          <w:rFonts w:hint="eastAsia" w:ascii="宋体" w:hAnsi="宋体" w:cs="宋体"/>
          <w:b/>
          <w:szCs w:val="21"/>
          <w:highlight w:val="none"/>
          <w:lang w:val="zh-CN"/>
        </w:rPr>
        <w:t>.5 经磋商后，如果成交价高于或低于供应商在磋商响应文件报价的话，分项报价同比例调整。</w:t>
      </w:r>
    </w:p>
    <w:p w14:paraId="6A14531D">
      <w:pPr>
        <w:keepNext w:val="0"/>
        <w:keepLines w:val="0"/>
        <w:pageBreakBefore w:val="0"/>
        <w:widowControl w:val="0"/>
        <w:spacing w:line="360" w:lineRule="auto"/>
        <w:ind w:firstLine="420"/>
        <w:rPr>
          <w:rFonts w:ascii="宋体" w:hAnsi="宋体" w:cs="宋体"/>
          <w:szCs w:val="21"/>
          <w:highlight w:val="none"/>
        </w:rPr>
      </w:pPr>
      <w:r>
        <w:rPr>
          <w:rFonts w:hint="eastAsia" w:ascii="宋体" w:hAnsi="宋体" w:cs="宋体"/>
          <w:szCs w:val="21"/>
          <w:highlight w:val="none"/>
        </w:rPr>
        <w:t>12.6报价表必须由供应商法人代表或委托授权人签字、加盖</w:t>
      </w:r>
      <w:r>
        <w:rPr>
          <w:rFonts w:hint="eastAsia" w:ascii="宋体" w:hAnsi="宋体" w:cs="宋体"/>
          <w:szCs w:val="21"/>
          <w:highlight w:val="none"/>
          <w:lang w:eastAsia="zh-CN"/>
        </w:rPr>
        <w:t>电子公章</w:t>
      </w:r>
      <w:r>
        <w:rPr>
          <w:rFonts w:hint="eastAsia" w:ascii="宋体" w:hAnsi="宋体" w:cs="宋体"/>
          <w:szCs w:val="21"/>
          <w:highlight w:val="none"/>
        </w:rPr>
        <w:t>。如有优惠条款，请单独列明，但不得影响报价，影响货物或服务整体功能。</w:t>
      </w:r>
    </w:p>
    <w:p w14:paraId="4404CAA3">
      <w:pPr>
        <w:keepNext w:val="0"/>
        <w:keepLines w:val="0"/>
        <w:pageBreakBefore w:val="0"/>
        <w:widowControl w:val="0"/>
        <w:spacing w:line="360" w:lineRule="auto"/>
        <w:ind w:firstLine="422"/>
        <w:rPr>
          <w:rFonts w:ascii="宋体" w:hAnsi="宋体" w:cs="宋体"/>
          <w:b/>
          <w:szCs w:val="21"/>
          <w:highlight w:val="none"/>
        </w:rPr>
      </w:pPr>
      <w:r>
        <w:rPr>
          <w:rFonts w:hint="eastAsia" w:ascii="宋体" w:hAnsi="宋体" w:cs="宋体"/>
          <w:b/>
          <w:szCs w:val="21"/>
          <w:highlight w:val="none"/>
        </w:rPr>
        <w:t>12.7 政府采购提倡公平竞争，反对盲目压价参与磋商，任何盲目压价和低于成本报价将会被拒绝。</w:t>
      </w:r>
    </w:p>
    <w:p w14:paraId="6F63A32A">
      <w:pPr>
        <w:keepNext w:val="0"/>
        <w:keepLines w:val="0"/>
        <w:pageBreakBefore w:val="0"/>
        <w:widowControl w:val="0"/>
        <w:spacing w:line="360" w:lineRule="auto"/>
        <w:ind w:firstLine="422"/>
        <w:rPr>
          <w:rFonts w:ascii="宋体" w:hAnsi="宋体" w:cs="宋体"/>
          <w:b/>
          <w:highlight w:val="none"/>
        </w:rPr>
      </w:pPr>
      <w:r>
        <w:rPr>
          <w:rFonts w:hint="eastAsia" w:ascii="宋体" w:hAnsi="宋体" w:cs="宋体"/>
          <w:b/>
          <w:szCs w:val="21"/>
          <w:highlight w:val="none"/>
        </w:rPr>
        <w:t>13.</w:t>
      </w:r>
      <w:r>
        <w:rPr>
          <w:rFonts w:hint="eastAsia" w:ascii="宋体" w:hAnsi="宋体" w:cs="宋体"/>
          <w:b/>
          <w:highlight w:val="none"/>
        </w:rPr>
        <w:t>技术部分.</w:t>
      </w:r>
      <w:r>
        <w:rPr>
          <w:rFonts w:hint="eastAsia" w:ascii="宋体" w:hAnsi="宋体" w:cs="宋体"/>
          <w:szCs w:val="21"/>
          <w:highlight w:val="none"/>
          <w:lang w:val="zh-CN"/>
        </w:rPr>
        <w:t xml:space="preserve"> 技术部分是证明</w:t>
      </w:r>
      <w:r>
        <w:rPr>
          <w:rFonts w:hint="eastAsia" w:ascii="宋体" w:hAnsi="宋体" w:cs="宋体"/>
          <w:szCs w:val="21"/>
          <w:highlight w:val="none"/>
        </w:rPr>
        <w:t>供应商提供的货物和服务是合格的、并符合竞争性磋商文件要求的证明文件，以及</w:t>
      </w:r>
      <w:r>
        <w:rPr>
          <w:rFonts w:hint="eastAsia" w:ascii="宋体" w:hAnsi="宋体" w:cs="宋体"/>
          <w:szCs w:val="21"/>
          <w:highlight w:val="none"/>
          <w:lang w:val="zh-CN"/>
        </w:rPr>
        <w:t>对货物和服务的详细说明，这些文件可以是文字资料、图纸和数据等。提供的货物如与竞争性磋商文件要求有不符之处，应说明其差别之所在。包括但不限于下列文件，其中加</w:t>
      </w:r>
      <w:r>
        <w:rPr>
          <w:rFonts w:hint="eastAsia" w:ascii="宋体" w:hAnsi="宋体" w:cs="宋体"/>
          <w:szCs w:val="21"/>
          <w:highlight w:val="none"/>
          <w:lang w:val="zh-CN" w:eastAsia="zh-CN"/>
        </w:rPr>
        <w:t>★</w:t>
      </w:r>
      <w:r>
        <w:rPr>
          <w:rFonts w:hint="eastAsia" w:ascii="宋体" w:hAnsi="宋体" w:cs="宋体"/>
          <w:szCs w:val="21"/>
          <w:highlight w:val="none"/>
          <w:lang w:val="zh-CN"/>
        </w:rPr>
        <w:t>项目不得有缺失或无效。</w:t>
      </w:r>
    </w:p>
    <w:p w14:paraId="47F3E9F6">
      <w:pPr>
        <w:pStyle w:val="13"/>
        <w:rPr>
          <w:rFonts w:hint="eastAsia" w:ascii="宋体" w:hAnsi="宋体" w:eastAsia="宋体" w:cs="宋体"/>
          <w:szCs w:val="21"/>
          <w:highlight w:val="none"/>
          <w:lang w:val="zh-CN" w:eastAsia="zh-CN"/>
        </w:rPr>
      </w:pPr>
      <w:bookmarkStart w:id="101" w:name="_Toc345336138"/>
      <w:r>
        <w:rPr>
          <w:rFonts w:hint="eastAsia" w:ascii="宋体" w:hAnsi="宋体" w:cs="宋体"/>
          <w:szCs w:val="21"/>
          <w:highlight w:val="none"/>
          <w:lang w:val="zh-CN"/>
        </w:rPr>
        <w:t>（1</w:t>
      </w:r>
      <w:r>
        <w:rPr>
          <w:rFonts w:hint="eastAsia" w:ascii="宋体" w:hAnsi="宋体" w:eastAsia="宋体" w:cs="宋体"/>
          <w:szCs w:val="21"/>
          <w:highlight w:val="none"/>
          <w:lang w:val="zh-CN" w:eastAsia="zh-CN"/>
        </w:rPr>
        <w:t>）★项目</w:t>
      </w:r>
      <w:r>
        <w:rPr>
          <w:rFonts w:hint="eastAsia" w:ascii="宋体" w:hAnsi="宋体" w:eastAsia="宋体" w:cs="宋体"/>
          <w:szCs w:val="21"/>
          <w:highlight w:val="none"/>
          <w:lang w:val="en-US" w:eastAsia="zh-CN"/>
        </w:rPr>
        <w:t>服务方案</w:t>
      </w:r>
      <w:r>
        <w:rPr>
          <w:rFonts w:hint="eastAsia" w:ascii="宋体" w:hAnsi="宋体" w:eastAsia="宋体" w:cs="宋体"/>
          <w:szCs w:val="21"/>
          <w:highlight w:val="none"/>
          <w:lang w:val="zh-CN" w:eastAsia="zh-CN"/>
        </w:rPr>
        <w:t>；</w:t>
      </w:r>
    </w:p>
    <w:p w14:paraId="48D776E3">
      <w:pPr>
        <w:pStyle w:val="13"/>
        <w:rPr>
          <w:rFonts w:hint="default" w:ascii="宋体" w:hAnsi="宋体" w:eastAsia="宋体" w:cs="宋体"/>
          <w:szCs w:val="21"/>
          <w:highlight w:val="none"/>
          <w:lang w:val="en-US" w:eastAsia="zh-CN"/>
        </w:rPr>
      </w:pPr>
      <w:r>
        <w:rPr>
          <w:rFonts w:hint="eastAsia" w:ascii="宋体" w:hAnsi="宋体" w:eastAsia="宋体" w:cs="宋体"/>
          <w:szCs w:val="21"/>
          <w:highlight w:val="none"/>
          <w:lang w:val="zh-CN" w:eastAsia="zh-CN"/>
        </w:rPr>
        <w:t>（2）</w:t>
      </w:r>
      <w:r>
        <w:rPr>
          <w:rFonts w:hint="eastAsia" w:ascii="宋体" w:hAnsi="宋体" w:eastAsia="宋体" w:cs="宋体"/>
          <w:szCs w:val="21"/>
          <w:highlight w:val="none"/>
          <w:lang w:val="en-US" w:eastAsia="zh-CN"/>
        </w:rPr>
        <w:t>技术条款偏离表</w:t>
      </w:r>
    </w:p>
    <w:p w14:paraId="4BF155BE">
      <w:pPr>
        <w:pStyle w:val="13"/>
        <w:rPr>
          <w:rFonts w:hint="eastAsia" w:ascii="宋体" w:hAnsi="宋体" w:eastAsia="宋体" w:cs="宋体"/>
          <w:szCs w:val="21"/>
          <w:highlight w:val="none"/>
          <w:lang w:val="zh-CN" w:eastAsia="zh-CN"/>
        </w:rPr>
      </w:pPr>
      <w:r>
        <w:rPr>
          <w:rFonts w:hint="eastAsia" w:ascii="宋体" w:hAnsi="宋体" w:eastAsia="宋体" w:cs="宋体"/>
          <w:szCs w:val="21"/>
          <w:highlight w:val="none"/>
          <w:lang w:val="zh-CN" w:eastAsia="zh-CN"/>
        </w:rPr>
        <w:t>（</w:t>
      </w:r>
      <w:r>
        <w:rPr>
          <w:rFonts w:hint="eastAsia" w:ascii="宋体" w:hAnsi="宋体" w:eastAsia="宋体" w:cs="宋体"/>
          <w:szCs w:val="21"/>
          <w:highlight w:val="none"/>
          <w:lang w:val="en-US" w:eastAsia="zh-CN"/>
        </w:rPr>
        <w:t>3</w:t>
      </w:r>
      <w:r>
        <w:rPr>
          <w:rFonts w:hint="eastAsia" w:ascii="宋体" w:hAnsi="宋体" w:eastAsia="宋体" w:cs="宋体"/>
          <w:szCs w:val="21"/>
          <w:highlight w:val="none"/>
          <w:lang w:val="zh-CN" w:eastAsia="zh-CN"/>
        </w:rPr>
        <w:t>）项目组成员一览表</w:t>
      </w:r>
      <w:r>
        <w:rPr>
          <w:rFonts w:hint="eastAsia" w:ascii="宋体" w:hAnsi="宋体" w:eastAsia="宋体" w:cs="宋体"/>
          <w:szCs w:val="21"/>
          <w:highlight w:val="none"/>
          <w:lang w:val="en-US" w:eastAsia="zh-CN"/>
        </w:rPr>
        <w:t>；</w:t>
      </w:r>
    </w:p>
    <w:p w14:paraId="6D98E8F1">
      <w:pPr>
        <w:pStyle w:val="13"/>
        <w:rPr>
          <w:rFonts w:hint="eastAsia" w:ascii="宋体" w:hAnsi="宋体" w:eastAsia="宋体" w:cs="宋体"/>
          <w:szCs w:val="21"/>
          <w:highlight w:val="none"/>
          <w:lang w:val="zh-CN" w:eastAsia="zh-CN"/>
        </w:rPr>
      </w:pPr>
      <w:r>
        <w:rPr>
          <w:rFonts w:hint="eastAsia" w:ascii="宋体" w:hAnsi="宋体" w:eastAsia="宋体" w:cs="宋体"/>
          <w:szCs w:val="21"/>
          <w:highlight w:val="none"/>
          <w:lang w:val="zh-CN" w:eastAsia="zh-CN"/>
        </w:rPr>
        <w:t>（</w:t>
      </w:r>
      <w:r>
        <w:rPr>
          <w:rFonts w:hint="eastAsia" w:ascii="宋体" w:hAnsi="宋体" w:eastAsia="宋体" w:cs="宋体"/>
          <w:szCs w:val="21"/>
          <w:highlight w:val="none"/>
          <w:lang w:val="en-US" w:eastAsia="zh-CN"/>
        </w:rPr>
        <w:t>4</w:t>
      </w:r>
      <w:r>
        <w:rPr>
          <w:rFonts w:hint="eastAsia" w:ascii="宋体" w:hAnsi="宋体" w:eastAsia="宋体" w:cs="宋体"/>
          <w:szCs w:val="21"/>
          <w:highlight w:val="none"/>
          <w:lang w:val="zh-CN" w:eastAsia="zh-CN"/>
        </w:rPr>
        <w:t>）质量保证及服务承诺；</w:t>
      </w:r>
    </w:p>
    <w:p w14:paraId="1CB78CCB">
      <w:pPr>
        <w:pStyle w:val="13"/>
        <w:rPr>
          <w:rFonts w:hint="eastAsia" w:ascii="宋体" w:hAnsi="宋体" w:eastAsia="宋体" w:cs="宋体"/>
          <w:szCs w:val="21"/>
          <w:highlight w:val="none"/>
          <w:lang w:val="zh-CN" w:eastAsia="zh-CN"/>
        </w:rPr>
      </w:pPr>
      <w:r>
        <w:rPr>
          <w:rFonts w:hint="eastAsia" w:ascii="宋体" w:hAnsi="宋体" w:eastAsia="宋体" w:cs="宋体"/>
          <w:szCs w:val="21"/>
          <w:highlight w:val="none"/>
          <w:lang w:val="zh-CN" w:eastAsia="zh-CN"/>
        </w:rPr>
        <w:t>（</w:t>
      </w:r>
      <w:r>
        <w:rPr>
          <w:rFonts w:hint="eastAsia" w:ascii="宋体" w:hAnsi="宋体" w:eastAsia="宋体" w:cs="宋体"/>
          <w:szCs w:val="21"/>
          <w:highlight w:val="none"/>
          <w:lang w:val="en-US" w:eastAsia="zh-CN"/>
        </w:rPr>
        <w:t>5</w:t>
      </w:r>
      <w:r>
        <w:rPr>
          <w:rFonts w:hint="eastAsia" w:ascii="宋体" w:hAnsi="宋体" w:eastAsia="宋体" w:cs="宋体"/>
          <w:szCs w:val="21"/>
          <w:highlight w:val="none"/>
          <w:lang w:val="zh-CN" w:eastAsia="zh-CN"/>
        </w:rPr>
        <w:t>）供应商认为需要提供的其他技术文件或资料等。</w:t>
      </w:r>
    </w:p>
    <w:p w14:paraId="381F523B">
      <w:pPr>
        <w:keepNext w:val="0"/>
        <w:keepLines w:val="0"/>
        <w:pageBreakBefore w:val="0"/>
        <w:spacing w:line="360" w:lineRule="auto"/>
        <w:ind w:firstLine="422"/>
        <w:outlineLvl w:val="1"/>
        <w:rPr>
          <w:rFonts w:ascii="宋体" w:hAnsi="宋体" w:cs="宋体"/>
          <w:b/>
          <w:highlight w:val="none"/>
        </w:rPr>
      </w:pPr>
      <w:bookmarkStart w:id="102" w:name="_Toc5272"/>
      <w:bookmarkStart w:id="103" w:name="_Toc25657"/>
      <w:bookmarkStart w:id="104" w:name="_Toc10660"/>
      <w:bookmarkStart w:id="105" w:name="_Toc2355"/>
      <w:bookmarkStart w:id="106" w:name="_Toc16489"/>
      <w:bookmarkStart w:id="107" w:name="_Toc26769"/>
      <w:bookmarkStart w:id="108" w:name="_Toc30439"/>
      <w:bookmarkStart w:id="109" w:name="_Toc31865"/>
      <w:bookmarkStart w:id="110" w:name="_Toc23381"/>
      <w:bookmarkStart w:id="111" w:name="_Toc6584"/>
      <w:bookmarkStart w:id="112" w:name="_Toc28228"/>
      <w:bookmarkStart w:id="113" w:name="_Toc32189"/>
      <w:bookmarkStart w:id="114" w:name="_Toc29998"/>
      <w:bookmarkStart w:id="115" w:name="_Toc32510"/>
      <w:bookmarkStart w:id="116" w:name="_Toc10119"/>
      <w:bookmarkStart w:id="117" w:name="_Toc10399"/>
      <w:bookmarkStart w:id="118" w:name="_Toc9596"/>
      <w:bookmarkStart w:id="119" w:name="_Toc9138"/>
      <w:bookmarkStart w:id="120" w:name="_Toc6219"/>
      <w:bookmarkStart w:id="121" w:name="_Toc10318"/>
      <w:bookmarkStart w:id="122" w:name="_Toc4248"/>
      <w:bookmarkStart w:id="123" w:name="_Toc22138"/>
      <w:bookmarkStart w:id="124" w:name="_Toc21818"/>
      <w:bookmarkStart w:id="125" w:name="_Toc4007"/>
      <w:bookmarkStart w:id="126" w:name="_Toc28102"/>
      <w:bookmarkStart w:id="127" w:name="_Toc13186"/>
      <w:bookmarkStart w:id="128" w:name="_Toc18928"/>
      <w:bookmarkStart w:id="129" w:name="_Toc504141739"/>
      <w:bookmarkStart w:id="130" w:name="_Toc5718"/>
      <w:r>
        <w:rPr>
          <w:rFonts w:hint="eastAsia" w:ascii="宋体" w:hAnsi="宋体" w:cs="宋体"/>
          <w:b/>
          <w:highlight w:val="none"/>
        </w:rPr>
        <w:t>三、响应性文件递交</w:t>
      </w:r>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p>
    <w:p w14:paraId="5E645CD1">
      <w:pPr>
        <w:keepNext w:val="0"/>
        <w:keepLines w:val="0"/>
        <w:pageBreakBefore w:val="0"/>
        <w:spacing w:line="360" w:lineRule="auto"/>
        <w:ind w:firstLine="420"/>
        <w:rPr>
          <w:rFonts w:hint="eastAsia" w:ascii="宋体" w:hAnsi="宋体" w:cs="宋体"/>
          <w:szCs w:val="21"/>
          <w:highlight w:val="none"/>
          <w:lang w:val="zh-CN" w:eastAsia="zh-CN"/>
        </w:rPr>
      </w:pPr>
      <w:r>
        <w:rPr>
          <w:rFonts w:hint="eastAsia" w:ascii="宋体" w:hAnsi="宋体" w:cs="宋体"/>
          <w:szCs w:val="21"/>
          <w:highlight w:val="none"/>
          <w:lang w:val="en-US" w:eastAsia="zh-CN"/>
        </w:rPr>
        <w:t>14.</w:t>
      </w:r>
      <w:r>
        <w:rPr>
          <w:rFonts w:hint="eastAsia" w:ascii="宋体" w:hAnsi="宋体" w:cs="宋体"/>
          <w:szCs w:val="21"/>
          <w:highlight w:val="none"/>
          <w:lang w:val="zh-CN" w:eastAsia="zh-CN"/>
        </w:rPr>
        <w:t>供应商应当按照《操作手册》规定，在提交响应文件截止时间前制作并上传电子响应文件。</w:t>
      </w:r>
      <w:bookmarkStart w:id="131" w:name="_Toc513029226"/>
      <w:bookmarkEnd w:id="131"/>
      <w:bookmarkStart w:id="132" w:name="_Toc20823298"/>
      <w:bookmarkEnd w:id="132"/>
      <w:bookmarkStart w:id="133" w:name="_Toc16938542"/>
      <w:bookmarkEnd w:id="133"/>
    </w:p>
    <w:p w14:paraId="00E1EAFA">
      <w:pPr>
        <w:keepNext w:val="0"/>
        <w:keepLines w:val="0"/>
        <w:pageBreakBefore w:val="0"/>
        <w:spacing w:line="360" w:lineRule="auto"/>
        <w:ind w:firstLine="420"/>
        <w:rPr>
          <w:rFonts w:hint="eastAsia" w:ascii="宋体" w:hAnsi="宋体" w:cs="宋体"/>
          <w:szCs w:val="21"/>
          <w:highlight w:val="none"/>
          <w:lang w:val="zh-CN" w:eastAsia="zh-CN"/>
        </w:rPr>
      </w:pPr>
      <w:r>
        <w:rPr>
          <w:rFonts w:hint="eastAsia" w:ascii="宋体" w:hAnsi="宋体" w:cs="宋体"/>
          <w:szCs w:val="21"/>
          <w:highlight w:val="none"/>
          <w:lang w:val="en-US" w:eastAsia="zh-CN"/>
        </w:rPr>
        <w:t>15.</w:t>
      </w:r>
      <w:r>
        <w:rPr>
          <w:rFonts w:hint="eastAsia" w:ascii="宋体" w:hAnsi="宋体" w:cs="宋体"/>
          <w:szCs w:val="21"/>
          <w:highlight w:val="none"/>
          <w:lang w:val="zh-CN" w:eastAsia="zh-CN"/>
        </w:rPr>
        <w:t>供应商应充分考虑网络环境、网络带宽等因素可能对磋商产生的影响，如因供应商自身原因造成的电子响应文件上传不成功的，按照本磋商文件第二章第</w:t>
      </w:r>
      <w:r>
        <w:rPr>
          <w:rFonts w:hint="eastAsia" w:ascii="宋体" w:hAnsi="宋体" w:cs="宋体"/>
          <w:szCs w:val="21"/>
          <w:highlight w:val="none"/>
          <w:lang w:val="en-US" w:eastAsia="zh-CN"/>
        </w:rPr>
        <w:t>25.2.3</w:t>
      </w:r>
      <w:r>
        <w:rPr>
          <w:rFonts w:hint="eastAsia" w:ascii="宋体" w:hAnsi="宋体" w:cs="宋体"/>
          <w:szCs w:val="21"/>
          <w:highlight w:val="none"/>
          <w:lang w:val="zh-CN" w:eastAsia="zh-CN"/>
        </w:rPr>
        <w:t>条规定无效响应处理。</w:t>
      </w:r>
    </w:p>
    <w:p w14:paraId="6F2D54B7">
      <w:pPr>
        <w:keepNext w:val="0"/>
        <w:keepLines w:val="0"/>
        <w:pageBreakBefore w:val="0"/>
        <w:spacing w:line="360" w:lineRule="auto"/>
        <w:ind w:firstLine="420"/>
        <w:rPr>
          <w:rFonts w:hint="eastAsia" w:ascii="宋体" w:hAnsi="宋体" w:cs="宋体"/>
          <w:szCs w:val="21"/>
          <w:highlight w:val="none"/>
          <w:lang w:val="zh-CN" w:eastAsia="zh-CN"/>
        </w:rPr>
      </w:pPr>
      <w:r>
        <w:rPr>
          <w:rFonts w:hint="eastAsia" w:ascii="宋体" w:hAnsi="宋体" w:cs="宋体"/>
          <w:szCs w:val="21"/>
          <w:highlight w:val="none"/>
          <w:lang w:val="en-US" w:eastAsia="zh-CN"/>
        </w:rPr>
        <w:t>16.</w:t>
      </w:r>
      <w:r>
        <w:rPr>
          <w:rFonts w:hint="eastAsia" w:ascii="宋体" w:hAnsi="宋体" w:cs="宋体"/>
          <w:szCs w:val="21"/>
          <w:highlight w:val="none"/>
          <w:lang w:val="zh-CN" w:eastAsia="zh-CN"/>
        </w:rPr>
        <w:t>采购代理机构可以按照规定，通过修改磋商文件酌情延长提交响应文件截止日期，在此情况下，供应商的所有权利和义务均以延长后新的截止日期为准。</w:t>
      </w:r>
    </w:p>
    <w:p w14:paraId="5FE08D2D">
      <w:pPr>
        <w:keepNext w:val="0"/>
        <w:keepLines w:val="0"/>
        <w:pageBreakBefore w:val="0"/>
        <w:spacing w:line="360" w:lineRule="auto"/>
        <w:ind w:firstLine="420"/>
        <w:rPr>
          <w:rFonts w:ascii="宋体" w:hAnsi="宋体" w:cs="宋体"/>
          <w:b/>
          <w:bCs/>
          <w:szCs w:val="21"/>
          <w:highlight w:val="none"/>
          <w:lang w:val="zh-CN"/>
        </w:rPr>
      </w:pPr>
      <w:r>
        <w:rPr>
          <w:rFonts w:hint="eastAsia" w:ascii="宋体" w:hAnsi="宋体" w:cs="宋体"/>
          <w:b/>
          <w:bCs/>
          <w:highlight w:val="none"/>
        </w:rPr>
        <w:t>1</w:t>
      </w:r>
      <w:r>
        <w:rPr>
          <w:rFonts w:hint="eastAsia" w:ascii="宋体" w:hAnsi="宋体" w:cs="宋体"/>
          <w:b/>
          <w:bCs/>
          <w:highlight w:val="none"/>
          <w:lang w:val="en-US" w:eastAsia="zh-CN"/>
        </w:rPr>
        <w:t>7</w:t>
      </w:r>
      <w:r>
        <w:rPr>
          <w:rFonts w:hint="eastAsia" w:ascii="宋体" w:hAnsi="宋体" w:cs="宋体"/>
          <w:b/>
          <w:bCs/>
          <w:highlight w:val="none"/>
        </w:rPr>
        <w:t>.</w:t>
      </w:r>
      <w:r>
        <w:rPr>
          <w:rFonts w:hint="eastAsia" w:ascii="宋体" w:hAnsi="宋体" w:cs="宋体"/>
          <w:b/>
          <w:bCs/>
          <w:szCs w:val="21"/>
          <w:highlight w:val="none"/>
          <w:lang w:val="zh-CN"/>
        </w:rPr>
        <w:t>有下列情形之一的磋商响应文件将拒收：</w:t>
      </w:r>
    </w:p>
    <w:p w14:paraId="24864C16">
      <w:pPr>
        <w:keepNext w:val="0"/>
        <w:keepLines w:val="0"/>
        <w:pageBreakBefore w:val="0"/>
        <w:spacing w:line="360" w:lineRule="auto"/>
        <w:ind w:firstLine="420"/>
        <w:rPr>
          <w:rFonts w:hint="eastAsia" w:ascii="宋体" w:hAnsi="宋体" w:cs="宋体"/>
          <w:szCs w:val="21"/>
          <w:highlight w:val="none"/>
          <w:lang w:val="en-US" w:eastAsia="zh-CN"/>
        </w:rPr>
      </w:pPr>
      <w:bookmarkStart w:id="134" w:name="_Toc303"/>
      <w:r>
        <w:rPr>
          <w:rFonts w:hint="eastAsia" w:ascii="宋体" w:hAnsi="宋体" w:cs="宋体"/>
          <w:szCs w:val="21"/>
          <w:highlight w:val="none"/>
          <w:lang w:val="en-US" w:eastAsia="zh-CN"/>
        </w:rPr>
        <w:t>（1）采购代理机构拒绝接收提交响应文件截止时间后上传的任何电子响应文件。</w:t>
      </w:r>
    </w:p>
    <w:p w14:paraId="2FC59F82">
      <w:pPr>
        <w:keepNext w:val="0"/>
        <w:keepLines w:val="0"/>
        <w:pageBreakBefore w:val="0"/>
        <w:spacing w:line="360" w:lineRule="auto"/>
        <w:ind w:firstLine="420"/>
        <w:rPr>
          <w:rFonts w:hint="eastAsia" w:ascii="宋体" w:hAnsi="宋体" w:cs="宋体"/>
          <w:b/>
          <w:bCs/>
          <w:highlight w:val="none"/>
          <w:lang w:val="zh-CN" w:eastAsia="zh-CN"/>
        </w:rPr>
      </w:pPr>
      <w:bookmarkStart w:id="135" w:name="_Toc20823300"/>
      <w:bookmarkStart w:id="136" w:name="_Toc16938544"/>
      <w:bookmarkStart w:id="137" w:name="_Toc513029228"/>
      <w:r>
        <w:rPr>
          <w:rFonts w:hint="eastAsia" w:ascii="宋体" w:hAnsi="宋体" w:cs="宋体"/>
          <w:b/>
          <w:bCs/>
          <w:highlight w:val="none"/>
          <w:lang w:val="en-US" w:eastAsia="zh-CN"/>
        </w:rPr>
        <w:t>18</w:t>
      </w:r>
      <w:r>
        <w:rPr>
          <w:rFonts w:hint="eastAsia" w:ascii="宋体" w:hAnsi="宋体" w:cs="宋体"/>
          <w:b/>
          <w:bCs/>
          <w:highlight w:val="none"/>
          <w:lang w:val="zh-CN" w:eastAsia="zh-CN"/>
        </w:rPr>
        <w:t>.响应文件的撤回和修改</w:t>
      </w:r>
      <w:bookmarkEnd w:id="135"/>
      <w:bookmarkEnd w:id="136"/>
      <w:bookmarkEnd w:id="137"/>
    </w:p>
    <w:p w14:paraId="01A3D24C">
      <w:pPr>
        <w:keepNext w:val="0"/>
        <w:keepLines w:val="0"/>
        <w:pageBreakBefore w:val="0"/>
        <w:spacing w:line="360" w:lineRule="auto"/>
        <w:ind w:firstLine="420"/>
        <w:rPr>
          <w:rFonts w:hint="eastAsia" w:ascii="宋体" w:hAnsi="宋体" w:cs="宋体"/>
          <w:szCs w:val="21"/>
          <w:highlight w:val="none"/>
          <w:lang w:val="zh-CN" w:eastAsia="zh-CN"/>
        </w:rPr>
      </w:pPr>
      <w:r>
        <w:rPr>
          <w:rFonts w:hint="eastAsia" w:ascii="宋体" w:hAnsi="宋体" w:cs="宋体"/>
          <w:szCs w:val="21"/>
          <w:highlight w:val="none"/>
          <w:lang w:val="en-US" w:eastAsia="zh-CN"/>
        </w:rPr>
        <w:t>18</w:t>
      </w:r>
      <w:r>
        <w:rPr>
          <w:rFonts w:hint="eastAsia" w:ascii="宋体" w:hAnsi="宋体" w:cs="宋体"/>
          <w:szCs w:val="21"/>
          <w:highlight w:val="none"/>
          <w:lang w:val="zh-CN" w:eastAsia="zh-CN"/>
        </w:rPr>
        <w:t>.1 响应文件的撤回</w:t>
      </w:r>
    </w:p>
    <w:p w14:paraId="560CEE08">
      <w:pPr>
        <w:keepNext w:val="0"/>
        <w:keepLines w:val="0"/>
        <w:pageBreakBefore w:val="0"/>
        <w:spacing w:line="360" w:lineRule="auto"/>
        <w:ind w:firstLine="420"/>
        <w:rPr>
          <w:rFonts w:hint="eastAsia" w:ascii="宋体" w:hAnsi="宋体" w:cs="宋体"/>
          <w:szCs w:val="21"/>
          <w:highlight w:val="none"/>
          <w:lang w:val="zh-CN" w:eastAsia="zh-CN"/>
        </w:rPr>
      </w:pPr>
      <w:r>
        <w:rPr>
          <w:rFonts w:hint="eastAsia" w:ascii="宋体" w:hAnsi="宋体" w:cs="宋体"/>
          <w:szCs w:val="21"/>
          <w:highlight w:val="none"/>
          <w:lang w:val="en-US" w:eastAsia="zh-CN"/>
        </w:rPr>
        <w:t>18</w:t>
      </w:r>
      <w:r>
        <w:rPr>
          <w:rFonts w:hint="eastAsia" w:ascii="宋体" w:hAnsi="宋体" w:cs="宋体"/>
          <w:szCs w:val="21"/>
          <w:highlight w:val="none"/>
          <w:lang w:val="zh-CN" w:eastAsia="zh-CN"/>
        </w:rPr>
        <w:t>.1.1 供应商可在提交响应文件截止时间前，撤回其电子响应文件，具体操作方法见《操作手册》。</w:t>
      </w:r>
    </w:p>
    <w:p w14:paraId="784AB185">
      <w:pPr>
        <w:keepNext w:val="0"/>
        <w:keepLines w:val="0"/>
        <w:pageBreakBefore w:val="0"/>
        <w:spacing w:line="360" w:lineRule="auto"/>
        <w:ind w:firstLine="420"/>
        <w:rPr>
          <w:rFonts w:hint="eastAsia" w:ascii="宋体" w:hAnsi="宋体" w:cs="宋体"/>
          <w:szCs w:val="21"/>
          <w:highlight w:val="none"/>
          <w:lang w:val="zh-CN" w:eastAsia="zh-CN"/>
        </w:rPr>
      </w:pPr>
      <w:r>
        <w:rPr>
          <w:rFonts w:hint="eastAsia" w:ascii="宋体" w:hAnsi="宋体" w:cs="宋体"/>
          <w:szCs w:val="21"/>
          <w:highlight w:val="none"/>
          <w:lang w:val="en-US" w:eastAsia="zh-CN"/>
        </w:rPr>
        <w:t>18</w:t>
      </w:r>
      <w:r>
        <w:rPr>
          <w:rFonts w:hint="eastAsia" w:ascii="宋体" w:hAnsi="宋体" w:cs="宋体"/>
          <w:szCs w:val="21"/>
          <w:highlight w:val="none"/>
          <w:lang w:val="zh-CN" w:eastAsia="zh-CN"/>
        </w:rPr>
        <w:t>.1.2 供应商撤回电子响应文件，则认为其不再参与本项目磋商活动。</w:t>
      </w:r>
    </w:p>
    <w:p w14:paraId="03B27FBE">
      <w:pPr>
        <w:keepNext w:val="0"/>
        <w:keepLines w:val="0"/>
        <w:pageBreakBefore w:val="0"/>
        <w:spacing w:line="360" w:lineRule="auto"/>
        <w:ind w:firstLine="420"/>
        <w:rPr>
          <w:rFonts w:hint="eastAsia" w:ascii="宋体" w:hAnsi="宋体" w:cs="宋体"/>
          <w:szCs w:val="21"/>
          <w:highlight w:val="none"/>
          <w:lang w:val="zh-CN" w:eastAsia="zh-CN"/>
        </w:rPr>
      </w:pPr>
      <w:r>
        <w:rPr>
          <w:rFonts w:hint="eastAsia" w:ascii="宋体" w:hAnsi="宋体" w:cs="宋体"/>
          <w:szCs w:val="21"/>
          <w:highlight w:val="none"/>
          <w:lang w:val="en-US" w:eastAsia="zh-CN"/>
        </w:rPr>
        <w:t>18</w:t>
      </w:r>
      <w:r>
        <w:rPr>
          <w:rFonts w:hint="eastAsia" w:ascii="宋体" w:hAnsi="宋体" w:cs="宋体"/>
          <w:szCs w:val="21"/>
          <w:highlight w:val="none"/>
          <w:lang w:val="zh-CN" w:eastAsia="zh-CN"/>
        </w:rPr>
        <w:t>.2 响应文件的修改</w:t>
      </w:r>
    </w:p>
    <w:p w14:paraId="781BC71B">
      <w:pPr>
        <w:keepNext w:val="0"/>
        <w:keepLines w:val="0"/>
        <w:pageBreakBefore w:val="0"/>
        <w:spacing w:line="360" w:lineRule="auto"/>
        <w:ind w:firstLine="420"/>
        <w:rPr>
          <w:rFonts w:hint="eastAsia" w:ascii="宋体" w:hAnsi="宋体" w:cs="宋体"/>
          <w:szCs w:val="21"/>
          <w:highlight w:val="none"/>
          <w:lang w:val="zh-CN" w:eastAsia="zh-CN"/>
        </w:rPr>
      </w:pPr>
      <w:r>
        <w:rPr>
          <w:rFonts w:hint="eastAsia" w:ascii="宋体" w:hAnsi="宋体" w:cs="宋体"/>
          <w:szCs w:val="21"/>
          <w:highlight w:val="none"/>
          <w:lang w:val="en-US" w:eastAsia="zh-CN"/>
        </w:rPr>
        <w:t>18</w:t>
      </w:r>
      <w:r>
        <w:rPr>
          <w:rFonts w:hint="eastAsia" w:ascii="宋体" w:hAnsi="宋体" w:cs="宋体"/>
          <w:szCs w:val="21"/>
          <w:highlight w:val="none"/>
          <w:lang w:val="zh-CN" w:eastAsia="zh-CN"/>
        </w:rPr>
        <w:t>.2.1 供应商可在提交响应文件截止时间前，对其电子响应文件进行修改，具体操作方法见《操作手册》。</w:t>
      </w:r>
    </w:p>
    <w:p w14:paraId="0EDB74F4">
      <w:pPr>
        <w:keepNext w:val="0"/>
        <w:keepLines w:val="0"/>
        <w:pageBreakBefore w:val="0"/>
        <w:spacing w:line="360" w:lineRule="auto"/>
        <w:ind w:firstLine="420"/>
        <w:rPr>
          <w:rFonts w:hint="eastAsia" w:ascii="宋体" w:hAnsi="宋体" w:cs="宋体"/>
          <w:szCs w:val="21"/>
          <w:highlight w:val="none"/>
          <w:lang w:val="zh-CN" w:eastAsia="zh-CN"/>
        </w:rPr>
      </w:pPr>
      <w:r>
        <w:rPr>
          <w:rFonts w:hint="eastAsia" w:ascii="宋体" w:hAnsi="宋体" w:cs="宋体"/>
          <w:szCs w:val="21"/>
          <w:highlight w:val="none"/>
          <w:lang w:val="en-US" w:eastAsia="zh-CN"/>
        </w:rPr>
        <w:t>18</w:t>
      </w:r>
      <w:r>
        <w:rPr>
          <w:rFonts w:hint="eastAsia" w:ascii="宋体" w:hAnsi="宋体" w:cs="宋体"/>
          <w:szCs w:val="21"/>
          <w:highlight w:val="none"/>
          <w:lang w:val="zh-CN" w:eastAsia="zh-CN"/>
        </w:rPr>
        <w:t>.2.2 在提交响应文件截止时间之后，供应商不得对其电子响应文件作任何修改。</w:t>
      </w:r>
    </w:p>
    <w:p w14:paraId="014729A4">
      <w:pPr>
        <w:keepNext w:val="0"/>
        <w:keepLines w:val="0"/>
        <w:pageBreakBefore w:val="0"/>
        <w:spacing w:line="360" w:lineRule="auto"/>
        <w:ind w:firstLine="420"/>
        <w:rPr>
          <w:rFonts w:hint="eastAsia" w:ascii="宋体" w:hAnsi="宋体" w:cs="宋体"/>
          <w:szCs w:val="21"/>
          <w:highlight w:val="none"/>
          <w:lang w:val="zh-CN" w:eastAsia="zh-CN"/>
        </w:rPr>
      </w:pPr>
      <w:r>
        <w:rPr>
          <w:rFonts w:hint="eastAsia" w:ascii="宋体" w:hAnsi="宋体" w:cs="宋体"/>
          <w:szCs w:val="21"/>
          <w:highlight w:val="none"/>
          <w:lang w:val="en-US" w:eastAsia="zh-CN"/>
        </w:rPr>
        <w:t>18</w:t>
      </w:r>
      <w:r>
        <w:rPr>
          <w:rFonts w:hint="eastAsia" w:ascii="宋体" w:hAnsi="宋体" w:cs="宋体"/>
          <w:szCs w:val="21"/>
          <w:highlight w:val="none"/>
          <w:lang w:val="zh-CN" w:eastAsia="zh-CN"/>
        </w:rPr>
        <w:t>.3 在提交响应文件截止时间至磋商文件中规定的磋商有效期满之间的这段时间内，供应商不得撤回其响应文件。</w:t>
      </w:r>
    </w:p>
    <w:p w14:paraId="71BB8052">
      <w:pPr>
        <w:keepNext w:val="0"/>
        <w:keepLines w:val="0"/>
        <w:pageBreakBefore w:val="0"/>
        <w:spacing w:line="360" w:lineRule="auto"/>
        <w:ind w:firstLine="422"/>
        <w:outlineLvl w:val="1"/>
        <w:rPr>
          <w:rFonts w:ascii="宋体" w:hAnsi="宋体" w:cs="宋体"/>
          <w:b/>
          <w:highlight w:val="none"/>
        </w:rPr>
      </w:pPr>
      <w:bookmarkStart w:id="138" w:name="_Toc16496"/>
      <w:r>
        <w:rPr>
          <w:rFonts w:hint="eastAsia" w:ascii="宋体" w:hAnsi="宋体" w:cs="宋体"/>
          <w:b/>
          <w:highlight w:val="none"/>
        </w:rPr>
        <w:t>四、诚实信用</w:t>
      </w:r>
      <w:bookmarkEnd w:id="134"/>
      <w:bookmarkEnd w:id="138"/>
    </w:p>
    <w:p w14:paraId="29C1DE92">
      <w:pPr>
        <w:keepNext w:val="0"/>
        <w:keepLines w:val="0"/>
        <w:pageBreakBefore w:val="0"/>
        <w:tabs>
          <w:tab w:val="left" w:pos="5355"/>
        </w:tabs>
        <w:spacing w:line="360" w:lineRule="auto"/>
        <w:ind w:firstLine="420"/>
        <w:rPr>
          <w:rFonts w:ascii="宋体" w:hAnsi="宋体" w:cs="宋体"/>
          <w:b/>
          <w:bCs/>
          <w:szCs w:val="21"/>
          <w:highlight w:val="none"/>
          <w:lang w:val="zh-CN"/>
        </w:rPr>
      </w:pPr>
      <w:r>
        <w:rPr>
          <w:rFonts w:hint="eastAsia" w:ascii="宋体" w:hAnsi="宋体" w:cs="宋体"/>
          <w:b/>
          <w:bCs/>
          <w:szCs w:val="21"/>
          <w:highlight w:val="none"/>
          <w:lang w:val="en-US" w:eastAsia="zh-CN"/>
        </w:rPr>
        <w:t>19</w:t>
      </w:r>
      <w:r>
        <w:rPr>
          <w:rFonts w:hint="eastAsia" w:ascii="宋体" w:hAnsi="宋体" w:cs="宋体"/>
          <w:b/>
          <w:bCs/>
          <w:szCs w:val="21"/>
          <w:highlight w:val="none"/>
          <w:lang w:val="zh-CN"/>
        </w:rPr>
        <w:t>. 诚实信用</w:t>
      </w:r>
    </w:p>
    <w:p w14:paraId="2B02866B">
      <w:pPr>
        <w:keepNext w:val="0"/>
        <w:keepLines w:val="0"/>
        <w:pageBreakBefore w:val="0"/>
        <w:spacing w:line="360" w:lineRule="auto"/>
        <w:ind w:firstLine="420"/>
        <w:rPr>
          <w:rFonts w:ascii="宋体" w:hAnsi="宋体" w:cs="宋体"/>
          <w:szCs w:val="21"/>
          <w:highlight w:val="none"/>
          <w:lang w:val="zh-CN"/>
        </w:rPr>
      </w:pPr>
      <w:r>
        <w:rPr>
          <w:rFonts w:hint="eastAsia" w:ascii="宋体" w:hAnsi="宋体" w:cs="宋体"/>
          <w:szCs w:val="21"/>
          <w:highlight w:val="none"/>
          <w:lang w:val="en-US" w:eastAsia="zh-CN"/>
        </w:rPr>
        <w:t>19</w:t>
      </w:r>
      <w:r>
        <w:rPr>
          <w:rFonts w:hint="eastAsia" w:ascii="宋体" w:hAnsi="宋体" w:cs="宋体"/>
          <w:szCs w:val="21"/>
          <w:highlight w:val="none"/>
          <w:lang w:val="zh-CN"/>
        </w:rPr>
        <w:t>.1 供应商之间不得相互串通投标报价，不得妨碍其他供应商的公平竞争，不得损害采购人和其他供应商的合法权益。</w:t>
      </w:r>
    </w:p>
    <w:p w14:paraId="6084A122">
      <w:pPr>
        <w:keepNext w:val="0"/>
        <w:keepLines w:val="0"/>
        <w:pageBreakBefore w:val="0"/>
        <w:spacing w:line="360" w:lineRule="auto"/>
        <w:ind w:firstLine="420"/>
        <w:rPr>
          <w:rFonts w:ascii="宋体" w:hAnsi="宋体" w:cs="宋体"/>
          <w:szCs w:val="21"/>
          <w:highlight w:val="none"/>
          <w:lang w:val="zh-CN"/>
        </w:rPr>
      </w:pPr>
      <w:r>
        <w:rPr>
          <w:rFonts w:hint="eastAsia" w:ascii="宋体" w:hAnsi="宋体" w:cs="宋体"/>
          <w:szCs w:val="21"/>
          <w:highlight w:val="none"/>
          <w:lang w:val="en-US" w:eastAsia="zh-CN"/>
        </w:rPr>
        <w:t>19</w:t>
      </w:r>
      <w:r>
        <w:rPr>
          <w:rFonts w:hint="eastAsia" w:ascii="宋体" w:hAnsi="宋体" w:cs="宋体"/>
          <w:szCs w:val="21"/>
          <w:highlight w:val="none"/>
          <w:lang w:val="zh-CN"/>
        </w:rPr>
        <w:t>.2 供应商不得以向代理机构工作人员、评标委员会成员行贿或者采取其他不正当手段谋取中标。经查实供应商有此行为的，政府采购管理部门将供应商列入不良行为记录名单，按照《政府采购法》有关规定处理。</w:t>
      </w:r>
    </w:p>
    <w:p w14:paraId="3DEE015B">
      <w:pPr>
        <w:keepNext w:val="0"/>
        <w:keepLines w:val="0"/>
        <w:pageBreakBefore w:val="0"/>
        <w:spacing w:line="360" w:lineRule="auto"/>
        <w:ind w:firstLine="420"/>
        <w:rPr>
          <w:rFonts w:ascii="宋体" w:hAnsi="宋体" w:cs="宋体"/>
          <w:szCs w:val="21"/>
          <w:highlight w:val="none"/>
          <w:lang w:val="zh-CN"/>
        </w:rPr>
      </w:pPr>
      <w:r>
        <w:rPr>
          <w:rFonts w:hint="eastAsia" w:ascii="宋体" w:hAnsi="宋体" w:cs="宋体"/>
          <w:szCs w:val="21"/>
          <w:highlight w:val="none"/>
          <w:lang w:val="en-US" w:eastAsia="zh-CN"/>
        </w:rPr>
        <w:t>19</w:t>
      </w:r>
      <w:r>
        <w:rPr>
          <w:rFonts w:hint="eastAsia" w:ascii="宋体" w:hAnsi="宋体" w:cs="宋体"/>
          <w:szCs w:val="21"/>
          <w:highlight w:val="none"/>
          <w:lang w:val="zh-CN"/>
        </w:rPr>
        <w:t>.3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p>
    <w:p w14:paraId="5C703F4A">
      <w:pPr>
        <w:keepNext w:val="0"/>
        <w:keepLines w:val="0"/>
        <w:pageBreakBefore w:val="0"/>
        <w:spacing w:line="360" w:lineRule="auto"/>
        <w:ind w:firstLine="420"/>
        <w:rPr>
          <w:rFonts w:ascii="宋体" w:hAnsi="宋体" w:cs="宋体"/>
          <w:szCs w:val="21"/>
          <w:highlight w:val="none"/>
          <w:lang w:val="zh-CN"/>
        </w:rPr>
      </w:pPr>
      <w:r>
        <w:rPr>
          <w:rFonts w:hint="eastAsia" w:ascii="宋体" w:hAnsi="宋体" w:cs="宋体"/>
          <w:szCs w:val="21"/>
          <w:highlight w:val="none"/>
          <w:lang w:val="en-US" w:eastAsia="zh-CN"/>
        </w:rPr>
        <w:t>19</w:t>
      </w:r>
      <w:r>
        <w:rPr>
          <w:rFonts w:hint="eastAsia" w:ascii="宋体" w:hAnsi="宋体" w:cs="宋体"/>
          <w:szCs w:val="21"/>
          <w:highlight w:val="none"/>
          <w:lang w:val="zh-CN"/>
        </w:rPr>
        <w:t>.4 供应商不得虚假承诺，否则，按照提供虚假材料谋取中标成交处理。</w:t>
      </w:r>
    </w:p>
    <w:p w14:paraId="7256FA30">
      <w:pPr>
        <w:keepNext w:val="0"/>
        <w:keepLines w:val="0"/>
        <w:pageBreakBefore w:val="0"/>
        <w:spacing w:line="360" w:lineRule="auto"/>
        <w:ind w:firstLine="420"/>
        <w:rPr>
          <w:rFonts w:ascii="宋体" w:hAnsi="宋体" w:cs="宋体"/>
          <w:szCs w:val="21"/>
          <w:highlight w:val="none"/>
          <w:lang w:val="zh-CN"/>
        </w:rPr>
      </w:pPr>
      <w:r>
        <w:rPr>
          <w:rFonts w:hint="eastAsia" w:ascii="宋体" w:hAnsi="宋体" w:cs="宋体"/>
          <w:szCs w:val="21"/>
          <w:highlight w:val="none"/>
          <w:lang w:val="en-US" w:eastAsia="zh-CN"/>
        </w:rPr>
        <w:t>19</w:t>
      </w:r>
      <w:r>
        <w:rPr>
          <w:rFonts w:hint="eastAsia" w:ascii="宋体" w:hAnsi="宋体" w:cs="宋体"/>
          <w:szCs w:val="21"/>
          <w:highlight w:val="none"/>
          <w:lang w:val="zh-CN"/>
        </w:rPr>
        <w:t>.5 供应商应自觉遵守开标、评标纪律，扰乱开标评标现场秩序的，属于失信行为，根据《江苏省政府采购供应商监督管理暂行办法》，失信行为将被记入供应商诚信档案。</w:t>
      </w:r>
    </w:p>
    <w:p w14:paraId="46031AB5">
      <w:pPr>
        <w:keepNext w:val="0"/>
        <w:keepLines w:val="0"/>
        <w:pageBreakBefore w:val="0"/>
        <w:spacing w:line="360" w:lineRule="auto"/>
        <w:ind w:firstLine="420"/>
        <w:rPr>
          <w:rFonts w:ascii="宋体" w:hAnsi="宋体" w:cs="宋体"/>
          <w:szCs w:val="21"/>
          <w:highlight w:val="none"/>
          <w:lang w:val="zh-CN"/>
        </w:rPr>
      </w:pPr>
      <w:r>
        <w:rPr>
          <w:rFonts w:hint="eastAsia" w:ascii="宋体" w:hAnsi="宋体" w:cs="宋体"/>
          <w:szCs w:val="21"/>
          <w:highlight w:val="none"/>
          <w:lang w:val="en-US" w:eastAsia="zh-CN"/>
        </w:rPr>
        <w:t>19</w:t>
      </w:r>
      <w:r>
        <w:rPr>
          <w:rFonts w:hint="eastAsia" w:ascii="宋体" w:hAnsi="宋体" w:cs="宋体"/>
          <w:szCs w:val="21"/>
          <w:highlight w:val="none"/>
          <w:lang w:val="zh-CN"/>
        </w:rPr>
        <w:t>.6违反信用承诺的法律责任</w:t>
      </w:r>
    </w:p>
    <w:p w14:paraId="19570FAD">
      <w:pPr>
        <w:keepNext w:val="0"/>
        <w:keepLines w:val="0"/>
        <w:pageBreakBefore w:val="0"/>
        <w:spacing w:line="360" w:lineRule="auto"/>
        <w:ind w:firstLine="420"/>
        <w:rPr>
          <w:rFonts w:ascii="宋体" w:hAnsi="宋体" w:cs="宋体"/>
          <w:szCs w:val="21"/>
          <w:highlight w:val="none"/>
          <w:lang w:val="zh-CN"/>
        </w:rPr>
      </w:pPr>
      <w:r>
        <w:rPr>
          <w:rFonts w:hint="eastAsia" w:ascii="宋体" w:hAnsi="宋体" w:cs="宋体"/>
          <w:szCs w:val="21"/>
          <w:highlight w:val="none"/>
          <w:lang w:val="zh-CN"/>
        </w:rPr>
        <w:t>根据《关于在政府采购活动中推行信用承诺制的通知》宁财购通（2021）5号要求，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p>
    <w:p w14:paraId="41B05455">
      <w:pPr>
        <w:keepNext w:val="0"/>
        <w:keepLines w:val="0"/>
        <w:pageBreakBefore w:val="0"/>
        <w:spacing w:line="360" w:lineRule="auto"/>
        <w:ind w:firstLine="422"/>
        <w:outlineLvl w:val="1"/>
        <w:rPr>
          <w:rFonts w:ascii="宋体" w:hAnsi="宋体" w:cs="宋体"/>
          <w:b/>
          <w:highlight w:val="none"/>
        </w:rPr>
      </w:pPr>
      <w:bookmarkStart w:id="139" w:name="_Toc25289"/>
      <w:bookmarkStart w:id="140" w:name="_Toc16693"/>
      <w:bookmarkStart w:id="141" w:name="_Toc345336139"/>
      <w:bookmarkStart w:id="142" w:name="_Toc12618"/>
      <w:bookmarkStart w:id="143" w:name="_Toc11401"/>
      <w:bookmarkStart w:id="144" w:name="_Toc21664"/>
      <w:bookmarkStart w:id="145" w:name="_Toc15490"/>
      <w:bookmarkStart w:id="146" w:name="_Toc9275"/>
      <w:bookmarkStart w:id="147" w:name="_Toc7507"/>
      <w:bookmarkStart w:id="148" w:name="_Toc28219"/>
      <w:bookmarkStart w:id="149" w:name="_Toc16427"/>
      <w:bookmarkStart w:id="150" w:name="_Toc815"/>
      <w:bookmarkStart w:id="151" w:name="_Toc7433"/>
      <w:bookmarkStart w:id="152" w:name="_Toc11328"/>
      <w:bookmarkStart w:id="153" w:name="_Toc16242"/>
      <w:bookmarkStart w:id="154" w:name="_Toc16553"/>
      <w:bookmarkStart w:id="155" w:name="_Toc322"/>
      <w:bookmarkStart w:id="156" w:name="_Toc23666"/>
      <w:bookmarkStart w:id="157" w:name="_Toc11097"/>
      <w:bookmarkStart w:id="158" w:name="_Toc504141740"/>
      <w:bookmarkStart w:id="159" w:name="_Toc29811"/>
      <w:bookmarkStart w:id="160" w:name="_Toc17487"/>
      <w:bookmarkStart w:id="161" w:name="_Toc15080"/>
      <w:bookmarkStart w:id="162" w:name="_Toc26188"/>
      <w:bookmarkStart w:id="163" w:name="_Toc28259"/>
      <w:bookmarkStart w:id="164" w:name="_Toc2163"/>
      <w:bookmarkStart w:id="165" w:name="_Toc20962"/>
      <w:bookmarkStart w:id="166" w:name="_Toc9375"/>
      <w:bookmarkStart w:id="167" w:name="_Toc1232"/>
      <w:bookmarkStart w:id="168" w:name="_Toc27195"/>
      <w:r>
        <w:rPr>
          <w:rFonts w:hint="eastAsia" w:ascii="宋体" w:hAnsi="宋体" w:cs="宋体"/>
          <w:b/>
          <w:highlight w:val="none"/>
        </w:rPr>
        <w:t>五、磋商</w:t>
      </w:r>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p>
    <w:p w14:paraId="315D35CE">
      <w:pPr>
        <w:spacing w:line="360" w:lineRule="auto"/>
        <w:ind w:firstLine="420"/>
        <w:rPr>
          <w:rFonts w:hint="eastAsia" w:cs="宋体" w:asciiTheme="majorEastAsia" w:hAnsiTheme="majorEastAsia" w:eastAsiaTheme="majorEastAsia"/>
          <w:b/>
          <w:bCs/>
          <w:szCs w:val="21"/>
          <w:lang w:val="zh-CN"/>
        </w:rPr>
      </w:pPr>
      <w:bookmarkStart w:id="169" w:name="_Toc345336140"/>
      <w:r>
        <w:rPr>
          <w:rFonts w:hint="eastAsia" w:cs="宋体" w:asciiTheme="majorEastAsia" w:hAnsiTheme="majorEastAsia" w:eastAsiaTheme="majorEastAsia"/>
          <w:b/>
          <w:bCs/>
          <w:szCs w:val="21"/>
          <w:lang w:val="en-US" w:eastAsia="zh-CN"/>
        </w:rPr>
        <w:t>20</w:t>
      </w:r>
      <w:r>
        <w:rPr>
          <w:rFonts w:hint="eastAsia" w:cs="宋体" w:asciiTheme="majorEastAsia" w:hAnsiTheme="majorEastAsia" w:eastAsiaTheme="majorEastAsia"/>
          <w:b/>
          <w:bCs/>
          <w:szCs w:val="21"/>
          <w:lang w:val="zh-CN"/>
        </w:rPr>
        <w:t>.</w:t>
      </w:r>
      <w:r>
        <w:rPr>
          <w:rFonts w:hint="eastAsia"/>
        </w:rPr>
        <w:t xml:space="preserve"> </w:t>
      </w:r>
      <w:r>
        <w:rPr>
          <w:rFonts w:hint="eastAsia" w:cs="宋体" w:asciiTheme="majorEastAsia" w:hAnsiTheme="majorEastAsia" w:eastAsiaTheme="majorEastAsia"/>
          <w:b/>
          <w:bCs/>
          <w:szCs w:val="21"/>
          <w:lang w:val="zh-CN"/>
        </w:rPr>
        <w:t>响应文件解密</w:t>
      </w:r>
    </w:p>
    <w:p w14:paraId="426C8BD3">
      <w:pPr>
        <w:spacing w:line="360" w:lineRule="auto"/>
        <w:ind w:firstLine="420"/>
        <w:rPr>
          <w:rFonts w:hint="eastAsia" w:cs="宋体" w:asciiTheme="majorEastAsia" w:hAnsiTheme="majorEastAsia" w:eastAsiaTheme="majorEastAsia"/>
          <w:szCs w:val="21"/>
          <w:lang w:val="zh-CN"/>
        </w:rPr>
      </w:pPr>
      <w:r>
        <w:rPr>
          <w:rFonts w:hint="eastAsia" w:cs="宋体" w:asciiTheme="majorEastAsia" w:hAnsiTheme="majorEastAsia" w:eastAsiaTheme="majorEastAsia"/>
          <w:szCs w:val="21"/>
          <w:lang w:val="en-US" w:eastAsia="zh-CN"/>
        </w:rPr>
        <w:t>20</w:t>
      </w:r>
      <w:r>
        <w:rPr>
          <w:rFonts w:hint="eastAsia" w:cs="宋体" w:asciiTheme="majorEastAsia" w:hAnsiTheme="majorEastAsia" w:eastAsiaTheme="majorEastAsia"/>
          <w:szCs w:val="21"/>
          <w:lang w:val="zh-CN"/>
        </w:rPr>
        <w:t>.1 供应商应当按照《操作手册》规定，在苏采云系统规定的时间内对响应文件进行解密。</w:t>
      </w:r>
    </w:p>
    <w:p w14:paraId="450D1CBB">
      <w:pPr>
        <w:keepNext w:val="0"/>
        <w:keepLines w:val="0"/>
        <w:pageBreakBefore w:val="0"/>
        <w:spacing w:line="360" w:lineRule="auto"/>
        <w:ind w:firstLine="420"/>
        <w:rPr>
          <w:rFonts w:ascii="宋体" w:hAnsi="宋体" w:cs="宋体"/>
          <w:b/>
          <w:bCs/>
          <w:szCs w:val="21"/>
          <w:highlight w:val="none"/>
          <w:lang w:val="zh-CN"/>
        </w:rPr>
      </w:pPr>
      <w:r>
        <w:rPr>
          <w:rFonts w:hint="eastAsia" w:ascii="宋体" w:hAnsi="宋体" w:cs="宋体"/>
          <w:b/>
          <w:bCs/>
          <w:szCs w:val="21"/>
          <w:highlight w:val="none"/>
          <w:lang w:val="en-US" w:eastAsia="zh-CN"/>
        </w:rPr>
        <w:t>21</w:t>
      </w:r>
      <w:r>
        <w:rPr>
          <w:rFonts w:hint="eastAsia" w:ascii="宋体" w:hAnsi="宋体" w:cs="宋体"/>
          <w:b/>
          <w:bCs/>
          <w:szCs w:val="21"/>
          <w:highlight w:val="none"/>
          <w:lang w:val="zh-CN"/>
        </w:rPr>
        <w:t>、磋商组织</w:t>
      </w:r>
    </w:p>
    <w:p w14:paraId="208BF868">
      <w:pPr>
        <w:keepNext w:val="0"/>
        <w:keepLines w:val="0"/>
        <w:pageBreakBefore w:val="0"/>
        <w:spacing w:line="360" w:lineRule="auto"/>
        <w:ind w:firstLine="420"/>
        <w:rPr>
          <w:rFonts w:ascii="宋体" w:hAnsi="宋体" w:cs="宋体"/>
          <w:szCs w:val="21"/>
          <w:highlight w:val="none"/>
          <w:lang w:val="zh-CN"/>
        </w:rPr>
      </w:pPr>
      <w:r>
        <w:rPr>
          <w:rFonts w:hint="eastAsia" w:ascii="宋体" w:hAnsi="宋体" w:cs="宋体"/>
          <w:szCs w:val="21"/>
          <w:highlight w:val="none"/>
          <w:lang w:val="en-US" w:eastAsia="zh-CN"/>
        </w:rPr>
        <w:t>21</w:t>
      </w:r>
      <w:r>
        <w:rPr>
          <w:rFonts w:hint="eastAsia" w:ascii="宋体" w:hAnsi="宋体" w:cs="宋体"/>
          <w:szCs w:val="21"/>
          <w:highlight w:val="none"/>
          <w:lang w:val="zh-CN"/>
        </w:rPr>
        <w:t>.</w:t>
      </w:r>
      <w:r>
        <w:rPr>
          <w:rFonts w:hint="eastAsia" w:ascii="宋体" w:hAnsi="宋体" w:cs="宋体"/>
          <w:szCs w:val="21"/>
          <w:highlight w:val="none"/>
          <w:lang w:val="en-US" w:eastAsia="zh-CN"/>
        </w:rPr>
        <w:t>1</w:t>
      </w:r>
      <w:r>
        <w:rPr>
          <w:rFonts w:hint="eastAsia" w:ascii="宋体" w:hAnsi="宋体" w:cs="宋体"/>
          <w:szCs w:val="21"/>
          <w:highlight w:val="none"/>
          <w:lang w:val="zh-CN"/>
        </w:rPr>
        <w:t xml:space="preserve"> 磋商工作由代理机构负责组织，具体磋商事务由依法组建的磋商小组负责。</w:t>
      </w:r>
    </w:p>
    <w:p w14:paraId="246DDB8C">
      <w:pPr>
        <w:spacing w:line="360" w:lineRule="auto"/>
        <w:ind w:firstLine="420"/>
        <w:rPr>
          <w:rFonts w:hint="eastAsia" w:cs="宋体" w:asciiTheme="majorEastAsia" w:hAnsiTheme="majorEastAsia" w:eastAsiaTheme="majorEastAsia"/>
          <w:b/>
          <w:bCs/>
          <w:szCs w:val="21"/>
          <w:lang w:val="zh-CN"/>
        </w:rPr>
      </w:pPr>
      <w:r>
        <w:rPr>
          <w:rFonts w:hint="eastAsia" w:cs="宋体" w:asciiTheme="majorEastAsia" w:hAnsiTheme="majorEastAsia" w:eastAsiaTheme="majorEastAsia"/>
          <w:b/>
          <w:bCs/>
          <w:szCs w:val="21"/>
          <w:lang w:val="en-US" w:eastAsia="zh-CN"/>
        </w:rPr>
        <w:t>22</w:t>
      </w:r>
      <w:r>
        <w:rPr>
          <w:rFonts w:hint="eastAsia" w:cs="宋体" w:asciiTheme="majorEastAsia" w:hAnsiTheme="majorEastAsia" w:eastAsiaTheme="majorEastAsia"/>
          <w:b/>
          <w:bCs/>
          <w:szCs w:val="21"/>
          <w:lang w:val="zh-CN"/>
        </w:rPr>
        <w:t>.评审过程的保密与公正</w:t>
      </w:r>
    </w:p>
    <w:p w14:paraId="07B45A38">
      <w:pPr>
        <w:spacing w:line="360" w:lineRule="auto"/>
        <w:ind w:firstLine="420"/>
        <w:rPr>
          <w:rFonts w:hint="eastAsia" w:cs="宋体" w:asciiTheme="majorEastAsia" w:hAnsiTheme="majorEastAsia" w:eastAsiaTheme="majorEastAsia"/>
          <w:szCs w:val="21"/>
          <w:lang w:val="zh-CN"/>
        </w:rPr>
      </w:pPr>
      <w:r>
        <w:rPr>
          <w:rFonts w:hint="eastAsia" w:cs="宋体" w:asciiTheme="majorEastAsia" w:hAnsiTheme="majorEastAsia" w:eastAsiaTheme="majorEastAsia"/>
          <w:szCs w:val="21"/>
          <w:lang w:val="en-US" w:eastAsia="zh-CN"/>
        </w:rPr>
        <w:t>22</w:t>
      </w:r>
      <w:r>
        <w:rPr>
          <w:rFonts w:hint="eastAsia" w:cs="宋体" w:asciiTheme="majorEastAsia" w:hAnsiTheme="majorEastAsia" w:eastAsiaTheme="majorEastAsia"/>
          <w:szCs w:val="21"/>
          <w:lang w:val="zh-CN"/>
        </w:rPr>
        <w:t>.1 磋商小组、采购人和采购代理机构工作人员、相关监督人员等与评审工作有关的人员，对评审情况以及在评审过程中获悉的国家秘密、商业秘密负有保密责任。</w:t>
      </w:r>
    </w:p>
    <w:p w14:paraId="5FD65C1D">
      <w:pPr>
        <w:spacing w:line="360" w:lineRule="auto"/>
        <w:ind w:firstLine="420"/>
        <w:rPr>
          <w:rFonts w:hint="eastAsia" w:cs="宋体" w:asciiTheme="majorEastAsia" w:hAnsiTheme="majorEastAsia" w:eastAsiaTheme="majorEastAsia"/>
          <w:szCs w:val="21"/>
          <w:lang w:val="zh-CN"/>
        </w:rPr>
      </w:pPr>
      <w:r>
        <w:rPr>
          <w:rFonts w:hint="eastAsia" w:cs="宋体" w:asciiTheme="majorEastAsia" w:hAnsiTheme="majorEastAsia" w:eastAsiaTheme="majorEastAsia"/>
          <w:szCs w:val="21"/>
          <w:lang w:val="en-US" w:eastAsia="zh-CN"/>
        </w:rPr>
        <w:t>22</w:t>
      </w:r>
      <w:r>
        <w:rPr>
          <w:rFonts w:hint="eastAsia" w:cs="宋体" w:asciiTheme="majorEastAsia" w:hAnsiTheme="majorEastAsia" w:eastAsiaTheme="majorEastAsia"/>
          <w:szCs w:val="21"/>
          <w:lang w:val="zh-CN"/>
        </w:rPr>
        <w:t>.2 供应商不得以任何方式影响磋商评审，否则其响应文件将被作为无效响应文件。</w:t>
      </w:r>
    </w:p>
    <w:p w14:paraId="03EF39BB">
      <w:pPr>
        <w:spacing w:line="360" w:lineRule="auto"/>
        <w:ind w:firstLine="420"/>
        <w:rPr>
          <w:rFonts w:hint="eastAsia" w:cs="宋体" w:asciiTheme="majorEastAsia" w:hAnsiTheme="majorEastAsia" w:eastAsiaTheme="majorEastAsia"/>
          <w:szCs w:val="21"/>
          <w:lang w:val="zh-CN"/>
        </w:rPr>
      </w:pPr>
      <w:r>
        <w:rPr>
          <w:rFonts w:hint="eastAsia" w:cs="宋体" w:asciiTheme="majorEastAsia" w:hAnsiTheme="majorEastAsia" w:eastAsiaTheme="majorEastAsia"/>
          <w:szCs w:val="21"/>
          <w:lang w:val="en-US" w:eastAsia="zh-CN"/>
        </w:rPr>
        <w:t>22</w:t>
      </w:r>
      <w:r>
        <w:rPr>
          <w:rFonts w:hint="eastAsia" w:cs="宋体" w:asciiTheme="majorEastAsia" w:hAnsiTheme="majorEastAsia" w:eastAsiaTheme="majorEastAsia"/>
          <w:szCs w:val="21"/>
          <w:lang w:val="zh-CN"/>
        </w:rPr>
        <w:t>.3 采购代理机构和磋商小组不向未成交的供应商解释未成交原因，也不公布评审过程中的相关细节。</w:t>
      </w:r>
    </w:p>
    <w:p w14:paraId="04E6445E">
      <w:pPr>
        <w:widowControl/>
        <w:shd w:val="clear" w:color="auto" w:fill="FFFFFF"/>
        <w:spacing w:line="360" w:lineRule="auto"/>
        <w:ind w:firstLine="420"/>
        <w:jc w:val="left"/>
        <w:rPr>
          <w:rFonts w:hint="eastAsia" w:asciiTheme="majorEastAsia" w:hAnsiTheme="majorEastAsia" w:eastAsiaTheme="majorEastAsia"/>
          <w:szCs w:val="21"/>
        </w:rPr>
      </w:pPr>
      <w:r>
        <w:rPr>
          <w:rFonts w:hint="eastAsia" w:cs="宋体" w:asciiTheme="majorEastAsia" w:hAnsiTheme="majorEastAsia" w:eastAsiaTheme="majorEastAsia"/>
          <w:b/>
          <w:szCs w:val="21"/>
          <w:lang w:val="en-US" w:eastAsia="zh-CN"/>
        </w:rPr>
        <w:t>23</w:t>
      </w:r>
      <w:r>
        <w:rPr>
          <w:rFonts w:hint="eastAsia" w:cs="宋体" w:asciiTheme="majorEastAsia" w:hAnsiTheme="majorEastAsia" w:eastAsiaTheme="majorEastAsia"/>
          <w:b/>
          <w:szCs w:val="21"/>
          <w:lang w:val="zh-CN"/>
        </w:rPr>
        <w:t>.</w:t>
      </w:r>
      <w:r>
        <w:rPr>
          <w:rFonts w:hint="eastAsia" w:asciiTheme="majorEastAsia" w:hAnsiTheme="majorEastAsia" w:eastAsiaTheme="majorEastAsia"/>
          <w:b/>
          <w:bCs/>
          <w:szCs w:val="21"/>
        </w:rPr>
        <w:t>评审过程中的澄清</w:t>
      </w:r>
    </w:p>
    <w:p w14:paraId="05D57FAE">
      <w:pPr>
        <w:widowControl/>
        <w:shd w:val="clear" w:color="auto" w:fill="FFFFFF"/>
        <w:spacing w:line="360" w:lineRule="auto"/>
        <w:ind w:firstLine="420"/>
        <w:jc w:val="left"/>
        <w:rPr>
          <w:rFonts w:hint="eastAsia" w:asciiTheme="majorEastAsia" w:hAnsiTheme="majorEastAsia" w:eastAsiaTheme="majorEastAsia"/>
          <w:szCs w:val="21"/>
        </w:rPr>
      </w:pPr>
      <w:r>
        <w:rPr>
          <w:rFonts w:hint="eastAsia" w:asciiTheme="majorEastAsia" w:hAnsiTheme="majorEastAsia" w:eastAsiaTheme="majorEastAsia"/>
          <w:szCs w:val="21"/>
          <w:lang w:val="en-US" w:eastAsia="zh-CN"/>
        </w:rPr>
        <w:t>23</w:t>
      </w:r>
      <w:r>
        <w:rPr>
          <w:rFonts w:hint="eastAsia" w:asciiTheme="majorEastAsia" w:hAnsiTheme="majorEastAsia" w:eastAsiaTheme="majorEastAsia"/>
          <w:szCs w:val="21"/>
        </w:rPr>
        <w:t>.1 项目评审期间，磋商小组有权要求供应商对响应文件中含义不明确、同类问题表述不一致或者有明显文字和计算错误的内容等作出必要的澄清、说明或者补正。</w:t>
      </w:r>
    </w:p>
    <w:p w14:paraId="67B297F2">
      <w:pPr>
        <w:widowControl/>
        <w:shd w:val="clear" w:color="auto" w:fill="FFFFFF"/>
        <w:spacing w:line="360" w:lineRule="auto"/>
        <w:ind w:firstLine="420"/>
        <w:jc w:val="left"/>
        <w:rPr>
          <w:rFonts w:hint="eastAsia" w:asciiTheme="majorEastAsia" w:hAnsiTheme="majorEastAsia" w:eastAsiaTheme="majorEastAsia"/>
          <w:szCs w:val="21"/>
        </w:rPr>
      </w:pPr>
      <w:r>
        <w:rPr>
          <w:rFonts w:hint="eastAsia" w:asciiTheme="majorEastAsia" w:hAnsiTheme="majorEastAsia" w:eastAsiaTheme="majorEastAsia"/>
          <w:szCs w:val="21"/>
        </w:rPr>
        <w:t>供应商的澄清、说明或者补正不得超出响应文件的范围或者改变</w:t>
      </w:r>
      <w:r>
        <w:rPr>
          <w:rFonts w:hint="eastAsia" w:eastAsia="宋体" w:asciiTheme="majorEastAsia" w:hAnsiTheme="majorEastAsia"/>
          <w:szCs w:val="21"/>
          <w:lang w:val="en-US" w:eastAsia="zh-CN"/>
        </w:rPr>
        <w:t xml:space="preserve"> </w:t>
      </w:r>
      <w:r>
        <w:rPr>
          <w:rFonts w:hint="eastAsia" w:asciiTheme="majorEastAsia" w:hAnsiTheme="majorEastAsia" w:eastAsiaTheme="majorEastAsia"/>
          <w:szCs w:val="21"/>
        </w:rPr>
        <w:t>文件的实质性内容。</w:t>
      </w:r>
    </w:p>
    <w:p w14:paraId="1A287F49">
      <w:pPr>
        <w:widowControl/>
        <w:shd w:val="clear" w:color="auto" w:fill="FFFFFF"/>
        <w:spacing w:line="360" w:lineRule="auto"/>
        <w:ind w:firstLine="420"/>
        <w:jc w:val="left"/>
        <w:rPr>
          <w:rFonts w:hint="eastAsia" w:asciiTheme="majorEastAsia" w:hAnsiTheme="majorEastAsia" w:eastAsiaTheme="majorEastAsia"/>
          <w:szCs w:val="21"/>
        </w:rPr>
      </w:pPr>
      <w:r>
        <w:rPr>
          <w:rFonts w:hint="eastAsia" w:asciiTheme="majorEastAsia" w:hAnsiTheme="majorEastAsia" w:eastAsiaTheme="majorEastAsia"/>
          <w:szCs w:val="21"/>
        </w:rPr>
        <w:t>磋商小组并非对每个供应商都作澄清要求。</w:t>
      </w:r>
    </w:p>
    <w:p w14:paraId="227DD8D8">
      <w:pPr>
        <w:widowControl/>
        <w:shd w:val="clear" w:color="auto" w:fill="FFFFFF"/>
        <w:spacing w:line="360" w:lineRule="auto"/>
        <w:ind w:firstLine="420"/>
        <w:jc w:val="left"/>
        <w:rPr>
          <w:rFonts w:hint="eastAsia" w:asciiTheme="majorEastAsia" w:hAnsiTheme="majorEastAsia" w:eastAsiaTheme="majorEastAsia"/>
          <w:szCs w:val="21"/>
        </w:rPr>
      </w:pPr>
      <w:r>
        <w:rPr>
          <w:rFonts w:hint="eastAsia" w:asciiTheme="majorEastAsia" w:hAnsiTheme="majorEastAsia" w:eastAsiaTheme="majorEastAsia"/>
          <w:szCs w:val="21"/>
          <w:lang w:val="en-US" w:eastAsia="zh-CN"/>
        </w:rPr>
        <w:t>23</w:t>
      </w:r>
      <w:r>
        <w:rPr>
          <w:rFonts w:hint="eastAsia" w:asciiTheme="majorEastAsia" w:hAnsiTheme="majorEastAsia" w:eastAsiaTheme="majorEastAsia"/>
          <w:szCs w:val="21"/>
        </w:rPr>
        <w:t>.2 需要供应商进行澄清、说明和补正的，磋商小组将通过苏采云系统向供应商发出《澄清要求函》，接到《澄清要求函》的供应商应当按照要求在苏采云系统中提交《澄清要求函》并加盖</w:t>
      </w:r>
      <w:r>
        <w:rPr>
          <w:rFonts w:hint="eastAsia" w:asciiTheme="majorEastAsia" w:hAnsiTheme="majorEastAsia" w:eastAsiaTheme="majorEastAsia"/>
          <w:szCs w:val="21"/>
          <w:lang w:eastAsia="zh-CN"/>
        </w:rPr>
        <w:t>电子公章</w:t>
      </w:r>
      <w:r>
        <w:rPr>
          <w:rFonts w:hint="eastAsia" w:asciiTheme="majorEastAsia" w:hAnsiTheme="majorEastAsia" w:eastAsiaTheme="majorEastAsia"/>
          <w:szCs w:val="21"/>
        </w:rPr>
        <w:t>。澄清、说明和补正的内容作为响应文件的补充部分，具体操作方式见《操作手册》。</w:t>
      </w:r>
    </w:p>
    <w:p w14:paraId="42226C0B">
      <w:pPr>
        <w:widowControl/>
        <w:shd w:val="clear" w:color="auto" w:fill="FFFFFF"/>
        <w:spacing w:line="360" w:lineRule="auto"/>
        <w:ind w:firstLine="420"/>
        <w:jc w:val="left"/>
        <w:rPr>
          <w:rFonts w:hint="eastAsia" w:asciiTheme="majorEastAsia" w:hAnsiTheme="majorEastAsia" w:eastAsiaTheme="majorEastAsia"/>
          <w:szCs w:val="21"/>
        </w:rPr>
      </w:pPr>
      <w:r>
        <w:rPr>
          <w:rFonts w:hint="eastAsia" w:asciiTheme="majorEastAsia" w:hAnsiTheme="majorEastAsia" w:eastAsiaTheme="majorEastAsia"/>
          <w:szCs w:val="21"/>
          <w:lang w:val="en-US" w:eastAsia="zh-CN"/>
        </w:rPr>
        <w:t>23</w:t>
      </w:r>
      <w:r>
        <w:rPr>
          <w:rFonts w:hint="eastAsia" w:asciiTheme="majorEastAsia" w:hAnsiTheme="majorEastAsia" w:eastAsiaTheme="majorEastAsia"/>
          <w:szCs w:val="21"/>
        </w:rPr>
        <w:t>.3 接到磋商小组澄清、说明和补正要求的供应商如未按规定做出澄清、说明和补正，其风险由供应商自行承担。</w:t>
      </w:r>
    </w:p>
    <w:p w14:paraId="6D14027C">
      <w:pPr>
        <w:widowControl/>
        <w:shd w:val="clear" w:color="auto" w:fill="FFFFFF"/>
        <w:spacing w:line="360" w:lineRule="auto"/>
        <w:ind w:firstLine="420"/>
        <w:rPr>
          <w:rFonts w:hint="eastAsia" w:asciiTheme="majorEastAsia" w:hAnsiTheme="majorEastAsia" w:eastAsiaTheme="majorEastAsia"/>
          <w:szCs w:val="21"/>
        </w:rPr>
      </w:pPr>
      <w:r>
        <w:rPr>
          <w:rFonts w:hint="eastAsia" w:asciiTheme="majorEastAsia" w:hAnsiTheme="majorEastAsia" w:eastAsiaTheme="majorEastAsia"/>
          <w:szCs w:val="21"/>
          <w:lang w:val="en-US" w:eastAsia="zh-CN"/>
        </w:rPr>
        <w:t>23</w:t>
      </w:r>
      <w:r>
        <w:rPr>
          <w:rFonts w:hint="eastAsia" w:asciiTheme="majorEastAsia" w:hAnsiTheme="majorEastAsia" w:eastAsiaTheme="majorEastAsia"/>
          <w:szCs w:val="21"/>
        </w:rPr>
        <w:t>.4响应文件报价出现前后不一致的，除采购文件另有规定外，按照下列规定修正：</w:t>
      </w:r>
    </w:p>
    <w:p w14:paraId="588CD889">
      <w:pPr>
        <w:widowControl/>
        <w:shd w:val="clear" w:color="auto" w:fill="FFFFFF"/>
        <w:spacing w:line="360" w:lineRule="auto"/>
        <w:ind w:firstLine="420"/>
        <w:rPr>
          <w:rFonts w:hint="eastAsia" w:asciiTheme="majorEastAsia" w:hAnsiTheme="majorEastAsia" w:eastAsiaTheme="majorEastAsia"/>
          <w:szCs w:val="21"/>
        </w:rPr>
      </w:pPr>
      <w:r>
        <w:rPr>
          <w:rFonts w:hint="eastAsia" w:asciiTheme="majorEastAsia" w:hAnsiTheme="majorEastAsia" w:eastAsiaTheme="majorEastAsia"/>
          <w:szCs w:val="21"/>
        </w:rPr>
        <w:t>(1)</w:t>
      </w:r>
      <w:r>
        <w:rPr>
          <w:rFonts w:asciiTheme="majorEastAsia" w:hAnsiTheme="majorEastAsia" w:eastAsiaTheme="majorEastAsia"/>
          <w:szCs w:val="21"/>
        </w:rPr>
        <w:t xml:space="preserve"> </w:t>
      </w:r>
      <w:r>
        <w:rPr>
          <w:rFonts w:hint="eastAsia" w:asciiTheme="majorEastAsia" w:hAnsiTheme="majorEastAsia" w:eastAsiaTheme="majorEastAsia"/>
          <w:szCs w:val="21"/>
        </w:rPr>
        <w:t>大写金额和小写金额不一致的，以大写金额为准；</w:t>
      </w:r>
    </w:p>
    <w:p w14:paraId="764CB797">
      <w:pPr>
        <w:widowControl/>
        <w:shd w:val="clear" w:color="auto" w:fill="FFFFFF"/>
        <w:spacing w:line="360" w:lineRule="auto"/>
        <w:ind w:firstLine="420"/>
        <w:rPr>
          <w:rFonts w:hint="eastAsia" w:asciiTheme="majorEastAsia" w:hAnsiTheme="majorEastAsia" w:eastAsiaTheme="majorEastAsia"/>
          <w:szCs w:val="21"/>
        </w:rPr>
      </w:pPr>
      <w:r>
        <w:rPr>
          <w:rFonts w:hint="eastAsia" w:asciiTheme="majorEastAsia" w:hAnsiTheme="majorEastAsia" w:eastAsiaTheme="majorEastAsia"/>
          <w:szCs w:val="21"/>
        </w:rPr>
        <w:t>(2)</w:t>
      </w:r>
      <w:r>
        <w:rPr>
          <w:rFonts w:asciiTheme="majorEastAsia" w:hAnsiTheme="majorEastAsia" w:eastAsiaTheme="majorEastAsia"/>
          <w:szCs w:val="21"/>
        </w:rPr>
        <w:t xml:space="preserve"> </w:t>
      </w:r>
      <w:r>
        <w:rPr>
          <w:rFonts w:hint="eastAsia" w:asciiTheme="majorEastAsia" w:hAnsiTheme="majorEastAsia" w:eastAsiaTheme="majorEastAsia"/>
          <w:szCs w:val="21"/>
        </w:rPr>
        <w:t>单价金额小数点或者百分比有明显错位的，以报价表的总价为准，并修改单价；</w:t>
      </w:r>
    </w:p>
    <w:p w14:paraId="55B5FEBC">
      <w:pPr>
        <w:widowControl/>
        <w:shd w:val="clear" w:color="auto" w:fill="FFFFFF"/>
        <w:spacing w:line="360" w:lineRule="auto"/>
        <w:ind w:firstLine="420"/>
        <w:rPr>
          <w:rFonts w:hint="eastAsia" w:asciiTheme="majorEastAsia" w:hAnsiTheme="majorEastAsia" w:eastAsiaTheme="majorEastAsia"/>
          <w:szCs w:val="21"/>
        </w:rPr>
      </w:pPr>
      <w:r>
        <w:rPr>
          <w:rFonts w:hint="eastAsia" w:asciiTheme="majorEastAsia" w:hAnsiTheme="majorEastAsia" w:eastAsiaTheme="majorEastAsia"/>
          <w:szCs w:val="21"/>
        </w:rPr>
        <w:t>(3)</w:t>
      </w:r>
      <w:r>
        <w:rPr>
          <w:rFonts w:asciiTheme="majorEastAsia" w:hAnsiTheme="majorEastAsia" w:eastAsiaTheme="majorEastAsia"/>
          <w:szCs w:val="21"/>
        </w:rPr>
        <w:t xml:space="preserve"> </w:t>
      </w:r>
      <w:r>
        <w:rPr>
          <w:rFonts w:hint="eastAsia" w:asciiTheme="majorEastAsia" w:hAnsiTheme="majorEastAsia" w:eastAsiaTheme="majorEastAsia"/>
          <w:szCs w:val="21"/>
        </w:rPr>
        <w:t>总价金额与按单价汇总金额不一致的，以单价金额计算结果为准。</w:t>
      </w:r>
    </w:p>
    <w:p w14:paraId="6AA3C751">
      <w:pPr>
        <w:widowControl/>
        <w:shd w:val="clear" w:color="auto" w:fill="FFFFFF"/>
        <w:spacing w:line="360" w:lineRule="auto"/>
        <w:ind w:firstLine="420"/>
        <w:rPr>
          <w:rFonts w:hint="eastAsia" w:asciiTheme="majorEastAsia" w:hAnsiTheme="majorEastAsia" w:eastAsiaTheme="majorEastAsia"/>
          <w:szCs w:val="21"/>
        </w:rPr>
      </w:pPr>
      <w:r>
        <w:rPr>
          <w:rFonts w:hint="eastAsia" w:asciiTheme="majorEastAsia" w:hAnsiTheme="majorEastAsia" w:eastAsiaTheme="majorEastAsia"/>
          <w:szCs w:val="21"/>
        </w:rPr>
        <w:t>同时出现两种以上不一致的，按照前款规定的顺序修正。</w:t>
      </w:r>
    </w:p>
    <w:p w14:paraId="3535EDA1">
      <w:pPr>
        <w:widowControl/>
        <w:shd w:val="clear" w:color="auto" w:fill="FFFFFF"/>
        <w:spacing w:line="360" w:lineRule="auto"/>
        <w:ind w:firstLine="420"/>
        <w:rPr>
          <w:rFonts w:hint="eastAsia" w:asciiTheme="minorEastAsia" w:hAnsiTheme="minorEastAsia" w:eastAsiaTheme="minorEastAsia"/>
          <w:szCs w:val="21"/>
        </w:rPr>
      </w:pPr>
      <w:r>
        <w:rPr>
          <w:rFonts w:hint="eastAsia" w:asciiTheme="minorEastAsia" w:hAnsiTheme="minorEastAsia" w:eastAsiaTheme="minorEastAsia"/>
          <w:szCs w:val="21"/>
        </w:rPr>
        <w:t>评标委员会将按上述修正错误的方法调整响应文件中的投标报价，并通过苏采云系统告知供应商，调整后的价格对供应商具有约束力。如果供应商不接受修正后的价格，则其投标将被拒绝。</w:t>
      </w:r>
    </w:p>
    <w:p w14:paraId="0AC09FA1">
      <w:pPr>
        <w:keepNext w:val="0"/>
        <w:keepLines w:val="0"/>
        <w:pageBreakBefore w:val="0"/>
        <w:spacing w:line="360" w:lineRule="auto"/>
        <w:ind w:firstLine="420"/>
        <w:rPr>
          <w:rFonts w:ascii="宋体" w:hAnsi="宋体" w:cs="宋体"/>
          <w:b/>
          <w:szCs w:val="21"/>
          <w:highlight w:val="none"/>
          <w:lang w:val="zh-CN"/>
        </w:rPr>
      </w:pPr>
      <w:r>
        <w:rPr>
          <w:rFonts w:hint="eastAsia" w:ascii="宋体" w:hAnsi="宋体" w:cs="宋体"/>
          <w:b/>
          <w:szCs w:val="21"/>
          <w:highlight w:val="none"/>
          <w:lang w:val="en-US" w:eastAsia="zh-CN"/>
        </w:rPr>
        <w:t>24</w:t>
      </w:r>
      <w:r>
        <w:rPr>
          <w:rFonts w:hint="eastAsia" w:ascii="宋体" w:hAnsi="宋体" w:cs="宋体"/>
          <w:b/>
          <w:szCs w:val="21"/>
          <w:highlight w:val="none"/>
          <w:lang w:val="zh-CN"/>
        </w:rPr>
        <w:t>、磋商程序</w:t>
      </w:r>
    </w:p>
    <w:p w14:paraId="74C774FF">
      <w:pPr>
        <w:spacing w:line="360" w:lineRule="auto"/>
        <w:ind w:firstLine="424"/>
        <w:rPr>
          <w:rFonts w:hint="eastAsia" w:cs="宋体" w:asciiTheme="majorEastAsia" w:hAnsiTheme="majorEastAsia" w:eastAsiaTheme="majorEastAsia"/>
          <w:bCs/>
          <w:szCs w:val="21"/>
          <w:lang w:val="zh-CN"/>
        </w:rPr>
      </w:pPr>
      <w:r>
        <w:rPr>
          <w:rFonts w:hint="eastAsia" w:cs="宋体" w:asciiTheme="majorEastAsia" w:hAnsiTheme="majorEastAsia" w:eastAsiaTheme="majorEastAsia"/>
          <w:bCs/>
          <w:szCs w:val="21"/>
          <w:lang w:val="en-US" w:eastAsia="zh-CN"/>
        </w:rPr>
        <w:t>24</w:t>
      </w:r>
      <w:r>
        <w:rPr>
          <w:rFonts w:hint="eastAsia" w:cs="宋体" w:asciiTheme="majorEastAsia" w:hAnsiTheme="majorEastAsia" w:eastAsiaTheme="majorEastAsia"/>
          <w:bCs/>
          <w:szCs w:val="21"/>
          <w:lang w:val="zh-CN"/>
        </w:rPr>
        <w:t>.1 磋商小组将与通过资格审查和符合性审查的供应商分别进行磋商。磋商小组通过苏采云系统向供应商发出《磋商函》，供应商应当按照要求在苏采云系统提交《磋商响应函》并加盖电子公章。</w:t>
      </w:r>
    </w:p>
    <w:p w14:paraId="34779041">
      <w:pPr>
        <w:spacing w:line="360" w:lineRule="auto"/>
        <w:ind w:firstLine="424"/>
        <w:rPr>
          <w:rFonts w:hint="eastAsia" w:cs="宋体" w:asciiTheme="majorEastAsia" w:hAnsiTheme="majorEastAsia" w:eastAsiaTheme="majorEastAsia"/>
          <w:bCs/>
          <w:szCs w:val="21"/>
          <w:lang w:val="zh-CN"/>
        </w:rPr>
      </w:pPr>
      <w:r>
        <w:rPr>
          <w:rFonts w:hint="eastAsia" w:cs="宋体" w:asciiTheme="majorEastAsia" w:hAnsiTheme="majorEastAsia" w:eastAsiaTheme="majorEastAsia"/>
          <w:bCs/>
          <w:szCs w:val="21"/>
          <w:lang w:val="zh-CN"/>
        </w:rPr>
        <w:t>在磋商过程中，磋商小组可能根据磋商情况对磋商文件进行实质性变动的内容</w:t>
      </w:r>
      <w:r>
        <w:rPr>
          <w:rFonts w:hint="eastAsia" w:eastAsia="宋体" w:cs="宋体" w:asciiTheme="majorEastAsia" w:hAnsiTheme="majorEastAsia"/>
          <w:bCs/>
          <w:szCs w:val="21"/>
          <w:lang w:val="en-US" w:eastAsia="zh-CN"/>
        </w:rPr>
        <w:t xml:space="preserve"> </w:t>
      </w:r>
      <w:r>
        <w:rPr>
          <w:rFonts w:hint="eastAsia" w:cs="宋体" w:asciiTheme="majorEastAsia" w:hAnsiTheme="majorEastAsia" w:eastAsiaTheme="majorEastAsia"/>
          <w:bCs/>
          <w:szCs w:val="21"/>
          <w:lang w:val="zh-CN"/>
        </w:rPr>
        <w:t>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p>
    <w:p w14:paraId="703BEDC2">
      <w:pPr>
        <w:spacing w:line="360" w:lineRule="auto"/>
        <w:ind w:firstLine="424"/>
        <w:rPr>
          <w:rFonts w:hint="eastAsia" w:cs="宋体" w:asciiTheme="majorEastAsia" w:hAnsiTheme="majorEastAsia" w:eastAsiaTheme="majorEastAsia"/>
          <w:bCs/>
          <w:szCs w:val="21"/>
          <w:lang w:val="zh-CN"/>
        </w:rPr>
      </w:pPr>
      <w:r>
        <w:rPr>
          <w:rFonts w:hint="eastAsia" w:cs="宋体" w:asciiTheme="majorEastAsia" w:hAnsiTheme="majorEastAsia" w:eastAsiaTheme="majorEastAsia"/>
          <w:bCs/>
          <w:szCs w:val="21"/>
          <w:lang w:val="en-US" w:eastAsia="zh-CN"/>
        </w:rPr>
        <w:t>24</w:t>
      </w:r>
      <w:r>
        <w:rPr>
          <w:rFonts w:hint="eastAsia" w:cs="宋体" w:asciiTheme="majorEastAsia" w:hAnsiTheme="majorEastAsia" w:eastAsiaTheme="majorEastAsia"/>
          <w:bCs/>
          <w:szCs w:val="21"/>
          <w:lang w:val="zh-CN"/>
        </w:rPr>
        <w:t>.2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p>
    <w:p w14:paraId="0E887E04">
      <w:pPr>
        <w:spacing w:line="360" w:lineRule="auto"/>
        <w:ind w:firstLine="424"/>
        <w:rPr>
          <w:rFonts w:hint="eastAsia" w:cs="宋体" w:asciiTheme="majorEastAsia" w:hAnsiTheme="majorEastAsia" w:eastAsiaTheme="majorEastAsia"/>
          <w:bCs/>
          <w:szCs w:val="21"/>
          <w:lang w:val="zh-CN"/>
        </w:rPr>
      </w:pPr>
      <w:r>
        <w:rPr>
          <w:rFonts w:hint="eastAsia" w:cs="宋体" w:asciiTheme="majorEastAsia" w:hAnsiTheme="majorEastAsia" w:eastAsiaTheme="majorEastAsia"/>
          <w:bCs/>
          <w:szCs w:val="21"/>
          <w:lang w:val="zh-CN"/>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p>
    <w:p w14:paraId="4295C0FB">
      <w:pPr>
        <w:spacing w:line="360" w:lineRule="auto"/>
        <w:ind w:firstLine="420"/>
        <w:rPr>
          <w:rFonts w:hint="eastAsia" w:ascii="宋体" w:hAnsi="宋体" w:eastAsia="宋体" w:cs="宋体"/>
          <w:bCs/>
          <w:szCs w:val="21"/>
          <w:lang w:val="zh-CN"/>
        </w:rPr>
      </w:pPr>
      <w:r>
        <w:rPr>
          <w:rFonts w:hint="eastAsia" w:ascii="宋体" w:hAnsi="宋体" w:eastAsia="宋体" w:cs="宋体"/>
          <w:bCs/>
          <w:szCs w:val="21"/>
          <w:lang w:val="en-US" w:eastAsia="zh-CN"/>
        </w:rPr>
        <w:t>24</w:t>
      </w:r>
      <w:r>
        <w:rPr>
          <w:rFonts w:hint="eastAsia" w:ascii="宋体" w:hAnsi="宋体" w:eastAsia="宋体" w:cs="宋体"/>
          <w:bCs/>
          <w:szCs w:val="21"/>
          <w:lang w:val="zh-CN"/>
        </w:rPr>
        <w:t>.3最后报价是供应商响应文件的有效组成部分。</w:t>
      </w:r>
      <w:r>
        <w:rPr>
          <w:rFonts w:hint="eastAsia" w:ascii="宋体" w:hAnsi="宋体" w:eastAsia="宋体" w:cs="宋体"/>
          <w:szCs w:val="21"/>
          <w:lang w:val="zh-CN"/>
        </w:rPr>
        <w:t>提交最后报价的供应商不得少于3家，</w:t>
      </w:r>
      <w:r>
        <w:rPr>
          <w:rFonts w:hint="eastAsia" w:ascii="宋体" w:hAnsi="宋体" w:eastAsia="宋体" w:cs="宋体"/>
          <w:szCs w:val="21"/>
          <w:highlight w:val="none"/>
          <w:lang w:val="zh-CN"/>
        </w:rPr>
        <w:t>符合《政府采购竞争性磋商采购方式理暂行办法》第三条第四项及《财政部关于竞争性磋商采购方式管理暂行办法有关问题的补充通知》（财库〔2015〕124号）规定情形的，</w:t>
      </w:r>
      <w:r>
        <w:rPr>
          <w:rFonts w:hint="eastAsia" w:ascii="宋体" w:hAnsi="宋体" w:eastAsia="宋体" w:cs="宋体"/>
          <w:bCs/>
          <w:szCs w:val="21"/>
          <w:lang w:val="zh-CN"/>
        </w:rPr>
        <w:t>提交最后报价的供应商可以为2家。</w:t>
      </w:r>
    </w:p>
    <w:p w14:paraId="56FBD661">
      <w:pPr>
        <w:widowControl/>
        <w:shd w:val="clear" w:color="auto" w:fill="FFFFFF"/>
        <w:spacing w:line="360" w:lineRule="auto"/>
        <w:ind w:firstLine="420"/>
        <w:rPr>
          <w:rFonts w:hint="eastAsia" w:asciiTheme="majorEastAsia" w:hAnsiTheme="majorEastAsia" w:eastAsiaTheme="majorEastAsia"/>
          <w:b/>
          <w:szCs w:val="21"/>
        </w:rPr>
      </w:pPr>
      <w:r>
        <w:rPr>
          <w:rFonts w:hint="eastAsia" w:cs="宋体" w:asciiTheme="majorEastAsia" w:hAnsiTheme="majorEastAsia" w:eastAsiaTheme="majorEastAsia"/>
          <w:bCs/>
          <w:szCs w:val="21"/>
          <w:lang w:val="en-US" w:eastAsia="zh-CN"/>
        </w:rPr>
        <w:t>24</w:t>
      </w:r>
      <w:r>
        <w:rPr>
          <w:rFonts w:hint="eastAsia" w:cs="宋体" w:asciiTheme="majorEastAsia" w:hAnsiTheme="majorEastAsia" w:eastAsiaTheme="majorEastAsia"/>
          <w:bCs/>
          <w:szCs w:val="21"/>
          <w:lang w:val="zh-CN"/>
        </w:rPr>
        <w:t>.4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p>
    <w:p w14:paraId="300D586F">
      <w:pPr>
        <w:spacing w:line="360" w:lineRule="auto"/>
        <w:ind w:firstLine="420"/>
        <w:rPr>
          <w:rFonts w:hint="eastAsia" w:asciiTheme="majorEastAsia" w:hAnsiTheme="majorEastAsia" w:eastAsiaTheme="majorEastAsia"/>
          <w:b/>
          <w:szCs w:val="21"/>
        </w:rPr>
      </w:pPr>
      <w:r>
        <w:rPr>
          <w:rFonts w:hint="eastAsia" w:cs="宋体" w:asciiTheme="majorEastAsia" w:hAnsiTheme="majorEastAsia" w:eastAsiaTheme="majorEastAsia"/>
          <w:b/>
          <w:szCs w:val="21"/>
          <w:lang w:val="en-US" w:eastAsia="zh-CN"/>
        </w:rPr>
        <w:t>25</w:t>
      </w:r>
      <w:r>
        <w:rPr>
          <w:rFonts w:hint="eastAsia" w:cs="宋体" w:asciiTheme="majorEastAsia" w:hAnsiTheme="majorEastAsia" w:eastAsiaTheme="majorEastAsia"/>
          <w:b/>
          <w:szCs w:val="21"/>
          <w:lang w:val="zh-CN"/>
        </w:rPr>
        <w:t>.</w:t>
      </w:r>
      <w:r>
        <w:rPr>
          <w:b/>
        </w:rPr>
        <w:t xml:space="preserve"> </w:t>
      </w:r>
      <w:r>
        <w:rPr>
          <w:rFonts w:hint="eastAsia" w:cs="宋体" w:asciiTheme="majorEastAsia" w:hAnsiTheme="majorEastAsia" w:eastAsiaTheme="majorEastAsia"/>
          <w:b/>
          <w:szCs w:val="21"/>
          <w:lang w:val="zh-CN"/>
        </w:rPr>
        <w:t>响应文件的资格</w:t>
      </w:r>
      <w:r>
        <w:rPr>
          <w:rFonts w:hint="eastAsia" w:cs="宋体" w:asciiTheme="majorEastAsia" w:hAnsiTheme="majorEastAsia" w:eastAsiaTheme="majorEastAsia"/>
          <w:b/>
          <w:szCs w:val="21"/>
          <w:lang w:val="en-US" w:eastAsia="zh-CN"/>
        </w:rPr>
        <w:t>姓和符合性</w:t>
      </w:r>
      <w:r>
        <w:rPr>
          <w:rFonts w:hint="eastAsia" w:cs="宋体" w:asciiTheme="majorEastAsia" w:hAnsiTheme="majorEastAsia" w:eastAsiaTheme="majorEastAsia"/>
          <w:b/>
          <w:szCs w:val="21"/>
          <w:lang w:val="zh-CN"/>
        </w:rPr>
        <w:t>审查</w:t>
      </w:r>
    </w:p>
    <w:p w14:paraId="392AD87E">
      <w:pPr>
        <w:spacing w:line="360" w:lineRule="auto"/>
        <w:ind w:firstLine="420"/>
        <w:rPr>
          <w:rFonts w:hint="eastAsia" w:asciiTheme="majorEastAsia" w:hAnsiTheme="majorEastAsia" w:eastAsiaTheme="majorEastAsia"/>
          <w:szCs w:val="21"/>
        </w:rPr>
      </w:pPr>
      <w:r>
        <w:rPr>
          <w:rFonts w:hint="eastAsia" w:asciiTheme="majorEastAsia" w:hAnsiTheme="majorEastAsia" w:eastAsiaTheme="majorEastAsia"/>
          <w:b/>
          <w:bCs/>
          <w:szCs w:val="21"/>
          <w:lang w:val="en-US" w:eastAsia="zh-CN"/>
        </w:rPr>
        <w:t>25</w:t>
      </w:r>
      <w:r>
        <w:rPr>
          <w:rFonts w:asciiTheme="majorEastAsia" w:hAnsiTheme="majorEastAsia" w:eastAsiaTheme="majorEastAsia"/>
          <w:b/>
          <w:bCs/>
          <w:szCs w:val="21"/>
        </w:rPr>
        <w:t>.</w:t>
      </w:r>
      <w:r>
        <w:rPr>
          <w:rFonts w:hint="eastAsia" w:asciiTheme="majorEastAsia" w:hAnsiTheme="majorEastAsia" w:eastAsiaTheme="majorEastAsia"/>
          <w:b/>
          <w:bCs/>
          <w:szCs w:val="21"/>
          <w:lang w:val="en-US" w:eastAsia="zh-CN"/>
        </w:rPr>
        <w:t>1</w:t>
      </w:r>
      <w:r>
        <w:rPr>
          <w:rFonts w:hint="eastAsia" w:asciiTheme="majorEastAsia" w:hAnsiTheme="majorEastAsia" w:eastAsiaTheme="majorEastAsia"/>
          <w:b/>
          <w:bCs/>
          <w:szCs w:val="21"/>
        </w:rPr>
        <w:t>资格性审查：</w:t>
      </w:r>
      <w:r>
        <w:rPr>
          <w:rFonts w:hint="eastAsia" w:asciiTheme="majorEastAsia" w:hAnsiTheme="majorEastAsia" w:eastAsiaTheme="majorEastAsia"/>
          <w:szCs w:val="21"/>
        </w:rPr>
        <w:t>依据法律法规和磋商文件的规定，磋商小组对响应文件中的资格证明文件进行审查，以确定供应商是否具备参加磋商的资格。</w:t>
      </w:r>
    </w:p>
    <w:p w14:paraId="06A2058C">
      <w:pPr>
        <w:spacing w:line="360" w:lineRule="auto"/>
        <w:ind w:firstLine="420"/>
        <w:rPr>
          <w:rFonts w:hint="eastAsia" w:asciiTheme="majorEastAsia" w:hAnsiTheme="majorEastAsia" w:eastAsiaTheme="majorEastAsia"/>
          <w:szCs w:val="21"/>
        </w:rPr>
      </w:pPr>
      <w:r>
        <w:rPr>
          <w:rFonts w:hint="eastAsia" w:asciiTheme="majorEastAsia" w:hAnsiTheme="majorEastAsia" w:eastAsiaTheme="majorEastAsia"/>
          <w:szCs w:val="21"/>
          <w:lang w:val="en-US" w:eastAsia="zh-CN"/>
        </w:rPr>
        <w:t>25</w:t>
      </w:r>
      <w:r>
        <w:rPr>
          <w:rFonts w:asciiTheme="majorEastAsia" w:hAnsiTheme="majorEastAsia" w:eastAsiaTheme="majorEastAsia"/>
          <w:szCs w:val="21"/>
        </w:rPr>
        <w:t>.</w:t>
      </w:r>
      <w:r>
        <w:rPr>
          <w:rFonts w:hint="eastAsia" w:asciiTheme="majorEastAsia" w:hAnsiTheme="majorEastAsia" w:eastAsiaTheme="majorEastAsia"/>
          <w:szCs w:val="21"/>
          <w:lang w:val="en-US" w:eastAsia="zh-CN"/>
        </w:rPr>
        <w:t>1</w:t>
      </w:r>
      <w:r>
        <w:rPr>
          <w:rFonts w:hint="eastAsia" w:asciiTheme="majorEastAsia" w:hAnsiTheme="majorEastAsia" w:eastAsiaTheme="majorEastAsia"/>
          <w:szCs w:val="21"/>
        </w:rPr>
        <w:t>.1</w:t>
      </w:r>
      <w:r>
        <w:rPr>
          <w:rFonts w:asciiTheme="majorEastAsia" w:hAnsiTheme="majorEastAsia" w:eastAsiaTheme="majorEastAsia"/>
          <w:szCs w:val="21"/>
        </w:rPr>
        <w:t>响应文件有下列情况之一的，在资格性审查时按照无效投标处理：</w:t>
      </w:r>
    </w:p>
    <w:p w14:paraId="08F78542">
      <w:pPr>
        <w:numPr>
          <w:ilvl w:val="0"/>
          <w:numId w:val="1"/>
        </w:numPr>
        <w:tabs>
          <w:tab w:val="left" w:pos="4825"/>
        </w:tabs>
        <w:spacing w:line="360" w:lineRule="auto"/>
        <w:ind w:firstLine="420"/>
        <w:jc w:val="left"/>
        <w:rPr>
          <w:rFonts w:hint="eastAsia" w:cs="宋体" w:asciiTheme="majorEastAsia" w:hAnsiTheme="majorEastAsia" w:eastAsiaTheme="majorEastAsia"/>
          <w:szCs w:val="21"/>
        </w:rPr>
      </w:pPr>
      <w:bookmarkStart w:id="170" w:name="_Hlk81314966"/>
      <w:r>
        <w:rPr>
          <w:rFonts w:hint="eastAsia" w:cs="宋体" w:asciiTheme="majorEastAsia" w:hAnsiTheme="majorEastAsia" w:eastAsiaTheme="majorEastAsia"/>
          <w:szCs w:val="21"/>
        </w:rPr>
        <w:t>不具备采购文件中规定资格条件的；</w:t>
      </w:r>
      <w:bookmarkEnd w:id="170"/>
    </w:p>
    <w:p w14:paraId="30329607">
      <w:pPr>
        <w:spacing w:line="360" w:lineRule="auto"/>
        <w:ind w:firstLine="420"/>
        <w:rPr>
          <w:rFonts w:hint="eastAsia" w:asciiTheme="majorEastAsia" w:hAnsiTheme="majorEastAsia" w:eastAsiaTheme="majorEastAsia"/>
          <w:b/>
          <w:bCs/>
          <w:szCs w:val="21"/>
          <w:lang w:val="en-US" w:eastAsia="zh-CN"/>
        </w:rPr>
      </w:pPr>
      <w:r>
        <w:rPr>
          <w:rFonts w:hint="eastAsia" w:asciiTheme="majorEastAsia" w:hAnsiTheme="majorEastAsia" w:eastAsiaTheme="majorEastAsia"/>
          <w:b/>
          <w:bCs/>
          <w:szCs w:val="21"/>
          <w:lang w:val="en-US" w:eastAsia="zh-CN"/>
        </w:rPr>
        <w:t>25.2符合性检查</w:t>
      </w:r>
    </w:p>
    <w:p w14:paraId="071B4AE0">
      <w:pPr>
        <w:spacing w:line="360" w:lineRule="auto"/>
        <w:ind w:firstLine="420"/>
        <w:rPr>
          <w:rFonts w:hint="eastAsia" w:asciiTheme="majorEastAsia" w:hAnsiTheme="majorEastAsia" w:eastAsiaTheme="majorEastAsia"/>
          <w:szCs w:val="21"/>
        </w:rPr>
      </w:pPr>
      <w:r>
        <w:rPr>
          <w:rFonts w:hint="eastAsia" w:asciiTheme="majorEastAsia" w:hAnsiTheme="majorEastAsia" w:eastAsiaTheme="majorEastAsia"/>
          <w:szCs w:val="21"/>
          <w:lang w:val="en-US" w:eastAsia="zh-CN"/>
        </w:rPr>
        <w:t>25.2.1</w:t>
      </w:r>
      <w:r>
        <w:rPr>
          <w:rFonts w:hint="eastAsia" w:asciiTheme="majorEastAsia" w:hAnsiTheme="majorEastAsia" w:eastAsiaTheme="majorEastAsia"/>
          <w:szCs w:val="21"/>
        </w:rPr>
        <w:t>磋商小组将依据法律法规和竞争性磋商文件的规定，对响应文件的有效性、完整性和对竞争性磋商文件的响应程度进行审查，以确定是否对竞争性磋商文件的实质性要求作出响应。</w:t>
      </w:r>
    </w:p>
    <w:p w14:paraId="1B712F81">
      <w:pPr>
        <w:spacing w:line="360" w:lineRule="auto"/>
        <w:ind w:firstLine="420"/>
        <w:rPr>
          <w:rFonts w:hint="eastAsia" w:asciiTheme="majorEastAsia" w:hAnsiTheme="majorEastAsia" w:eastAsiaTheme="majorEastAsia"/>
          <w:szCs w:val="21"/>
        </w:rPr>
      </w:pPr>
      <w:r>
        <w:rPr>
          <w:rFonts w:hint="eastAsia" w:asciiTheme="majorEastAsia" w:hAnsiTheme="majorEastAsia" w:eastAsiaTheme="majorEastAsia"/>
          <w:szCs w:val="21"/>
          <w:lang w:val="en-US" w:eastAsia="zh-CN"/>
        </w:rPr>
        <w:t>25.2.2</w:t>
      </w:r>
      <w:r>
        <w:rPr>
          <w:rFonts w:hint="eastAsia" w:asciiTheme="majorEastAsia" w:hAnsiTheme="majorEastAsia" w:eastAsiaTheme="majorEastAsia"/>
          <w:szCs w:val="21"/>
        </w:rPr>
        <w:t>实质性要求是指本竞争性磋商文件中用带星号（“*”）、（“★”）、“必须”或“应（应当）”等其他文字说明的商务和技术要求。</w:t>
      </w:r>
    </w:p>
    <w:p w14:paraId="265F8ECD">
      <w:pPr>
        <w:spacing w:line="360" w:lineRule="auto"/>
        <w:ind w:firstLine="420"/>
        <w:rPr>
          <w:rFonts w:hint="eastAsia" w:asciiTheme="majorEastAsia" w:hAnsiTheme="majorEastAsia" w:eastAsiaTheme="majorEastAsia"/>
          <w:szCs w:val="21"/>
        </w:rPr>
      </w:pPr>
      <w:r>
        <w:rPr>
          <w:rFonts w:hint="eastAsia" w:asciiTheme="majorEastAsia" w:hAnsiTheme="majorEastAsia" w:eastAsiaTheme="majorEastAsia"/>
          <w:szCs w:val="21"/>
          <w:lang w:val="en-US" w:eastAsia="zh-CN"/>
        </w:rPr>
        <w:t>25.2.3</w:t>
      </w:r>
      <w:r>
        <w:rPr>
          <w:rFonts w:asciiTheme="majorEastAsia" w:hAnsiTheme="majorEastAsia" w:eastAsiaTheme="majorEastAsia"/>
          <w:szCs w:val="21"/>
        </w:rPr>
        <w:t>响应文件属下列情形之一的，按照无效</w:t>
      </w:r>
      <w:r>
        <w:rPr>
          <w:rFonts w:hint="eastAsia" w:asciiTheme="majorEastAsia" w:hAnsiTheme="majorEastAsia" w:eastAsiaTheme="majorEastAsia"/>
          <w:szCs w:val="21"/>
        </w:rPr>
        <w:t>响应</w:t>
      </w:r>
      <w:r>
        <w:rPr>
          <w:rFonts w:asciiTheme="majorEastAsia" w:hAnsiTheme="majorEastAsia" w:eastAsiaTheme="majorEastAsia"/>
          <w:szCs w:val="21"/>
        </w:rPr>
        <w:t>处理：</w:t>
      </w:r>
    </w:p>
    <w:p w14:paraId="23DB80B5">
      <w:pPr>
        <w:spacing w:line="360" w:lineRule="auto"/>
        <w:ind w:firstLine="420"/>
        <w:rPr>
          <w:rFonts w:hint="eastAsia" w:asciiTheme="majorEastAsia" w:hAnsiTheme="majorEastAsia" w:eastAsiaTheme="majorEastAsia"/>
          <w:szCs w:val="21"/>
        </w:rPr>
      </w:pPr>
      <w:r>
        <w:rPr>
          <w:rFonts w:hint="eastAsia" w:asciiTheme="majorEastAsia" w:hAnsiTheme="majorEastAsia" w:eastAsiaTheme="majorEastAsia"/>
          <w:szCs w:val="21"/>
        </w:rPr>
        <w:t>如果响应文件实质上没有响应竞争性磋商文件的要求，磋商小组将予以拒绝，供应商不得通过修改或撤销不合要求的偏离或保留而使其投标成为实质性响应的投标。</w:t>
      </w:r>
    </w:p>
    <w:p w14:paraId="15952848">
      <w:pPr>
        <w:spacing w:line="360" w:lineRule="auto"/>
        <w:ind w:firstLine="420"/>
        <w:rPr>
          <w:rFonts w:hint="eastAsia" w:cs="Times New Roman" w:asciiTheme="majorEastAsia" w:hAnsiTheme="majorEastAsia" w:eastAsiaTheme="majorEastAsia"/>
          <w:szCs w:val="21"/>
          <w:highlight w:val="none"/>
          <w:lang w:val="zh-CN"/>
        </w:rPr>
      </w:pPr>
      <w:bookmarkStart w:id="171" w:name="_Toc450643042"/>
      <w:r>
        <w:rPr>
          <w:rFonts w:hint="eastAsia" w:cs="Times New Roman" w:asciiTheme="majorEastAsia" w:hAnsiTheme="majorEastAsia" w:eastAsiaTheme="majorEastAsia"/>
          <w:szCs w:val="21"/>
          <w:highlight w:val="none"/>
          <w:lang w:val="zh-CN"/>
        </w:rPr>
        <w:t>（</w:t>
      </w:r>
      <w:r>
        <w:rPr>
          <w:rFonts w:hint="eastAsia" w:cs="Times New Roman" w:asciiTheme="majorEastAsia" w:hAnsiTheme="majorEastAsia" w:eastAsiaTheme="majorEastAsia"/>
          <w:szCs w:val="21"/>
          <w:highlight w:val="none"/>
        </w:rPr>
        <w:t>1</w:t>
      </w:r>
      <w:r>
        <w:rPr>
          <w:rFonts w:hint="eastAsia" w:cs="Times New Roman" w:asciiTheme="majorEastAsia" w:hAnsiTheme="majorEastAsia" w:eastAsiaTheme="majorEastAsia"/>
          <w:szCs w:val="21"/>
          <w:highlight w:val="none"/>
          <w:lang w:val="zh-CN"/>
        </w:rPr>
        <w:t>）供应商在苏采云系统规定的时间内未成功解密电子投标文件；</w:t>
      </w:r>
    </w:p>
    <w:p w14:paraId="3E8B1990">
      <w:pPr>
        <w:spacing w:line="360" w:lineRule="auto"/>
        <w:ind w:firstLine="420"/>
        <w:rPr>
          <w:rFonts w:hint="eastAsia" w:cs="Times New Roman" w:asciiTheme="majorEastAsia" w:hAnsiTheme="majorEastAsia" w:eastAsiaTheme="majorEastAsia"/>
          <w:szCs w:val="21"/>
          <w:highlight w:val="none"/>
          <w:lang w:val="zh-CN"/>
        </w:rPr>
      </w:pPr>
      <w:r>
        <w:rPr>
          <w:rFonts w:hint="eastAsia" w:cs="Times New Roman" w:asciiTheme="majorEastAsia" w:hAnsiTheme="majorEastAsia" w:eastAsiaTheme="majorEastAsia"/>
          <w:szCs w:val="21"/>
          <w:highlight w:val="none"/>
          <w:lang w:val="zh-CN"/>
        </w:rPr>
        <w:t>（</w:t>
      </w:r>
      <w:r>
        <w:rPr>
          <w:rFonts w:hint="eastAsia" w:cs="Times New Roman" w:asciiTheme="majorEastAsia" w:hAnsiTheme="majorEastAsia" w:eastAsiaTheme="majorEastAsia"/>
          <w:szCs w:val="21"/>
          <w:highlight w:val="none"/>
        </w:rPr>
        <w:t>2</w:t>
      </w:r>
      <w:r>
        <w:rPr>
          <w:rFonts w:hint="eastAsia" w:cs="Times New Roman" w:asciiTheme="majorEastAsia" w:hAnsiTheme="majorEastAsia" w:eastAsiaTheme="majorEastAsia"/>
          <w:szCs w:val="21"/>
          <w:highlight w:val="none"/>
          <w:lang w:val="zh-CN"/>
        </w:rPr>
        <w:t>）供应商未按照招标文件要求上传电子投标文件；</w:t>
      </w:r>
    </w:p>
    <w:p w14:paraId="6680508E">
      <w:pPr>
        <w:spacing w:line="360" w:lineRule="auto"/>
        <w:ind w:firstLine="420"/>
        <w:rPr>
          <w:rFonts w:hint="eastAsia" w:cs="Times New Roman" w:asciiTheme="majorEastAsia" w:hAnsiTheme="majorEastAsia" w:eastAsiaTheme="majorEastAsia"/>
          <w:szCs w:val="21"/>
          <w:highlight w:val="none"/>
          <w:lang w:val="zh-CN"/>
        </w:rPr>
      </w:pPr>
      <w:r>
        <w:rPr>
          <w:rFonts w:hint="eastAsia" w:cs="Times New Roman" w:asciiTheme="majorEastAsia" w:hAnsiTheme="majorEastAsia" w:eastAsiaTheme="majorEastAsia"/>
          <w:szCs w:val="21"/>
          <w:highlight w:val="none"/>
          <w:lang w:val="zh-CN"/>
        </w:rPr>
        <w:t>（</w:t>
      </w:r>
      <w:r>
        <w:rPr>
          <w:rFonts w:hint="eastAsia" w:cs="Times New Roman" w:asciiTheme="majorEastAsia" w:hAnsiTheme="majorEastAsia" w:eastAsiaTheme="majorEastAsia"/>
          <w:szCs w:val="21"/>
          <w:highlight w:val="none"/>
        </w:rPr>
        <w:t>3</w:t>
      </w:r>
      <w:r>
        <w:rPr>
          <w:rFonts w:hint="eastAsia" w:cs="Times New Roman" w:asciiTheme="majorEastAsia" w:hAnsiTheme="majorEastAsia" w:eastAsiaTheme="majorEastAsia"/>
          <w:szCs w:val="21"/>
          <w:highlight w:val="none"/>
          <w:lang w:val="zh-CN"/>
        </w:rPr>
        <w:t>）同一供应商提交两个（含两个）以上不同的投标报价；</w:t>
      </w:r>
    </w:p>
    <w:p w14:paraId="2CC06C74">
      <w:pPr>
        <w:spacing w:line="360" w:lineRule="auto"/>
        <w:ind w:firstLine="420"/>
        <w:rPr>
          <w:rFonts w:hint="eastAsia" w:cs="Times New Roman" w:asciiTheme="majorEastAsia" w:hAnsiTheme="majorEastAsia" w:eastAsiaTheme="majorEastAsia"/>
          <w:szCs w:val="21"/>
          <w:highlight w:val="none"/>
          <w:lang w:val="zh-CN"/>
        </w:rPr>
      </w:pPr>
      <w:r>
        <w:rPr>
          <w:rFonts w:hint="eastAsia" w:cs="Times New Roman" w:asciiTheme="majorEastAsia" w:hAnsiTheme="majorEastAsia" w:eastAsiaTheme="majorEastAsia"/>
          <w:szCs w:val="21"/>
          <w:highlight w:val="none"/>
          <w:lang w:val="zh-CN"/>
        </w:rPr>
        <w:t>（</w:t>
      </w:r>
      <w:r>
        <w:rPr>
          <w:rFonts w:hint="eastAsia" w:cs="Times New Roman" w:asciiTheme="majorEastAsia" w:hAnsiTheme="majorEastAsia" w:eastAsiaTheme="majorEastAsia"/>
          <w:szCs w:val="21"/>
          <w:highlight w:val="none"/>
        </w:rPr>
        <w:t>4</w:t>
      </w:r>
      <w:r>
        <w:rPr>
          <w:rFonts w:hint="eastAsia" w:cs="Times New Roman" w:asciiTheme="majorEastAsia" w:hAnsiTheme="majorEastAsia" w:eastAsiaTheme="majorEastAsia"/>
          <w:szCs w:val="21"/>
          <w:highlight w:val="none"/>
          <w:lang w:val="zh-CN"/>
        </w:rPr>
        <w:t>）供应商的报价超过了采购预算或最高限价；</w:t>
      </w:r>
    </w:p>
    <w:p w14:paraId="16E5C372">
      <w:pPr>
        <w:spacing w:line="360" w:lineRule="auto"/>
        <w:ind w:firstLine="420"/>
        <w:rPr>
          <w:rFonts w:hint="eastAsia" w:cs="Times New Roman" w:asciiTheme="majorEastAsia" w:hAnsiTheme="majorEastAsia" w:eastAsiaTheme="majorEastAsia"/>
          <w:szCs w:val="21"/>
          <w:highlight w:val="none"/>
          <w:lang w:val="zh-CN"/>
        </w:rPr>
      </w:pPr>
      <w:r>
        <w:rPr>
          <w:rFonts w:hint="eastAsia" w:cs="Times New Roman" w:asciiTheme="majorEastAsia" w:hAnsiTheme="majorEastAsia" w:eastAsiaTheme="majorEastAsia"/>
          <w:szCs w:val="21"/>
          <w:highlight w:val="none"/>
        </w:rPr>
        <w:t>（5）</w:t>
      </w:r>
      <w:r>
        <w:rPr>
          <w:rFonts w:hint="eastAsia" w:cs="Times New Roman" w:asciiTheme="majorEastAsia" w:hAnsiTheme="majorEastAsia" w:eastAsiaTheme="majorEastAsia"/>
          <w:szCs w:val="21"/>
          <w:highlight w:val="none"/>
          <w:lang w:val="zh-CN"/>
        </w:rPr>
        <w:t>出现下列情形之一的，评审委员会应当启动异常低价投标（响应）审查程序： </w:t>
      </w:r>
    </w:p>
    <w:p w14:paraId="75919942">
      <w:pPr>
        <w:spacing w:line="360" w:lineRule="auto"/>
        <w:ind w:firstLine="420"/>
        <w:rPr>
          <w:rFonts w:hint="eastAsia" w:cs="Times New Roman" w:asciiTheme="majorEastAsia" w:hAnsiTheme="majorEastAsia" w:eastAsiaTheme="majorEastAsia"/>
          <w:szCs w:val="21"/>
          <w:highlight w:val="none"/>
          <w:lang w:val="zh-CN"/>
        </w:rPr>
      </w:pPr>
      <w:r>
        <w:rPr>
          <w:rFonts w:hint="eastAsia" w:cs="Times New Roman" w:asciiTheme="majorEastAsia" w:hAnsiTheme="majorEastAsia" w:eastAsiaTheme="majorEastAsia"/>
          <w:szCs w:val="21"/>
          <w:highlight w:val="none"/>
          <w:lang w:val="zh-CN"/>
        </w:rPr>
        <w:t>1）投标（响应）报价低于全部通过符合性审查供应商投标（响应）报价平均值50%的，即投标（响应）报价&lt;全部通过符合性审查供应商投标（响应）报价平均值×50%； </w:t>
      </w:r>
    </w:p>
    <w:p w14:paraId="10C79B5F">
      <w:pPr>
        <w:spacing w:line="360" w:lineRule="auto"/>
        <w:ind w:firstLine="420"/>
        <w:rPr>
          <w:rFonts w:hint="eastAsia" w:cs="Times New Roman" w:asciiTheme="majorEastAsia" w:hAnsiTheme="majorEastAsia" w:eastAsiaTheme="majorEastAsia"/>
          <w:szCs w:val="21"/>
          <w:highlight w:val="none"/>
          <w:lang w:val="zh-CN"/>
        </w:rPr>
      </w:pPr>
      <w:r>
        <w:rPr>
          <w:rFonts w:hint="eastAsia" w:cs="Times New Roman" w:asciiTheme="majorEastAsia" w:hAnsiTheme="majorEastAsia" w:eastAsiaTheme="majorEastAsia"/>
          <w:szCs w:val="21"/>
          <w:highlight w:val="none"/>
          <w:lang w:val="zh-CN"/>
        </w:rPr>
        <w:t>2）投标（响应）报价低于通过符合性审查的次低报价供应商投标（响应）报价50%的，即投标（响应）报价&lt;通过符合性审查的次低报价供应商投标（响应）报价×50%； </w:t>
      </w:r>
    </w:p>
    <w:p w14:paraId="31ACF106">
      <w:pPr>
        <w:spacing w:line="360" w:lineRule="auto"/>
        <w:ind w:firstLine="420"/>
        <w:rPr>
          <w:rFonts w:hint="eastAsia" w:cs="Times New Roman" w:asciiTheme="majorEastAsia" w:hAnsiTheme="majorEastAsia" w:eastAsiaTheme="majorEastAsia"/>
          <w:szCs w:val="21"/>
          <w:highlight w:val="none"/>
          <w:lang w:val="zh-CN"/>
        </w:rPr>
      </w:pPr>
      <w:r>
        <w:rPr>
          <w:rFonts w:hint="eastAsia" w:cs="Times New Roman" w:asciiTheme="majorEastAsia" w:hAnsiTheme="majorEastAsia" w:eastAsiaTheme="majorEastAsia"/>
          <w:szCs w:val="21"/>
          <w:highlight w:val="none"/>
          <w:lang w:val="zh-CN"/>
        </w:rPr>
        <w:t>3）投标（响应）报价低于采购项目最高限价45%的，即投标（响应）报价&lt;采购项目最高限价×45%； </w:t>
      </w:r>
    </w:p>
    <w:p w14:paraId="0E35E00A">
      <w:pPr>
        <w:spacing w:line="360" w:lineRule="auto"/>
        <w:ind w:firstLine="420"/>
        <w:rPr>
          <w:rFonts w:hint="eastAsia" w:cs="Times New Roman" w:asciiTheme="majorEastAsia" w:hAnsiTheme="majorEastAsia" w:eastAsiaTheme="majorEastAsia"/>
          <w:szCs w:val="21"/>
          <w:highlight w:val="none"/>
          <w:lang w:val="zh-CN"/>
        </w:rPr>
      </w:pPr>
      <w:r>
        <w:rPr>
          <w:rFonts w:hint="eastAsia" w:cs="Times New Roman" w:asciiTheme="majorEastAsia" w:hAnsiTheme="majorEastAsia" w:eastAsiaTheme="majorEastAsia"/>
          <w:szCs w:val="21"/>
          <w:highlight w:val="none"/>
          <w:lang w:val="zh-CN"/>
        </w:rPr>
        <w:t>4）评审委员会基于专业判断，认为供应商报价过低，有可能影响产品质量或者不能诚信履约的其他情形。 </w:t>
      </w:r>
    </w:p>
    <w:p w14:paraId="4628FEC2">
      <w:pPr>
        <w:spacing w:line="360" w:lineRule="auto"/>
        <w:ind w:firstLine="420"/>
        <w:rPr>
          <w:rFonts w:hint="eastAsia" w:cs="Times New Roman" w:asciiTheme="majorEastAsia" w:hAnsiTheme="majorEastAsia" w:eastAsiaTheme="majorEastAsia"/>
          <w:szCs w:val="21"/>
          <w:highlight w:val="none"/>
          <w:lang w:val="zh-CN"/>
        </w:rPr>
      </w:pPr>
      <w:r>
        <w:rPr>
          <w:rFonts w:hint="eastAsia" w:cs="Times New Roman" w:asciiTheme="majorEastAsia" w:hAnsiTheme="majorEastAsia" w:eastAsiaTheme="majorEastAsia"/>
          <w:szCs w:val="21"/>
          <w:highlight w:val="none"/>
          <w:lang w:val="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提供说明的时间为30分钟。其中，属于第3项情形，供应商已随投标（响应）文件一并提交相关书面说明及必要的证明材料的，在评审现场可不再重复提交。 </w:t>
      </w:r>
    </w:p>
    <w:p w14:paraId="6CBB7275">
      <w:pPr>
        <w:spacing w:line="360" w:lineRule="auto"/>
        <w:ind w:firstLine="420"/>
        <w:rPr>
          <w:rFonts w:hint="eastAsia" w:cs="Times New Roman" w:asciiTheme="majorEastAsia" w:hAnsiTheme="majorEastAsia" w:eastAsiaTheme="majorEastAsia"/>
          <w:szCs w:val="21"/>
          <w:highlight w:val="none"/>
          <w:lang w:val="zh-CN"/>
        </w:rPr>
      </w:pPr>
      <w:r>
        <w:rPr>
          <w:rFonts w:hint="eastAsia" w:cs="Times New Roman" w:asciiTheme="majorEastAsia" w:hAnsiTheme="majorEastAsia" w:eastAsiaTheme="majorEastAsia"/>
          <w:szCs w:val="21"/>
          <w:highlight w:val="none"/>
          <w:lang w:val="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97BF64E">
      <w:pPr>
        <w:spacing w:line="360" w:lineRule="auto"/>
        <w:ind w:firstLine="420"/>
        <w:rPr>
          <w:rFonts w:hint="eastAsia" w:cs="Times New Roman" w:asciiTheme="majorEastAsia" w:hAnsiTheme="majorEastAsia" w:eastAsiaTheme="majorEastAsia"/>
          <w:szCs w:val="21"/>
          <w:highlight w:val="none"/>
        </w:rPr>
      </w:pPr>
      <w:r>
        <w:rPr>
          <w:rFonts w:hint="eastAsia" w:cs="Times New Roman" w:asciiTheme="majorEastAsia" w:hAnsiTheme="majorEastAsia" w:eastAsiaTheme="majorEastAsia"/>
          <w:szCs w:val="21"/>
          <w:highlight w:val="none"/>
        </w:rPr>
        <w:t>（6）不同供应商的响应文件由同一单位或者个人编制；</w:t>
      </w:r>
    </w:p>
    <w:p w14:paraId="5A3C1692">
      <w:pPr>
        <w:spacing w:line="360" w:lineRule="auto"/>
        <w:ind w:firstLine="420"/>
        <w:rPr>
          <w:rFonts w:hint="eastAsia" w:cs="Times New Roman" w:asciiTheme="majorEastAsia" w:hAnsiTheme="majorEastAsia" w:eastAsiaTheme="majorEastAsia"/>
          <w:szCs w:val="21"/>
          <w:highlight w:val="none"/>
        </w:rPr>
      </w:pPr>
      <w:r>
        <w:rPr>
          <w:rFonts w:hint="eastAsia" w:cs="Times New Roman" w:asciiTheme="majorEastAsia" w:hAnsiTheme="majorEastAsia" w:eastAsiaTheme="majorEastAsia"/>
          <w:szCs w:val="21"/>
          <w:highlight w:val="none"/>
        </w:rPr>
        <w:t>（7）不同供应商委托同一单位或者个人办理投标事宜；</w:t>
      </w:r>
    </w:p>
    <w:p w14:paraId="251E61D9">
      <w:pPr>
        <w:spacing w:line="360" w:lineRule="auto"/>
        <w:ind w:firstLine="420"/>
        <w:rPr>
          <w:rFonts w:hint="eastAsia" w:cs="Times New Roman" w:asciiTheme="majorEastAsia" w:hAnsiTheme="majorEastAsia" w:eastAsiaTheme="majorEastAsia"/>
          <w:szCs w:val="21"/>
          <w:highlight w:val="none"/>
        </w:rPr>
      </w:pPr>
      <w:r>
        <w:rPr>
          <w:rFonts w:hint="eastAsia" w:cs="Times New Roman" w:asciiTheme="majorEastAsia" w:hAnsiTheme="majorEastAsia" w:eastAsiaTheme="majorEastAsia"/>
          <w:szCs w:val="21"/>
          <w:highlight w:val="none"/>
        </w:rPr>
        <w:t>（8）不同供应商的ip地址、MAC地址、标书制作工具客户端标识码</w:t>
      </w:r>
      <w:r>
        <w:rPr>
          <w:rFonts w:hint="eastAsia" w:cs="Times New Roman" w:asciiTheme="majorEastAsia" w:hAnsiTheme="majorEastAsia" w:eastAsiaTheme="majorEastAsia"/>
          <w:szCs w:val="21"/>
          <w:highlight w:val="none"/>
          <w:lang w:eastAsia="zh-CN"/>
        </w:rPr>
        <w:t>均</w:t>
      </w:r>
      <w:r>
        <w:rPr>
          <w:rFonts w:hint="eastAsia" w:cs="Times New Roman" w:asciiTheme="majorEastAsia" w:hAnsiTheme="majorEastAsia" w:eastAsiaTheme="majorEastAsia"/>
          <w:szCs w:val="21"/>
          <w:highlight w:val="none"/>
        </w:rPr>
        <w:t>一致的；</w:t>
      </w:r>
    </w:p>
    <w:p w14:paraId="50A2885E">
      <w:pPr>
        <w:spacing w:line="360" w:lineRule="auto"/>
        <w:ind w:firstLine="420"/>
        <w:rPr>
          <w:rFonts w:hint="eastAsia" w:cs="Times New Roman" w:asciiTheme="majorEastAsia" w:hAnsiTheme="majorEastAsia" w:eastAsiaTheme="majorEastAsia"/>
          <w:szCs w:val="21"/>
          <w:highlight w:val="none"/>
        </w:rPr>
      </w:pPr>
      <w:r>
        <w:rPr>
          <w:rFonts w:hint="eastAsia" w:cs="Times New Roman" w:asciiTheme="majorEastAsia" w:hAnsiTheme="majorEastAsia" w:eastAsiaTheme="majorEastAsia"/>
          <w:szCs w:val="21"/>
          <w:highlight w:val="none"/>
        </w:rPr>
        <w:t>（9）</w:t>
      </w:r>
      <w:bookmarkStart w:id="172" w:name="OLE_LINK7"/>
      <w:r>
        <w:rPr>
          <w:rFonts w:hint="eastAsia" w:cs="Times New Roman" w:asciiTheme="majorEastAsia" w:hAnsiTheme="majorEastAsia" w:eastAsiaTheme="majorEastAsia"/>
          <w:szCs w:val="21"/>
          <w:highlight w:val="none"/>
        </w:rPr>
        <w:t>不同供应商的响应文件载明的项目管理成员或者联系人员为同一人</w:t>
      </w:r>
      <w:bookmarkEnd w:id="172"/>
      <w:r>
        <w:rPr>
          <w:rFonts w:hint="eastAsia" w:cs="Times New Roman" w:asciiTheme="majorEastAsia" w:hAnsiTheme="majorEastAsia" w:eastAsiaTheme="majorEastAsia"/>
          <w:szCs w:val="21"/>
          <w:highlight w:val="none"/>
        </w:rPr>
        <w:t>；</w:t>
      </w:r>
    </w:p>
    <w:p w14:paraId="2513C204">
      <w:pPr>
        <w:spacing w:line="360" w:lineRule="auto"/>
        <w:ind w:firstLine="420"/>
        <w:rPr>
          <w:rFonts w:hint="eastAsia" w:cs="Times New Roman" w:asciiTheme="majorEastAsia" w:hAnsiTheme="majorEastAsia" w:eastAsiaTheme="majorEastAsia"/>
          <w:szCs w:val="21"/>
          <w:highlight w:val="none"/>
        </w:rPr>
      </w:pPr>
      <w:r>
        <w:rPr>
          <w:rFonts w:hint="eastAsia" w:cs="Times New Roman" w:asciiTheme="majorEastAsia" w:hAnsiTheme="majorEastAsia" w:eastAsiaTheme="majorEastAsia"/>
          <w:szCs w:val="21"/>
          <w:highlight w:val="none"/>
        </w:rPr>
        <w:t>（10）不同供应商的响应文件异常一致或者投标报价呈规律性差异；</w:t>
      </w:r>
    </w:p>
    <w:p w14:paraId="29051FAA">
      <w:pPr>
        <w:spacing w:line="360" w:lineRule="auto"/>
        <w:ind w:firstLine="420"/>
        <w:rPr>
          <w:rFonts w:hint="eastAsia" w:cs="Times New Roman" w:asciiTheme="majorEastAsia" w:hAnsiTheme="majorEastAsia" w:eastAsiaTheme="majorEastAsia"/>
          <w:szCs w:val="21"/>
          <w:highlight w:val="none"/>
        </w:rPr>
      </w:pPr>
      <w:r>
        <w:rPr>
          <w:rFonts w:hint="eastAsia" w:cs="Times New Roman" w:asciiTheme="majorEastAsia" w:hAnsiTheme="majorEastAsia" w:eastAsiaTheme="majorEastAsia"/>
          <w:szCs w:val="21"/>
          <w:highlight w:val="none"/>
        </w:rPr>
        <w:t>（11）不同供应商的法定代表人或委托代理人有夫妻、直系血亲关系的；</w:t>
      </w:r>
    </w:p>
    <w:p w14:paraId="2038B1C7">
      <w:pPr>
        <w:spacing w:line="360" w:lineRule="auto"/>
        <w:ind w:firstLine="420"/>
        <w:rPr>
          <w:rFonts w:hint="eastAsia" w:cs="Times New Roman" w:asciiTheme="majorEastAsia" w:hAnsiTheme="majorEastAsia" w:eastAsiaTheme="majorEastAsia"/>
          <w:szCs w:val="21"/>
          <w:highlight w:val="none"/>
        </w:rPr>
      </w:pPr>
      <w:r>
        <w:rPr>
          <w:rFonts w:hint="eastAsia" w:cs="Times New Roman" w:asciiTheme="majorEastAsia" w:hAnsiTheme="majorEastAsia" w:eastAsiaTheme="majorEastAsia"/>
          <w:szCs w:val="21"/>
          <w:highlight w:val="none"/>
        </w:rPr>
        <w:t>（12）不同供应商的负责人为同一人或者存在控股、管理关系的；</w:t>
      </w:r>
    </w:p>
    <w:p w14:paraId="44CB8346">
      <w:pPr>
        <w:spacing w:line="360" w:lineRule="auto"/>
        <w:ind w:firstLine="420"/>
        <w:rPr>
          <w:rFonts w:hint="eastAsia" w:cs="Times New Roman" w:asciiTheme="majorEastAsia" w:hAnsiTheme="majorEastAsia" w:eastAsiaTheme="majorEastAsia"/>
          <w:szCs w:val="21"/>
          <w:highlight w:val="none"/>
        </w:rPr>
      </w:pPr>
      <w:r>
        <w:rPr>
          <w:rFonts w:hint="eastAsia" w:cs="Times New Roman" w:asciiTheme="majorEastAsia" w:hAnsiTheme="majorEastAsia" w:eastAsiaTheme="majorEastAsia"/>
          <w:szCs w:val="21"/>
          <w:highlight w:val="none"/>
        </w:rPr>
        <w:t>（13）不同供应商的委托代理人(或法定代表人、项目经理、项目总监、项目负责人等)在采购文件发布日上月至投标截止日当月在同一单位缴纳社会保险的；</w:t>
      </w:r>
    </w:p>
    <w:p w14:paraId="5AFC3E0D">
      <w:pPr>
        <w:spacing w:line="360" w:lineRule="auto"/>
        <w:ind w:firstLine="420"/>
        <w:rPr>
          <w:rFonts w:hint="eastAsia" w:cs="Times New Roman" w:asciiTheme="majorEastAsia" w:hAnsiTheme="majorEastAsia" w:eastAsiaTheme="majorEastAsia"/>
          <w:szCs w:val="21"/>
          <w:highlight w:val="none"/>
          <w:lang w:val="zh-CN"/>
        </w:rPr>
      </w:pPr>
      <w:r>
        <w:rPr>
          <w:rFonts w:hint="eastAsia" w:cs="Times New Roman" w:asciiTheme="majorEastAsia" w:hAnsiTheme="majorEastAsia" w:eastAsiaTheme="majorEastAsia"/>
          <w:szCs w:val="21"/>
          <w:highlight w:val="none"/>
          <w:lang w:val="zh-CN"/>
        </w:rPr>
        <w:t>（</w:t>
      </w:r>
      <w:r>
        <w:rPr>
          <w:rFonts w:hint="eastAsia" w:cs="Times New Roman" w:asciiTheme="majorEastAsia" w:hAnsiTheme="majorEastAsia" w:eastAsiaTheme="majorEastAsia"/>
          <w:szCs w:val="21"/>
          <w:highlight w:val="none"/>
        </w:rPr>
        <w:t>14</w:t>
      </w:r>
      <w:r>
        <w:rPr>
          <w:rFonts w:hint="eastAsia" w:cs="Times New Roman" w:asciiTheme="majorEastAsia" w:hAnsiTheme="majorEastAsia" w:eastAsiaTheme="majorEastAsia"/>
          <w:szCs w:val="21"/>
          <w:highlight w:val="none"/>
          <w:lang w:val="zh-CN"/>
        </w:rPr>
        <w:t>）</w:t>
      </w:r>
      <w:r>
        <w:rPr>
          <w:rFonts w:hint="eastAsia" w:cs="Times New Roman" w:asciiTheme="majorEastAsia" w:hAnsiTheme="majorEastAsia" w:eastAsiaTheme="majorEastAsia"/>
          <w:szCs w:val="21"/>
          <w:highlight w:val="none"/>
        </w:rPr>
        <w:t>投标文件</w:t>
      </w:r>
      <w:r>
        <w:rPr>
          <w:rFonts w:hint="eastAsia" w:cs="Times New Roman" w:asciiTheme="majorEastAsia" w:hAnsiTheme="majorEastAsia" w:eastAsiaTheme="majorEastAsia"/>
          <w:szCs w:val="21"/>
          <w:highlight w:val="none"/>
          <w:lang w:val="zh-CN"/>
        </w:rPr>
        <w:t>未响应招标文件中实质性要求和条件的；</w:t>
      </w:r>
    </w:p>
    <w:p w14:paraId="56E5441A">
      <w:pPr>
        <w:spacing w:line="360" w:lineRule="auto"/>
        <w:ind w:firstLine="420"/>
        <w:rPr>
          <w:rFonts w:hint="eastAsia" w:cs="Times New Roman" w:asciiTheme="majorEastAsia" w:hAnsiTheme="majorEastAsia" w:eastAsiaTheme="majorEastAsia"/>
          <w:szCs w:val="21"/>
          <w:highlight w:val="none"/>
          <w:lang w:val="zh-CN"/>
        </w:rPr>
      </w:pPr>
      <w:r>
        <w:rPr>
          <w:rFonts w:hint="eastAsia" w:cs="Times New Roman" w:asciiTheme="majorEastAsia" w:hAnsiTheme="majorEastAsia" w:eastAsiaTheme="majorEastAsia"/>
          <w:szCs w:val="21"/>
          <w:highlight w:val="none"/>
          <w:lang w:val="zh-CN"/>
        </w:rPr>
        <w:t>（15）投标文件含有采购人不能接受的附加条件；</w:t>
      </w:r>
    </w:p>
    <w:p w14:paraId="2B53C5AD">
      <w:pPr>
        <w:spacing w:line="360" w:lineRule="auto"/>
        <w:ind w:firstLine="420"/>
        <w:rPr>
          <w:rFonts w:hint="eastAsia" w:cs="Times New Roman" w:asciiTheme="majorEastAsia" w:hAnsiTheme="majorEastAsia" w:eastAsiaTheme="majorEastAsia"/>
          <w:szCs w:val="21"/>
          <w:highlight w:val="none"/>
          <w:lang w:val="zh-CN"/>
        </w:rPr>
      </w:pPr>
      <w:r>
        <w:rPr>
          <w:rFonts w:hint="eastAsia" w:cs="Times New Roman" w:asciiTheme="majorEastAsia" w:hAnsiTheme="majorEastAsia" w:eastAsiaTheme="majorEastAsia"/>
          <w:szCs w:val="21"/>
          <w:highlight w:val="none"/>
          <w:lang w:val="zh-CN"/>
        </w:rPr>
        <w:t>（16）投标文件未按照招标文件要求加盖电子公章；</w:t>
      </w:r>
    </w:p>
    <w:p w14:paraId="598828BD">
      <w:pPr>
        <w:spacing w:line="360" w:lineRule="auto"/>
        <w:ind w:firstLine="420"/>
        <w:rPr>
          <w:rFonts w:hint="eastAsia" w:cs="Times New Roman" w:asciiTheme="majorEastAsia" w:hAnsiTheme="majorEastAsia" w:eastAsiaTheme="majorEastAsia"/>
          <w:szCs w:val="21"/>
          <w:highlight w:val="none"/>
          <w:lang w:val="zh-CN"/>
        </w:rPr>
      </w:pPr>
      <w:r>
        <w:rPr>
          <w:rFonts w:hint="eastAsia" w:cs="Times New Roman" w:asciiTheme="majorEastAsia" w:hAnsiTheme="majorEastAsia" w:eastAsiaTheme="majorEastAsia"/>
          <w:szCs w:val="21"/>
          <w:highlight w:val="none"/>
          <w:lang w:val="zh-CN"/>
        </w:rPr>
        <w:t>（1</w:t>
      </w:r>
      <w:r>
        <w:rPr>
          <w:rFonts w:hint="eastAsia" w:cs="Times New Roman" w:asciiTheme="majorEastAsia" w:hAnsiTheme="majorEastAsia"/>
          <w:szCs w:val="21"/>
          <w:highlight w:val="none"/>
          <w:lang w:val="en-US" w:eastAsia="zh-CN"/>
        </w:rPr>
        <w:t>7</w:t>
      </w:r>
      <w:r>
        <w:rPr>
          <w:rFonts w:hint="eastAsia" w:cs="Times New Roman" w:asciiTheme="majorEastAsia" w:hAnsiTheme="majorEastAsia" w:eastAsiaTheme="majorEastAsia"/>
          <w:szCs w:val="21"/>
          <w:highlight w:val="none"/>
          <w:lang w:val="zh-CN"/>
        </w:rPr>
        <w:t>）法律法规及本招标文件规定的其他无效投标情形。</w:t>
      </w:r>
    </w:p>
    <w:p w14:paraId="48FCD62A">
      <w:pPr>
        <w:keepNext w:val="0"/>
        <w:keepLines w:val="0"/>
        <w:pageBreakBefore w:val="0"/>
        <w:spacing w:line="360" w:lineRule="auto"/>
        <w:ind w:firstLine="420"/>
        <w:rPr>
          <w:rFonts w:ascii="宋体" w:hAnsi="宋体" w:cs="宋体"/>
          <w:b/>
          <w:bCs/>
          <w:szCs w:val="21"/>
          <w:highlight w:val="none"/>
        </w:rPr>
      </w:pPr>
      <w:r>
        <w:rPr>
          <w:rFonts w:hint="eastAsia" w:ascii="宋体" w:hAnsi="宋体" w:cs="宋体"/>
          <w:b/>
          <w:szCs w:val="21"/>
          <w:highlight w:val="none"/>
          <w:lang w:val="en-US" w:eastAsia="zh-CN"/>
        </w:rPr>
        <w:t>25.3</w:t>
      </w:r>
      <w:r>
        <w:rPr>
          <w:rFonts w:hint="eastAsia" w:ascii="宋体" w:hAnsi="宋体" w:cs="宋体"/>
          <w:b/>
          <w:bCs/>
          <w:szCs w:val="21"/>
          <w:highlight w:val="none"/>
        </w:rPr>
        <w:t>出现下列情形之一的磋商终止，无成交供应商：</w:t>
      </w:r>
      <w:bookmarkEnd w:id="171"/>
    </w:p>
    <w:p w14:paraId="5F0CD8BE">
      <w:pPr>
        <w:keepNext w:val="0"/>
        <w:keepLines w:val="0"/>
        <w:pageBreakBefore w:val="0"/>
        <w:spacing w:line="360" w:lineRule="auto"/>
        <w:ind w:firstLine="420"/>
        <w:rPr>
          <w:rFonts w:hint="eastAsia" w:ascii="宋体" w:hAnsi="宋体" w:eastAsia="宋体" w:cs="宋体"/>
          <w:bCs/>
          <w:szCs w:val="21"/>
          <w:highlight w:val="none"/>
          <w:lang w:val="zh-CN"/>
        </w:rPr>
      </w:pPr>
      <w:r>
        <w:rPr>
          <w:rFonts w:hint="eastAsia" w:ascii="宋体" w:hAnsi="宋体" w:eastAsia="宋体" w:cs="宋体"/>
          <w:bCs/>
          <w:szCs w:val="21"/>
          <w:highlight w:val="none"/>
          <w:lang w:val="zh-CN"/>
        </w:rPr>
        <w:t>（1）因苏采云系统故障造成开标不成功；</w:t>
      </w:r>
    </w:p>
    <w:p w14:paraId="09E32F36">
      <w:pPr>
        <w:keepNext w:val="0"/>
        <w:keepLines w:val="0"/>
        <w:pageBreakBefore w:val="0"/>
        <w:spacing w:line="360" w:lineRule="auto"/>
        <w:ind w:firstLine="420"/>
        <w:rPr>
          <w:rFonts w:hint="eastAsia" w:ascii="宋体" w:hAnsi="宋体" w:eastAsia="宋体" w:cs="宋体"/>
          <w:bCs/>
          <w:szCs w:val="21"/>
          <w:highlight w:val="none"/>
          <w:lang w:val="zh-CN"/>
        </w:rPr>
      </w:pPr>
      <w:r>
        <w:rPr>
          <w:rFonts w:hint="eastAsia" w:ascii="宋体" w:hAnsi="宋体" w:eastAsia="宋体" w:cs="宋体"/>
          <w:bCs/>
          <w:szCs w:val="21"/>
          <w:highlight w:val="none"/>
          <w:lang w:val="zh-CN"/>
        </w:rPr>
        <w:t>（2）在苏采云系统规定时间内成功解密电子响应文件的供应商不足三家；</w:t>
      </w:r>
    </w:p>
    <w:p w14:paraId="1B7BD4E1">
      <w:pPr>
        <w:keepNext w:val="0"/>
        <w:keepLines w:val="0"/>
        <w:pageBreakBefore w:val="0"/>
        <w:spacing w:line="360" w:lineRule="auto"/>
        <w:ind w:firstLine="420"/>
        <w:rPr>
          <w:rFonts w:hint="eastAsia" w:ascii="宋体" w:hAnsi="宋体" w:eastAsia="宋体" w:cs="宋体"/>
          <w:bCs/>
          <w:szCs w:val="21"/>
          <w:highlight w:val="none"/>
          <w:lang w:val="zh-CN"/>
        </w:rPr>
      </w:pPr>
      <w:r>
        <w:rPr>
          <w:rFonts w:hint="eastAsia" w:ascii="宋体" w:hAnsi="宋体" w:eastAsia="宋体" w:cs="宋体"/>
          <w:bCs/>
          <w:szCs w:val="21"/>
          <w:highlight w:val="none"/>
          <w:lang w:val="zh-CN"/>
        </w:rPr>
        <w:t>（3）符合资格条件的供应商或者对招标文件作实质响应的供应商不足三家；</w:t>
      </w:r>
    </w:p>
    <w:p w14:paraId="3A5ED2D8">
      <w:pPr>
        <w:keepNext w:val="0"/>
        <w:keepLines w:val="0"/>
        <w:pageBreakBefore w:val="0"/>
        <w:spacing w:line="360" w:lineRule="auto"/>
        <w:ind w:firstLine="420"/>
        <w:rPr>
          <w:rFonts w:hint="eastAsia" w:ascii="宋体" w:hAnsi="宋体" w:eastAsia="宋体" w:cs="宋体"/>
          <w:bCs/>
          <w:szCs w:val="21"/>
          <w:highlight w:val="none"/>
          <w:lang w:val="zh-CN"/>
        </w:rPr>
      </w:pPr>
      <w:r>
        <w:rPr>
          <w:rFonts w:hint="eastAsia" w:ascii="宋体" w:hAnsi="宋体" w:eastAsia="宋体" w:cs="宋体"/>
          <w:bCs/>
          <w:szCs w:val="21"/>
          <w:highlight w:val="none"/>
          <w:lang w:val="zh-CN"/>
        </w:rPr>
        <w:t>（4）出现影响采购公正的违法、违规行为；</w:t>
      </w:r>
    </w:p>
    <w:p w14:paraId="4B487D74">
      <w:pPr>
        <w:keepNext w:val="0"/>
        <w:keepLines w:val="0"/>
        <w:pageBreakBefore w:val="0"/>
        <w:spacing w:line="360" w:lineRule="auto"/>
        <w:ind w:firstLine="420"/>
        <w:rPr>
          <w:rFonts w:hint="eastAsia" w:ascii="宋体" w:hAnsi="宋体" w:eastAsia="宋体" w:cs="宋体"/>
          <w:bCs/>
          <w:szCs w:val="21"/>
          <w:highlight w:val="none"/>
          <w:lang w:val="zh-CN"/>
        </w:rPr>
      </w:pPr>
      <w:r>
        <w:rPr>
          <w:rFonts w:hint="eastAsia" w:ascii="宋体" w:hAnsi="宋体" w:eastAsia="宋体" w:cs="宋体"/>
          <w:bCs/>
          <w:szCs w:val="21"/>
          <w:highlight w:val="none"/>
          <w:lang w:val="zh-CN"/>
        </w:rPr>
        <w:t>（5）因重大变故采购任务取消；</w:t>
      </w:r>
    </w:p>
    <w:p w14:paraId="1DA96621">
      <w:pPr>
        <w:keepNext w:val="0"/>
        <w:keepLines w:val="0"/>
        <w:pageBreakBefore w:val="0"/>
        <w:spacing w:line="360" w:lineRule="auto"/>
        <w:ind w:firstLine="420"/>
        <w:rPr>
          <w:rFonts w:hint="eastAsia" w:ascii="宋体" w:hAnsi="宋体" w:eastAsia="宋体" w:cs="宋体"/>
          <w:bCs/>
          <w:szCs w:val="21"/>
          <w:highlight w:val="none"/>
          <w:lang w:val="zh-CN"/>
        </w:rPr>
      </w:pPr>
      <w:r>
        <w:rPr>
          <w:rFonts w:hint="eastAsia" w:ascii="宋体" w:hAnsi="宋体" w:eastAsia="宋体" w:cs="宋体"/>
          <w:bCs/>
          <w:szCs w:val="21"/>
          <w:highlight w:val="none"/>
          <w:lang w:val="zh-CN"/>
        </w:rPr>
        <w:t>（6）评委会认定招标文件存在歧义、重大缺陷导致评审工作无法进行；</w:t>
      </w:r>
    </w:p>
    <w:p w14:paraId="1EC90D18">
      <w:pPr>
        <w:keepNext w:val="0"/>
        <w:keepLines w:val="0"/>
        <w:pageBreakBefore w:val="0"/>
        <w:spacing w:line="360" w:lineRule="auto"/>
        <w:ind w:firstLine="420"/>
        <w:rPr>
          <w:rFonts w:hint="eastAsia" w:ascii="宋体" w:hAnsi="宋体" w:eastAsia="宋体" w:cs="宋体"/>
          <w:bCs/>
          <w:szCs w:val="21"/>
          <w:highlight w:val="none"/>
          <w:lang w:val="zh-CN"/>
        </w:rPr>
      </w:pPr>
      <w:r>
        <w:rPr>
          <w:rFonts w:hint="eastAsia" w:ascii="宋体" w:hAnsi="宋体" w:eastAsia="宋体" w:cs="宋体"/>
          <w:bCs/>
          <w:szCs w:val="21"/>
          <w:highlight w:val="none"/>
          <w:lang w:val="zh-CN"/>
        </w:rPr>
        <w:t>（7）法律法规规定的其他应当终止情形。</w:t>
      </w:r>
    </w:p>
    <w:p w14:paraId="00507C1E">
      <w:pPr>
        <w:keepNext w:val="0"/>
        <w:keepLines w:val="0"/>
        <w:pageBreakBefore w:val="0"/>
        <w:spacing w:line="360" w:lineRule="auto"/>
        <w:ind w:firstLine="420"/>
        <w:rPr>
          <w:rFonts w:hint="eastAsia" w:ascii="宋体" w:hAnsi="宋体" w:cs="宋体"/>
          <w:bCs/>
          <w:szCs w:val="21"/>
          <w:highlight w:val="none"/>
          <w:lang w:val="zh-CN"/>
        </w:rPr>
      </w:pPr>
      <w:r>
        <w:rPr>
          <w:rFonts w:hint="eastAsia" w:ascii="宋体" w:hAnsi="宋体" w:cs="宋体"/>
          <w:bCs/>
          <w:szCs w:val="21"/>
          <w:highlight w:val="none"/>
          <w:lang w:val="en-US" w:eastAsia="zh-CN"/>
        </w:rPr>
        <w:t>25.4</w:t>
      </w:r>
      <w:r>
        <w:rPr>
          <w:rFonts w:hint="eastAsia" w:ascii="宋体" w:hAnsi="宋体" w:cs="宋体"/>
          <w:bCs/>
          <w:szCs w:val="21"/>
          <w:highlight w:val="none"/>
          <w:lang w:val="zh-CN"/>
        </w:rPr>
        <w:t>未通过资格审查或符合性审查的供应商，磋商小组将通过苏采云系统告知具体原因，评审结束后将不再接受有关询问。</w:t>
      </w:r>
    </w:p>
    <w:p w14:paraId="11C35EB2">
      <w:pPr>
        <w:keepNext w:val="0"/>
        <w:keepLines w:val="0"/>
        <w:pageBreakBefore w:val="0"/>
        <w:spacing w:line="360" w:lineRule="auto"/>
        <w:ind w:firstLine="420"/>
        <w:rPr>
          <w:rFonts w:hint="eastAsia" w:ascii="宋体" w:hAnsi="宋体" w:cs="宋体"/>
          <w:bCs/>
          <w:szCs w:val="21"/>
          <w:highlight w:val="none"/>
          <w:lang w:val="zh-CN"/>
        </w:rPr>
      </w:pPr>
      <w:r>
        <w:rPr>
          <w:rFonts w:hint="eastAsia" w:ascii="宋体" w:hAnsi="宋体" w:cs="宋体"/>
          <w:bCs/>
          <w:szCs w:val="21"/>
          <w:highlight w:val="none"/>
          <w:lang w:val="en-US" w:eastAsia="zh-CN"/>
        </w:rPr>
        <w:t>25.5</w:t>
      </w:r>
      <w:r>
        <w:rPr>
          <w:rFonts w:hint="eastAsia" w:ascii="宋体" w:hAnsi="宋体" w:cs="宋体"/>
          <w:bCs/>
          <w:szCs w:val="21"/>
          <w:highlight w:val="none"/>
          <w:lang w:val="zh-CN"/>
        </w:rPr>
        <w:t>供应商在项目评审全过程中应保持通讯畅通，及时登录苏采云系统查阅、答复相关信息，并安排专人与采购代理机构及磋商小组联系。</w:t>
      </w:r>
    </w:p>
    <w:p w14:paraId="168EFA20">
      <w:pPr>
        <w:keepNext w:val="0"/>
        <w:keepLines w:val="0"/>
        <w:pageBreakBefore w:val="0"/>
        <w:spacing w:line="360" w:lineRule="auto"/>
        <w:ind w:firstLine="420"/>
        <w:rPr>
          <w:rFonts w:ascii="宋体" w:hAnsi="宋体" w:cs="宋体"/>
          <w:b/>
          <w:szCs w:val="21"/>
          <w:highlight w:val="none"/>
          <w:lang w:val="zh-CN"/>
        </w:rPr>
      </w:pPr>
      <w:r>
        <w:rPr>
          <w:rFonts w:hint="eastAsia" w:ascii="宋体" w:hAnsi="宋体" w:cs="宋体"/>
          <w:b/>
          <w:szCs w:val="21"/>
          <w:highlight w:val="none"/>
          <w:lang w:val="en-US" w:eastAsia="zh-CN"/>
        </w:rPr>
        <w:t>26</w:t>
      </w:r>
      <w:r>
        <w:rPr>
          <w:rFonts w:hint="eastAsia" w:ascii="宋体" w:hAnsi="宋体" w:cs="宋体"/>
          <w:b/>
          <w:szCs w:val="21"/>
          <w:highlight w:val="none"/>
          <w:lang w:val="zh-CN"/>
        </w:rPr>
        <w:t>、</w:t>
      </w:r>
      <w:r>
        <w:rPr>
          <w:rFonts w:hint="eastAsia" w:ascii="宋体" w:hAnsi="宋体" w:cs="宋体"/>
          <w:b/>
          <w:bCs/>
          <w:szCs w:val="21"/>
          <w:highlight w:val="none"/>
          <w:lang w:val="zh-CN"/>
        </w:rPr>
        <w:t>评分方法和标准。</w:t>
      </w:r>
    </w:p>
    <w:p w14:paraId="1843CD4F">
      <w:pPr>
        <w:keepNext w:val="0"/>
        <w:keepLines w:val="0"/>
        <w:pageBreakBefore w:val="0"/>
        <w:widowControl/>
        <w:spacing w:line="360" w:lineRule="auto"/>
        <w:ind w:firstLine="420"/>
        <w:rPr>
          <w:rFonts w:ascii="宋体" w:hAnsi="宋体" w:cs="宋体"/>
          <w:bCs/>
          <w:szCs w:val="21"/>
          <w:highlight w:val="none"/>
          <w:lang w:val="zh-CN"/>
        </w:rPr>
      </w:pPr>
      <w:r>
        <w:rPr>
          <w:rFonts w:hint="eastAsia" w:ascii="宋体" w:hAnsi="宋体" w:cs="宋体"/>
          <w:bCs/>
          <w:szCs w:val="21"/>
          <w:highlight w:val="none"/>
          <w:lang w:val="en-US" w:eastAsia="zh-CN"/>
        </w:rPr>
        <w:t>26</w:t>
      </w:r>
      <w:r>
        <w:rPr>
          <w:rFonts w:hint="eastAsia" w:ascii="宋体" w:hAnsi="宋体" w:cs="宋体"/>
          <w:bCs/>
          <w:szCs w:val="21"/>
          <w:highlight w:val="none"/>
          <w:lang w:val="zh-CN"/>
        </w:rPr>
        <w:t xml:space="preserve">.1 </w:t>
      </w:r>
      <w:r>
        <w:rPr>
          <w:rFonts w:hint="eastAsia" w:ascii="宋体" w:hAnsi="宋体" w:cs="宋体"/>
          <w:szCs w:val="21"/>
          <w:highlight w:val="none"/>
          <w:lang w:val="zh-CN"/>
        </w:rPr>
        <w:t>采用综合评分法。即</w:t>
      </w:r>
      <w:r>
        <w:rPr>
          <w:rFonts w:hint="eastAsia" w:ascii="宋体" w:hAnsi="宋体" w:cs="宋体"/>
          <w:szCs w:val="21"/>
          <w:highlight w:val="none"/>
        </w:rPr>
        <w:t>在满足磋商文件实质性要求前提下，按照磋商文件中规定的各项因素进行综合评审后，以评审总得分最高的供应商作为成交候选供应商或者成交供应商的评分方法。</w:t>
      </w:r>
    </w:p>
    <w:p w14:paraId="0C21D989">
      <w:pPr>
        <w:keepNext w:val="0"/>
        <w:keepLines w:val="0"/>
        <w:pageBreakBefore w:val="0"/>
        <w:spacing w:line="360" w:lineRule="auto"/>
        <w:ind w:firstLine="420"/>
        <w:rPr>
          <w:rFonts w:ascii="宋体" w:hAnsi="宋体" w:cs="宋体"/>
          <w:b/>
          <w:szCs w:val="21"/>
          <w:highlight w:val="none"/>
        </w:rPr>
      </w:pPr>
      <w:r>
        <w:rPr>
          <w:rFonts w:hint="eastAsia" w:ascii="宋体" w:hAnsi="宋体" w:cs="宋体"/>
          <w:bCs/>
          <w:szCs w:val="21"/>
          <w:highlight w:val="none"/>
          <w:lang w:val="en-US" w:eastAsia="zh-CN"/>
        </w:rPr>
        <w:t>26</w:t>
      </w:r>
      <w:r>
        <w:rPr>
          <w:rFonts w:hint="eastAsia" w:ascii="宋体" w:hAnsi="宋体" w:cs="宋体"/>
          <w:bCs/>
          <w:szCs w:val="21"/>
          <w:highlight w:val="none"/>
          <w:lang w:val="zh-CN"/>
        </w:rPr>
        <w:t xml:space="preserve">.2 </w:t>
      </w:r>
      <w:r>
        <w:rPr>
          <w:rFonts w:hint="eastAsia" w:ascii="宋体" w:hAnsi="宋体" w:cs="宋体"/>
          <w:szCs w:val="21"/>
          <w:highlight w:val="none"/>
        </w:rPr>
        <w:t>综合评分的</w:t>
      </w:r>
      <w:r>
        <w:rPr>
          <w:rFonts w:hint="eastAsia" w:ascii="宋体" w:hAnsi="宋体" w:cs="宋体"/>
          <w:szCs w:val="21"/>
          <w:highlight w:val="none"/>
          <w:lang w:val="zh-CN"/>
        </w:rPr>
        <w:t>主要因素是：</w:t>
      </w:r>
      <w:r>
        <w:rPr>
          <w:rFonts w:hint="eastAsia" w:ascii="宋体" w:hAnsi="宋体" w:cs="宋体"/>
          <w:b/>
          <w:szCs w:val="21"/>
          <w:highlight w:val="none"/>
        </w:rPr>
        <w:t>价格、</w:t>
      </w:r>
      <w:r>
        <w:rPr>
          <w:rFonts w:hint="eastAsia" w:ascii="宋体" w:hAnsi="宋体" w:cs="宋体"/>
          <w:b/>
          <w:bCs/>
          <w:szCs w:val="21"/>
          <w:highlight w:val="none"/>
        </w:rPr>
        <w:t>服务方案、</w:t>
      </w:r>
      <w:bookmarkEnd w:id="169"/>
      <w:r>
        <w:rPr>
          <w:rFonts w:hint="eastAsia" w:ascii="宋体" w:hAnsi="宋体" w:cs="宋体"/>
          <w:b/>
          <w:szCs w:val="21"/>
          <w:highlight w:val="none"/>
          <w:lang w:eastAsia="zh-CN"/>
        </w:rPr>
        <w:t>业绩</w:t>
      </w:r>
      <w:r>
        <w:rPr>
          <w:rFonts w:hint="eastAsia" w:ascii="宋体" w:hAnsi="宋体" w:cs="宋体"/>
          <w:b/>
          <w:szCs w:val="21"/>
          <w:highlight w:val="none"/>
        </w:rPr>
        <w:t>等。</w:t>
      </w:r>
    </w:p>
    <w:p w14:paraId="2CE5D52B">
      <w:pPr>
        <w:keepNext w:val="0"/>
        <w:keepLines w:val="0"/>
        <w:pageBreakBefore w:val="0"/>
        <w:spacing w:line="360" w:lineRule="auto"/>
        <w:ind w:firstLine="420"/>
        <w:rPr>
          <w:rFonts w:ascii="宋体" w:hAnsi="宋体" w:cs="宋体"/>
          <w:b/>
          <w:szCs w:val="21"/>
          <w:highlight w:val="none"/>
        </w:rPr>
      </w:pPr>
      <w:r>
        <w:rPr>
          <w:rFonts w:hint="eastAsia" w:ascii="宋体" w:hAnsi="宋体" w:cs="宋体"/>
          <w:bCs/>
          <w:szCs w:val="21"/>
          <w:highlight w:val="none"/>
          <w:lang w:val="en-US" w:eastAsia="zh-CN"/>
        </w:rPr>
        <w:t>26</w:t>
      </w:r>
      <w:r>
        <w:rPr>
          <w:rFonts w:hint="eastAsia" w:ascii="宋体" w:hAnsi="宋体" w:cs="宋体"/>
          <w:bCs/>
          <w:szCs w:val="21"/>
          <w:highlight w:val="none"/>
          <w:lang w:val="zh-CN"/>
        </w:rPr>
        <w:t>.3</w:t>
      </w:r>
      <w:r>
        <w:rPr>
          <w:rFonts w:hint="eastAsia" w:ascii="宋体" w:hAnsi="宋体" w:cs="宋体"/>
          <w:b/>
          <w:szCs w:val="21"/>
          <w:highlight w:val="none"/>
        </w:rPr>
        <w:t>评分标准详见第四章</w:t>
      </w:r>
    </w:p>
    <w:p w14:paraId="404B11F1">
      <w:pPr>
        <w:keepNext w:val="0"/>
        <w:keepLines w:val="0"/>
        <w:pageBreakBefore w:val="0"/>
        <w:spacing w:line="360" w:lineRule="auto"/>
        <w:ind w:firstLine="420"/>
        <w:rPr>
          <w:rFonts w:ascii="宋体" w:hAnsi="宋体" w:cs="宋体"/>
          <w:b/>
          <w:bCs/>
          <w:szCs w:val="21"/>
          <w:highlight w:val="none"/>
          <w:lang w:val="zh-CN"/>
        </w:rPr>
      </w:pPr>
      <w:r>
        <w:rPr>
          <w:rFonts w:hint="eastAsia" w:ascii="宋体" w:hAnsi="宋体" w:cs="宋体"/>
          <w:b/>
          <w:bCs/>
          <w:szCs w:val="21"/>
          <w:highlight w:val="none"/>
          <w:lang w:val="en-US" w:eastAsia="zh-CN"/>
        </w:rPr>
        <w:t>27</w:t>
      </w:r>
      <w:r>
        <w:rPr>
          <w:rFonts w:hint="eastAsia" w:ascii="宋体" w:hAnsi="宋体" w:cs="宋体"/>
          <w:b/>
          <w:bCs/>
          <w:szCs w:val="21"/>
          <w:highlight w:val="none"/>
          <w:lang w:val="zh-CN"/>
        </w:rPr>
        <w:t>、确定成交供应商</w:t>
      </w:r>
    </w:p>
    <w:p w14:paraId="2D2D1B0F">
      <w:pPr>
        <w:pStyle w:val="16"/>
        <w:keepNext w:val="0"/>
        <w:keepLines w:val="0"/>
        <w:pageBreakBefore w:val="0"/>
        <w:spacing w:after="0" w:line="360" w:lineRule="auto"/>
        <w:ind w:firstLine="422"/>
        <w:rPr>
          <w:rFonts w:hint="eastAsia" w:ascii="宋体" w:hAnsi="宋体" w:cs="宋体"/>
          <w:szCs w:val="21"/>
          <w:highlight w:val="none"/>
        </w:rPr>
      </w:pPr>
      <w:r>
        <w:rPr>
          <w:rFonts w:hint="eastAsia" w:ascii="宋体" w:hAnsi="宋体" w:cs="宋体"/>
          <w:szCs w:val="21"/>
          <w:highlight w:val="none"/>
          <w:lang w:val="en-US" w:eastAsia="zh-CN"/>
        </w:rPr>
        <w:t>27</w:t>
      </w:r>
      <w:r>
        <w:rPr>
          <w:rFonts w:hint="eastAsia" w:ascii="宋体" w:hAnsi="宋体" w:cs="宋体"/>
          <w:szCs w:val="21"/>
          <w:highlight w:val="none"/>
          <w:lang w:val="zh-CN"/>
        </w:rPr>
        <w:t>.1综合比较与评价后按照得分高低顺序对供应商进行排列。</w:t>
      </w:r>
      <w:r>
        <w:rPr>
          <w:rFonts w:hint="eastAsia" w:ascii="宋体" w:hAnsi="宋体" w:cs="宋体"/>
          <w:szCs w:val="21"/>
          <w:highlight w:val="none"/>
        </w:rPr>
        <w:t>得分相同的，按磋商报价由低到高顺序排列。得分且磋商报价相同的，按技术指标优劣顺序排列。</w:t>
      </w:r>
      <w:r>
        <w:rPr>
          <w:rFonts w:hint="eastAsia" w:ascii="宋体" w:hAnsi="宋体" w:cs="宋体"/>
          <w:b/>
          <w:bCs/>
          <w:szCs w:val="21"/>
          <w:highlight w:val="none"/>
        </w:rPr>
        <w:t>综合排名第一名的供应商确定为成交供应商。</w:t>
      </w:r>
      <w:r>
        <w:rPr>
          <w:rFonts w:hint="eastAsia" w:ascii="宋体" w:hAnsi="宋体" w:cs="宋体"/>
          <w:szCs w:val="21"/>
          <w:highlight w:val="none"/>
        </w:rPr>
        <w:t>磋商小组认为，排在前面的成交候选供应商的最低报价或者某些分项报价明显不合理或者低于成本，有可能影响服务质量和不能诚信履约的，应当要求其在规定的期限内提供书面文件予以解释说明，并提交相关证明材料；否则，磋商小组可以取消该供应商的成交候选资格，按顺序由排在后面的成交候选供应商递补，以此类推。</w:t>
      </w:r>
    </w:p>
    <w:p w14:paraId="4C640C35">
      <w:pPr>
        <w:pStyle w:val="16"/>
        <w:keepNext w:val="0"/>
        <w:keepLines w:val="0"/>
        <w:pageBreakBefore w:val="0"/>
        <w:spacing w:after="0" w:line="360" w:lineRule="auto"/>
        <w:ind w:firstLine="422"/>
        <w:rPr>
          <w:highlight w:val="none"/>
        </w:rPr>
      </w:pPr>
      <w:r>
        <w:rPr>
          <w:rFonts w:hint="eastAsia"/>
          <w:b/>
          <w:bCs/>
          <w:highlight w:val="none"/>
          <w:lang w:eastAsia="zh-CN"/>
        </w:rPr>
        <w:t>注：</w:t>
      </w:r>
      <w:r>
        <w:rPr>
          <w:rFonts w:hint="eastAsia" w:ascii="宋体" w:hAnsi="宋体" w:eastAsia="宋体" w:cs="宋体"/>
          <w:szCs w:val="21"/>
          <w:highlight w:val="none"/>
          <w:lang w:eastAsia="zh-CN"/>
        </w:rPr>
        <w:t>每</w:t>
      </w:r>
      <w:r>
        <w:rPr>
          <w:rFonts w:hint="eastAsia" w:ascii="宋体" w:hAnsi="宋体" w:eastAsia="宋体" w:cs="宋体"/>
          <w:szCs w:val="21"/>
          <w:highlight w:val="none"/>
        </w:rPr>
        <w:t>家供应</w:t>
      </w:r>
      <w:r>
        <w:rPr>
          <w:rFonts w:hint="eastAsia" w:ascii="宋体" w:hAnsi="宋体" w:cs="宋体"/>
          <w:szCs w:val="21"/>
          <w:highlight w:val="none"/>
        </w:rPr>
        <w:t>商可参加一个或多个分包的竞争，但最多只能中标一个分包。</w:t>
      </w:r>
      <w:r>
        <w:rPr>
          <w:rFonts w:hint="eastAsia" w:ascii="宋体" w:hAnsi="宋体" w:cs="宋体"/>
          <w:szCs w:val="21"/>
          <w:highlight w:val="none"/>
          <w:lang w:val="en-US" w:eastAsia="zh-CN"/>
        </w:rPr>
        <w:t>本次招标中，</w:t>
      </w:r>
      <w:r>
        <w:rPr>
          <w:rFonts w:hint="eastAsia" w:ascii="宋体" w:hAnsi="宋体" w:cs="宋体"/>
          <w:b w:val="0"/>
          <w:bCs w:val="0"/>
          <w:szCs w:val="21"/>
          <w:highlight w:val="none"/>
          <w:lang w:eastAsia="zh-CN"/>
        </w:rPr>
        <w:t>同一个供应商如同时参加多个包的招标采购，则只能成交一个包，供应商在前一个标包中被确定为成交供应商后，仍然参加后续标包的评审，但是在后续标包中不能被推荐为</w:t>
      </w:r>
      <w:r>
        <w:rPr>
          <w:rFonts w:hint="eastAsia" w:ascii="宋体" w:hAnsi="宋体" w:cs="宋体"/>
          <w:b w:val="0"/>
          <w:bCs w:val="0"/>
          <w:szCs w:val="21"/>
          <w:highlight w:val="none"/>
          <w:lang w:val="en-US" w:eastAsia="zh-CN"/>
        </w:rPr>
        <w:t>成交供应商和候选供应商</w:t>
      </w:r>
      <w:r>
        <w:rPr>
          <w:rFonts w:hint="eastAsia" w:ascii="宋体" w:hAnsi="宋体" w:cs="宋体"/>
          <w:b w:val="0"/>
          <w:bCs w:val="0"/>
          <w:szCs w:val="21"/>
          <w:highlight w:val="none"/>
          <w:lang w:eastAsia="zh-CN"/>
        </w:rPr>
        <w:t>。</w:t>
      </w:r>
      <w:r>
        <w:rPr>
          <w:rFonts w:hint="eastAsia" w:ascii="宋体" w:hAnsi="宋体" w:cs="宋体"/>
          <w:szCs w:val="21"/>
          <w:highlight w:val="none"/>
        </w:rPr>
        <w:t>。（分包号次序从分包一至分包</w:t>
      </w:r>
      <w:r>
        <w:rPr>
          <w:rFonts w:hint="eastAsia" w:ascii="宋体" w:hAnsi="宋体" w:cs="宋体"/>
          <w:szCs w:val="21"/>
          <w:highlight w:val="none"/>
          <w:lang w:val="en-US" w:eastAsia="zh-CN"/>
        </w:rPr>
        <w:t>二</w:t>
      </w:r>
      <w:r>
        <w:rPr>
          <w:rFonts w:hint="eastAsia" w:ascii="宋体" w:hAnsi="宋体" w:cs="宋体"/>
          <w:szCs w:val="21"/>
          <w:highlight w:val="none"/>
        </w:rPr>
        <w:t>按顺序排列）。具体详见</w:t>
      </w:r>
      <w:r>
        <w:rPr>
          <w:rFonts w:hint="eastAsia" w:ascii="宋体" w:hAnsi="宋体" w:cs="宋体"/>
          <w:szCs w:val="21"/>
          <w:highlight w:val="none"/>
          <w:lang w:val="en-US" w:eastAsia="zh-CN"/>
        </w:rPr>
        <w:t>磋商项目需求</w:t>
      </w:r>
      <w:r>
        <w:rPr>
          <w:rFonts w:hint="eastAsia" w:ascii="宋体" w:hAnsi="宋体" w:cs="宋体"/>
          <w:szCs w:val="21"/>
          <w:highlight w:val="none"/>
        </w:rPr>
        <w:t>。</w:t>
      </w:r>
    </w:p>
    <w:p w14:paraId="2D44FCB1">
      <w:pPr>
        <w:keepNext w:val="0"/>
        <w:keepLines w:val="0"/>
        <w:pageBreakBefore w:val="0"/>
        <w:spacing w:line="360" w:lineRule="auto"/>
        <w:ind w:firstLine="420"/>
        <w:rPr>
          <w:rFonts w:hint="default" w:ascii="宋体" w:hAnsi="宋体" w:eastAsia="宋体" w:cs="宋体"/>
          <w:b/>
          <w:bCs/>
          <w:szCs w:val="21"/>
          <w:highlight w:val="none"/>
          <w:lang w:val="en-US" w:eastAsia="zh-CN"/>
        </w:rPr>
      </w:pPr>
      <w:r>
        <w:rPr>
          <w:rFonts w:hint="eastAsia" w:ascii="宋体" w:hAnsi="宋体" w:cs="宋体"/>
          <w:b/>
          <w:bCs/>
          <w:szCs w:val="21"/>
          <w:highlight w:val="none"/>
          <w:lang w:val="en-US" w:eastAsia="zh-CN"/>
        </w:rPr>
        <w:t>28、成交通知书</w:t>
      </w:r>
    </w:p>
    <w:p w14:paraId="49138DCB">
      <w:pPr>
        <w:widowControl/>
        <w:shd w:val="clear" w:color="auto" w:fill="FFFFFF"/>
        <w:spacing w:line="360" w:lineRule="auto"/>
        <w:ind w:firstLine="420"/>
        <w:rPr>
          <w:rFonts w:hint="eastAsia" w:asciiTheme="majorEastAsia" w:hAnsiTheme="majorEastAsia" w:eastAsiaTheme="majorEastAsia"/>
          <w:szCs w:val="21"/>
        </w:rPr>
      </w:pPr>
      <w:r>
        <w:rPr>
          <w:rFonts w:hint="eastAsia" w:asciiTheme="majorEastAsia" w:hAnsiTheme="majorEastAsia" w:eastAsiaTheme="majorEastAsia"/>
          <w:szCs w:val="21"/>
          <w:lang w:val="en-US" w:eastAsia="zh-CN"/>
        </w:rPr>
        <w:t>28</w:t>
      </w:r>
      <w:r>
        <w:rPr>
          <w:rFonts w:hint="eastAsia" w:asciiTheme="majorEastAsia" w:hAnsiTheme="majorEastAsia" w:eastAsiaTheme="majorEastAsia"/>
          <w:szCs w:val="21"/>
        </w:rPr>
        <w:t xml:space="preserve">.1 成交结果确定后，采购代理机构将向成交供应商发出成交通知书。成交供应商可在成交结果公告届满之日起三十日内，登录苏采云系统下载。    </w:t>
      </w:r>
    </w:p>
    <w:p w14:paraId="74B4836F">
      <w:pPr>
        <w:widowControl/>
        <w:shd w:val="clear" w:color="auto" w:fill="FFFFFF"/>
        <w:spacing w:line="360" w:lineRule="auto"/>
        <w:ind w:firstLine="420"/>
        <w:rPr>
          <w:rFonts w:hint="eastAsia" w:asciiTheme="majorEastAsia" w:hAnsiTheme="majorEastAsia" w:eastAsiaTheme="majorEastAsia"/>
          <w:szCs w:val="21"/>
        </w:rPr>
      </w:pPr>
      <w:r>
        <w:rPr>
          <w:rFonts w:hint="eastAsia" w:asciiTheme="majorEastAsia" w:hAnsiTheme="majorEastAsia" w:eastAsiaTheme="majorEastAsia"/>
          <w:szCs w:val="21"/>
        </w:rPr>
        <w:t>因系统存储空间有限，成交结果公告届满之日起三十日后，苏采云系统不再保证提供下载成交通知书服务,因未及时下载而造成的不利后果由成交供应商自行承担。</w:t>
      </w:r>
    </w:p>
    <w:p w14:paraId="718D0B7A">
      <w:pPr>
        <w:widowControl/>
        <w:shd w:val="clear" w:color="auto" w:fill="FFFFFF"/>
        <w:spacing w:line="360" w:lineRule="auto"/>
        <w:ind w:firstLine="420"/>
        <w:rPr>
          <w:rFonts w:hint="eastAsia" w:asciiTheme="majorEastAsia" w:hAnsiTheme="majorEastAsia" w:eastAsiaTheme="majorEastAsia"/>
          <w:szCs w:val="21"/>
        </w:rPr>
      </w:pPr>
      <w:r>
        <w:rPr>
          <w:rFonts w:hint="eastAsia" w:asciiTheme="majorEastAsia" w:hAnsiTheme="majorEastAsia" w:eastAsiaTheme="majorEastAsia"/>
          <w:szCs w:val="21"/>
          <w:lang w:val="en-US" w:eastAsia="zh-CN"/>
        </w:rPr>
        <w:t>28</w:t>
      </w:r>
      <w:r>
        <w:rPr>
          <w:rFonts w:hint="eastAsia" w:asciiTheme="majorEastAsia" w:hAnsiTheme="majorEastAsia" w:eastAsiaTheme="majorEastAsia"/>
          <w:szCs w:val="21"/>
        </w:rPr>
        <w:t>.2 成交通知书将是合同的一个组成部分，对采购人和成交供应商均具有法律效力。成交通知书发出后，采购人改变成交结果的，或者成交供应商放弃成交项目的，应当依法承担法律责任。</w:t>
      </w:r>
    </w:p>
    <w:p w14:paraId="73F1E16A">
      <w:pPr>
        <w:keepNext w:val="0"/>
        <w:keepLines w:val="0"/>
        <w:pageBreakBefore w:val="0"/>
        <w:spacing w:line="360" w:lineRule="auto"/>
        <w:ind w:firstLine="420"/>
        <w:rPr>
          <w:rFonts w:ascii="宋体" w:hAnsi="宋体" w:cs="宋体"/>
          <w:szCs w:val="21"/>
          <w:highlight w:val="none"/>
        </w:rPr>
      </w:pPr>
      <w:r>
        <w:rPr>
          <w:rFonts w:hint="eastAsia" w:asciiTheme="majorEastAsia" w:hAnsiTheme="majorEastAsia" w:eastAsiaTheme="majorEastAsia"/>
          <w:szCs w:val="21"/>
          <w:lang w:val="en-US" w:eastAsia="zh-CN"/>
        </w:rPr>
        <w:t>28.3</w:t>
      </w:r>
      <w:r>
        <w:rPr>
          <w:rFonts w:hint="eastAsia" w:ascii="宋体" w:hAnsi="宋体" w:cs="宋体"/>
          <w:szCs w:val="21"/>
          <w:highlight w:val="none"/>
          <w:lang w:val="zh-CN"/>
        </w:rPr>
        <w:t xml:space="preserve"> </w:t>
      </w:r>
      <w:r>
        <w:rPr>
          <w:rFonts w:hint="eastAsia" w:ascii="宋体" w:hAnsi="宋体" w:cs="宋体"/>
          <w:szCs w:val="21"/>
          <w:highlight w:val="none"/>
        </w:rPr>
        <w:t>成交通知书发出后，采购人或成交供应商拒绝签订合同的，拒绝签订合同的一方应至少向另一方支付补偿金，以及为磋商过程所发生的有关费用和双方商定的其他补偿。</w:t>
      </w:r>
    </w:p>
    <w:p w14:paraId="67EADC01">
      <w:pPr>
        <w:keepNext w:val="0"/>
        <w:keepLines w:val="0"/>
        <w:pageBreakBefore w:val="0"/>
        <w:spacing w:line="360" w:lineRule="auto"/>
        <w:ind w:firstLine="420"/>
        <w:rPr>
          <w:rFonts w:ascii="宋体" w:hAnsi="宋体" w:cs="宋体"/>
          <w:b/>
          <w:szCs w:val="21"/>
          <w:highlight w:val="none"/>
        </w:rPr>
      </w:pPr>
      <w:r>
        <w:rPr>
          <w:rFonts w:hint="eastAsia" w:asciiTheme="majorEastAsia" w:hAnsiTheme="majorEastAsia" w:eastAsiaTheme="majorEastAsia"/>
          <w:szCs w:val="21"/>
          <w:lang w:val="en-US" w:eastAsia="zh-CN"/>
        </w:rPr>
        <w:t>28.4</w:t>
      </w:r>
      <w:r>
        <w:rPr>
          <w:rFonts w:hint="eastAsia" w:ascii="宋体" w:hAnsi="宋体" w:cs="宋体"/>
          <w:szCs w:val="21"/>
          <w:highlight w:val="none"/>
        </w:rPr>
        <w:t xml:space="preserve"> </w:t>
      </w:r>
      <w:r>
        <w:rPr>
          <w:rFonts w:hint="eastAsia" w:ascii="宋体" w:hAnsi="宋体" w:cs="宋体"/>
          <w:b/>
          <w:szCs w:val="21"/>
          <w:highlight w:val="none"/>
        </w:rPr>
        <w:t>成交通知书发出后，成交供应商除发生法律规定的不能预见、不能避免并不能克服的客观情况外不得放弃或拒绝签订合同的。放弃或拒绝签订合同的，情节严重的财政部门将其列入不良行为名单，在一至三年内不得参加南京市政府采购活动</w:t>
      </w:r>
      <w:r>
        <w:rPr>
          <w:rFonts w:hint="eastAsia" w:ascii="宋体" w:hAnsi="宋体" w:cs="宋体"/>
          <w:b/>
          <w:highlight w:val="none"/>
        </w:rPr>
        <w:t>，并予以通报。</w:t>
      </w:r>
    </w:p>
    <w:p w14:paraId="73A0CD7F">
      <w:pPr>
        <w:keepNext w:val="0"/>
        <w:keepLines w:val="0"/>
        <w:pageBreakBefore w:val="0"/>
        <w:tabs>
          <w:tab w:val="left" w:pos="1260"/>
        </w:tabs>
        <w:spacing w:line="360" w:lineRule="auto"/>
        <w:ind w:firstLine="420"/>
        <w:rPr>
          <w:rFonts w:ascii="宋体" w:hAnsi="宋体" w:cs="宋体"/>
          <w:szCs w:val="21"/>
          <w:highlight w:val="none"/>
        </w:rPr>
      </w:pPr>
      <w:r>
        <w:rPr>
          <w:rFonts w:hint="eastAsia" w:asciiTheme="majorEastAsia" w:hAnsiTheme="majorEastAsia" w:eastAsiaTheme="majorEastAsia"/>
          <w:szCs w:val="21"/>
          <w:lang w:val="en-US" w:eastAsia="zh-CN"/>
        </w:rPr>
        <w:t>28.5</w:t>
      </w:r>
      <w:r>
        <w:rPr>
          <w:rFonts w:hint="eastAsia" w:ascii="宋体" w:hAnsi="宋体" w:cs="宋体"/>
          <w:szCs w:val="21"/>
          <w:highlight w:val="none"/>
        </w:rPr>
        <w:t>代理机构对未成交的供应商不作未成交原因的解释。</w:t>
      </w:r>
    </w:p>
    <w:p w14:paraId="58F0E656">
      <w:pPr>
        <w:keepNext w:val="0"/>
        <w:keepLines w:val="0"/>
        <w:pageBreakBefore w:val="0"/>
        <w:spacing w:line="360" w:lineRule="auto"/>
        <w:ind w:firstLine="420"/>
        <w:outlineLvl w:val="1"/>
        <w:rPr>
          <w:rFonts w:ascii="宋体" w:hAnsi="宋体" w:cs="宋体"/>
          <w:b/>
          <w:bCs/>
          <w:szCs w:val="21"/>
          <w:highlight w:val="none"/>
          <w:lang w:val="zh-CN"/>
        </w:rPr>
      </w:pPr>
      <w:bookmarkStart w:id="173" w:name="_Toc5356"/>
      <w:bookmarkStart w:id="174" w:name="_Toc29157"/>
      <w:bookmarkStart w:id="175" w:name="_Toc5317"/>
      <w:bookmarkStart w:id="176" w:name="_Toc7428"/>
      <w:bookmarkStart w:id="177" w:name="_Toc16621"/>
      <w:bookmarkStart w:id="178" w:name="_Toc3030"/>
      <w:bookmarkStart w:id="179" w:name="_Toc25215"/>
      <w:bookmarkStart w:id="180" w:name="_Toc30543"/>
      <w:bookmarkStart w:id="181" w:name="_Toc10463"/>
      <w:bookmarkStart w:id="182" w:name="_Toc22312"/>
      <w:bookmarkStart w:id="183" w:name="_Toc8287"/>
      <w:bookmarkStart w:id="184" w:name="_Toc8617"/>
      <w:bookmarkStart w:id="185" w:name="_Toc16285"/>
      <w:bookmarkStart w:id="186" w:name="_Toc20289"/>
      <w:bookmarkStart w:id="187" w:name="_Toc504141741"/>
      <w:bookmarkStart w:id="188" w:name="_Toc1202"/>
      <w:bookmarkStart w:id="189" w:name="_Toc2456"/>
      <w:bookmarkStart w:id="190" w:name="_Toc29768"/>
      <w:bookmarkStart w:id="191" w:name="_Toc18338"/>
      <w:bookmarkStart w:id="192" w:name="_Toc24954"/>
      <w:bookmarkStart w:id="193" w:name="_Toc25414"/>
      <w:bookmarkStart w:id="194" w:name="_Toc5114"/>
      <w:bookmarkStart w:id="195" w:name="_Toc5481"/>
      <w:bookmarkStart w:id="196" w:name="_Toc31660"/>
      <w:bookmarkStart w:id="197" w:name="_Toc19082"/>
      <w:bookmarkStart w:id="198" w:name="_Toc10162"/>
      <w:bookmarkStart w:id="199" w:name="_Toc9350"/>
      <w:bookmarkStart w:id="200" w:name="_Toc22518"/>
      <w:bookmarkStart w:id="201" w:name="_Toc8570"/>
      <w:r>
        <w:rPr>
          <w:rFonts w:hint="eastAsia" w:ascii="宋体" w:hAnsi="宋体" w:cs="宋体"/>
          <w:b/>
          <w:szCs w:val="21"/>
          <w:highlight w:val="none"/>
        </w:rPr>
        <w:t>六</w:t>
      </w:r>
      <w:r>
        <w:rPr>
          <w:rFonts w:hint="eastAsia" w:ascii="宋体" w:hAnsi="宋体" w:cs="宋体"/>
          <w:b/>
          <w:szCs w:val="21"/>
          <w:highlight w:val="none"/>
          <w:lang w:val="zh-CN"/>
        </w:rPr>
        <w:t>、</w:t>
      </w:r>
      <w:r>
        <w:rPr>
          <w:rFonts w:hint="eastAsia" w:ascii="宋体" w:hAnsi="宋体" w:cs="宋体"/>
          <w:b/>
          <w:bCs/>
          <w:szCs w:val="21"/>
          <w:highlight w:val="none"/>
          <w:lang w:val="zh-CN"/>
        </w:rPr>
        <w:t>签订合同</w:t>
      </w:r>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p>
    <w:p w14:paraId="3093F246">
      <w:pPr>
        <w:keepNext w:val="0"/>
        <w:keepLines w:val="0"/>
        <w:pageBreakBefore w:val="0"/>
        <w:spacing w:line="360" w:lineRule="auto"/>
        <w:ind w:firstLine="420"/>
        <w:rPr>
          <w:rFonts w:hint="default" w:ascii="宋体" w:hAnsi="宋体" w:eastAsia="宋体" w:cs="宋体"/>
          <w:b/>
          <w:bCs/>
          <w:szCs w:val="21"/>
          <w:highlight w:val="none"/>
          <w:lang w:val="en-US" w:eastAsia="zh-CN"/>
        </w:rPr>
      </w:pPr>
      <w:r>
        <w:rPr>
          <w:rFonts w:hint="eastAsia" w:ascii="宋体" w:hAnsi="宋体" w:cs="宋体"/>
          <w:b/>
          <w:bCs/>
          <w:szCs w:val="21"/>
          <w:highlight w:val="none"/>
          <w:lang w:val="en-US" w:eastAsia="zh-CN"/>
        </w:rPr>
        <w:t>29.签订合同</w:t>
      </w:r>
    </w:p>
    <w:p w14:paraId="2FD6BA5B">
      <w:pPr>
        <w:keepNext w:val="0"/>
        <w:keepLines w:val="0"/>
        <w:pageBreakBefore w:val="0"/>
        <w:spacing w:line="360" w:lineRule="auto"/>
        <w:ind w:firstLine="420"/>
        <w:rPr>
          <w:rFonts w:ascii="宋体" w:hAnsi="宋体" w:cs="宋体"/>
          <w:szCs w:val="21"/>
          <w:highlight w:val="none"/>
          <w:lang w:val="zh-CN"/>
        </w:rPr>
      </w:pPr>
      <w:r>
        <w:rPr>
          <w:rFonts w:hint="eastAsia" w:ascii="宋体" w:hAnsi="宋体" w:cs="宋体"/>
          <w:szCs w:val="21"/>
          <w:highlight w:val="none"/>
          <w:lang w:val="en-US" w:eastAsia="zh-CN"/>
        </w:rPr>
        <w:t>29</w:t>
      </w:r>
      <w:r>
        <w:rPr>
          <w:rFonts w:hint="eastAsia" w:ascii="宋体" w:hAnsi="宋体" w:cs="宋体"/>
          <w:szCs w:val="21"/>
          <w:highlight w:val="none"/>
          <w:lang w:val="zh-CN"/>
        </w:rPr>
        <w:t>.</w:t>
      </w:r>
      <w:r>
        <w:rPr>
          <w:rFonts w:hint="eastAsia" w:ascii="宋体" w:hAnsi="宋体" w:cs="宋体"/>
          <w:szCs w:val="21"/>
          <w:highlight w:val="none"/>
        </w:rPr>
        <w:t>1 成交供应商应当</w:t>
      </w:r>
      <w:r>
        <w:rPr>
          <w:rFonts w:hint="eastAsia" w:ascii="宋体" w:hAnsi="宋体" w:cs="宋体"/>
          <w:szCs w:val="21"/>
          <w:highlight w:val="none"/>
          <w:lang w:val="zh-CN"/>
        </w:rPr>
        <w:t>自成交通知书发出之日起三十日内，</w:t>
      </w:r>
      <w:r>
        <w:rPr>
          <w:rFonts w:hint="eastAsia" w:ascii="宋体" w:hAnsi="宋体" w:cs="宋体"/>
          <w:szCs w:val="21"/>
          <w:highlight w:val="none"/>
        </w:rPr>
        <w:t>与采购人签订政府采购合同，所签订的合同不得对竞争性磋商文件和竞争性磋商响应文件作实质性修改。</w:t>
      </w:r>
    </w:p>
    <w:p w14:paraId="061F7634">
      <w:pPr>
        <w:keepNext w:val="0"/>
        <w:keepLines w:val="0"/>
        <w:pageBreakBefore w:val="0"/>
        <w:spacing w:line="360" w:lineRule="auto"/>
        <w:ind w:firstLine="420"/>
        <w:rPr>
          <w:rFonts w:ascii="宋体" w:hAnsi="宋体" w:cs="宋体"/>
          <w:szCs w:val="21"/>
          <w:highlight w:val="none"/>
        </w:rPr>
      </w:pPr>
      <w:r>
        <w:rPr>
          <w:rFonts w:hint="eastAsia" w:ascii="宋体" w:hAnsi="宋体" w:cs="宋体"/>
          <w:szCs w:val="21"/>
          <w:highlight w:val="none"/>
          <w:lang w:val="en-US" w:eastAsia="zh-CN"/>
        </w:rPr>
        <w:t>29</w:t>
      </w:r>
      <w:r>
        <w:rPr>
          <w:rFonts w:hint="eastAsia" w:ascii="宋体" w:hAnsi="宋体" w:cs="宋体"/>
          <w:szCs w:val="21"/>
          <w:highlight w:val="none"/>
          <w:lang w:val="zh-CN"/>
        </w:rPr>
        <w:t xml:space="preserve">.2 </w:t>
      </w:r>
      <w:r>
        <w:rPr>
          <w:rFonts w:hint="eastAsia" w:ascii="宋体" w:hAnsi="宋体" w:cs="宋体"/>
          <w:szCs w:val="21"/>
          <w:highlight w:val="none"/>
        </w:rPr>
        <w:t>采购人不得向成交供应商提出任何不合理的要求作为签订合同的条件，不得与成交供应商私下订立背离合同实质性内容的协议。</w:t>
      </w:r>
    </w:p>
    <w:p w14:paraId="5124B4FD">
      <w:pPr>
        <w:keepNext w:val="0"/>
        <w:keepLines w:val="0"/>
        <w:pageBreakBefore w:val="0"/>
        <w:spacing w:line="360" w:lineRule="auto"/>
        <w:ind w:firstLine="420"/>
        <w:rPr>
          <w:rFonts w:ascii="宋体" w:hAnsi="宋体" w:cs="宋体"/>
          <w:szCs w:val="21"/>
          <w:highlight w:val="none"/>
          <w:lang w:val="zh-CN"/>
        </w:rPr>
      </w:pPr>
      <w:r>
        <w:rPr>
          <w:rFonts w:hint="eastAsia" w:ascii="宋体" w:hAnsi="宋体" w:cs="宋体"/>
          <w:szCs w:val="21"/>
          <w:highlight w:val="none"/>
          <w:lang w:val="en-US" w:eastAsia="zh-CN"/>
        </w:rPr>
        <w:t>29</w:t>
      </w:r>
      <w:r>
        <w:rPr>
          <w:rFonts w:hint="eastAsia" w:ascii="宋体" w:hAnsi="宋体" w:cs="宋体"/>
          <w:szCs w:val="21"/>
          <w:highlight w:val="none"/>
          <w:lang w:val="zh-CN"/>
        </w:rPr>
        <w:t>.3 成交供应商因不可抗力或者自身原因不能履行政府采购合同的，采购人可以视情与排位在成交供应商之后第一位的成交候选供应商签订政府采购合同，以此类推。</w:t>
      </w:r>
    </w:p>
    <w:p w14:paraId="7CE69429">
      <w:pPr>
        <w:keepNext w:val="0"/>
        <w:keepLines w:val="0"/>
        <w:pageBreakBefore w:val="0"/>
        <w:spacing w:line="360" w:lineRule="auto"/>
        <w:ind w:firstLine="420"/>
        <w:rPr>
          <w:rFonts w:ascii="宋体" w:hAnsi="宋体" w:cs="宋体"/>
          <w:szCs w:val="21"/>
          <w:highlight w:val="none"/>
          <w:lang w:val="zh-CN"/>
        </w:rPr>
      </w:pPr>
      <w:r>
        <w:rPr>
          <w:rFonts w:hint="eastAsia" w:ascii="宋体" w:hAnsi="宋体" w:cs="宋体"/>
          <w:szCs w:val="21"/>
          <w:highlight w:val="none"/>
          <w:lang w:val="en-US" w:eastAsia="zh-CN"/>
        </w:rPr>
        <w:t>29</w:t>
      </w:r>
      <w:r>
        <w:rPr>
          <w:rFonts w:hint="eastAsia" w:ascii="宋体" w:hAnsi="宋体" w:cs="宋体"/>
          <w:szCs w:val="21"/>
          <w:highlight w:val="none"/>
          <w:lang w:val="zh-CN"/>
        </w:rPr>
        <w:t>.4 政府采购合同履行中，采购人需追加与合同标的相同的服务的，在不改变合同其他条款的前提下，可以与供应商协商签订补充合同，但所有补充合同的采购金额不得超过原合同采购金额的百分之十。</w:t>
      </w:r>
    </w:p>
    <w:p w14:paraId="24258A2E">
      <w:pPr>
        <w:keepNext w:val="0"/>
        <w:keepLines w:val="0"/>
        <w:pageBreakBefore w:val="0"/>
        <w:spacing w:line="360" w:lineRule="auto"/>
        <w:ind w:firstLine="420"/>
        <w:outlineLvl w:val="1"/>
        <w:rPr>
          <w:rFonts w:ascii="宋体" w:hAnsi="宋体" w:cs="宋体"/>
          <w:b/>
          <w:bCs/>
          <w:szCs w:val="21"/>
          <w:highlight w:val="none"/>
          <w:lang w:val="zh-CN"/>
        </w:rPr>
      </w:pPr>
      <w:bookmarkStart w:id="202" w:name="_Toc23022"/>
      <w:bookmarkStart w:id="203" w:name="_Toc21581"/>
      <w:bookmarkStart w:id="204" w:name="_Toc24468"/>
      <w:bookmarkStart w:id="205" w:name="_Toc30584"/>
      <w:bookmarkStart w:id="206" w:name="_Toc6436"/>
      <w:bookmarkStart w:id="207" w:name="_Toc27584"/>
      <w:bookmarkStart w:id="208" w:name="_Toc12013"/>
      <w:bookmarkStart w:id="209" w:name="_Toc21358"/>
      <w:bookmarkStart w:id="210" w:name="_Toc450643046"/>
      <w:bookmarkStart w:id="211" w:name="_Toc27223"/>
      <w:bookmarkStart w:id="212" w:name="_Toc15305"/>
      <w:bookmarkStart w:id="213" w:name="_Toc24231"/>
      <w:bookmarkStart w:id="214" w:name="_Toc21561"/>
      <w:bookmarkStart w:id="215" w:name="_Toc7552"/>
      <w:bookmarkStart w:id="216" w:name="_Toc19713"/>
      <w:bookmarkStart w:id="217" w:name="_Toc18390"/>
      <w:bookmarkStart w:id="218" w:name="_Toc25910"/>
      <w:bookmarkStart w:id="219" w:name="_Toc27633"/>
      <w:bookmarkStart w:id="220" w:name="_Toc23900"/>
      <w:bookmarkStart w:id="221" w:name="_Toc5437"/>
      <w:bookmarkStart w:id="222" w:name="_Toc8572"/>
      <w:bookmarkStart w:id="223" w:name="_Toc17911"/>
      <w:bookmarkStart w:id="224" w:name="_Toc504141742"/>
      <w:bookmarkStart w:id="225" w:name="_Toc29248"/>
      <w:bookmarkStart w:id="226" w:name="_Toc12199"/>
      <w:bookmarkStart w:id="227" w:name="_Toc459106792"/>
      <w:bookmarkStart w:id="228" w:name="_Toc3565"/>
      <w:bookmarkStart w:id="229" w:name="_Toc3731"/>
      <w:bookmarkStart w:id="230" w:name="_Toc5234"/>
      <w:bookmarkStart w:id="231" w:name="_Toc20220"/>
      <w:bookmarkStart w:id="232" w:name="_Toc7999"/>
      <w:r>
        <w:rPr>
          <w:rFonts w:hint="eastAsia" w:ascii="宋体" w:hAnsi="宋体" w:cs="宋体"/>
          <w:b/>
          <w:bCs/>
          <w:szCs w:val="21"/>
          <w:highlight w:val="none"/>
        </w:rPr>
        <w:t>七</w:t>
      </w:r>
      <w:r>
        <w:rPr>
          <w:rFonts w:hint="eastAsia" w:ascii="宋体" w:hAnsi="宋体" w:cs="宋体"/>
          <w:b/>
          <w:bCs/>
          <w:szCs w:val="21"/>
          <w:highlight w:val="none"/>
          <w:lang w:val="zh-CN"/>
        </w:rPr>
        <w:t>、质疑、投诉</w:t>
      </w:r>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p>
    <w:p w14:paraId="608D35C7">
      <w:pPr>
        <w:keepNext w:val="0"/>
        <w:keepLines w:val="0"/>
        <w:pageBreakBefore w:val="0"/>
        <w:spacing w:line="360" w:lineRule="auto"/>
        <w:ind w:firstLine="420"/>
        <w:rPr>
          <w:rFonts w:ascii="宋体" w:hAnsi="宋体" w:cs="宋体"/>
          <w:b/>
          <w:bCs/>
          <w:szCs w:val="21"/>
          <w:highlight w:val="none"/>
          <w:lang w:val="zh-CN"/>
        </w:rPr>
      </w:pPr>
      <w:r>
        <w:rPr>
          <w:rFonts w:hint="eastAsia" w:ascii="宋体" w:hAnsi="宋体" w:cs="宋体"/>
          <w:b/>
          <w:bCs/>
          <w:szCs w:val="21"/>
          <w:highlight w:val="none"/>
          <w:lang w:val="en-US" w:eastAsia="zh-CN"/>
        </w:rPr>
        <w:t>30</w:t>
      </w:r>
      <w:r>
        <w:rPr>
          <w:rFonts w:hint="eastAsia" w:ascii="宋体" w:hAnsi="宋体" w:cs="宋体"/>
          <w:b/>
          <w:bCs/>
          <w:szCs w:val="21"/>
          <w:highlight w:val="none"/>
          <w:lang w:val="zh-CN"/>
        </w:rPr>
        <w:t>、质疑</w:t>
      </w:r>
    </w:p>
    <w:p w14:paraId="713E4002">
      <w:pPr>
        <w:keepNext w:val="0"/>
        <w:keepLines w:val="0"/>
        <w:pageBreakBefore w:val="0"/>
        <w:spacing w:line="360" w:lineRule="auto"/>
        <w:ind w:firstLine="420"/>
        <w:rPr>
          <w:rFonts w:ascii="宋体" w:hAnsi="宋体" w:cs="宋体"/>
          <w:b/>
          <w:szCs w:val="21"/>
          <w:highlight w:val="none"/>
          <w:lang w:val="zh-CN"/>
        </w:rPr>
      </w:pPr>
      <w:r>
        <w:rPr>
          <w:rFonts w:hint="eastAsia" w:ascii="宋体" w:hAnsi="宋体" w:cs="宋体"/>
          <w:szCs w:val="21"/>
          <w:highlight w:val="none"/>
          <w:lang w:val="en-US" w:eastAsia="zh-CN"/>
        </w:rPr>
        <w:t>30</w:t>
      </w:r>
      <w:r>
        <w:rPr>
          <w:rFonts w:hint="eastAsia" w:ascii="宋体" w:hAnsi="宋体" w:cs="宋体"/>
          <w:szCs w:val="21"/>
          <w:highlight w:val="none"/>
          <w:lang w:val="zh-CN"/>
        </w:rPr>
        <w:t>.1 供应商对磋商活动事项有疑问的，可以向代理机构提出询问。供应商提出质疑时，须一次性提出全部问题及相关质疑资料，代理机构将依法作出答复，但答复的内容不涉及商业秘密。</w:t>
      </w:r>
    </w:p>
    <w:p w14:paraId="63A9891C">
      <w:pPr>
        <w:keepNext w:val="0"/>
        <w:keepLines w:val="0"/>
        <w:pageBreakBefore w:val="0"/>
        <w:spacing w:line="360" w:lineRule="auto"/>
        <w:ind w:firstLine="420"/>
        <w:rPr>
          <w:rFonts w:ascii="宋体" w:hAnsi="宋体" w:cs="宋体"/>
          <w:szCs w:val="21"/>
          <w:highlight w:val="none"/>
          <w:lang w:val="zh-CN"/>
        </w:rPr>
      </w:pPr>
      <w:r>
        <w:rPr>
          <w:rFonts w:hint="eastAsia" w:ascii="宋体" w:hAnsi="宋体" w:cs="宋体"/>
          <w:szCs w:val="21"/>
          <w:highlight w:val="none"/>
          <w:lang w:val="en-US" w:eastAsia="zh-CN"/>
        </w:rPr>
        <w:t>30</w:t>
      </w:r>
      <w:r>
        <w:rPr>
          <w:rFonts w:hint="eastAsia" w:ascii="宋体" w:hAnsi="宋体" w:cs="宋体"/>
          <w:szCs w:val="21"/>
          <w:highlight w:val="none"/>
          <w:lang w:val="zh-CN"/>
        </w:rPr>
        <w:t>.2 供应商认为采购文件、采购过程和成交结果使自己的合法权益受到损害的，可以在知道或者应当知道其权益受到损害之日起七个工作日内，将质疑文件原件送达代理机构。</w:t>
      </w:r>
    </w:p>
    <w:p w14:paraId="764D7D02">
      <w:pPr>
        <w:keepNext w:val="0"/>
        <w:keepLines w:val="0"/>
        <w:pageBreakBefore w:val="0"/>
        <w:spacing w:line="360" w:lineRule="auto"/>
        <w:ind w:firstLine="420"/>
        <w:rPr>
          <w:rFonts w:ascii="宋体" w:hAnsi="宋体" w:cs="宋体"/>
          <w:szCs w:val="21"/>
          <w:highlight w:val="none"/>
        </w:rPr>
      </w:pPr>
      <w:r>
        <w:rPr>
          <w:rFonts w:hint="eastAsia" w:ascii="宋体" w:hAnsi="宋体" w:cs="宋体"/>
          <w:szCs w:val="21"/>
          <w:highlight w:val="none"/>
          <w:lang w:val="en-US" w:eastAsia="zh-CN"/>
        </w:rPr>
        <w:t>30</w:t>
      </w:r>
      <w:r>
        <w:rPr>
          <w:rFonts w:hint="eastAsia" w:ascii="宋体" w:hAnsi="宋体" w:cs="宋体"/>
          <w:szCs w:val="21"/>
          <w:highlight w:val="none"/>
        </w:rPr>
        <w:t xml:space="preserve">.3 </w:t>
      </w:r>
      <w:r>
        <w:rPr>
          <w:rFonts w:hint="eastAsia" w:ascii="宋体" w:hAnsi="宋体" w:cs="宋体"/>
          <w:szCs w:val="21"/>
          <w:highlight w:val="none"/>
          <w:lang w:val="zh-CN"/>
        </w:rPr>
        <w:t>质疑文件应包括以下主要内容，并</w:t>
      </w:r>
      <w:r>
        <w:rPr>
          <w:rFonts w:hint="eastAsia" w:ascii="宋体" w:hAnsi="宋体" w:cs="宋体"/>
          <w:szCs w:val="21"/>
          <w:highlight w:val="none"/>
        </w:rPr>
        <w:t>按照“谁主张、谁举证”的原则，附上相关证明材料。否则，代理机构不予受理：</w:t>
      </w:r>
    </w:p>
    <w:p w14:paraId="3D0E6542">
      <w:pPr>
        <w:keepNext w:val="0"/>
        <w:keepLines w:val="0"/>
        <w:pageBreakBefore w:val="0"/>
        <w:spacing w:line="360" w:lineRule="auto"/>
        <w:ind w:left="420"/>
        <w:rPr>
          <w:rFonts w:ascii="宋体" w:hAnsi="宋体" w:cs="宋体"/>
          <w:szCs w:val="21"/>
          <w:highlight w:val="none"/>
          <w:lang w:val="zh-CN"/>
        </w:rPr>
      </w:pPr>
      <w:r>
        <w:rPr>
          <w:rFonts w:hint="eastAsia" w:ascii="宋体" w:hAnsi="宋体" w:cs="宋体"/>
          <w:szCs w:val="21"/>
          <w:highlight w:val="none"/>
        </w:rPr>
        <w:t>（1）质疑项目名称、项目编号、包号、磋商公告发布时间、磋商时间；</w:t>
      </w:r>
    </w:p>
    <w:p w14:paraId="26ED5C51">
      <w:pPr>
        <w:keepNext w:val="0"/>
        <w:keepLines w:val="0"/>
        <w:pageBreakBefore w:val="0"/>
        <w:spacing w:line="360" w:lineRule="auto"/>
        <w:ind w:firstLine="420"/>
        <w:rPr>
          <w:rFonts w:ascii="宋体" w:hAnsi="宋体" w:cs="宋体"/>
          <w:szCs w:val="21"/>
          <w:highlight w:val="none"/>
          <w:lang w:val="zh-CN"/>
        </w:rPr>
      </w:pPr>
      <w:r>
        <w:rPr>
          <w:rFonts w:hint="eastAsia" w:ascii="宋体" w:hAnsi="宋体" w:cs="宋体"/>
          <w:szCs w:val="21"/>
          <w:highlight w:val="none"/>
          <w:lang w:val="zh-CN"/>
        </w:rPr>
        <w:t>（2）具体的质疑事项及法律依据（具体条款）；</w:t>
      </w:r>
    </w:p>
    <w:p w14:paraId="4B5840C8">
      <w:pPr>
        <w:keepNext w:val="0"/>
        <w:keepLines w:val="0"/>
        <w:pageBreakBefore w:val="0"/>
        <w:spacing w:line="360" w:lineRule="auto"/>
        <w:ind w:firstLine="420"/>
        <w:rPr>
          <w:rFonts w:ascii="宋体" w:hAnsi="宋体" w:cs="宋体"/>
          <w:szCs w:val="21"/>
          <w:highlight w:val="none"/>
          <w:lang w:val="zh-CN"/>
        </w:rPr>
      </w:pPr>
      <w:r>
        <w:rPr>
          <w:rFonts w:hint="eastAsia" w:ascii="宋体" w:hAnsi="宋体" w:cs="宋体"/>
          <w:szCs w:val="21"/>
          <w:highlight w:val="none"/>
          <w:lang w:val="zh-CN"/>
        </w:rPr>
        <w:t>（3）认为自己合法权益受到损害或可能受到损害的相关证据材料。质疑相关证明文件或证明材料，如果涉及到产品功能或技术指标的，应出具相关制造商的证明文件（友情提示：</w:t>
      </w:r>
      <w:r>
        <w:rPr>
          <w:rFonts w:hint="eastAsia" w:ascii="宋体" w:hAnsi="宋体" w:cs="宋体"/>
          <w:szCs w:val="21"/>
          <w:highlight w:val="none"/>
        </w:rPr>
        <w:t>供应商全部产品线中没有满足技术需求要求的产品才可以对采购产品提出质疑，并提出</w:t>
      </w:r>
      <w:r>
        <w:rPr>
          <w:rFonts w:hint="eastAsia" w:ascii="宋体" w:hAnsi="宋体" w:cs="宋体"/>
          <w:b/>
          <w:bCs/>
          <w:szCs w:val="21"/>
          <w:highlight w:val="none"/>
        </w:rPr>
        <w:t>修改理由</w:t>
      </w:r>
      <w:r>
        <w:rPr>
          <w:rFonts w:hint="eastAsia" w:ascii="宋体" w:hAnsi="宋体" w:cs="宋体"/>
          <w:szCs w:val="21"/>
          <w:highlight w:val="none"/>
        </w:rPr>
        <w:t>和</w:t>
      </w:r>
      <w:r>
        <w:rPr>
          <w:rFonts w:hint="eastAsia" w:ascii="宋体" w:hAnsi="宋体" w:cs="宋体"/>
          <w:b/>
          <w:bCs/>
          <w:szCs w:val="21"/>
          <w:highlight w:val="none"/>
        </w:rPr>
        <w:t>修改建议</w:t>
      </w:r>
      <w:r>
        <w:rPr>
          <w:rFonts w:hint="eastAsia" w:ascii="宋体" w:hAnsi="宋体" w:cs="宋体"/>
          <w:szCs w:val="21"/>
          <w:highlight w:val="none"/>
          <w:lang w:val="zh-CN"/>
        </w:rPr>
        <w:t>）；</w:t>
      </w:r>
    </w:p>
    <w:p w14:paraId="4C43FFF5">
      <w:pPr>
        <w:keepNext w:val="0"/>
        <w:keepLines w:val="0"/>
        <w:pageBreakBefore w:val="0"/>
        <w:spacing w:line="360" w:lineRule="auto"/>
        <w:ind w:firstLine="420"/>
        <w:rPr>
          <w:rFonts w:ascii="宋体" w:hAnsi="宋体" w:cs="宋体"/>
          <w:szCs w:val="21"/>
          <w:highlight w:val="none"/>
          <w:lang w:val="zh-CN"/>
        </w:rPr>
      </w:pPr>
      <w:r>
        <w:rPr>
          <w:rFonts w:hint="eastAsia" w:ascii="宋体" w:hAnsi="宋体" w:cs="宋体"/>
          <w:szCs w:val="21"/>
          <w:highlight w:val="none"/>
          <w:lang w:val="zh-CN"/>
        </w:rPr>
        <w:t>（4）质疑供应商名称、地址、</w:t>
      </w:r>
      <w:r>
        <w:rPr>
          <w:rFonts w:hint="eastAsia" w:ascii="宋体" w:hAnsi="宋体" w:cs="宋体"/>
          <w:highlight w:val="none"/>
          <w:lang w:val="zh-CN"/>
        </w:rPr>
        <w:t>邮编、联系人、</w:t>
      </w:r>
      <w:r>
        <w:rPr>
          <w:rFonts w:hint="eastAsia" w:ascii="宋体" w:hAnsi="宋体" w:cs="宋体"/>
          <w:szCs w:val="21"/>
          <w:highlight w:val="none"/>
          <w:lang w:val="zh-CN"/>
        </w:rPr>
        <w:t>联系方式</w:t>
      </w:r>
      <w:r>
        <w:rPr>
          <w:rFonts w:hint="eastAsia" w:ascii="宋体" w:hAnsi="宋体" w:cs="宋体"/>
          <w:szCs w:val="21"/>
          <w:highlight w:val="none"/>
        </w:rPr>
        <w:t>（包括手机、传真号码）</w:t>
      </w:r>
      <w:r>
        <w:rPr>
          <w:rFonts w:hint="eastAsia" w:ascii="宋体" w:hAnsi="宋体" w:cs="宋体"/>
          <w:szCs w:val="21"/>
          <w:highlight w:val="none"/>
          <w:lang w:val="zh-CN"/>
        </w:rPr>
        <w:t>；</w:t>
      </w:r>
    </w:p>
    <w:p w14:paraId="38D44A59">
      <w:pPr>
        <w:keepNext w:val="0"/>
        <w:keepLines w:val="0"/>
        <w:pageBreakBefore w:val="0"/>
        <w:spacing w:line="360" w:lineRule="auto"/>
        <w:ind w:firstLine="420"/>
        <w:rPr>
          <w:rFonts w:ascii="宋体" w:hAnsi="宋体" w:cs="宋体"/>
          <w:highlight w:val="none"/>
          <w:lang w:val="zh-CN"/>
        </w:rPr>
      </w:pPr>
      <w:r>
        <w:rPr>
          <w:rFonts w:hint="eastAsia" w:ascii="宋体" w:hAnsi="宋体" w:cs="宋体"/>
          <w:highlight w:val="none"/>
          <w:lang w:val="zh-CN"/>
        </w:rPr>
        <w:t>（5）质疑文件应当署名，质疑人为自然人的，应当由本人签字并附有效身份证明；质疑人为法人或其他组织的，应当由法定代表人签字并加盖单位公章。</w:t>
      </w:r>
    </w:p>
    <w:p w14:paraId="7A422B7A">
      <w:pPr>
        <w:keepNext w:val="0"/>
        <w:keepLines w:val="0"/>
        <w:pageBreakBefore w:val="0"/>
        <w:spacing w:line="360" w:lineRule="auto"/>
        <w:ind w:firstLine="420"/>
        <w:rPr>
          <w:rFonts w:ascii="宋体" w:hAnsi="宋体" w:cs="宋体"/>
          <w:highlight w:val="none"/>
        </w:rPr>
      </w:pPr>
      <w:r>
        <w:rPr>
          <w:rFonts w:hint="eastAsia" w:ascii="宋体" w:hAnsi="宋体" w:cs="宋体"/>
          <w:highlight w:val="none"/>
          <w:lang w:val="zh-CN"/>
        </w:rPr>
        <w:t>（6）供应商委托代理质疑的，应当向被质疑人提交授权委托书，并载明委托代理的具体权限和事项，</w:t>
      </w:r>
      <w:r>
        <w:rPr>
          <w:rFonts w:hint="eastAsia" w:ascii="宋体" w:hAnsi="宋体" w:cs="宋体"/>
          <w:szCs w:val="21"/>
          <w:highlight w:val="none"/>
        </w:rPr>
        <w:t>并加盖单位</w:t>
      </w:r>
      <w:r>
        <w:rPr>
          <w:rFonts w:hint="eastAsia" w:ascii="宋体" w:hAnsi="宋体" w:cs="宋体"/>
          <w:szCs w:val="21"/>
          <w:highlight w:val="none"/>
          <w:lang w:eastAsia="zh-CN"/>
        </w:rPr>
        <w:t>公章</w:t>
      </w:r>
      <w:r>
        <w:rPr>
          <w:rFonts w:hint="eastAsia" w:ascii="宋体" w:hAnsi="宋体" w:cs="宋体"/>
          <w:highlight w:val="none"/>
          <w:lang w:val="zh-CN"/>
        </w:rPr>
        <w:t>。</w:t>
      </w:r>
    </w:p>
    <w:p w14:paraId="16201B22">
      <w:pPr>
        <w:keepNext w:val="0"/>
        <w:keepLines w:val="0"/>
        <w:pageBreakBefore w:val="0"/>
        <w:spacing w:line="360" w:lineRule="auto"/>
        <w:ind w:firstLine="420"/>
        <w:rPr>
          <w:rFonts w:ascii="宋体" w:hAnsi="宋体" w:cs="宋体"/>
          <w:szCs w:val="21"/>
          <w:highlight w:val="none"/>
          <w:lang w:val="zh-CN"/>
        </w:rPr>
      </w:pPr>
      <w:r>
        <w:rPr>
          <w:rFonts w:hint="eastAsia" w:ascii="宋体" w:hAnsi="宋体" w:cs="宋体"/>
          <w:szCs w:val="21"/>
          <w:highlight w:val="none"/>
          <w:lang w:val="en-US" w:eastAsia="zh-CN"/>
        </w:rPr>
        <w:t>30</w:t>
      </w:r>
      <w:r>
        <w:rPr>
          <w:rFonts w:hint="eastAsia" w:ascii="宋体" w:hAnsi="宋体" w:cs="宋体"/>
          <w:szCs w:val="21"/>
          <w:highlight w:val="none"/>
          <w:lang w:val="zh-CN"/>
        </w:rPr>
        <w:t>.</w:t>
      </w:r>
      <w:r>
        <w:rPr>
          <w:rFonts w:hint="eastAsia" w:ascii="宋体" w:hAnsi="宋体" w:cs="宋体"/>
          <w:szCs w:val="21"/>
          <w:highlight w:val="none"/>
        </w:rPr>
        <w:t>4质疑必须书面原件送达的方式提交，内容应符合政府采购法律法规等的相关规定，须一次性提出全部问题及相关质疑资料，未按上述要求提交的质疑函（含传真、电子邮件等）代理机构有权不予受理。</w:t>
      </w:r>
    </w:p>
    <w:p w14:paraId="23711C9C">
      <w:pPr>
        <w:keepNext w:val="0"/>
        <w:keepLines w:val="0"/>
        <w:pageBreakBefore w:val="0"/>
        <w:spacing w:line="360" w:lineRule="auto"/>
        <w:ind w:firstLine="420"/>
        <w:rPr>
          <w:rFonts w:ascii="宋体" w:hAnsi="宋体" w:cs="宋体"/>
          <w:szCs w:val="21"/>
          <w:highlight w:val="none"/>
        </w:rPr>
      </w:pPr>
      <w:r>
        <w:rPr>
          <w:rFonts w:hint="eastAsia" w:ascii="宋体" w:hAnsi="宋体" w:cs="宋体"/>
          <w:szCs w:val="21"/>
          <w:highlight w:val="none"/>
          <w:lang w:val="en-US" w:eastAsia="zh-CN"/>
        </w:rPr>
        <w:t>30</w:t>
      </w:r>
      <w:r>
        <w:rPr>
          <w:rFonts w:hint="eastAsia" w:ascii="宋体" w:hAnsi="宋体" w:cs="宋体"/>
          <w:szCs w:val="21"/>
          <w:highlight w:val="none"/>
          <w:lang w:val="zh-CN"/>
        </w:rPr>
        <w:t>.</w:t>
      </w:r>
      <w:r>
        <w:rPr>
          <w:rFonts w:hint="eastAsia" w:ascii="宋体" w:hAnsi="宋体" w:cs="宋体"/>
          <w:szCs w:val="21"/>
          <w:highlight w:val="none"/>
        </w:rPr>
        <w:t>5</w:t>
      </w:r>
      <w:r>
        <w:rPr>
          <w:rFonts w:hint="eastAsia" w:ascii="宋体" w:hAnsi="宋体" w:cs="宋体"/>
          <w:highlight w:val="none"/>
          <w:lang w:val="zh-CN"/>
        </w:rPr>
        <w:t xml:space="preserve"> 质疑</w:t>
      </w:r>
      <w:r>
        <w:rPr>
          <w:rFonts w:hint="eastAsia" w:ascii="宋体" w:hAnsi="宋体" w:cs="宋体"/>
          <w:highlight w:val="none"/>
        </w:rPr>
        <w:t>供应商是指直接参加本项目采购活动的供应商；对采购文件提出质疑的，应自供应商获得采购文件之日起计算，且应当在投标截止之日前提出；对采购过程提出质疑的，自采购程序环节结束之日起计算；对成交结果提出质疑的，自成交结果公告之日起计算。</w:t>
      </w:r>
    </w:p>
    <w:p w14:paraId="5F2A6E94">
      <w:pPr>
        <w:keepNext w:val="0"/>
        <w:keepLines w:val="0"/>
        <w:pageBreakBefore w:val="0"/>
        <w:spacing w:line="360" w:lineRule="auto"/>
        <w:ind w:firstLine="420"/>
        <w:rPr>
          <w:rFonts w:ascii="宋体" w:hAnsi="宋体" w:cs="宋体"/>
          <w:szCs w:val="21"/>
          <w:highlight w:val="none"/>
          <w:lang w:val="zh-CN"/>
        </w:rPr>
      </w:pPr>
      <w:r>
        <w:rPr>
          <w:rFonts w:hint="eastAsia" w:ascii="宋体" w:hAnsi="宋体" w:cs="宋体"/>
          <w:szCs w:val="21"/>
          <w:highlight w:val="none"/>
          <w:lang w:val="en-US" w:eastAsia="zh-CN"/>
        </w:rPr>
        <w:t>30</w:t>
      </w:r>
      <w:r>
        <w:rPr>
          <w:rFonts w:hint="eastAsia" w:ascii="宋体" w:hAnsi="宋体" w:cs="宋体"/>
          <w:szCs w:val="21"/>
          <w:highlight w:val="none"/>
        </w:rPr>
        <w:t>.6 代理机构在收到供应商的书面质疑后将及时组织调查核实，在</w:t>
      </w:r>
      <w:r>
        <w:rPr>
          <w:rFonts w:hint="eastAsia" w:ascii="宋体" w:hAnsi="宋体" w:cs="宋体"/>
          <w:b/>
          <w:bCs/>
          <w:szCs w:val="21"/>
          <w:highlight w:val="none"/>
          <w:lang w:val="zh-CN"/>
        </w:rPr>
        <w:t>七个工作日内</w:t>
      </w:r>
      <w:r>
        <w:rPr>
          <w:rFonts w:hint="eastAsia" w:ascii="宋体" w:hAnsi="宋体" w:cs="宋体"/>
          <w:szCs w:val="21"/>
          <w:highlight w:val="none"/>
          <w:lang w:val="zh-CN"/>
        </w:rPr>
        <w:t>作出答复，并以书面或在网站公告形式通知质疑供应商和其他有关供应商，答复的内容不涉及商业秘密。</w:t>
      </w:r>
      <w:r>
        <w:rPr>
          <w:rFonts w:hint="eastAsia" w:ascii="宋体" w:hAnsi="宋体" w:cs="宋体"/>
          <w:szCs w:val="21"/>
          <w:highlight w:val="none"/>
        </w:rPr>
        <w:t>代理机构遵循“谁过错谁负担”的原则，有过错的一方承担调查论证费用。</w:t>
      </w:r>
    </w:p>
    <w:p w14:paraId="2B26AD0F">
      <w:pPr>
        <w:keepNext w:val="0"/>
        <w:keepLines w:val="0"/>
        <w:pageBreakBefore w:val="0"/>
        <w:spacing w:line="360" w:lineRule="auto"/>
        <w:ind w:firstLine="420"/>
        <w:rPr>
          <w:rFonts w:ascii="宋体" w:hAnsi="宋体" w:cs="宋体"/>
          <w:b/>
          <w:bCs/>
          <w:szCs w:val="21"/>
          <w:highlight w:val="none"/>
          <w:lang w:val="zh-CN"/>
        </w:rPr>
      </w:pPr>
      <w:r>
        <w:rPr>
          <w:rFonts w:hint="eastAsia" w:ascii="宋体" w:hAnsi="宋体" w:cs="宋体"/>
          <w:b/>
          <w:bCs/>
          <w:szCs w:val="21"/>
          <w:highlight w:val="none"/>
          <w:lang w:val="en-US" w:eastAsia="zh-CN"/>
        </w:rPr>
        <w:t>31</w:t>
      </w:r>
      <w:r>
        <w:rPr>
          <w:rFonts w:hint="eastAsia" w:ascii="宋体" w:hAnsi="宋体" w:cs="宋体"/>
          <w:b/>
          <w:bCs/>
          <w:szCs w:val="21"/>
          <w:highlight w:val="none"/>
          <w:lang w:val="zh-CN"/>
        </w:rPr>
        <w:t>、投诉</w:t>
      </w:r>
    </w:p>
    <w:p w14:paraId="1D5DA7AB">
      <w:pPr>
        <w:keepNext w:val="0"/>
        <w:keepLines w:val="0"/>
        <w:pageBreakBefore w:val="0"/>
        <w:spacing w:line="360" w:lineRule="auto"/>
        <w:ind w:firstLine="420"/>
        <w:rPr>
          <w:rFonts w:ascii="宋体" w:hAnsi="宋体" w:cs="宋体"/>
          <w:highlight w:val="none"/>
        </w:rPr>
      </w:pPr>
      <w:r>
        <w:rPr>
          <w:rFonts w:hint="eastAsia" w:ascii="宋体" w:hAnsi="宋体" w:cs="宋体"/>
          <w:szCs w:val="21"/>
          <w:highlight w:val="none"/>
          <w:lang w:val="zh-CN"/>
        </w:rPr>
        <w:t>质疑供应商对代理机构的答复不满意，或代理机构未在规定的时间内作出答复的，可以在答复期满后</w:t>
      </w:r>
      <w:r>
        <w:rPr>
          <w:rFonts w:hint="eastAsia" w:ascii="宋体" w:hAnsi="宋体" w:cs="宋体"/>
          <w:b/>
          <w:bCs/>
          <w:szCs w:val="21"/>
          <w:highlight w:val="none"/>
          <w:lang w:val="zh-CN"/>
        </w:rPr>
        <w:t>十五个工作日内</w:t>
      </w:r>
      <w:r>
        <w:rPr>
          <w:rFonts w:hint="eastAsia" w:ascii="宋体" w:hAnsi="宋体" w:cs="宋体"/>
          <w:szCs w:val="21"/>
          <w:highlight w:val="none"/>
          <w:lang w:val="zh-CN"/>
        </w:rPr>
        <w:t>向同级财政部门投诉。</w:t>
      </w:r>
    </w:p>
    <w:p w14:paraId="6D34DD14">
      <w:pPr>
        <w:jc w:val="center"/>
        <w:outlineLvl w:val="0"/>
        <w:rPr>
          <w:rFonts w:ascii="宋体" w:hAnsi="宋体" w:cs="宋体"/>
          <w:sz w:val="36"/>
          <w:szCs w:val="36"/>
          <w:highlight w:val="none"/>
          <w:lang w:val="zh-CN"/>
        </w:rPr>
      </w:pPr>
      <w:r>
        <w:rPr>
          <w:rFonts w:hint="eastAsia" w:ascii="宋体" w:hAnsi="宋体" w:cs="宋体"/>
          <w:highlight w:val="none"/>
        </w:rPr>
        <w:br w:type="page" w:clear="all"/>
      </w:r>
      <w:bookmarkStart w:id="233" w:name="_Toc30149"/>
      <w:bookmarkStart w:id="234" w:name="_Toc15111"/>
      <w:bookmarkStart w:id="235" w:name="_Toc26758"/>
      <w:bookmarkStart w:id="236" w:name="_Toc12641"/>
      <w:bookmarkStart w:id="237" w:name="_Toc7496"/>
      <w:bookmarkStart w:id="238" w:name="_Toc9933"/>
      <w:bookmarkStart w:id="239" w:name="_Toc18002"/>
      <w:bookmarkStart w:id="240" w:name="_Toc571"/>
      <w:bookmarkStart w:id="241" w:name="_Toc5025"/>
      <w:bookmarkStart w:id="242" w:name="_Toc19902"/>
      <w:bookmarkStart w:id="243" w:name="_Toc18409"/>
      <w:bookmarkStart w:id="244" w:name="_Toc22352"/>
      <w:bookmarkStart w:id="245" w:name="_Toc15115"/>
      <w:bookmarkStart w:id="246" w:name="_Toc14647"/>
      <w:r>
        <w:rPr>
          <w:rFonts w:hint="eastAsia" w:ascii="宋体" w:hAnsi="宋体" w:cs="宋体"/>
          <w:b/>
          <w:bCs/>
          <w:sz w:val="36"/>
          <w:szCs w:val="36"/>
          <w:highlight w:val="none"/>
          <w:lang w:val="zh-CN"/>
        </w:rPr>
        <w:t>第三章 磋商项目需求</w:t>
      </w:r>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p>
    <w:p w14:paraId="5F278FFE">
      <w:pPr>
        <w:pStyle w:val="4"/>
        <w:numPr>
          <w:ilvl w:val="0"/>
          <w:numId w:val="2"/>
        </w:numPr>
        <w:rPr>
          <w:rFonts w:hint="eastAsia" w:ascii="宋体" w:hAnsi="宋体" w:eastAsia="宋体" w:cs="宋体"/>
          <w:sz w:val="24"/>
          <w:szCs w:val="32"/>
          <w:lang w:val="en-US" w:eastAsia="zh-CN"/>
        </w:rPr>
      </w:pPr>
      <w:bookmarkStart w:id="247" w:name="_Toc11763"/>
      <w:bookmarkStart w:id="248" w:name="_Toc8594"/>
      <w:bookmarkStart w:id="249" w:name="_Toc22623"/>
      <w:bookmarkStart w:id="250" w:name="_Toc5640"/>
      <w:bookmarkStart w:id="251" w:name="_Toc16354"/>
      <w:bookmarkStart w:id="252" w:name="_Toc28898"/>
      <w:bookmarkStart w:id="253" w:name="_Toc29294"/>
      <w:bookmarkStart w:id="254" w:name="_Toc23360"/>
      <w:bookmarkStart w:id="255" w:name="_Toc504141751"/>
      <w:bookmarkStart w:id="256" w:name="_Toc4141"/>
      <w:bookmarkStart w:id="257" w:name="_Toc11479"/>
      <w:bookmarkStart w:id="258" w:name="_Toc24900"/>
      <w:bookmarkStart w:id="259" w:name="_Toc26699"/>
      <w:bookmarkStart w:id="260" w:name="_Toc24094"/>
      <w:bookmarkStart w:id="261" w:name="_Toc21240"/>
      <w:bookmarkStart w:id="262" w:name="_Toc3508"/>
      <w:bookmarkStart w:id="263" w:name="_Toc25532"/>
      <w:bookmarkStart w:id="264" w:name="_Toc21737"/>
      <w:bookmarkStart w:id="265" w:name="_Toc497"/>
      <w:bookmarkStart w:id="266" w:name="_Toc25218"/>
      <w:bookmarkStart w:id="267" w:name="_Toc9174"/>
      <w:bookmarkStart w:id="268" w:name="_Toc21270"/>
      <w:bookmarkStart w:id="269" w:name="_Toc15867"/>
      <w:bookmarkStart w:id="270" w:name="_Toc6851"/>
      <w:bookmarkStart w:id="271" w:name="_Toc11659"/>
      <w:bookmarkStart w:id="272" w:name="_Toc15461"/>
      <w:r>
        <w:rPr>
          <w:rFonts w:hint="eastAsia" w:cs="宋体"/>
          <w:sz w:val="24"/>
          <w:szCs w:val="32"/>
          <w:lang w:val="en-US" w:eastAsia="zh-CN"/>
        </w:rPr>
        <w:t>分包情况：</w:t>
      </w:r>
    </w:p>
    <w:p w14:paraId="566BDDC4">
      <w:pPr>
        <w:spacing w:line="560" w:lineRule="exact"/>
        <w:ind w:firstLine="482" w:firstLineChars="200"/>
        <w:jc w:val="left"/>
        <w:rPr>
          <w:rFonts w:hint="eastAsia" w:ascii="宋体" w:hAnsi="宋体" w:eastAsia="宋体" w:cs="宋体"/>
          <w:sz w:val="24"/>
          <w:szCs w:val="32"/>
          <w:lang w:val="en-US" w:eastAsia="zh-CN"/>
        </w:rPr>
      </w:pPr>
      <w:r>
        <w:rPr>
          <w:rFonts w:hint="eastAsia" w:ascii="宋体" w:hAnsi="宋体" w:eastAsia="宋体" w:cs="宋体"/>
          <w:b/>
          <w:bCs/>
          <w:sz w:val="24"/>
          <w:szCs w:val="32"/>
          <w:lang w:val="en-US" w:eastAsia="zh-CN"/>
        </w:rPr>
        <w:t>包</w:t>
      </w:r>
      <w:r>
        <w:rPr>
          <w:rFonts w:hint="eastAsia" w:ascii="宋体" w:hAnsi="宋体" w:cs="宋体"/>
          <w:b/>
          <w:bCs/>
          <w:sz w:val="24"/>
          <w:szCs w:val="32"/>
          <w:lang w:val="en-US" w:eastAsia="zh-CN"/>
        </w:rPr>
        <w:t>一</w:t>
      </w:r>
      <w:r>
        <w:rPr>
          <w:rFonts w:hint="eastAsia" w:ascii="宋体" w:hAnsi="宋体" w:eastAsia="宋体" w:cs="宋体"/>
          <w:sz w:val="24"/>
          <w:szCs w:val="32"/>
          <w:lang w:val="en-US" w:eastAsia="zh-CN"/>
        </w:rPr>
        <w:t>：东山社区（含东桥社区）1140栋、晓里社区314栋、上元路社区292栋、龙西社区（含南京南站）134栋、岔路社区（含宏运社区）801栋、天云社区156栋、泥塘社区488栋、佘村社区1978栋、东发集团（园区）16栋，共计约5319栋。</w:t>
      </w:r>
    </w:p>
    <w:p w14:paraId="7C699535">
      <w:pPr>
        <w:spacing w:line="560" w:lineRule="exact"/>
        <w:ind w:firstLine="482" w:firstLineChars="200"/>
        <w:rPr>
          <w:rFonts w:hint="default" w:ascii="宋体" w:hAnsi="宋体" w:eastAsia="宋体" w:cs="宋体"/>
          <w:sz w:val="24"/>
          <w:szCs w:val="32"/>
          <w:lang w:val="en-US" w:eastAsia="zh-CN"/>
        </w:rPr>
      </w:pPr>
      <w:r>
        <w:rPr>
          <w:rFonts w:hint="eastAsia" w:ascii="宋体" w:hAnsi="宋体" w:eastAsia="宋体" w:cs="宋体"/>
          <w:b/>
          <w:bCs/>
          <w:sz w:val="24"/>
          <w:szCs w:val="32"/>
          <w:lang w:val="en-US" w:eastAsia="zh-CN"/>
        </w:rPr>
        <w:t>包</w:t>
      </w:r>
      <w:r>
        <w:rPr>
          <w:rFonts w:hint="eastAsia" w:ascii="宋体" w:hAnsi="宋体" w:cs="宋体"/>
          <w:b/>
          <w:bCs/>
          <w:sz w:val="24"/>
          <w:szCs w:val="32"/>
          <w:lang w:val="en-US" w:eastAsia="zh-CN"/>
        </w:rPr>
        <w:t>二</w:t>
      </w:r>
      <w:r>
        <w:rPr>
          <w:rFonts w:hint="eastAsia" w:ascii="宋体" w:hAnsi="宋体" w:eastAsia="宋体" w:cs="宋体"/>
          <w:sz w:val="24"/>
          <w:szCs w:val="32"/>
          <w:lang w:val="en-US" w:eastAsia="zh-CN"/>
        </w:rPr>
        <w:t>：骆村社区（含成山工业园）492</w:t>
      </w:r>
      <w:r>
        <w:rPr>
          <w:rFonts w:hint="eastAsia" w:ascii="宋体" w:hAnsi="宋体" w:eastAsia="宋体" w:cs="宋体"/>
          <w:kern w:val="2"/>
          <w:sz w:val="24"/>
          <w:szCs w:val="32"/>
          <w:lang w:val="en-US" w:eastAsia="zh-CN" w:bidi="ar-SA"/>
        </w:rPr>
        <w:t>栋</w:t>
      </w:r>
      <w:r>
        <w:rPr>
          <w:rFonts w:hint="eastAsia" w:ascii="宋体" w:hAnsi="宋体" w:eastAsia="宋体" w:cs="宋体"/>
          <w:sz w:val="24"/>
          <w:szCs w:val="32"/>
          <w:lang w:val="en-US" w:eastAsia="zh-CN"/>
        </w:rPr>
        <w:t>、章村社区847</w:t>
      </w:r>
      <w:r>
        <w:rPr>
          <w:rFonts w:hint="eastAsia" w:ascii="宋体" w:hAnsi="宋体" w:eastAsia="宋体" w:cs="宋体"/>
          <w:kern w:val="2"/>
          <w:sz w:val="24"/>
          <w:szCs w:val="32"/>
          <w:lang w:val="en-US" w:eastAsia="zh-CN" w:bidi="ar-SA"/>
        </w:rPr>
        <w:t>栋、</w:t>
      </w:r>
      <w:r>
        <w:rPr>
          <w:rFonts w:hint="eastAsia" w:ascii="宋体" w:hAnsi="宋体" w:eastAsia="宋体" w:cs="宋体"/>
          <w:sz w:val="24"/>
          <w:szCs w:val="32"/>
          <w:lang w:val="en-US" w:eastAsia="zh-CN"/>
        </w:rPr>
        <w:t>上坊社区（含瑞宁路）2167</w:t>
      </w:r>
      <w:r>
        <w:rPr>
          <w:rFonts w:hint="eastAsia" w:ascii="宋体" w:hAnsi="宋体" w:eastAsia="宋体" w:cs="宋体"/>
          <w:kern w:val="2"/>
          <w:sz w:val="24"/>
          <w:szCs w:val="32"/>
          <w:lang w:val="en-US" w:eastAsia="zh-CN" w:bidi="ar-SA"/>
        </w:rPr>
        <w:t>栋</w:t>
      </w:r>
      <w:r>
        <w:rPr>
          <w:rFonts w:hint="eastAsia" w:ascii="宋体" w:hAnsi="宋体" w:eastAsia="宋体" w:cs="宋体"/>
          <w:sz w:val="24"/>
          <w:szCs w:val="32"/>
          <w:lang w:val="en-US" w:eastAsia="zh-CN"/>
        </w:rPr>
        <w:t>、邵圣社区618</w:t>
      </w:r>
      <w:r>
        <w:rPr>
          <w:rFonts w:hint="eastAsia" w:ascii="宋体" w:hAnsi="宋体" w:eastAsia="宋体" w:cs="宋体"/>
          <w:kern w:val="2"/>
          <w:sz w:val="24"/>
          <w:szCs w:val="32"/>
          <w:lang w:val="en-US" w:eastAsia="zh-CN" w:bidi="ar-SA"/>
        </w:rPr>
        <w:t>栋</w:t>
      </w:r>
      <w:r>
        <w:rPr>
          <w:rFonts w:hint="eastAsia" w:ascii="宋体" w:hAnsi="宋体" w:eastAsia="宋体" w:cs="宋体"/>
          <w:sz w:val="24"/>
          <w:szCs w:val="32"/>
          <w:lang w:val="en-US" w:eastAsia="zh-CN"/>
        </w:rPr>
        <w:t>、高桥社区1385</w:t>
      </w:r>
      <w:r>
        <w:rPr>
          <w:rFonts w:hint="eastAsia" w:ascii="宋体" w:hAnsi="宋体" w:eastAsia="宋体" w:cs="宋体"/>
          <w:kern w:val="2"/>
          <w:sz w:val="24"/>
          <w:szCs w:val="32"/>
          <w:lang w:val="en-US" w:eastAsia="zh-CN" w:bidi="ar-SA"/>
        </w:rPr>
        <w:t>栋</w:t>
      </w:r>
      <w:r>
        <w:rPr>
          <w:rFonts w:hint="eastAsia" w:ascii="宋体" w:hAnsi="宋体" w:eastAsia="宋体" w:cs="宋体"/>
          <w:sz w:val="24"/>
          <w:szCs w:val="32"/>
          <w:lang w:val="en-US" w:eastAsia="zh-CN"/>
        </w:rPr>
        <w:t>，共计约</w:t>
      </w:r>
      <w:r>
        <w:rPr>
          <w:rFonts w:hint="eastAsia" w:ascii="宋体" w:hAnsi="宋体" w:eastAsia="宋体" w:cs="宋体"/>
          <w:kern w:val="2"/>
          <w:sz w:val="24"/>
          <w:szCs w:val="32"/>
          <w:lang w:val="en-US" w:eastAsia="zh-CN" w:bidi="ar-SA"/>
        </w:rPr>
        <w:t>5509栋。</w:t>
      </w:r>
    </w:p>
    <w:p w14:paraId="09D6FBBB">
      <w:pPr>
        <w:pStyle w:val="4"/>
        <w:numPr>
          <w:ilvl w:val="0"/>
          <w:numId w:val="2"/>
        </w:numPr>
        <w:rPr>
          <w:rFonts w:hint="eastAsia" w:ascii="宋体" w:hAnsi="宋体" w:eastAsia="宋体" w:cs="宋体"/>
          <w:sz w:val="24"/>
          <w:szCs w:val="32"/>
          <w:lang w:val="en-US" w:eastAsia="zh-CN"/>
        </w:rPr>
      </w:pPr>
      <w:r>
        <w:rPr>
          <w:rFonts w:hint="eastAsia" w:ascii="宋体" w:hAnsi="宋体" w:eastAsia="宋体" w:cs="宋体"/>
          <w:sz w:val="24"/>
          <w:szCs w:val="32"/>
          <w:lang w:val="en-US" w:eastAsia="zh-CN"/>
        </w:rPr>
        <w:t>服务内容：</w:t>
      </w:r>
    </w:p>
    <w:p w14:paraId="55F42FB4">
      <w:pPr>
        <w:spacing w:line="360" w:lineRule="auto"/>
        <w:ind w:firstLine="420"/>
        <w:rPr>
          <w:rFonts w:hint="default" w:ascii="宋体" w:hAnsi="宋体" w:eastAsia="宋体" w:cs="宋体"/>
          <w:b/>
          <w:bCs/>
          <w:sz w:val="24"/>
          <w:szCs w:val="32"/>
          <w:lang w:val="en-US" w:eastAsia="zh-CN"/>
        </w:rPr>
      </w:pPr>
      <w:r>
        <w:rPr>
          <w:rFonts w:hint="eastAsia" w:ascii="宋体" w:hAnsi="宋体" w:cs="宋体"/>
          <w:b/>
          <w:bCs/>
          <w:sz w:val="24"/>
          <w:szCs w:val="32"/>
          <w:lang w:val="en-US" w:eastAsia="zh-CN"/>
        </w:rPr>
        <w:t>注：本项目各分包的服务内容</w:t>
      </w:r>
      <w:r>
        <w:rPr>
          <w:rFonts w:hint="eastAsia" w:ascii="宋体" w:hAnsi="宋体" w:cs="宋体"/>
          <w:b/>
          <w:bCs/>
          <w:sz w:val="24"/>
          <w:szCs w:val="32"/>
          <w:u w:val="none"/>
          <w:em w:val="dot"/>
          <w:lang w:val="en-US" w:eastAsia="zh-CN"/>
        </w:rPr>
        <w:t>均</w:t>
      </w:r>
      <w:r>
        <w:rPr>
          <w:rFonts w:hint="eastAsia" w:ascii="宋体" w:hAnsi="宋体" w:cs="宋体"/>
          <w:b/>
          <w:bCs/>
          <w:sz w:val="24"/>
          <w:szCs w:val="32"/>
          <w:lang w:val="en-US" w:eastAsia="zh-CN"/>
        </w:rPr>
        <w:t>包含以下内容：</w:t>
      </w:r>
    </w:p>
    <w:p w14:paraId="07D2F850">
      <w:pPr>
        <w:spacing w:line="360" w:lineRule="auto"/>
        <w:ind w:firstLine="420" w:firstLineChars="0"/>
        <w:rPr>
          <w:rFonts w:hint="eastAsia" w:ascii="宋体" w:hAnsi="宋体" w:eastAsia="宋体" w:cs="宋体"/>
          <w:sz w:val="24"/>
          <w:szCs w:val="32"/>
          <w:lang w:val="en-US" w:eastAsia="zh-CN"/>
        </w:rPr>
      </w:pPr>
      <w:r>
        <w:rPr>
          <w:rFonts w:hint="eastAsia" w:ascii="宋体" w:hAnsi="宋体" w:eastAsia="宋体" w:cs="宋体"/>
          <w:sz w:val="24"/>
          <w:szCs w:val="32"/>
          <w:lang w:val="en-US" w:eastAsia="zh-CN"/>
        </w:rPr>
        <w:t>一、房屋隐患整治</w:t>
      </w:r>
    </w:p>
    <w:p w14:paraId="349E965E">
      <w:pPr>
        <w:spacing w:line="360" w:lineRule="auto"/>
        <w:ind w:firstLine="420" w:firstLineChars="0"/>
        <w:rPr>
          <w:rFonts w:hint="default" w:ascii="宋体" w:hAnsi="宋体" w:eastAsia="宋体" w:cs="宋体"/>
          <w:sz w:val="24"/>
          <w:szCs w:val="32"/>
          <w:u w:val="single"/>
          <w:lang w:val="en-US" w:eastAsia="zh-CN"/>
        </w:rPr>
      </w:pPr>
      <w:r>
        <w:rPr>
          <w:rFonts w:hint="eastAsia" w:ascii="宋体" w:hAnsi="宋体" w:eastAsia="宋体" w:cs="宋体"/>
          <w:sz w:val="24"/>
          <w:szCs w:val="32"/>
          <w:lang w:val="en-US" w:eastAsia="zh-CN"/>
        </w:rPr>
        <w:t>1、按要求协助街道对属地内既有建筑按社区网格开展专业技术常态化巡查（包括各级部门下发的既有建筑巡查任务），街道排查约7691栋建筑（含约2305栋自建房），及时发现新增隐患；另：完成省系统数据约16103栋（以2026.4.20数据为准）既有建筑的巡查任务，巡查内容包括东发16栋既有建筑，补充相关房屋信息和房屋安全情况；形成全街房屋数量清单；对隐患房屋开展基础信息、使用情况及结构检查，并于10个工作日内出具查勘意见、排查报告或鉴定报告，编制并审查整治方案，建立“一户一档”；工作量以实际排查数量为准。</w:t>
      </w:r>
      <w:r>
        <w:rPr>
          <w:rFonts w:hint="eastAsia" w:ascii="宋体" w:hAnsi="宋体" w:cs="宋体"/>
          <w:sz w:val="24"/>
          <w:szCs w:val="32"/>
          <w:u w:val="single"/>
          <w:lang w:val="en-US" w:eastAsia="zh-CN"/>
        </w:rPr>
        <w:t>（</w:t>
      </w:r>
      <w:r>
        <w:rPr>
          <w:rFonts w:hint="eastAsia" w:ascii="宋体" w:hAnsi="宋体" w:cs="宋体"/>
          <w:b/>
          <w:bCs/>
          <w:sz w:val="24"/>
          <w:szCs w:val="32"/>
          <w:u w:val="single"/>
          <w:lang w:val="en-US" w:eastAsia="zh-CN"/>
        </w:rPr>
        <w:t>此项各包供应商根据分包实际负责区域内既有建筑数量开展工作，详见第三章（一）分包情况</w:t>
      </w:r>
      <w:r>
        <w:rPr>
          <w:rFonts w:hint="eastAsia" w:ascii="宋体" w:hAnsi="宋体" w:cs="宋体"/>
          <w:sz w:val="24"/>
          <w:szCs w:val="32"/>
          <w:u w:val="single"/>
          <w:lang w:val="en-US" w:eastAsia="zh-CN"/>
        </w:rPr>
        <w:t>）</w:t>
      </w:r>
    </w:p>
    <w:p w14:paraId="09FB8D0D">
      <w:pPr>
        <w:spacing w:line="360" w:lineRule="auto"/>
        <w:ind w:firstLine="420" w:firstLineChars="0"/>
        <w:rPr>
          <w:rFonts w:hint="eastAsia" w:ascii="宋体" w:hAnsi="宋体" w:eastAsia="宋体" w:cs="宋体"/>
          <w:sz w:val="24"/>
          <w:szCs w:val="32"/>
          <w:lang w:val="en-US" w:eastAsia="zh-CN"/>
        </w:rPr>
      </w:pPr>
      <w:r>
        <w:rPr>
          <w:rFonts w:hint="eastAsia" w:ascii="宋体" w:hAnsi="宋体" w:eastAsia="宋体" w:cs="宋体"/>
          <w:sz w:val="24"/>
          <w:szCs w:val="32"/>
          <w:lang w:val="en-US" w:eastAsia="zh-CN"/>
        </w:rPr>
        <w:t>2、隐患建筑动态监测：按需对重点区域、在册危房、隐患建筑、老旧建筑开展动态监测、房屋沉降倾斜、开裂、墙体风化裸露情况的测量对比，出具并上传评估(鉴定)报告（一般隐患季查、C级危房月查、D级危房周查，汛期及雨雪季等恶劣天气按上级部门要求协助街道增加专业技术巡查频次，按周期协助街道出具巡查技术分析报告，做好变化对比）。</w:t>
      </w:r>
    </w:p>
    <w:p w14:paraId="56D72EE3">
      <w:pPr>
        <w:spacing w:line="360" w:lineRule="auto"/>
        <w:ind w:firstLine="420" w:firstLineChars="0"/>
        <w:rPr>
          <w:rFonts w:hint="eastAsia" w:ascii="宋体" w:hAnsi="宋体" w:eastAsia="宋体" w:cs="宋体"/>
          <w:sz w:val="24"/>
          <w:szCs w:val="32"/>
          <w:lang w:val="en-US" w:eastAsia="zh-CN"/>
        </w:rPr>
      </w:pPr>
      <w:r>
        <w:rPr>
          <w:rFonts w:hint="eastAsia" w:ascii="宋体" w:hAnsi="宋体" w:eastAsia="宋体" w:cs="宋体"/>
          <w:sz w:val="24"/>
          <w:szCs w:val="32"/>
          <w:lang w:val="en-US" w:eastAsia="zh-CN"/>
        </w:rPr>
        <w:t>3、消险复核：协助街道对整治完工的房屋进行查验，并于10个工作日内出具隐患复核意见。</w:t>
      </w:r>
    </w:p>
    <w:p w14:paraId="0E29DC27">
      <w:pPr>
        <w:spacing w:line="360" w:lineRule="auto"/>
        <w:ind w:firstLine="420" w:firstLineChars="0"/>
        <w:rPr>
          <w:rFonts w:hint="eastAsia" w:ascii="宋体" w:hAnsi="宋体" w:eastAsia="宋体" w:cs="宋体"/>
          <w:sz w:val="24"/>
          <w:szCs w:val="32"/>
          <w:lang w:val="en-US" w:eastAsia="zh-CN"/>
        </w:rPr>
      </w:pPr>
      <w:r>
        <w:rPr>
          <w:rFonts w:hint="eastAsia" w:ascii="宋体" w:hAnsi="宋体" w:eastAsia="宋体" w:cs="宋体"/>
          <w:sz w:val="24"/>
          <w:szCs w:val="32"/>
          <w:lang w:val="en-US" w:eastAsia="zh-CN"/>
        </w:rPr>
        <w:t>4、技术指导：对社区上报的房屋材料进行梳理、现场复核，提出处置建议并上报。</w:t>
      </w:r>
    </w:p>
    <w:p w14:paraId="5C67EC43">
      <w:pPr>
        <w:spacing w:line="360" w:lineRule="auto"/>
        <w:ind w:firstLine="420" w:firstLineChars="0"/>
        <w:rPr>
          <w:rFonts w:hint="eastAsia" w:ascii="宋体" w:hAnsi="宋体" w:eastAsia="宋体" w:cs="宋体"/>
          <w:sz w:val="24"/>
          <w:szCs w:val="32"/>
          <w:lang w:val="en-US" w:eastAsia="zh-CN"/>
        </w:rPr>
      </w:pPr>
      <w:r>
        <w:rPr>
          <w:rFonts w:hint="eastAsia" w:ascii="宋体" w:hAnsi="宋体" w:eastAsia="宋体" w:cs="宋体"/>
          <w:sz w:val="24"/>
          <w:szCs w:val="32"/>
          <w:lang w:val="en-US" w:eastAsia="zh-CN"/>
        </w:rPr>
        <w:t>二、房屋装饰装修管理</w:t>
      </w:r>
    </w:p>
    <w:p w14:paraId="1899B199">
      <w:pPr>
        <w:spacing w:line="360" w:lineRule="auto"/>
        <w:ind w:firstLine="420" w:firstLineChars="0"/>
        <w:rPr>
          <w:rFonts w:hint="eastAsia" w:ascii="宋体" w:hAnsi="宋体" w:eastAsia="宋体" w:cs="宋体"/>
          <w:sz w:val="24"/>
          <w:szCs w:val="32"/>
          <w:lang w:val="en-US" w:eastAsia="zh-CN"/>
        </w:rPr>
      </w:pPr>
      <w:r>
        <w:rPr>
          <w:rFonts w:hint="eastAsia" w:ascii="宋体" w:hAnsi="宋体" w:eastAsia="宋体" w:cs="宋体"/>
          <w:sz w:val="24"/>
          <w:szCs w:val="32"/>
          <w:lang w:val="en-US" w:eastAsia="zh-CN"/>
        </w:rPr>
        <w:t>5、配合街道装饰装修综合受理窗口开展工作,协助街道对面积≤500㎡或造价≤100万元的小型装修工程进行现场踏勘、竣工核查，出具书面意见并建台账，提供从受理备案、方案审查、现场巡查、到完工查验全流程技术服务,按时间要求,利用既有建筑电子身份证管理平台、东山街道装修备案平台，协助街道完成专业技术查验录入工作并形成“一户一档”台账。</w:t>
      </w:r>
    </w:p>
    <w:p w14:paraId="78334A34">
      <w:pPr>
        <w:spacing w:line="360" w:lineRule="auto"/>
        <w:ind w:firstLine="420" w:firstLineChars="0"/>
        <w:rPr>
          <w:rFonts w:hint="eastAsia" w:ascii="宋体" w:hAnsi="宋体" w:eastAsia="宋体" w:cs="宋体"/>
          <w:sz w:val="24"/>
          <w:szCs w:val="32"/>
          <w:lang w:val="en-US" w:eastAsia="zh-CN"/>
        </w:rPr>
      </w:pPr>
      <w:r>
        <w:rPr>
          <w:rFonts w:hint="eastAsia" w:ascii="宋体" w:hAnsi="宋体" w:eastAsia="宋体" w:cs="宋体"/>
          <w:sz w:val="24"/>
          <w:szCs w:val="32"/>
          <w:lang w:val="en-US" w:eastAsia="zh-CN"/>
        </w:rPr>
        <w:t>6、技术指导与处置：协助街道对社区上报的装修材料进行复核，提出处置建议并上报。</w:t>
      </w:r>
    </w:p>
    <w:p w14:paraId="0F4C38F8">
      <w:pPr>
        <w:spacing w:line="360" w:lineRule="auto"/>
        <w:ind w:firstLine="420" w:firstLineChars="0"/>
        <w:rPr>
          <w:rFonts w:hint="eastAsia" w:ascii="宋体" w:hAnsi="宋体" w:eastAsia="宋体" w:cs="宋体"/>
          <w:sz w:val="24"/>
          <w:szCs w:val="32"/>
          <w:lang w:val="en-US" w:eastAsia="zh-CN"/>
        </w:rPr>
      </w:pPr>
      <w:r>
        <w:rPr>
          <w:rFonts w:hint="eastAsia" w:ascii="宋体" w:hAnsi="宋体" w:eastAsia="宋体" w:cs="宋体"/>
          <w:sz w:val="24"/>
          <w:szCs w:val="32"/>
          <w:lang w:val="en-US" w:eastAsia="zh-CN"/>
        </w:rPr>
        <w:t>7、信息登记与告知：协助街道受理开工信息登记，核查资料并发放风险告知书；受理完工登记，实现工程闭环。</w:t>
      </w:r>
    </w:p>
    <w:p w14:paraId="6F2F8460">
      <w:pPr>
        <w:spacing w:line="360" w:lineRule="auto"/>
        <w:ind w:firstLine="420" w:firstLineChars="0"/>
        <w:rPr>
          <w:rFonts w:hint="eastAsia" w:ascii="宋体" w:hAnsi="宋体" w:eastAsia="宋体" w:cs="宋体"/>
          <w:sz w:val="24"/>
          <w:szCs w:val="32"/>
          <w:lang w:val="en-US" w:eastAsia="zh-CN"/>
        </w:rPr>
      </w:pPr>
      <w:r>
        <w:rPr>
          <w:rFonts w:hint="eastAsia" w:ascii="宋体" w:hAnsi="宋体" w:eastAsia="宋体" w:cs="宋体"/>
          <w:sz w:val="24"/>
          <w:szCs w:val="32"/>
          <w:lang w:val="en-US" w:eastAsia="zh-CN"/>
        </w:rPr>
        <w:t>8、重点工程监管：协助街道对面积≥500㎡或造价≥100万元及需加固的装修工程，进行评估或鉴定并每月巡查至完工，督促办理施工许可。</w:t>
      </w:r>
    </w:p>
    <w:p w14:paraId="49283EB2">
      <w:pPr>
        <w:spacing w:line="360" w:lineRule="auto"/>
        <w:ind w:firstLine="420" w:firstLineChars="0"/>
        <w:rPr>
          <w:rFonts w:hint="eastAsia" w:ascii="宋体" w:hAnsi="宋体" w:eastAsia="宋体" w:cs="宋体"/>
          <w:sz w:val="24"/>
          <w:szCs w:val="32"/>
          <w:lang w:val="en-US" w:eastAsia="zh-CN"/>
        </w:rPr>
      </w:pPr>
      <w:r>
        <w:rPr>
          <w:rFonts w:hint="eastAsia" w:ascii="宋体" w:hAnsi="宋体" w:eastAsia="宋体" w:cs="宋体"/>
          <w:sz w:val="24"/>
          <w:szCs w:val="32"/>
          <w:lang w:val="en-US" w:eastAsia="zh-CN"/>
        </w:rPr>
        <w:t>9、动态巡查与检查：协助街道对在建工程开展常态化巡查，督促未登记工程办理手续。对高风险工程在10个工作日内开展检查，超过3个月增加检查；其他工程按不低于10%比例随机抽查。检查重点包括登记情况、施工资质、结构拆改、安全措施等各项内容。</w:t>
      </w:r>
    </w:p>
    <w:p w14:paraId="45DED581">
      <w:pPr>
        <w:spacing w:line="360" w:lineRule="auto"/>
        <w:ind w:firstLine="420" w:firstLineChars="0"/>
        <w:rPr>
          <w:rFonts w:hint="eastAsia" w:ascii="宋体" w:hAnsi="宋体" w:eastAsia="宋体" w:cs="宋体"/>
          <w:sz w:val="24"/>
          <w:szCs w:val="32"/>
          <w:lang w:val="en-US" w:eastAsia="zh-CN"/>
        </w:rPr>
      </w:pPr>
      <w:r>
        <w:rPr>
          <w:rFonts w:hint="eastAsia" w:ascii="宋体" w:hAnsi="宋体" w:eastAsia="宋体" w:cs="宋体"/>
          <w:sz w:val="24"/>
          <w:szCs w:val="32"/>
          <w:lang w:val="en-US" w:eastAsia="zh-CN"/>
        </w:rPr>
        <w:t>三、房屋质量、装修投诉、信访等技术踏勘</w:t>
      </w:r>
    </w:p>
    <w:p w14:paraId="4409C2FF">
      <w:pPr>
        <w:spacing w:line="360" w:lineRule="auto"/>
        <w:ind w:firstLine="420" w:firstLineChars="0"/>
        <w:rPr>
          <w:rFonts w:hint="eastAsia" w:ascii="宋体" w:hAnsi="宋体" w:eastAsia="宋体" w:cs="宋体"/>
          <w:sz w:val="24"/>
          <w:szCs w:val="32"/>
          <w:lang w:val="en-US" w:eastAsia="zh-CN"/>
        </w:rPr>
      </w:pPr>
      <w:r>
        <w:rPr>
          <w:rFonts w:hint="eastAsia" w:ascii="宋体" w:hAnsi="宋体" w:eastAsia="宋体" w:cs="宋体"/>
          <w:sz w:val="24"/>
          <w:szCs w:val="32"/>
          <w:lang w:val="en-US" w:eastAsia="zh-CN"/>
        </w:rPr>
        <w:t>10、协助街道12345 投诉及信访并提供专业技术处置服务,按要求做好相关检测、论证及专业解答工作，按要求出具明确查勘意见或评估(鉴定)报告，必要时出具鉴定报告，压实房屋所有权人主体责任。</w:t>
      </w:r>
    </w:p>
    <w:p w14:paraId="3D3543D0">
      <w:pPr>
        <w:spacing w:line="360" w:lineRule="auto"/>
        <w:ind w:firstLine="420" w:firstLineChars="0"/>
        <w:rPr>
          <w:rFonts w:hint="eastAsia" w:ascii="宋体" w:hAnsi="宋体" w:eastAsia="宋体" w:cs="宋体"/>
          <w:sz w:val="24"/>
          <w:szCs w:val="32"/>
          <w:lang w:val="en-US" w:eastAsia="zh-CN"/>
        </w:rPr>
      </w:pPr>
      <w:r>
        <w:rPr>
          <w:rFonts w:hint="eastAsia" w:ascii="宋体" w:hAnsi="宋体" w:eastAsia="宋体" w:cs="宋体"/>
          <w:sz w:val="24"/>
          <w:szCs w:val="32"/>
          <w:lang w:val="en-US" w:eastAsia="zh-CN"/>
        </w:rPr>
        <w:t>四、其他安全监管与专项</w:t>
      </w:r>
    </w:p>
    <w:p w14:paraId="7CEC5C70">
      <w:pPr>
        <w:spacing w:line="360" w:lineRule="auto"/>
        <w:ind w:firstLine="420" w:firstLineChars="0"/>
        <w:rPr>
          <w:rFonts w:hint="eastAsia" w:ascii="宋体" w:hAnsi="宋体" w:eastAsia="宋体" w:cs="宋体"/>
          <w:sz w:val="24"/>
          <w:szCs w:val="32"/>
          <w:lang w:val="en-US" w:eastAsia="zh-CN"/>
        </w:rPr>
      </w:pPr>
      <w:r>
        <w:rPr>
          <w:rFonts w:hint="eastAsia" w:ascii="宋体" w:hAnsi="宋体" w:eastAsia="宋体" w:cs="宋体"/>
          <w:sz w:val="24"/>
          <w:szCs w:val="32"/>
          <w:lang w:val="en-US" w:eastAsia="zh-CN"/>
        </w:rPr>
        <w:t>11、配合街道其他房屋安全隐患相关专项行动，提供技术支持、评估或鉴定文件。</w:t>
      </w:r>
    </w:p>
    <w:p w14:paraId="513F855F">
      <w:pPr>
        <w:spacing w:line="360" w:lineRule="auto"/>
        <w:ind w:firstLine="420" w:firstLineChars="0"/>
        <w:rPr>
          <w:rFonts w:hint="eastAsia" w:ascii="宋体" w:hAnsi="宋体" w:eastAsia="宋体" w:cs="宋体"/>
          <w:sz w:val="24"/>
          <w:szCs w:val="32"/>
          <w:lang w:val="en-US" w:eastAsia="zh-CN"/>
        </w:rPr>
      </w:pPr>
      <w:r>
        <w:rPr>
          <w:rFonts w:hint="eastAsia" w:ascii="宋体" w:hAnsi="宋体" w:eastAsia="宋体" w:cs="宋体"/>
          <w:sz w:val="24"/>
          <w:szCs w:val="32"/>
          <w:lang w:val="en-US" w:eastAsia="zh-CN"/>
        </w:rPr>
        <w:t>五、培训宣传与档案指导</w:t>
      </w:r>
      <w:r>
        <w:rPr>
          <w:rFonts w:hint="eastAsia" w:ascii="宋体" w:hAnsi="宋体" w:eastAsia="宋体" w:cs="宋体"/>
          <w:sz w:val="24"/>
          <w:szCs w:val="32"/>
          <w:lang w:val="en-US" w:eastAsia="zh-CN"/>
        </w:rPr>
        <w:tab/>
      </w:r>
    </w:p>
    <w:p w14:paraId="68CD43CE">
      <w:pPr>
        <w:spacing w:line="360" w:lineRule="auto"/>
        <w:ind w:firstLine="420" w:firstLineChars="0"/>
        <w:rPr>
          <w:rFonts w:hint="eastAsia" w:ascii="宋体" w:hAnsi="宋体" w:eastAsia="宋体" w:cs="宋体"/>
          <w:b/>
          <w:bCs/>
          <w:sz w:val="24"/>
          <w:szCs w:val="32"/>
          <w:lang w:val="en-US" w:eastAsia="zh-CN"/>
        </w:rPr>
      </w:pPr>
      <w:r>
        <w:rPr>
          <w:rFonts w:hint="eastAsia" w:ascii="宋体" w:hAnsi="宋体" w:eastAsia="宋体" w:cs="宋体"/>
          <w:sz w:val="24"/>
          <w:szCs w:val="32"/>
          <w:lang w:val="en-US" w:eastAsia="zh-CN"/>
        </w:rPr>
        <w:t>12、协助街道定期开展房屋安全培训、巡查培训及对公众的宣传教育活动；指导街道、社区完善房屋安全档案及台账建设。</w:t>
      </w:r>
    </w:p>
    <w:p w14:paraId="78CF6745">
      <w:pPr>
        <w:numPr>
          <w:ilvl w:val="0"/>
          <w:numId w:val="0"/>
        </w:numPr>
        <w:spacing w:line="360" w:lineRule="auto"/>
        <w:rPr>
          <w:rFonts w:hint="eastAsia" w:ascii="宋体" w:hAnsi="宋体" w:eastAsia="宋体" w:cs="宋体"/>
          <w:b/>
          <w:bCs/>
          <w:sz w:val="24"/>
          <w:szCs w:val="24"/>
          <w:highlight w:val="none"/>
          <w:lang w:val="en-US" w:eastAsia="zh-CN" w:bidi="ar"/>
        </w:rPr>
      </w:pPr>
      <w:r>
        <w:rPr>
          <w:rFonts w:hint="eastAsia" w:ascii="宋体" w:hAnsi="宋体" w:eastAsia="宋体" w:cs="宋体"/>
          <w:b/>
          <w:bCs/>
          <w:sz w:val="24"/>
          <w:szCs w:val="24"/>
          <w:lang w:val="en-US" w:eastAsia="zh-CN" w:bidi="ar"/>
        </w:rPr>
        <w:t>（</w:t>
      </w:r>
      <w:r>
        <w:rPr>
          <w:rFonts w:hint="eastAsia" w:ascii="宋体" w:hAnsi="宋体" w:cs="宋体"/>
          <w:b/>
          <w:bCs/>
          <w:sz w:val="24"/>
          <w:szCs w:val="24"/>
          <w:lang w:val="en-US" w:eastAsia="zh-CN" w:bidi="ar"/>
        </w:rPr>
        <w:t>三</w:t>
      </w:r>
      <w:r>
        <w:rPr>
          <w:rFonts w:hint="eastAsia" w:ascii="宋体" w:hAnsi="宋体" w:eastAsia="宋体" w:cs="宋体"/>
          <w:b/>
          <w:bCs/>
          <w:sz w:val="24"/>
          <w:szCs w:val="24"/>
          <w:lang w:val="en-US" w:eastAsia="zh-CN" w:bidi="ar"/>
        </w:rPr>
        <w:t>）</w:t>
      </w:r>
      <w:r>
        <w:rPr>
          <w:rFonts w:hint="eastAsia" w:ascii="宋体" w:hAnsi="宋体" w:eastAsia="宋体" w:cs="宋体"/>
          <w:b/>
          <w:bCs/>
          <w:sz w:val="24"/>
          <w:szCs w:val="24"/>
          <w:highlight w:val="none"/>
          <w:lang w:val="en-US" w:eastAsia="zh-CN" w:bidi="ar"/>
        </w:rPr>
        <w:t>服务期限：一年</w:t>
      </w:r>
      <w:r>
        <w:rPr>
          <w:rFonts w:hint="eastAsia" w:ascii="宋体" w:hAnsi="宋体" w:cs="宋体"/>
          <w:b/>
          <w:bCs/>
          <w:sz w:val="24"/>
          <w:szCs w:val="24"/>
          <w:highlight w:val="none"/>
          <w:lang w:val="en-US" w:eastAsia="zh-CN" w:bidi="ar"/>
        </w:rPr>
        <w:t>。</w:t>
      </w:r>
    </w:p>
    <w:p w14:paraId="08C13BD5">
      <w:pPr>
        <w:numPr>
          <w:ilvl w:val="0"/>
          <w:numId w:val="0"/>
        </w:numPr>
        <w:spacing w:line="360" w:lineRule="auto"/>
        <w:rPr>
          <w:rFonts w:hint="eastAsia" w:ascii="宋体" w:hAnsi="宋体" w:eastAsia="宋体" w:cs="宋体"/>
          <w:b/>
          <w:bCs/>
          <w:sz w:val="24"/>
          <w:szCs w:val="24"/>
          <w:highlight w:val="none"/>
          <w:lang w:val="en-US" w:eastAsia="zh-CN" w:bidi="ar"/>
        </w:rPr>
      </w:pPr>
      <w:r>
        <w:rPr>
          <w:rFonts w:hint="eastAsia" w:ascii="宋体" w:hAnsi="宋体" w:eastAsia="宋体" w:cs="宋体"/>
          <w:b/>
          <w:bCs/>
          <w:sz w:val="24"/>
          <w:szCs w:val="24"/>
          <w:lang w:val="en-US" w:eastAsia="zh-CN" w:bidi="ar"/>
        </w:rPr>
        <w:t>（</w:t>
      </w:r>
      <w:r>
        <w:rPr>
          <w:rFonts w:hint="eastAsia" w:ascii="宋体" w:hAnsi="宋体" w:cs="宋体"/>
          <w:b/>
          <w:bCs/>
          <w:sz w:val="24"/>
          <w:szCs w:val="24"/>
          <w:lang w:val="en-US" w:eastAsia="zh-CN" w:bidi="ar"/>
        </w:rPr>
        <w:t>四</w:t>
      </w:r>
      <w:r>
        <w:rPr>
          <w:rFonts w:hint="eastAsia" w:ascii="宋体" w:hAnsi="宋体" w:eastAsia="宋体" w:cs="宋体"/>
          <w:b/>
          <w:bCs/>
          <w:sz w:val="24"/>
          <w:szCs w:val="24"/>
          <w:lang w:val="en-US" w:eastAsia="zh-CN" w:bidi="ar"/>
        </w:rPr>
        <w:t>）</w:t>
      </w:r>
      <w:r>
        <w:rPr>
          <w:rFonts w:hint="eastAsia" w:ascii="宋体" w:hAnsi="宋体" w:eastAsia="宋体" w:cs="宋体"/>
          <w:b/>
          <w:bCs/>
          <w:sz w:val="24"/>
          <w:szCs w:val="24"/>
          <w:highlight w:val="none"/>
          <w:lang w:val="en-US" w:eastAsia="zh-CN" w:bidi="ar"/>
        </w:rPr>
        <w:t>服务人员要求</w:t>
      </w:r>
    </w:p>
    <w:p w14:paraId="69BB9196">
      <w:pPr>
        <w:spacing w:line="360" w:lineRule="auto"/>
        <w:ind w:firstLine="480" w:firstLineChars="200"/>
        <w:rPr>
          <w:rFonts w:hint="eastAsia" w:ascii="宋体" w:hAnsi="宋体" w:eastAsia="宋体" w:cs="宋体"/>
          <w:sz w:val="24"/>
          <w:szCs w:val="24"/>
          <w:lang w:val="en-US" w:eastAsia="zh-CN"/>
        </w:rPr>
      </w:pPr>
      <w:r>
        <w:rPr>
          <w:rFonts w:hint="eastAsia" w:ascii="宋体" w:hAnsi="宋体" w:cs="宋体"/>
          <w:sz w:val="24"/>
          <w:szCs w:val="24"/>
          <w:lang w:val="en-US" w:eastAsia="zh-CN"/>
        </w:rPr>
        <w:t>1、</w:t>
      </w:r>
      <w:r>
        <w:rPr>
          <w:rFonts w:hint="eastAsia" w:ascii="宋体" w:hAnsi="宋体" w:eastAsia="宋体" w:cs="宋体"/>
          <w:sz w:val="24"/>
          <w:szCs w:val="24"/>
          <w:lang w:val="en-US" w:eastAsia="zh-CN"/>
        </w:rPr>
        <w:t>投入本项目服务专业人员不少于5人，并为所有服务人员缴纳社保；（提供人员身份证扫描件及社保缴纳证明材料扫描件加盖投标单位公章</w:t>
      </w:r>
      <w:r>
        <w:rPr>
          <w:rFonts w:hint="eastAsia" w:ascii="宋体" w:hAnsi="宋体" w:cs="宋体"/>
          <w:sz w:val="24"/>
          <w:szCs w:val="24"/>
          <w:lang w:val="en-US" w:eastAsia="zh-CN"/>
        </w:rPr>
        <w:t>并上传至投标系统</w:t>
      </w:r>
      <w:r>
        <w:rPr>
          <w:rFonts w:hint="eastAsia" w:ascii="宋体" w:hAnsi="宋体" w:eastAsia="宋体" w:cs="宋体"/>
          <w:sz w:val="24"/>
          <w:szCs w:val="24"/>
          <w:lang w:val="en-US" w:eastAsia="zh-CN"/>
        </w:rPr>
        <w:t>）</w:t>
      </w:r>
    </w:p>
    <w:p w14:paraId="5C97818B">
      <w:pPr>
        <w:spacing w:line="360" w:lineRule="auto"/>
        <w:ind w:firstLine="480" w:firstLineChars="200"/>
        <w:rPr>
          <w:rFonts w:hint="eastAsia"/>
          <w:lang w:val="en-US" w:eastAsia="zh-CN"/>
        </w:rPr>
      </w:pPr>
      <w:r>
        <w:rPr>
          <w:rFonts w:hint="eastAsia" w:ascii="宋体" w:hAnsi="宋体" w:cs="宋体"/>
          <w:sz w:val="24"/>
          <w:szCs w:val="24"/>
          <w:lang w:val="en-US" w:eastAsia="zh-CN"/>
        </w:rPr>
        <w:t>2、</w:t>
      </w:r>
      <w:r>
        <w:rPr>
          <w:rFonts w:hint="eastAsia" w:ascii="宋体" w:hAnsi="宋体" w:eastAsia="宋体" w:cs="宋体"/>
          <w:sz w:val="24"/>
          <w:szCs w:val="24"/>
          <w:lang w:val="en-US" w:eastAsia="zh-CN"/>
        </w:rPr>
        <w:t>项目服务专业人员餐饮、交通工具、办公设备等由</w:t>
      </w:r>
      <w:r>
        <w:rPr>
          <w:rFonts w:hint="eastAsia" w:ascii="宋体" w:hAnsi="宋体" w:eastAsia="宋体" w:cs="宋体"/>
          <w:sz w:val="24"/>
          <w:szCs w:val="24"/>
          <w:lang w:val="zh-CN" w:eastAsia="zh-CN"/>
        </w:rPr>
        <w:t>供应商</w:t>
      </w:r>
      <w:r>
        <w:rPr>
          <w:rFonts w:hint="eastAsia" w:ascii="宋体" w:hAnsi="宋体" w:eastAsia="宋体" w:cs="宋体"/>
          <w:sz w:val="24"/>
          <w:szCs w:val="24"/>
          <w:lang w:val="en-US" w:eastAsia="zh-CN"/>
        </w:rPr>
        <w:t>自行解决。</w:t>
      </w:r>
    </w:p>
    <w:p w14:paraId="39404724">
      <w:pPr>
        <w:numPr>
          <w:ilvl w:val="0"/>
          <w:numId w:val="0"/>
        </w:numPr>
        <w:spacing w:line="360" w:lineRule="auto"/>
        <w:rPr>
          <w:rFonts w:hint="eastAsia" w:ascii="宋体" w:hAnsi="宋体" w:eastAsia="宋体" w:cs="宋体"/>
          <w:b/>
          <w:bCs/>
          <w:sz w:val="24"/>
          <w:szCs w:val="24"/>
          <w:highlight w:val="none"/>
          <w:lang w:val="en-US" w:eastAsia="zh-CN" w:bidi="ar"/>
        </w:rPr>
      </w:pPr>
      <w:r>
        <w:rPr>
          <w:rFonts w:hint="eastAsia" w:ascii="宋体" w:hAnsi="宋体" w:eastAsia="宋体" w:cs="宋体"/>
          <w:b/>
          <w:bCs/>
          <w:sz w:val="24"/>
          <w:szCs w:val="24"/>
          <w:lang w:val="en-US" w:eastAsia="zh-CN" w:bidi="ar"/>
        </w:rPr>
        <w:t>（</w:t>
      </w:r>
      <w:r>
        <w:rPr>
          <w:rFonts w:hint="eastAsia" w:ascii="宋体" w:hAnsi="宋体" w:cs="宋体"/>
          <w:b/>
          <w:bCs/>
          <w:sz w:val="24"/>
          <w:szCs w:val="24"/>
          <w:lang w:val="en-US" w:eastAsia="zh-CN" w:bidi="ar"/>
        </w:rPr>
        <w:t>五</w:t>
      </w:r>
      <w:r>
        <w:rPr>
          <w:rFonts w:hint="eastAsia" w:ascii="宋体" w:hAnsi="宋体" w:eastAsia="宋体" w:cs="宋体"/>
          <w:b/>
          <w:bCs/>
          <w:sz w:val="24"/>
          <w:szCs w:val="24"/>
          <w:lang w:val="en-US" w:eastAsia="zh-CN" w:bidi="ar"/>
        </w:rPr>
        <w:t>）</w:t>
      </w:r>
      <w:r>
        <w:rPr>
          <w:rFonts w:hint="eastAsia" w:ascii="宋体" w:hAnsi="宋体" w:eastAsia="宋体" w:cs="宋体"/>
          <w:b/>
          <w:bCs/>
          <w:sz w:val="24"/>
          <w:szCs w:val="24"/>
          <w:highlight w:val="none"/>
          <w:lang w:val="en-US" w:eastAsia="zh-CN" w:bidi="ar"/>
        </w:rPr>
        <w:t>考核及付款方式</w:t>
      </w:r>
    </w:p>
    <w:p w14:paraId="003E35CE">
      <w:pPr>
        <w:keepNext w:val="0"/>
        <w:keepLines w:val="0"/>
        <w:widowControl/>
        <w:numPr>
          <w:ilvl w:val="0"/>
          <w:numId w:val="3"/>
        </w:numPr>
        <w:suppressLineNumbers w:val="0"/>
        <w:spacing w:line="360" w:lineRule="auto"/>
        <w:ind w:firstLine="420" w:firstLineChars="0"/>
        <w:jc w:val="left"/>
        <w:textAlignment w:val="center"/>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考核方式</w:t>
      </w:r>
    </w:p>
    <w:p w14:paraId="5E2C4BD4">
      <w:pPr>
        <w:keepNext w:val="0"/>
        <w:keepLines w:val="0"/>
        <w:widowControl/>
        <w:numPr>
          <w:ilvl w:val="0"/>
          <w:numId w:val="0"/>
        </w:numPr>
        <w:suppressLineNumbers w:val="0"/>
        <w:spacing w:line="360" w:lineRule="auto"/>
        <w:ind w:firstLine="42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采购人按月对供应商进行考核，考核表见附件，并根据考核结果计算应付检测费，具体如下：</w:t>
      </w:r>
    </w:p>
    <w:p w14:paraId="42846856">
      <w:pPr>
        <w:widowControl/>
        <w:spacing w:line="360" w:lineRule="auto"/>
        <w:ind w:firstLine="420"/>
        <w:jc w:val="left"/>
        <w:textAlignment w:val="center"/>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（1）月考核得分大于等于90 分核定为优，按100%计取当月检测服务费；</w:t>
      </w:r>
    </w:p>
    <w:p w14:paraId="2B175691">
      <w:pPr>
        <w:widowControl/>
        <w:spacing w:line="360" w:lineRule="auto"/>
        <w:ind w:firstLine="420"/>
        <w:jc w:val="left"/>
        <w:textAlignment w:val="center"/>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（2）月考核得分大于等于 80 分小于 90 分核定为良，按90%计取当月检测服务费；</w:t>
      </w:r>
    </w:p>
    <w:p w14:paraId="05347EAE">
      <w:pPr>
        <w:widowControl/>
        <w:spacing w:line="360" w:lineRule="auto"/>
        <w:ind w:firstLine="420"/>
        <w:jc w:val="left"/>
        <w:textAlignment w:val="center"/>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（3）月考核得分大于等于 70 分小于 80 分核定为合格，按80%计取当月检测服务费；</w:t>
      </w:r>
    </w:p>
    <w:p w14:paraId="24A58160">
      <w:pPr>
        <w:widowControl/>
        <w:spacing w:line="360" w:lineRule="auto"/>
        <w:ind w:firstLine="420"/>
        <w:jc w:val="left"/>
        <w:textAlignment w:val="center"/>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（4）月考核得分小于 70 分当月考核不合格，不支付当月检测服务费并给予警告一次。累计两个月考核为不合格，甲方有权立即解除服务合同并不再续签下一年度服务合同。</w:t>
      </w:r>
    </w:p>
    <w:p w14:paraId="0DB1E07F">
      <w:pPr>
        <w:keepNext w:val="0"/>
        <w:keepLines w:val="0"/>
        <w:widowControl/>
        <w:numPr>
          <w:ilvl w:val="0"/>
          <w:numId w:val="0"/>
        </w:numPr>
        <w:suppressLineNumbers w:val="0"/>
        <w:spacing w:line="360" w:lineRule="auto"/>
        <w:ind w:firstLine="42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二、付款方式：</w:t>
      </w:r>
    </w:p>
    <w:p w14:paraId="5012A7E8">
      <w:pPr>
        <w:widowControl/>
        <w:numPr>
          <w:ilvl w:val="0"/>
          <w:numId w:val="0"/>
        </w:numPr>
        <w:spacing w:line="360" w:lineRule="auto"/>
        <w:ind w:firstLine="420"/>
        <w:jc w:val="left"/>
        <w:textAlignment w:val="center"/>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（1）每</w:t>
      </w:r>
      <w:r>
        <w:rPr>
          <w:rFonts w:hint="eastAsia" w:ascii="宋体" w:hAnsi="宋体" w:eastAsia="宋体" w:cs="宋体"/>
          <w:color w:val="000000"/>
          <w:sz w:val="24"/>
          <w:szCs w:val="24"/>
          <w:highlight w:val="none"/>
          <w:u w:val="none"/>
          <w:lang w:eastAsia="zh-CN" w:bidi="ar"/>
        </w:rPr>
        <w:t>半年度支付。</w:t>
      </w:r>
      <w:r>
        <w:rPr>
          <w:rFonts w:ascii="Segoe UI" w:hAnsi="Segoe UI" w:eastAsia="Segoe UI" w:cs="Segoe UI"/>
          <w:i w:val="0"/>
          <w:iCs w:val="0"/>
          <w:caps w:val="0"/>
          <w:color w:val="0F1115"/>
          <w:spacing w:val="0"/>
          <w:sz w:val="24"/>
          <w:szCs w:val="24"/>
          <w:highlight w:val="none"/>
          <w:shd w:val="clear" w:fill="FFFFFF"/>
        </w:rPr>
        <w:t>每半年度</w:t>
      </w:r>
      <w:r>
        <w:rPr>
          <w:rFonts w:hint="eastAsia" w:ascii="Segoe UI" w:hAnsi="Segoe UI" w:eastAsia="宋体" w:cs="Segoe UI"/>
          <w:i w:val="0"/>
          <w:iCs w:val="0"/>
          <w:caps w:val="0"/>
          <w:color w:val="0F1115"/>
          <w:spacing w:val="0"/>
          <w:sz w:val="24"/>
          <w:szCs w:val="24"/>
          <w:highlight w:val="none"/>
          <w:shd w:val="clear" w:fill="FFFFFF"/>
          <w:lang w:eastAsia="zh-CN"/>
        </w:rPr>
        <w:t>检测</w:t>
      </w:r>
      <w:r>
        <w:rPr>
          <w:rFonts w:ascii="Segoe UI" w:hAnsi="Segoe UI" w:eastAsia="Segoe UI" w:cs="Segoe UI"/>
          <w:i w:val="0"/>
          <w:iCs w:val="0"/>
          <w:caps w:val="0"/>
          <w:color w:val="0F1115"/>
          <w:spacing w:val="0"/>
          <w:sz w:val="24"/>
          <w:szCs w:val="24"/>
          <w:highlight w:val="none"/>
          <w:shd w:val="clear" w:fill="FFFFFF"/>
        </w:rPr>
        <w:t>服务结束后</w:t>
      </w:r>
      <w:r>
        <w:rPr>
          <w:rFonts w:hint="default" w:ascii="Segoe UI" w:hAnsi="Segoe UI" w:eastAsia="Segoe UI" w:cs="Segoe UI"/>
          <w:i w:val="0"/>
          <w:iCs w:val="0"/>
          <w:caps w:val="0"/>
          <w:color w:val="0F1115"/>
          <w:spacing w:val="0"/>
          <w:sz w:val="24"/>
          <w:szCs w:val="24"/>
          <w:highlight w:val="none"/>
          <w:shd w:val="clear" w:fill="FFFFFF"/>
        </w:rPr>
        <w:t>，</w:t>
      </w:r>
      <w:r>
        <w:rPr>
          <w:rFonts w:hint="eastAsia" w:ascii="Segoe UI" w:hAnsi="Segoe UI" w:eastAsia="宋体" w:cs="Segoe UI"/>
          <w:i w:val="0"/>
          <w:iCs w:val="0"/>
          <w:caps w:val="0"/>
          <w:color w:val="0F1115"/>
          <w:spacing w:val="0"/>
          <w:sz w:val="24"/>
          <w:szCs w:val="24"/>
          <w:highlight w:val="none"/>
          <w:shd w:val="clear" w:fill="FFFFFF"/>
          <w:lang w:val="en-US" w:eastAsia="zh-CN"/>
        </w:rPr>
        <w:t>甲方</w:t>
      </w:r>
      <w:r>
        <w:rPr>
          <w:rFonts w:hint="default" w:ascii="Segoe UI" w:hAnsi="Segoe UI" w:eastAsia="Segoe UI" w:cs="Segoe UI"/>
          <w:i w:val="0"/>
          <w:iCs w:val="0"/>
          <w:caps w:val="0"/>
          <w:color w:val="0F1115"/>
          <w:spacing w:val="0"/>
          <w:sz w:val="24"/>
          <w:szCs w:val="24"/>
          <w:highlight w:val="none"/>
          <w:shd w:val="clear" w:fill="FFFFFF"/>
        </w:rPr>
        <w:t>根据</w:t>
      </w:r>
      <w:r>
        <w:rPr>
          <w:rFonts w:hint="eastAsia" w:ascii="Segoe UI" w:hAnsi="Segoe UI" w:eastAsia="宋体" w:cs="Segoe UI"/>
          <w:i w:val="0"/>
          <w:iCs w:val="0"/>
          <w:caps w:val="0"/>
          <w:color w:val="0F1115"/>
          <w:spacing w:val="0"/>
          <w:sz w:val="24"/>
          <w:szCs w:val="24"/>
          <w:highlight w:val="none"/>
          <w:shd w:val="clear" w:fill="FFFFFF"/>
          <w:lang w:val="en-US" w:eastAsia="zh-CN"/>
        </w:rPr>
        <w:t>完成工作量及</w:t>
      </w:r>
      <w:r>
        <w:rPr>
          <w:rFonts w:hint="default" w:ascii="Segoe UI" w:hAnsi="Segoe UI" w:eastAsia="Segoe UI" w:cs="Segoe UI"/>
          <w:i w:val="0"/>
          <w:iCs w:val="0"/>
          <w:caps w:val="0"/>
          <w:color w:val="0F1115"/>
          <w:spacing w:val="0"/>
          <w:sz w:val="24"/>
          <w:szCs w:val="24"/>
          <w:highlight w:val="none"/>
          <w:shd w:val="clear" w:fill="FFFFFF"/>
        </w:rPr>
        <w:t>考核结果向乙方支付该半年度应付</w:t>
      </w:r>
      <w:r>
        <w:rPr>
          <w:rFonts w:hint="eastAsia" w:ascii="Segoe UI" w:hAnsi="Segoe UI" w:eastAsia="宋体" w:cs="Segoe UI"/>
          <w:i w:val="0"/>
          <w:iCs w:val="0"/>
          <w:caps w:val="0"/>
          <w:color w:val="0F1115"/>
          <w:spacing w:val="0"/>
          <w:sz w:val="24"/>
          <w:szCs w:val="24"/>
          <w:highlight w:val="none"/>
          <w:shd w:val="clear" w:fill="FFFFFF"/>
          <w:lang w:val="en-US" w:eastAsia="zh-CN"/>
        </w:rPr>
        <w:t>检测</w:t>
      </w:r>
      <w:r>
        <w:rPr>
          <w:rFonts w:hint="default" w:ascii="Segoe UI" w:hAnsi="Segoe UI" w:eastAsia="Segoe UI" w:cs="Segoe UI"/>
          <w:i w:val="0"/>
          <w:iCs w:val="0"/>
          <w:caps w:val="0"/>
          <w:color w:val="0F1115"/>
          <w:spacing w:val="0"/>
          <w:sz w:val="24"/>
          <w:szCs w:val="24"/>
          <w:highlight w:val="none"/>
          <w:shd w:val="clear" w:fill="FFFFFF"/>
        </w:rPr>
        <w:t>费的80%。</w:t>
      </w:r>
    </w:p>
    <w:p w14:paraId="410FB8E1">
      <w:pPr>
        <w:widowControl/>
        <w:numPr>
          <w:ilvl w:val="0"/>
          <w:numId w:val="0"/>
        </w:numPr>
        <w:spacing w:line="360" w:lineRule="auto"/>
        <w:ind w:firstLine="420"/>
        <w:jc w:val="left"/>
        <w:textAlignment w:val="center"/>
        <w:rPr>
          <w:rFonts w:hint="eastAsia" w:ascii="宋体" w:hAnsi="宋体" w:cs="仿宋"/>
          <w:color w:val="000000"/>
          <w:sz w:val="32"/>
          <w:szCs w:val="32"/>
        </w:rPr>
      </w:pPr>
      <w:r>
        <w:rPr>
          <w:rFonts w:hint="eastAsia" w:ascii="宋体" w:hAnsi="宋体" w:eastAsia="宋体" w:cs="宋体"/>
          <w:color w:val="000000"/>
          <w:sz w:val="24"/>
          <w:szCs w:val="24"/>
          <w:highlight w:val="none"/>
          <w:u w:val="none"/>
          <w:lang w:val="en-US" w:eastAsia="zh-CN" w:bidi="ar"/>
        </w:rPr>
        <w:t>（2）余款待审计结束后，付清至审定价款。</w:t>
      </w:r>
    </w:p>
    <w:p w14:paraId="383307AB">
      <w:pPr>
        <w:rPr>
          <w:rFonts w:hint="eastAsia" w:ascii="宋体" w:hAnsi="宋体" w:cs="仿宋"/>
          <w:color w:val="000000"/>
          <w:sz w:val="32"/>
          <w:szCs w:val="32"/>
        </w:rPr>
      </w:pPr>
    </w:p>
    <w:p w14:paraId="4BA2ECB7">
      <w:pPr>
        <w:rPr>
          <w:rFonts w:hint="eastAsia"/>
        </w:rPr>
      </w:pPr>
    </w:p>
    <w:p w14:paraId="08EC383A">
      <w:pPr>
        <w:pStyle w:val="48"/>
        <w:rPr>
          <w:rFonts w:hint="eastAsia"/>
          <w:b/>
          <w:bCs/>
          <w:sz w:val="24"/>
          <w:szCs w:val="32"/>
          <w:lang w:val="en-US" w:eastAsia="zh-CN"/>
        </w:rPr>
      </w:pPr>
    </w:p>
    <w:p w14:paraId="6C34E5AB">
      <w:pPr>
        <w:pStyle w:val="48"/>
        <w:rPr>
          <w:rFonts w:hint="eastAsia"/>
          <w:b/>
          <w:bCs/>
          <w:sz w:val="24"/>
          <w:szCs w:val="32"/>
          <w:lang w:val="en-US" w:eastAsia="zh-CN"/>
        </w:rPr>
      </w:pPr>
    </w:p>
    <w:p w14:paraId="620B1F4B">
      <w:pPr>
        <w:rPr>
          <w:rFonts w:hint="eastAsia"/>
          <w:b/>
          <w:bCs/>
          <w:sz w:val="24"/>
          <w:szCs w:val="32"/>
          <w:lang w:val="en-US" w:eastAsia="zh-CN"/>
        </w:rPr>
      </w:pPr>
      <w:r>
        <w:rPr>
          <w:rFonts w:hint="eastAsia"/>
          <w:b/>
          <w:bCs/>
          <w:sz w:val="24"/>
          <w:szCs w:val="32"/>
          <w:lang w:val="en-US" w:eastAsia="zh-CN"/>
        </w:rPr>
        <w:br w:type="page"/>
      </w:r>
    </w:p>
    <w:p w14:paraId="0EC1C5B4">
      <w:pPr>
        <w:pStyle w:val="48"/>
        <w:rPr>
          <w:rFonts w:hint="default" w:eastAsia="宋体"/>
          <w:b/>
          <w:bCs/>
          <w:sz w:val="24"/>
          <w:szCs w:val="32"/>
          <w:lang w:val="en-US" w:eastAsia="zh-CN"/>
        </w:rPr>
      </w:pPr>
      <w:r>
        <w:rPr>
          <w:rFonts w:hint="eastAsia"/>
          <w:b/>
          <w:bCs/>
          <w:sz w:val="24"/>
          <w:szCs w:val="32"/>
          <w:lang w:val="en-US" w:eastAsia="zh-CN"/>
        </w:rPr>
        <w:t>附件：考核表如下</w:t>
      </w:r>
    </w:p>
    <w:p w14:paraId="7BD602C0">
      <w:pPr>
        <w:rPr>
          <w:rFonts w:hint="eastAsia"/>
        </w:rPr>
      </w:pPr>
    </w:p>
    <w:p w14:paraId="3CE89308">
      <w:pPr>
        <w:widowControl/>
        <w:spacing w:line="560" w:lineRule="exact"/>
        <w:jc w:val="center"/>
        <w:rPr>
          <w:rFonts w:hint="eastAsia" w:ascii="仿宋" w:hAnsi="仿宋" w:eastAsia="仿宋" w:cs="仿宋"/>
          <w:color w:val="000000"/>
          <w:sz w:val="40"/>
          <w:szCs w:val="28"/>
          <w:lang w:bidi="he-IL"/>
        </w:rPr>
      </w:pPr>
      <w:r>
        <w:rPr>
          <w:rFonts w:hint="eastAsia" w:ascii="仿宋" w:hAnsi="仿宋" w:eastAsia="仿宋" w:cs="仿宋"/>
          <w:color w:val="000000"/>
          <w:sz w:val="40"/>
          <w:szCs w:val="28"/>
          <w:lang w:bidi="he-IL"/>
        </w:rPr>
        <w:t>常态化监管工作考核及打分细则</w:t>
      </w:r>
    </w:p>
    <w:tbl>
      <w:tblPr>
        <w:tblStyle w:val="38"/>
        <w:tblpPr w:leftFromText="180" w:rightFromText="180" w:vertAnchor="text" w:horzAnchor="page" w:tblpX="434" w:tblpY="531"/>
        <w:tblOverlap w:val="never"/>
        <w:tblW w:w="10462" w:type="dxa"/>
        <w:tblInd w:w="0"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755"/>
        <w:gridCol w:w="2584"/>
        <w:gridCol w:w="914"/>
        <w:gridCol w:w="2986"/>
        <w:gridCol w:w="1268"/>
        <w:gridCol w:w="955"/>
      </w:tblGrid>
      <w:tr w14:paraId="33A0F80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54" w:hRule="atLeast"/>
          <w:tblHeader/>
        </w:trPr>
        <w:tc>
          <w:tcPr>
            <w:tcW w:w="1755" w:type="dxa"/>
            <w:noWrap w:val="0"/>
            <w:vAlign w:val="center"/>
          </w:tcPr>
          <w:p w14:paraId="3F590F6F">
            <w:pPr>
              <w:widowControl/>
              <w:spacing w:line="340" w:lineRule="exact"/>
              <w:jc w:val="center"/>
              <w:rPr>
                <w:rFonts w:ascii="方正仿宋简体" w:hAnsi="方正仿宋简体" w:eastAsia="方正仿宋简体"/>
                <w:b w:val="0"/>
                <w:bCs w:val="0"/>
                <w:color w:val="000000"/>
                <w:sz w:val="28"/>
                <w:szCs w:val="28"/>
              </w:rPr>
            </w:pPr>
            <w:r>
              <w:rPr>
                <w:rFonts w:hint="eastAsia" w:ascii="方正仿宋简体" w:hAnsi="方正仿宋简体" w:eastAsia="方正仿宋简体"/>
                <w:b w:val="0"/>
                <w:bCs w:val="0"/>
                <w:color w:val="000000"/>
                <w:sz w:val="28"/>
                <w:szCs w:val="28"/>
              </w:rPr>
              <w:t>考核项目</w:t>
            </w:r>
          </w:p>
        </w:tc>
        <w:tc>
          <w:tcPr>
            <w:tcW w:w="2584" w:type="dxa"/>
            <w:tcBorders>
              <w:right w:val="single" w:color="auto" w:sz="4" w:space="0"/>
            </w:tcBorders>
            <w:noWrap w:val="0"/>
            <w:vAlign w:val="center"/>
          </w:tcPr>
          <w:p w14:paraId="7847D53F">
            <w:pPr>
              <w:widowControl/>
              <w:spacing w:line="340" w:lineRule="exact"/>
              <w:jc w:val="center"/>
              <w:rPr>
                <w:rFonts w:ascii="方正仿宋简体" w:hAnsi="方正仿宋简体" w:eastAsia="方正仿宋简体"/>
                <w:b w:val="0"/>
                <w:bCs w:val="0"/>
                <w:color w:val="000000"/>
                <w:sz w:val="28"/>
                <w:szCs w:val="28"/>
              </w:rPr>
            </w:pPr>
            <w:r>
              <w:rPr>
                <w:rFonts w:hint="eastAsia" w:ascii="方正仿宋简体" w:hAnsi="方正仿宋简体" w:eastAsia="方正仿宋简体"/>
                <w:b w:val="0"/>
                <w:bCs w:val="0"/>
                <w:color w:val="000000"/>
                <w:sz w:val="28"/>
                <w:szCs w:val="28"/>
              </w:rPr>
              <w:t>考核内容</w:t>
            </w:r>
          </w:p>
        </w:tc>
        <w:tc>
          <w:tcPr>
            <w:tcW w:w="914" w:type="dxa"/>
            <w:tcBorders>
              <w:left w:val="single" w:color="auto" w:sz="4" w:space="0"/>
            </w:tcBorders>
            <w:noWrap w:val="0"/>
            <w:vAlign w:val="center"/>
          </w:tcPr>
          <w:p w14:paraId="499D010E">
            <w:pPr>
              <w:widowControl/>
              <w:spacing w:line="340" w:lineRule="exact"/>
              <w:jc w:val="center"/>
              <w:rPr>
                <w:rFonts w:ascii="方正仿宋简体" w:hAnsi="方正仿宋简体" w:eastAsia="方正仿宋简体"/>
                <w:b w:val="0"/>
                <w:bCs w:val="0"/>
                <w:color w:val="000000"/>
                <w:sz w:val="28"/>
                <w:szCs w:val="28"/>
              </w:rPr>
            </w:pPr>
            <w:r>
              <w:rPr>
                <w:rFonts w:hint="eastAsia" w:ascii="方正仿宋简体" w:hAnsi="方正仿宋简体" w:eastAsia="方正仿宋简体"/>
                <w:b w:val="0"/>
                <w:bCs w:val="0"/>
                <w:color w:val="000000"/>
                <w:sz w:val="28"/>
                <w:szCs w:val="28"/>
              </w:rPr>
              <w:t>分值</w:t>
            </w:r>
          </w:p>
        </w:tc>
        <w:tc>
          <w:tcPr>
            <w:tcW w:w="2986" w:type="dxa"/>
            <w:noWrap w:val="0"/>
            <w:vAlign w:val="center"/>
          </w:tcPr>
          <w:p w14:paraId="2730DCFC">
            <w:pPr>
              <w:widowControl/>
              <w:spacing w:line="340" w:lineRule="exact"/>
              <w:jc w:val="center"/>
              <w:rPr>
                <w:rFonts w:ascii="方正仿宋简体" w:hAnsi="方正仿宋简体" w:eastAsia="方正仿宋简体"/>
                <w:b w:val="0"/>
                <w:bCs w:val="0"/>
                <w:color w:val="000000"/>
                <w:sz w:val="28"/>
                <w:szCs w:val="28"/>
              </w:rPr>
            </w:pPr>
            <w:r>
              <w:rPr>
                <w:rFonts w:hint="eastAsia" w:ascii="方正仿宋简体" w:hAnsi="方正仿宋简体" w:eastAsia="方正仿宋简体"/>
                <w:b w:val="0"/>
                <w:bCs w:val="0"/>
                <w:color w:val="000000"/>
                <w:sz w:val="28"/>
                <w:szCs w:val="28"/>
              </w:rPr>
              <w:t>评分标准</w:t>
            </w:r>
          </w:p>
        </w:tc>
        <w:tc>
          <w:tcPr>
            <w:tcW w:w="1268" w:type="dxa"/>
            <w:noWrap/>
            <w:vAlign w:val="center"/>
          </w:tcPr>
          <w:p w14:paraId="6DD31B79">
            <w:pPr>
              <w:widowControl/>
              <w:spacing w:line="340" w:lineRule="exact"/>
              <w:jc w:val="center"/>
              <w:rPr>
                <w:rFonts w:ascii="方正仿宋简体" w:hAnsi="方正仿宋简体" w:eastAsia="方正仿宋简体"/>
                <w:b w:val="0"/>
                <w:bCs w:val="0"/>
                <w:color w:val="000000"/>
                <w:sz w:val="28"/>
                <w:szCs w:val="28"/>
              </w:rPr>
            </w:pPr>
            <w:r>
              <w:rPr>
                <w:rFonts w:hint="eastAsia" w:ascii="方正仿宋简体" w:hAnsi="方正仿宋简体" w:eastAsia="方正仿宋简体"/>
                <w:b w:val="0"/>
                <w:bCs w:val="0"/>
                <w:color w:val="000000"/>
                <w:sz w:val="28"/>
                <w:szCs w:val="28"/>
              </w:rPr>
              <w:t>得分</w:t>
            </w:r>
          </w:p>
        </w:tc>
        <w:tc>
          <w:tcPr>
            <w:tcW w:w="955" w:type="dxa"/>
            <w:noWrap/>
            <w:vAlign w:val="center"/>
          </w:tcPr>
          <w:p w14:paraId="26898E48">
            <w:pPr>
              <w:widowControl/>
              <w:spacing w:line="340" w:lineRule="exact"/>
              <w:jc w:val="center"/>
              <w:rPr>
                <w:rFonts w:hint="eastAsia" w:ascii="方正仿宋简体" w:hAnsi="方正仿宋简体" w:eastAsia="方正仿宋简体"/>
                <w:b w:val="0"/>
                <w:bCs w:val="0"/>
                <w:color w:val="000000"/>
                <w:sz w:val="28"/>
                <w:szCs w:val="28"/>
                <w:lang w:val="en-US" w:eastAsia="zh-CN"/>
              </w:rPr>
            </w:pPr>
            <w:r>
              <w:rPr>
                <w:rFonts w:hint="eastAsia" w:ascii="方正仿宋简体" w:hAnsi="方正仿宋简体" w:eastAsia="方正仿宋简体"/>
                <w:b w:val="0"/>
                <w:bCs w:val="0"/>
                <w:color w:val="000000"/>
                <w:sz w:val="28"/>
                <w:szCs w:val="28"/>
                <w:lang w:val="en-US" w:eastAsia="zh-CN"/>
              </w:rPr>
              <w:t>备注</w:t>
            </w:r>
          </w:p>
        </w:tc>
      </w:tr>
      <w:tr w14:paraId="074A0A2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83" w:hRule="atLeast"/>
        </w:trPr>
        <w:tc>
          <w:tcPr>
            <w:tcW w:w="1755" w:type="dxa"/>
            <w:vMerge w:val="restart"/>
            <w:noWrap w:val="0"/>
            <w:vAlign w:val="center"/>
          </w:tcPr>
          <w:p w14:paraId="4D0A1D8E">
            <w:pPr>
              <w:widowControl/>
              <w:spacing w:line="340" w:lineRule="exact"/>
              <w:jc w:val="center"/>
              <w:rPr>
                <w:rFonts w:ascii="方正仿宋简体" w:hAnsi="方正仿宋简体" w:eastAsia="方正仿宋简体" w:cs="Tahoma"/>
                <w:b w:val="0"/>
                <w:bCs w:val="0"/>
                <w:color w:val="000000"/>
                <w:kern w:val="0"/>
                <w:sz w:val="22"/>
                <w:szCs w:val="22"/>
              </w:rPr>
            </w:pPr>
            <w:r>
              <w:rPr>
                <w:rFonts w:hint="eastAsia" w:ascii="方正仿宋简体" w:hAnsi="方正仿宋简体" w:eastAsia="方正仿宋简体" w:cs="Tahoma"/>
                <w:b w:val="0"/>
                <w:bCs w:val="0"/>
                <w:color w:val="000000"/>
                <w:kern w:val="0"/>
                <w:sz w:val="22"/>
                <w:szCs w:val="22"/>
              </w:rPr>
              <w:t>房屋安全日常管理(</w:t>
            </w:r>
            <w:r>
              <w:rPr>
                <w:rFonts w:ascii="方正仿宋简体" w:hAnsi="方正仿宋简体" w:eastAsia="方正仿宋简体" w:cs="Tahoma"/>
                <w:b w:val="0"/>
                <w:bCs w:val="0"/>
                <w:color w:val="000000"/>
                <w:kern w:val="0"/>
                <w:sz w:val="22"/>
                <w:szCs w:val="22"/>
              </w:rPr>
              <w:t>70</w:t>
            </w:r>
            <w:r>
              <w:rPr>
                <w:rFonts w:hint="eastAsia" w:ascii="方正仿宋简体" w:hAnsi="方正仿宋简体" w:eastAsia="方正仿宋简体" w:cs="Tahoma"/>
                <w:b w:val="0"/>
                <w:bCs w:val="0"/>
                <w:color w:val="000000"/>
                <w:kern w:val="0"/>
                <w:sz w:val="22"/>
                <w:szCs w:val="22"/>
              </w:rPr>
              <w:t>分)</w:t>
            </w:r>
          </w:p>
        </w:tc>
        <w:tc>
          <w:tcPr>
            <w:tcW w:w="2584" w:type="dxa"/>
            <w:tcBorders>
              <w:bottom w:val="single" w:color="auto" w:sz="4" w:space="0"/>
              <w:right w:val="single" w:color="auto" w:sz="4" w:space="0"/>
            </w:tcBorders>
            <w:noWrap w:val="0"/>
            <w:vAlign w:val="center"/>
          </w:tcPr>
          <w:p w14:paraId="4C8EDA9A">
            <w:pPr>
              <w:rPr>
                <w:rFonts w:hint="eastAsia" w:ascii="宋体" w:hAnsi="宋体"/>
                <w:b w:val="0"/>
                <w:bCs w:val="0"/>
                <w:sz w:val="20"/>
                <w:szCs w:val="20"/>
                <w:highlight w:val="none"/>
              </w:rPr>
            </w:pPr>
            <w:r>
              <w:rPr>
                <w:rFonts w:hint="eastAsia" w:ascii="宋体" w:hAnsi="宋体"/>
                <w:b w:val="0"/>
                <w:bCs w:val="0"/>
                <w:sz w:val="20"/>
                <w:szCs w:val="20"/>
                <w:highlight w:val="none"/>
              </w:rPr>
              <w:t>1.组织辖区内房屋安全宣传或培训不少于2次。</w:t>
            </w:r>
          </w:p>
        </w:tc>
        <w:tc>
          <w:tcPr>
            <w:tcW w:w="914" w:type="dxa"/>
            <w:tcBorders>
              <w:left w:val="single" w:color="auto" w:sz="4" w:space="0"/>
              <w:bottom w:val="single" w:color="auto" w:sz="4" w:space="0"/>
            </w:tcBorders>
            <w:noWrap w:val="0"/>
            <w:vAlign w:val="center"/>
          </w:tcPr>
          <w:p w14:paraId="026E5F01">
            <w:pPr>
              <w:rPr>
                <w:rFonts w:hint="eastAsia" w:ascii="宋体" w:hAnsi="宋体"/>
                <w:b w:val="0"/>
                <w:bCs w:val="0"/>
                <w:sz w:val="20"/>
                <w:szCs w:val="20"/>
                <w:highlight w:val="none"/>
              </w:rPr>
            </w:pPr>
            <w:r>
              <w:rPr>
                <w:rFonts w:hint="eastAsia" w:ascii="宋体" w:hAnsi="宋体"/>
                <w:b w:val="0"/>
                <w:bCs w:val="0"/>
                <w:sz w:val="20"/>
                <w:szCs w:val="20"/>
                <w:highlight w:val="none"/>
              </w:rPr>
              <w:t>2分</w:t>
            </w:r>
          </w:p>
        </w:tc>
        <w:tc>
          <w:tcPr>
            <w:tcW w:w="2986" w:type="dxa"/>
            <w:tcBorders>
              <w:bottom w:val="single" w:color="auto" w:sz="4" w:space="0"/>
            </w:tcBorders>
            <w:noWrap w:val="0"/>
            <w:vAlign w:val="center"/>
          </w:tcPr>
          <w:p w14:paraId="3349DC7B">
            <w:pPr>
              <w:rPr>
                <w:rFonts w:hint="eastAsia" w:ascii="宋体" w:hAnsi="宋体"/>
                <w:b w:val="0"/>
                <w:bCs w:val="0"/>
                <w:sz w:val="20"/>
                <w:szCs w:val="20"/>
                <w:highlight w:val="none"/>
              </w:rPr>
            </w:pPr>
            <w:r>
              <w:rPr>
                <w:rFonts w:hint="eastAsia" w:ascii="宋体" w:hAnsi="宋体"/>
                <w:b w:val="0"/>
                <w:bCs w:val="0"/>
                <w:sz w:val="20"/>
                <w:szCs w:val="20"/>
                <w:highlight w:val="none"/>
              </w:rPr>
              <w:t>每少一次，扣1分。</w:t>
            </w:r>
          </w:p>
        </w:tc>
        <w:tc>
          <w:tcPr>
            <w:tcW w:w="1268" w:type="dxa"/>
            <w:tcBorders>
              <w:bottom w:val="single" w:color="auto" w:sz="4" w:space="0"/>
            </w:tcBorders>
            <w:noWrap/>
            <w:vAlign w:val="center"/>
          </w:tcPr>
          <w:p w14:paraId="0AA3D1EA">
            <w:pPr>
              <w:widowControl/>
              <w:spacing w:line="340" w:lineRule="exact"/>
              <w:jc w:val="left"/>
              <w:rPr>
                <w:rFonts w:ascii="方正仿宋简体" w:hAnsi="方正仿宋简体" w:eastAsia="方正仿宋简体" w:cs="Tahoma"/>
                <w:b w:val="0"/>
                <w:bCs w:val="0"/>
                <w:color w:val="000000"/>
                <w:kern w:val="0"/>
                <w:sz w:val="22"/>
                <w:szCs w:val="22"/>
              </w:rPr>
            </w:pPr>
          </w:p>
        </w:tc>
        <w:tc>
          <w:tcPr>
            <w:tcW w:w="955" w:type="dxa"/>
            <w:tcBorders>
              <w:bottom w:val="single" w:color="auto" w:sz="4" w:space="0"/>
            </w:tcBorders>
            <w:noWrap/>
            <w:vAlign w:val="center"/>
          </w:tcPr>
          <w:p w14:paraId="1D3D96A1">
            <w:pPr>
              <w:widowControl/>
              <w:spacing w:line="340" w:lineRule="exact"/>
              <w:jc w:val="left"/>
              <w:rPr>
                <w:rFonts w:ascii="方正仿宋简体" w:hAnsi="方正仿宋简体" w:eastAsia="方正仿宋简体" w:cs="Tahoma"/>
                <w:b w:val="0"/>
                <w:bCs w:val="0"/>
                <w:color w:val="000000"/>
                <w:kern w:val="0"/>
                <w:sz w:val="22"/>
                <w:szCs w:val="22"/>
              </w:rPr>
            </w:pPr>
          </w:p>
        </w:tc>
      </w:tr>
      <w:tr w14:paraId="390A80D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98" w:hRule="atLeast"/>
        </w:trPr>
        <w:tc>
          <w:tcPr>
            <w:tcW w:w="1755" w:type="dxa"/>
            <w:vMerge w:val="continue"/>
            <w:noWrap w:val="0"/>
            <w:vAlign w:val="center"/>
          </w:tcPr>
          <w:p w14:paraId="7E32088C">
            <w:pPr>
              <w:widowControl/>
              <w:spacing w:line="340" w:lineRule="exact"/>
              <w:jc w:val="center"/>
              <w:rPr>
                <w:rFonts w:ascii="方正仿宋简体" w:hAnsi="方正仿宋简体" w:eastAsia="方正仿宋简体" w:cs="Tahoma"/>
                <w:b w:val="0"/>
                <w:bCs w:val="0"/>
                <w:color w:val="000000"/>
                <w:kern w:val="0"/>
                <w:sz w:val="22"/>
                <w:szCs w:val="22"/>
              </w:rPr>
            </w:pPr>
          </w:p>
        </w:tc>
        <w:tc>
          <w:tcPr>
            <w:tcW w:w="2584" w:type="dxa"/>
            <w:tcBorders>
              <w:top w:val="single" w:color="auto" w:sz="4" w:space="0"/>
              <w:bottom w:val="single" w:color="auto" w:sz="4" w:space="0"/>
              <w:right w:val="single" w:color="auto" w:sz="4" w:space="0"/>
            </w:tcBorders>
            <w:noWrap w:val="0"/>
            <w:vAlign w:val="center"/>
          </w:tcPr>
          <w:p w14:paraId="6AD17E7C">
            <w:pPr>
              <w:rPr>
                <w:rFonts w:hint="eastAsia" w:ascii="宋体" w:hAnsi="宋体"/>
                <w:b w:val="0"/>
                <w:bCs w:val="0"/>
                <w:sz w:val="20"/>
                <w:szCs w:val="20"/>
                <w:highlight w:val="none"/>
              </w:rPr>
            </w:pPr>
            <w:r>
              <w:rPr>
                <w:rFonts w:hint="eastAsia" w:ascii="宋体" w:hAnsi="宋体"/>
                <w:b w:val="0"/>
                <w:bCs w:val="0"/>
                <w:sz w:val="20"/>
                <w:szCs w:val="20"/>
                <w:highlight w:val="none"/>
              </w:rPr>
              <w:t>2.建立辖区内隐患房屋基础资料台帐体系。</w:t>
            </w:r>
          </w:p>
        </w:tc>
        <w:tc>
          <w:tcPr>
            <w:tcW w:w="914" w:type="dxa"/>
            <w:tcBorders>
              <w:top w:val="single" w:color="auto" w:sz="4" w:space="0"/>
              <w:left w:val="single" w:color="auto" w:sz="4" w:space="0"/>
              <w:bottom w:val="single" w:color="auto" w:sz="4" w:space="0"/>
            </w:tcBorders>
            <w:noWrap w:val="0"/>
            <w:vAlign w:val="center"/>
          </w:tcPr>
          <w:p w14:paraId="03F55301">
            <w:pPr>
              <w:rPr>
                <w:rFonts w:hint="eastAsia" w:ascii="宋体" w:hAnsi="宋体"/>
                <w:b w:val="0"/>
                <w:bCs w:val="0"/>
                <w:sz w:val="20"/>
                <w:szCs w:val="20"/>
                <w:highlight w:val="none"/>
              </w:rPr>
            </w:pPr>
            <w:r>
              <w:rPr>
                <w:rFonts w:hint="eastAsia" w:ascii="宋体" w:hAnsi="宋体"/>
                <w:b w:val="0"/>
                <w:bCs w:val="0"/>
                <w:sz w:val="20"/>
                <w:szCs w:val="20"/>
                <w:highlight w:val="none"/>
              </w:rPr>
              <w:t>2分</w:t>
            </w:r>
          </w:p>
        </w:tc>
        <w:tc>
          <w:tcPr>
            <w:tcW w:w="2986" w:type="dxa"/>
            <w:tcBorders>
              <w:top w:val="single" w:color="auto" w:sz="4" w:space="0"/>
              <w:bottom w:val="single" w:color="auto" w:sz="4" w:space="0"/>
            </w:tcBorders>
            <w:noWrap w:val="0"/>
            <w:vAlign w:val="center"/>
          </w:tcPr>
          <w:p w14:paraId="47830F7B">
            <w:pPr>
              <w:rPr>
                <w:rFonts w:hint="eastAsia" w:ascii="宋体" w:hAnsi="宋体"/>
                <w:b w:val="0"/>
                <w:bCs w:val="0"/>
                <w:sz w:val="20"/>
                <w:szCs w:val="20"/>
                <w:highlight w:val="none"/>
              </w:rPr>
            </w:pPr>
            <w:r>
              <w:rPr>
                <w:rFonts w:hint="eastAsia" w:ascii="宋体" w:hAnsi="宋体"/>
                <w:b w:val="0"/>
                <w:bCs w:val="0"/>
                <w:sz w:val="20"/>
                <w:szCs w:val="20"/>
                <w:highlight w:val="none"/>
              </w:rPr>
              <w:t>视检查情况给分，未建立不得分</w:t>
            </w:r>
          </w:p>
        </w:tc>
        <w:tc>
          <w:tcPr>
            <w:tcW w:w="1268" w:type="dxa"/>
            <w:tcBorders>
              <w:top w:val="single" w:color="auto" w:sz="4" w:space="0"/>
              <w:bottom w:val="single" w:color="auto" w:sz="4" w:space="0"/>
            </w:tcBorders>
            <w:noWrap/>
            <w:vAlign w:val="center"/>
          </w:tcPr>
          <w:p w14:paraId="03DD909E">
            <w:pPr>
              <w:spacing w:line="340" w:lineRule="exact"/>
              <w:jc w:val="left"/>
              <w:rPr>
                <w:rFonts w:ascii="方正仿宋简体" w:hAnsi="方正仿宋简体" w:eastAsia="方正仿宋简体" w:cs="Tahoma"/>
                <w:b w:val="0"/>
                <w:bCs w:val="0"/>
                <w:color w:val="000000"/>
                <w:kern w:val="0"/>
                <w:sz w:val="22"/>
                <w:szCs w:val="22"/>
              </w:rPr>
            </w:pPr>
          </w:p>
        </w:tc>
        <w:tc>
          <w:tcPr>
            <w:tcW w:w="955" w:type="dxa"/>
            <w:tcBorders>
              <w:top w:val="single" w:color="auto" w:sz="4" w:space="0"/>
              <w:bottom w:val="single" w:color="auto" w:sz="4" w:space="0"/>
            </w:tcBorders>
            <w:noWrap/>
            <w:vAlign w:val="center"/>
          </w:tcPr>
          <w:p w14:paraId="2A20A1C0">
            <w:pPr>
              <w:spacing w:line="340" w:lineRule="exact"/>
              <w:jc w:val="left"/>
              <w:rPr>
                <w:rFonts w:ascii="方正仿宋简体" w:hAnsi="方正仿宋简体" w:eastAsia="方正仿宋简体" w:cs="Tahoma"/>
                <w:b w:val="0"/>
                <w:bCs w:val="0"/>
                <w:color w:val="000000"/>
                <w:kern w:val="0"/>
                <w:sz w:val="22"/>
                <w:szCs w:val="22"/>
              </w:rPr>
            </w:pPr>
          </w:p>
        </w:tc>
      </w:tr>
      <w:tr w14:paraId="7513615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73" w:hRule="atLeast"/>
        </w:trPr>
        <w:tc>
          <w:tcPr>
            <w:tcW w:w="1755" w:type="dxa"/>
            <w:vMerge w:val="continue"/>
            <w:noWrap w:val="0"/>
            <w:vAlign w:val="center"/>
          </w:tcPr>
          <w:p w14:paraId="4BA0FB9C">
            <w:pPr>
              <w:widowControl/>
              <w:spacing w:line="340" w:lineRule="exact"/>
              <w:jc w:val="center"/>
              <w:rPr>
                <w:rFonts w:ascii="方正仿宋简体" w:hAnsi="方正仿宋简体" w:eastAsia="方正仿宋简体" w:cs="Tahoma"/>
                <w:b w:val="0"/>
                <w:bCs w:val="0"/>
                <w:color w:val="000000"/>
                <w:kern w:val="0"/>
                <w:sz w:val="22"/>
                <w:szCs w:val="22"/>
              </w:rPr>
            </w:pPr>
          </w:p>
        </w:tc>
        <w:tc>
          <w:tcPr>
            <w:tcW w:w="2584" w:type="dxa"/>
            <w:tcBorders>
              <w:top w:val="single" w:color="auto" w:sz="4" w:space="0"/>
              <w:bottom w:val="single" w:color="auto" w:sz="4" w:space="0"/>
              <w:right w:val="single" w:color="auto" w:sz="4" w:space="0"/>
            </w:tcBorders>
            <w:noWrap w:val="0"/>
            <w:vAlign w:val="center"/>
          </w:tcPr>
          <w:p w14:paraId="32554798">
            <w:pPr>
              <w:rPr>
                <w:rFonts w:hint="eastAsia" w:ascii="宋体" w:hAnsi="宋体"/>
                <w:b w:val="0"/>
                <w:bCs w:val="0"/>
                <w:sz w:val="20"/>
                <w:szCs w:val="20"/>
                <w:highlight w:val="none"/>
              </w:rPr>
            </w:pPr>
            <w:r>
              <w:rPr>
                <w:rFonts w:hint="eastAsia" w:ascii="宋体" w:hAnsi="宋体"/>
                <w:b w:val="0"/>
                <w:bCs w:val="0"/>
                <w:sz w:val="20"/>
                <w:szCs w:val="20"/>
                <w:highlight w:val="none"/>
              </w:rPr>
              <w:t>3.拆改投诉处理、综合受理窗口运行顺利，资料记录归档符合要求。</w:t>
            </w:r>
          </w:p>
        </w:tc>
        <w:tc>
          <w:tcPr>
            <w:tcW w:w="914" w:type="dxa"/>
            <w:tcBorders>
              <w:top w:val="single" w:color="auto" w:sz="4" w:space="0"/>
              <w:left w:val="single" w:color="auto" w:sz="4" w:space="0"/>
              <w:bottom w:val="single" w:color="auto" w:sz="4" w:space="0"/>
            </w:tcBorders>
            <w:noWrap w:val="0"/>
            <w:vAlign w:val="center"/>
          </w:tcPr>
          <w:p w14:paraId="131586E9">
            <w:pPr>
              <w:rPr>
                <w:rFonts w:hint="eastAsia" w:ascii="宋体" w:hAnsi="宋体"/>
                <w:b w:val="0"/>
                <w:bCs w:val="0"/>
                <w:sz w:val="20"/>
                <w:szCs w:val="20"/>
                <w:highlight w:val="none"/>
              </w:rPr>
            </w:pPr>
            <w:r>
              <w:rPr>
                <w:rFonts w:hint="eastAsia" w:ascii="宋体" w:hAnsi="宋体"/>
                <w:b w:val="0"/>
                <w:bCs w:val="0"/>
                <w:sz w:val="20"/>
                <w:szCs w:val="20"/>
                <w:highlight w:val="none"/>
                <w:lang w:val="en-US" w:eastAsia="zh-CN"/>
              </w:rPr>
              <w:t>20</w:t>
            </w:r>
            <w:r>
              <w:rPr>
                <w:rFonts w:hint="eastAsia" w:ascii="宋体" w:hAnsi="宋体"/>
                <w:b w:val="0"/>
                <w:bCs w:val="0"/>
                <w:sz w:val="20"/>
                <w:szCs w:val="20"/>
                <w:highlight w:val="none"/>
              </w:rPr>
              <w:t>分</w:t>
            </w:r>
          </w:p>
        </w:tc>
        <w:tc>
          <w:tcPr>
            <w:tcW w:w="2986" w:type="dxa"/>
            <w:tcBorders>
              <w:top w:val="single" w:color="auto" w:sz="4" w:space="0"/>
              <w:bottom w:val="single" w:color="auto" w:sz="4" w:space="0"/>
            </w:tcBorders>
            <w:noWrap w:val="0"/>
            <w:vAlign w:val="center"/>
          </w:tcPr>
          <w:p w14:paraId="5CE4D6E3">
            <w:pPr>
              <w:rPr>
                <w:rFonts w:hint="eastAsia" w:ascii="宋体" w:hAnsi="宋体"/>
                <w:b w:val="0"/>
                <w:bCs w:val="0"/>
                <w:sz w:val="20"/>
                <w:szCs w:val="20"/>
                <w:highlight w:val="none"/>
              </w:rPr>
            </w:pPr>
            <w:r>
              <w:rPr>
                <w:rFonts w:hint="eastAsia" w:ascii="宋体" w:hAnsi="宋体"/>
                <w:b w:val="0"/>
                <w:bCs w:val="0"/>
                <w:sz w:val="20"/>
                <w:szCs w:val="20"/>
                <w:highlight w:val="none"/>
              </w:rPr>
              <w:t>台帐资料不全、不符合要求的，每项扣1分；</w:t>
            </w:r>
          </w:p>
          <w:p w14:paraId="14C35AE2">
            <w:pPr>
              <w:rPr>
                <w:rFonts w:hint="eastAsia" w:ascii="宋体" w:hAnsi="宋体"/>
                <w:b w:val="0"/>
                <w:bCs w:val="0"/>
                <w:sz w:val="20"/>
                <w:szCs w:val="20"/>
                <w:highlight w:val="none"/>
              </w:rPr>
            </w:pPr>
            <w:r>
              <w:rPr>
                <w:rFonts w:hint="eastAsia" w:ascii="宋体" w:hAnsi="宋体"/>
                <w:b w:val="0"/>
                <w:bCs w:val="0"/>
                <w:sz w:val="20"/>
                <w:szCs w:val="20"/>
                <w:highlight w:val="none"/>
              </w:rPr>
              <w:t>案件材料未归档的，每项扣1分。</w:t>
            </w:r>
          </w:p>
        </w:tc>
        <w:tc>
          <w:tcPr>
            <w:tcW w:w="1268" w:type="dxa"/>
            <w:tcBorders>
              <w:top w:val="single" w:color="auto" w:sz="4" w:space="0"/>
              <w:bottom w:val="single" w:color="auto" w:sz="4" w:space="0"/>
            </w:tcBorders>
            <w:noWrap/>
            <w:vAlign w:val="center"/>
          </w:tcPr>
          <w:p w14:paraId="45E81D5B">
            <w:pPr>
              <w:spacing w:line="340" w:lineRule="exact"/>
              <w:jc w:val="left"/>
              <w:rPr>
                <w:rFonts w:ascii="方正仿宋简体" w:hAnsi="方正仿宋简体" w:eastAsia="方正仿宋简体" w:cs="Tahoma"/>
                <w:b w:val="0"/>
                <w:bCs w:val="0"/>
                <w:color w:val="000000"/>
                <w:kern w:val="0"/>
                <w:sz w:val="22"/>
                <w:szCs w:val="22"/>
              </w:rPr>
            </w:pPr>
          </w:p>
        </w:tc>
        <w:tc>
          <w:tcPr>
            <w:tcW w:w="955" w:type="dxa"/>
            <w:tcBorders>
              <w:top w:val="single" w:color="auto" w:sz="4" w:space="0"/>
              <w:bottom w:val="single" w:color="auto" w:sz="4" w:space="0"/>
            </w:tcBorders>
            <w:noWrap/>
            <w:vAlign w:val="center"/>
          </w:tcPr>
          <w:p w14:paraId="011D3D04">
            <w:pPr>
              <w:spacing w:line="340" w:lineRule="exact"/>
              <w:jc w:val="left"/>
              <w:rPr>
                <w:rFonts w:ascii="方正仿宋简体" w:hAnsi="方正仿宋简体" w:eastAsia="方正仿宋简体" w:cs="Tahoma"/>
                <w:b w:val="0"/>
                <w:bCs w:val="0"/>
                <w:color w:val="000000"/>
                <w:kern w:val="0"/>
                <w:sz w:val="22"/>
                <w:szCs w:val="22"/>
              </w:rPr>
            </w:pPr>
          </w:p>
        </w:tc>
      </w:tr>
      <w:tr w14:paraId="4D3E743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755" w:type="dxa"/>
            <w:vMerge w:val="continue"/>
            <w:noWrap w:val="0"/>
            <w:vAlign w:val="center"/>
          </w:tcPr>
          <w:p w14:paraId="7E4B166A">
            <w:pPr>
              <w:widowControl/>
              <w:spacing w:line="340" w:lineRule="exact"/>
              <w:jc w:val="center"/>
              <w:rPr>
                <w:rFonts w:ascii="方正仿宋简体" w:hAnsi="方正仿宋简体" w:eastAsia="方正仿宋简体" w:cs="Tahoma"/>
                <w:b w:val="0"/>
                <w:bCs w:val="0"/>
                <w:color w:val="000000"/>
                <w:kern w:val="0"/>
                <w:sz w:val="22"/>
                <w:szCs w:val="22"/>
              </w:rPr>
            </w:pPr>
          </w:p>
        </w:tc>
        <w:tc>
          <w:tcPr>
            <w:tcW w:w="2584" w:type="dxa"/>
            <w:tcBorders>
              <w:top w:val="single" w:color="auto" w:sz="4" w:space="0"/>
              <w:bottom w:val="single" w:color="auto" w:sz="4" w:space="0"/>
              <w:right w:val="single" w:color="auto" w:sz="4" w:space="0"/>
            </w:tcBorders>
            <w:noWrap w:val="0"/>
            <w:vAlign w:val="center"/>
          </w:tcPr>
          <w:p w14:paraId="1984DCD1">
            <w:pPr>
              <w:rPr>
                <w:rFonts w:hint="eastAsia" w:ascii="宋体" w:hAnsi="宋体"/>
                <w:b w:val="0"/>
                <w:bCs w:val="0"/>
                <w:sz w:val="20"/>
                <w:szCs w:val="20"/>
                <w:highlight w:val="none"/>
              </w:rPr>
            </w:pPr>
            <w:r>
              <w:rPr>
                <w:rFonts w:hint="eastAsia" w:ascii="宋体" w:hAnsi="宋体"/>
                <w:b w:val="0"/>
                <w:bCs w:val="0"/>
                <w:sz w:val="20"/>
                <w:szCs w:val="20"/>
                <w:highlight w:val="none"/>
              </w:rPr>
              <w:t>4.按要求完成日常巡查，记录详实无虚假，确保房屋安全形势稳定。</w:t>
            </w:r>
          </w:p>
        </w:tc>
        <w:tc>
          <w:tcPr>
            <w:tcW w:w="914" w:type="dxa"/>
            <w:tcBorders>
              <w:top w:val="single" w:color="auto" w:sz="4" w:space="0"/>
              <w:left w:val="single" w:color="auto" w:sz="4" w:space="0"/>
              <w:bottom w:val="single" w:color="auto" w:sz="4" w:space="0"/>
            </w:tcBorders>
            <w:noWrap w:val="0"/>
            <w:vAlign w:val="center"/>
          </w:tcPr>
          <w:p w14:paraId="50A7FC4C">
            <w:pPr>
              <w:rPr>
                <w:rFonts w:hint="eastAsia" w:ascii="宋体" w:hAnsi="宋体"/>
                <w:b w:val="0"/>
                <w:bCs w:val="0"/>
                <w:sz w:val="20"/>
                <w:szCs w:val="20"/>
                <w:highlight w:val="none"/>
              </w:rPr>
            </w:pPr>
            <w:r>
              <w:rPr>
                <w:rFonts w:hint="eastAsia" w:ascii="宋体" w:hAnsi="宋体"/>
                <w:b w:val="0"/>
                <w:bCs w:val="0"/>
                <w:sz w:val="20"/>
                <w:szCs w:val="20"/>
                <w:highlight w:val="none"/>
                <w:lang w:val="en-US" w:eastAsia="zh-CN"/>
              </w:rPr>
              <w:t>15</w:t>
            </w:r>
            <w:r>
              <w:rPr>
                <w:rFonts w:hint="eastAsia" w:ascii="宋体" w:hAnsi="宋体"/>
                <w:b w:val="0"/>
                <w:bCs w:val="0"/>
                <w:sz w:val="20"/>
                <w:szCs w:val="20"/>
                <w:highlight w:val="none"/>
              </w:rPr>
              <w:t>分</w:t>
            </w:r>
          </w:p>
        </w:tc>
        <w:tc>
          <w:tcPr>
            <w:tcW w:w="2986" w:type="dxa"/>
            <w:tcBorders>
              <w:top w:val="single" w:color="auto" w:sz="4" w:space="0"/>
              <w:bottom w:val="single" w:color="auto" w:sz="4" w:space="0"/>
            </w:tcBorders>
            <w:noWrap w:val="0"/>
            <w:vAlign w:val="center"/>
          </w:tcPr>
          <w:p w14:paraId="39340E69">
            <w:pPr>
              <w:rPr>
                <w:rFonts w:hint="eastAsia" w:ascii="宋体" w:hAnsi="宋体"/>
                <w:b w:val="0"/>
                <w:bCs w:val="0"/>
                <w:sz w:val="20"/>
                <w:szCs w:val="20"/>
                <w:highlight w:val="none"/>
              </w:rPr>
            </w:pPr>
            <w:r>
              <w:rPr>
                <w:rFonts w:hint="eastAsia" w:ascii="宋体" w:hAnsi="宋体"/>
                <w:b w:val="0"/>
                <w:bCs w:val="0"/>
                <w:sz w:val="20"/>
                <w:szCs w:val="20"/>
                <w:highlight w:val="none"/>
              </w:rPr>
              <w:t>视检查情况给分，未开展不得分。</w:t>
            </w:r>
          </w:p>
        </w:tc>
        <w:tc>
          <w:tcPr>
            <w:tcW w:w="1268" w:type="dxa"/>
            <w:tcBorders>
              <w:top w:val="single" w:color="auto" w:sz="4" w:space="0"/>
              <w:bottom w:val="single" w:color="auto" w:sz="4" w:space="0"/>
            </w:tcBorders>
            <w:noWrap/>
            <w:vAlign w:val="center"/>
          </w:tcPr>
          <w:p w14:paraId="0869A003">
            <w:pPr>
              <w:spacing w:line="340" w:lineRule="exact"/>
              <w:jc w:val="left"/>
              <w:rPr>
                <w:rFonts w:ascii="方正仿宋简体" w:hAnsi="方正仿宋简体" w:eastAsia="方正仿宋简体" w:cs="Tahoma"/>
                <w:b w:val="0"/>
                <w:bCs w:val="0"/>
                <w:color w:val="000000"/>
                <w:kern w:val="0"/>
                <w:sz w:val="22"/>
                <w:szCs w:val="22"/>
              </w:rPr>
            </w:pPr>
          </w:p>
        </w:tc>
        <w:tc>
          <w:tcPr>
            <w:tcW w:w="955" w:type="dxa"/>
            <w:tcBorders>
              <w:top w:val="single" w:color="auto" w:sz="4" w:space="0"/>
              <w:bottom w:val="single" w:color="auto" w:sz="4" w:space="0"/>
            </w:tcBorders>
            <w:noWrap/>
            <w:vAlign w:val="center"/>
          </w:tcPr>
          <w:p w14:paraId="2FD6253A">
            <w:pPr>
              <w:spacing w:line="340" w:lineRule="exact"/>
              <w:jc w:val="left"/>
              <w:rPr>
                <w:rFonts w:ascii="方正仿宋简体" w:hAnsi="方正仿宋简体" w:eastAsia="方正仿宋简体" w:cs="Tahoma"/>
                <w:b w:val="0"/>
                <w:bCs w:val="0"/>
                <w:color w:val="000000"/>
                <w:kern w:val="0"/>
                <w:sz w:val="22"/>
                <w:szCs w:val="22"/>
              </w:rPr>
            </w:pPr>
          </w:p>
        </w:tc>
      </w:tr>
      <w:tr w14:paraId="1289980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43" w:hRule="atLeast"/>
        </w:trPr>
        <w:tc>
          <w:tcPr>
            <w:tcW w:w="1755" w:type="dxa"/>
            <w:vMerge w:val="continue"/>
            <w:noWrap w:val="0"/>
            <w:vAlign w:val="center"/>
          </w:tcPr>
          <w:p w14:paraId="2C0A817D">
            <w:pPr>
              <w:widowControl/>
              <w:spacing w:line="340" w:lineRule="exact"/>
              <w:jc w:val="center"/>
              <w:rPr>
                <w:rFonts w:ascii="方正仿宋简体" w:hAnsi="方正仿宋简体" w:eastAsia="方正仿宋简体" w:cs="Tahoma"/>
                <w:b w:val="0"/>
                <w:bCs w:val="0"/>
                <w:color w:val="000000"/>
                <w:kern w:val="0"/>
                <w:sz w:val="22"/>
                <w:szCs w:val="22"/>
              </w:rPr>
            </w:pPr>
          </w:p>
        </w:tc>
        <w:tc>
          <w:tcPr>
            <w:tcW w:w="2584" w:type="dxa"/>
            <w:tcBorders>
              <w:top w:val="single" w:color="auto" w:sz="4" w:space="0"/>
              <w:bottom w:val="single" w:color="auto" w:sz="4" w:space="0"/>
              <w:right w:val="single" w:color="auto" w:sz="4" w:space="0"/>
            </w:tcBorders>
            <w:noWrap w:val="0"/>
            <w:vAlign w:val="center"/>
          </w:tcPr>
          <w:p w14:paraId="2CA55FFD">
            <w:pPr>
              <w:rPr>
                <w:rFonts w:hint="eastAsia" w:ascii="宋体" w:hAnsi="宋体"/>
                <w:b w:val="0"/>
                <w:bCs w:val="0"/>
                <w:sz w:val="20"/>
                <w:szCs w:val="20"/>
                <w:highlight w:val="none"/>
              </w:rPr>
            </w:pPr>
            <w:r>
              <w:rPr>
                <w:rFonts w:hint="eastAsia" w:ascii="宋体" w:hAnsi="宋体"/>
                <w:b w:val="0"/>
                <w:bCs w:val="0"/>
                <w:sz w:val="20"/>
                <w:szCs w:val="20"/>
                <w:highlight w:val="none"/>
              </w:rPr>
              <w:t>5.编制应急预案，并每年开展应急演练。</w:t>
            </w:r>
          </w:p>
        </w:tc>
        <w:tc>
          <w:tcPr>
            <w:tcW w:w="914" w:type="dxa"/>
            <w:tcBorders>
              <w:top w:val="single" w:color="auto" w:sz="4" w:space="0"/>
              <w:left w:val="single" w:color="auto" w:sz="4" w:space="0"/>
              <w:bottom w:val="single" w:color="auto" w:sz="4" w:space="0"/>
            </w:tcBorders>
            <w:noWrap w:val="0"/>
            <w:vAlign w:val="center"/>
          </w:tcPr>
          <w:p w14:paraId="42CCD884">
            <w:pPr>
              <w:rPr>
                <w:rFonts w:hint="eastAsia" w:ascii="宋体" w:hAnsi="宋体"/>
                <w:b w:val="0"/>
                <w:bCs w:val="0"/>
                <w:sz w:val="20"/>
                <w:szCs w:val="20"/>
                <w:highlight w:val="none"/>
              </w:rPr>
            </w:pPr>
            <w:r>
              <w:rPr>
                <w:rFonts w:hint="eastAsia" w:ascii="宋体" w:hAnsi="宋体"/>
                <w:b w:val="0"/>
                <w:bCs w:val="0"/>
                <w:sz w:val="20"/>
                <w:szCs w:val="20"/>
                <w:highlight w:val="none"/>
              </w:rPr>
              <w:t>1分</w:t>
            </w:r>
          </w:p>
        </w:tc>
        <w:tc>
          <w:tcPr>
            <w:tcW w:w="2986" w:type="dxa"/>
            <w:tcBorders>
              <w:top w:val="single" w:color="auto" w:sz="4" w:space="0"/>
              <w:bottom w:val="single" w:color="auto" w:sz="4" w:space="0"/>
            </w:tcBorders>
            <w:noWrap w:val="0"/>
            <w:vAlign w:val="center"/>
          </w:tcPr>
          <w:p w14:paraId="576650CB">
            <w:pPr>
              <w:rPr>
                <w:rFonts w:hint="eastAsia" w:ascii="宋体" w:hAnsi="宋体"/>
                <w:b w:val="0"/>
                <w:bCs w:val="0"/>
                <w:sz w:val="20"/>
                <w:szCs w:val="20"/>
                <w:highlight w:val="none"/>
              </w:rPr>
            </w:pPr>
            <w:r>
              <w:rPr>
                <w:rFonts w:hint="eastAsia" w:ascii="宋体" w:hAnsi="宋体"/>
                <w:b w:val="0"/>
                <w:bCs w:val="0"/>
                <w:sz w:val="20"/>
                <w:szCs w:val="20"/>
                <w:highlight w:val="none"/>
              </w:rPr>
              <w:t>未编制应急预案或未开展应急演练不得分。</w:t>
            </w:r>
          </w:p>
        </w:tc>
        <w:tc>
          <w:tcPr>
            <w:tcW w:w="1268" w:type="dxa"/>
            <w:tcBorders>
              <w:top w:val="single" w:color="auto" w:sz="4" w:space="0"/>
              <w:bottom w:val="single" w:color="auto" w:sz="4" w:space="0"/>
            </w:tcBorders>
            <w:noWrap/>
            <w:vAlign w:val="center"/>
          </w:tcPr>
          <w:p w14:paraId="6619575B">
            <w:pPr>
              <w:spacing w:line="340" w:lineRule="exact"/>
              <w:jc w:val="left"/>
              <w:rPr>
                <w:rFonts w:ascii="方正仿宋简体" w:hAnsi="方正仿宋简体" w:eastAsia="方正仿宋简体" w:cs="Tahoma"/>
                <w:b w:val="0"/>
                <w:bCs w:val="0"/>
                <w:color w:val="000000"/>
                <w:kern w:val="0"/>
                <w:sz w:val="22"/>
                <w:szCs w:val="22"/>
              </w:rPr>
            </w:pPr>
          </w:p>
        </w:tc>
        <w:tc>
          <w:tcPr>
            <w:tcW w:w="955" w:type="dxa"/>
            <w:tcBorders>
              <w:top w:val="single" w:color="auto" w:sz="4" w:space="0"/>
              <w:bottom w:val="single" w:color="auto" w:sz="4" w:space="0"/>
            </w:tcBorders>
            <w:noWrap/>
            <w:vAlign w:val="center"/>
          </w:tcPr>
          <w:p w14:paraId="325BA2D4">
            <w:pPr>
              <w:spacing w:line="340" w:lineRule="exact"/>
              <w:jc w:val="left"/>
              <w:rPr>
                <w:rFonts w:ascii="方正仿宋简体" w:hAnsi="方正仿宋简体" w:eastAsia="方正仿宋简体" w:cs="Tahoma"/>
                <w:b w:val="0"/>
                <w:bCs w:val="0"/>
                <w:color w:val="000000"/>
                <w:kern w:val="0"/>
                <w:sz w:val="22"/>
                <w:szCs w:val="22"/>
              </w:rPr>
            </w:pPr>
          </w:p>
        </w:tc>
      </w:tr>
      <w:tr w14:paraId="37ADE8E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84" w:hRule="atLeast"/>
        </w:trPr>
        <w:tc>
          <w:tcPr>
            <w:tcW w:w="1755" w:type="dxa"/>
            <w:vMerge w:val="continue"/>
            <w:noWrap w:val="0"/>
            <w:vAlign w:val="center"/>
          </w:tcPr>
          <w:p w14:paraId="3C6B891D">
            <w:pPr>
              <w:widowControl/>
              <w:spacing w:line="340" w:lineRule="exact"/>
              <w:jc w:val="center"/>
              <w:rPr>
                <w:rFonts w:ascii="方正仿宋简体" w:hAnsi="方正仿宋简体" w:eastAsia="方正仿宋简体" w:cs="Tahoma"/>
                <w:b w:val="0"/>
                <w:bCs w:val="0"/>
                <w:color w:val="000000"/>
                <w:kern w:val="0"/>
                <w:sz w:val="22"/>
                <w:szCs w:val="22"/>
              </w:rPr>
            </w:pPr>
          </w:p>
        </w:tc>
        <w:tc>
          <w:tcPr>
            <w:tcW w:w="2584" w:type="dxa"/>
            <w:tcBorders>
              <w:top w:val="single" w:color="auto" w:sz="4" w:space="0"/>
              <w:bottom w:val="single" w:color="auto" w:sz="4" w:space="0"/>
              <w:right w:val="single" w:color="auto" w:sz="4" w:space="0"/>
            </w:tcBorders>
            <w:noWrap w:val="0"/>
            <w:vAlign w:val="center"/>
          </w:tcPr>
          <w:p w14:paraId="554524AB">
            <w:pPr>
              <w:rPr>
                <w:rFonts w:hint="default" w:ascii="宋体" w:hAnsi="宋体"/>
                <w:b w:val="0"/>
                <w:bCs w:val="0"/>
                <w:sz w:val="20"/>
                <w:szCs w:val="20"/>
                <w:highlight w:val="none"/>
                <w:lang w:val="en-US" w:eastAsia="zh-CN"/>
              </w:rPr>
            </w:pPr>
            <w:r>
              <w:rPr>
                <w:rFonts w:hint="eastAsia" w:ascii="宋体" w:hAnsi="宋体"/>
                <w:b w:val="0"/>
                <w:bCs w:val="0"/>
                <w:sz w:val="20"/>
                <w:szCs w:val="20"/>
                <w:highlight w:val="none"/>
                <w:lang w:val="en-US" w:eastAsia="zh-CN"/>
              </w:rPr>
              <w:t>6.检测评估所需要的检测设备，应具有计量证书。</w:t>
            </w:r>
          </w:p>
        </w:tc>
        <w:tc>
          <w:tcPr>
            <w:tcW w:w="914" w:type="dxa"/>
            <w:tcBorders>
              <w:top w:val="single" w:color="auto" w:sz="4" w:space="0"/>
              <w:left w:val="single" w:color="auto" w:sz="4" w:space="0"/>
              <w:bottom w:val="single" w:color="auto" w:sz="4" w:space="0"/>
            </w:tcBorders>
            <w:noWrap w:val="0"/>
            <w:vAlign w:val="center"/>
          </w:tcPr>
          <w:p w14:paraId="1F93A47E">
            <w:pPr>
              <w:rPr>
                <w:rFonts w:hint="default" w:ascii="宋体" w:hAnsi="宋体"/>
                <w:b w:val="0"/>
                <w:bCs w:val="0"/>
                <w:sz w:val="20"/>
                <w:szCs w:val="20"/>
                <w:highlight w:val="none"/>
                <w:lang w:val="en-US" w:eastAsia="zh-CN"/>
              </w:rPr>
            </w:pPr>
            <w:r>
              <w:rPr>
                <w:rFonts w:hint="eastAsia" w:ascii="宋体" w:hAnsi="宋体"/>
                <w:b w:val="0"/>
                <w:bCs w:val="0"/>
                <w:sz w:val="20"/>
                <w:szCs w:val="20"/>
                <w:highlight w:val="none"/>
                <w:lang w:val="en-US" w:eastAsia="zh-CN"/>
              </w:rPr>
              <w:t>5分</w:t>
            </w:r>
          </w:p>
        </w:tc>
        <w:tc>
          <w:tcPr>
            <w:tcW w:w="2986" w:type="dxa"/>
            <w:tcBorders>
              <w:top w:val="single" w:color="auto" w:sz="4" w:space="0"/>
              <w:bottom w:val="single" w:color="auto" w:sz="4" w:space="0"/>
            </w:tcBorders>
            <w:noWrap w:val="0"/>
            <w:vAlign w:val="center"/>
          </w:tcPr>
          <w:p w14:paraId="28471091">
            <w:pPr>
              <w:rPr>
                <w:rFonts w:hint="eastAsia" w:ascii="宋体" w:hAnsi="宋体"/>
                <w:b w:val="0"/>
                <w:bCs w:val="0"/>
                <w:sz w:val="20"/>
                <w:szCs w:val="20"/>
                <w:highlight w:val="none"/>
              </w:rPr>
            </w:pPr>
            <w:r>
              <w:rPr>
                <w:rFonts w:hint="eastAsia" w:ascii="宋体" w:hAnsi="宋体"/>
                <w:b w:val="0"/>
                <w:bCs w:val="0"/>
                <w:sz w:val="20"/>
                <w:szCs w:val="20"/>
                <w:highlight w:val="none"/>
                <w:lang w:val="en-US" w:eastAsia="zh-CN"/>
              </w:rPr>
              <w:t>主要设备有1台不满足扣1分。</w:t>
            </w:r>
          </w:p>
        </w:tc>
        <w:tc>
          <w:tcPr>
            <w:tcW w:w="1268" w:type="dxa"/>
            <w:tcBorders>
              <w:top w:val="single" w:color="auto" w:sz="4" w:space="0"/>
              <w:bottom w:val="single" w:color="auto" w:sz="4" w:space="0"/>
            </w:tcBorders>
            <w:noWrap/>
            <w:vAlign w:val="center"/>
          </w:tcPr>
          <w:p w14:paraId="12B88D4B">
            <w:pPr>
              <w:spacing w:line="340" w:lineRule="exact"/>
              <w:jc w:val="left"/>
              <w:rPr>
                <w:rFonts w:ascii="方正仿宋简体" w:hAnsi="方正仿宋简体" w:eastAsia="方正仿宋简体" w:cs="Tahoma"/>
                <w:b w:val="0"/>
                <w:bCs w:val="0"/>
                <w:color w:val="000000"/>
                <w:kern w:val="0"/>
                <w:sz w:val="22"/>
                <w:szCs w:val="22"/>
              </w:rPr>
            </w:pPr>
          </w:p>
        </w:tc>
        <w:tc>
          <w:tcPr>
            <w:tcW w:w="955" w:type="dxa"/>
            <w:tcBorders>
              <w:top w:val="single" w:color="auto" w:sz="4" w:space="0"/>
              <w:bottom w:val="single" w:color="auto" w:sz="4" w:space="0"/>
            </w:tcBorders>
            <w:noWrap/>
            <w:vAlign w:val="center"/>
          </w:tcPr>
          <w:p w14:paraId="68E2D085">
            <w:pPr>
              <w:spacing w:line="340" w:lineRule="exact"/>
              <w:jc w:val="left"/>
              <w:rPr>
                <w:rFonts w:ascii="方正仿宋简体" w:hAnsi="方正仿宋简体" w:eastAsia="方正仿宋简体" w:cs="Tahoma"/>
                <w:b w:val="0"/>
                <w:bCs w:val="0"/>
                <w:color w:val="000000"/>
                <w:kern w:val="0"/>
                <w:sz w:val="22"/>
                <w:szCs w:val="22"/>
              </w:rPr>
            </w:pPr>
          </w:p>
        </w:tc>
      </w:tr>
      <w:tr w14:paraId="564D72A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04" w:hRule="atLeast"/>
        </w:trPr>
        <w:tc>
          <w:tcPr>
            <w:tcW w:w="1755" w:type="dxa"/>
            <w:vMerge w:val="continue"/>
            <w:noWrap w:val="0"/>
            <w:vAlign w:val="center"/>
          </w:tcPr>
          <w:p w14:paraId="1CA95F45">
            <w:pPr>
              <w:widowControl/>
              <w:spacing w:line="340" w:lineRule="exact"/>
              <w:jc w:val="center"/>
              <w:rPr>
                <w:rFonts w:ascii="方正仿宋简体" w:hAnsi="方正仿宋简体" w:eastAsia="方正仿宋简体" w:cs="Tahoma"/>
                <w:b w:val="0"/>
                <w:bCs w:val="0"/>
                <w:color w:val="000000"/>
                <w:kern w:val="0"/>
                <w:sz w:val="22"/>
                <w:szCs w:val="22"/>
              </w:rPr>
            </w:pPr>
          </w:p>
        </w:tc>
        <w:tc>
          <w:tcPr>
            <w:tcW w:w="2584" w:type="dxa"/>
            <w:tcBorders>
              <w:top w:val="single" w:color="auto" w:sz="4" w:space="0"/>
              <w:bottom w:val="single" w:color="auto" w:sz="4" w:space="0"/>
              <w:right w:val="single" w:color="auto" w:sz="4" w:space="0"/>
            </w:tcBorders>
            <w:noWrap w:val="0"/>
            <w:vAlign w:val="center"/>
          </w:tcPr>
          <w:p w14:paraId="0F4ECF53">
            <w:pPr>
              <w:rPr>
                <w:rFonts w:hint="eastAsia" w:ascii="宋体" w:hAnsi="宋体"/>
                <w:b w:val="0"/>
                <w:bCs w:val="0"/>
                <w:sz w:val="20"/>
                <w:szCs w:val="20"/>
                <w:highlight w:val="none"/>
                <w:lang w:eastAsia="zh-CN"/>
              </w:rPr>
            </w:pPr>
            <w:r>
              <w:rPr>
                <w:rFonts w:hint="eastAsia" w:ascii="宋体" w:hAnsi="宋体"/>
                <w:b w:val="0"/>
                <w:bCs w:val="0"/>
                <w:sz w:val="20"/>
                <w:szCs w:val="20"/>
                <w:highlight w:val="none"/>
                <w:lang w:val="en-US" w:eastAsia="zh-CN"/>
              </w:rPr>
              <w:t>7.</w:t>
            </w:r>
            <w:r>
              <w:rPr>
                <w:rFonts w:hint="eastAsia" w:ascii="宋体" w:hAnsi="宋体"/>
                <w:b w:val="0"/>
                <w:bCs w:val="0"/>
                <w:sz w:val="20"/>
                <w:szCs w:val="20"/>
                <w:highlight w:val="none"/>
              </w:rPr>
              <w:t>服务期间人员配置是否符合投标时的要求</w:t>
            </w:r>
            <w:r>
              <w:rPr>
                <w:rFonts w:hint="eastAsia" w:ascii="宋体" w:hAnsi="宋体"/>
                <w:b w:val="0"/>
                <w:bCs w:val="0"/>
                <w:sz w:val="20"/>
                <w:szCs w:val="20"/>
                <w:highlight w:val="none"/>
                <w:lang w:eastAsia="zh-CN"/>
              </w:rPr>
              <w:t>。</w:t>
            </w:r>
          </w:p>
        </w:tc>
        <w:tc>
          <w:tcPr>
            <w:tcW w:w="914" w:type="dxa"/>
            <w:tcBorders>
              <w:top w:val="single" w:color="auto" w:sz="4" w:space="0"/>
              <w:left w:val="single" w:color="auto" w:sz="4" w:space="0"/>
              <w:bottom w:val="single" w:color="auto" w:sz="4" w:space="0"/>
            </w:tcBorders>
            <w:noWrap w:val="0"/>
            <w:vAlign w:val="center"/>
          </w:tcPr>
          <w:p w14:paraId="2B33D830">
            <w:pPr>
              <w:rPr>
                <w:rFonts w:hint="default" w:ascii="宋体" w:hAnsi="宋体"/>
                <w:b w:val="0"/>
                <w:bCs w:val="0"/>
                <w:sz w:val="20"/>
                <w:szCs w:val="20"/>
                <w:highlight w:val="none"/>
                <w:lang w:val="en-US" w:eastAsia="zh-CN"/>
              </w:rPr>
            </w:pPr>
            <w:r>
              <w:rPr>
                <w:rFonts w:hint="eastAsia" w:ascii="宋体" w:hAnsi="宋体"/>
                <w:b w:val="0"/>
                <w:bCs w:val="0"/>
                <w:sz w:val="20"/>
                <w:szCs w:val="20"/>
                <w:highlight w:val="none"/>
                <w:lang w:val="en-US" w:eastAsia="zh-CN"/>
              </w:rPr>
              <w:t>10分</w:t>
            </w:r>
          </w:p>
        </w:tc>
        <w:tc>
          <w:tcPr>
            <w:tcW w:w="2986" w:type="dxa"/>
            <w:tcBorders>
              <w:top w:val="single" w:color="auto" w:sz="4" w:space="0"/>
              <w:bottom w:val="single" w:color="auto" w:sz="4" w:space="0"/>
            </w:tcBorders>
            <w:noWrap w:val="0"/>
            <w:vAlign w:val="center"/>
          </w:tcPr>
          <w:p w14:paraId="1A1C82F4">
            <w:pPr>
              <w:rPr>
                <w:rFonts w:hint="eastAsia" w:ascii="宋体" w:hAnsi="宋体"/>
                <w:b w:val="0"/>
                <w:bCs w:val="0"/>
                <w:sz w:val="20"/>
                <w:szCs w:val="20"/>
                <w:highlight w:val="none"/>
              </w:rPr>
            </w:pPr>
            <w:r>
              <w:rPr>
                <w:rFonts w:hint="eastAsia" w:ascii="宋体" w:hAnsi="宋体"/>
                <w:b w:val="0"/>
                <w:bCs w:val="0"/>
                <w:sz w:val="20"/>
                <w:szCs w:val="20"/>
                <w:highlight w:val="none"/>
              </w:rPr>
              <w:t>所投入的主要人员缺少1人扣1分，其他人员缺少1人扣0.5分</w:t>
            </w:r>
          </w:p>
        </w:tc>
        <w:tc>
          <w:tcPr>
            <w:tcW w:w="1268" w:type="dxa"/>
            <w:tcBorders>
              <w:top w:val="single" w:color="auto" w:sz="4" w:space="0"/>
              <w:bottom w:val="single" w:color="auto" w:sz="4" w:space="0"/>
            </w:tcBorders>
            <w:noWrap/>
            <w:vAlign w:val="center"/>
          </w:tcPr>
          <w:p w14:paraId="2D3DF756">
            <w:pPr>
              <w:spacing w:line="340" w:lineRule="exact"/>
              <w:jc w:val="left"/>
              <w:rPr>
                <w:rFonts w:ascii="方正仿宋简体" w:hAnsi="方正仿宋简体" w:eastAsia="方正仿宋简体" w:cs="Tahoma"/>
                <w:b w:val="0"/>
                <w:bCs w:val="0"/>
                <w:color w:val="000000"/>
                <w:kern w:val="0"/>
                <w:sz w:val="22"/>
                <w:szCs w:val="22"/>
              </w:rPr>
            </w:pPr>
          </w:p>
        </w:tc>
        <w:tc>
          <w:tcPr>
            <w:tcW w:w="955" w:type="dxa"/>
            <w:tcBorders>
              <w:top w:val="single" w:color="auto" w:sz="4" w:space="0"/>
              <w:bottom w:val="single" w:color="auto" w:sz="4" w:space="0"/>
            </w:tcBorders>
            <w:noWrap/>
            <w:vAlign w:val="center"/>
          </w:tcPr>
          <w:p w14:paraId="1F7A4614">
            <w:pPr>
              <w:spacing w:line="340" w:lineRule="exact"/>
              <w:jc w:val="left"/>
              <w:rPr>
                <w:rFonts w:ascii="方正仿宋简体" w:hAnsi="方正仿宋简体" w:eastAsia="方正仿宋简体" w:cs="Tahoma"/>
                <w:b w:val="0"/>
                <w:bCs w:val="0"/>
                <w:color w:val="000000"/>
                <w:kern w:val="0"/>
                <w:sz w:val="22"/>
                <w:szCs w:val="22"/>
              </w:rPr>
            </w:pPr>
          </w:p>
        </w:tc>
      </w:tr>
      <w:tr w14:paraId="2288A23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41" w:hRule="atLeast"/>
        </w:trPr>
        <w:tc>
          <w:tcPr>
            <w:tcW w:w="1755" w:type="dxa"/>
            <w:vMerge w:val="continue"/>
            <w:noWrap w:val="0"/>
            <w:vAlign w:val="center"/>
          </w:tcPr>
          <w:p w14:paraId="00905FA7">
            <w:pPr>
              <w:widowControl/>
              <w:spacing w:line="340" w:lineRule="exact"/>
              <w:jc w:val="center"/>
              <w:rPr>
                <w:rFonts w:ascii="方正仿宋简体" w:hAnsi="方正仿宋简体" w:eastAsia="方正仿宋简体" w:cs="Tahoma"/>
                <w:b w:val="0"/>
                <w:bCs w:val="0"/>
                <w:color w:val="000000"/>
                <w:kern w:val="0"/>
                <w:sz w:val="22"/>
                <w:szCs w:val="22"/>
              </w:rPr>
            </w:pPr>
          </w:p>
        </w:tc>
        <w:tc>
          <w:tcPr>
            <w:tcW w:w="2584" w:type="dxa"/>
            <w:tcBorders>
              <w:top w:val="single" w:color="auto" w:sz="4" w:space="0"/>
              <w:bottom w:val="single" w:color="auto" w:sz="4" w:space="0"/>
              <w:right w:val="single" w:color="auto" w:sz="4" w:space="0"/>
            </w:tcBorders>
            <w:noWrap w:val="0"/>
            <w:vAlign w:val="center"/>
          </w:tcPr>
          <w:p w14:paraId="32829386">
            <w:pPr>
              <w:rPr>
                <w:rFonts w:hint="eastAsia" w:ascii="宋体" w:hAnsi="宋体"/>
                <w:b w:val="0"/>
                <w:bCs w:val="0"/>
                <w:sz w:val="20"/>
                <w:szCs w:val="20"/>
                <w:highlight w:val="none"/>
                <w:lang w:eastAsia="zh-CN"/>
              </w:rPr>
            </w:pPr>
            <w:r>
              <w:rPr>
                <w:rFonts w:hint="eastAsia" w:ascii="宋体" w:hAnsi="宋体"/>
                <w:b w:val="0"/>
                <w:bCs w:val="0"/>
                <w:sz w:val="20"/>
                <w:szCs w:val="20"/>
                <w:highlight w:val="none"/>
                <w:lang w:val="en-US" w:eastAsia="zh-CN"/>
              </w:rPr>
              <w:t>8.</w:t>
            </w:r>
            <w:r>
              <w:rPr>
                <w:rFonts w:hint="eastAsia" w:ascii="宋体" w:hAnsi="宋体"/>
                <w:b w:val="0"/>
                <w:bCs w:val="0"/>
                <w:sz w:val="20"/>
                <w:szCs w:val="20"/>
                <w:highlight w:val="none"/>
              </w:rPr>
              <w:t>服务成果提交是否符合甲方要求</w:t>
            </w:r>
            <w:r>
              <w:rPr>
                <w:rFonts w:hint="eastAsia" w:ascii="宋体" w:hAnsi="宋体"/>
                <w:b w:val="0"/>
                <w:bCs w:val="0"/>
                <w:sz w:val="20"/>
                <w:szCs w:val="20"/>
                <w:highlight w:val="none"/>
                <w:lang w:eastAsia="zh-CN"/>
              </w:rPr>
              <w:t>。</w:t>
            </w:r>
          </w:p>
        </w:tc>
        <w:tc>
          <w:tcPr>
            <w:tcW w:w="914" w:type="dxa"/>
            <w:tcBorders>
              <w:top w:val="single" w:color="auto" w:sz="4" w:space="0"/>
              <w:left w:val="single" w:color="auto" w:sz="4" w:space="0"/>
              <w:bottom w:val="single" w:color="auto" w:sz="4" w:space="0"/>
            </w:tcBorders>
            <w:noWrap w:val="0"/>
            <w:vAlign w:val="center"/>
          </w:tcPr>
          <w:p w14:paraId="364E4750">
            <w:pPr>
              <w:rPr>
                <w:rFonts w:hint="default" w:ascii="宋体" w:hAnsi="宋体"/>
                <w:b w:val="0"/>
                <w:bCs w:val="0"/>
                <w:sz w:val="20"/>
                <w:szCs w:val="20"/>
                <w:highlight w:val="none"/>
                <w:lang w:val="en-US" w:eastAsia="zh-CN"/>
              </w:rPr>
            </w:pPr>
            <w:r>
              <w:rPr>
                <w:rFonts w:hint="eastAsia" w:ascii="宋体" w:hAnsi="宋体"/>
                <w:b w:val="0"/>
                <w:bCs w:val="0"/>
                <w:sz w:val="20"/>
                <w:szCs w:val="20"/>
                <w:highlight w:val="none"/>
                <w:lang w:val="en-US" w:eastAsia="zh-CN"/>
              </w:rPr>
              <w:t>5分</w:t>
            </w:r>
          </w:p>
        </w:tc>
        <w:tc>
          <w:tcPr>
            <w:tcW w:w="2986" w:type="dxa"/>
            <w:tcBorders>
              <w:top w:val="single" w:color="auto" w:sz="4" w:space="0"/>
              <w:bottom w:val="single" w:color="auto" w:sz="4" w:space="0"/>
            </w:tcBorders>
            <w:noWrap w:val="0"/>
            <w:vAlign w:val="center"/>
          </w:tcPr>
          <w:p w14:paraId="11143E3B">
            <w:pPr>
              <w:rPr>
                <w:rFonts w:hint="eastAsia" w:ascii="宋体" w:hAnsi="宋体"/>
                <w:b w:val="0"/>
                <w:bCs w:val="0"/>
                <w:sz w:val="20"/>
                <w:szCs w:val="20"/>
                <w:highlight w:val="none"/>
              </w:rPr>
            </w:pPr>
            <w:r>
              <w:rPr>
                <w:rFonts w:hint="eastAsia" w:ascii="宋体" w:hAnsi="宋体"/>
                <w:b w:val="0"/>
                <w:bCs w:val="0"/>
                <w:sz w:val="20"/>
                <w:szCs w:val="20"/>
                <w:highlight w:val="none"/>
              </w:rPr>
              <w:t>提交的成果未能通过委托方的验收，修改超过2次的，每增加修改1次，扣1分。</w:t>
            </w:r>
          </w:p>
        </w:tc>
        <w:tc>
          <w:tcPr>
            <w:tcW w:w="1268" w:type="dxa"/>
            <w:tcBorders>
              <w:top w:val="single" w:color="auto" w:sz="4" w:space="0"/>
              <w:bottom w:val="single" w:color="auto" w:sz="4" w:space="0"/>
            </w:tcBorders>
            <w:noWrap/>
            <w:vAlign w:val="center"/>
          </w:tcPr>
          <w:p w14:paraId="72E97389">
            <w:pPr>
              <w:spacing w:line="340" w:lineRule="exact"/>
              <w:jc w:val="left"/>
              <w:rPr>
                <w:rFonts w:ascii="方正仿宋简体" w:hAnsi="方正仿宋简体" w:eastAsia="方正仿宋简体" w:cs="Tahoma"/>
                <w:b w:val="0"/>
                <w:bCs w:val="0"/>
                <w:color w:val="000000"/>
                <w:kern w:val="0"/>
                <w:sz w:val="22"/>
                <w:szCs w:val="22"/>
              </w:rPr>
            </w:pPr>
          </w:p>
        </w:tc>
        <w:tc>
          <w:tcPr>
            <w:tcW w:w="955" w:type="dxa"/>
            <w:tcBorders>
              <w:top w:val="single" w:color="auto" w:sz="4" w:space="0"/>
              <w:bottom w:val="single" w:color="auto" w:sz="4" w:space="0"/>
            </w:tcBorders>
            <w:noWrap/>
            <w:vAlign w:val="center"/>
          </w:tcPr>
          <w:p w14:paraId="0EB8C25D">
            <w:pPr>
              <w:spacing w:line="340" w:lineRule="exact"/>
              <w:jc w:val="left"/>
              <w:rPr>
                <w:rFonts w:ascii="方正仿宋简体" w:hAnsi="方正仿宋简体" w:eastAsia="方正仿宋简体" w:cs="Tahoma"/>
                <w:b w:val="0"/>
                <w:bCs w:val="0"/>
                <w:color w:val="000000"/>
                <w:kern w:val="0"/>
                <w:sz w:val="22"/>
                <w:szCs w:val="22"/>
              </w:rPr>
            </w:pPr>
          </w:p>
        </w:tc>
      </w:tr>
      <w:tr w14:paraId="2A1044D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41" w:hRule="atLeast"/>
        </w:trPr>
        <w:tc>
          <w:tcPr>
            <w:tcW w:w="1755" w:type="dxa"/>
            <w:vMerge w:val="continue"/>
            <w:noWrap w:val="0"/>
            <w:vAlign w:val="center"/>
          </w:tcPr>
          <w:p w14:paraId="7378F36A">
            <w:pPr>
              <w:widowControl/>
              <w:spacing w:line="340" w:lineRule="exact"/>
              <w:jc w:val="center"/>
              <w:rPr>
                <w:rFonts w:ascii="方正仿宋简体" w:hAnsi="方正仿宋简体" w:eastAsia="方正仿宋简体" w:cs="Tahoma"/>
                <w:b w:val="0"/>
                <w:bCs w:val="0"/>
                <w:color w:val="000000"/>
                <w:kern w:val="0"/>
                <w:sz w:val="22"/>
                <w:szCs w:val="22"/>
              </w:rPr>
            </w:pPr>
          </w:p>
        </w:tc>
        <w:tc>
          <w:tcPr>
            <w:tcW w:w="2584" w:type="dxa"/>
            <w:tcBorders>
              <w:top w:val="single" w:color="auto" w:sz="4" w:space="0"/>
              <w:bottom w:val="single" w:color="auto" w:sz="4" w:space="0"/>
              <w:right w:val="single" w:color="auto" w:sz="4" w:space="0"/>
            </w:tcBorders>
            <w:noWrap w:val="0"/>
            <w:vAlign w:val="center"/>
          </w:tcPr>
          <w:p w14:paraId="1774617D">
            <w:pPr>
              <w:rPr>
                <w:rFonts w:hint="eastAsia" w:ascii="宋体" w:hAnsi="宋体"/>
                <w:b w:val="0"/>
                <w:bCs w:val="0"/>
                <w:sz w:val="20"/>
                <w:szCs w:val="20"/>
                <w:highlight w:val="none"/>
                <w:lang w:val="en-US" w:eastAsia="zh-CN"/>
              </w:rPr>
            </w:pPr>
            <w:r>
              <w:rPr>
                <w:rFonts w:hint="eastAsia" w:ascii="宋体" w:hAnsi="宋体"/>
                <w:b w:val="0"/>
                <w:bCs w:val="0"/>
                <w:sz w:val="20"/>
                <w:szCs w:val="20"/>
                <w:highlight w:val="none"/>
                <w:lang w:val="en-US" w:eastAsia="zh-CN"/>
              </w:rPr>
              <w:t>9.服务期间进度安排是否符合投标时的承诺。</w:t>
            </w:r>
          </w:p>
        </w:tc>
        <w:tc>
          <w:tcPr>
            <w:tcW w:w="914" w:type="dxa"/>
            <w:tcBorders>
              <w:top w:val="single" w:color="auto" w:sz="4" w:space="0"/>
              <w:left w:val="single" w:color="auto" w:sz="4" w:space="0"/>
              <w:bottom w:val="single" w:color="auto" w:sz="4" w:space="0"/>
            </w:tcBorders>
            <w:noWrap w:val="0"/>
            <w:vAlign w:val="center"/>
          </w:tcPr>
          <w:p w14:paraId="76381C8F">
            <w:pPr>
              <w:rPr>
                <w:rFonts w:hint="eastAsia" w:ascii="宋体" w:hAnsi="宋体"/>
                <w:b w:val="0"/>
                <w:bCs w:val="0"/>
                <w:sz w:val="20"/>
                <w:szCs w:val="20"/>
                <w:highlight w:val="none"/>
                <w:lang w:val="en-US" w:eastAsia="zh-CN"/>
              </w:rPr>
            </w:pPr>
            <w:r>
              <w:rPr>
                <w:rFonts w:hint="eastAsia" w:ascii="宋体" w:hAnsi="宋体"/>
                <w:b w:val="0"/>
                <w:bCs w:val="0"/>
                <w:sz w:val="20"/>
                <w:szCs w:val="20"/>
                <w:highlight w:val="none"/>
                <w:lang w:val="en-US" w:eastAsia="zh-CN"/>
              </w:rPr>
              <w:t>2分</w:t>
            </w:r>
          </w:p>
        </w:tc>
        <w:tc>
          <w:tcPr>
            <w:tcW w:w="2986" w:type="dxa"/>
            <w:tcBorders>
              <w:top w:val="single" w:color="auto" w:sz="4" w:space="0"/>
              <w:bottom w:val="single" w:color="auto" w:sz="4" w:space="0"/>
            </w:tcBorders>
            <w:noWrap w:val="0"/>
            <w:vAlign w:val="center"/>
          </w:tcPr>
          <w:p w14:paraId="2D85D830">
            <w:pPr>
              <w:rPr>
                <w:rFonts w:hint="eastAsia" w:ascii="宋体" w:hAnsi="宋体"/>
                <w:b w:val="0"/>
                <w:bCs w:val="0"/>
                <w:sz w:val="20"/>
                <w:szCs w:val="20"/>
                <w:highlight w:val="none"/>
                <w:lang w:val="en-US" w:eastAsia="zh-CN"/>
              </w:rPr>
            </w:pPr>
            <w:r>
              <w:rPr>
                <w:rFonts w:hint="eastAsia" w:ascii="宋体" w:hAnsi="宋体"/>
                <w:b w:val="0"/>
                <w:bCs w:val="0"/>
                <w:sz w:val="20"/>
                <w:szCs w:val="20"/>
                <w:highlight w:val="none"/>
                <w:lang w:val="en-US" w:eastAsia="zh-CN"/>
              </w:rPr>
              <w:t>未经委托方允许，未能按照合同约定的时间提交检查成果，每延迟1个工作日扣0.5分。</w:t>
            </w:r>
          </w:p>
        </w:tc>
        <w:tc>
          <w:tcPr>
            <w:tcW w:w="1268" w:type="dxa"/>
            <w:tcBorders>
              <w:top w:val="single" w:color="auto" w:sz="4" w:space="0"/>
              <w:bottom w:val="single" w:color="auto" w:sz="4" w:space="0"/>
            </w:tcBorders>
            <w:noWrap/>
            <w:vAlign w:val="center"/>
          </w:tcPr>
          <w:p w14:paraId="703820EF">
            <w:pPr>
              <w:spacing w:line="340" w:lineRule="exact"/>
              <w:jc w:val="left"/>
              <w:rPr>
                <w:rFonts w:ascii="方正仿宋简体" w:hAnsi="方正仿宋简体" w:eastAsia="方正仿宋简体" w:cs="Tahoma"/>
                <w:b w:val="0"/>
                <w:bCs w:val="0"/>
                <w:color w:val="000000"/>
                <w:kern w:val="0"/>
                <w:sz w:val="22"/>
                <w:szCs w:val="22"/>
              </w:rPr>
            </w:pPr>
          </w:p>
        </w:tc>
        <w:tc>
          <w:tcPr>
            <w:tcW w:w="955" w:type="dxa"/>
            <w:tcBorders>
              <w:top w:val="single" w:color="auto" w:sz="4" w:space="0"/>
              <w:bottom w:val="single" w:color="auto" w:sz="4" w:space="0"/>
            </w:tcBorders>
            <w:noWrap/>
            <w:vAlign w:val="center"/>
          </w:tcPr>
          <w:p w14:paraId="46F39AE4">
            <w:pPr>
              <w:spacing w:line="340" w:lineRule="exact"/>
              <w:jc w:val="left"/>
              <w:rPr>
                <w:rFonts w:ascii="方正仿宋简体" w:hAnsi="方正仿宋简体" w:eastAsia="方正仿宋简体" w:cs="Tahoma"/>
                <w:b w:val="0"/>
                <w:bCs w:val="0"/>
                <w:color w:val="000000"/>
                <w:kern w:val="0"/>
                <w:sz w:val="22"/>
                <w:szCs w:val="22"/>
              </w:rPr>
            </w:pPr>
          </w:p>
        </w:tc>
      </w:tr>
      <w:tr w14:paraId="13D77E6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29" w:hRule="atLeast"/>
        </w:trPr>
        <w:tc>
          <w:tcPr>
            <w:tcW w:w="1755" w:type="dxa"/>
            <w:vMerge w:val="continue"/>
            <w:noWrap w:val="0"/>
            <w:vAlign w:val="center"/>
          </w:tcPr>
          <w:p w14:paraId="274EE57C">
            <w:pPr>
              <w:widowControl/>
              <w:spacing w:line="340" w:lineRule="exact"/>
              <w:jc w:val="center"/>
              <w:rPr>
                <w:rFonts w:ascii="方正仿宋简体" w:hAnsi="方正仿宋简体" w:eastAsia="方正仿宋简体" w:cs="Tahoma"/>
                <w:b w:val="0"/>
                <w:bCs w:val="0"/>
                <w:color w:val="000000"/>
                <w:kern w:val="0"/>
                <w:sz w:val="22"/>
                <w:szCs w:val="22"/>
              </w:rPr>
            </w:pPr>
          </w:p>
        </w:tc>
        <w:tc>
          <w:tcPr>
            <w:tcW w:w="2584" w:type="dxa"/>
            <w:tcBorders>
              <w:top w:val="single" w:color="auto" w:sz="4" w:space="0"/>
              <w:bottom w:val="single" w:color="auto" w:sz="4" w:space="0"/>
              <w:right w:val="single" w:color="auto" w:sz="4" w:space="0"/>
            </w:tcBorders>
            <w:noWrap w:val="0"/>
            <w:vAlign w:val="center"/>
          </w:tcPr>
          <w:p w14:paraId="67A4B00E">
            <w:pPr>
              <w:rPr>
                <w:rFonts w:hint="eastAsia" w:ascii="宋体" w:hAnsi="宋体"/>
                <w:b w:val="0"/>
                <w:bCs w:val="0"/>
                <w:sz w:val="20"/>
                <w:szCs w:val="20"/>
                <w:highlight w:val="none"/>
                <w:lang w:val="en-US" w:eastAsia="zh-CN"/>
              </w:rPr>
            </w:pPr>
            <w:r>
              <w:rPr>
                <w:rFonts w:hint="eastAsia" w:ascii="宋体" w:hAnsi="宋体"/>
                <w:b w:val="0"/>
                <w:bCs w:val="0"/>
                <w:sz w:val="20"/>
                <w:szCs w:val="20"/>
                <w:highlight w:val="none"/>
                <w:lang w:val="en-US" w:eastAsia="zh-CN"/>
              </w:rPr>
              <w:t>10.服务期间遇到特殊情况有无及时向上级汇报。</w:t>
            </w:r>
          </w:p>
        </w:tc>
        <w:tc>
          <w:tcPr>
            <w:tcW w:w="914" w:type="dxa"/>
            <w:tcBorders>
              <w:top w:val="single" w:color="auto" w:sz="4" w:space="0"/>
              <w:left w:val="single" w:color="auto" w:sz="4" w:space="0"/>
              <w:bottom w:val="single" w:color="auto" w:sz="4" w:space="0"/>
            </w:tcBorders>
            <w:noWrap w:val="0"/>
            <w:vAlign w:val="center"/>
          </w:tcPr>
          <w:p w14:paraId="797CC819">
            <w:pPr>
              <w:rPr>
                <w:rFonts w:hint="eastAsia" w:ascii="宋体" w:hAnsi="宋体"/>
                <w:b w:val="0"/>
                <w:bCs w:val="0"/>
                <w:sz w:val="20"/>
                <w:szCs w:val="20"/>
                <w:highlight w:val="none"/>
                <w:lang w:val="en-US" w:eastAsia="zh-CN"/>
              </w:rPr>
            </w:pPr>
            <w:r>
              <w:rPr>
                <w:rFonts w:hint="eastAsia" w:ascii="宋体" w:hAnsi="宋体"/>
                <w:b w:val="0"/>
                <w:bCs w:val="0"/>
                <w:sz w:val="20"/>
                <w:szCs w:val="20"/>
                <w:highlight w:val="none"/>
                <w:lang w:val="en-US" w:eastAsia="zh-CN"/>
              </w:rPr>
              <w:t>4分</w:t>
            </w:r>
          </w:p>
        </w:tc>
        <w:tc>
          <w:tcPr>
            <w:tcW w:w="2986" w:type="dxa"/>
            <w:tcBorders>
              <w:top w:val="single" w:color="auto" w:sz="4" w:space="0"/>
              <w:bottom w:val="single" w:color="auto" w:sz="4" w:space="0"/>
            </w:tcBorders>
            <w:noWrap w:val="0"/>
            <w:vAlign w:val="center"/>
          </w:tcPr>
          <w:p w14:paraId="36439828">
            <w:pPr>
              <w:rPr>
                <w:rFonts w:hint="eastAsia" w:ascii="宋体" w:hAnsi="宋体"/>
                <w:b w:val="0"/>
                <w:bCs w:val="0"/>
                <w:sz w:val="20"/>
                <w:szCs w:val="20"/>
                <w:highlight w:val="none"/>
                <w:lang w:val="en-US" w:eastAsia="zh-CN"/>
              </w:rPr>
            </w:pPr>
            <w:r>
              <w:rPr>
                <w:rFonts w:hint="eastAsia" w:ascii="宋体" w:hAnsi="宋体"/>
                <w:b w:val="0"/>
                <w:bCs w:val="0"/>
                <w:sz w:val="20"/>
                <w:szCs w:val="20"/>
                <w:highlight w:val="none"/>
                <w:lang w:val="en-US" w:eastAsia="zh-CN"/>
              </w:rPr>
              <w:t>对遇到的特殊情况未及时向上级汇报的，1次扣1分。</w:t>
            </w:r>
          </w:p>
        </w:tc>
        <w:tc>
          <w:tcPr>
            <w:tcW w:w="1268" w:type="dxa"/>
            <w:tcBorders>
              <w:top w:val="single" w:color="auto" w:sz="4" w:space="0"/>
              <w:bottom w:val="single" w:color="auto" w:sz="4" w:space="0"/>
            </w:tcBorders>
            <w:noWrap/>
            <w:vAlign w:val="center"/>
          </w:tcPr>
          <w:p w14:paraId="387912C2">
            <w:pPr>
              <w:spacing w:line="340" w:lineRule="exact"/>
              <w:jc w:val="left"/>
              <w:rPr>
                <w:rFonts w:ascii="方正仿宋简体" w:hAnsi="方正仿宋简体" w:eastAsia="方正仿宋简体" w:cs="Tahoma"/>
                <w:b w:val="0"/>
                <w:bCs w:val="0"/>
                <w:color w:val="000000"/>
                <w:kern w:val="0"/>
                <w:sz w:val="22"/>
                <w:szCs w:val="22"/>
              </w:rPr>
            </w:pPr>
          </w:p>
        </w:tc>
        <w:tc>
          <w:tcPr>
            <w:tcW w:w="955" w:type="dxa"/>
            <w:tcBorders>
              <w:top w:val="single" w:color="auto" w:sz="4" w:space="0"/>
              <w:bottom w:val="single" w:color="auto" w:sz="4" w:space="0"/>
            </w:tcBorders>
            <w:noWrap/>
            <w:vAlign w:val="center"/>
          </w:tcPr>
          <w:p w14:paraId="6C746E28">
            <w:pPr>
              <w:spacing w:line="340" w:lineRule="exact"/>
              <w:jc w:val="left"/>
              <w:rPr>
                <w:rFonts w:ascii="方正仿宋简体" w:hAnsi="方正仿宋简体" w:eastAsia="方正仿宋简体" w:cs="Tahoma"/>
                <w:b w:val="0"/>
                <w:bCs w:val="0"/>
                <w:color w:val="000000"/>
                <w:kern w:val="0"/>
                <w:sz w:val="22"/>
                <w:szCs w:val="22"/>
              </w:rPr>
            </w:pPr>
          </w:p>
        </w:tc>
      </w:tr>
      <w:tr w14:paraId="1E05E8E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41" w:hRule="atLeast"/>
        </w:trPr>
        <w:tc>
          <w:tcPr>
            <w:tcW w:w="1755" w:type="dxa"/>
            <w:vMerge w:val="continue"/>
            <w:noWrap w:val="0"/>
            <w:vAlign w:val="center"/>
          </w:tcPr>
          <w:p w14:paraId="183636A6">
            <w:pPr>
              <w:widowControl/>
              <w:spacing w:line="340" w:lineRule="exact"/>
              <w:jc w:val="center"/>
              <w:rPr>
                <w:rFonts w:ascii="方正仿宋简体" w:hAnsi="方正仿宋简体" w:eastAsia="方正仿宋简体" w:cs="Tahoma"/>
                <w:b w:val="0"/>
                <w:bCs w:val="0"/>
                <w:color w:val="000000"/>
                <w:kern w:val="0"/>
                <w:sz w:val="22"/>
                <w:szCs w:val="22"/>
              </w:rPr>
            </w:pPr>
          </w:p>
        </w:tc>
        <w:tc>
          <w:tcPr>
            <w:tcW w:w="2584" w:type="dxa"/>
            <w:tcBorders>
              <w:top w:val="single" w:color="auto" w:sz="4" w:space="0"/>
              <w:bottom w:val="single" w:color="auto" w:sz="4" w:space="0"/>
              <w:right w:val="single" w:color="auto" w:sz="4" w:space="0"/>
            </w:tcBorders>
            <w:noWrap w:val="0"/>
            <w:vAlign w:val="center"/>
          </w:tcPr>
          <w:p w14:paraId="61FFC8E7">
            <w:pPr>
              <w:rPr>
                <w:rFonts w:hint="eastAsia" w:ascii="宋体" w:hAnsi="宋体"/>
                <w:b w:val="0"/>
                <w:bCs w:val="0"/>
                <w:sz w:val="20"/>
                <w:szCs w:val="20"/>
                <w:highlight w:val="none"/>
                <w:lang w:val="en-US" w:eastAsia="zh-CN"/>
              </w:rPr>
            </w:pPr>
            <w:r>
              <w:rPr>
                <w:rFonts w:hint="eastAsia" w:ascii="宋体" w:hAnsi="宋体"/>
                <w:b w:val="0"/>
                <w:bCs w:val="0"/>
                <w:sz w:val="20"/>
                <w:szCs w:val="20"/>
                <w:highlight w:val="none"/>
                <w:lang w:val="en-US" w:eastAsia="zh-CN"/>
              </w:rPr>
              <w:t>11.服务期间有无积极配合甲方监督和管理</w:t>
            </w:r>
          </w:p>
        </w:tc>
        <w:tc>
          <w:tcPr>
            <w:tcW w:w="914" w:type="dxa"/>
            <w:tcBorders>
              <w:top w:val="single" w:color="auto" w:sz="4" w:space="0"/>
              <w:left w:val="single" w:color="auto" w:sz="4" w:space="0"/>
              <w:bottom w:val="single" w:color="auto" w:sz="4" w:space="0"/>
            </w:tcBorders>
            <w:noWrap w:val="0"/>
            <w:vAlign w:val="center"/>
          </w:tcPr>
          <w:p w14:paraId="6F8642D3">
            <w:pPr>
              <w:rPr>
                <w:rFonts w:hint="eastAsia" w:ascii="宋体" w:hAnsi="宋体"/>
                <w:b w:val="0"/>
                <w:bCs w:val="0"/>
                <w:sz w:val="20"/>
                <w:szCs w:val="20"/>
                <w:highlight w:val="none"/>
                <w:lang w:val="en-US" w:eastAsia="zh-CN"/>
              </w:rPr>
            </w:pPr>
            <w:r>
              <w:rPr>
                <w:rFonts w:hint="eastAsia" w:ascii="宋体" w:hAnsi="宋体"/>
                <w:b w:val="0"/>
                <w:bCs w:val="0"/>
                <w:sz w:val="20"/>
                <w:szCs w:val="20"/>
                <w:highlight w:val="none"/>
                <w:lang w:val="en-US" w:eastAsia="zh-CN"/>
              </w:rPr>
              <w:t>4分</w:t>
            </w:r>
          </w:p>
        </w:tc>
        <w:tc>
          <w:tcPr>
            <w:tcW w:w="2986" w:type="dxa"/>
            <w:tcBorders>
              <w:top w:val="single" w:color="auto" w:sz="4" w:space="0"/>
              <w:bottom w:val="single" w:color="auto" w:sz="4" w:space="0"/>
            </w:tcBorders>
            <w:noWrap w:val="0"/>
            <w:vAlign w:val="center"/>
          </w:tcPr>
          <w:p w14:paraId="73A3E9E4">
            <w:pPr>
              <w:rPr>
                <w:rFonts w:hint="eastAsia" w:ascii="宋体" w:hAnsi="宋体"/>
                <w:b w:val="0"/>
                <w:bCs w:val="0"/>
                <w:sz w:val="20"/>
                <w:szCs w:val="20"/>
                <w:highlight w:val="none"/>
              </w:rPr>
            </w:pPr>
            <w:r>
              <w:rPr>
                <w:rFonts w:hint="eastAsia" w:ascii="宋体" w:hAnsi="宋体"/>
                <w:b w:val="0"/>
                <w:bCs w:val="0"/>
                <w:sz w:val="20"/>
                <w:szCs w:val="20"/>
                <w:highlight w:val="none"/>
                <w:lang w:val="en-US" w:eastAsia="zh-CN"/>
              </w:rPr>
              <w:t>服务期间对甲方的监督和管理有抵触或不配合的，1次扣2分。</w:t>
            </w:r>
          </w:p>
        </w:tc>
        <w:tc>
          <w:tcPr>
            <w:tcW w:w="1268" w:type="dxa"/>
            <w:tcBorders>
              <w:top w:val="single" w:color="auto" w:sz="4" w:space="0"/>
              <w:bottom w:val="single" w:color="auto" w:sz="4" w:space="0"/>
            </w:tcBorders>
            <w:noWrap/>
            <w:vAlign w:val="center"/>
          </w:tcPr>
          <w:p w14:paraId="27FABE8A">
            <w:pPr>
              <w:spacing w:line="340" w:lineRule="exact"/>
              <w:jc w:val="left"/>
              <w:rPr>
                <w:rFonts w:ascii="方正仿宋简体" w:hAnsi="方正仿宋简体" w:eastAsia="方正仿宋简体" w:cs="Tahoma"/>
                <w:b w:val="0"/>
                <w:bCs w:val="0"/>
                <w:color w:val="000000"/>
                <w:kern w:val="0"/>
                <w:sz w:val="22"/>
                <w:szCs w:val="22"/>
              </w:rPr>
            </w:pPr>
          </w:p>
        </w:tc>
        <w:tc>
          <w:tcPr>
            <w:tcW w:w="955" w:type="dxa"/>
            <w:tcBorders>
              <w:top w:val="single" w:color="auto" w:sz="4" w:space="0"/>
              <w:bottom w:val="single" w:color="auto" w:sz="4" w:space="0"/>
            </w:tcBorders>
            <w:noWrap/>
            <w:vAlign w:val="center"/>
          </w:tcPr>
          <w:p w14:paraId="7881C2DE">
            <w:pPr>
              <w:spacing w:line="340" w:lineRule="exact"/>
              <w:jc w:val="left"/>
              <w:rPr>
                <w:rFonts w:ascii="方正仿宋简体" w:hAnsi="方正仿宋简体" w:eastAsia="方正仿宋简体" w:cs="Tahoma"/>
                <w:b w:val="0"/>
                <w:bCs w:val="0"/>
                <w:color w:val="000000"/>
                <w:kern w:val="0"/>
                <w:sz w:val="22"/>
                <w:szCs w:val="22"/>
              </w:rPr>
            </w:pPr>
          </w:p>
        </w:tc>
      </w:tr>
      <w:tr w14:paraId="0602A7E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46" w:hRule="atLeast"/>
        </w:trPr>
        <w:tc>
          <w:tcPr>
            <w:tcW w:w="1755" w:type="dxa"/>
            <w:vMerge w:val="restart"/>
            <w:tcBorders>
              <w:top w:val="single" w:color="auto" w:sz="4" w:space="0"/>
            </w:tcBorders>
            <w:noWrap w:val="0"/>
            <w:vAlign w:val="center"/>
          </w:tcPr>
          <w:p w14:paraId="40BEBE5A">
            <w:pPr>
              <w:spacing w:line="340" w:lineRule="exact"/>
              <w:jc w:val="left"/>
              <w:rPr>
                <w:rFonts w:ascii="方正仿宋简体" w:hAnsi="方正仿宋简体" w:eastAsia="方正仿宋简体" w:cs="Tahoma"/>
                <w:b w:val="0"/>
                <w:bCs w:val="0"/>
                <w:color w:val="000000"/>
                <w:kern w:val="0"/>
                <w:sz w:val="22"/>
                <w:szCs w:val="22"/>
              </w:rPr>
            </w:pPr>
            <w:r>
              <w:rPr>
                <w:rFonts w:hint="eastAsia" w:ascii="方正仿宋简体" w:hAnsi="方正仿宋简体" w:eastAsia="方正仿宋简体" w:cs="Tahoma"/>
                <w:b w:val="0"/>
                <w:bCs w:val="0"/>
                <w:color w:val="000000"/>
                <w:kern w:val="0"/>
                <w:sz w:val="22"/>
                <w:szCs w:val="22"/>
              </w:rPr>
              <w:t>既有建筑安全隐患排查及整治（</w:t>
            </w:r>
            <w:r>
              <w:rPr>
                <w:rFonts w:ascii="方正仿宋简体" w:hAnsi="方正仿宋简体" w:eastAsia="方正仿宋简体" w:cs="Tahoma"/>
                <w:b w:val="0"/>
                <w:bCs w:val="0"/>
                <w:color w:val="000000"/>
                <w:kern w:val="0"/>
                <w:sz w:val="22"/>
                <w:szCs w:val="22"/>
              </w:rPr>
              <w:t>30</w:t>
            </w:r>
            <w:r>
              <w:rPr>
                <w:rFonts w:hint="eastAsia" w:ascii="方正仿宋简体" w:hAnsi="方正仿宋简体" w:eastAsia="方正仿宋简体" w:cs="Tahoma"/>
                <w:b w:val="0"/>
                <w:bCs w:val="0"/>
                <w:color w:val="000000"/>
                <w:kern w:val="0"/>
                <w:sz w:val="22"/>
                <w:szCs w:val="22"/>
              </w:rPr>
              <w:t>分）</w:t>
            </w:r>
          </w:p>
        </w:tc>
        <w:tc>
          <w:tcPr>
            <w:tcW w:w="2584" w:type="dxa"/>
            <w:tcBorders>
              <w:bottom w:val="single" w:color="auto" w:sz="4" w:space="0"/>
              <w:right w:val="single" w:color="auto" w:sz="4" w:space="0"/>
            </w:tcBorders>
            <w:noWrap w:val="0"/>
            <w:vAlign w:val="center"/>
          </w:tcPr>
          <w:p w14:paraId="6B31A6DE">
            <w:pPr>
              <w:rPr>
                <w:rFonts w:hint="eastAsia" w:ascii="宋体" w:hAnsi="宋体"/>
                <w:b w:val="0"/>
                <w:bCs w:val="0"/>
                <w:sz w:val="20"/>
                <w:szCs w:val="20"/>
                <w:highlight w:val="none"/>
              </w:rPr>
            </w:pPr>
            <w:r>
              <w:rPr>
                <w:rFonts w:hint="eastAsia" w:ascii="宋体" w:hAnsi="宋体"/>
                <w:b w:val="0"/>
                <w:bCs w:val="0"/>
                <w:sz w:val="20"/>
                <w:szCs w:val="20"/>
                <w:highlight w:val="none"/>
              </w:rPr>
              <w:t>1.完成辖区范围内隐患房屋体检评估年度全覆盖。</w:t>
            </w:r>
          </w:p>
        </w:tc>
        <w:tc>
          <w:tcPr>
            <w:tcW w:w="914" w:type="dxa"/>
            <w:tcBorders>
              <w:left w:val="single" w:color="auto" w:sz="4" w:space="0"/>
              <w:bottom w:val="single" w:color="auto" w:sz="4" w:space="0"/>
            </w:tcBorders>
            <w:noWrap w:val="0"/>
            <w:vAlign w:val="center"/>
          </w:tcPr>
          <w:p w14:paraId="01330459">
            <w:pPr>
              <w:rPr>
                <w:rFonts w:hint="eastAsia" w:ascii="宋体" w:hAnsi="宋体"/>
                <w:b w:val="0"/>
                <w:bCs w:val="0"/>
                <w:sz w:val="20"/>
                <w:szCs w:val="20"/>
                <w:highlight w:val="none"/>
              </w:rPr>
            </w:pPr>
            <w:r>
              <w:rPr>
                <w:rFonts w:hint="eastAsia" w:ascii="宋体" w:hAnsi="宋体"/>
                <w:b w:val="0"/>
                <w:bCs w:val="0"/>
                <w:sz w:val="20"/>
                <w:szCs w:val="20"/>
                <w:highlight w:val="none"/>
              </w:rPr>
              <w:t>10分</w:t>
            </w:r>
          </w:p>
        </w:tc>
        <w:tc>
          <w:tcPr>
            <w:tcW w:w="2986" w:type="dxa"/>
            <w:tcBorders>
              <w:bottom w:val="single" w:color="auto" w:sz="4" w:space="0"/>
            </w:tcBorders>
            <w:noWrap w:val="0"/>
            <w:vAlign w:val="center"/>
          </w:tcPr>
          <w:p w14:paraId="6B4DD8EE">
            <w:pPr>
              <w:rPr>
                <w:rFonts w:hint="eastAsia" w:ascii="宋体" w:hAnsi="宋体"/>
                <w:b w:val="0"/>
                <w:bCs w:val="0"/>
                <w:sz w:val="20"/>
                <w:szCs w:val="20"/>
                <w:highlight w:val="none"/>
              </w:rPr>
            </w:pPr>
            <w:r>
              <w:rPr>
                <w:rFonts w:hint="eastAsia" w:ascii="宋体" w:hAnsi="宋体"/>
                <w:b w:val="0"/>
                <w:bCs w:val="0"/>
                <w:sz w:val="20"/>
                <w:szCs w:val="20"/>
                <w:highlight w:val="none"/>
              </w:rPr>
              <w:t>视工作开展情况给分，未开展不得分。</w:t>
            </w:r>
          </w:p>
        </w:tc>
        <w:tc>
          <w:tcPr>
            <w:tcW w:w="1268" w:type="dxa"/>
            <w:tcBorders>
              <w:bottom w:val="single" w:color="auto" w:sz="4" w:space="0"/>
            </w:tcBorders>
            <w:noWrap/>
            <w:vAlign w:val="center"/>
          </w:tcPr>
          <w:p w14:paraId="14E22CF5">
            <w:pPr>
              <w:widowControl/>
              <w:spacing w:line="340" w:lineRule="exact"/>
              <w:jc w:val="left"/>
              <w:rPr>
                <w:rFonts w:ascii="方正仿宋简体" w:hAnsi="方正仿宋简体" w:eastAsia="方正仿宋简体" w:cs="Tahoma"/>
                <w:b w:val="0"/>
                <w:bCs w:val="0"/>
                <w:color w:val="000000"/>
                <w:kern w:val="0"/>
                <w:sz w:val="22"/>
                <w:szCs w:val="22"/>
              </w:rPr>
            </w:pPr>
          </w:p>
        </w:tc>
        <w:tc>
          <w:tcPr>
            <w:tcW w:w="955" w:type="dxa"/>
            <w:tcBorders>
              <w:bottom w:val="single" w:color="auto" w:sz="4" w:space="0"/>
            </w:tcBorders>
            <w:noWrap/>
            <w:vAlign w:val="center"/>
          </w:tcPr>
          <w:p w14:paraId="1BC7DD04">
            <w:pPr>
              <w:widowControl/>
              <w:spacing w:line="340" w:lineRule="exact"/>
              <w:jc w:val="left"/>
              <w:rPr>
                <w:rFonts w:ascii="方正仿宋简体" w:hAnsi="方正仿宋简体" w:eastAsia="方正仿宋简体" w:cs="Tahoma"/>
                <w:b w:val="0"/>
                <w:bCs w:val="0"/>
                <w:color w:val="000000"/>
                <w:kern w:val="0"/>
                <w:sz w:val="22"/>
                <w:szCs w:val="22"/>
              </w:rPr>
            </w:pPr>
          </w:p>
        </w:tc>
      </w:tr>
      <w:tr w14:paraId="553B255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87" w:hRule="atLeast"/>
        </w:trPr>
        <w:tc>
          <w:tcPr>
            <w:tcW w:w="1755" w:type="dxa"/>
            <w:vMerge w:val="continue"/>
            <w:noWrap w:val="0"/>
            <w:vAlign w:val="center"/>
          </w:tcPr>
          <w:p w14:paraId="2B5447C5">
            <w:pPr>
              <w:spacing w:line="340" w:lineRule="exact"/>
              <w:jc w:val="left"/>
              <w:rPr>
                <w:rFonts w:ascii="方正仿宋简体" w:hAnsi="方正仿宋简体" w:eastAsia="方正仿宋简体" w:cs="Tahoma"/>
                <w:b w:val="0"/>
                <w:bCs w:val="0"/>
                <w:color w:val="000000"/>
                <w:kern w:val="0"/>
                <w:sz w:val="22"/>
                <w:szCs w:val="22"/>
              </w:rPr>
            </w:pPr>
          </w:p>
        </w:tc>
        <w:tc>
          <w:tcPr>
            <w:tcW w:w="2584" w:type="dxa"/>
            <w:tcBorders>
              <w:top w:val="single" w:color="auto" w:sz="4" w:space="0"/>
              <w:bottom w:val="single" w:color="auto" w:sz="4" w:space="0"/>
              <w:right w:val="single" w:color="auto" w:sz="4" w:space="0"/>
            </w:tcBorders>
            <w:noWrap w:val="0"/>
            <w:vAlign w:val="center"/>
          </w:tcPr>
          <w:p w14:paraId="656EBABF">
            <w:pPr>
              <w:rPr>
                <w:rFonts w:hint="eastAsia" w:ascii="宋体" w:hAnsi="宋体"/>
                <w:b w:val="0"/>
                <w:bCs w:val="0"/>
                <w:sz w:val="20"/>
                <w:szCs w:val="20"/>
                <w:highlight w:val="none"/>
              </w:rPr>
            </w:pPr>
            <w:r>
              <w:rPr>
                <w:rFonts w:hint="eastAsia" w:ascii="宋体" w:hAnsi="宋体"/>
                <w:b w:val="0"/>
                <w:bCs w:val="0"/>
                <w:sz w:val="20"/>
                <w:szCs w:val="20"/>
                <w:highlight w:val="none"/>
              </w:rPr>
              <w:t>2.有工作专班统筹推动隐患房屋鉴定及治理，完成年度整治任务（含在册危房、自建房整治）。</w:t>
            </w:r>
          </w:p>
        </w:tc>
        <w:tc>
          <w:tcPr>
            <w:tcW w:w="914" w:type="dxa"/>
            <w:tcBorders>
              <w:top w:val="single" w:color="auto" w:sz="4" w:space="0"/>
              <w:left w:val="single" w:color="auto" w:sz="4" w:space="0"/>
              <w:bottom w:val="single" w:color="auto" w:sz="4" w:space="0"/>
            </w:tcBorders>
            <w:noWrap w:val="0"/>
            <w:vAlign w:val="center"/>
          </w:tcPr>
          <w:p w14:paraId="7AB884E4">
            <w:pPr>
              <w:rPr>
                <w:rFonts w:hint="eastAsia" w:ascii="宋体" w:hAnsi="宋体"/>
                <w:b w:val="0"/>
                <w:bCs w:val="0"/>
                <w:sz w:val="20"/>
                <w:szCs w:val="20"/>
                <w:highlight w:val="none"/>
              </w:rPr>
            </w:pPr>
            <w:r>
              <w:rPr>
                <w:rFonts w:hint="eastAsia" w:ascii="宋体" w:hAnsi="宋体"/>
                <w:b w:val="0"/>
                <w:bCs w:val="0"/>
                <w:sz w:val="20"/>
                <w:szCs w:val="20"/>
                <w:highlight w:val="none"/>
              </w:rPr>
              <w:t>20分</w:t>
            </w:r>
          </w:p>
        </w:tc>
        <w:tc>
          <w:tcPr>
            <w:tcW w:w="2986" w:type="dxa"/>
            <w:tcBorders>
              <w:top w:val="single" w:color="auto" w:sz="4" w:space="0"/>
              <w:bottom w:val="single" w:color="auto" w:sz="4" w:space="0"/>
            </w:tcBorders>
            <w:noWrap w:val="0"/>
            <w:vAlign w:val="center"/>
          </w:tcPr>
          <w:p w14:paraId="1F95166C">
            <w:pPr>
              <w:rPr>
                <w:rFonts w:hint="eastAsia" w:ascii="宋体" w:hAnsi="宋体"/>
                <w:b w:val="0"/>
                <w:bCs w:val="0"/>
                <w:sz w:val="20"/>
                <w:szCs w:val="20"/>
                <w:highlight w:val="none"/>
              </w:rPr>
            </w:pPr>
            <w:r>
              <w:rPr>
                <w:rFonts w:hint="eastAsia" w:ascii="宋体" w:hAnsi="宋体"/>
                <w:b w:val="0"/>
                <w:bCs w:val="0"/>
                <w:sz w:val="20"/>
                <w:szCs w:val="20"/>
                <w:highlight w:val="none"/>
              </w:rPr>
              <w:t>对照目标任务数量，考核完成比例，每差5%扣2分。</w:t>
            </w:r>
          </w:p>
        </w:tc>
        <w:tc>
          <w:tcPr>
            <w:tcW w:w="1268" w:type="dxa"/>
            <w:tcBorders>
              <w:top w:val="single" w:color="auto" w:sz="4" w:space="0"/>
              <w:bottom w:val="single" w:color="auto" w:sz="4" w:space="0"/>
            </w:tcBorders>
            <w:noWrap/>
            <w:vAlign w:val="center"/>
          </w:tcPr>
          <w:p w14:paraId="5243FE03">
            <w:pPr>
              <w:spacing w:line="340" w:lineRule="exact"/>
              <w:jc w:val="left"/>
              <w:rPr>
                <w:rFonts w:ascii="方正仿宋简体" w:hAnsi="方正仿宋简体" w:eastAsia="方正仿宋简体" w:cs="Tahoma"/>
                <w:b w:val="0"/>
                <w:bCs w:val="0"/>
                <w:color w:val="000000"/>
                <w:kern w:val="0"/>
                <w:sz w:val="22"/>
                <w:szCs w:val="22"/>
              </w:rPr>
            </w:pPr>
          </w:p>
        </w:tc>
        <w:tc>
          <w:tcPr>
            <w:tcW w:w="955" w:type="dxa"/>
            <w:tcBorders>
              <w:top w:val="single" w:color="auto" w:sz="4" w:space="0"/>
              <w:bottom w:val="single" w:color="auto" w:sz="4" w:space="0"/>
            </w:tcBorders>
            <w:noWrap/>
            <w:vAlign w:val="center"/>
          </w:tcPr>
          <w:p w14:paraId="198CE015">
            <w:pPr>
              <w:spacing w:line="340" w:lineRule="exact"/>
              <w:jc w:val="left"/>
              <w:rPr>
                <w:rFonts w:ascii="方正仿宋简体" w:hAnsi="方正仿宋简体" w:eastAsia="方正仿宋简体" w:cs="Tahoma"/>
                <w:b w:val="0"/>
                <w:bCs w:val="0"/>
                <w:color w:val="000000"/>
                <w:kern w:val="0"/>
                <w:sz w:val="22"/>
                <w:szCs w:val="22"/>
              </w:rPr>
            </w:pPr>
          </w:p>
        </w:tc>
      </w:tr>
      <w:tr w14:paraId="184951B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1114" w:hRule="atLeast"/>
        </w:trPr>
        <w:tc>
          <w:tcPr>
            <w:tcW w:w="1755" w:type="dxa"/>
            <w:tcBorders>
              <w:bottom w:val="single" w:color="auto" w:sz="4" w:space="0"/>
            </w:tcBorders>
            <w:noWrap w:val="0"/>
            <w:vAlign w:val="center"/>
          </w:tcPr>
          <w:p w14:paraId="693792D4">
            <w:pPr>
              <w:widowControl/>
              <w:spacing w:line="340" w:lineRule="exact"/>
              <w:jc w:val="center"/>
              <w:rPr>
                <w:rFonts w:ascii="方正仿宋简体" w:hAnsi="方正仿宋简体" w:eastAsia="方正仿宋简体" w:cs="Tahoma"/>
                <w:b w:val="0"/>
                <w:bCs w:val="0"/>
                <w:color w:val="000000"/>
                <w:kern w:val="0"/>
                <w:sz w:val="22"/>
                <w:szCs w:val="22"/>
              </w:rPr>
            </w:pPr>
            <w:r>
              <w:rPr>
                <w:rFonts w:hint="eastAsia" w:ascii="方正仿宋简体" w:hAnsi="方正仿宋简体" w:eastAsia="方正仿宋简体" w:cs="Tahoma"/>
                <w:b w:val="0"/>
                <w:bCs w:val="0"/>
                <w:color w:val="000000"/>
                <w:kern w:val="0"/>
                <w:sz w:val="22"/>
                <w:szCs w:val="22"/>
              </w:rPr>
              <w:t>表彰情况</w:t>
            </w:r>
          </w:p>
        </w:tc>
        <w:tc>
          <w:tcPr>
            <w:tcW w:w="2584" w:type="dxa"/>
            <w:tcBorders>
              <w:top w:val="single" w:color="auto" w:sz="4" w:space="0"/>
              <w:bottom w:val="single" w:color="auto" w:sz="4" w:space="0"/>
              <w:right w:val="single" w:color="auto" w:sz="4" w:space="0"/>
            </w:tcBorders>
            <w:noWrap w:val="0"/>
            <w:vAlign w:val="center"/>
          </w:tcPr>
          <w:p w14:paraId="4BFDEA0D">
            <w:pPr>
              <w:rPr>
                <w:rFonts w:hint="eastAsia" w:ascii="宋体" w:hAnsi="宋体"/>
                <w:b w:val="0"/>
                <w:bCs w:val="0"/>
                <w:sz w:val="20"/>
                <w:szCs w:val="20"/>
                <w:highlight w:val="none"/>
              </w:rPr>
            </w:pPr>
            <w:r>
              <w:rPr>
                <w:rFonts w:hint="eastAsia" w:ascii="宋体" w:hAnsi="宋体"/>
                <w:b w:val="0"/>
                <w:bCs w:val="0"/>
                <w:sz w:val="20"/>
                <w:szCs w:val="20"/>
                <w:highlight w:val="none"/>
              </w:rPr>
              <w:t>获得部、省、市级奖项称号或在主流媒体（如人民网、新华网、央视网、学习强国等）上进行宣传推介的可加分，积极承担参加部、省、市级活动受到表扬的予以加分。</w:t>
            </w:r>
          </w:p>
        </w:tc>
        <w:tc>
          <w:tcPr>
            <w:tcW w:w="914" w:type="dxa"/>
            <w:tcBorders>
              <w:top w:val="single" w:color="auto" w:sz="4" w:space="0"/>
              <w:left w:val="single" w:color="auto" w:sz="4" w:space="0"/>
              <w:bottom w:val="single" w:color="auto" w:sz="4" w:space="0"/>
            </w:tcBorders>
            <w:noWrap w:val="0"/>
            <w:vAlign w:val="center"/>
          </w:tcPr>
          <w:p w14:paraId="03321550">
            <w:pPr>
              <w:rPr>
                <w:rFonts w:hint="eastAsia" w:ascii="宋体" w:hAnsi="宋体" w:eastAsia="宋体"/>
                <w:b w:val="0"/>
                <w:bCs w:val="0"/>
                <w:sz w:val="20"/>
                <w:szCs w:val="20"/>
                <w:highlight w:val="none"/>
                <w:lang w:val="en-US" w:eastAsia="zh-CN"/>
              </w:rPr>
            </w:pPr>
            <w:r>
              <w:rPr>
                <w:rFonts w:hint="eastAsia" w:ascii="宋体" w:hAnsi="宋体"/>
                <w:b w:val="0"/>
                <w:bCs w:val="0"/>
                <w:sz w:val="20"/>
                <w:szCs w:val="20"/>
                <w:highlight w:val="none"/>
              </w:rPr>
              <w:t>10</w:t>
            </w:r>
            <w:r>
              <w:rPr>
                <w:rFonts w:hint="eastAsia" w:ascii="宋体" w:hAnsi="宋体"/>
                <w:b w:val="0"/>
                <w:bCs w:val="0"/>
                <w:sz w:val="20"/>
                <w:szCs w:val="20"/>
                <w:highlight w:val="none"/>
                <w:lang w:val="en-US" w:eastAsia="zh-CN"/>
              </w:rPr>
              <w:t>分</w:t>
            </w:r>
          </w:p>
        </w:tc>
        <w:tc>
          <w:tcPr>
            <w:tcW w:w="2986" w:type="dxa"/>
            <w:tcBorders>
              <w:top w:val="single" w:color="auto" w:sz="4" w:space="0"/>
              <w:bottom w:val="single" w:color="auto" w:sz="4" w:space="0"/>
            </w:tcBorders>
            <w:noWrap w:val="0"/>
            <w:vAlign w:val="center"/>
          </w:tcPr>
          <w:p w14:paraId="350C2199">
            <w:pPr>
              <w:rPr>
                <w:rFonts w:hint="eastAsia" w:ascii="宋体" w:hAnsi="宋体"/>
                <w:b w:val="0"/>
                <w:bCs w:val="0"/>
                <w:sz w:val="20"/>
                <w:szCs w:val="20"/>
                <w:highlight w:val="none"/>
              </w:rPr>
            </w:pPr>
            <w:r>
              <w:rPr>
                <w:rFonts w:hint="eastAsia" w:ascii="宋体" w:hAnsi="宋体"/>
                <w:b w:val="0"/>
                <w:bCs w:val="0"/>
                <w:sz w:val="20"/>
                <w:szCs w:val="20"/>
                <w:highlight w:val="none"/>
              </w:rPr>
              <w:t>每个项目加2分，最高可加10分。</w:t>
            </w:r>
          </w:p>
        </w:tc>
        <w:tc>
          <w:tcPr>
            <w:tcW w:w="1268" w:type="dxa"/>
            <w:tcBorders>
              <w:top w:val="single" w:color="auto" w:sz="4" w:space="0"/>
              <w:bottom w:val="single" w:color="auto" w:sz="4" w:space="0"/>
            </w:tcBorders>
            <w:noWrap/>
            <w:vAlign w:val="center"/>
          </w:tcPr>
          <w:p w14:paraId="5BB5688A">
            <w:pPr>
              <w:spacing w:line="340" w:lineRule="exact"/>
              <w:jc w:val="left"/>
              <w:rPr>
                <w:rFonts w:ascii="方正仿宋简体" w:hAnsi="方正仿宋简体" w:eastAsia="方正仿宋简体" w:cs="Tahoma"/>
                <w:b w:val="0"/>
                <w:bCs w:val="0"/>
                <w:color w:val="000000"/>
                <w:kern w:val="0"/>
                <w:sz w:val="22"/>
                <w:szCs w:val="22"/>
              </w:rPr>
            </w:pPr>
          </w:p>
        </w:tc>
        <w:tc>
          <w:tcPr>
            <w:tcW w:w="955" w:type="dxa"/>
            <w:tcBorders>
              <w:top w:val="single" w:color="auto" w:sz="4" w:space="0"/>
              <w:bottom w:val="single" w:color="auto" w:sz="4" w:space="0"/>
            </w:tcBorders>
            <w:noWrap/>
            <w:vAlign w:val="center"/>
          </w:tcPr>
          <w:p w14:paraId="597BF3FE">
            <w:pPr>
              <w:spacing w:line="340" w:lineRule="exact"/>
              <w:jc w:val="left"/>
              <w:rPr>
                <w:rFonts w:ascii="方正仿宋简体" w:hAnsi="方正仿宋简体" w:eastAsia="方正仿宋简体" w:cs="Tahoma"/>
                <w:b w:val="0"/>
                <w:bCs w:val="0"/>
                <w:color w:val="000000"/>
                <w:kern w:val="0"/>
                <w:sz w:val="22"/>
                <w:szCs w:val="22"/>
              </w:rPr>
            </w:pPr>
          </w:p>
        </w:tc>
      </w:tr>
      <w:tr w14:paraId="6507B02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70" w:hRule="atLeast"/>
        </w:trPr>
        <w:tc>
          <w:tcPr>
            <w:tcW w:w="1755" w:type="dxa"/>
            <w:tcBorders>
              <w:bottom w:val="single" w:color="auto" w:sz="4" w:space="0"/>
            </w:tcBorders>
            <w:noWrap w:val="0"/>
            <w:vAlign w:val="center"/>
          </w:tcPr>
          <w:p w14:paraId="15922ED9">
            <w:pPr>
              <w:widowControl/>
              <w:spacing w:line="340" w:lineRule="exact"/>
              <w:jc w:val="center"/>
              <w:rPr>
                <w:rFonts w:ascii="方正仿宋简体" w:hAnsi="方正仿宋简体" w:eastAsia="方正仿宋简体" w:cs="Tahoma"/>
                <w:b w:val="0"/>
                <w:bCs w:val="0"/>
                <w:color w:val="000000"/>
                <w:kern w:val="0"/>
                <w:sz w:val="22"/>
                <w:szCs w:val="22"/>
              </w:rPr>
            </w:pPr>
            <w:r>
              <w:rPr>
                <w:rFonts w:hint="eastAsia" w:ascii="方正仿宋简体" w:hAnsi="方正仿宋简体" w:eastAsia="方正仿宋简体" w:cs="Tahoma"/>
                <w:b w:val="0"/>
                <w:bCs w:val="0"/>
                <w:color w:val="000000"/>
                <w:kern w:val="0"/>
                <w:sz w:val="22"/>
                <w:szCs w:val="22"/>
              </w:rPr>
              <w:t>一票否决</w:t>
            </w:r>
          </w:p>
        </w:tc>
        <w:tc>
          <w:tcPr>
            <w:tcW w:w="2584" w:type="dxa"/>
            <w:tcBorders>
              <w:top w:val="single" w:color="auto" w:sz="4" w:space="0"/>
              <w:bottom w:val="single" w:color="auto" w:sz="4" w:space="0"/>
              <w:right w:val="single" w:color="auto" w:sz="4" w:space="0"/>
            </w:tcBorders>
            <w:noWrap w:val="0"/>
            <w:vAlign w:val="center"/>
          </w:tcPr>
          <w:p w14:paraId="301893D8">
            <w:pPr>
              <w:rPr>
                <w:rFonts w:hint="eastAsia" w:ascii="宋体" w:hAnsi="宋体"/>
                <w:b w:val="0"/>
                <w:bCs w:val="0"/>
                <w:sz w:val="20"/>
                <w:szCs w:val="20"/>
                <w:highlight w:val="none"/>
              </w:rPr>
            </w:pPr>
            <w:r>
              <w:rPr>
                <w:rFonts w:hint="eastAsia" w:ascii="宋体" w:hAnsi="宋体"/>
                <w:b w:val="0"/>
                <w:bCs w:val="0"/>
                <w:sz w:val="20"/>
                <w:szCs w:val="20"/>
                <w:highlight w:val="none"/>
              </w:rPr>
              <w:t>服务期间是否发生过</w:t>
            </w:r>
            <w:r>
              <w:rPr>
                <w:rFonts w:hint="eastAsia" w:ascii="宋体" w:hAnsi="宋体"/>
                <w:b w:val="0"/>
                <w:bCs w:val="0"/>
                <w:sz w:val="20"/>
                <w:szCs w:val="20"/>
                <w:highlight w:val="none"/>
                <w:lang w:val="en-US" w:eastAsia="zh-CN"/>
              </w:rPr>
              <w:t>一般以上</w:t>
            </w:r>
            <w:r>
              <w:rPr>
                <w:rFonts w:hint="eastAsia" w:ascii="宋体" w:hAnsi="宋体"/>
                <w:b w:val="0"/>
                <w:bCs w:val="0"/>
                <w:sz w:val="20"/>
                <w:szCs w:val="20"/>
                <w:highlight w:val="none"/>
              </w:rPr>
              <w:t>安全事故</w:t>
            </w:r>
            <w:r>
              <w:rPr>
                <w:rFonts w:hint="eastAsia" w:ascii="宋体" w:hAnsi="宋体"/>
                <w:b w:val="0"/>
                <w:bCs w:val="0"/>
                <w:sz w:val="20"/>
                <w:szCs w:val="20"/>
                <w:highlight w:val="none"/>
                <w:lang w:eastAsia="zh-CN"/>
              </w:rPr>
              <w:t>。</w:t>
            </w:r>
          </w:p>
        </w:tc>
        <w:tc>
          <w:tcPr>
            <w:tcW w:w="914" w:type="dxa"/>
            <w:tcBorders>
              <w:top w:val="single" w:color="auto" w:sz="4" w:space="0"/>
              <w:left w:val="single" w:color="auto" w:sz="4" w:space="0"/>
              <w:bottom w:val="single" w:color="auto" w:sz="4" w:space="0"/>
            </w:tcBorders>
            <w:noWrap w:val="0"/>
            <w:vAlign w:val="center"/>
          </w:tcPr>
          <w:p w14:paraId="26893F6A">
            <w:pPr>
              <w:rPr>
                <w:rFonts w:hint="eastAsia" w:ascii="宋体" w:hAnsi="宋体"/>
                <w:b w:val="0"/>
                <w:bCs w:val="0"/>
                <w:sz w:val="20"/>
                <w:szCs w:val="20"/>
                <w:highlight w:val="none"/>
              </w:rPr>
            </w:pPr>
          </w:p>
        </w:tc>
        <w:tc>
          <w:tcPr>
            <w:tcW w:w="2986" w:type="dxa"/>
            <w:tcBorders>
              <w:top w:val="single" w:color="auto" w:sz="4" w:space="0"/>
              <w:bottom w:val="single" w:color="auto" w:sz="4" w:space="0"/>
            </w:tcBorders>
            <w:noWrap w:val="0"/>
            <w:vAlign w:val="center"/>
          </w:tcPr>
          <w:p w14:paraId="09C28238">
            <w:pPr>
              <w:rPr>
                <w:rFonts w:hint="eastAsia" w:ascii="宋体" w:hAnsi="宋体"/>
                <w:b w:val="0"/>
                <w:bCs w:val="0"/>
                <w:sz w:val="20"/>
                <w:szCs w:val="20"/>
                <w:highlight w:val="none"/>
              </w:rPr>
            </w:pPr>
            <w:r>
              <w:rPr>
                <w:rFonts w:hint="eastAsia" w:ascii="宋体" w:hAnsi="宋体"/>
                <w:b w:val="0"/>
                <w:bCs w:val="0"/>
                <w:sz w:val="20"/>
                <w:szCs w:val="20"/>
                <w:highlight w:val="none"/>
              </w:rPr>
              <w:t>发生一起即全部扣除。</w:t>
            </w:r>
          </w:p>
        </w:tc>
        <w:tc>
          <w:tcPr>
            <w:tcW w:w="1268" w:type="dxa"/>
            <w:tcBorders>
              <w:top w:val="single" w:color="auto" w:sz="4" w:space="0"/>
              <w:bottom w:val="single" w:color="auto" w:sz="4" w:space="0"/>
            </w:tcBorders>
            <w:noWrap/>
            <w:vAlign w:val="center"/>
          </w:tcPr>
          <w:p w14:paraId="0EE10029">
            <w:pPr>
              <w:spacing w:line="340" w:lineRule="exact"/>
              <w:jc w:val="left"/>
              <w:rPr>
                <w:rFonts w:ascii="方正仿宋简体" w:hAnsi="方正仿宋简体" w:eastAsia="方正仿宋简体" w:cs="Tahoma"/>
                <w:b w:val="0"/>
                <w:bCs w:val="0"/>
                <w:color w:val="000000"/>
                <w:kern w:val="0"/>
                <w:sz w:val="22"/>
                <w:szCs w:val="22"/>
              </w:rPr>
            </w:pPr>
          </w:p>
        </w:tc>
        <w:tc>
          <w:tcPr>
            <w:tcW w:w="955" w:type="dxa"/>
            <w:tcBorders>
              <w:top w:val="single" w:color="auto" w:sz="4" w:space="0"/>
              <w:bottom w:val="single" w:color="auto" w:sz="4" w:space="0"/>
            </w:tcBorders>
            <w:noWrap/>
            <w:vAlign w:val="center"/>
          </w:tcPr>
          <w:p w14:paraId="6D5E8FA3">
            <w:pPr>
              <w:spacing w:line="340" w:lineRule="exact"/>
              <w:jc w:val="left"/>
              <w:rPr>
                <w:rFonts w:ascii="方正仿宋简体" w:hAnsi="方正仿宋简体" w:eastAsia="方正仿宋简体" w:cs="Tahoma"/>
                <w:b w:val="0"/>
                <w:bCs w:val="0"/>
                <w:color w:val="000000"/>
                <w:kern w:val="0"/>
                <w:sz w:val="22"/>
                <w:szCs w:val="22"/>
              </w:rPr>
            </w:pPr>
          </w:p>
        </w:tc>
      </w:tr>
      <w:tr w14:paraId="6A8D659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68" w:hRule="atLeast"/>
        </w:trPr>
        <w:tc>
          <w:tcPr>
            <w:tcW w:w="1755" w:type="dxa"/>
            <w:tcBorders>
              <w:top w:val="single" w:color="auto" w:sz="4" w:space="0"/>
            </w:tcBorders>
            <w:noWrap w:val="0"/>
            <w:vAlign w:val="center"/>
          </w:tcPr>
          <w:p w14:paraId="7BBB6789">
            <w:pPr>
              <w:spacing w:line="340" w:lineRule="exact"/>
              <w:jc w:val="center"/>
              <w:rPr>
                <w:rFonts w:ascii="方正仿宋简体" w:hAnsi="方正仿宋简体" w:eastAsia="方正仿宋简体" w:cs="Tahoma"/>
                <w:b w:val="0"/>
                <w:bCs w:val="0"/>
                <w:color w:val="000000"/>
                <w:kern w:val="0"/>
                <w:sz w:val="22"/>
                <w:szCs w:val="22"/>
              </w:rPr>
            </w:pPr>
            <w:r>
              <w:rPr>
                <w:rFonts w:hint="eastAsia" w:ascii="方正仿宋简体" w:hAnsi="方正仿宋简体" w:eastAsia="方正仿宋简体" w:cs="Tahoma"/>
                <w:b w:val="0"/>
                <w:bCs w:val="0"/>
                <w:color w:val="000000"/>
                <w:kern w:val="0"/>
                <w:sz w:val="22"/>
                <w:szCs w:val="22"/>
              </w:rPr>
              <w:t>合</w:t>
            </w:r>
            <w:r>
              <w:rPr>
                <w:rFonts w:hint="eastAsia" w:ascii="方正仿宋简体" w:hAnsi="方正仿宋简体" w:eastAsia="方正仿宋简体" w:cs="Tahoma"/>
                <w:b w:val="0"/>
                <w:bCs w:val="0"/>
                <w:color w:val="000000"/>
                <w:kern w:val="0"/>
                <w:sz w:val="22"/>
                <w:szCs w:val="22"/>
                <w:lang w:val="en-US" w:eastAsia="zh-CN"/>
              </w:rPr>
              <w:t xml:space="preserve">  </w:t>
            </w:r>
            <w:r>
              <w:rPr>
                <w:rFonts w:hint="eastAsia" w:ascii="方正仿宋简体" w:hAnsi="方正仿宋简体" w:eastAsia="方正仿宋简体" w:cs="Tahoma"/>
                <w:b w:val="0"/>
                <w:bCs w:val="0"/>
                <w:color w:val="000000"/>
                <w:kern w:val="0"/>
                <w:sz w:val="22"/>
                <w:szCs w:val="22"/>
              </w:rPr>
              <w:t>计</w:t>
            </w:r>
          </w:p>
        </w:tc>
        <w:tc>
          <w:tcPr>
            <w:tcW w:w="2584" w:type="dxa"/>
            <w:tcBorders>
              <w:top w:val="single" w:color="auto" w:sz="4" w:space="0"/>
              <w:right w:val="single" w:color="auto" w:sz="4" w:space="0"/>
            </w:tcBorders>
            <w:noWrap w:val="0"/>
            <w:vAlign w:val="center"/>
          </w:tcPr>
          <w:p w14:paraId="4AF46D17">
            <w:pPr>
              <w:rPr>
                <w:rFonts w:hint="eastAsia" w:ascii="宋体" w:hAnsi="宋体"/>
                <w:b w:val="0"/>
                <w:bCs w:val="0"/>
                <w:sz w:val="20"/>
                <w:szCs w:val="20"/>
                <w:highlight w:val="none"/>
              </w:rPr>
            </w:pPr>
            <w:r>
              <w:rPr>
                <w:rFonts w:hint="eastAsia" w:ascii="宋体" w:hAnsi="宋体"/>
                <w:b w:val="0"/>
                <w:bCs w:val="0"/>
                <w:sz w:val="20"/>
                <w:szCs w:val="20"/>
                <w:highlight w:val="none"/>
              </w:rPr>
              <w:t>总分</w:t>
            </w:r>
          </w:p>
        </w:tc>
        <w:tc>
          <w:tcPr>
            <w:tcW w:w="914" w:type="dxa"/>
            <w:tcBorders>
              <w:top w:val="single" w:color="auto" w:sz="4" w:space="0"/>
              <w:left w:val="single" w:color="auto" w:sz="4" w:space="0"/>
            </w:tcBorders>
            <w:noWrap w:val="0"/>
            <w:vAlign w:val="center"/>
          </w:tcPr>
          <w:p w14:paraId="4E01103A">
            <w:pPr>
              <w:rPr>
                <w:rFonts w:hint="eastAsia" w:ascii="宋体" w:hAnsi="宋体"/>
                <w:b w:val="0"/>
                <w:bCs w:val="0"/>
                <w:sz w:val="20"/>
                <w:szCs w:val="20"/>
                <w:highlight w:val="none"/>
              </w:rPr>
            </w:pPr>
            <w:r>
              <w:rPr>
                <w:rFonts w:hint="eastAsia" w:ascii="宋体" w:hAnsi="宋体"/>
                <w:b w:val="0"/>
                <w:bCs w:val="0"/>
                <w:sz w:val="20"/>
                <w:szCs w:val="20"/>
                <w:highlight w:val="none"/>
              </w:rPr>
              <w:t>100分</w:t>
            </w:r>
          </w:p>
        </w:tc>
        <w:tc>
          <w:tcPr>
            <w:tcW w:w="2986" w:type="dxa"/>
            <w:tcBorders>
              <w:top w:val="single" w:color="auto" w:sz="4" w:space="0"/>
            </w:tcBorders>
            <w:noWrap w:val="0"/>
            <w:vAlign w:val="center"/>
          </w:tcPr>
          <w:p w14:paraId="711E39B6">
            <w:pPr>
              <w:rPr>
                <w:rFonts w:hint="eastAsia" w:ascii="宋体" w:hAnsi="宋体"/>
                <w:b w:val="0"/>
                <w:bCs w:val="0"/>
                <w:sz w:val="20"/>
                <w:szCs w:val="20"/>
                <w:highlight w:val="none"/>
              </w:rPr>
            </w:pPr>
            <w:r>
              <w:rPr>
                <w:rFonts w:hint="eastAsia" w:ascii="宋体" w:hAnsi="宋体"/>
                <w:b w:val="0"/>
                <w:bCs w:val="0"/>
                <w:sz w:val="20"/>
                <w:szCs w:val="20"/>
                <w:highlight w:val="none"/>
              </w:rPr>
              <w:t>得分</w:t>
            </w:r>
          </w:p>
        </w:tc>
        <w:tc>
          <w:tcPr>
            <w:tcW w:w="1268" w:type="dxa"/>
            <w:tcBorders>
              <w:top w:val="single" w:color="auto" w:sz="4" w:space="0"/>
            </w:tcBorders>
            <w:noWrap/>
            <w:vAlign w:val="center"/>
          </w:tcPr>
          <w:p w14:paraId="6A42AC63">
            <w:pPr>
              <w:spacing w:line="340" w:lineRule="exact"/>
              <w:jc w:val="left"/>
              <w:rPr>
                <w:rFonts w:ascii="方正仿宋简体" w:hAnsi="方正仿宋简体" w:eastAsia="方正仿宋简体" w:cs="Tahoma"/>
                <w:b w:val="0"/>
                <w:bCs w:val="0"/>
                <w:color w:val="000000"/>
                <w:kern w:val="0"/>
                <w:sz w:val="22"/>
                <w:szCs w:val="22"/>
              </w:rPr>
            </w:pPr>
          </w:p>
        </w:tc>
        <w:tc>
          <w:tcPr>
            <w:tcW w:w="955" w:type="dxa"/>
            <w:tcBorders>
              <w:top w:val="single" w:color="auto" w:sz="4" w:space="0"/>
            </w:tcBorders>
            <w:noWrap/>
            <w:vAlign w:val="center"/>
          </w:tcPr>
          <w:p w14:paraId="486FC49A">
            <w:pPr>
              <w:spacing w:line="340" w:lineRule="exact"/>
              <w:jc w:val="left"/>
              <w:rPr>
                <w:rFonts w:ascii="方正仿宋简体" w:hAnsi="方正仿宋简体" w:eastAsia="方正仿宋简体" w:cs="Tahoma"/>
                <w:b w:val="0"/>
                <w:bCs w:val="0"/>
                <w:color w:val="000000"/>
                <w:kern w:val="0"/>
                <w:sz w:val="22"/>
                <w:szCs w:val="22"/>
              </w:rPr>
            </w:pPr>
          </w:p>
        </w:tc>
      </w:tr>
    </w:tbl>
    <w:p w14:paraId="0C918467">
      <w:pPr>
        <w:widowControl/>
        <w:spacing w:line="560" w:lineRule="exact"/>
        <w:jc w:val="left"/>
        <w:rPr>
          <w:rFonts w:ascii="方正仿宋简体" w:hAnsi="方正仿宋简体" w:eastAsia="方正仿宋简体"/>
          <w:b w:val="0"/>
          <w:bCs w:val="0"/>
          <w:color w:val="000000"/>
          <w:sz w:val="28"/>
          <w:szCs w:val="22"/>
          <w:lang w:bidi="he-IL"/>
        </w:rPr>
      </w:pPr>
      <w:r>
        <w:rPr>
          <w:rFonts w:hint="eastAsia" w:ascii="方正小标宋简体" w:eastAsia="方正小标宋简体"/>
          <w:color w:val="000000"/>
          <w:sz w:val="40"/>
          <w:szCs w:val="28"/>
          <w:lang w:bidi="he-IL"/>
        </w:rPr>
        <w:t xml:space="preserve">  </w:t>
      </w:r>
      <w:r>
        <w:rPr>
          <w:rFonts w:hint="eastAsia" w:ascii="方正仿宋简体" w:hAnsi="方正仿宋简体" w:eastAsia="方正仿宋简体"/>
          <w:b w:val="0"/>
          <w:bCs w:val="0"/>
          <w:color w:val="000000"/>
          <w:sz w:val="28"/>
          <w:szCs w:val="22"/>
          <w:lang w:bidi="he-IL"/>
        </w:rPr>
        <w:t>考核</w:t>
      </w:r>
      <w:r>
        <w:rPr>
          <w:rFonts w:ascii="方正仿宋简体" w:hAnsi="方正仿宋简体" w:eastAsia="方正仿宋简体"/>
          <w:b w:val="0"/>
          <w:bCs w:val="0"/>
          <w:color w:val="000000"/>
          <w:sz w:val="28"/>
          <w:szCs w:val="22"/>
          <w:lang w:bidi="he-IL"/>
        </w:rPr>
        <w:t>对象：</w:t>
      </w:r>
      <w:r>
        <w:rPr>
          <w:rFonts w:hint="eastAsia" w:ascii="方正仿宋简体" w:hAnsi="方正仿宋简体" w:eastAsia="方正仿宋简体"/>
          <w:b w:val="0"/>
          <w:bCs w:val="0"/>
          <w:color w:val="000000"/>
          <w:sz w:val="28"/>
          <w:szCs w:val="22"/>
          <w:lang w:bidi="he-IL"/>
        </w:rPr>
        <w:t xml:space="preserve">                         考核</w:t>
      </w:r>
      <w:r>
        <w:rPr>
          <w:rFonts w:ascii="方正仿宋简体" w:hAnsi="方正仿宋简体" w:eastAsia="方正仿宋简体"/>
          <w:b w:val="0"/>
          <w:bCs w:val="0"/>
          <w:color w:val="000000"/>
          <w:sz w:val="28"/>
          <w:szCs w:val="22"/>
          <w:lang w:bidi="he-IL"/>
        </w:rPr>
        <w:t>时间：</w:t>
      </w:r>
    </w:p>
    <w:p w14:paraId="7351532C">
      <w:pPr>
        <w:keepNext w:val="0"/>
        <w:keepLines w:val="0"/>
        <w:pageBreakBefore w:val="0"/>
        <w:widowControl/>
        <w:spacing w:line="240" w:lineRule="auto"/>
        <w:jc w:val="left"/>
        <w:outlineLvl w:val="9"/>
        <w:rPr>
          <w:rFonts w:hint="eastAsia" w:ascii="宋体" w:hAnsi="宋体" w:cs="宋体"/>
          <w:b/>
          <w:bCs/>
          <w:sz w:val="36"/>
          <w:szCs w:val="36"/>
          <w:highlight w:val="none"/>
          <w:lang w:val="zh-CN"/>
        </w:rPr>
      </w:pPr>
      <w:bookmarkStart w:id="273" w:name="_Toc19851"/>
      <w:r>
        <w:rPr>
          <w:rFonts w:hint="eastAsia" w:ascii="宋体" w:hAnsi="宋体" w:cs="宋体"/>
          <w:b/>
          <w:bCs/>
          <w:sz w:val="36"/>
          <w:szCs w:val="36"/>
          <w:highlight w:val="none"/>
          <w:lang w:val="zh-CN"/>
        </w:rPr>
        <w:br w:type="page"/>
      </w:r>
    </w:p>
    <w:p w14:paraId="68B56974">
      <w:pPr>
        <w:keepNext w:val="0"/>
        <w:keepLines w:val="0"/>
        <w:pageBreakBefore w:val="0"/>
        <w:widowControl w:val="0"/>
        <w:spacing w:line="360" w:lineRule="auto"/>
        <w:jc w:val="center"/>
        <w:outlineLvl w:val="0"/>
        <w:rPr>
          <w:rFonts w:ascii="宋体" w:hAnsi="宋体" w:cs="宋体"/>
          <w:sz w:val="36"/>
          <w:szCs w:val="36"/>
          <w:highlight w:val="none"/>
          <w:lang w:val="zh-CN"/>
        </w:rPr>
      </w:pPr>
      <w:r>
        <w:rPr>
          <w:rFonts w:hint="eastAsia" w:ascii="宋体" w:hAnsi="宋体" w:cs="宋体"/>
          <w:b/>
          <w:bCs/>
          <w:sz w:val="36"/>
          <w:szCs w:val="36"/>
          <w:highlight w:val="none"/>
          <w:lang w:val="zh-CN"/>
        </w:rPr>
        <w:t>第四章 评分标准</w:t>
      </w:r>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p>
    <w:p w14:paraId="4EA0ED76">
      <w:pPr>
        <w:pStyle w:val="204"/>
        <w:spacing w:line="360" w:lineRule="auto"/>
        <w:ind w:left="0" w:firstLine="420"/>
        <w:jc w:val="left"/>
        <w:rPr>
          <w:rFonts w:hint="eastAsia" w:ascii="宋体" w:hAnsi="宋体"/>
          <w:color w:val="000000"/>
          <w:szCs w:val="21"/>
          <w:highlight w:val="none"/>
          <w:lang w:val="en-US" w:eastAsia="zh-CN"/>
        </w:rPr>
      </w:pPr>
      <w:r>
        <w:rPr>
          <w:rFonts w:hint="eastAsia" w:ascii="宋体" w:hAnsi="宋体" w:eastAsia="宋体" w:cs="Times New Roman"/>
          <w:color w:val="000000"/>
          <w:sz w:val="21"/>
          <w:szCs w:val="21"/>
          <w:highlight w:val="none"/>
          <w:lang w:val="en-US" w:eastAsia="zh-CN" w:bidi="ar-SA"/>
        </w:rPr>
        <w:t>本项目采用综合评分法。综合评分法是指在满足采购文件实质性要求前提下，按照采购文件中规定的各项因素进行综合评审后，以总得分最高的供应商作为成交供应商的方法。当成交供应商不能履行其义务时，由备选供应商顶替，成为新的成交供应商，也可重新组织采购。</w:t>
      </w:r>
      <w:r>
        <w:rPr>
          <w:rFonts w:hint="eastAsia" w:ascii="宋体" w:hAnsi="宋体"/>
          <w:b w:val="0"/>
          <w:bCs w:val="0"/>
          <w:color w:val="000000"/>
          <w:szCs w:val="21"/>
          <w:highlight w:val="none"/>
          <w:lang w:eastAsia="zh-CN"/>
        </w:rPr>
        <w:t>注：</w:t>
      </w:r>
      <w:r>
        <w:rPr>
          <w:rFonts w:hint="eastAsia" w:ascii="宋体" w:hAnsi="宋体" w:cs="宋体"/>
          <w:szCs w:val="21"/>
          <w:highlight w:val="none"/>
          <w:lang w:val="en-US" w:eastAsia="zh-CN"/>
        </w:rPr>
        <w:t>本次招标中，</w:t>
      </w:r>
      <w:r>
        <w:rPr>
          <w:rFonts w:hint="eastAsia" w:ascii="宋体" w:hAnsi="宋体" w:cs="宋体"/>
          <w:b w:val="0"/>
          <w:bCs w:val="0"/>
          <w:szCs w:val="21"/>
          <w:highlight w:val="none"/>
          <w:lang w:eastAsia="zh-CN"/>
        </w:rPr>
        <w:t>同一个供应商如同时参加多个包的招标采购，则只能成交一个包，供应商在前一个标包中被确定为成交供应商后，仍然参加后续标包的评审，但是在后续标包中不能被推荐为</w:t>
      </w:r>
      <w:r>
        <w:rPr>
          <w:rFonts w:hint="eastAsia" w:ascii="宋体" w:hAnsi="宋体" w:cs="宋体"/>
          <w:b w:val="0"/>
          <w:bCs w:val="0"/>
          <w:szCs w:val="21"/>
          <w:highlight w:val="none"/>
          <w:lang w:val="en-US" w:eastAsia="zh-CN"/>
        </w:rPr>
        <w:t>成交供应商和候选供应商</w:t>
      </w:r>
      <w:r>
        <w:rPr>
          <w:rFonts w:hint="eastAsia" w:ascii="宋体" w:hAnsi="宋体" w:cs="宋体"/>
          <w:b w:val="0"/>
          <w:bCs w:val="0"/>
          <w:szCs w:val="21"/>
          <w:highlight w:val="none"/>
          <w:lang w:eastAsia="zh-CN"/>
        </w:rPr>
        <w:t>。</w:t>
      </w:r>
      <w:r>
        <w:rPr>
          <w:rFonts w:hint="eastAsia" w:ascii="宋体" w:hAnsi="宋体" w:cs="Times New Roman"/>
          <w:color w:val="000000"/>
          <w:szCs w:val="21"/>
          <w:highlight w:val="none"/>
        </w:rPr>
        <w:t>（分包号次序从分包一至分包</w:t>
      </w:r>
      <w:r>
        <w:rPr>
          <w:rFonts w:hint="eastAsia" w:ascii="宋体" w:hAnsi="宋体" w:cs="Times New Roman"/>
          <w:color w:val="000000"/>
          <w:szCs w:val="21"/>
          <w:highlight w:val="none"/>
          <w:lang w:val="en-US" w:eastAsia="zh-CN"/>
        </w:rPr>
        <w:t>二</w:t>
      </w:r>
      <w:r>
        <w:rPr>
          <w:rFonts w:hint="eastAsia" w:ascii="宋体" w:hAnsi="宋体" w:cs="Times New Roman"/>
          <w:color w:val="000000"/>
          <w:szCs w:val="21"/>
          <w:highlight w:val="none"/>
        </w:rPr>
        <w:t>按顺序排列）</w:t>
      </w:r>
    </w:p>
    <w:tbl>
      <w:tblPr>
        <w:tblStyle w:val="38"/>
        <w:tblW w:w="94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2"/>
        <w:gridCol w:w="1340"/>
        <w:gridCol w:w="6507"/>
        <w:gridCol w:w="903"/>
      </w:tblGrid>
      <w:tr w14:paraId="45283C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blHeader/>
          <w:jc w:val="center"/>
        </w:trPr>
        <w:tc>
          <w:tcPr>
            <w:tcW w:w="662" w:type="dxa"/>
            <w:tcBorders>
              <w:top w:val="single" w:color="auto" w:sz="4" w:space="0"/>
              <w:left w:val="single" w:color="auto" w:sz="4" w:space="0"/>
              <w:bottom w:val="single" w:color="auto" w:sz="4" w:space="0"/>
              <w:right w:val="single" w:color="auto" w:sz="4" w:space="0"/>
            </w:tcBorders>
            <w:noWrap w:val="0"/>
            <w:vAlign w:val="top"/>
          </w:tcPr>
          <w:p w14:paraId="43E76FE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b w:val="0"/>
                <w:bCs/>
                <w:szCs w:val="21"/>
                <w:highlight w:val="none"/>
              </w:rPr>
            </w:pPr>
            <w:r>
              <w:rPr>
                <w:rFonts w:hint="eastAsia" w:ascii="宋体" w:hAnsi="宋体"/>
                <w:b w:val="0"/>
                <w:bCs/>
                <w:szCs w:val="21"/>
                <w:highlight w:val="none"/>
              </w:rPr>
              <w:t>序号</w:t>
            </w:r>
          </w:p>
        </w:tc>
        <w:tc>
          <w:tcPr>
            <w:tcW w:w="1340" w:type="dxa"/>
            <w:tcBorders>
              <w:top w:val="single" w:color="auto" w:sz="4" w:space="0"/>
              <w:left w:val="single" w:color="auto" w:sz="4" w:space="0"/>
              <w:bottom w:val="single" w:color="auto" w:sz="4" w:space="0"/>
              <w:right w:val="single" w:color="auto" w:sz="4" w:space="0"/>
            </w:tcBorders>
            <w:noWrap w:val="0"/>
            <w:vAlign w:val="top"/>
          </w:tcPr>
          <w:p w14:paraId="5034ACE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b w:val="0"/>
                <w:bCs/>
                <w:szCs w:val="21"/>
                <w:highlight w:val="none"/>
              </w:rPr>
            </w:pPr>
            <w:r>
              <w:rPr>
                <w:rFonts w:hint="eastAsia" w:ascii="宋体" w:hAnsi="宋体"/>
                <w:b w:val="0"/>
                <w:bCs/>
                <w:szCs w:val="21"/>
                <w:highlight w:val="none"/>
              </w:rPr>
              <w:t>评分因素</w:t>
            </w:r>
          </w:p>
        </w:tc>
        <w:tc>
          <w:tcPr>
            <w:tcW w:w="6507" w:type="dxa"/>
            <w:tcBorders>
              <w:top w:val="single" w:color="auto" w:sz="4" w:space="0"/>
              <w:left w:val="single" w:color="auto" w:sz="4" w:space="0"/>
              <w:bottom w:val="single" w:color="auto" w:sz="4" w:space="0"/>
              <w:right w:val="single" w:color="auto" w:sz="4" w:space="0"/>
            </w:tcBorders>
            <w:noWrap w:val="0"/>
            <w:vAlign w:val="top"/>
          </w:tcPr>
          <w:p w14:paraId="3A1AA2D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b w:val="0"/>
                <w:bCs/>
                <w:szCs w:val="21"/>
                <w:highlight w:val="none"/>
              </w:rPr>
            </w:pPr>
            <w:r>
              <w:rPr>
                <w:rFonts w:hint="eastAsia" w:ascii="宋体" w:hAnsi="宋体"/>
                <w:b w:val="0"/>
                <w:bCs/>
                <w:szCs w:val="21"/>
                <w:highlight w:val="none"/>
              </w:rPr>
              <w:t>评分标准</w:t>
            </w:r>
          </w:p>
        </w:tc>
        <w:tc>
          <w:tcPr>
            <w:tcW w:w="903" w:type="dxa"/>
            <w:tcBorders>
              <w:top w:val="single" w:color="auto" w:sz="4" w:space="0"/>
              <w:left w:val="single" w:color="auto" w:sz="4" w:space="0"/>
              <w:bottom w:val="single" w:color="auto" w:sz="4" w:space="0"/>
              <w:right w:val="single" w:color="auto" w:sz="4" w:space="0"/>
            </w:tcBorders>
            <w:noWrap w:val="0"/>
            <w:vAlign w:val="top"/>
          </w:tcPr>
          <w:p w14:paraId="6BE62EC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b w:val="0"/>
                <w:bCs/>
                <w:szCs w:val="21"/>
                <w:highlight w:val="none"/>
              </w:rPr>
            </w:pPr>
            <w:r>
              <w:rPr>
                <w:rFonts w:hint="eastAsia" w:ascii="宋体" w:hAnsi="宋体"/>
                <w:b w:val="0"/>
                <w:bCs/>
                <w:szCs w:val="21"/>
                <w:highlight w:val="none"/>
              </w:rPr>
              <w:t>分值</w:t>
            </w:r>
          </w:p>
        </w:tc>
      </w:tr>
      <w:tr w14:paraId="69DC1A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9" w:hRule="atLeast"/>
          <w:tblHeader/>
          <w:jc w:val="center"/>
        </w:trPr>
        <w:tc>
          <w:tcPr>
            <w:tcW w:w="662" w:type="dxa"/>
            <w:tcBorders>
              <w:top w:val="single" w:color="auto" w:sz="4" w:space="0"/>
              <w:left w:val="single" w:color="auto" w:sz="4" w:space="0"/>
              <w:bottom w:val="single" w:color="auto" w:sz="4" w:space="0"/>
              <w:right w:val="single" w:color="auto" w:sz="4" w:space="0"/>
            </w:tcBorders>
            <w:noWrap w:val="0"/>
            <w:vAlign w:val="center"/>
          </w:tcPr>
          <w:p w14:paraId="62F0F269">
            <w:pPr>
              <w:jc w:val="center"/>
              <w:rPr>
                <w:rFonts w:hint="eastAsia" w:ascii="宋体" w:hAnsi="宋体"/>
                <w:b w:val="0"/>
                <w:bCs/>
                <w:szCs w:val="21"/>
                <w:highlight w:val="none"/>
              </w:rPr>
            </w:pPr>
            <w:r>
              <w:rPr>
                <w:rFonts w:hint="eastAsia" w:ascii="宋体" w:hAnsi="宋体"/>
                <w:b w:val="0"/>
                <w:bCs/>
                <w:szCs w:val="21"/>
                <w:highlight w:val="none"/>
              </w:rPr>
              <w:t>1</w:t>
            </w:r>
          </w:p>
        </w:tc>
        <w:tc>
          <w:tcPr>
            <w:tcW w:w="1340" w:type="dxa"/>
            <w:tcBorders>
              <w:top w:val="single" w:color="auto" w:sz="4" w:space="0"/>
              <w:left w:val="single" w:color="auto" w:sz="4" w:space="0"/>
              <w:right w:val="single" w:color="auto" w:sz="4" w:space="0"/>
            </w:tcBorders>
            <w:noWrap w:val="0"/>
            <w:vAlign w:val="center"/>
          </w:tcPr>
          <w:p w14:paraId="4261B95E">
            <w:pPr>
              <w:jc w:val="center"/>
              <w:rPr>
                <w:rFonts w:hint="eastAsia" w:ascii="宋体" w:hAnsi="宋体"/>
                <w:b w:val="0"/>
                <w:bCs/>
                <w:szCs w:val="21"/>
                <w:highlight w:val="none"/>
              </w:rPr>
            </w:pPr>
            <w:r>
              <w:rPr>
                <w:rFonts w:hint="eastAsia" w:ascii="宋体" w:hAnsi="宋体"/>
                <w:b w:val="0"/>
                <w:bCs/>
                <w:szCs w:val="21"/>
                <w:highlight w:val="none"/>
              </w:rPr>
              <w:t>价格</w:t>
            </w:r>
          </w:p>
          <w:p w14:paraId="1F3DE3F1">
            <w:pPr>
              <w:jc w:val="center"/>
              <w:rPr>
                <w:rFonts w:hint="eastAsia" w:ascii="宋体" w:hAnsi="宋体"/>
                <w:b w:val="0"/>
                <w:bCs/>
                <w:szCs w:val="21"/>
                <w:highlight w:val="none"/>
              </w:rPr>
            </w:pPr>
            <w:r>
              <w:rPr>
                <w:rFonts w:hint="eastAsia" w:ascii="宋体" w:hAnsi="宋体"/>
                <w:b w:val="0"/>
                <w:bCs/>
                <w:szCs w:val="21"/>
                <w:highlight w:val="none"/>
              </w:rPr>
              <w:t>（</w:t>
            </w:r>
            <w:r>
              <w:rPr>
                <w:rFonts w:hint="eastAsia" w:ascii="宋体" w:hAnsi="宋体"/>
                <w:b w:val="0"/>
                <w:bCs/>
                <w:szCs w:val="21"/>
                <w:highlight w:val="none"/>
                <w:lang w:val="en-US" w:eastAsia="zh-CN"/>
              </w:rPr>
              <w:t>1</w:t>
            </w:r>
            <w:r>
              <w:rPr>
                <w:rFonts w:hint="eastAsia" w:ascii="宋体" w:hAnsi="宋体"/>
                <w:b w:val="0"/>
                <w:bCs/>
                <w:szCs w:val="21"/>
                <w:highlight w:val="none"/>
              </w:rPr>
              <w:t>0</w:t>
            </w:r>
            <w:r>
              <w:rPr>
                <w:rFonts w:hint="eastAsia" w:ascii="宋体" w:hAnsi="宋体"/>
                <w:b w:val="0"/>
                <w:bCs/>
                <w:szCs w:val="21"/>
                <w:highlight w:val="none"/>
                <w:lang w:val="en-US" w:eastAsia="zh-CN"/>
              </w:rPr>
              <w:t>分</w:t>
            </w:r>
            <w:r>
              <w:rPr>
                <w:rFonts w:hint="eastAsia" w:ascii="宋体" w:hAnsi="宋体"/>
                <w:b w:val="0"/>
                <w:bCs/>
                <w:szCs w:val="21"/>
                <w:highlight w:val="none"/>
              </w:rPr>
              <w:t>）</w:t>
            </w:r>
          </w:p>
        </w:tc>
        <w:tc>
          <w:tcPr>
            <w:tcW w:w="6507" w:type="dxa"/>
            <w:tcBorders>
              <w:top w:val="single" w:color="auto" w:sz="4" w:space="0"/>
              <w:left w:val="single" w:color="auto" w:sz="4" w:space="0"/>
              <w:bottom w:val="single" w:color="auto" w:sz="4" w:space="0"/>
              <w:right w:val="single" w:color="auto" w:sz="4" w:space="0"/>
            </w:tcBorders>
            <w:noWrap w:val="0"/>
            <w:vAlign w:val="center"/>
          </w:tcPr>
          <w:p w14:paraId="2BCB3805">
            <w:pPr>
              <w:rPr>
                <w:rFonts w:hint="eastAsia" w:ascii="宋体" w:hAnsi="宋体"/>
                <w:b w:val="0"/>
                <w:bCs/>
                <w:szCs w:val="21"/>
                <w:highlight w:val="none"/>
              </w:rPr>
            </w:pPr>
            <w:r>
              <w:rPr>
                <w:rFonts w:hint="eastAsia" w:ascii="宋体" w:hAnsi="宋体"/>
                <w:szCs w:val="21"/>
                <w:lang w:eastAsia="zh-CN"/>
              </w:rPr>
              <w:t>采用低价优先法计算，即满足磋商文件要求且磋商价格最低的磋商报价为评标基准价，其价格分为满分。其他供应商的价格分统一按照下列公式计算：磋商报价得分=(评标基准价/磋商报价)×10（小数点后保留两位）。</w:t>
            </w:r>
          </w:p>
        </w:tc>
        <w:tc>
          <w:tcPr>
            <w:tcW w:w="903" w:type="dxa"/>
            <w:tcBorders>
              <w:top w:val="single" w:color="auto" w:sz="4" w:space="0"/>
              <w:left w:val="single" w:color="auto" w:sz="4" w:space="0"/>
              <w:bottom w:val="single" w:color="auto" w:sz="4" w:space="0"/>
              <w:right w:val="single" w:color="auto" w:sz="4" w:space="0"/>
            </w:tcBorders>
            <w:noWrap w:val="0"/>
            <w:vAlign w:val="center"/>
          </w:tcPr>
          <w:p w14:paraId="3BB614FD">
            <w:pPr>
              <w:jc w:val="center"/>
              <w:rPr>
                <w:rFonts w:hint="eastAsia" w:ascii="宋体" w:hAnsi="宋体"/>
                <w:b w:val="0"/>
                <w:bCs/>
                <w:szCs w:val="21"/>
                <w:highlight w:val="none"/>
              </w:rPr>
            </w:pPr>
            <w:r>
              <w:rPr>
                <w:rFonts w:hint="eastAsia" w:ascii="宋体" w:hAnsi="宋体"/>
                <w:b w:val="0"/>
                <w:bCs/>
                <w:szCs w:val="21"/>
                <w:highlight w:val="none"/>
                <w:lang w:val="en-US" w:eastAsia="zh-CN"/>
              </w:rPr>
              <w:t>1</w:t>
            </w:r>
            <w:r>
              <w:rPr>
                <w:rFonts w:hint="eastAsia" w:ascii="宋体" w:hAnsi="宋体"/>
                <w:b w:val="0"/>
                <w:bCs/>
                <w:szCs w:val="21"/>
                <w:highlight w:val="none"/>
              </w:rPr>
              <w:t>0</w:t>
            </w:r>
          </w:p>
        </w:tc>
      </w:tr>
      <w:tr w14:paraId="21D990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tblHeader/>
          <w:jc w:val="center"/>
        </w:trPr>
        <w:tc>
          <w:tcPr>
            <w:tcW w:w="662" w:type="dxa"/>
            <w:vMerge w:val="restart"/>
            <w:tcBorders>
              <w:top w:val="single" w:color="auto" w:sz="4" w:space="0"/>
              <w:left w:val="single" w:color="auto" w:sz="4" w:space="0"/>
              <w:right w:val="single" w:color="auto" w:sz="4" w:space="0"/>
            </w:tcBorders>
            <w:noWrap w:val="0"/>
            <w:vAlign w:val="center"/>
          </w:tcPr>
          <w:p w14:paraId="59E98FF0">
            <w:pPr>
              <w:jc w:val="center"/>
              <w:rPr>
                <w:rFonts w:hint="eastAsia" w:ascii="宋体" w:hAnsi="宋体"/>
                <w:b w:val="0"/>
                <w:bCs/>
                <w:szCs w:val="21"/>
                <w:highlight w:val="none"/>
              </w:rPr>
            </w:pPr>
            <w:r>
              <w:rPr>
                <w:rFonts w:hint="eastAsia" w:ascii="宋体" w:hAnsi="宋体"/>
                <w:b w:val="0"/>
                <w:bCs/>
                <w:szCs w:val="21"/>
                <w:highlight w:val="none"/>
              </w:rPr>
              <w:t>2.1</w:t>
            </w:r>
          </w:p>
        </w:tc>
        <w:tc>
          <w:tcPr>
            <w:tcW w:w="1340" w:type="dxa"/>
            <w:vMerge w:val="restart"/>
            <w:tcBorders>
              <w:top w:val="single" w:color="auto" w:sz="4" w:space="0"/>
              <w:left w:val="single" w:color="auto" w:sz="4" w:space="0"/>
              <w:right w:val="single" w:color="auto" w:sz="4" w:space="0"/>
            </w:tcBorders>
            <w:noWrap w:val="0"/>
            <w:vAlign w:val="center"/>
          </w:tcPr>
          <w:p w14:paraId="10ECEF74">
            <w:pPr>
              <w:rPr>
                <w:rFonts w:hint="eastAsia" w:ascii="宋体" w:hAnsi="宋体"/>
                <w:b w:val="0"/>
                <w:bCs/>
                <w:szCs w:val="21"/>
                <w:highlight w:val="none"/>
              </w:rPr>
            </w:pPr>
            <w:r>
              <w:rPr>
                <w:rFonts w:hint="eastAsia" w:ascii="宋体" w:hAnsi="宋体"/>
                <w:b w:val="0"/>
                <w:bCs/>
                <w:szCs w:val="21"/>
                <w:highlight w:val="none"/>
              </w:rPr>
              <w:t>技术方案</w:t>
            </w:r>
            <w:r>
              <w:rPr>
                <w:rFonts w:hint="eastAsia" w:ascii="宋体" w:hAnsi="宋体"/>
                <w:b w:val="0"/>
                <w:bCs/>
                <w:szCs w:val="21"/>
                <w:highlight w:val="none"/>
                <w:lang w:eastAsia="zh-CN"/>
              </w:rPr>
              <w:t>（</w:t>
            </w:r>
            <w:r>
              <w:rPr>
                <w:rFonts w:hint="eastAsia" w:ascii="宋体" w:hAnsi="宋体"/>
                <w:b w:val="0"/>
                <w:bCs/>
                <w:szCs w:val="21"/>
                <w:highlight w:val="none"/>
                <w:lang w:val="en-US" w:eastAsia="zh-CN"/>
              </w:rPr>
              <w:t>70分</w:t>
            </w:r>
            <w:r>
              <w:rPr>
                <w:rFonts w:hint="eastAsia" w:ascii="宋体" w:hAnsi="宋体"/>
                <w:b w:val="0"/>
                <w:bCs/>
                <w:szCs w:val="21"/>
                <w:highlight w:val="none"/>
              </w:rPr>
              <w:t>）</w:t>
            </w:r>
          </w:p>
        </w:tc>
        <w:tc>
          <w:tcPr>
            <w:tcW w:w="6507" w:type="dxa"/>
            <w:tcBorders>
              <w:top w:val="single" w:color="auto" w:sz="4" w:space="0"/>
              <w:left w:val="single" w:color="auto" w:sz="4" w:space="0"/>
              <w:bottom w:val="single" w:color="auto" w:sz="4" w:space="0"/>
              <w:right w:val="single" w:color="auto" w:sz="4" w:space="0"/>
            </w:tcBorders>
            <w:noWrap w:val="0"/>
            <w:vAlign w:val="top"/>
          </w:tcPr>
          <w:p w14:paraId="7758316F">
            <w:pPr>
              <w:rPr>
                <w:rFonts w:hint="eastAsia" w:ascii="宋体" w:hAnsi="宋体"/>
                <w:b w:val="0"/>
                <w:bCs/>
                <w:szCs w:val="21"/>
                <w:highlight w:val="none"/>
              </w:rPr>
            </w:pPr>
            <w:r>
              <w:rPr>
                <w:rFonts w:hint="eastAsia" w:ascii="宋体" w:hAnsi="宋体"/>
                <w:b w:val="0"/>
                <w:bCs/>
                <w:szCs w:val="21"/>
                <w:highlight w:val="none"/>
                <w:lang w:val="en-US" w:eastAsia="zh-CN"/>
              </w:rPr>
              <w:t>2.1</w:t>
            </w:r>
            <w:r>
              <w:rPr>
                <w:rFonts w:hint="eastAsia" w:ascii="宋体" w:hAnsi="宋体"/>
                <w:b w:val="0"/>
                <w:bCs/>
                <w:szCs w:val="21"/>
                <w:highlight w:val="none"/>
              </w:rPr>
              <w:t>整体实施方案（</w:t>
            </w:r>
            <w:r>
              <w:rPr>
                <w:rFonts w:hint="eastAsia" w:ascii="宋体" w:hAnsi="宋体"/>
                <w:b w:val="0"/>
                <w:bCs/>
                <w:szCs w:val="21"/>
                <w:highlight w:val="none"/>
                <w:lang w:val="en-US" w:eastAsia="zh-CN"/>
              </w:rPr>
              <w:t>10</w:t>
            </w:r>
            <w:r>
              <w:rPr>
                <w:rFonts w:hint="eastAsia" w:ascii="宋体" w:hAnsi="宋体"/>
                <w:b w:val="0"/>
                <w:bCs/>
                <w:szCs w:val="21"/>
                <w:highlight w:val="none"/>
              </w:rPr>
              <w:t>分）</w:t>
            </w:r>
          </w:p>
          <w:p w14:paraId="46955E87">
            <w:pPr>
              <w:rPr>
                <w:rFonts w:hint="eastAsia" w:ascii="宋体" w:hAnsi="宋体"/>
                <w:b w:val="0"/>
                <w:bCs/>
                <w:szCs w:val="21"/>
                <w:highlight w:val="none"/>
              </w:rPr>
            </w:pPr>
            <w:r>
              <w:rPr>
                <w:rFonts w:hint="eastAsia" w:ascii="宋体" w:hAnsi="宋体"/>
                <w:b w:val="0"/>
                <w:bCs/>
                <w:szCs w:val="21"/>
                <w:highlight w:val="none"/>
              </w:rPr>
              <w:t>根据供应商对服务内容、工作方案以及达到得深度、效果进行评审：</w:t>
            </w:r>
          </w:p>
          <w:p w14:paraId="2835261C">
            <w:pPr>
              <w:rPr>
                <w:rFonts w:hint="eastAsia" w:ascii="宋体" w:hAnsi="宋体"/>
                <w:b w:val="0"/>
                <w:bCs/>
                <w:szCs w:val="21"/>
                <w:highlight w:val="none"/>
              </w:rPr>
            </w:pPr>
            <w:r>
              <w:rPr>
                <w:rFonts w:hint="eastAsia" w:ascii="宋体" w:hAnsi="宋体"/>
                <w:b w:val="0"/>
                <w:bCs/>
                <w:szCs w:val="21"/>
                <w:highlight w:val="none"/>
              </w:rPr>
              <w:t>方案完善、详尽、切实可行的得</w:t>
            </w:r>
            <w:r>
              <w:rPr>
                <w:rFonts w:hint="eastAsia" w:ascii="宋体" w:hAnsi="宋体"/>
                <w:b w:val="0"/>
                <w:bCs/>
                <w:szCs w:val="21"/>
                <w:highlight w:val="none"/>
                <w:lang w:val="en-US" w:eastAsia="zh-CN"/>
              </w:rPr>
              <w:t>10</w:t>
            </w:r>
            <w:r>
              <w:rPr>
                <w:rFonts w:hint="eastAsia" w:ascii="宋体" w:hAnsi="宋体"/>
                <w:b w:val="0"/>
                <w:bCs/>
                <w:szCs w:val="21"/>
                <w:highlight w:val="none"/>
              </w:rPr>
              <w:t>分；</w:t>
            </w:r>
          </w:p>
          <w:p w14:paraId="509F6ECB">
            <w:pPr>
              <w:rPr>
                <w:rFonts w:hint="eastAsia" w:ascii="宋体" w:hAnsi="宋体"/>
                <w:b w:val="0"/>
                <w:bCs/>
                <w:szCs w:val="21"/>
                <w:highlight w:val="none"/>
              </w:rPr>
            </w:pPr>
            <w:r>
              <w:rPr>
                <w:rFonts w:hint="eastAsia" w:ascii="宋体" w:hAnsi="宋体"/>
                <w:b w:val="0"/>
                <w:bCs/>
                <w:szCs w:val="21"/>
                <w:highlight w:val="none"/>
              </w:rPr>
              <w:t>方案基本完善满足要求得</w:t>
            </w:r>
            <w:r>
              <w:rPr>
                <w:rFonts w:hint="eastAsia" w:ascii="宋体" w:hAnsi="宋体"/>
                <w:b w:val="0"/>
                <w:bCs/>
                <w:szCs w:val="21"/>
                <w:highlight w:val="none"/>
                <w:lang w:val="en-US" w:eastAsia="zh-CN"/>
              </w:rPr>
              <w:t>7</w:t>
            </w:r>
            <w:r>
              <w:rPr>
                <w:rFonts w:hint="eastAsia" w:ascii="宋体" w:hAnsi="宋体"/>
                <w:b w:val="0"/>
                <w:bCs/>
                <w:szCs w:val="21"/>
                <w:highlight w:val="none"/>
              </w:rPr>
              <w:t>分；</w:t>
            </w:r>
          </w:p>
          <w:p w14:paraId="2CDA2430">
            <w:pPr>
              <w:rPr>
                <w:rFonts w:hint="eastAsia" w:ascii="宋体" w:hAnsi="宋体"/>
                <w:b w:val="0"/>
                <w:bCs/>
                <w:szCs w:val="21"/>
                <w:highlight w:val="none"/>
              </w:rPr>
            </w:pPr>
            <w:r>
              <w:rPr>
                <w:rFonts w:hint="eastAsia" w:ascii="宋体" w:hAnsi="宋体"/>
                <w:b w:val="0"/>
                <w:bCs/>
                <w:szCs w:val="21"/>
                <w:highlight w:val="none"/>
              </w:rPr>
              <w:t>方案不完善或存在缺陷的得</w:t>
            </w:r>
            <w:r>
              <w:rPr>
                <w:rFonts w:hint="eastAsia" w:ascii="宋体" w:hAnsi="宋体"/>
                <w:b w:val="0"/>
                <w:bCs/>
                <w:szCs w:val="21"/>
                <w:highlight w:val="none"/>
                <w:lang w:val="en-US" w:eastAsia="zh-CN"/>
              </w:rPr>
              <w:t>4</w:t>
            </w:r>
            <w:r>
              <w:rPr>
                <w:rFonts w:hint="eastAsia" w:ascii="宋体" w:hAnsi="宋体"/>
                <w:b w:val="0"/>
                <w:bCs/>
                <w:szCs w:val="21"/>
                <w:highlight w:val="none"/>
              </w:rPr>
              <w:t>分；</w:t>
            </w:r>
          </w:p>
          <w:p w14:paraId="50A56CE4">
            <w:pPr>
              <w:rPr>
                <w:rFonts w:hint="eastAsia" w:ascii="宋体" w:hAnsi="宋体"/>
                <w:b w:val="0"/>
                <w:bCs/>
                <w:szCs w:val="21"/>
                <w:highlight w:val="none"/>
              </w:rPr>
            </w:pPr>
            <w:r>
              <w:rPr>
                <w:rFonts w:hint="eastAsia" w:ascii="宋体" w:hAnsi="宋体"/>
                <w:b w:val="0"/>
                <w:bCs/>
                <w:szCs w:val="21"/>
                <w:highlight w:val="none"/>
              </w:rPr>
              <w:t>未提供不得分。</w:t>
            </w:r>
          </w:p>
        </w:tc>
        <w:tc>
          <w:tcPr>
            <w:tcW w:w="903" w:type="dxa"/>
            <w:tcBorders>
              <w:top w:val="single" w:color="auto" w:sz="4" w:space="0"/>
              <w:left w:val="single" w:color="auto" w:sz="4" w:space="0"/>
              <w:bottom w:val="single" w:color="auto" w:sz="4" w:space="0"/>
              <w:right w:val="single" w:color="auto" w:sz="4" w:space="0"/>
            </w:tcBorders>
            <w:noWrap w:val="0"/>
            <w:vAlign w:val="center"/>
          </w:tcPr>
          <w:p w14:paraId="5B0186CB">
            <w:pPr>
              <w:jc w:val="center"/>
              <w:rPr>
                <w:rFonts w:hint="default" w:ascii="宋体" w:hAnsi="宋体"/>
                <w:b w:val="0"/>
                <w:bCs/>
                <w:szCs w:val="21"/>
                <w:highlight w:val="none"/>
                <w:lang w:val="en-US" w:eastAsia="zh-CN"/>
              </w:rPr>
            </w:pPr>
            <w:r>
              <w:rPr>
                <w:rFonts w:hint="eastAsia" w:ascii="宋体" w:hAnsi="宋体"/>
                <w:b w:val="0"/>
                <w:bCs/>
                <w:szCs w:val="21"/>
                <w:highlight w:val="none"/>
                <w:lang w:val="en-US" w:eastAsia="zh-CN"/>
              </w:rPr>
              <w:t>10</w:t>
            </w:r>
          </w:p>
        </w:tc>
      </w:tr>
      <w:tr w14:paraId="6FDAAE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tblHeader/>
          <w:jc w:val="center"/>
        </w:trPr>
        <w:tc>
          <w:tcPr>
            <w:tcW w:w="662" w:type="dxa"/>
            <w:vMerge w:val="continue"/>
            <w:tcBorders>
              <w:left w:val="single" w:color="auto" w:sz="4" w:space="0"/>
              <w:right w:val="single" w:color="auto" w:sz="4" w:space="0"/>
            </w:tcBorders>
            <w:noWrap w:val="0"/>
            <w:vAlign w:val="center"/>
          </w:tcPr>
          <w:p w14:paraId="7593CD3B">
            <w:pPr>
              <w:jc w:val="center"/>
              <w:rPr>
                <w:rFonts w:hint="eastAsia" w:ascii="宋体" w:hAnsi="宋体"/>
                <w:b w:val="0"/>
                <w:bCs/>
                <w:szCs w:val="21"/>
                <w:highlight w:val="none"/>
              </w:rPr>
            </w:pPr>
          </w:p>
        </w:tc>
        <w:tc>
          <w:tcPr>
            <w:tcW w:w="1340" w:type="dxa"/>
            <w:vMerge w:val="continue"/>
            <w:tcBorders>
              <w:left w:val="single" w:color="auto" w:sz="4" w:space="0"/>
              <w:right w:val="single" w:color="auto" w:sz="4" w:space="0"/>
            </w:tcBorders>
            <w:noWrap w:val="0"/>
            <w:vAlign w:val="center"/>
          </w:tcPr>
          <w:p w14:paraId="05661C14">
            <w:pPr>
              <w:rPr>
                <w:rFonts w:hint="eastAsia" w:ascii="宋体" w:hAnsi="宋体"/>
                <w:b w:val="0"/>
                <w:bCs/>
                <w:szCs w:val="21"/>
                <w:highlight w:val="none"/>
              </w:rPr>
            </w:pPr>
          </w:p>
        </w:tc>
        <w:tc>
          <w:tcPr>
            <w:tcW w:w="6507" w:type="dxa"/>
            <w:tcBorders>
              <w:top w:val="single" w:color="auto" w:sz="4" w:space="0"/>
              <w:left w:val="single" w:color="auto" w:sz="4" w:space="0"/>
              <w:bottom w:val="single" w:color="auto" w:sz="4" w:space="0"/>
              <w:right w:val="single" w:color="auto" w:sz="4" w:space="0"/>
            </w:tcBorders>
            <w:noWrap w:val="0"/>
            <w:vAlign w:val="top"/>
          </w:tcPr>
          <w:p w14:paraId="31C1B665">
            <w:pPr>
              <w:rPr>
                <w:rFonts w:hint="eastAsia" w:ascii="宋体" w:hAnsi="宋体"/>
                <w:b w:val="0"/>
                <w:bCs/>
                <w:szCs w:val="21"/>
                <w:highlight w:val="none"/>
              </w:rPr>
            </w:pPr>
            <w:r>
              <w:rPr>
                <w:rFonts w:hint="eastAsia" w:ascii="宋体" w:hAnsi="宋体"/>
                <w:b w:val="0"/>
                <w:bCs/>
                <w:szCs w:val="21"/>
                <w:highlight w:val="none"/>
                <w:lang w:val="en-US" w:eastAsia="zh-CN"/>
              </w:rPr>
              <w:t>2.2</w:t>
            </w:r>
            <w:r>
              <w:rPr>
                <w:rFonts w:hint="eastAsia" w:ascii="宋体" w:hAnsi="宋体"/>
                <w:b w:val="0"/>
                <w:bCs/>
                <w:szCs w:val="21"/>
                <w:highlight w:val="none"/>
              </w:rPr>
              <w:t>工作重点、难点分析（</w:t>
            </w:r>
            <w:r>
              <w:rPr>
                <w:rFonts w:hint="eastAsia" w:ascii="宋体" w:hAnsi="宋体"/>
                <w:b w:val="0"/>
                <w:bCs/>
                <w:szCs w:val="21"/>
                <w:highlight w:val="none"/>
                <w:lang w:val="en-US" w:eastAsia="zh-CN"/>
              </w:rPr>
              <w:t>10</w:t>
            </w:r>
            <w:r>
              <w:rPr>
                <w:rFonts w:hint="eastAsia" w:ascii="宋体" w:hAnsi="宋体"/>
                <w:b w:val="0"/>
                <w:bCs/>
                <w:szCs w:val="21"/>
                <w:highlight w:val="none"/>
              </w:rPr>
              <w:t>分）</w:t>
            </w:r>
          </w:p>
          <w:p w14:paraId="09491ADF">
            <w:pPr>
              <w:rPr>
                <w:rFonts w:hint="eastAsia" w:ascii="宋体" w:hAnsi="宋体"/>
                <w:b w:val="0"/>
                <w:bCs/>
                <w:szCs w:val="21"/>
                <w:highlight w:val="none"/>
              </w:rPr>
            </w:pPr>
            <w:r>
              <w:rPr>
                <w:rFonts w:hint="eastAsia" w:ascii="宋体" w:hAnsi="宋体"/>
                <w:b w:val="0"/>
                <w:bCs/>
                <w:szCs w:val="21"/>
                <w:highlight w:val="none"/>
              </w:rPr>
              <w:t>根据供应商提供的本项目检查检测工作重点、难点分析及应对措施进行评审：</w:t>
            </w:r>
          </w:p>
          <w:p w14:paraId="02DFF7B1">
            <w:pPr>
              <w:rPr>
                <w:rFonts w:hint="eastAsia" w:ascii="宋体" w:hAnsi="宋体"/>
                <w:b w:val="0"/>
                <w:bCs/>
                <w:szCs w:val="21"/>
                <w:highlight w:val="none"/>
              </w:rPr>
            </w:pPr>
            <w:r>
              <w:rPr>
                <w:rFonts w:hint="eastAsia" w:ascii="宋体" w:hAnsi="宋体"/>
                <w:b w:val="0"/>
                <w:bCs/>
                <w:szCs w:val="21"/>
                <w:highlight w:val="none"/>
              </w:rPr>
              <w:t>方案完善、详尽、切实可行的得</w:t>
            </w:r>
            <w:r>
              <w:rPr>
                <w:rFonts w:hint="eastAsia" w:ascii="宋体" w:hAnsi="宋体"/>
                <w:b w:val="0"/>
                <w:bCs/>
                <w:szCs w:val="21"/>
                <w:highlight w:val="none"/>
                <w:lang w:val="en-US" w:eastAsia="zh-CN"/>
              </w:rPr>
              <w:t>10</w:t>
            </w:r>
            <w:r>
              <w:rPr>
                <w:rFonts w:hint="eastAsia" w:ascii="宋体" w:hAnsi="宋体"/>
                <w:b w:val="0"/>
                <w:bCs/>
                <w:szCs w:val="21"/>
                <w:highlight w:val="none"/>
              </w:rPr>
              <w:t>分；</w:t>
            </w:r>
          </w:p>
          <w:p w14:paraId="5D4AD35C">
            <w:pPr>
              <w:rPr>
                <w:rFonts w:hint="eastAsia" w:ascii="宋体" w:hAnsi="宋体"/>
                <w:b w:val="0"/>
                <w:bCs/>
                <w:szCs w:val="21"/>
                <w:highlight w:val="none"/>
              </w:rPr>
            </w:pPr>
            <w:r>
              <w:rPr>
                <w:rFonts w:hint="eastAsia" w:ascii="宋体" w:hAnsi="宋体"/>
                <w:b w:val="0"/>
                <w:bCs/>
                <w:szCs w:val="21"/>
                <w:highlight w:val="none"/>
              </w:rPr>
              <w:t>方案基本完善满足要求得</w:t>
            </w:r>
            <w:r>
              <w:rPr>
                <w:rFonts w:hint="eastAsia" w:ascii="宋体" w:hAnsi="宋体"/>
                <w:b w:val="0"/>
                <w:bCs/>
                <w:szCs w:val="21"/>
                <w:highlight w:val="none"/>
                <w:lang w:val="en-US" w:eastAsia="zh-CN"/>
              </w:rPr>
              <w:t>7</w:t>
            </w:r>
            <w:r>
              <w:rPr>
                <w:rFonts w:hint="eastAsia" w:ascii="宋体" w:hAnsi="宋体"/>
                <w:b w:val="0"/>
                <w:bCs/>
                <w:szCs w:val="21"/>
                <w:highlight w:val="none"/>
              </w:rPr>
              <w:t>分；</w:t>
            </w:r>
          </w:p>
          <w:p w14:paraId="5F7C6315">
            <w:pPr>
              <w:rPr>
                <w:rFonts w:hint="eastAsia" w:ascii="宋体" w:hAnsi="宋体"/>
                <w:b w:val="0"/>
                <w:bCs/>
                <w:szCs w:val="21"/>
                <w:highlight w:val="none"/>
              </w:rPr>
            </w:pPr>
            <w:r>
              <w:rPr>
                <w:rFonts w:hint="eastAsia" w:ascii="宋体" w:hAnsi="宋体"/>
                <w:b w:val="0"/>
                <w:bCs/>
                <w:szCs w:val="21"/>
                <w:highlight w:val="none"/>
              </w:rPr>
              <w:t>方案不完善或存在缺陷的得</w:t>
            </w:r>
            <w:r>
              <w:rPr>
                <w:rFonts w:hint="eastAsia" w:ascii="宋体" w:hAnsi="宋体"/>
                <w:b w:val="0"/>
                <w:bCs/>
                <w:szCs w:val="21"/>
                <w:highlight w:val="none"/>
                <w:lang w:val="en-US" w:eastAsia="zh-CN"/>
              </w:rPr>
              <w:t>4</w:t>
            </w:r>
            <w:r>
              <w:rPr>
                <w:rFonts w:hint="eastAsia" w:ascii="宋体" w:hAnsi="宋体"/>
                <w:b w:val="0"/>
                <w:bCs/>
                <w:szCs w:val="21"/>
                <w:highlight w:val="none"/>
              </w:rPr>
              <w:t>分；</w:t>
            </w:r>
          </w:p>
          <w:p w14:paraId="66ABD8F1">
            <w:pPr>
              <w:rPr>
                <w:rFonts w:hint="eastAsia" w:ascii="宋体" w:hAnsi="宋体"/>
                <w:b w:val="0"/>
                <w:bCs/>
                <w:szCs w:val="21"/>
                <w:highlight w:val="none"/>
              </w:rPr>
            </w:pPr>
            <w:r>
              <w:rPr>
                <w:rFonts w:hint="eastAsia" w:ascii="宋体" w:hAnsi="宋体"/>
                <w:b w:val="0"/>
                <w:bCs/>
                <w:szCs w:val="21"/>
                <w:highlight w:val="none"/>
              </w:rPr>
              <w:t>未提供不得分。</w:t>
            </w:r>
          </w:p>
        </w:tc>
        <w:tc>
          <w:tcPr>
            <w:tcW w:w="903" w:type="dxa"/>
            <w:tcBorders>
              <w:top w:val="single" w:color="auto" w:sz="4" w:space="0"/>
              <w:left w:val="single" w:color="auto" w:sz="4" w:space="0"/>
              <w:bottom w:val="single" w:color="auto" w:sz="4" w:space="0"/>
              <w:right w:val="single" w:color="auto" w:sz="4" w:space="0"/>
            </w:tcBorders>
            <w:noWrap w:val="0"/>
            <w:vAlign w:val="center"/>
          </w:tcPr>
          <w:p w14:paraId="0B242668">
            <w:pPr>
              <w:jc w:val="center"/>
              <w:rPr>
                <w:rFonts w:hint="default" w:ascii="宋体" w:hAnsi="宋体"/>
                <w:b w:val="0"/>
                <w:bCs/>
                <w:szCs w:val="21"/>
                <w:highlight w:val="none"/>
                <w:lang w:val="en-US" w:eastAsia="zh-CN"/>
              </w:rPr>
            </w:pPr>
            <w:r>
              <w:rPr>
                <w:rFonts w:hint="eastAsia" w:ascii="宋体" w:hAnsi="宋体"/>
                <w:b w:val="0"/>
                <w:bCs/>
                <w:szCs w:val="21"/>
                <w:highlight w:val="none"/>
                <w:lang w:val="en-US" w:eastAsia="zh-CN"/>
              </w:rPr>
              <w:t>10</w:t>
            </w:r>
          </w:p>
        </w:tc>
      </w:tr>
      <w:tr w14:paraId="34B40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3" w:hRule="atLeast"/>
          <w:tblHeader/>
          <w:jc w:val="center"/>
        </w:trPr>
        <w:tc>
          <w:tcPr>
            <w:tcW w:w="662" w:type="dxa"/>
            <w:vMerge w:val="continue"/>
            <w:tcBorders>
              <w:left w:val="single" w:color="auto" w:sz="4" w:space="0"/>
              <w:right w:val="single" w:color="auto" w:sz="4" w:space="0"/>
            </w:tcBorders>
            <w:noWrap w:val="0"/>
            <w:vAlign w:val="center"/>
          </w:tcPr>
          <w:p w14:paraId="126DEF90">
            <w:pPr>
              <w:jc w:val="center"/>
              <w:rPr>
                <w:rFonts w:hint="eastAsia" w:ascii="宋体" w:hAnsi="宋体"/>
                <w:b w:val="0"/>
                <w:bCs/>
                <w:szCs w:val="21"/>
                <w:highlight w:val="none"/>
              </w:rPr>
            </w:pPr>
          </w:p>
        </w:tc>
        <w:tc>
          <w:tcPr>
            <w:tcW w:w="1340" w:type="dxa"/>
            <w:vMerge w:val="continue"/>
            <w:tcBorders>
              <w:left w:val="single" w:color="auto" w:sz="4" w:space="0"/>
              <w:right w:val="single" w:color="auto" w:sz="4" w:space="0"/>
            </w:tcBorders>
            <w:noWrap w:val="0"/>
            <w:vAlign w:val="center"/>
          </w:tcPr>
          <w:p w14:paraId="0573E602">
            <w:pPr>
              <w:rPr>
                <w:rFonts w:hint="eastAsia" w:ascii="宋体" w:hAnsi="宋体"/>
                <w:b w:val="0"/>
                <w:bCs/>
                <w:szCs w:val="21"/>
                <w:highlight w:val="none"/>
              </w:rPr>
            </w:pPr>
          </w:p>
        </w:tc>
        <w:tc>
          <w:tcPr>
            <w:tcW w:w="6507" w:type="dxa"/>
            <w:tcBorders>
              <w:top w:val="single" w:color="auto" w:sz="4" w:space="0"/>
              <w:left w:val="single" w:color="auto" w:sz="4" w:space="0"/>
              <w:right w:val="single" w:color="auto" w:sz="4" w:space="0"/>
            </w:tcBorders>
            <w:noWrap w:val="0"/>
            <w:vAlign w:val="top"/>
          </w:tcPr>
          <w:p w14:paraId="6818A9EB">
            <w:pPr>
              <w:rPr>
                <w:rFonts w:hint="eastAsia" w:ascii="宋体" w:hAnsi="宋体"/>
                <w:b w:val="0"/>
                <w:bCs/>
                <w:szCs w:val="21"/>
                <w:highlight w:val="none"/>
              </w:rPr>
            </w:pPr>
            <w:r>
              <w:rPr>
                <w:rFonts w:hint="eastAsia" w:ascii="宋体" w:hAnsi="宋体"/>
                <w:b w:val="0"/>
                <w:bCs/>
                <w:szCs w:val="21"/>
                <w:highlight w:val="none"/>
                <w:lang w:val="en-US" w:eastAsia="zh-CN"/>
              </w:rPr>
              <w:t>2.3</w:t>
            </w:r>
            <w:r>
              <w:rPr>
                <w:rFonts w:hint="eastAsia" w:ascii="宋体" w:hAnsi="宋体"/>
                <w:b w:val="0"/>
                <w:bCs/>
                <w:szCs w:val="21"/>
                <w:highlight w:val="none"/>
              </w:rPr>
              <w:t>质量保证措施（</w:t>
            </w:r>
            <w:r>
              <w:rPr>
                <w:rFonts w:hint="eastAsia" w:ascii="宋体" w:hAnsi="宋体"/>
                <w:b w:val="0"/>
                <w:bCs/>
                <w:szCs w:val="21"/>
                <w:highlight w:val="none"/>
                <w:lang w:val="en-US" w:eastAsia="zh-CN"/>
              </w:rPr>
              <w:t>10</w:t>
            </w:r>
            <w:r>
              <w:rPr>
                <w:rFonts w:hint="eastAsia" w:ascii="宋体" w:hAnsi="宋体"/>
                <w:b w:val="0"/>
                <w:bCs/>
                <w:szCs w:val="21"/>
                <w:highlight w:val="none"/>
              </w:rPr>
              <w:t>分）</w:t>
            </w:r>
          </w:p>
          <w:p w14:paraId="58B516D8">
            <w:pPr>
              <w:rPr>
                <w:rFonts w:hint="eastAsia" w:ascii="宋体" w:hAnsi="宋体"/>
                <w:b w:val="0"/>
                <w:bCs/>
                <w:szCs w:val="21"/>
                <w:highlight w:val="none"/>
              </w:rPr>
            </w:pPr>
            <w:r>
              <w:rPr>
                <w:rFonts w:hint="eastAsia" w:ascii="宋体" w:hAnsi="宋体"/>
                <w:b w:val="0"/>
                <w:bCs/>
                <w:szCs w:val="21"/>
                <w:highlight w:val="none"/>
              </w:rPr>
              <w:t>根据供应商针对本项目提供的质量保证措施进行评审：</w:t>
            </w:r>
          </w:p>
          <w:p w14:paraId="754E693C">
            <w:pPr>
              <w:rPr>
                <w:rFonts w:hint="eastAsia" w:ascii="宋体" w:hAnsi="宋体"/>
                <w:b w:val="0"/>
                <w:bCs/>
                <w:szCs w:val="21"/>
                <w:highlight w:val="none"/>
              </w:rPr>
            </w:pPr>
            <w:r>
              <w:rPr>
                <w:rFonts w:hint="eastAsia" w:ascii="宋体" w:hAnsi="宋体"/>
                <w:b w:val="0"/>
                <w:bCs/>
                <w:szCs w:val="21"/>
                <w:highlight w:val="none"/>
              </w:rPr>
              <w:t>质量保证措施详细完整，科学合理的得</w:t>
            </w:r>
            <w:r>
              <w:rPr>
                <w:rFonts w:hint="eastAsia" w:ascii="宋体" w:hAnsi="宋体"/>
                <w:b w:val="0"/>
                <w:bCs/>
                <w:szCs w:val="21"/>
                <w:highlight w:val="none"/>
                <w:lang w:val="en-US" w:eastAsia="zh-CN"/>
              </w:rPr>
              <w:t>10</w:t>
            </w:r>
            <w:r>
              <w:rPr>
                <w:rFonts w:hint="eastAsia" w:ascii="宋体" w:hAnsi="宋体"/>
                <w:b w:val="0"/>
                <w:bCs/>
                <w:szCs w:val="21"/>
                <w:highlight w:val="none"/>
              </w:rPr>
              <w:t>分；</w:t>
            </w:r>
          </w:p>
          <w:p w14:paraId="36AC4859">
            <w:pPr>
              <w:rPr>
                <w:rFonts w:hint="eastAsia" w:ascii="宋体" w:hAnsi="宋体"/>
                <w:b w:val="0"/>
                <w:bCs/>
                <w:szCs w:val="21"/>
                <w:highlight w:val="none"/>
              </w:rPr>
            </w:pPr>
            <w:r>
              <w:rPr>
                <w:rFonts w:hint="eastAsia" w:ascii="宋体" w:hAnsi="宋体"/>
                <w:b w:val="0"/>
                <w:bCs/>
                <w:szCs w:val="21"/>
                <w:highlight w:val="none"/>
              </w:rPr>
              <w:t>质量保证措施基本完整，基本合理的得</w:t>
            </w:r>
            <w:r>
              <w:rPr>
                <w:rFonts w:hint="eastAsia" w:ascii="宋体" w:hAnsi="宋体"/>
                <w:b w:val="0"/>
                <w:bCs/>
                <w:szCs w:val="21"/>
                <w:highlight w:val="none"/>
                <w:lang w:val="en-US" w:eastAsia="zh-CN"/>
              </w:rPr>
              <w:t>7</w:t>
            </w:r>
            <w:r>
              <w:rPr>
                <w:rFonts w:hint="eastAsia" w:ascii="宋体" w:hAnsi="宋体"/>
                <w:b w:val="0"/>
                <w:bCs/>
                <w:szCs w:val="21"/>
                <w:highlight w:val="none"/>
              </w:rPr>
              <w:t>分；</w:t>
            </w:r>
          </w:p>
          <w:p w14:paraId="11E922EC">
            <w:pPr>
              <w:rPr>
                <w:rFonts w:hint="eastAsia" w:ascii="宋体" w:hAnsi="宋体"/>
                <w:b w:val="0"/>
                <w:bCs/>
                <w:szCs w:val="21"/>
                <w:highlight w:val="none"/>
              </w:rPr>
            </w:pPr>
            <w:r>
              <w:rPr>
                <w:rFonts w:hint="eastAsia" w:ascii="宋体" w:hAnsi="宋体"/>
                <w:b w:val="0"/>
                <w:bCs/>
                <w:szCs w:val="21"/>
                <w:highlight w:val="none"/>
              </w:rPr>
              <w:t>质量保证措施不够详细或缺乏合理性的得</w:t>
            </w:r>
            <w:r>
              <w:rPr>
                <w:rFonts w:hint="eastAsia" w:ascii="宋体" w:hAnsi="宋体"/>
                <w:b w:val="0"/>
                <w:bCs/>
                <w:szCs w:val="21"/>
                <w:highlight w:val="none"/>
                <w:lang w:val="en-US" w:eastAsia="zh-CN"/>
              </w:rPr>
              <w:t>4</w:t>
            </w:r>
            <w:r>
              <w:rPr>
                <w:rFonts w:hint="eastAsia" w:ascii="宋体" w:hAnsi="宋体"/>
                <w:b w:val="0"/>
                <w:bCs/>
                <w:szCs w:val="21"/>
                <w:highlight w:val="none"/>
              </w:rPr>
              <w:t>分。</w:t>
            </w:r>
          </w:p>
          <w:p w14:paraId="6D2A065D">
            <w:pPr>
              <w:rPr>
                <w:rFonts w:hint="eastAsia" w:ascii="宋体" w:hAnsi="宋体"/>
                <w:b w:val="0"/>
                <w:bCs/>
                <w:szCs w:val="21"/>
                <w:highlight w:val="none"/>
              </w:rPr>
            </w:pPr>
            <w:r>
              <w:rPr>
                <w:rFonts w:hint="eastAsia" w:ascii="宋体" w:hAnsi="宋体"/>
                <w:b w:val="0"/>
                <w:bCs/>
                <w:szCs w:val="21"/>
                <w:highlight w:val="none"/>
              </w:rPr>
              <w:t>未提供不得分。</w:t>
            </w:r>
          </w:p>
        </w:tc>
        <w:tc>
          <w:tcPr>
            <w:tcW w:w="903" w:type="dxa"/>
            <w:tcBorders>
              <w:top w:val="single" w:color="auto" w:sz="4" w:space="0"/>
              <w:left w:val="single" w:color="auto" w:sz="4" w:space="0"/>
              <w:bottom w:val="single" w:color="auto" w:sz="4" w:space="0"/>
              <w:right w:val="single" w:color="auto" w:sz="4" w:space="0"/>
            </w:tcBorders>
            <w:noWrap w:val="0"/>
            <w:vAlign w:val="center"/>
          </w:tcPr>
          <w:p w14:paraId="60283E67">
            <w:pPr>
              <w:jc w:val="center"/>
              <w:rPr>
                <w:rFonts w:hint="default" w:ascii="宋体" w:hAnsi="宋体" w:eastAsia="宋体"/>
                <w:b w:val="0"/>
                <w:bCs/>
                <w:szCs w:val="21"/>
                <w:highlight w:val="none"/>
                <w:lang w:val="en-US" w:eastAsia="zh-CN"/>
              </w:rPr>
            </w:pPr>
            <w:r>
              <w:rPr>
                <w:rFonts w:hint="eastAsia" w:ascii="宋体" w:hAnsi="宋体"/>
                <w:b w:val="0"/>
                <w:bCs/>
                <w:szCs w:val="21"/>
                <w:highlight w:val="none"/>
                <w:lang w:val="en-US" w:eastAsia="zh-CN"/>
              </w:rPr>
              <w:t>10</w:t>
            </w:r>
          </w:p>
        </w:tc>
      </w:tr>
      <w:tr w14:paraId="630200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4" w:hRule="atLeast"/>
          <w:tblHeader/>
          <w:jc w:val="center"/>
        </w:trPr>
        <w:tc>
          <w:tcPr>
            <w:tcW w:w="662" w:type="dxa"/>
            <w:vMerge w:val="continue"/>
            <w:tcBorders>
              <w:top w:val="single" w:color="auto" w:sz="4" w:space="0"/>
              <w:left w:val="single" w:color="auto" w:sz="4" w:space="0"/>
              <w:right w:val="single" w:color="auto" w:sz="4" w:space="0"/>
            </w:tcBorders>
            <w:noWrap w:val="0"/>
            <w:vAlign w:val="center"/>
          </w:tcPr>
          <w:p w14:paraId="0AD7F731">
            <w:pPr>
              <w:jc w:val="center"/>
              <w:rPr>
                <w:rFonts w:hint="eastAsia" w:ascii="宋体" w:hAnsi="宋体"/>
                <w:b w:val="0"/>
                <w:bCs/>
                <w:szCs w:val="21"/>
                <w:highlight w:val="none"/>
              </w:rPr>
            </w:pPr>
          </w:p>
        </w:tc>
        <w:tc>
          <w:tcPr>
            <w:tcW w:w="1340" w:type="dxa"/>
            <w:vMerge w:val="continue"/>
            <w:tcBorders>
              <w:left w:val="single" w:color="auto" w:sz="4" w:space="0"/>
              <w:right w:val="single" w:color="auto" w:sz="4" w:space="0"/>
            </w:tcBorders>
            <w:noWrap w:val="0"/>
            <w:vAlign w:val="center"/>
          </w:tcPr>
          <w:p w14:paraId="2A9D77D9">
            <w:pPr>
              <w:rPr>
                <w:rFonts w:hint="eastAsia" w:ascii="宋体" w:hAnsi="宋体"/>
                <w:b w:val="0"/>
                <w:bCs/>
                <w:szCs w:val="21"/>
                <w:highlight w:val="none"/>
              </w:rPr>
            </w:pPr>
          </w:p>
        </w:tc>
        <w:tc>
          <w:tcPr>
            <w:tcW w:w="6507" w:type="dxa"/>
            <w:tcBorders>
              <w:top w:val="single" w:color="auto" w:sz="4" w:space="0"/>
              <w:left w:val="single" w:color="auto" w:sz="4" w:space="0"/>
              <w:bottom w:val="single" w:color="auto" w:sz="4" w:space="0"/>
              <w:right w:val="single" w:color="auto" w:sz="4" w:space="0"/>
            </w:tcBorders>
            <w:noWrap w:val="0"/>
            <w:vAlign w:val="top"/>
          </w:tcPr>
          <w:p w14:paraId="39F445AD">
            <w:pPr>
              <w:rPr>
                <w:rFonts w:hint="eastAsia" w:ascii="宋体" w:hAnsi="宋体"/>
                <w:b w:val="0"/>
                <w:bCs/>
                <w:szCs w:val="21"/>
                <w:highlight w:val="none"/>
              </w:rPr>
            </w:pPr>
            <w:r>
              <w:rPr>
                <w:rFonts w:hint="eastAsia" w:ascii="宋体" w:hAnsi="宋体"/>
                <w:b w:val="0"/>
                <w:bCs/>
                <w:szCs w:val="21"/>
                <w:highlight w:val="none"/>
                <w:lang w:val="en-US" w:eastAsia="zh-CN"/>
              </w:rPr>
              <w:t>2.4</w:t>
            </w:r>
            <w:r>
              <w:rPr>
                <w:rFonts w:hint="eastAsia" w:ascii="宋体" w:hAnsi="宋体"/>
                <w:b w:val="0"/>
                <w:bCs/>
                <w:szCs w:val="21"/>
                <w:highlight w:val="none"/>
              </w:rPr>
              <w:t>进度计划方案（</w:t>
            </w:r>
            <w:r>
              <w:rPr>
                <w:rFonts w:hint="eastAsia" w:ascii="宋体" w:hAnsi="宋体"/>
                <w:b w:val="0"/>
                <w:bCs/>
                <w:szCs w:val="21"/>
                <w:highlight w:val="none"/>
                <w:lang w:val="en-US" w:eastAsia="zh-CN"/>
              </w:rPr>
              <w:t>10</w:t>
            </w:r>
            <w:r>
              <w:rPr>
                <w:rFonts w:hint="eastAsia" w:ascii="宋体" w:hAnsi="宋体"/>
                <w:b w:val="0"/>
                <w:bCs/>
                <w:szCs w:val="21"/>
                <w:highlight w:val="none"/>
              </w:rPr>
              <w:t>分）</w:t>
            </w:r>
          </w:p>
          <w:p w14:paraId="4BE4100B">
            <w:pPr>
              <w:rPr>
                <w:rFonts w:hint="eastAsia" w:ascii="宋体" w:hAnsi="宋体"/>
                <w:b w:val="0"/>
                <w:bCs/>
                <w:szCs w:val="21"/>
                <w:highlight w:val="none"/>
              </w:rPr>
            </w:pPr>
            <w:r>
              <w:rPr>
                <w:rFonts w:hint="eastAsia" w:ascii="宋体" w:hAnsi="宋体"/>
                <w:b w:val="0"/>
                <w:bCs/>
                <w:szCs w:val="21"/>
                <w:highlight w:val="none"/>
              </w:rPr>
              <w:t>根据供应商对项目实施总体进度计划、关键点进度控制方案进行评审：</w:t>
            </w:r>
          </w:p>
          <w:p w14:paraId="03788379">
            <w:pPr>
              <w:rPr>
                <w:rFonts w:hint="eastAsia" w:ascii="宋体" w:hAnsi="宋体"/>
                <w:b w:val="0"/>
                <w:bCs/>
                <w:szCs w:val="21"/>
                <w:highlight w:val="none"/>
              </w:rPr>
            </w:pPr>
            <w:r>
              <w:rPr>
                <w:rFonts w:hint="eastAsia" w:ascii="宋体" w:hAnsi="宋体"/>
                <w:b w:val="0"/>
                <w:bCs/>
                <w:szCs w:val="21"/>
                <w:highlight w:val="none"/>
              </w:rPr>
              <w:t>方案全面合理、安排得当，能够最短时间完成的得</w:t>
            </w:r>
            <w:r>
              <w:rPr>
                <w:rFonts w:hint="eastAsia" w:ascii="宋体" w:hAnsi="宋体"/>
                <w:b w:val="0"/>
                <w:bCs/>
                <w:szCs w:val="21"/>
                <w:highlight w:val="none"/>
                <w:lang w:val="en-US" w:eastAsia="zh-CN"/>
              </w:rPr>
              <w:t>10</w:t>
            </w:r>
            <w:r>
              <w:rPr>
                <w:rFonts w:hint="eastAsia" w:ascii="宋体" w:hAnsi="宋体"/>
                <w:b w:val="0"/>
                <w:bCs/>
                <w:szCs w:val="21"/>
                <w:highlight w:val="none"/>
              </w:rPr>
              <w:t>分；</w:t>
            </w:r>
          </w:p>
          <w:p w14:paraId="54AA7CE8">
            <w:pPr>
              <w:rPr>
                <w:rFonts w:hint="eastAsia" w:ascii="宋体" w:hAnsi="宋体"/>
                <w:b w:val="0"/>
                <w:bCs/>
                <w:szCs w:val="21"/>
                <w:highlight w:val="none"/>
              </w:rPr>
            </w:pPr>
            <w:r>
              <w:rPr>
                <w:rFonts w:hint="eastAsia" w:ascii="宋体" w:hAnsi="宋体"/>
                <w:b w:val="0"/>
                <w:bCs/>
                <w:szCs w:val="21"/>
                <w:highlight w:val="none"/>
              </w:rPr>
              <w:t>方案基本合理、可行，能够保证完成任务的得</w:t>
            </w:r>
            <w:r>
              <w:rPr>
                <w:rFonts w:hint="eastAsia" w:ascii="宋体" w:hAnsi="宋体"/>
                <w:b w:val="0"/>
                <w:bCs/>
                <w:szCs w:val="21"/>
                <w:highlight w:val="none"/>
                <w:lang w:val="en-US" w:eastAsia="zh-CN"/>
              </w:rPr>
              <w:t>7</w:t>
            </w:r>
            <w:r>
              <w:rPr>
                <w:rFonts w:hint="eastAsia" w:ascii="宋体" w:hAnsi="宋体"/>
                <w:b w:val="0"/>
                <w:bCs/>
                <w:szCs w:val="21"/>
                <w:highlight w:val="none"/>
              </w:rPr>
              <w:t>分；</w:t>
            </w:r>
          </w:p>
          <w:p w14:paraId="494762D8">
            <w:pPr>
              <w:rPr>
                <w:rFonts w:hint="eastAsia" w:ascii="宋体" w:hAnsi="宋体"/>
                <w:b w:val="0"/>
                <w:bCs/>
                <w:szCs w:val="21"/>
                <w:highlight w:val="none"/>
              </w:rPr>
            </w:pPr>
            <w:r>
              <w:rPr>
                <w:rFonts w:hint="eastAsia" w:ascii="宋体" w:hAnsi="宋体"/>
                <w:b w:val="0"/>
                <w:bCs/>
                <w:szCs w:val="21"/>
                <w:highlight w:val="none"/>
              </w:rPr>
              <w:t>进度计划方案安排存在缺陷的得</w:t>
            </w:r>
            <w:r>
              <w:rPr>
                <w:rFonts w:hint="eastAsia" w:ascii="宋体" w:hAnsi="宋体"/>
                <w:b w:val="0"/>
                <w:bCs/>
                <w:szCs w:val="21"/>
                <w:highlight w:val="none"/>
                <w:lang w:val="en-US" w:eastAsia="zh-CN"/>
              </w:rPr>
              <w:t>4</w:t>
            </w:r>
            <w:r>
              <w:rPr>
                <w:rFonts w:hint="eastAsia" w:ascii="宋体" w:hAnsi="宋体"/>
                <w:b w:val="0"/>
                <w:bCs/>
                <w:szCs w:val="21"/>
                <w:highlight w:val="none"/>
              </w:rPr>
              <w:t>分；</w:t>
            </w:r>
          </w:p>
          <w:p w14:paraId="7F4735C4">
            <w:pPr>
              <w:rPr>
                <w:rFonts w:hint="eastAsia" w:ascii="宋体" w:hAnsi="宋体"/>
                <w:b w:val="0"/>
                <w:bCs/>
                <w:szCs w:val="21"/>
                <w:highlight w:val="none"/>
              </w:rPr>
            </w:pPr>
            <w:r>
              <w:rPr>
                <w:rFonts w:hint="eastAsia" w:ascii="宋体" w:hAnsi="宋体"/>
                <w:b w:val="0"/>
                <w:bCs/>
                <w:szCs w:val="21"/>
                <w:highlight w:val="none"/>
              </w:rPr>
              <w:t>未提供不得分。</w:t>
            </w:r>
          </w:p>
        </w:tc>
        <w:tc>
          <w:tcPr>
            <w:tcW w:w="903" w:type="dxa"/>
            <w:tcBorders>
              <w:top w:val="single" w:color="auto" w:sz="4" w:space="0"/>
              <w:left w:val="single" w:color="auto" w:sz="4" w:space="0"/>
              <w:bottom w:val="single" w:color="auto" w:sz="4" w:space="0"/>
              <w:right w:val="single" w:color="auto" w:sz="4" w:space="0"/>
            </w:tcBorders>
            <w:noWrap w:val="0"/>
            <w:vAlign w:val="center"/>
          </w:tcPr>
          <w:p w14:paraId="13CDA2B5">
            <w:pPr>
              <w:jc w:val="center"/>
              <w:rPr>
                <w:rFonts w:hint="eastAsia" w:ascii="宋体" w:hAnsi="宋体"/>
                <w:b w:val="0"/>
                <w:bCs/>
                <w:szCs w:val="21"/>
                <w:highlight w:val="none"/>
                <w:lang w:val="en-US" w:eastAsia="zh-CN"/>
              </w:rPr>
            </w:pPr>
            <w:r>
              <w:rPr>
                <w:rFonts w:hint="eastAsia" w:ascii="宋体" w:hAnsi="宋体"/>
                <w:b w:val="0"/>
                <w:bCs/>
                <w:szCs w:val="21"/>
                <w:highlight w:val="none"/>
                <w:lang w:val="en-US" w:eastAsia="zh-CN"/>
              </w:rPr>
              <w:t>10</w:t>
            </w:r>
          </w:p>
        </w:tc>
      </w:tr>
      <w:tr w14:paraId="150080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2" w:hRule="atLeast"/>
          <w:tblHeader/>
          <w:jc w:val="center"/>
        </w:trPr>
        <w:tc>
          <w:tcPr>
            <w:tcW w:w="662" w:type="dxa"/>
            <w:vMerge w:val="continue"/>
            <w:tcBorders>
              <w:left w:val="single" w:color="auto" w:sz="4" w:space="0"/>
              <w:right w:val="single" w:color="auto" w:sz="4" w:space="0"/>
            </w:tcBorders>
            <w:noWrap w:val="0"/>
            <w:vAlign w:val="center"/>
          </w:tcPr>
          <w:p w14:paraId="6E3A8110">
            <w:pPr>
              <w:jc w:val="center"/>
              <w:rPr>
                <w:rFonts w:hint="eastAsia" w:ascii="宋体" w:hAnsi="宋体"/>
                <w:b w:val="0"/>
                <w:bCs/>
                <w:szCs w:val="21"/>
                <w:highlight w:val="none"/>
              </w:rPr>
            </w:pPr>
          </w:p>
        </w:tc>
        <w:tc>
          <w:tcPr>
            <w:tcW w:w="1340" w:type="dxa"/>
            <w:vMerge w:val="continue"/>
            <w:tcBorders>
              <w:left w:val="single" w:color="auto" w:sz="4" w:space="0"/>
              <w:right w:val="single" w:color="auto" w:sz="4" w:space="0"/>
            </w:tcBorders>
            <w:noWrap w:val="0"/>
            <w:vAlign w:val="center"/>
          </w:tcPr>
          <w:p w14:paraId="2939D675">
            <w:pPr>
              <w:rPr>
                <w:rFonts w:hint="eastAsia" w:ascii="宋体" w:hAnsi="宋体"/>
                <w:b w:val="0"/>
                <w:bCs/>
                <w:szCs w:val="21"/>
                <w:highlight w:val="none"/>
              </w:rPr>
            </w:pPr>
          </w:p>
        </w:tc>
        <w:tc>
          <w:tcPr>
            <w:tcW w:w="6507" w:type="dxa"/>
            <w:tcBorders>
              <w:top w:val="single" w:color="auto" w:sz="4" w:space="0"/>
              <w:left w:val="single" w:color="auto" w:sz="4" w:space="0"/>
              <w:bottom w:val="single" w:color="auto" w:sz="4" w:space="0"/>
              <w:right w:val="single" w:color="auto" w:sz="4" w:space="0"/>
            </w:tcBorders>
            <w:noWrap w:val="0"/>
            <w:vAlign w:val="top"/>
          </w:tcPr>
          <w:p w14:paraId="1F93BA5C">
            <w:pPr>
              <w:rPr>
                <w:rFonts w:hint="eastAsia" w:ascii="宋体" w:hAnsi="宋体"/>
                <w:b w:val="0"/>
                <w:bCs/>
                <w:szCs w:val="21"/>
                <w:highlight w:val="none"/>
              </w:rPr>
            </w:pPr>
            <w:r>
              <w:rPr>
                <w:rFonts w:hint="eastAsia" w:ascii="宋体" w:hAnsi="宋体"/>
                <w:b w:val="0"/>
                <w:bCs/>
                <w:szCs w:val="21"/>
                <w:highlight w:val="none"/>
                <w:lang w:val="en-US" w:eastAsia="zh-CN"/>
              </w:rPr>
              <w:t>2.5</w:t>
            </w:r>
            <w:r>
              <w:rPr>
                <w:rFonts w:hint="eastAsia" w:ascii="宋体" w:hAnsi="宋体"/>
                <w:b w:val="0"/>
                <w:bCs/>
                <w:szCs w:val="21"/>
                <w:highlight w:val="none"/>
              </w:rPr>
              <w:t>人员安排方案（</w:t>
            </w:r>
            <w:r>
              <w:rPr>
                <w:rFonts w:hint="eastAsia" w:ascii="宋体" w:hAnsi="宋体"/>
                <w:b w:val="0"/>
                <w:bCs/>
                <w:szCs w:val="21"/>
                <w:highlight w:val="none"/>
                <w:lang w:val="en-US" w:eastAsia="zh-CN"/>
              </w:rPr>
              <w:t>10</w:t>
            </w:r>
            <w:r>
              <w:rPr>
                <w:rFonts w:hint="eastAsia" w:ascii="宋体" w:hAnsi="宋体"/>
                <w:b w:val="0"/>
                <w:bCs/>
                <w:szCs w:val="21"/>
                <w:highlight w:val="none"/>
              </w:rPr>
              <w:t>分）</w:t>
            </w:r>
          </w:p>
          <w:p w14:paraId="3B4D7DDE">
            <w:pPr>
              <w:rPr>
                <w:rFonts w:hint="eastAsia" w:ascii="宋体" w:hAnsi="宋体"/>
                <w:b w:val="0"/>
                <w:bCs/>
                <w:szCs w:val="21"/>
                <w:highlight w:val="none"/>
              </w:rPr>
            </w:pPr>
            <w:r>
              <w:rPr>
                <w:rFonts w:hint="eastAsia" w:ascii="宋体" w:hAnsi="宋体"/>
                <w:b w:val="0"/>
                <w:bCs/>
                <w:szCs w:val="21"/>
                <w:highlight w:val="none"/>
              </w:rPr>
              <w:t>根据供应商对项目配备的人员方案进行评审：</w:t>
            </w:r>
          </w:p>
          <w:p w14:paraId="35893E9A">
            <w:pPr>
              <w:rPr>
                <w:rFonts w:hint="eastAsia" w:ascii="宋体" w:hAnsi="宋体"/>
                <w:b w:val="0"/>
                <w:bCs/>
                <w:szCs w:val="21"/>
                <w:highlight w:val="none"/>
              </w:rPr>
            </w:pPr>
            <w:r>
              <w:rPr>
                <w:rFonts w:hint="eastAsia" w:ascii="宋体" w:hAnsi="宋体"/>
                <w:b w:val="0"/>
                <w:bCs/>
                <w:szCs w:val="21"/>
                <w:highlight w:val="none"/>
              </w:rPr>
              <w:t>方案完善、详尽，科学合理的得</w:t>
            </w:r>
            <w:r>
              <w:rPr>
                <w:rFonts w:hint="eastAsia" w:ascii="宋体" w:hAnsi="宋体"/>
                <w:b w:val="0"/>
                <w:bCs/>
                <w:szCs w:val="21"/>
                <w:highlight w:val="none"/>
                <w:lang w:val="en-US" w:eastAsia="zh-CN"/>
              </w:rPr>
              <w:t>10</w:t>
            </w:r>
            <w:r>
              <w:rPr>
                <w:rFonts w:hint="eastAsia" w:ascii="宋体" w:hAnsi="宋体"/>
                <w:b w:val="0"/>
                <w:bCs/>
                <w:szCs w:val="21"/>
                <w:highlight w:val="none"/>
              </w:rPr>
              <w:t>分；</w:t>
            </w:r>
          </w:p>
          <w:p w14:paraId="4C6D30CC">
            <w:pPr>
              <w:rPr>
                <w:rFonts w:hint="eastAsia" w:ascii="宋体" w:hAnsi="宋体"/>
                <w:b w:val="0"/>
                <w:bCs/>
                <w:szCs w:val="21"/>
                <w:highlight w:val="none"/>
              </w:rPr>
            </w:pPr>
            <w:r>
              <w:rPr>
                <w:rFonts w:hint="eastAsia" w:ascii="宋体" w:hAnsi="宋体"/>
                <w:b w:val="0"/>
                <w:bCs/>
                <w:szCs w:val="21"/>
                <w:highlight w:val="none"/>
              </w:rPr>
              <w:t>方案基本完善满足要求的得</w:t>
            </w:r>
            <w:r>
              <w:rPr>
                <w:rFonts w:hint="eastAsia" w:ascii="宋体" w:hAnsi="宋体"/>
                <w:b w:val="0"/>
                <w:bCs/>
                <w:szCs w:val="21"/>
                <w:highlight w:val="none"/>
                <w:lang w:val="en-US" w:eastAsia="zh-CN"/>
              </w:rPr>
              <w:t>7</w:t>
            </w:r>
            <w:r>
              <w:rPr>
                <w:rFonts w:hint="eastAsia" w:ascii="宋体" w:hAnsi="宋体"/>
                <w:b w:val="0"/>
                <w:bCs/>
                <w:szCs w:val="21"/>
                <w:highlight w:val="none"/>
              </w:rPr>
              <w:t>分；</w:t>
            </w:r>
          </w:p>
          <w:p w14:paraId="34ADD782">
            <w:pPr>
              <w:rPr>
                <w:rFonts w:hint="eastAsia" w:ascii="宋体" w:hAnsi="宋体"/>
                <w:b w:val="0"/>
                <w:bCs/>
                <w:szCs w:val="21"/>
                <w:highlight w:val="none"/>
              </w:rPr>
            </w:pPr>
            <w:r>
              <w:rPr>
                <w:rFonts w:hint="eastAsia" w:ascii="宋体" w:hAnsi="宋体"/>
                <w:b w:val="0"/>
                <w:bCs/>
                <w:szCs w:val="21"/>
                <w:highlight w:val="none"/>
              </w:rPr>
              <w:t>方案不完善或存在缺陷的得</w:t>
            </w:r>
            <w:r>
              <w:rPr>
                <w:rFonts w:hint="eastAsia" w:ascii="宋体" w:hAnsi="宋体"/>
                <w:b w:val="0"/>
                <w:bCs/>
                <w:szCs w:val="21"/>
                <w:highlight w:val="none"/>
                <w:lang w:val="en-US" w:eastAsia="zh-CN"/>
              </w:rPr>
              <w:t>4</w:t>
            </w:r>
            <w:r>
              <w:rPr>
                <w:rFonts w:hint="eastAsia" w:ascii="宋体" w:hAnsi="宋体"/>
                <w:b w:val="0"/>
                <w:bCs/>
                <w:szCs w:val="21"/>
                <w:highlight w:val="none"/>
              </w:rPr>
              <w:t>分；</w:t>
            </w:r>
          </w:p>
          <w:p w14:paraId="64D3469B">
            <w:pPr>
              <w:rPr>
                <w:rFonts w:hint="eastAsia" w:ascii="宋体" w:hAnsi="宋体"/>
                <w:b w:val="0"/>
                <w:bCs/>
                <w:szCs w:val="21"/>
                <w:highlight w:val="none"/>
              </w:rPr>
            </w:pPr>
            <w:r>
              <w:rPr>
                <w:rFonts w:hint="eastAsia" w:ascii="宋体" w:hAnsi="宋体"/>
                <w:b w:val="0"/>
                <w:bCs/>
                <w:szCs w:val="21"/>
                <w:highlight w:val="none"/>
              </w:rPr>
              <w:t>未提供不得分。</w:t>
            </w:r>
          </w:p>
        </w:tc>
        <w:tc>
          <w:tcPr>
            <w:tcW w:w="903" w:type="dxa"/>
            <w:tcBorders>
              <w:top w:val="single" w:color="auto" w:sz="4" w:space="0"/>
              <w:left w:val="single" w:color="auto" w:sz="4" w:space="0"/>
              <w:bottom w:val="single" w:color="auto" w:sz="4" w:space="0"/>
              <w:right w:val="single" w:color="auto" w:sz="4" w:space="0"/>
            </w:tcBorders>
            <w:noWrap w:val="0"/>
            <w:vAlign w:val="center"/>
          </w:tcPr>
          <w:p w14:paraId="1FCAC6BE">
            <w:pPr>
              <w:jc w:val="center"/>
              <w:rPr>
                <w:rFonts w:hint="default" w:ascii="宋体" w:hAnsi="宋体"/>
                <w:b w:val="0"/>
                <w:bCs/>
                <w:szCs w:val="21"/>
                <w:highlight w:val="none"/>
                <w:lang w:val="en-US" w:eastAsia="zh-CN"/>
              </w:rPr>
            </w:pPr>
            <w:r>
              <w:rPr>
                <w:rFonts w:hint="eastAsia" w:ascii="宋体" w:hAnsi="宋体"/>
                <w:b w:val="0"/>
                <w:bCs/>
                <w:szCs w:val="21"/>
                <w:highlight w:val="none"/>
                <w:lang w:val="en-US" w:eastAsia="zh-CN"/>
              </w:rPr>
              <w:t>10</w:t>
            </w:r>
          </w:p>
        </w:tc>
      </w:tr>
      <w:tr w14:paraId="3A9E42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tblHeader/>
          <w:jc w:val="center"/>
        </w:trPr>
        <w:tc>
          <w:tcPr>
            <w:tcW w:w="662" w:type="dxa"/>
            <w:vMerge w:val="continue"/>
            <w:tcBorders>
              <w:left w:val="single" w:color="auto" w:sz="4" w:space="0"/>
              <w:right w:val="single" w:color="auto" w:sz="4" w:space="0"/>
            </w:tcBorders>
            <w:noWrap w:val="0"/>
            <w:vAlign w:val="center"/>
          </w:tcPr>
          <w:p w14:paraId="1376D403">
            <w:pPr>
              <w:jc w:val="center"/>
              <w:rPr>
                <w:rFonts w:hint="eastAsia" w:ascii="宋体" w:hAnsi="宋体"/>
                <w:b w:val="0"/>
                <w:bCs/>
                <w:szCs w:val="21"/>
                <w:highlight w:val="none"/>
              </w:rPr>
            </w:pPr>
          </w:p>
        </w:tc>
        <w:tc>
          <w:tcPr>
            <w:tcW w:w="1340" w:type="dxa"/>
            <w:vMerge w:val="continue"/>
            <w:tcBorders>
              <w:left w:val="single" w:color="auto" w:sz="4" w:space="0"/>
              <w:right w:val="single" w:color="auto" w:sz="4" w:space="0"/>
            </w:tcBorders>
            <w:noWrap w:val="0"/>
            <w:vAlign w:val="center"/>
          </w:tcPr>
          <w:p w14:paraId="56674C2E">
            <w:pPr>
              <w:rPr>
                <w:rFonts w:hint="eastAsia" w:ascii="宋体" w:hAnsi="宋体"/>
                <w:b w:val="0"/>
                <w:bCs/>
                <w:szCs w:val="21"/>
                <w:highlight w:val="none"/>
              </w:rPr>
            </w:pPr>
          </w:p>
        </w:tc>
        <w:tc>
          <w:tcPr>
            <w:tcW w:w="6507" w:type="dxa"/>
            <w:tcBorders>
              <w:top w:val="single" w:color="auto" w:sz="4" w:space="0"/>
              <w:left w:val="single" w:color="auto" w:sz="4" w:space="0"/>
              <w:right w:val="single" w:color="auto" w:sz="4" w:space="0"/>
            </w:tcBorders>
            <w:noWrap w:val="0"/>
            <w:vAlign w:val="top"/>
          </w:tcPr>
          <w:p w14:paraId="2A9B5DF6">
            <w:pPr>
              <w:rPr>
                <w:rFonts w:hint="eastAsia" w:ascii="宋体" w:hAnsi="宋体" w:eastAsia="宋体" w:cs="Times New Roman"/>
                <w:b w:val="0"/>
                <w:bCs/>
                <w:szCs w:val="21"/>
                <w:highlight w:val="none"/>
              </w:rPr>
            </w:pPr>
            <w:r>
              <w:rPr>
                <w:rFonts w:hint="eastAsia" w:ascii="宋体" w:hAnsi="宋体" w:cs="Times New Roman"/>
                <w:b w:val="0"/>
                <w:bCs/>
                <w:szCs w:val="21"/>
                <w:highlight w:val="none"/>
                <w:lang w:val="en-US" w:eastAsia="zh-CN"/>
              </w:rPr>
              <w:t>2.6</w:t>
            </w:r>
            <w:r>
              <w:rPr>
                <w:rFonts w:hint="eastAsia" w:ascii="宋体" w:hAnsi="宋体" w:eastAsia="宋体" w:cs="Times New Roman"/>
                <w:b w:val="0"/>
                <w:bCs/>
                <w:szCs w:val="21"/>
                <w:highlight w:val="none"/>
              </w:rPr>
              <w:t>安全防范措施（</w:t>
            </w:r>
            <w:r>
              <w:rPr>
                <w:rFonts w:hint="eastAsia" w:ascii="宋体" w:hAnsi="宋体" w:cs="Times New Roman"/>
                <w:b w:val="0"/>
                <w:bCs/>
                <w:szCs w:val="21"/>
                <w:highlight w:val="none"/>
                <w:lang w:val="en-US" w:eastAsia="zh-CN"/>
              </w:rPr>
              <w:t>10</w:t>
            </w:r>
            <w:r>
              <w:rPr>
                <w:rFonts w:hint="eastAsia" w:ascii="宋体" w:hAnsi="宋体" w:eastAsia="宋体" w:cs="Times New Roman"/>
                <w:b w:val="0"/>
                <w:bCs/>
                <w:szCs w:val="21"/>
                <w:highlight w:val="none"/>
              </w:rPr>
              <w:t>分）</w:t>
            </w:r>
          </w:p>
          <w:p w14:paraId="0A4FC448">
            <w:pPr>
              <w:rPr>
                <w:rFonts w:hint="eastAsia" w:ascii="宋体" w:hAnsi="宋体" w:eastAsia="宋体" w:cs="Times New Roman"/>
                <w:b w:val="0"/>
                <w:bCs/>
                <w:szCs w:val="21"/>
                <w:highlight w:val="none"/>
              </w:rPr>
            </w:pPr>
            <w:r>
              <w:rPr>
                <w:rFonts w:hint="eastAsia" w:ascii="宋体" w:hAnsi="宋体" w:eastAsia="宋体" w:cs="Times New Roman"/>
                <w:b w:val="0"/>
                <w:bCs/>
                <w:szCs w:val="21"/>
                <w:highlight w:val="none"/>
              </w:rPr>
              <w:t>根据供应商提供的安全防范措施进行评审：</w:t>
            </w:r>
          </w:p>
          <w:p w14:paraId="7609C5A6">
            <w:pPr>
              <w:rPr>
                <w:rFonts w:hint="eastAsia" w:ascii="宋体" w:hAnsi="宋体" w:eastAsia="宋体" w:cs="Times New Roman"/>
                <w:b w:val="0"/>
                <w:bCs/>
                <w:szCs w:val="21"/>
                <w:highlight w:val="none"/>
              </w:rPr>
            </w:pPr>
            <w:r>
              <w:rPr>
                <w:rFonts w:hint="eastAsia" w:ascii="宋体" w:hAnsi="宋体" w:eastAsia="宋体" w:cs="Times New Roman"/>
                <w:b w:val="0"/>
                <w:bCs/>
                <w:szCs w:val="21"/>
                <w:highlight w:val="none"/>
              </w:rPr>
              <w:t>方案完善、详尽、切实可行的得</w:t>
            </w:r>
            <w:r>
              <w:rPr>
                <w:rFonts w:hint="eastAsia" w:ascii="宋体" w:hAnsi="宋体" w:cs="Times New Roman"/>
                <w:b w:val="0"/>
                <w:bCs/>
                <w:szCs w:val="21"/>
                <w:highlight w:val="none"/>
                <w:lang w:val="en-US" w:eastAsia="zh-CN"/>
              </w:rPr>
              <w:t>10</w:t>
            </w:r>
            <w:r>
              <w:rPr>
                <w:rFonts w:hint="eastAsia" w:ascii="宋体" w:hAnsi="宋体" w:eastAsia="宋体" w:cs="Times New Roman"/>
                <w:b w:val="0"/>
                <w:bCs/>
                <w:szCs w:val="21"/>
                <w:highlight w:val="none"/>
              </w:rPr>
              <w:t>分；</w:t>
            </w:r>
          </w:p>
          <w:p w14:paraId="49AD6F1F">
            <w:pPr>
              <w:rPr>
                <w:rFonts w:hint="eastAsia" w:ascii="宋体" w:hAnsi="宋体" w:eastAsia="宋体" w:cs="Times New Roman"/>
                <w:b w:val="0"/>
                <w:bCs/>
                <w:szCs w:val="21"/>
                <w:highlight w:val="none"/>
              </w:rPr>
            </w:pPr>
            <w:r>
              <w:rPr>
                <w:rFonts w:hint="eastAsia" w:ascii="宋体" w:hAnsi="宋体" w:eastAsia="宋体" w:cs="Times New Roman"/>
                <w:b w:val="0"/>
                <w:bCs/>
                <w:szCs w:val="21"/>
                <w:highlight w:val="none"/>
              </w:rPr>
              <w:t>方案基本完善满足要求得</w:t>
            </w:r>
            <w:r>
              <w:rPr>
                <w:rFonts w:hint="eastAsia" w:ascii="宋体" w:hAnsi="宋体" w:cs="Times New Roman"/>
                <w:b w:val="0"/>
                <w:bCs/>
                <w:szCs w:val="21"/>
                <w:highlight w:val="none"/>
                <w:lang w:val="en-US" w:eastAsia="zh-CN"/>
              </w:rPr>
              <w:t>7</w:t>
            </w:r>
            <w:r>
              <w:rPr>
                <w:rFonts w:hint="eastAsia" w:ascii="宋体" w:hAnsi="宋体" w:eastAsia="宋体" w:cs="Times New Roman"/>
                <w:b w:val="0"/>
                <w:bCs/>
                <w:szCs w:val="21"/>
                <w:highlight w:val="none"/>
              </w:rPr>
              <w:t>分；</w:t>
            </w:r>
          </w:p>
          <w:p w14:paraId="09BEA892">
            <w:pPr>
              <w:spacing w:line="240" w:lineRule="auto"/>
              <w:rPr>
                <w:rFonts w:hint="eastAsia" w:ascii="宋体" w:hAnsi="宋体" w:eastAsia="宋体" w:cs="Times New Roman"/>
                <w:b w:val="0"/>
                <w:bCs/>
                <w:szCs w:val="21"/>
                <w:highlight w:val="none"/>
              </w:rPr>
            </w:pPr>
            <w:r>
              <w:rPr>
                <w:rFonts w:hint="eastAsia" w:ascii="宋体" w:hAnsi="宋体" w:eastAsia="宋体" w:cs="Times New Roman"/>
                <w:b w:val="0"/>
                <w:bCs/>
                <w:szCs w:val="21"/>
                <w:highlight w:val="none"/>
              </w:rPr>
              <w:t>方案不完善或存在缺陷的得</w:t>
            </w:r>
            <w:r>
              <w:rPr>
                <w:rFonts w:hint="eastAsia" w:ascii="宋体" w:hAnsi="宋体" w:cs="Times New Roman"/>
                <w:b w:val="0"/>
                <w:bCs/>
                <w:szCs w:val="21"/>
                <w:highlight w:val="none"/>
                <w:lang w:val="en-US" w:eastAsia="zh-CN"/>
              </w:rPr>
              <w:t>4</w:t>
            </w:r>
            <w:r>
              <w:rPr>
                <w:rFonts w:hint="eastAsia" w:ascii="宋体" w:hAnsi="宋体" w:eastAsia="宋体" w:cs="Times New Roman"/>
                <w:b w:val="0"/>
                <w:bCs/>
                <w:szCs w:val="21"/>
                <w:highlight w:val="none"/>
              </w:rPr>
              <w:t>分；</w:t>
            </w:r>
          </w:p>
          <w:p w14:paraId="27F05A16">
            <w:pPr>
              <w:pStyle w:val="48"/>
              <w:spacing w:line="240" w:lineRule="auto"/>
              <w:ind w:left="0" w:leftChars="0" w:firstLine="0" w:firstLineChars="0"/>
              <w:rPr>
                <w:rFonts w:hint="eastAsia"/>
                <w:highlight w:val="none"/>
              </w:rPr>
            </w:pPr>
            <w:r>
              <w:rPr>
                <w:rFonts w:hint="eastAsia" w:ascii="宋体" w:hAnsi="宋体"/>
                <w:b w:val="0"/>
                <w:bCs/>
                <w:szCs w:val="21"/>
                <w:highlight w:val="none"/>
              </w:rPr>
              <w:t>未提供不得分。</w:t>
            </w:r>
          </w:p>
        </w:tc>
        <w:tc>
          <w:tcPr>
            <w:tcW w:w="903" w:type="dxa"/>
            <w:tcBorders>
              <w:top w:val="single" w:color="auto" w:sz="4" w:space="0"/>
              <w:left w:val="single" w:color="auto" w:sz="4" w:space="0"/>
              <w:bottom w:val="single" w:color="auto" w:sz="4" w:space="0"/>
              <w:right w:val="single" w:color="auto" w:sz="4" w:space="0"/>
            </w:tcBorders>
            <w:noWrap w:val="0"/>
            <w:vAlign w:val="center"/>
          </w:tcPr>
          <w:p w14:paraId="31363341">
            <w:pPr>
              <w:jc w:val="center"/>
              <w:rPr>
                <w:rFonts w:hint="default" w:ascii="宋体" w:hAnsi="宋体"/>
                <w:b w:val="0"/>
                <w:bCs/>
                <w:szCs w:val="21"/>
                <w:highlight w:val="none"/>
                <w:lang w:val="en-US" w:eastAsia="zh-CN"/>
              </w:rPr>
            </w:pPr>
            <w:r>
              <w:rPr>
                <w:rFonts w:hint="eastAsia" w:ascii="宋体" w:hAnsi="宋体"/>
                <w:b w:val="0"/>
                <w:bCs/>
                <w:szCs w:val="21"/>
                <w:highlight w:val="none"/>
                <w:lang w:val="en-US" w:eastAsia="zh-CN"/>
              </w:rPr>
              <w:t>10</w:t>
            </w:r>
          </w:p>
        </w:tc>
      </w:tr>
      <w:tr w14:paraId="3C160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tblHeader/>
          <w:jc w:val="center"/>
        </w:trPr>
        <w:tc>
          <w:tcPr>
            <w:tcW w:w="662" w:type="dxa"/>
            <w:vMerge w:val="continue"/>
            <w:tcBorders>
              <w:top w:val="single" w:color="auto" w:sz="4" w:space="0"/>
              <w:left w:val="single" w:color="auto" w:sz="4" w:space="0"/>
              <w:bottom w:val="single" w:color="auto" w:sz="4" w:space="0"/>
              <w:right w:val="single" w:color="auto" w:sz="4" w:space="0"/>
            </w:tcBorders>
            <w:noWrap w:val="0"/>
            <w:vAlign w:val="center"/>
          </w:tcPr>
          <w:p w14:paraId="66CB5847">
            <w:pPr>
              <w:jc w:val="center"/>
              <w:rPr>
                <w:rFonts w:hint="eastAsia" w:ascii="宋体" w:hAnsi="宋体"/>
                <w:b w:val="0"/>
                <w:bCs/>
                <w:szCs w:val="21"/>
                <w:highlight w:val="none"/>
              </w:rPr>
            </w:pPr>
          </w:p>
        </w:tc>
        <w:tc>
          <w:tcPr>
            <w:tcW w:w="1340" w:type="dxa"/>
            <w:vMerge w:val="continue"/>
            <w:tcBorders>
              <w:left w:val="single" w:color="auto" w:sz="4" w:space="0"/>
              <w:right w:val="single" w:color="auto" w:sz="4" w:space="0"/>
            </w:tcBorders>
            <w:noWrap w:val="0"/>
            <w:vAlign w:val="center"/>
          </w:tcPr>
          <w:p w14:paraId="3D02FCEB">
            <w:pPr>
              <w:rPr>
                <w:rFonts w:hint="eastAsia" w:ascii="宋体" w:hAnsi="宋体"/>
                <w:b w:val="0"/>
                <w:bCs/>
                <w:szCs w:val="21"/>
                <w:highlight w:val="none"/>
              </w:rPr>
            </w:pPr>
          </w:p>
        </w:tc>
        <w:tc>
          <w:tcPr>
            <w:tcW w:w="6507" w:type="dxa"/>
            <w:tcBorders>
              <w:left w:val="single" w:color="auto" w:sz="4" w:space="0"/>
              <w:right w:val="single" w:color="auto" w:sz="4" w:space="0"/>
            </w:tcBorders>
            <w:noWrap w:val="0"/>
            <w:vAlign w:val="top"/>
          </w:tcPr>
          <w:p w14:paraId="310370BE">
            <w:pPr>
              <w:rPr>
                <w:rFonts w:hint="eastAsia" w:ascii="宋体" w:hAnsi="宋体"/>
                <w:b w:val="0"/>
                <w:bCs/>
                <w:szCs w:val="21"/>
                <w:highlight w:val="none"/>
              </w:rPr>
            </w:pPr>
            <w:r>
              <w:rPr>
                <w:rFonts w:hint="eastAsia" w:ascii="宋体" w:hAnsi="宋体"/>
                <w:b w:val="0"/>
                <w:bCs/>
                <w:szCs w:val="21"/>
                <w:highlight w:val="none"/>
                <w:lang w:val="en-US" w:eastAsia="zh-CN"/>
              </w:rPr>
              <w:t>2.7</w:t>
            </w:r>
            <w:r>
              <w:rPr>
                <w:rFonts w:hint="eastAsia" w:ascii="宋体" w:hAnsi="宋体"/>
                <w:b w:val="0"/>
                <w:bCs/>
                <w:szCs w:val="21"/>
                <w:highlight w:val="none"/>
              </w:rPr>
              <w:t>服务承诺（</w:t>
            </w:r>
            <w:r>
              <w:rPr>
                <w:rFonts w:hint="eastAsia" w:ascii="宋体" w:hAnsi="宋体"/>
                <w:b w:val="0"/>
                <w:bCs/>
                <w:szCs w:val="21"/>
                <w:highlight w:val="none"/>
                <w:lang w:val="en-US" w:eastAsia="zh-CN"/>
              </w:rPr>
              <w:t>10</w:t>
            </w:r>
            <w:r>
              <w:rPr>
                <w:rFonts w:hint="eastAsia" w:ascii="宋体" w:hAnsi="宋体"/>
                <w:b w:val="0"/>
                <w:bCs/>
                <w:szCs w:val="21"/>
                <w:highlight w:val="none"/>
              </w:rPr>
              <w:t>分）</w:t>
            </w:r>
          </w:p>
          <w:p w14:paraId="16386904">
            <w:pPr>
              <w:rPr>
                <w:rFonts w:hint="eastAsia" w:ascii="宋体" w:hAnsi="宋体"/>
                <w:b w:val="0"/>
                <w:bCs/>
                <w:szCs w:val="21"/>
                <w:highlight w:val="none"/>
              </w:rPr>
            </w:pPr>
            <w:r>
              <w:rPr>
                <w:rFonts w:hint="eastAsia" w:ascii="宋体" w:hAnsi="宋体"/>
                <w:b w:val="0"/>
                <w:bCs/>
                <w:szCs w:val="21"/>
                <w:highlight w:val="none"/>
              </w:rPr>
              <w:t>根据供应商针对本项目提供服务承诺进行评审：</w:t>
            </w:r>
          </w:p>
          <w:p w14:paraId="16BA5B00">
            <w:pPr>
              <w:rPr>
                <w:rFonts w:hint="eastAsia" w:ascii="宋体" w:hAnsi="宋体"/>
                <w:b w:val="0"/>
                <w:bCs/>
                <w:szCs w:val="21"/>
                <w:highlight w:val="none"/>
              </w:rPr>
            </w:pPr>
            <w:r>
              <w:rPr>
                <w:rFonts w:hint="eastAsia" w:ascii="宋体" w:hAnsi="宋体"/>
                <w:b w:val="0"/>
                <w:bCs/>
                <w:szCs w:val="21"/>
                <w:highlight w:val="none"/>
              </w:rPr>
              <w:t>服务承诺完全满足要求得</w:t>
            </w:r>
            <w:r>
              <w:rPr>
                <w:rFonts w:hint="eastAsia" w:ascii="宋体" w:hAnsi="宋体"/>
                <w:b w:val="0"/>
                <w:bCs/>
                <w:szCs w:val="21"/>
                <w:highlight w:val="none"/>
                <w:lang w:val="en-US" w:eastAsia="zh-CN"/>
              </w:rPr>
              <w:t>10</w:t>
            </w:r>
            <w:r>
              <w:rPr>
                <w:rFonts w:hint="eastAsia" w:ascii="宋体" w:hAnsi="宋体"/>
                <w:b w:val="0"/>
                <w:bCs/>
                <w:szCs w:val="21"/>
                <w:highlight w:val="none"/>
              </w:rPr>
              <w:t>分；</w:t>
            </w:r>
          </w:p>
          <w:p w14:paraId="51ECD39E">
            <w:pPr>
              <w:rPr>
                <w:rFonts w:hint="eastAsia" w:ascii="宋体" w:hAnsi="宋体"/>
                <w:b w:val="0"/>
                <w:bCs/>
                <w:szCs w:val="21"/>
                <w:highlight w:val="none"/>
              </w:rPr>
            </w:pPr>
            <w:r>
              <w:rPr>
                <w:rFonts w:hint="eastAsia" w:ascii="宋体" w:hAnsi="宋体"/>
                <w:b w:val="0"/>
                <w:bCs/>
                <w:szCs w:val="21"/>
                <w:highlight w:val="none"/>
              </w:rPr>
              <w:t>服务承诺基本满足要求得</w:t>
            </w:r>
            <w:r>
              <w:rPr>
                <w:rFonts w:hint="eastAsia" w:ascii="宋体" w:hAnsi="宋体"/>
                <w:b w:val="0"/>
                <w:bCs/>
                <w:szCs w:val="21"/>
                <w:highlight w:val="none"/>
                <w:lang w:val="en-US" w:eastAsia="zh-CN"/>
              </w:rPr>
              <w:t>7</w:t>
            </w:r>
            <w:r>
              <w:rPr>
                <w:rFonts w:hint="eastAsia" w:ascii="宋体" w:hAnsi="宋体"/>
                <w:b w:val="0"/>
                <w:bCs/>
                <w:szCs w:val="21"/>
                <w:highlight w:val="none"/>
              </w:rPr>
              <w:t>分；</w:t>
            </w:r>
          </w:p>
          <w:p w14:paraId="116C292D">
            <w:pPr>
              <w:rPr>
                <w:rFonts w:hint="eastAsia" w:ascii="宋体" w:hAnsi="宋体"/>
                <w:b w:val="0"/>
                <w:bCs/>
                <w:szCs w:val="21"/>
                <w:highlight w:val="none"/>
              </w:rPr>
            </w:pPr>
            <w:r>
              <w:rPr>
                <w:rFonts w:hint="eastAsia" w:ascii="宋体" w:hAnsi="宋体"/>
                <w:b w:val="0"/>
                <w:bCs/>
                <w:szCs w:val="21"/>
                <w:highlight w:val="none"/>
              </w:rPr>
              <w:t>部分满足或有缺陷得得</w:t>
            </w:r>
            <w:r>
              <w:rPr>
                <w:rFonts w:hint="eastAsia" w:ascii="宋体" w:hAnsi="宋体"/>
                <w:b w:val="0"/>
                <w:bCs/>
                <w:szCs w:val="21"/>
                <w:highlight w:val="none"/>
                <w:lang w:val="en-US" w:eastAsia="zh-CN"/>
              </w:rPr>
              <w:t>4</w:t>
            </w:r>
            <w:r>
              <w:rPr>
                <w:rFonts w:hint="eastAsia" w:ascii="宋体" w:hAnsi="宋体"/>
                <w:b w:val="0"/>
                <w:bCs/>
                <w:szCs w:val="21"/>
                <w:highlight w:val="none"/>
              </w:rPr>
              <w:t>分；</w:t>
            </w:r>
          </w:p>
          <w:p w14:paraId="723E993E">
            <w:pPr>
              <w:rPr>
                <w:rFonts w:hint="eastAsia" w:ascii="宋体" w:hAnsi="宋体"/>
                <w:b w:val="0"/>
                <w:bCs/>
                <w:szCs w:val="21"/>
                <w:highlight w:val="none"/>
              </w:rPr>
            </w:pPr>
            <w:r>
              <w:rPr>
                <w:rFonts w:hint="eastAsia" w:ascii="宋体" w:hAnsi="宋体"/>
                <w:b w:val="0"/>
                <w:bCs/>
                <w:szCs w:val="21"/>
                <w:highlight w:val="none"/>
              </w:rPr>
              <w:t>未提供不得分。</w:t>
            </w:r>
          </w:p>
        </w:tc>
        <w:tc>
          <w:tcPr>
            <w:tcW w:w="903" w:type="dxa"/>
            <w:tcBorders>
              <w:left w:val="single" w:color="auto" w:sz="4" w:space="0"/>
              <w:right w:val="single" w:color="auto" w:sz="4" w:space="0"/>
            </w:tcBorders>
            <w:noWrap w:val="0"/>
            <w:vAlign w:val="center"/>
          </w:tcPr>
          <w:p w14:paraId="49C6BBB2">
            <w:pPr>
              <w:jc w:val="center"/>
              <w:rPr>
                <w:rFonts w:hint="default" w:ascii="宋体" w:hAnsi="宋体" w:eastAsia="宋体"/>
                <w:b w:val="0"/>
                <w:bCs/>
                <w:szCs w:val="21"/>
                <w:highlight w:val="none"/>
                <w:lang w:val="en-US" w:eastAsia="zh-CN"/>
              </w:rPr>
            </w:pPr>
            <w:r>
              <w:rPr>
                <w:rFonts w:hint="eastAsia" w:ascii="宋体" w:hAnsi="宋体"/>
                <w:b w:val="0"/>
                <w:bCs/>
                <w:szCs w:val="21"/>
                <w:highlight w:val="none"/>
                <w:lang w:val="en-US" w:eastAsia="zh-CN"/>
              </w:rPr>
              <w:t>10</w:t>
            </w:r>
          </w:p>
        </w:tc>
      </w:tr>
      <w:tr w14:paraId="024C0F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tblHeader/>
          <w:jc w:val="center"/>
        </w:trPr>
        <w:tc>
          <w:tcPr>
            <w:tcW w:w="662" w:type="dxa"/>
            <w:tcBorders>
              <w:top w:val="single" w:color="auto" w:sz="4" w:space="0"/>
              <w:left w:val="single" w:color="auto" w:sz="4" w:space="0"/>
              <w:right w:val="single" w:color="auto" w:sz="4" w:space="0"/>
            </w:tcBorders>
            <w:noWrap w:val="0"/>
            <w:vAlign w:val="center"/>
          </w:tcPr>
          <w:p w14:paraId="22648C82">
            <w:pPr>
              <w:jc w:val="center"/>
              <w:rPr>
                <w:rFonts w:hint="eastAsia" w:ascii="宋体" w:hAnsi="宋体"/>
                <w:b w:val="0"/>
                <w:bCs/>
                <w:szCs w:val="21"/>
                <w:highlight w:val="none"/>
                <w:lang w:eastAsia="zh-CN"/>
              </w:rPr>
            </w:pPr>
            <w:r>
              <w:rPr>
                <w:rFonts w:hint="eastAsia" w:ascii="宋体" w:hAnsi="宋体"/>
                <w:b w:val="0"/>
                <w:bCs/>
                <w:szCs w:val="21"/>
                <w:highlight w:val="none"/>
                <w:lang w:val="en-US" w:eastAsia="zh-CN"/>
              </w:rPr>
              <w:t>3</w:t>
            </w:r>
          </w:p>
        </w:tc>
        <w:tc>
          <w:tcPr>
            <w:tcW w:w="1340" w:type="dxa"/>
            <w:tcBorders>
              <w:top w:val="single" w:color="auto" w:sz="4" w:space="0"/>
              <w:left w:val="single" w:color="auto" w:sz="4" w:space="0"/>
              <w:right w:val="single" w:color="auto" w:sz="4" w:space="0"/>
            </w:tcBorders>
            <w:noWrap w:val="0"/>
            <w:vAlign w:val="center"/>
          </w:tcPr>
          <w:p w14:paraId="3C57A829">
            <w:pPr>
              <w:jc w:val="center"/>
              <w:rPr>
                <w:rFonts w:hint="eastAsia" w:ascii="宋体" w:hAnsi="宋体"/>
                <w:b w:val="0"/>
                <w:bCs/>
                <w:szCs w:val="21"/>
                <w:highlight w:val="none"/>
              </w:rPr>
            </w:pPr>
            <w:r>
              <w:rPr>
                <w:rFonts w:hint="eastAsia" w:ascii="宋体" w:hAnsi="宋体"/>
                <w:b w:val="0"/>
                <w:bCs/>
                <w:szCs w:val="21"/>
                <w:highlight w:val="none"/>
              </w:rPr>
              <w:t>业绩</w:t>
            </w:r>
          </w:p>
          <w:p w14:paraId="3DCF11A1">
            <w:pPr>
              <w:jc w:val="center"/>
              <w:rPr>
                <w:rFonts w:hint="eastAsia" w:ascii="宋体" w:hAnsi="宋体"/>
                <w:b w:val="0"/>
                <w:bCs/>
                <w:szCs w:val="21"/>
                <w:highlight w:val="none"/>
              </w:rPr>
            </w:pPr>
            <w:r>
              <w:rPr>
                <w:rFonts w:hint="eastAsia" w:ascii="宋体" w:hAnsi="宋体"/>
                <w:b w:val="0"/>
                <w:bCs/>
                <w:szCs w:val="21"/>
                <w:highlight w:val="none"/>
              </w:rPr>
              <w:t>（</w:t>
            </w:r>
            <w:r>
              <w:rPr>
                <w:rFonts w:hint="eastAsia" w:ascii="宋体" w:hAnsi="宋体"/>
                <w:b w:val="0"/>
                <w:bCs/>
                <w:szCs w:val="21"/>
                <w:highlight w:val="none"/>
                <w:lang w:val="en-US" w:eastAsia="zh-CN"/>
              </w:rPr>
              <w:t>9分</w:t>
            </w:r>
            <w:r>
              <w:rPr>
                <w:rFonts w:hint="eastAsia" w:ascii="宋体" w:hAnsi="宋体"/>
                <w:b w:val="0"/>
                <w:bCs/>
                <w:szCs w:val="21"/>
                <w:highlight w:val="none"/>
              </w:rPr>
              <w:t>）</w:t>
            </w:r>
          </w:p>
        </w:tc>
        <w:tc>
          <w:tcPr>
            <w:tcW w:w="6507" w:type="dxa"/>
            <w:tcBorders>
              <w:top w:val="single" w:color="auto" w:sz="4" w:space="0"/>
              <w:left w:val="single" w:color="auto" w:sz="4" w:space="0"/>
              <w:bottom w:val="single" w:color="auto" w:sz="4" w:space="0"/>
              <w:right w:val="single" w:color="auto" w:sz="4" w:space="0"/>
            </w:tcBorders>
            <w:noWrap w:val="0"/>
            <w:vAlign w:val="center"/>
          </w:tcPr>
          <w:p w14:paraId="1A2FC152">
            <w:pPr>
              <w:rPr>
                <w:rFonts w:hint="eastAsia" w:ascii="宋体" w:hAnsi="宋体"/>
                <w:b w:val="0"/>
                <w:bCs/>
                <w:szCs w:val="21"/>
                <w:highlight w:val="none"/>
              </w:rPr>
            </w:pPr>
            <w:r>
              <w:rPr>
                <w:rFonts w:hint="eastAsia" w:ascii="宋体" w:hAnsi="宋体"/>
                <w:b w:val="0"/>
                <w:bCs/>
                <w:szCs w:val="21"/>
                <w:highlight w:val="none"/>
                <w:lang w:val="en-US" w:eastAsia="zh-CN"/>
              </w:rPr>
              <w:t>供应商自2023年6月1日以来承担过类似项目业绩的</w:t>
            </w:r>
            <w:r>
              <w:rPr>
                <w:rFonts w:hint="eastAsia" w:ascii="宋体" w:hAnsi="宋体"/>
                <w:b w:val="0"/>
                <w:bCs/>
                <w:szCs w:val="21"/>
                <w:highlight w:val="none"/>
              </w:rPr>
              <w:t>，每</w:t>
            </w:r>
            <w:r>
              <w:rPr>
                <w:rFonts w:hint="eastAsia" w:ascii="宋体" w:hAnsi="宋体"/>
                <w:b w:val="0"/>
                <w:bCs/>
                <w:szCs w:val="21"/>
                <w:highlight w:val="none"/>
                <w:lang w:eastAsia="zh-CN"/>
              </w:rPr>
              <w:t>提供</w:t>
            </w:r>
            <w:r>
              <w:rPr>
                <w:rFonts w:hint="eastAsia" w:ascii="宋体" w:hAnsi="宋体"/>
                <w:b w:val="0"/>
                <w:bCs/>
                <w:szCs w:val="21"/>
                <w:highlight w:val="none"/>
              </w:rPr>
              <w:t>1个得</w:t>
            </w:r>
            <w:r>
              <w:rPr>
                <w:rFonts w:hint="eastAsia" w:ascii="宋体" w:hAnsi="宋体"/>
                <w:b w:val="0"/>
                <w:bCs/>
                <w:szCs w:val="21"/>
                <w:highlight w:val="none"/>
                <w:lang w:val="en-US" w:eastAsia="zh-CN"/>
              </w:rPr>
              <w:t>3</w:t>
            </w:r>
            <w:r>
              <w:rPr>
                <w:rFonts w:hint="eastAsia" w:ascii="宋体" w:hAnsi="宋体"/>
                <w:b w:val="0"/>
                <w:bCs/>
                <w:szCs w:val="21"/>
                <w:highlight w:val="none"/>
              </w:rPr>
              <w:t>分，最高得</w:t>
            </w:r>
            <w:r>
              <w:rPr>
                <w:rFonts w:hint="eastAsia" w:ascii="宋体" w:hAnsi="宋体"/>
                <w:b w:val="0"/>
                <w:bCs/>
                <w:szCs w:val="21"/>
                <w:highlight w:val="none"/>
                <w:lang w:val="en-US" w:eastAsia="zh-CN"/>
              </w:rPr>
              <w:t>9</w:t>
            </w:r>
            <w:r>
              <w:rPr>
                <w:rFonts w:hint="eastAsia" w:ascii="宋体" w:hAnsi="宋体"/>
                <w:b w:val="0"/>
                <w:bCs/>
                <w:szCs w:val="21"/>
                <w:highlight w:val="none"/>
              </w:rPr>
              <w:t>分。（</w:t>
            </w:r>
            <w:r>
              <w:rPr>
                <w:rFonts w:hint="eastAsia" w:ascii="宋体" w:hAnsi="宋体"/>
                <w:b w:val="0"/>
                <w:bCs/>
                <w:szCs w:val="21"/>
                <w:highlight w:val="none"/>
                <w:lang w:eastAsia="zh-CN"/>
              </w:rPr>
              <w:t>上传</w:t>
            </w:r>
            <w:r>
              <w:rPr>
                <w:rFonts w:hint="eastAsia" w:ascii="宋体" w:hAnsi="宋体"/>
                <w:b w:val="0"/>
                <w:bCs/>
                <w:szCs w:val="21"/>
                <w:highlight w:val="none"/>
              </w:rPr>
              <w:t>加盖</w:t>
            </w:r>
            <w:r>
              <w:rPr>
                <w:rFonts w:hint="eastAsia" w:ascii="宋体" w:hAnsi="宋体"/>
                <w:b w:val="0"/>
                <w:bCs/>
                <w:szCs w:val="21"/>
                <w:highlight w:val="none"/>
                <w:lang w:eastAsia="zh-CN"/>
              </w:rPr>
              <w:t>供应商</w:t>
            </w:r>
            <w:r>
              <w:rPr>
                <w:rFonts w:hint="eastAsia" w:ascii="宋体" w:hAnsi="宋体"/>
                <w:b w:val="0"/>
                <w:bCs/>
                <w:szCs w:val="21"/>
                <w:highlight w:val="none"/>
              </w:rPr>
              <w:t>公章</w:t>
            </w:r>
            <w:r>
              <w:rPr>
                <w:rFonts w:hint="eastAsia" w:ascii="宋体" w:hAnsi="宋体"/>
                <w:b w:val="0"/>
                <w:bCs/>
                <w:szCs w:val="21"/>
                <w:highlight w:val="none"/>
                <w:lang w:eastAsia="zh-CN"/>
              </w:rPr>
              <w:t>的</w:t>
            </w:r>
            <w:r>
              <w:rPr>
                <w:rFonts w:hint="eastAsia" w:ascii="宋体" w:hAnsi="宋体"/>
                <w:b w:val="0"/>
                <w:bCs/>
                <w:szCs w:val="21"/>
                <w:highlight w:val="none"/>
              </w:rPr>
              <w:t>合同</w:t>
            </w:r>
            <w:r>
              <w:rPr>
                <w:rFonts w:hint="eastAsia" w:ascii="宋体" w:hAnsi="宋体"/>
                <w:b w:val="0"/>
                <w:bCs/>
                <w:szCs w:val="21"/>
                <w:highlight w:val="none"/>
                <w:lang w:eastAsia="zh-CN"/>
              </w:rPr>
              <w:t>扫描</w:t>
            </w:r>
            <w:r>
              <w:rPr>
                <w:rFonts w:hint="eastAsia" w:ascii="宋体" w:hAnsi="宋体"/>
                <w:b w:val="0"/>
                <w:bCs/>
                <w:szCs w:val="21"/>
                <w:highlight w:val="none"/>
              </w:rPr>
              <w:t>件，</w:t>
            </w:r>
            <w:r>
              <w:rPr>
                <w:rFonts w:hint="eastAsia" w:ascii="宋体" w:hAnsi="宋体"/>
                <w:b w:val="0"/>
                <w:bCs/>
                <w:szCs w:val="21"/>
                <w:highlight w:val="none"/>
                <w:lang w:val="en-US" w:eastAsia="zh-CN"/>
              </w:rPr>
              <w:t>合同需能反应出相关信息否则不得分，时间以合同签订时间为准。</w:t>
            </w:r>
            <w:r>
              <w:rPr>
                <w:rFonts w:hint="eastAsia" w:ascii="宋体" w:hAnsi="宋体"/>
                <w:b w:val="0"/>
                <w:bCs/>
                <w:szCs w:val="21"/>
                <w:highlight w:val="none"/>
              </w:rPr>
              <w:t>）</w:t>
            </w:r>
          </w:p>
        </w:tc>
        <w:tc>
          <w:tcPr>
            <w:tcW w:w="903" w:type="dxa"/>
            <w:tcBorders>
              <w:top w:val="single" w:color="auto" w:sz="4" w:space="0"/>
              <w:left w:val="single" w:color="auto" w:sz="4" w:space="0"/>
              <w:right w:val="single" w:color="auto" w:sz="4" w:space="0"/>
            </w:tcBorders>
            <w:noWrap w:val="0"/>
            <w:vAlign w:val="center"/>
          </w:tcPr>
          <w:p w14:paraId="1002048A">
            <w:pPr>
              <w:jc w:val="center"/>
              <w:rPr>
                <w:rFonts w:hint="eastAsia" w:ascii="宋体" w:hAnsi="宋体"/>
                <w:b w:val="0"/>
                <w:bCs/>
                <w:szCs w:val="21"/>
                <w:highlight w:val="none"/>
                <w:lang w:eastAsia="zh-CN"/>
              </w:rPr>
            </w:pPr>
            <w:r>
              <w:rPr>
                <w:rFonts w:hint="eastAsia" w:ascii="宋体" w:hAnsi="宋体"/>
                <w:b w:val="0"/>
                <w:bCs/>
                <w:szCs w:val="21"/>
                <w:highlight w:val="none"/>
                <w:lang w:val="en-US" w:eastAsia="zh-CN"/>
              </w:rPr>
              <w:t>9</w:t>
            </w:r>
          </w:p>
        </w:tc>
      </w:tr>
      <w:tr w14:paraId="542966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blHeader/>
          <w:jc w:val="center"/>
        </w:trPr>
        <w:tc>
          <w:tcPr>
            <w:tcW w:w="662" w:type="dxa"/>
            <w:vMerge w:val="restart"/>
            <w:tcBorders>
              <w:top w:val="single" w:color="auto" w:sz="4" w:space="0"/>
              <w:left w:val="single" w:color="auto" w:sz="4" w:space="0"/>
              <w:right w:val="single" w:color="auto" w:sz="4" w:space="0"/>
            </w:tcBorders>
            <w:noWrap w:val="0"/>
            <w:vAlign w:val="center"/>
          </w:tcPr>
          <w:p w14:paraId="72A99E05">
            <w:pPr>
              <w:jc w:val="center"/>
              <w:rPr>
                <w:rFonts w:hint="eastAsia" w:ascii="宋体" w:hAnsi="宋体"/>
                <w:b w:val="0"/>
                <w:bCs/>
                <w:szCs w:val="21"/>
                <w:highlight w:val="none"/>
                <w:lang w:eastAsia="zh-CN"/>
              </w:rPr>
            </w:pPr>
            <w:r>
              <w:rPr>
                <w:rFonts w:hint="eastAsia" w:ascii="宋体" w:hAnsi="宋体"/>
                <w:b w:val="0"/>
                <w:bCs/>
                <w:szCs w:val="21"/>
                <w:highlight w:val="none"/>
                <w:lang w:val="en-US" w:eastAsia="zh-CN"/>
              </w:rPr>
              <w:t>4</w:t>
            </w:r>
          </w:p>
        </w:tc>
        <w:tc>
          <w:tcPr>
            <w:tcW w:w="1340" w:type="dxa"/>
            <w:vMerge w:val="restart"/>
            <w:tcBorders>
              <w:top w:val="single" w:color="auto" w:sz="4" w:space="0"/>
              <w:left w:val="single" w:color="auto" w:sz="4" w:space="0"/>
              <w:right w:val="single" w:color="auto" w:sz="4" w:space="0"/>
            </w:tcBorders>
            <w:noWrap w:val="0"/>
            <w:vAlign w:val="center"/>
          </w:tcPr>
          <w:p w14:paraId="625193D7">
            <w:pPr>
              <w:jc w:val="center"/>
              <w:rPr>
                <w:rFonts w:hint="eastAsia" w:ascii="宋体" w:hAnsi="宋体"/>
                <w:b w:val="0"/>
                <w:bCs/>
                <w:szCs w:val="21"/>
                <w:highlight w:val="none"/>
              </w:rPr>
            </w:pPr>
            <w:r>
              <w:rPr>
                <w:rFonts w:hint="eastAsia" w:ascii="宋体" w:hAnsi="宋体"/>
                <w:b w:val="0"/>
                <w:bCs/>
                <w:szCs w:val="21"/>
                <w:highlight w:val="none"/>
              </w:rPr>
              <w:t>项目组成员</w:t>
            </w:r>
          </w:p>
          <w:p w14:paraId="6F8E3D17">
            <w:pPr>
              <w:jc w:val="center"/>
              <w:rPr>
                <w:rFonts w:hint="eastAsia" w:ascii="宋体" w:hAnsi="宋体"/>
                <w:b w:val="0"/>
                <w:bCs/>
                <w:szCs w:val="21"/>
                <w:highlight w:val="none"/>
              </w:rPr>
            </w:pPr>
            <w:r>
              <w:rPr>
                <w:rFonts w:hint="eastAsia" w:ascii="宋体" w:hAnsi="宋体"/>
                <w:b w:val="0"/>
                <w:bCs/>
                <w:szCs w:val="21"/>
                <w:highlight w:val="none"/>
              </w:rPr>
              <w:t>（</w:t>
            </w:r>
            <w:r>
              <w:rPr>
                <w:rFonts w:hint="eastAsia" w:ascii="宋体" w:hAnsi="宋体"/>
                <w:b w:val="0"/>
                <w:bCs/>
                <w:szCs w:val="21"/>
                <w:highlight w:val="none"/>
                <w:lang w:val="en-US" w:eastAsia="zh-CN"/>
              </w:rPr>
              <w:t>11分</w:t>
            </w:r>
            <w:r>
              <w:rPr>
                <w:rFonts w:hint="eastAsia" w:ascii="宋体" w:hAnsi="宋体"/>
                <w:b w:val="0"/>
                <w:bCs/>
                <w:szCs w:val="21"/>
                <w:highlight w:val="none"/>
              </w:rPr>
              <w:t>）</w:t>
            </w:r>
          </w:p>
        </w:tc>
        <w:tc>
          <w:tcPr>
            <w:tcW w:w="6507" w:type="dxa"/>
            <w:tcBorders>
              <w:top w:val="single" w:color="auto" w:sz="4" w:space="0"/>
              <w:left w:val="single" w:color="auto" w:sz="4" w:space="0"/>
              <w:bottom w:val="single" w:color="auto" w:sz="4" w:space="0"/>
              <w:right w:val="single" w:color="auto" w:sz="4" w:space="0"/>
            </w:tcBorders>
            <w:noWrap w:val="0"/>
            <w:vAlign w:val="center"/>
          </w:tcPr>
          <w:p w14:paraId="0CE91C9B">
            <w:pPr>
              <w:rPr>
                <w:rFonts w:hint="eastAsia" w:ascii="宋体" w:hAnsi="宋体"/>
                <w:b/>
                <w:bCs w:val="0"/>
                <w:szCs w:val="21"/>
                <w:highlight w:val="none"/>
              </w:rPr>
            </w:pPr>
            <w:r>
              <w:rPr>
                <w:rFonts w:hint="eastAsia" w:ascii="宋体" w:hAnsi="宋体"/>
                <w:b/>
                <w:bCs w:val="0"/>
                <w:szCs w:val="21"/>
                <w:highlight w:val="none"/>
                <w:lang w:val="en-US" w:eastAsia="zh-CN"/>
              </w:rPr>
              <w:t>4.1</w:t>
            </w:r>
            <w:r>
              <w:rPr>
                <w:rFonts w:hint="eastAsia" w:ascii="宋体" w:hAnsi="宋体"/>
                <w:b/>
                <w:bCs w:val="0"/>
                <w:szCs w:val="21"/>
                <w:highlight w:val="none"/>
              </w:rPr>
              <w:t>拟派项目负责人：</w:t>
            </w:r>
          </w:p>
          <w:p w14:paraId="71839FAC">
            <w:pPr>
              <w:rPr>
                <w:rFonts w:hint="eastAsia" w:ascii="宋体" w:hAnsi="宋体"/>
                <w:b w:val="0"/>
                <w:bCs/>
                <w:szCs w:val="21"/>
                <w:highlight w:val="none"/>
              </w:rPr>
            </w:pPr>
            <w:r>
              <w:rPr>
                <w:rFonts w:hint="eastAsia" w:ascii="宋体" w:hAnsi="宋体"/>
                <w:b w:val="0"/>
                <w:bCs/>
                <w:szCs w:val="21"/>
                <w:highlight w:val="none"/>
              </w:rPr>
              <w:t>具有建设工程类高级工程师职称的得</w:t>
            </w:r>
            <w:r>
              <w:rPr>
                <w:rFonts w:hint="eastAsia" w:ascii="宋体" w:hAnsi="宋体"/>
                <w:b w:val="0"/>
                <w:bCs/>
                <w:szCs w:val="21"/>
                <w:highlight w:val="none"/>
                <w:lang w:val="en-US" w:eastAsia="zh-CN"/>
              </w:rPr>
              <w:t>2</w:t>
            </w:r>
            <w:r>
              <w:rPr>
                <w:rFonts w:hint="eastAsia" w:ascii="宋体" w:hAnsi="宋体"/>
                <w:b w:val="0"/>
                <w:bCs/>
                <w:szCs w:val="21"/>
                <w:highlight w:val="none"/>
              </w:rPr>
              <w:t>分，具有工程师职称的得</w:t>
            </w:r>
            <w:r>
              <w:rPr>
                <w:rFonts w:hint="eastAsia" w:ascii="宋体" w:hAnsi="宋体"/>
                <w:b w:val="0"/>
                <w:bCs/>
                <w:szCs w:val="21"/>
                <w:highlight w:val="none"/>
                <w:lang w:val="en-US" w:eastAsia="zh-CN"/>
              </w:rPr>
              <w:t>1</w:t>
            </w:r>
            <w:r>
              <w:rPr>
                <w:rFonts w:hint="eastAsia" w:ascii="宋体" w:hAnsi="宋体"/>
                <w:b w:val="0"/>
                <w:bCs/>
                <w:szCs w:val="21"/>
                <w:highlight w:val="none"/>
              </w:rPr>
              <w:t>分；具有一级注册结构工程师证书的得</w:t>
            </w:r>
            <w:r>
              <w:rPr>
                <w:rFonts w:hint="eastAsia" w:ascii="宋体" w:hAnsi="宋体"/>
                <w:b w:val="0"/>
                <w:bCs/>
                <w:szCs w:val="21"/>
                <w:highlight w:val="none"/>
                <w:lang w:val="en-US" w:eastAsia="zh-CN"/>
              </w:rPr>
              <w:t>1</w:t>
            </w:r>
            <w:r>
              <w:rPr>
                <w:rFonts w:hint="eastAsia" w:ascii="宋体" w:hAnsi="宋体"/>
                <w:b w:val="0"/>
                <w:bCs/>
                <w:szCs w:val="21"/>
                <w:highlight w:val="none"/>
              </w:rPr>
              <w:t>分；</w:t>
            </w:r>
            <w:r>
              <w:rPr>
                <w:rFonts w:hint="eastAsia" w:ascii="宋体" w:hAnsi="宋体"/>
                <w:b w:val="0"/>
                <w:bCs/>
                <w:szCs w:val="21"/>
                <w:highlight w:val="none"/>
                <w:lang w:val="en-US" w:eastAsia="zh-CN"/>
              </w:rPr>
              <w:t>本项最多可得3分。</w:t>
            </w:r>
            <w:r>
              <w:rPr>
                <w:rFonts w:hint="eastAsia" w:ascii="宋体" w:hAnsi="宋体"/>
                <w:b w:val="0"/>
                <w:bCs/>
                <w:szCs w:val="21"/>
                <w:highlight w:val="none"/>
                <w:lang w:eastAsia="zh-CN"/>
              </w:rPr>
              <w:t>（上传加盖供应商公章的</w:t>
            </w:r>
            <w:r>
              <w:rPr>
                <w:rFonts w:hint="eastAsia" w:ascii="宋体" w:hAnsi="宋体"/>
                <w:b w:val="0"/>
                <w:bCs/>
                <w:szCs w:val="21"/>
                <w:highlight w:val="none"/>
              </w:rPr>
              <w:t>证书</w:t>
            </w:r>
            <w:r>
              <w:rPr>
                <w:rFonts w:hint="eastAsia" w:ascii="宋体" w:hAnsi="宋体"/>
                <w:b w:val="0"/>
                <w:bCs/>
                <w:szCs w:val="21"/>
                <w:highlight w:val="none"/>
                <w:lang w:eastAsia="zh-CN"/>
              </w:rPr>
              <w:t>扫描</w:t>
            </w:r>
            <w:r>
              <w:rPr>
                <w:rFonts w:hint="eastAsia" w:ascii="宋体" w:hAnsi="宋体"/>
                <w:b w:val="0"/>
                <w:bCs/>
                <w:szCs w:val="21"/>
                <w:highlight w:val="none"/>
              </w:rPr>
              <w:t>件及</w:t>
            </w:r>
            <w:r>
              <w:rPr>
                <w:rFonts w:hint="eastAsia" w:ascii="宋体" w:hAnsi="宋体"/>
                <w:b w:val="0"/>
                <w:bCs/>
                <w:szCs w:val="21"/>
                <w:highlight w:val="none"/>
                <w:lang w:eastAsia="zh-CN"/>
              </w:rPr>
              <w:t>供应商为其</w:t>
            </w:r>
            <w:r>
              <w:rPr>
                <w:rFonts w:hint="eastAsia" w:ascii="宋体" w:hAnsi="宋体"/>
                <w:b w:val="0"/>
                <w:bCs/>
                <w:szCs w:val="21"/>
                <w:highlight w:val="none"/>
              </w:rPr>
              <w:t>缴纳的近</w:t>
            </w:r>
            <w:r>
              <w:rPr>
                <w:rFonts w:hint="eastAsia" w:ascii="宋体" w:hAnsi="宋体"/>
                <w:b w:val="0"/>
                <w:bCs/>
                <w:szCs w:val="21"/>
                <w:highlight w:val="none"/>
                <w:lang w:eastAsia="zh-CN"/>
              </w:rPr>
              <w:t>三</w:t>
            </w:r>
            <w:r>
              <w:rPr>
                <w:rFonts w:hint="eastAsia" w:ascii="宋体" w:hAnsi="宋体"/>
                <w:b w:val="0"/>
                <w:bCs/>
                <w:szCs w:val="21"/>
                <w:highlight w:val="none"/>
              </w:rPr>
              <w:t>个月</w:t>
            </w:r>
            <w:r>
              <w:rPr>
                <w:rFonts w:hint="eastAsia" w:ascii="宋体" w:hAnsi="宋体"/>
                <w:b w:val="0"/>
                <w:bCs/>
                <w:szCs w:val="21"/>
                <w:highlight w:val="none"/>
                <w:lang w:eastAsia="zh-CN"/>
              </w:rPr>
              <w:t>内任意一个月</w:t>
            </w:r>
            <w:r>
              <w:rPr>
                <w:rFonts w:hint="eastAsia" w:ascii="宋体" w:hAnsi="宋体"/>
                <w:b w:val="0"/>
                <w:bCs/>
                <w:szCs w:val="21"/>
                <w:highlight w:val="none"/>
              </w:rPr>
              <w:t>社保证明材料</w:t>
            </w:r>
            <w:r>
              <w:rPr>
                <w:rFonts w:hint="eastAsia" w:ascii="宋体" w:hAnsi="宋体"/>
                <w:b w:val="0"/>
                <w:bCs/>
                <w:szCs w:val="21"/>
                <w:highlight w:val="none"/>
                <w:lang w:eastAsia="zh-CN"/>
              </w:rPr>
              <w:t>扫描件</w:t>
            </w:r>
            <w:r>
              <w:rPr>
                <w:rFonts w:hint="eastAsia" w:ascii="宋体" w:hAnsi="宋体"/>
                <w:b w:val="0"/>
                <w:bCs/>
                <w:szCs w:val="21"/>
                <w:highlight w:val="none"/>
              </w:rPr>
              <w:t>，否则不得分。</w:t>
            </w:r>
            <w:r>
              <w:rPr>
                <w:rFonts w:hint="eastAsia" w:ascii="宋体" w:hAnsi="宋体"/>
                <w:b w:val="0"/>
                <w:bCs/>
                <w:szCs w:val="21"/>
                <w:highlight w:val="none"/>
                <w:lang w:eastAsia="zh-CN"/>
              </w:rPr>
              <w:t>）</w:t>
            </w:r>
          </w:p>
        </w:tc>
        <w:tc>
          <w:tcPr>
            <w:tcW w:w="903" w:type="dxa"/>
            <w:tcBorders>
              <w:top w:val="single" w:color="auto" w:sz="4" w:space="0"/>
              <w:left w:val="single" w:color="auto" w:sz="4" w:space="0"/>
              <w:bottom w:val="single" w:color="auto" w:sz="4" w:space="0"/>
              <w:right w:val="single" w:color="auto" w:sz="4" w:space="0"/>
            </w:tcBorders>
            <w:noWrap w:val="0"/>
            <w:vAlign w:val="center"/>
          </w:tcPr>
          <w:p w14:paraId="5914C3F8">
            <w:pPr>
              <w:jc w:val="center"/>
              <w:rPr>
                <w:rFonts w:hint="eastAsia" w:ascii="宋体" w:hAnsi="宋体"/>
                <w:b w:val="0"/>
                <w:bCs/>
                <w:szCs w:val="21"/>
                <w:highlight w:val="none"/>
                <w:lang w:eastAsia="zh-CN"/>
              </w:rPr>
            </w:pPr>
            <w:r>
              <w:rPr>
                <w:rFonts w:hint="eastAsia" w:ascii="宋体" w:hAnsi="宋体"/>
                <w:b w:val="0"/>
                <w:bCs/>
                <w:szCs w:val="21"/>
                <w:highlight w:val="none"/>
                <w:lang w:val="en-US" w:eastAsia="zh-CN"/>
              </w:rPr>
              <w:t>3</w:t>
            </w:r>
          </w:p>
        </w:tc>
      </w:tr>
      <w:tr w14:paraId="4E88E3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9" w:hRule="atLeast"/>
          <w:tblHeader/>
          <w:jc w:val="center"/>
        </w:trPr>
        <w:tc>
          <w:tcPr>
            <w:tcW w:w="662" w:type="dxa"/>
            <w:vMerge w:val="continue"/>
            <w:tcBorders>
              <w:left w:val="single" w:color="auto" w:sz="4" w:space="0"/>
              <w:right w:val="single" w:color="auto" w:sz="4" w:space="0"/>
            </w:tcBorders>
            <w:noWrap w:val="0"/>
            <w:vAlign w:val="center"/>
          </w:tcPr>
          <w:p w14:paraId="62F725D0">
            <w:pPr>
              <w:jc w:val="center"/>
              <w:rPr>
                <w:rFonts w:hint="eastAsia" w:ascii="宋体" w:hAnsi="宋体"/>
                <w:b w:val="0"/>
                <w:bCs/>
                <w:szCs w:val="21"/>
                <w:highlight w:val="none"/>
              </w:rPr>
            </w:pPr>
          </w:p>
        </w:tc>
        <w:tc>
          <w:tcPr>
            <w:tcW w:w="1340" w:type="dxa"/>
            <w:vMerge w:val="continue"/>
            <w:tcBorders>
              <w:left w:val="single" w:color="auto" w:sz="4" w:space="0"/>
              <w:right w:val="single" w:color="auto" w:sz="4" w:space="0"/>
            </w:tcBorders>
            <w:noWrap w:val="0"/>
            <w:vAlign w:val="center"/>
          </w:tcPr>
          <w:p w14:paraId="62B36102">
            <w:pPr>
              <w:rPr>
                <w:rFonts w:hint="eastAsia" w:ascii="宋体" w:hAnsi="宋体"/>
                <w:b w:val="0"/>
                <w:bCs/>
                <w:szCs w:val="21"/>
                <w:highlight w:val="none"/>
              </w:rPr>
            </w:pPr>
          </w:p>
        </w:tc>
        <w:tc>
          <w:tcPr>
            <w:tcW w:w="6507" w:type="dxa"/>
            <w:tcBorders>
              <w:top w:val="single" w:color="auto" w:sz="4" w:space="0"/>
              <w:left w:val="single" w:color="auto" w:sz="4" w:space="0"/>
              <w:bottom w:val="single" w:color="auto" w:sz="4" w:space="0"/>
              <w:right w:val="single" w:color="auto" w:sz="4" w:space="0"/>
            </w:tcBorders>
            <w:noWrap w:val="0"/>
            <w:vAlign w:val="center"/>
          </w:tcPr>
          <w:p w14:paraId="4EEFDF55">
            <w:pPr>
              <w:rPr>
                <w:rFonts w:hint="eastAsia" w:ascii="宋体" w:hAnsi="宋体"/>
                <w:b/>
                <w:bCs w:val="0"/>
                <w:szCs w:val="21"/>
                <w:highlight w:val="none"/>
              </w:rPr>
            </w:pPr>
            <w:r>
              <w:rPr>
                <w:rFonts w:hint="eastAsia" w:ascii="宋体" w:hAnsi="宋体"/>
                <w:b/>
                <w:bCs w:val="0"/>
                <w:szCs w:val="21"/>
                <w:highlight w:val="none"/>
                <w:lang w:val="en-US" w:eastAsia="zh-CN"/>
              </w:rPr>
              <w:t>4.2</w:t>
            </w:r>
            <w:r>
              <w:rPr>
                <w:rFonts w:hint="eastAsia" w:ascii="宋体" w:hAnsi="宋体"/>
                <w:b/>
                <w:bCs w:val="0"/>
                <w:szCs w:val="21"/>
                <w:highlight w:val="none"/>
              </w:rPr>
              <w:t>项目组</w:t>
            </w:r>
            <w:r>
              <w:rPr>
                <w:rFonts w:hint="eastAsia" w:ascii="宋体" w:hAnsi="宋体"/>
                <w:b/>
                <w:bCs w:val="0"/>
                <w:szCs w:val="21"/>
                <w:highlight w:val="none"/>
                <w:lang w:eastAsia="zh-CN"/>
              </w:rPr>
              <w:t>成员</w:t>
            </w:r>
            <w:r>
              <w:rPr>
                <w:rFonts w:hint="eastAsia" w:ascii="宋体" w:hAnsi="宋体"/>
                <w:b/>
                <w:bCs w:val="0"/>
                <w:szCs w:val="21"/>
                <w:highlight w:val="none"/>
              </w:rPr>
              <w:t>（除项目负责人</w:t>
            </w:r>
            <w:r>
              <w:rPr>
                <w:rFonts w:hint="eastAsia" w:ascii="宋体" w:hAnsi="宋体"/>
                <w:b/>
                <w:bCs w:val="0"/>
                <w:szCs w:val="21"/>
                <w:highlight w:val="none"/>
                <w:lang w:eastAsia="zh-CN"/>
              </w:rPr>
              <w:t>外</w:t>
            </w:r>
            <w:r>
              <w:rPr>
                <w:rFonts w:hint="eastAsia" w:ascii="宋体" w:hAnsi="宋体"/>
                <w:b/>
                <w:bCs w:val="0"/>
                <w:szCs w:val="21"/>
                <w:highlight w:val="none"/>
              </w:rPr>
              <w:t>）：</w:t>
            </w:r>
          </w:p>
          <w:p w14:paraId="42CBE942">
            <w:pPr>
              <w:numPr>
                <w:ilvl w:val="0"/>
                <w:numId w:val="4"/>
              </w:numPr>
              <w:rPr>
                <w:rFonts w:hint="eastAsia" w:ascii="宋体" w:hAnsi="宋体"/>
                <w:b w:val="0"/>
                <w:bCs/>
                <w:szCs w:val="21"/>
                <w:highlight w:val="none"/>
                <w:lang w:eastAsia="zh-CN"/>
              </w:rPr>
            </w:pPr>
            <w:r>
              <w:rPr>
                <w:rFonts w:hint="eastAsia" w:ascii="宋体" w:hAnsi="宋体"/>
                <w:b w:val="0"/>
                <w:bCs/>
                <w:szCs w:val="21"/>
                <w:highlight w:val="none"/>
                <w:lang w:eastAsia="zh-CN"/>
              </w:rPr>
              <w:t>成员</w:t>
            </w:r>
            <w:r>
              <w:rPr>
                <w:rFonts w:hint="eastAsia" w:ascii="宋体" w:hAnsi="宋体"/>
                <w:b w:val="0"/>
                <w:bCs/>
                <w:szCs w:val="21"/>
                <w:highlight w:val="none"/>
              </w:rPr>
              <w:t>具有江苏省房屋安全鉴定检测专业技术证书</w:t>
            </w:r>
            <w:r>
              <w:rPr>
                <w:rFonts w:hint="eastAsia" w:ascii="宋体" w:hAnsi="宋体"/>
                <w:b w:val="0"/>
                <w:bCs/>
                <w:szCs w:val="21"/>
                <w:highlight w:val="none"/>
                <w:lang w:val="en-US" w:eastAsia="zh-CN"/>
              </w:rPr>
              <w:t>的，</w:t>
            </w:r>
            <w:r>
              <w:rPr>
                <w:rFonts w:hint="eastAsia" w:ascii="宋体" w:hAnsi="宋体"/>
                <w:b w:val="0"/>
                <w:bCs/>
                <w:szCs w:val="21"/>
                <w:highlight w:val="none"/>
                <w:lang w:eastAsia="zh-CN"/>
              </w:rPr>
              <w:t>每有</w:t>
            </w:r>
            <w:r>
              <w:rPr>
                <w:rFonts w:hint="eastAsia" w:ascii="宋体" w:hAnsi="宋体"/>
                <w:b w:val="0"/>
                <w:bCs/>
                <w:szCs w:val="21"/>
                <w:highlight w:val="none"/>
                <w:lang w:val="en-US" w:eastAsia="zh-CN"/>
              </w:rPr>
              <w:t>1人</w:t>
            </w:r>
            <w:r>
              <w:rPr>
                <w:rFonts w:hint="eastAsia" w:ascii="宋体" w:hAnsi="宋体"/>
                <w:b w:val="0"/>
                <w:bCs/>
                <w:szCs w:val="21"/>
                <w:highlight w:val="none"/>
              </w:rPr>
              <w:t>得</w:t>
            </w:r>
            <w:r>
              <w:rPr>
                <w:rFonts w:hint="eastAsia" w:ascii="宋体" w:hAnsi="宋体"/>
                <w:b w:val="0"/>
                <w:bCs/>
                <w:szCs w:val="21"/>
                <w:highlight w:val="none"/>
                <w:lang w:val="en-US" w:eastAsia="zh-CN"/>
              </w:rPr>
              <w:t>1</w:t>
            </w:r>
            <w:r>
              <w:rPr>
                <w:rFonts w:hint="eastAsia" w:ascii="宋体" w:hAnsi="宋体"/>
                <w:b w:val="0"/>
                <w:bCs/>
                <w:szCs w:val="21"/>
                <w:highlight w:val="none"/>
              </w:rPr>
              <w:t>分，最</w:t>
            </w:r>
            <w:r>
              <w:rPr>
                <w:rFonts w:hint="eastAsia" w:ascii="宋体" w:hAnsi="宋体"/>
                <w:b w:val="0"/>
                <w:bCs/>
                <w:szCs w:val="21"/>
                <w:highlight w:val="none"/>
                <w:lang w:eastAsia="zh-CN"/>
              </w:rPr>
              <w:t>高</w:t>
            </w:r>
            <w:r>
              <w:rPr>
                <w:rFonts w:hint="eastAsia" w:ascii="宋体" w:hAnsi="宋体"/>
                <w:b w:val="0"/>
                <w:bCs/>
                <w:szCs w:val="21"/>
                <w:highlight w:val="none"/>
              </w:rPr>
              <w:t>得</w:t>
            </w:r>
            <w:r>
              <w:rPr>
                <w:rFonts w:hint="eastAsia" w:ascii="宋体" w:hAnsi="宋体"/>
                <w:b w:val="0"/>
                <w:bCs/>
                <w:szCs w:val="21"/>
                <w:highlight w:val="none"/>
                <w:lang w:val="en-US" w:eastAsia="zh-CN"/>
              </w:rPr>
              <w:t>4</w:t>
            </w:r>
            <w:r>
              <w:rPr>
                <w:rFonts w:hint="eastAsia" w:ascii="宋体" w:hAnsi="宋体"/>
                <w:b w:val="0"/>
                <w:bCs/>
                <w:szCs w:val="21"/>
                <w:highlight w:val="none"/>
              </w:rPr>
              <w:t>分</w:t>
            </w:r>
            <w:r>
              <w:rPr>
                <w:rFonts w:hint="eastAsia" w:ascii="宋体" w:hAnsi="宋体"/>
                <w:b w:val="0"/>
                <w:bCs/>
                <w:szCs w:val="21"/>
                <w:highlight w:val="none"/>
                <w:lang w:eastAsia="zh-CN"/>
              </w:rPr>
              <w:t>；</w:t>
            </w:r>
          </w:p>
          <w:p w14:paraId="02BB59E4">
            <w:pPr>
              <w:numPr>
                <w:ilvl w:val="0"/>
                <w:numId w:val="4"/>
              </w:numPr>
              <w:rPr>
                <w:rFonts w:hint="default" w:ascii="宋体" w:hAnsi="宋体" w:eastAsia="宋体"/>
                <w:b w:val="0"/>
                <w:bCs/>
                <w:szCs w:val="21"/>
                <w:highlight w:val="none"/>
                <w:lang w:val="en-US" w:eastAsia="zh-CN"/>
              </w:rPr>
            </w:pPr>
            <w:r>
              <w:rPr>
                <w:rFonts w:hint="eastAsia" w:ascii="宋体" w:hAnsi="宋体"/>
                <w:b w:val="0"/>
                <w:bCs/>
                <w:szCs w:val="21"/>
                <w:highlight w:val="none"/>
                <w:lang w:val="en-US" w:eastAsia="zh-CN"/>
              </w:rPr>
              <w:t>成员</w:t>
            </w:r>
            <w:r>
              <w:rPr>
                <w:rFonts w:hint="eastAsia" w:ascii="宋体" w:hAnsi="宋体"/>
                <w:b w:val="0"/>
                <w:bCs/>
                <w:szCs w:val="21"/>
                <w:highlight w:val="none"/>
              </w:rPr>
              <w:t>具有高级及以上职称</w:t>
            </w:r>
            <w:r>
              <w:rPr>
                <w:rFonts w:hint="eastAsia" w:ascii="宋体" w:hAnsi="宋体"/>
                <w:b w:val="0"/>
                <w:bCs/>
                <w:szCs w:val="21"/>
                <w:highlight w:val="none"/>
                <w:lang w:val="en-US" w:eastAsia="zh-CN"/>
              </w:rPr>
              <w:t>或</w:t>
            </w:r>
            <w:r>
              <w:rPr>
                <w:rFonts w:hint="eastAsia" w:ascii="宋体" w:hAnsi="宋体"/>
                <w:b w:val="0"/>
                <w:bCs/>
                <w:szCs w:val="21"/>
                <w:highlight w:val="none"/>
              </w:rPr>
              <w:t>一级注册结构工程师证书</w:t>
            </w:r>
            <w:r>
              <w:rPr>
                <w:rFonts w:hint="eastAsia" w:ascii="宋体" w:hAnsi="宋体"/>
                <w:b w:val="0"/>
                <w:bCs/>
                <w:szCs w:val="21"/>
                <w:highlight w:val="none"/>
                <w:lang w:val="en-US" w:eastAsia="zh-CN"/>
              </w:rPr>
              <w:t>或一级注册建筑师证书</w:t>
            </w:r>
            <w:r>
              <w:rPr>
                <w:rFonts w:hint="eastAsia" w:ascii="宋体" w:hAnsi="宋体"/>
                <w:b w:val="0"/>
                <w:bCs/>
                <w:szCs w:val="21"/>
                <w:highlight w:val="none"/>
              </w:rPr>
              <w:t>的，每有1个得</w:t>
            </w:r>
            <w:r>
              <w:rPr>
                <w:rFonts w:hint="eastAsia" w:ascii="宋体" w:hAnsi="宋体"/>
                <w:b w:val="0"/>
                <w:bCs/>
                <w:szCs w:val="21"/>
                <w:highlight w:val="none"/>
                <w:lang w:val="en-US" w:eastAsia="zh-CN"/>
              </w:rPr>
              <w:t>2</w:t>
            </w:r>
            <w:r>
              <w:rPr>
                <w:rFonts w:hint="eastAsia" w:ascii="宋体" w:hAnsi="宋体"/>
                <w:b w:val="0"/>
                <w:bCs/>
                <w:szCs w:val="21"/>
                <w:highlight w:val="none"/>
              </w:rPr>
              <w:t>分</w:t>
            </w:r>
            <w:r>
              <w:rPr>
                <w:rFonts w:hint="eastAsia" w:ascii="宋体" w:hAnsi="宋体"/>
                <w:b w:val="0"/>
                <w:bCs/>
                <w:szCs w:val="21"/>
                <w:highlight w:val="none"/>
                <w:lang w:eastAsia="zh-CN"/>
              </w:rPr>
              <w:t>，</w:t>
            </w:r>
            <w:r>
              <w:rPr>
                <w:rFonts w:hint="eastAsia" w:ascii="宋体" w:hAnsi="宋体"/>
                <w:b w:val="0"/>
                <w:bCs/>
                <w:szCs w:val="21"/>
                <w:highlight w:val="none"/>
              </w:rPr>
              <w:t>最</w:t>
            </w:r>
            <w:r>
              <w:rPr>
                <w:rFonts w:hint="eastAsia" w:ascii="宋体" w:hAnsi="宋体"/>
                <w:b w:val="0"/>
                <w:bCs/>
                <w:szCs w:val="21"/>
                <w:highlight w:val="none"/>
                <w:lang w:eastAsia="zh-CN"/>
              </w:rPr>
              <w:t>高</w:t>
            </w:r>
            <w:r>
              <w:rPr>
                <w:rFonts w:hint="eastAsia" w:ascii="宋体" w:hAnsi="宋体"/>
                <w:b w:val="0"/>
                <w:bCs/>
                <w:szCs w:val="21"/>
                <w:highlight w:val="none"/>
              </w:rPr>
              <w:t>得</w:t>
            </w:r>
            <w:r>
              <w:rPr>
                <w:rFonts w:hint="eastAsia" w:ascii="宋体" w:hAnsi="宋体"/>
                <w:b w:val="0"/>
                <w:bCs/>
                <w:szCs w:val="21"/>
                <w:highlight w:val="none"/>
                <w:lang w:val="en-US" w:eastAsia="zh-CN"/>
              </w:rPr>
              <w:t>4</w:t>
            </w:r>
            <w:r>
              <w:rPr>
                <w:rFonts w:hint="eastAsia" w:ascii="宋体" w:hAnsi="宋体"/>
                <w:b w:val="0"/>
                <w:bCs/>
                <w:szCs w:val="21"/>
                <w:highlight w:val="none"/>
              </w:rPr>
              <w:t>分</w:t>
            </w:r>
            <w:r>
              <w:rPr>
                <w:rFonts w:hint="eastAsia" w:ascii="宋体" w:hAnsi="宋体"/>
                <w:b w:val="0"/>
                <w:bCs/>
                <w:szCs w:val="21"/>
                <w:highlight w:val="none"/>
                <w:lang w:eastAsia="zh-CN"/>
              </w:rPr>
              <w:t>。</w:t>
            </w:r>
          </w:p>
          <w:p w14:paraId="7A971337">
            <w:pPr>
              <w:rPr>
                <w:rFonts w:hint="eastAsia" w:ascii="宋体" w:hAnsi="宋体"/>
                <w:b w:val="0"/>
                <w:bCs/>
                <w:szCs w:val="21"/>
                <w:highlight w:val="none"/>
              </w:rPr>
            </w:pPr>
            <w:r>
              <w:rPr>
                <w:rFonts w:hint="eastAsia" w:ascii="宋体" w:hAnsi="宋体"/>
                <w:b w:val="0"/>
                <w:bCs/>
                <w:szCs w:val="21"/>
                <w:highlight w:val="none"/>
                <w:lang w:eastAsia="zh-CN"/>
              </w:rPr>
              <w:t>（上传加盖供应商公章的</w:t>
            </w:r>
            <w:r>
              <w:rPr>
                <w:rFonts w:hint="eastAsia" w:ascii="宋体" w:hAnsi="宋体"/>
                <w:b w:val="0"/>
                <w:bCs/>
                <w:szCs w:val="21"/>
                <w:highlight w:val="none"/>
              </w:rPr>
              <w:t>证书</w:t>
            </w:r>
            <w:r>
              <w:rPr>
                <w:rFonts w:hint="eastAsia" w:ascii="宋体" w:hAnsi="宋体"/>
                <w:b w:val="0"/>
                <w:bCs/>
                <w:szCs w:val="21"/>
                <w:highlight w:val="none"/>
                <w:lang w:eastAsia="zh-CN"/>
              </w:rPr>
              <w:t>扫描</w:t>
            </w:r>
            <w:r>
              <w:rPr>
                <w:rFonts w:hint="eastAsia" w:ascii="宋体" w:hAnsi="宋体"/>
                <w:b w:val="0"/>
                <w:bCs/>
                <w:szCs w:val="21"/>
                <w:highlight w:val="none"/>
              </w:rPr>
              <w:t>件及</w:t>
            </w:r>
            <w:r>
              <w:rPr>
                <w:rFonts w:hint="eastAsia" w:ascii="宋体" w:hAnsi="宋体"/>
                <w:b w:val="0"/>
                <w:bCs/>
                <w:szCs w:val="21"/>
                <w:highlight w:val="none"/>
                <w:lang w:eastAsia="zh-CN"/>
              </w:rPr>
              <w:t>供应商为其</w:t>
            </w:r>
            <w:r>
              <w:rPr>
                <w:rFonts w:hint="eastAsia" w:ascii="宋体" w:hAnsi="宋体"/>
                <w:b w:val="0"/>
                <w:bCs/>
                <w:szCs w:val="21"/>
                <w:highlight w:val="none"/>
              </w:rPr>
              <w:t>缴纳的近</w:t>
            </w:r>
            <w:r>
              <w:rPr>
                <w:rFonts w:hint="eastAsia" w:ascii="宋体" w:hAnsi="宋体"/>
                <w:b w:val="0"/>
                <w:bCs/>
                <w:szCs w:val="21"/>
                <w:highlight w:val="none"/>
                <w:lang w:eastAsia="zh-CN"/>
              </w:rPr>
              <w:t>三</w:t>
            </w:r>
            <w:r>
              <w:rPr>
                <w:rFonts w:hint="eastAsia" w:ascii="宋体" w:hAnsi="宋体"/>
                <w:b w:val="0"/>
                <w:bCs/>
                <w:szCs w:val="21"/>
                <w:highlight w:val="none"/>
              </w:rPr>
              <w:t>个月</w:t>
            </w:r>
            <w:r>
              <w:rPr>
                <w:rFonts w:hint="eastAsia" w:ascii="宋体" w:hAnsi="宋体"/>
                <w:b w:val="0"/>
                <w:bCs/>
                <w:szCs w:val="21"/>
                <w:highlight w:val="none"/>
                <w:lang w:eastAsia="zh-CN"/>
              </w:rPr>
              <w:t>内任意一个月</w:t>
            </w:r>
            <w:r>
              <w:rPr>
                <w:rFonts w:hint="eastAsia" w:ascii="宋体" w:hAnsi="宋体"/>
                <w:b w:val="0"/>
                <w:bCs/>
                <w:szCs w:val="21"/>
                <w:highlight w:val="none"/>
              </w:rPr>
              <w:t>社保证明材料</w:t>
            </w:r>
            <w:r>
              <w:rPr>
                <w:rFonts w:hint="eastAsia" w:ascii="宋体" w:hAnsi="宋体"/>
                <w:b w:val="0"/>
                <w:bCs/>
                <w:szCs w:val="21"/>
                <w:highlight w:val="none"/>
                <w:lang w:eastAsia="zh-CN"/>
              </w:rPr>
              <w:t>扫描件</w:t>
            </w:r>
            <w:r>
              <w:rPr>
                <w:rFonts w:hint="eastAsia" w:ascii="宋体" w:hAnsi="宋体"/>
                <w:b w:val="0"/>
                <w:bCs/>
                <w:szCs w:val="21"/>
                <w:highlight w:val="none"/>
              </w:rPr>
              <w:t>，否则不得分。</w:t>
            </w:r>
            <w:r>
              <w:rPr>
                <w:rFonts w:hint="eastAsia" w:ascii="宋体" w:hAnsi="宋体"/>
                <w:b w:val="0"/>
                <w:bCs/>
                <w:szCs w:val="21"/>
                <w:highlight w:val="none"/>
                <w:lang w:eastAsia="zh-CN"/>
              </w:rPr>
              <w:t>）</w:t>
            </w:r>
          </w:p>
        </w:tc>
        <w:tc>
          <w:tcPr>
            <w:tcW w:w="903" w:type="dxa"/>
            <w:tcBorders>
              <w:top w:val="single" w:color="auto" w:sz="4" w:space="0"/>
              <w:left w:val="single" w:color="auto" w:sz="4" w:space="0"/>
              <w:bottom w:val="single" w:color="auto" w:sz="4" w:space="0"/>
              <w:right w:val="single" w:color="auto" w:sz="4" w:space="0"/>
            </w:tcBorders>
            <w:noWrap w:val="0"/>
            <w:vAlign w:val="center"/>
          </w:tcPr>
          <w:p w14:paraId="4FD5CF8D">
            <w:pPr>
              <w:jc w:val="center"/>
              <w:rPr>
                <w:rFonts w:hint="eastAsia" w:ascii="宋体" w:hAnsi="宋体"/>
                <w:b w:val="0"/>
                <w:bCs/>
                <w:szCs w:val="21"/>
                <w:highlight w:val="none"/>
                <w:lang w:eastAsia="zh-CN"/>
              </w:rPr>
            </w:pPr>
            <w:r>
              <w:rPr>
                <w:rFonts w:hint="eastAsia" w:ascii="宋体" w:hAnsi="宋体"/>
                <w:b w:val="0"/>
                <w:bCs/>
                <w:szCs w:val="21"/>
                <w:highlight w:val="none"/>
                <w:lang w:val="en-US" w:eastAsia="zh-CN"/>
              </w:rPr>
              <w:t>8</w:t>
            </w:r>
          </w:p>
        </w:tc>
      </w:tr>
      <w:tr w14:paraId="3B002E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blHeader/>
          <w:jc w:val="center"/>
        </w:trPr>
        <w:tc>
          <w:tcPr>
            <w:tcW w:w="2002" w:type="dxa"/>
            <w:gridSpan w:val="2"/>
            <w:tcBorders>
              <w:top w:val="single" w:color="auto" w:sz="4" w:space="0"/>
              <w:left w:val="single" w:color="auto" w:sz="4" w:space="0"/>
              <w:bottom w:val="single" w:color="auto" w:sz="4" w:space="0"/>
              <w:right w:val="single" w:color="auto" w:sz="4" w:space="0"/>
            </w:tcBorders>
            <w:noWrap w:val="0"/>
            <w:vAlign w:val="center"/>
          </w:tcPr>
          <w:p w14:paraId="699B7EA0">
            <w:pPr>
              <w:jc w:val="center"/>
              <w:rPr>
                <w:rFonts w:hint="eastAsia" w:ascii="宋体" w:hAnsi="宋体"/>
                <w:b w:val="0"/>
                <w:bCs/>
                <w:szCs w:val="21"/>
                <w:highlight w:val="none"/>
              </w:rPr>
            </w:pPr>
            <w:r>
              <w:rPr>
                <w:rFonts w:hint="eastAsia" w:ascii="宋体" w:hAnsi="宋体"/>
                <w:b w:val="0"/>
                <w:bCs/>
                <w:szCs w:val="21"/>
                <w:highlight w:val="none"/>
              </w:rPr>
              <w:t>合计</w:t>
            </w:r>
          </w:p>
        </w:tc>
        <w:tc>
          <w:tcPr>
            <w:tcW w:w="6507" w:type="dxa"/>
            <w:tcBorders>
              <w:top w:val="single" w:color="auto" w:sz="4" w:space="0"/>
              <w:left w:val="single" w:color="auto" w:sz="4" w:space="0"/>
              <w:bottom w:val="single" w:color="auto" w:sz="4" w:space="0"/>
              <w:right w:val="single" w:color="auto" w:sz="4" w:space="0"/>
            </w:tcBorders>
            <w:noWrap w:val="0"/>
            <w:vAlign w:val="center"/>
          </w:tcPr>
          <w:p w14:paraId="50FD6AA6">
            <w:pPr>
              <w:rPr>
                <w:rFonts w:hint="eastAsia" w:ascii="宋体" w:hAnsi="宋体"/>
                <w:b w:val="0"/>
                <w:bCs/>
                <w:szCs w:val="21"/>
                <w:highlight w:val="none"/>
              </w:rPr>
            </w:pPr>
          </w:p>
        </w:tc>
        <w:tc>
          <w:tcPr>
            <w:tcW w:w="903" w:type="dxa"/>
            <w:tcBorders>
              <w:top w:val="single" w:color="auto" w:sz="4" w:space="0"/>
              <w:left w:val="single" w:color="auto" w:sz="4" w:space="0"/>
              <w:bottom w:val="single" w:color="auto" w:sz="4" w:space="0"/>
              <w:right w:val="single" w:color="auto" w:sz="4" w:space="0"/>
            </w:tcBorders>
            <w:noWrap w:val="0"/>
            <w:vAlign w:val="center"/>
          </w:tcPr>
          <w:p w14:paraId="2A2732B0">
            <w:pPr>
              <w:rPr>
                <w:rFonts w:hint="eastAsia" w:ascii="宋体" w:hAnsi="宋体"/>
                <w:b w:val="0"/>
                <w:bCs/>
                <w:szCs w:val="21"/>
                <w:highlight w:val="none"/>
              </w:rPr>
            </w:pPr>
            <w:r>
              <w:rPr>
                <w:rFonts w:hint="eastAsia" w:ascii="宋体" w:hAnsi="宋体"/>
                <w:b w:val="0"/>
                <w:bCs/>
                <w:szCs w:val="21"/>
                <w:highlight w:val="none"/>
              </w:rPr>
              <w:t>100分</w:t>
            </w:r>
          </w:p>
        </w:tc>
      </w:tr>
    </w:tbl>
    <w:p w14:paraId="3E1FDA0B">
      <w:pPr>
        <w:keepNext w:val="0"/>
        <w:keepLines w:val="0"/>
        <w:pageBreakBefore w:val="0"/>
        <w:widowControl w:val="0"/>
        <w:spacing w:line="360" w:lineRule="auto"/>
        <w:rPr>
          <w:rFonts w:hint="eastAsia" w:ascii="宋体" w:hAnsi="宋体" w:cs="宋体"/>
          <w:b/>
          <w:szCs w:val="21"/>
          <w:highlight w:val="none"/>
        </w:rPr>
      </w:pPr>
    </w:p>
    <w:p w14:paraId="2CA3549E">
      <w:pPr>
        <w:keepNext w:val="0"/>
        <w:keepLines w:val="0"/>
        <w:pageBreakBefore w:val="0"/>
        <w:widowControl w:val="0"/>
        <w:spacing w:line="360" w:lineRule="auto"/>
        <w:rPr>
          <w:rFonts w:ascii="宋体" w:hAnsi="宋体" w:cs="宋体"/>
          <w:b/>
          <w:szCs w:val="21"/>
          <w:highlight w:val="none"/>
          <w:lang w:val="zh-CN"/>
        </w:rPr>
      </w:pPr>
      <w:r>
        <w:rPr>
          <w:rFonts w:hint="eastAsia" w:ascii="宋体" w:hAnsi="宋体" w:cs="宋体"/>
          <w:b/>
          <w:szCs w:val="21"/>
          <w:highlight w:val="none"/>
        </w:rPr>
        <w:t>说明：</w:t>
      </w:r>
    </w:p>
    <w:p w14:paraId="07ACC6F9">
      <w:pPr>
        <w:keepNext w:val="0"/>
        <w:keepLines w:val="0"/>
        <w:pageBreakBefore w:val="0"/>
        <w:widowControl w:val="0"/>
        <w:spacing w:line="360" w:lineRule="auto"/>
        <w:ind w:firstLine="411"/>
        <w:rPr>
          <w:rFonts w:ascii="宋体" w:hAnsi="宋体" w:cs="宋体"/>
          <w:bCs/>
          <w:szCs w:val="21"/>
          <w:highlight w:val="none"/>
        </w:rPr>
      </w:pPr>
      <w:r>
        <w:rPr>
          <w:rFonts w:hint="eastAsia" w:ascii="宋体" w:hAnsi="宋体" w:cs="宋体"/>
          <w:bCs/>
          <w:szCs w:val="21"/>
          <w:highlight w:val="none"/>
        </w:rPr>
        <w:t>1、实质性要求不得负偏离；否则，按照无效投标处理。</w:t>
      </w:r>
    </w:p>
    <w:p w14:paraId="1B119C03">
      <w:pPr>
        <w:keepNext w:val="0"/>
        <w:keepLines w:val="0"/>
        <w:pageBreakBefore w:val="0"/>
        <w:widowControl w:val="0"/>
        <w:spacing w:line="360" w:lineRule="auto"/>
        <w:ind w:firstLine="411"/>
        <w:rPr>
          <w:rFonts w:ascii="宋体" w:hAnsi="宋体" w:cs="宋体"/>
          <w:bCs/>
          <w:szCs w:val="21"/>
          <w:highlight w:val="none"/>
        </w:rPr>
      </w:pPr>
      <w:r>
        <w:rPr>
          <w:rFonts w:hint="eastAsia" w:ascii="宋体" w:hAnsi="宋体" w:cs="宋体"/>
          <w:bCs/>
          <w:szCs w:val="21"/>
          <w:highlight w:val="none"/>
        </w:rPr>
        <w:t>2、对国家认定的节能产品和环保产品分别给予投标价的5%、5%价格扣除，用扣除后的价格参与评审（特别说明：节能、环保产品必须纳入“中国政府采购网”等官方网站“节能、环保产品查询系统”，且以提供的证书为准）。</w:t>
      </w:r>
    </w:p>
    <w:p w14:paraId="45B06573">
      <w:pPr>
        <w:keepNext w:val="0"/>
        <w:keepLines w:val="0"/>
        <w:pageBreakBefore w:val="0"/>
        <w:widowControl w:val="0"/>
        <w:spacing w:line="360" w:lineRule="auto"/>
        <w:ind w:firstLine="411"/>
        <w:rPr>
          <w:rFonts w:ascii="宋体" w:hAnsi="宋体" w:cs="宋体"/>
          <w:bCs/>
          <w:szCs w:val="21"/>
          <w:highlight w:val="none"/>
        </w:rPr>
      </w:pPr>
      <w:r>
        <w:rPr>
          <w:rFonts w:hint="eastAsia" w:ascii="宋体" w:hAnsi="宋体" w:cs="宋体"/>
          <w:bCs/>
          <w:szCs w:val="21"/>
          <w:highlight w:val="none"/>
        </w:rPr>
        <w:t>3、小微企业的价格扣除</w:t>
      </w:r>
    </w:p>
    <w:p w14:paraId="00AD763B">
      <w:pPr>
        <w:keepNext w:val="0"/>
        <w:keepLines w:val="0"/>
        <w:pageBreakBefore w:val="0"/>
        <w:widowControl w:val="0"/>
        <w:spacing w:line="360" w:lineRule="auto"/>
        <w:ind w:firstLine="411"/>
        <w:rPr>
          <w:rFonts w:ascii="宋体" w:hAnsi="宋体" w:cs="宋体"/>
          <w:bCs/>
          <w:szCs w:val="21"/>
          <w:highlight w:val="none"/>
        </w:rPr>
      </w:pPr>
      <w:r>
        <w:rPr>
          <w:rFonts w:hint="eastAsia" w:ascii="宋体" w:hAnsi="宋体" w:cs="宋体"/>
          <w:bCs/>
          <w:szCs w:val="21"/>
          <w:highlight w:val="none"/>
        </w:rPr>
        <w:t>3.1</w:t>
      </w:r>
      <w:r>
        <w:rPr>
          <w:highlight w:val="none"/>
        </w:rPr>
        <w:t>给予小微企业报价 10%的扣除 ，用扣除后的价格参加评审。其中，接受大中型企业与小微企业组成联合体或者允许大中型企业向一家或者多家小微企业分包的采购项目，对于联合协议或者分包意向协议约定小微企业的合同份额占到合同总金额 30%以上的，对联合体或者大中型企业的报价给</w:t>
      </w:r>
      <w:r>
        <w:rPr>
          <w:rFonts w:hint="eastAsia"/>
          <w:highlight w:val="none"/>
        </w:rPr>
        <w:t>5</w:t>
      </w:r>
      <w:r>
        <w:rPr>
          <w:highlight w:val="none"/>
        </w:rPr>
        <w:t>%的扣除，用扣除后的价格参加评审。联合体各方均为小微企业的，联合体视同为小微企业，享受 10%的价格扣除 。</w:t>
      </w:r>
    </w:p>
    <w:p w14:paraId="4B40A35C">
      <w:pPr>
        <w:keepNext w:val="0"/>
        <w:keepLines w:val="0"/>
        <w:pageBreakBefore w:val="0"/>
        <w:widowControl w:val="0"/>
        <w:spacing w:line="360" w:lineRule="auto"/>
        <w:ind w:firstLine="411"/>
        <w:rPr>
          <w:highlight w:val="none"/>
        </w:rPr>
      </w:pPr>
      <w:r>
        <w:rPr>
          <w:rFonts w:hint="eastAsia" w:ascii="宋体" w:hAnsi="宋体" w:cs="宋体"/>
          <w:bCs/>
          <w:szCs w:val="21"/>
          <w:highlight w:val="none"/>
        </w:rPr>
        <w:t>3.2.</w:t>
      </w:r>
      <w:r>
        <w:rPr>
          <w:highlight w:val="none"/>
        </w:rPr>
        <w:t>价格扣除比例或者价格分加分比例对小型企业和微型企业同等对待，不作区分。</w:t>
      </w:r>
    </w:p>
    <w:p w14:paraId="15C39F48">
      <w:pPr>
        <w:keepNext w:val="0"/>
        <w:keepLines w:val="0"/>
        <w:pageBreakBefore w:val="0"/>
        <w:widowControl w:val="0"/>
        <w:spacing w:line="360" w:lineRule="auto"/>
        <w:ind w:firstLine="411"/>
        <w:rPr>
          <w:rFonts w:ascii="宋体" w:hAnsi="宋体" w:cs="宋体"/>
          <w:bCs/>
          <w:szCs w:val="21"/>
          <w:highlight w:val="none"/>
        </w:rPr>
      </w:pPr>
      <w:r>
        <w:rPr>
          <w:rFonts w:hint="eastAsia" w:ascii="宋体" w:hAnsi="宋体" w:cs="宋体"/>
          <w:bCs/>
          <w:color w:val="auto"/>
          <w:szCs w:val="21"/>
          <w:highlight w:val="none"/>
          <w:lang w:val="en-US" w:eastAsia="zh-CN"/>
        </w:rPr>
        <w:t>3</w:t>
      </w:r>
      <w:r>
        <w:rPr>
          <w:rFonts w:hint="eastAsia" w:ascii="宋体" w:hAnsi="宋体" w:cs="宋体"/>
          <w:bCs/>
          <w:color w:val="auto"/>
          <w:szCs w:val="21"/>
          <w:highlight w:val="none"/>
        </w:rPr>
        <w:t>.</w:t>
      </w:r>
      <w:r>
        <w:rPr>
          <w:rFonts w:hint="eastAsia" w:ascii="宋体" w:hAnsi="宋体" w:cs="宋体"/>
          <w:bCs/>
          <w:color w:val="auto"/>
          <w:szCs w:val="21"/>
          <w:highlight w:val="none"/>
          <w:lang w:val="en-US" w:eastAsia="zh-CN"/>
        </w:rPr>
        <w:t>3</w:t>
      </w:r>
      <w:r>
        <w:rPr>
          <w:rFonts w:hint="eastAsia" w:ascii="宋体" w:hAnsi="宋体" w:cs="宋体"/>
          <w:bCs/>
          <w:color w:val="auto"/>
          <w:szCs w:val="21"/>
          <w:highlight w:val="none"/>
        </w:rPr>
        <w:t>.</w:t>
      </w:r>
      <w:r>
        <w:rPr>
          <w:color w:val="auto"/>
          <w:highlight w:val="none"/>
        </w:rPr>
        <w:t>说明：价格扣除优惠政策仅适用于“</w:t>
      </w:r>
      <w:r>
        <w:rPr>
          <w:rFonts w:hint="eastAsia" w:ascii="宋体" w:hAnsi="宋体" w:eastAsia="宋体" w:cs="宋体"/>
          <w:color w:val="auto"/>
          <w:sz w:val="21"/>
          <w:szCs w:val="21"/>
          <w:highlight w:val="none"/>
        </w:rPr>
        <w:t>本项目为非预留份额的采购项目或采购包</w:t>
      </w:r>
      <w:r>
        <w:rPr>
          <w:rFonts w:hint="eastAsia" w:ascii="宋体" w:hAnsi="宋体" w:eastAsia="宋体" w:cs="宋体"/>
          <w:color w:val="auto"/>
          <w:sz w:val="21"/>
          <w:szCs w:val="21"/>
          <w:highlight w:val="none"/>
          <w:lang w:eastAsia="zh-CN"/>
        </w:rPr>
        <w:t>”</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本项目不适用</w:t>
      </w:r>
      <w:r>
        <w:rPr>
          <w:color w:val="auto"/>
          <w:highlight w:val="none"/>
        </w:rPr>
        <w:t>。</w:t>
      </w:r>
    </w:p>
    <w:p w14:paraId="2C09CF34">
      <w:pPr>
        <w:keepNext w:val="0"/>
        <w:keepLines w:val="0"/>
        <w:pageBreakBefore w:val="0"/>
        <w:widowControl w:val="0"/>
        <w:spacing w:line="360" w:lineRule="auto"/>
        <w:ind w:firstLine="411"/>
        <w:rPr>
          <w:rFonts w:ascii="宋体" w:hAnsi="宋体" w:cs="宋体"/>
          <w:bCs/>
          <w:szCs w:val="21"/>
          <w:highlight w:val="none"/>
        </w:rPr>
      </w:pPr>
      <w:r>
        <w:rPr>
          <w:rFonts w:hint="eastAsia" w:ascii="宋体" w:hAnsi="宋体" w:cs="宋体"/>
          <w:bCs/>
          <w:szCs w:val="21"/>
          <w:highlight w:val="none"/>
        </w:rPr>
        <w:t>4、监狱和戒毒企业的价格扣除</w:t>
      </w:r>
    </w:p>
    <w:p w14:paraId="23238A84">
      <w:pPr>
        <w:keepNext w:val="0"/>
        <w:keepLines w:val="0"/>
        <w:pageBreakBefore w:val="0"/>
        <w:widowControl w:val="0"/>
        <w:spacing w:line="360" w:lineRule="auto"/>
        <w:ind w:firstLine="411"/>
        <w:rPr>
          <w:rFonts w:ascii="宋体" w:hAnsi="宋体" w:cs="宋体"/>
          <w:bCs/>
          <w:szCs w:val="21"/>
          <w:highlight w:val="none"/>
        </w:rPr>
      </w:pPr>
      <w:r>
        <w:rPr>
          <w:rFonts w:hint="eastAsia" w:ascii="宋体" w:hAnsi="宋体" w:cs="宋体"/>
          <w:bCs/>
          <w:szCs w:val="21"/>
          <w:highlight w:val="none"/>
        </w:rPr>
        <w:t>4.1.本项目对监狱和戒毒企业（简称监狱企业），给予10%的价格扣除，用扣除后的价格参与评审。</w:t>
      </w:r>
    </w:p>
    <w:p w14:paraId="23A3383B">
      <w:pPr>
        <w:keepNext w:val="0"/>
        <w:keepLines w:val="0"/>
        <w:pageBreakBefore w:val="0"/>
        <w:widowControl w:val="0"/>
        <w:spacing w:line="360" w:lineRule="auto"/>
        <w:ind w:firstLine="411"/>
        <w:rPr>
          <w:rFonts w:ascii="宋体" w:hAnsi="宋体" w:cs="宋体"/>
          <w:bCs/>
          <w:szCs w:val="21"/>
          <w:highlight w:val="none"/>
        </w:rPr>
      </w:pPr>
      <w:r>
        <w:rPr>
          <w:rFonts w:hint="eastAsia" w:ascii="宋体" w:hAnsi="宋体" w:cs="宋体"/>
          <w:bCs/>
          <w:szCs w:val="21"/>
          <w:highlight w:val="none"/>
        </w:rPr>
        <w:t>4.2.监狱企业需提供由省级以上监狱管理局、戒毒管理局（含新疆生产建设兵团）出具的属于监狱企业的证明文件。</w:t>
      </w:r>
    </w:p>
    <w:p w14:paraId="793E0A5B">
      <w:pPr>
        <w:keepNext w:val="0"/>
        <w:keepLines w:val="0"/>
        <w:pageBreakBefore w:val="0"/>
        <w:widowControl w:val="0"/>
        <w:spacing w:line="360" w:lineRule="auto"/>
        <w:ind w:firstLine="411"/>
        <w:rPr>
          <w:rFonts w:ascii="宋体" w:hAnsi="宋体" w:cs="宋体"/>
          <w:bCs/>
          <w:szCs w:val="21"/>
          <w:highlight w:val="none"/>
        </w:rPr>
      </w:pPr>
      <w:r>
        <w:rPr>
          <w:rFonts w:hint="eastAsia" w:ascii="宋体" w:hAnsi="宋体" w:cs="宋体"/>
          <w:bCs/>
          <w:szCs w:val="21"/>
          <w:highlight w:val="none"/>
        </w:rPr>
        <w:t>4.3.监狱企业标准请参照《关于政府采购支持监狱企业发展有关问题的通知》（财库[2014]68号）。</w:t>
      </w:r>
    </w:p>
    <w:p w14:paraId="0B62BE2B">
      <w:pPr>
        <w:keepNext w:val="0"/>
        <w:keepLines w:val="0"/>
        <w:pageBreakBefore w:val="0"/>
        <w:widowControl w:val="0"/>
        <w:spacing w:line="360" w:lineRule="auto"/>
        <w:ind w:firstLine="411"/>
        <w:rPr>
          <w:rFonts w:ascii="宋体" w:hAnsi="宋体" w:cs="宋体"/>
          <w:bCs/>
          <w:szCs w:val="21"/>
          <w:highlight w:val="none"/>
        </w:rPr>
      </w:pPr>
      <w:r>
        <w:rPr>
          <w:rFonts w:hint="eastAsia" w:ascii="宋体" w:hAnsi="宋体" w:cs="宋体"/>
          <w:bCs/>
          <w:szCs w:val="21"/>
          <w:highlight w:val="none"/>
        </w:rPr>
        <w:t>5、残疾人福利性单位的价格扣除</w:t>
      </w:r>
    </w:p>
    <w:p w14:paraId="066E208C">
      <w:pPr>
        <w:keepNext w:val="0"/>
        <w:keepLines w:val="0"/>
        <w:pageBreakBefore w:val="0"/>
        <w:widowControl w:val="0"/>
        <w:spacing w:line="360" w:lineRule="auto"/>
        <w:ind w:firstLine="411"/>
        <w:rPr>
          <w:rFonts w:ascii="宋体" w:hAnsi="宋体" w:cs="宋体"/>
          <w:bCs/>
          <w:szCs w:val="21"/>
          <w:highlight w:val="none"/>
        </w:rPr>
      </w:pPr>
      <w:r>
        <w:rPr>
          <w:rFonts w:hint="eastAsia" w:ascii="宋体" w:hAnsi="宋体" w:cs="宋体"/>
          <w:bCs/>
          <w:szCs w:val="21"/>
          <w:highlight w:val="none"/>
        </w:rPr>
        <w:t>5.1. 本项目对残疾人福利性单位，给予10%的价格扣除，用扣除后的价格参与评审。</w:t>
      </w:r>
    </w:p>
    <w:p w14:paraId="3A3388C8">
      <w:pPr>
        <w:keepNext w:val="0"/>
        <w:keepLines w:val="0"/>
        <w:pageBreakBefore w:val="0"/>
        <w:widowControl w:val="0"/>
        <w:spacing w:line="360" w:lineRule="auto"/>
        <w:ind w:firstLine="411"/>
        <w:rPr>
          <w:rFonts w:ascii="宋体" w:hAnsi="宋体" w:cs="宋体"/>
          <w:bCs/>
          <w:szCs w:val="21"/>
          <w:highlight w:val="none"/>
        </w:rPr>
      </w:pPr>
      <w:r>
        <w:rPr>
          <w:rFonts w:hint="eastAsia" w:ascii="宋体" w:hAnsi="宋体" w:cs="宋体"/>
          <w:bCs/>
          <w:szCs w:val="21"/>
          <w:highlight w:val="none"/>
        </w:rPr>
        <w:t>5.2. 残疾人福利单位需按照采购文件的要求提供《残疾人福利性单位声明函》。</w:t>
      </w:r>
    </w:p>
    <w:p w14:paraId="12339E47">
      <w:pPr>
        <w:keepNext w:val="0"/>
        <w:keepLines w:val="0"/>
        <w:pageBreakBefore w:val="0"/>
        <w:widowControl w:val="0"/>
        <w:spacing w:line="360" w:lineRule="auto"/>
        <w:ind w:firstLine="411"/>
        <w:rPr>
          <w:rFonts w:ascii="宋体" w:hAnsi="宋体" w:cs="宋体"/>
          <w:bCs/>
          <w:szCs w:val="21"/>
          <w:highlight w:val="none"/>
        </w:rPr>
      </w:pPr>
      <w:r>
        <w:rPr>
          <w:rFonts w:hint="eastAsia" w:ascii="宋体" w:hAnsi="宋体" w:cs="宋体"/>
          <w:bCs/>
          <w:szCs w:val="21"/>
          <w:highlight w:val="none"/>
        </w:rPr>
        <w:t>5.3.残疾人福利单位标准请参照《关于促进残疾人就业政府采购政策的通知》（财库〔2017〕141号）。</w:t>
      </w:r>
    </w:p>
    <w:p w14:paraId="409A41B4">
      <w:pPr>
        <w:keepNext w:val="0"/>
        <w:keepLines w:val="0"/>
        <w:pageBreakBefore w:val="0"/>
        <w:widowControl w:val="0"/>
        <w:spacing w:line="360" w:lineRule="auto"/>
        <w:ind w:firstLine="411"/>
        <w:rPr>
          <w:rFonts w:ascii="宋体" w:hAnsi="宋体" w:cs="宋体"/>
          <w:bCs/>
          <w:szCs w:val="21"/>
          <w:highlight w:val="none"/>
        </w:rPr>
      </w:pPr>
      <w:r>
        <w:rPr>
          <w:rFonts w:hint="eastAsia" w:ascii="宋体" w:hAnsi="宋体" w:cs="宋体"/>
          <w:bCs/>
          <w:szCs w:val="21"/>
          <w:highlight w:val="none"/>
        </w:rPr>
        <w:t>6、监狱企业、残疾人福利单位属于小型、微型企业的，不重复享受政策。</w:t>
      </w:r>
    </w:p>
    <w:p w14:paraId="623E66E2">
      <w:pPr>
        <w:keepNext w:val="0"/>
        <w:keepLines w:val="0"/>
        <w:pageBreakBefore w:val="0"/>
        <w:widowControl w:val="0"/>
        <w:spacing w:line="360" w:lineRule="auto"/>
        <w:ind w:firstLine="413"/>
        <w:rPr>
          <w:rFonts w:ascii="宋体" w:hAnsi="宋体" w:cs="宋体"/>
          <w:bCs/>
          <w:szCs w:val="21"/>
          <w:highlight w:val="none"/>
        </w:rPr>
      </w:pPr>
      <w:r>
        <w:rPr>
          <w:rFonts w:hint="eastAsia" w:ascii="宋体" w:hAnsi="宋体" w:cs="宋体"/>
          <w:b/>
          <w:szCs w:val="21"/>
          <w:highlight w:val="none"/>
        </w:rPr>
        <w:t>7、供应商需按上述要求提供相关证明文件，如未按要求提供、填写，或相关内容表述不清的，不得享受价格扣除。</w:t>
      </w:r>
    </w:p>
    <w:p w14:paraId="6AB53DAD">
      <w:pPr>
        <w:keepNext w:val="0"/>
        <w:keepLines w:val="0"/>
        <w:pageBreakBefore w:val="0"/>
        <w:widowControl w:val="0"/>
        <w:spacing w:line="360" w:lineRule="auto"/>
        <w:ind w:firstLine="411"/>
        <w:rPr>
          <w:rFonts w:ascii="宋体" w:hAnsi="宋体" w:cs="宋体"/>
          <w:bCs/>
          <w:szCs w:val="21"/>
          <w:highlight w:val="none"/>
        </w:rPr>
      </w:pPr>
      <w:r>
        <w:rPr>
          <w:rFonts w:hint="eastAsia" w:ascii="宋体" w:hAnsi="宋体" w:cs="宋体"/>
          <w:bCs/>
          <w:szCs w:val="21"/>
          <w:highlight w:val="none"/>
          <w:lang w:val="en-US" w:eastAsia="zh-CN"/>
        </w:rPr>
        <w:t>8</w:t>
      </w:r>
      <w:r>
        <w:rPr>
          <w:rFonts w:hint="eastAsia" w:ascii="宋体" w:hAnsi="宋体" w:cs="宋体"/>
          <w:bCs/>
          <w:szCs w:val="21"/>
          <w:highlight w:val="none"/>
        </w:rPr>
        <w:t>、评标结果保留两位小数。</w:t>
      </w:r>
    </w:p>
    <w:p w14:paraId="3C768C72">
      <w:pPr>
        <w:ind w:firstLine="602"/>
        <w:rPr>
          <w:rFonts w:ascii="宋体" w:hAnsi="宋体" w:cs="宋体"/>
          <w:b/>
          <w:sz w:val="30"/>
          <w:szCs w:val="30"/>
          <w:highlight w:val="none"/>
        </w:rPr>
        <w:sectPr>
          <w:pgSz w:w="11906" w:h="16838"/>
          <w:pgMar w:top="1417" w:right="1417" w:bottom="1417" w:left="1417" w:header="851" w:footer="992" w:gutter="0"/>
          <w:cols w:space="720" w:num="1"/>
          <w:docGrid w:linePitch="360" w:charSpace="0"/>
        </w:sectPr>
      </w:pPr>
    </w:p>
    <w:p w14:paraId="3AE583C6">
      <w:pPr>
        <w:jc w:val="center"/>
        <w:outlineLvl w:val="0"/>
        <w:rPr>
          <w:rFonts w:ascii="宋体" w:hAnsi="宋体" w:cs="宋体"/>
          <w:b/>
          <w:sz w:val="30"/>
          <w:szCs w:val="30"/>
          <w:highlight w:val="none"/>
        </w:rPr>
      </w:pPr>
      <w:bookmarkStart w:id="274" w:name="_Toc8871"/>
      <w:bookmarkStart w:id="275" w:name="_Toc8849"/>
      <w:bookmarkStart w:id="276" w:name="_Toc18009"/>
      <w:bookmarkStart w:id="277" w:name="_Toc30268"/>
      <w:bookmarkStart w:id="278" w:name="_Toc12713"/>
      <w:bookmarkStart w:id="279" w:name="_Toc18358"/>
      <w:bookmarkStart w:id="280" w:name="_Toc11124"/>
      <w:bookmarkStart w:id="281" w:name="_Toc17293"/>
      <w:bookmarkStart w:id="282" w:name="_Toc16157"/>
      <w:bookmarkStart w:id="283" w:name="_Toc13172"/>
      <w:bookmarkStart w:id="284" w:name="_Toc15013"/>
      <w:bookmarkStart w:id="285" w:name="_Toc5832"/>
      <w:bookmarkStart w:id="286" w:name="_Toc13932"/>
      <w:bookmarkStart w:id="287" w:name="_Toc32113"/>
      <w:bookmarkStart w:id="288" w:name="_Toc6306"/>
      <w:bookmarkStart w:id="289" w:name="_Toc13896"/>
      <w:bookmarkStart w:id="290" w:name="_Toc2102"/>
      <w:bookmarkStart w:id="291" w:name="_Toc22471"/>
      <w:bookmarkStart w:id="292" w:name="_Toc12481"/>
      <w:bookmarkStart w:id="293" w:name="_Toc29920"/>
      <w:bookmarkStart w:id="294" w:name="_Toc11253"/>
      <w:bookmarkStart w:id="295" w:name="_Toc2495"/>
      <w:bookmarkStart w:id="296" w:name="_Toc504141752"/>
      <w:bookmarkStart w:id="297" w:name="_Toc21214"/>
      <w:bookmarkStart w:id="298" w:name="_Toc12107"/>
      <w:bookmarkStart w:id="299" w:name="_Toc26164"/>
      <w:bookmarkStart w:id="300" w:name="_Toc3543"/>
      <w:r>
        <w:rPr>
          <w:rFonts w:hint="eastAsia" w:ascii="宋体" w:hAnsi="宋体" w:cs="宋体"/>
          <w:b/>
          <w:sz w:val="30"/>
          <w:szCs w:val="30"/>
          <w:highlight w:val="none"/>
        </w:rPr>
        <w:t>第五章  南京市政府采购合同格式</w:t>
      </w:r>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p>
    <w:p w14:paraId="648795D1">
      <w:pPr>
        <w:pStyle w:val="22"/>
        <w:spacing w:line="360" w:lineRule="auto"/>
        <w:ind w:left="603" w:hanging="183"/>
        <w:jc w:val="left"/>
        <w:rPr>
          <w:rFonts w:ascii="宋体" w:hAnsi="宋体" w:eastAsia="宋体" w:cs="宋体"/>
          <w:b/>
          <w:sz w:val="28"/>
          <w:szCs w:val="28"/>
          <w:highlight w:val="none"/>
        </w:rPr>
      </w:pPr>
    </w:p>
    <w:p w14:paraId="578FE1D1">
      <w:pPr>
        <w:pStyle w:val="22"/>
        <w:ind w:firstLine="1265"/>
        <w:rPr>
          <w:rFonts w:ascii="宋体" w:hAnsi="宋体" w:eastAsia="宋体" w:cs="宋体"/>
          <w:b/>
          <w:sz w:val="21"/>
          <w:highlight w:val="none"/>
        </w:rPr>
      </w:pPr>
      <w:bookmarkStart w:id="301" w:name="_Hlt460313661"/>
      <w:bookmarkEnd w:id="301"/>
      <w:bookmarkStart w:id="302" w:name="_Hlt460313659"/>
      <w:bookmarkEnd w:id="302"/>
      <w:bookmarkStart w:id="303" w:name="_Toc504141753"/>
      <w:bookmarkStart w:id="304" w:name="_Toc31670"/>
      <w:bookmarkStart w:id="305" w:name="_Toc23352"/>
      <w:bookmarkStart w:id="306" w:name="_Toc14875"/>
      <w:bookmarkStart w:id="307" w:name="_Toc24037"/>
      <w:bookmarkStart w:id="308" w:name="_Toc3107"/>
      <w:bookmarkStart w:id="309" w:name="_Toc31393"/>
      <w:bookmarkStart w:id="310" w:name="_Toc11999"/>
    </w:p>
    <w:p w14:paraId="04C49322">
      <w:pPr>
        <w:pStyle w:val="22"/>
        <w:ind w:firstLine="1265"/>
        <w:rPr>
          <w:rFonts w:ascii="宋体" w:hAnsi="宋体" w:eastAsia="宋体" w:cs="宋体"/>
          <w:b/>
          <w:sz w:val="21"/>
          <w:highlight w:val="none"/>
        </w:rPr>
      </w:pPr>
    </w:p>
    <w:p w14:paraId="5B2ED35C">
      <w:pPr>
        <w:pStyle w:val="22"/>
        <w:ind w:left="0" w:firstLine="0"/>
        <w:jc w:val="center"/>
        <w:rPr>
          <w:rFonts w:ascii="宋体" w:hAnsi="宋体" w:eastAsia="宋体" w:cs="宋体"/>
          <w:b/>
          <w:bCs/>
          <w:sz w:val="44"/>
          <w:szCs w:val="44"/>
          <w:highlight w:val="none"/>
        </w:rPr>
      </w:pPr>
    </w:p>
    <w:p w14:paraId="5279E12D">
      <w:pPr>
        <w:pStyle w:val="22"/>
        <w:ind w:left="0" w:firstLine="0"/>
        <w:jc w:val="center"/>
        <w:rPr>
          <w:rFonts w:ascii="宋体" w:hAnsi="宋体" w:eastAsia="宋体" w:cs="宋体"/>
          <w:b/>
          <w:bCs/>
          <w:sz w:val="44"/>
          <w:szCs w:val="44"/>
          <w:highlight w:val="none"/>
        </w:rPr>
      </w:pPr>
    </w:p>
    <w:p w14:paraId="3FD2BD3E">
      <w:pPr>
        <w:keepNext w:val="0"/>
        <w:keepLines w:val="0"/>
        <w:pageBreakBefore w:val="0"/>
        <w:widowControl w:val="0"/>
        <w:spacing w:line="480" w:lineRule="auto"/>
        <w:jc w:val="center"/>
        <w:rPr>
          <w:rFonts w:hint="eastAsia" w:ascii="宋体" w:hAnsi="宋体" w:eastAsia="宋体" w:cs="宋体"/>
          <w:b/>
          <w:bCs/>
          <w:color w:val="000000"/>
          <w:sz w:val="22"/>
          <w:szCs w:val="22"/>
        </w:rPr>
      </w:pPr>
      <w:bookmarkStart w:id="311" w:name="_Toc21866"/>
      <w:bookmarkStart w:id="312" w:name="_Toc17709"/>
      <w:bookmarkStart w:id="313" w:name="_Toc22333"/>
      <w:bookmarkStart w:id="314" w:name="_Toc14901"/>
      <w:bookmarkStart w:id="315" w:name="_Toc16055"/>
      <w:bookmarkStart w:id="316" w:name="_Toc472"/>
      <w:bookmarkStart w:id="317" w:name="_Toc12460"/>
      <w:bookmarkStart w:id="318" w:name="_Toc19157"/>
      <w:bookmarkStart w:id="319" w:name="_Toc31444"/>
      <w:bookmarkStart w:id="320" w:name="_Toc19011"/>
      <w:bookmarkStart w:id="321" w:name="_Toc2899"/>
      <w:bookmarkStart w:id="322" w:name="_Toc24435"/>
      <w:bookmarkStart w:id="323" w:name="_Toc22026"/>
      <w:bookmarkStart w:id="324" w:name="_Toc2665"/>
      <w:bookmarkStart w:id="325" w:name="_Toc21749"/>
      <w:bookmarkStart w:id="326" w:name="_Toc21543"/>
      <w:bookmarkStart w:id="327" w:name="_Toc15655"/>
      <w:bookmarkStart w:id="328" w:name="_Toc19188"/>
      <w:bookmarkStart w:id="329" w:name="_Toc12018"/>
      <w:r>
        <w:rPr>
          <w:rFonts w:hint="eastAsia" w:ascii="宋体" w:hAnsi="宋体" w:eastAsia="宋体" w:cs="宋体"/>
          <w:b/>
          <w:bCs/>
          <w:color w:val="000000"/>
          <w:sz w:val="48"/>
          <w:szCs w:val="48"/>
        </w:rPr>
        <w:t>南京市江宁区政府采购合同</w:t>
      </w:r>
    </w:p>
    <w:p w14:paraId="41594D11">
      <w:pPr>
        <w:rPr>
          <w:rFonts w:hint="eastAsia" w:ascii="宋体" w:hAnsi="宋体" w:eastAsia="宋体" w:cs="宋体"/>
          <w:color w:val="000000"/>
          <w:sz w:val="22"/>
          <w:szCs w:val="22"/>
        </w:rPr>
      </w:pPr>
    </w:p>
    <w:p w14:paraId="04578515">
      <w:pPr>
        <w:rPr>
          <w:rFonts w:hint="eastAsia" w:ascii="宋体" w:hAnsi="宋体" w:eastAsia="宋体" w:cs="宋体"/>
          <w:color w:val="000000"/>
          <w:sz w:val="22"/>
          <w:szCs w:val="22"/>
        </w:rPr>
      </w:pPr>
    </w:p>
    <w:p w14:paraId="4D472535">
      <w:pPr>
        <w:jc w:val="center"/>
        <w:rPr>
          <w:rFonts w:hint="eastAsia" w:ascii="宋体" w:hAnsi="宋体" w:eastAsia="宋体" w:cs="宋体"/>
          <w:color w:val="000000"/>
          <w:sz w:val="22"/>
          <w:szCs w:val="22"/>
        </w:rPr>
      </w:pPr>
    </w:p>
    <w:p w14:paraId="20E907BC">
      <w:pPr>
        <w:rPr>
          <w:rFonts w:hint="eastAsia" w:ascii="宋体" w:hAnsi="宋体" w:eastAsia="宋体" w:cs="宋体"/>
          <w:b/>
          <w:color w:val="000000"/>
          <w:sz w:val="22"/>
          <w:szCs w:val="22"/>
        </w:rPr>
      </w:pPr>
    </w:p>
    <w:p w14:paraId="19E57654">
      <w:pPr>
        <w:rPr>
          <w:rFonts w:hint="eastAsia" w:ascii="宋体" w:hAnsi="宋体" w:eastAsia="宋体" w:cs="宋体"/>
          <w:b/>
          <w:color w:val="000000"/>
          <w:sz w:val="22"/>
          <w:szCs w:val="22"/>
        </w:rPr>
      </w:pPr>
    </w:p>
    <w:p w14:paraId="780018CB">
      <w:pPr>
        <w:rPr>
          <w:rFonts w:hint="eastAsia" w:ascii="宋体" w:hAnsi="宋体" w:eastAsia="宋体" w:cs="宋体"/>
          <w:b/>
          <w:color w:val="000000"/>
          <w:sz w:val="22"/>
          <w:szCs w:val="22"/>
        </w:rPr>
      </w:pPr>
    </w:p>
    <w:p w14:paraId="5B701484">
      <w:pPr>
        <w:rPr>
          <w:rFonts w:hint="eastAsia" w:ascii="宋体" w:hAnsi="宋体" w:eastAsia="宋体" w:cs="宋体"/>
          <w:b/>
          <w:color w:val="000000"/>
          <w:sz w:val="22"/>
          <w:szCs w:val="22"/>
        </w:rPr>
      </w:pPr>
    </w:p>
    <w:p w14:paraId="2E3CE6B4">
      <w:pPr>
        <w:pStyle w:val="213"/>
        <w:rPr>
          <w:rFonts w:hint="eastAsia" w:ascii="宋体" w:hAnsi="宋体" w:eastAsia="宋体" w:cs="宋体"/>
          <w:b/>
          <w:color w:val="000000"/>
          <w:sz w:val="22"/>
          <w:szCs w:val="22"/>
        </w:rPr>
      </w:pPr>
    </w:p>
    <w:p w14:paraId="0E553288">
      <w:pPr>
        <w:rPr>
          <w:rFonts w:hint="eastAsia" w:ascii="宋体" w:hAnsi="宋体" w:eastAsia="宋体" w:cs="宋体"/>
          <w:b/>
          <w:color w:val="000000"/>
          <w:sz w:val="22"/>
          <w:szCs w:val="22"/>
        </w:rPr>
      </w:pPr>
    </w:p>
    <w:p w14:paraId="2F5D594F">
      <w:pPr>
        <w:pStyle w:val="213"/>
        <w:rPr>
          <w:rFonts w:hint="eastAsia" w:ascii="宋体" w:hAnsi="宋体" w:eastAsia="宋体" w:cs="宋体"/>
          <w:b/>
          <w:color w:val="000000"/>
          <w:sz w:val="22"/>
          <w:szCs w:val="22"/>
        </w:rPr>
      </w:pPr>
    </w:p>
    <w:p w14:paraId="30118AA2">
      <w:pPr>
        <w:rPr>
          <w:rFonts w:hint="eastAsia" w:ascii="宋体" w:hAnsi="宋体" w:eastAsia="宋体" w:cs="宋体"/>
          <w:b/>
          <w:color w:val="000000"/>
          <w:sz w:val="22"/>
          <w:szCs w:val="22"/>
        </w:rPr>
      </w:pPr>
    </w:p>
    <w:p w14:paraId="76696412">
      <w:pPr>
        <w:pStyle w:val="213"/>
        <w:rPr>
          <w:rFonts w:hint="eastAsia" w:ascii="宋体" w:hAnsi="宋体" w:eastAsia="宋体" w:cs="宋体"/>
          <w:b/>
          <w:color w:val="000000"/>
          <w:sz w:val="22"/>
          <w:szCs w:val="22"/>
        </w:rPr>
      </w:pPr>
    </w:p>
    <w:p w14:paraId="2E9C5010">
      <w:pPr>
        <w:rPr>
          <w:rFonts w:hint="eastAsia" w:ascii="宋体" w:hAnsi="宋体" w:eastAsia="宋体" w:cs="宋体"/>
          <w:b/>
          <w:color w:val="000000"/>
          <w:sz w:val="22"/>
          <w:szCs w:val="22"/>
        </w:rPr>
      </w:pPr>
    </w:p>
    <w:p w14:paraId="3040904F">
      <w:pPr>
        <w:pStyle w:val="213"/>
        <w:rPr>
          <w:rFonts w:hint="eastAsia" w:ascii="宋体" w:hAnsi="宋体" w:eastAsia="宋体" w:cs="宋体"/>
          <w:b/>
          <w:color w:val="000000"/>
          <w:sz w:val="22"/>
          <w:szCs w:val="22"/>
        </w:rPr>
      </w:pPr>
    </w:p>
    <w:p w14:paraId="3D278C68">
      <w:pPr>
        <w:rPr>
          <w:rFonts w:hint="eastAsia" w:ascii="宋体" w:hAnsi="宋体" w:eastAsia="宋体" w:cs="宋体"/>
          <w:b/>
          <w:color w:val="000000"/>
          <w:sz w:val="22"/>
          <w:szCs w:val="22"/>
        </w:rPr>
      </w:pPr>
    </w:p>
    <w:p w14:paraId="322A7D35">
      <w:pPr>
        <w:pStyle w:val="213"/>
        <w:rPr>
          <w:rFonts w:hint="eastAsia" w:ascii="宋体" w:hAnsi="宋体" w:eastAsia="宋体" w:cs="宋体"/>
          <w:b/>
          <w:color w:val="000000"/>
          <w:sz w:val="22"/>
          <w:szCs w:val="22"/>
        </w:rPr>
      </w:pPr>
    </w:p>
    <w:p w14:paraId="072368D9">
      <w:pPr>
        <w:rPr>
          <w:rFonts w:hint="eastAsia" w:ascii="宋体" w:hAnsi="宋体" w:eastAsia="宋体" w:cs="宋体"/>
          <w:b/>
          <w:color w:val="000000"/>
          <w:sz w:val="22"/>
          <w:szCs w:val="22"/>
        </w:rPr>
      </w:pPr>
    </w:p>
    <w:p w14:paraId="18D181CF">
      <w:pPr>
        <w:pStyle w:val="213"/>
        <w:rPr>
          <w:rFonts w:hint="eastAsia" w:ascii="宋体" w:hAnsi="宋体" w:eastAsia="宋体" w:cs="宋体"/>
          <w:b/>
          <w:color w:val="000000"/>
          <w:sz w:val="22"/>
          <w:szCs w:val="22"/>
        </w:rPr>
      </w:pPr>
    </w:p>
    <w:p w14:paraId="6552F38D">
      <w:pPr>
        <w:pStyle w:val="213"/>
        <w:rPr>
          <w:rFonts w:hint="eastAsia" w:ascii="宋体" w:hAnsi="宋体" w:eastAsia="宋体" w:cs="宋体"/>
          <w:sz w:val="22"/>
          <w:szCs w:val="22"/>
        </w:rPr>
      </w:pPr>
    </w:p>
    <w:p w14:paraId="134E1344">
      <w:pPr>
        <w:rPr>
          <w:rFonts w:hint="eastAsia" w:ascii="宋体" w:hAnsi="宋体" w:eastAsia="宋体" w:cs="宋体"/>
          <w:b/>
          <w:color w:val="000000"/>
          <w:sz w:val="22"/>
          <w:szCs w:val="22"/>
        </w:rPr>
      </w:pPr>
    </w:p>
    <w:p w14:paraId="3BB85C58">
      <w:pPr>
        <w:keepNext w:val="0"/>
        <w:keepLines w:val="0"/>
        <w:pageBreakBefore w:val="0"/>
        <w:widowControl w:val="0"/>
        <w:kinsoku/>
        <w:wordWrap/>
        <w:overflowPunct/>
        <w:topLinePunct w:val="0"/>
        <w:autoSpaceDE/>
        <w:autoSpaceDN/>
        <w:bidi w:val="0"/>
        <w:adjustRightInd/>
        <w:snapToGrid/>
        <w:spacing w:line="360" w:lineRule="auto"/>
        <w:ind w:firstLine="840" w:firstLineChars="300"/>
        <w:textAlignment w:val="auto"/>
        <w:rPr>
          <w:rFonts w:hint="eastAsia" w:ascii="宋体" w:hAnsi="宋体" w:eastAsia="宋体" w:cs="宋体"/>
          <w:b w:val="0"/>
          <w:bCs/>
          <w:color w:val="000000"/>
          <w:sz w:val="28"/>
          <w:szCs w:val="28"/>
          <w:u w:val="single"/>
          <w:lang w:val="en-US" w:eastAsia="zh-CN"/>
        </w:rPr>
      </w:pPr>
      <w:r>
        <w:rPr>
          <w:rFonts w:hint="eastAsia" w:ascii="宋体" w:hAnsi="宋体" w:eastAsia="宋体" w:cs="宋体"/>
          <w:b w:val="0"/>
          <w:bCs/>
          <w:color w:val="000000"/>
          <w:sz w:val="28"/>
          <w:szCs w:val="28"/>
        </w:rPr>
        <w:t>项目编号 ：</w:t>
      </w:r>
      <w:r>
        <w:rPr>
          <w:rFonts w:hint="eastAsia" w:ascii="宋体" w:hAnsi="宋体" w:eastAsia="宋体" w:cs="宋体"/>
          <w:b w:val="0"/>
          <w:bCs/>
          <w:color w:val="000000"/>
          <w:sz w:val="28"/>
          <w:szCs w:val="28"/>
          <w:u w:val="single"/>
          <w:lang w:val="en-US" w:eastAsia="zh-CN"/>
        </w:rPr>
        <w:t xml:space="preserve">  </w:t>
      </w:r>
      <w:r>
        <w:rPr>
          <w:rFonts w:hint="eastAsia" w:ascii="宋体" w:hAnsi="宋体" w:cs="宋体"/>
          <w:b w:val="0"/>
          <w:bCs/>
          <w:color w:val="000000"/>
          <w:sz w:val="28"/>
          <w:szCs w:val="28"/>
          <w:u w:val="single"/>
          <w:lang w:val="en-US" w:eastAsia="zh-CN"/>
        </w:rPr>
        <w:t>JSZC-320115-NJDX-C2026-0008</w:t>
      </w:r>
      <w:r>
        <w:rPr>
          <w:rFonts w:hint="eastAsia" w:ascii="宋体" w:hAnsi="宋体" w:eastAsia="宋体" w:cs="宋体"/>
          <w:b w:val="0"/>
          <w:bCs/>
          <w:color w:val="000000"/>
          <w:sz w:val="28"/>
          <w:szCs w:val="28"/>
          <w:u w:val="single"/>
          <w:lang w:val="en-US" w:eastAsia="zh-CN"/>
        </w:rPr>
        <w:t xml:space="preserve">          </w:t>
      </w:r>
    </w:p>
    <w:p w14:paraId="779E4AB4">
      <w:pPr>
        <w:keepNext w:val="0"/>
        <w:keepLines w:val="0"/>
        <w:pageBreakBefore w:val="0"/>
        <w:widowControl w:val="0"/>
        <w:kinsoku/>
        <w:wordWrap/>
        <w:overflowPunct/>
        <w:topLinePunct w:val="0"/>
        <w:autoSpaceDE/>
        <w:autoSpaceDN/>
        <w:bidi w:val="0"/>
        <w:adjustRightInd/>
        <w:snapToGrid/>
        <w:spacing w:line="360" w:lineRule="auto"/>
        <w:ind w:firstLine="840" w:firstLineChars="300"/>
        <w:textAlignment w:val="auto"/>
        <w:rPr>
          <w:rFonts w:hint="default" w:ascii="宋体" w:hAnsi="宋体" w:eastAsia="宋体" w:cs="宋体"/>
          <w:b w:val="0"/>
          <w:bCs/>
          <w:color w:val="000000"/>
          <w:sz w:val="28"/>
          <w:szCs w:val="28"/>
          <w:u w:val="single"/>
          <w:lang w:val="en-US" w:eastAsia="zh-CN"/>
        </w:rPr>
      </w:pPr>
      <w:r>
        <w:rPr>
          <w:rFonts w:hint="eastAsia" w:ascii="宋体" w:hAnsi="宋体" w:eastAsia="宋体" w:cs="宋体"/>
          <w:b w:val="0"/>
          <w:bCs/>
          <w:color w:val="000000"/>
          <w:sz w:val="28"/>
          <w:szCs w:val="28"/>
        </w:rPr>
        <w:t>项目名称 ：</w:t>
      </w:r>
      <w:r>
        <w:rPr>
          <w:rFonts w:hint="eastAsia" w:ascii="宋体" w:hAnsi="宋体" w:eastAsia="宋体" w:cs="宋体"/>
          <w:b w:val="0"/>
          <w:bCs/>
          <w:color w:val="000000"/>
          <w:sz w:val="28"/>
          <w:szCs w:val="28"/>
          <w:u w:val="single"/>
          <w:lang w:eastAsia="zh-CN"/>
        </w:rPr>
        <w:t xml:space="preserve"> </w:t>
      </w:r>
      <w:r>
        <w:rPr>
          <w:rFonts w:hint="eastAsia" w:ascii="宋体" w:hAnsi="宋体" w:eastAsia="宋体" w:cs="宋体"/>
          <w:b w:val="0"/>
          <w:bCs/>
          <w:color w:val="000000"/>
          <w:sz w:val="28"/>
          <w:szCs w:val="28"/>
          <w:u w:val="single"/>
          <w:lang w:val="en-US" w:eastAsia="zh-CN"/>
        </w:rPr>
        <w:t xml:space="preserve"> </w:t>
      </w:r>
      <w:r>
        <w:rPr>
          <w:rFonts w:hint="eastAsia" w:ascii="宋体" w:hAnsi="宋体" w:eastAsia="宋体" w:cs="宋体"/>
          <w:b w:val="0"/>
          <w:bCs/>
          <w:color w:val="000000"/>
          <w:sz w:val="28"/>
          <w:szCs w:val="28"/>
          <w:u w:val="single"/>
          <w:lang w:eastAsia="zh-CN"/>
        </w:rPr>
        <w:t>东山街道2026年既有建筑安全检测评估服务</w:t>
      </w:r>
    </w:p>
    <w:p w14:paraId="7DE1D3BD">
      <w:pPr>
        <w:keepNext w:val="0"/>
        <w:keepLines w:val="0"/>
        <w:pageBreakBefore w:val="0"/>
        <w:widowControl w:val="0"/>
        <w:kinsoku/>
        <w:wordWrap/>
        <w:overflowPunct/>
        <w:topLinePunct w:val="0"/>
        <w:autoSpaceDE/>
        <w:autoSpaceDN/>
        <w:bidi w:val="0"/>
        <w:adjustRightInd/>
        <w:snapToGrid/>
        <w:spacing w:line="360" w:lineRule="auto"/>
        <w:ind w:firstLine="840" w:firstLineChars="300"/>
        <w:textAlignment w:val="auto"/>
        <w:rPr>
          <w:rFonts w:hint="eastAsia" w:ascii="宋体" w:hAnsi="宋体" w:eastAsia="宋体" w:cs="宋体"/>
          <w:b w:val="0"/>
          <w:bCs/>
          <w:color w:val="000000"/>
          <w:sz w:val="28"/>
          <w:szCs w:val="28"/>
          <w:u w:val="single"/>
          <w:lang w:val="en-US" w:eastAsia="zh-CN"/>
        </w:rPr>
      </w:pPr>
      <w:r>
        <w:rPr>
          <w:rFonts w:hint="eastAsia" w:ascii="宋体" w:hAnsi="宋体" w:eastAsia="宋体" w:cs="宋体"/>
          <w:b w:val="0"/>
          <w:bCs/>
          <w:color w:val="000000"/>
          <w:sz w:val="28"/>
          <w:szCs w:val="28"/>
        </w:rPr>
        <w:t>采购单位 ：</w:t>
      </w:r>
      <w:r>
        <w:rPr>
          <w:rFonts w:hint="eastAsia" w:ascii="宋体" w:hAnsi="宋体" w:eastAsia="宋体" w:cs="宋体"/>
          <w:b w:val="0"/>
          <w:bCs/>
          <w:color w:val="000000"/>
          <w:sz w:val="28"/>
          <w:szCs w:val="28"/>
          <w:u w:val="single"/>
          <w:lang w:val="en-US" w:eastAsia="zh-CN"/>
        </w:rPr>
        <w:t xml:space="preserve">  </w:t>
      </w:r>
      <w:r>
        <w:rPr>
          <w:rFonts w:hint="eastAsia" w:ascii="宋体" w:hAnsi="宋体" w:eastAsia="宋体" w:cs="宋体"/>
          <w:b w:val="0"/>
          <w:bCs/>
          <w:color w:val="000000"/>
          <w:sz w:val="28"/>
          <w:szCs w:val="28"/>
          <w:u w:val="single"/>
          <w:lang w:eastAsia="zh-CN"/>
        </w:rPr>
        <w:t>南京市江宁区人民政府东山街道办事处</w:t>
      </w:r>
      <w:r>
        <w:rPr>
          <w:rFonts w:hint="eastAsia" w:ascii="宋体" w:hAnsi="宋体" w:eastAsia="宋体" w:cs="宋体"/>
          <w:b w:val="0"/>
          <w:bCs/>
          <w:color w:val="000000"/>
          <w:sz w:val="28"/>
          <w:szCs w:val="28"/>
          <w:u w:val="single"/>
        </w:rPr>
        <w:t xml:space="preserve"> </w:t>
      </w:r>
      <w:r>
        <w:rPr>
          <w:rFonts w:hint="eastAsia" w:ascii="宋体" w:hAnsi="宋体" w:eastAsia="宋体" w:cs="宋体"/>
          <w:b w:val="0"/>
          <w:bCs/>
          <w:color w:val="000000"/>
          <w:sz w:val="28"/>
          <w:szCs w:val="28"/>
          <w:u w:val="single"/>
          <w:lang w:val="en-US" w:eastAsia="zh-CN"/>
        </w:rPr>
        <w:t xml:space="preserve">    </w:t>
      </w:r>
    </w:p>
    <w:p w14:paraId="1191FACE">
      <w:pPr>
        <w:keepNext w:val="0"/>
        <w:keepLines w:val="0"/>
        <w:pageBreakBefore w:val="0"/>
        <w:widowControl w:val="0"/>
        <w:kinsoku/>
        <w:wordWrap/>
        <w:overflowPunct/>
        <w:topLinePunct w:val="0"/>
        <w:autoSpaceDE/>
        <w:autoSpaceDN/>
        <w:bidi w:val="0"/>
        <w:adjustRightInd/>
        <w:snapToGrid/>
        <w:spacing w:line="360" w:lineRule="auto"/>
        <w:ind w:firstLine="840" w:firstLineChars="300"/>
        <w:textAlignment w:val="auto"/>
        <w:rPr>
          <w:rFonts w:hint="eastAsia" w:ascii="宋体" w:hAnsi="宋体" w:eastAsia="宋体" w:cs="宋体"/>
          <w:b w:val="0"/>
          <w:bCs/>
          <w:color w:val="000000"/>
          <w:sz w:val="28"/>
          <w:szCs w:val="28"/>
          <w:lang w:val="en-US" w:eastAsia="zh-CN"/>
        </w:rPr>
      </w:pPr>
      <w:r>
        <w:rPr>
          <w:rFonts w:hint="eastAsia" w:ascii="宋体" w:hAnsi="宋体" w:eastAsia="宋体" w:cs="宋体"/>
          <w:b w:val="0"/>
          <w:bCs/>
          <w:color w:val="000000"/>
          <w:sz w:val="28"/>
          <w:szCs w:val="28"/>
        </w:rPr>
        <w:t>成交单位 ：</w:t>
      </w:r>
      <w:r>
        <w:rPr>
          <w:rFonts w:hint="eastAsia" w:ascii="宋体" w:hAnsi="宋体" w:eastAsia="宋体" w:cs="宋体"/>
          <w:b w:val="0"/>
          <w:bCs/>
          <w:color w:val="000000"/>
          <w:sz w:val="28"/>
          <w:szCs w:val="28"/>
          <w:u w:val="single"/>
          <w:lang w:val="en-US" w:eastAsia="zh-CN"/>
        </w:rPr>
        <w:t xml:space="preserve">                                       </w:t>
      </w:r>
    </w:p>
    <w:p w14:paraId="36C260FD">
      <w:pPr>
        <w:keepNext w:val="0"/>
        <w:keepLines w:val="0"/>
        <w:pageBreakBefore w:val="0"/>
        <w:widowControl w:val="0"/>
        <w:kinsoku/>
        <w:wordWrap/>
        <w:overflowPunct/>
        <w:topLinePunct w:val="0"/>
        <w:autoSpaceDE/>
        <w:autoSpaceDN/>
        <w:bidi w:val="0"/>
        <w:adjustRightInd/>
        <w:snapToGrid/>
        <w:spacing w:line="360" w:lineRule="auto"/>
        <w:ind w:firstLine="840" w:firstLineChars="300"/>
        <w:textAlignment w:val="auto"/>
        <w:rPr>
          <w:rFonts w:hint="eastAsia" w:ascii="宋体" w:hAnsi="宋体" w:eastAsia="宋体" w:cs="宋体"/>
          <w:b w:val="0"/>
          <w:bCs/>
          <w:color w:val="000000"/>
          <w:sz w:val="28"/>
          <w:szCs w:val="28"/>
          <w:u w:val="single"/>
          <w:lang w:val="en-US" w:eastAsia="zh-CN"/>
        </w:rPr>
      </w:pPr>
      <w:r>
        <w:rPr>
          <w:rFonts w:hint="eastAsia" w:ascii="宋体" w:hAnsi="宋体" w:eastAsia="宋体" w:cs="宋体"/>
          <w:b w:val="0"/>
          <w:bCs/>
          <w:color w:val="000000"/>
          <w:sz w:val="28"/>
          <w:szCs w:val="28"/>
        </w:rPr>
        <w:t>签订日期 ：</w:t>
      </w:r>
      <w:r>
        <w:rPr>
          <w:rFonts w:hint="eastAsia" w:ascii="宋体" w:hAnsi="宋体" w:eastAsia="宋体" w:cs="宋体"/>
          <w:b w:val="0"/>
          <w:bCs/>
          <w:color w:val="000000"/>
          <w:sz w:val="28"/>
          <w:szCs w:val="28"/>
          <w:u w:val="single"/>
          <w:lang w:val="en-US" w:eastAsia="zh-CN"/>
        </w:rPr>
        <w:t xml:space="preserve">                                        </w:t>
      </w:r>
    </w:p>
    <w:p w14:paraId="01076366">
      <w:pPr>
        <w:rPr>
          <w:rFonts w:hint="eastAsia" w:ascii="宋体" w:hAnsi="宋体" w:eastAsia="宋体" w:cs="宋体"/>
          <w:color w:val="000000"/>
          <w:sz w:val="22"/>
          <w:szCs w:val="22"/>
        </w:rPr>
      </w:pPr>
    </w:p>
    <w:p w14:paraId="11965CD1">
      <w:pPr>
        <w:ind w:firstLine="420"/>
        <w:rPr>
          <w:rFonts w:hint="eastAsia" w:ascii="宋体" w:hAnsi="宋体" w:eastAsia="宋体" w:cs="宋体"/>
          <w:color w:val="000000"/>
          <w:sz w:val="22"/>
          <w:szCs w:val="22"/>
        </w:rPr>
        <w:sectPr>
          <w:headerReference r:id="rId5" w:type="default"/>
          <w:footerReference r:id="rId6" w:type="default"/>
          <w:pgSz w:w="11906" w:h="16838"/>
          <w:pgMar w:top="1418" w:right="1304" w:bottom="1247" w:left="1304" w:header="851" w:footer="992" w:gutter="0"/>
          <w:cols w:space="1701" w:num="1"/>
          <w:docGrid w:linePitch="360" w:charSpace="0"/>
        </w:sectPr>
      </w:pPr>
    </w:p>
    <w:p w14:paraId="7F8CF637">
      <w:pPr>
        <w:spacing w:line="360" w:lineRule="exact"/>
        <w:jc w:val="center"/>
        <w:rPr>
          <w:rFonts w:hint="eastAsia" w:ascii="宋体" w:hAnsi="宋体" w:eastAsia="宋体" w:cs="宋体"/>
          <w:b/>
          <w:bCs/>
          <w:sz w:val="22"/>
          <w:szCs w:val="22"/>
          <w:lang w:val="zh-CN"/>
        </w:rPr>
      </w:pPr>
      <w:r>
        <w:rPr>
          <w:rFonts w:hint="eastAsia" w:ascii="宋体" w:hAnsi="宋体" w:eastAsia="宋体" w:cs="宋体"/>
          <w:b/>
          <w:bCs/>
          <w:sz w:val="22"/>
          <w:szCs w:val="22"/>
          <w:lang w:val="zh-CN"/>
        </w:rPr>
        <w:t>合同主要条款及格式</w:t>
      </w:r>
    </w:p>
    <w:p w14:paraId="2CF567AF">
      <w:pPr>
        <w:spacing w:line="400" w:lineRule="exact"/>
        <w:rPr>
          <w:rFonts w:hint="eastAsia" w:ascii="宋体" w:hAnsi="宋体" w:eastAsia="宋体" w:cs="宋体"/>
          <w:sz w:val="22"/>
          <w:szCs w:val="22"/>
          <w:lang w:val="zh-CN"/>
        </w:rPr>
      </w:pPr>
      <w:r>
        <w:rPr>
          <w:rFonts w:hint="eastAsia" w:ascii="宋体" w:hAnsi="宋体" w:eastAsia="宋体" w:cs="宋体"/>
          <w:sz w:val="22"/>
          <w:szCs w:val="22"/>
          <w:lang w:val="zh-CN"/>
        </w:rPr>
        <w:t>合同编号：</w:t>
      </w:r>
      <w:r>
        <w:rPr>
          <w:rFonts w:hint="eastAsia"/>
          <w:b w:val="0"/>
          <w:bCs/>
          <w:color w:val="000000"/>
          <w:kern w:val="2"/>
          <w:sz w:val="21"/>
          <w:szCs w:val="21"/>
          <w:u w:val="single"/>
          <w:lang w:val="zh-CN" w:eastAsia="zh-CN"/>
        </w:rPr>
        <w:t xml:space="preserve"> </w:t>
      </w:r>
      <w:r>
        <w:rPr>
          <w:rFonts w:hint="eastAsia"/>
          <w:b w:val="0"/>
          <w:bCs/>
          <w:color w:val="000000"/>
          <w:kern w:val="2"/>
          <w:sz w:val="21"/>
          <w:szCs w:val="21"/>
          <w:u w:val="single"/>
          <w:lang w:val="en-US" w:eastAsia="zh-CN"/>
        </w:rPr>
        <w:t xml:space="preserve">                 </w:t>
      </w:r>
    </w:p>
    <w:tbl>
      <w:tblPr>
        <w:tblStyle w:val="38"/>
        <w:tblW w:w="0" w:type="auto"/>
        <w:tblInd w:w="-108" w:type="dxa"/>
        <w:tblLayout w:type="fixed"/>
        <w:tblCellMar>
          <w:top w:w="0" w:type="dxa"/>
          <w:left w:w="0" w:type="dxa"/>
          <w:bottom w:w="0" w:type="dxa"/>
          <w:right w:w="0" w:type="dxa"/>
        </w:tblCellMar>
      </w:tblPr>
      <w:tblGrid>
        <w:gridCol w:w="4643"/>
        <w:gridCol w:w="4643"/>
      </w:tblGrid>
      <w:tr w14:paraId="68ECC404">
        <w:tblPrEx>
          <w:tblCellMar>
            <w:top w:w="0" w:type="dxa"/>
            <w:left w:w="0" w:type="dxa"/>
            <w:bottom w:w="0" w:type="dxa"/>
            <w:right w:w="0" w:type="dxa"/>
          </w:tblCellMar>
        </w:tblPrEx>
        <w:tc>
          <w:tcPr>
            <w:tcW w:w="4643" w:type="dxa"/>
            <w:tcBorders>
              <w:top w:val="nil"/>
              <w:left w:val="nil"/>
              <w:bottom w:val="nil"/>
              <w:right w:val="nil"/>
            </w:tcBorders>
            <w:noWrap w:val="0"/>
            <w:vAlign w:val="top"/>
          </w:tcPr>
          <w:p w14:paraId="718ADFF1">
            <w:pPr>
              <w:spacing w:line="400" w:lineRule="exact"/>
              <w:jc w:val="left"/>
              <w:rPr>
                <w:rFonts w:hint="eastAsia" w:ascii="宋体" w:hAnsi="宋体" w:eastAsia="宋体" w:cs="宋体"/>
                <w:sz w:val="22"/>
                <w:szCs w:val="22"/>
                <w:lang w:val="zh-CN"/>
              </w:rPr>
            </w:pPr>
            <w:r>
              <w:rPr>
                <w:rFonts w:hint="eastAsia" w:ascii="宋体" w:hAnsi="宋体" w:eastAsia="宋体" w:cs="宋体"/>
                <w:sz w:val="22"/>
                <w:szCs w:val="22"/>
                <w:lang w:val="zh-CN"/>
              </w:rPr>
              <w:t>采购人：</w:t>
            </w:r>
            <w:r>
              <w:rPr>
                <w:rFonts w:hint="eastAsia" w:ascii="宋体" w:hAnsi="宋体" w:eastAsia="宋体" w:cs="宋体"/>
                <w:b w:val="0"/>
                <w:bCs/>
                <w:color w:val="000000"/>
                <w:sz w:val="22"/>
                <w:szCs w:val="22"/>
                <w:u w:val="none"/>
                <w:lang w:eastAsia="zh-CN"/>
              </w:rPr>
              <w:t>南京市江宁区人民政府东山街道办事处</w:t>
            </w:r>
          </w:p>
        </w:tc>
        <w:tc>
          <w:tcPr>
            <w:tcW w:w="4643" w:type="dxa"/>
            <w:tcBorders>
              <w:top w:val="nil"/>
              <w:left w:val="nil"/>
              <w:bottom w:val="nil"/>
              <w:right w:val="nil"/>
            </w:tcBorders>
            <w:noWrap w:val="0"/>
            <w:vAlign w:val="top"/>
          </w:tcPr>
          <w:p w14:paraId="2BD679E4">
            <w:pPr>
              <w:spacing w:line="400" w:lineRule="exact"/>
              <w:ind w:firstLine="440" w:firstLineChars="200"/>
              <w:jc w:val="left"/>
              <w:rPr>
                <w:rFonts w:hint="eastAsia" w:ascii="宋体" w:hAnsi="宋体" w:eastAsia="宋体" w:cs="宋体"/>
                <w:sz w:val="22"/>
                <w:szCs w:val="22"/>
                <w:lang w:val="en-US" w:eastAsia="zh-CN"/>
              </w:rPr>
            </w:pPr>
            <w:r>
              <w:rPr>
                <w:rFonts w:hint="eastAsia" w:ascii="宋体" w:hAnsi="宋体" w:eastAsia="宋体" w:cs="宋体"/>
                <w:sz w:val="22"/>
                <w:szCs w:val="22"/>
                <w:lang w:val="zh-CN"/>
              </w:rPr>
              <w:t>供应商：</w:t>
            </w:r>
          </w:p>
        </w:tc>
      </w:tr>
      <w:tr w14:paraId="27549ECB">
        <w:tblPrEx>
          <w:tblCellMar>
            <w:top w:w="0" w:type="dxa"/>
            <w:left w:w="0" w:type="dxa"/>
            <w:bottom w:w="0" w:type="dxa"/>
            <w:right w:w="0" w:type="dxa"/>
          </w:tblCellMar>
        </w:tblPrEx>
        <w:tc>
          <w:tcPr>
            <w:tcW w:w="4643" w:type="dxa"/>
            <w:tcBorders>
              <w:top w:val="nil"/>
              <w:left w:val="nil"/>
              <w:bottom w:val="nil"/>
              <w:right w:val="nil"/>
            </w:tcBorders>
            <w:noWrap w:val="0"/>
            <w:vAlign w:val="top"/>
          </w:tcPr>
          <w:p w14:paraId="764AC4F4">
            <w:pPr>
              <w:spacing w:line="400" w:lineRule="exact"/>
              <w:jc w:val="left"/>
              <w:rPr>
                <w:rFonts w:hint="eastAsia" w:ascii="宋体" w:hAnsi="宋体" w:eastAsia="宋体" w:cs="宋体"/>
                <w:sz w:val="22"/>
                <w:szCs w:val="22"/>
              </w:rPr>
            </w:pPr>
            <w:r>
              <w:rPr>
                <w:rFonts w:hint="eastAsia" w:ascii="宋体" w:hAnsi="宋体" w:eastAsia="宋体" w:cs="宋体"/>
                <w:sz w:val="22"/>
                <w:szCs w:val="22"/>
                <w:lang w:val="zh-CN"/>
              </w:rPr>
              <w:t>住所地：</w:t>
            </w:r>
            <w:r>
              <w:rPr>
                <w:rFonts w:hint="eastAsia" w:ascii="宋体" w:hAnsi="宋体" w:eastAsia="宋体" w:cs="宋体"/>
                <w:color w:val="000000"/>
                <w:sz w:val="22"/>
                <w:szCs w:val="22"/>
                <w:highlight w:val="none"/>
                <w:shd w:val="clear" w:color="auto" w:fill="FFFFFF"/>
                <w:lang w:eastAsia="zh-CN"/>
              </w:rPr>
              <w:t>南京市江宁区上元大街229号</w:t>
            </w:r>
          </w:p>
        </w:tc>
        <w:tc>
          <w:tcPr>
            <w:tcW w:w="4643" w:type="dxa"/>
            <w:tcBorders>
              <w:top w:val="nil"/>
              <w:left w:val="nil"/>
              <w:bottom w:val="nil"/>
              <w:right w:val="nil"/>
            </w:tcBorders>
            <w:noWrap w:val="0"/>
            <w:vAlign w:val="top"/>
          </w:tcPr>
          <w:p w14:paraId="2F9B5A51">
            <w:pPr>
              <w:spacing w:line="400" w:lineRule="exact"/>
              <w:ind w:firstLine="440" w:firstLineChars="200"/>
              <w:jc w:val="left"/>
              <w:rPr>
                <w:rFonts w:hint="eastAsia" w:ascii="宋体" w:hAnsi="宋体" w:eastAsia="宋体" w:cs="宋体"/>
                <w:sz w:val="22"/>
                <w:szCs w:val="22"/>
                <w:lang w:val="en-US" w:eastAsia="zh-CN"/>
              </w:rPr>
            </w:pPr>
            <w:r>
              <w:rPr>
                <w:rFonts w:hint="eastAsia" w:ascii="宋体" w:hAnsi="宋体" w:eastAsia="宋体" w:cs="宋体"/>
                <w:sz w:val="22"/>
                <w:szCs w:val="22"/>
                <w:lang w:val="zh-CN"/>
              </w:rPr>
              <w:t>住所地：</w:t>
            </w:r>
          </w:p>
        </w:tc>
      </w:tr>
    </w:tbl>
    <w:p w14:paraId="71F4D4D1">
      <w:pPr>
        <w:spacing w:line="400" w:lineRule="exact"/>
        <w:ind w:firstLine="420"/>
        <w:jc w:val="left"/>
        <w:rPr>
          <w:rFonts w:hint="eastAsia" w:ascii="宋体" w:hAnsi="宋体" w:eastAsia="宋体" w:cs="宋体"/>
          <w:sz w:val="22"/>
          <w:szCs w:val="22"/>
        </w:rPr>
      </w:pPr>
      <w:r>
        <w:rPr>
          <w:rFonts w:hint="eastAsia" w:ascii="宋体" w:hAnsi="宋体" w:eastAsia="宋体" w:cs="宋体"/>
          <w:sz w:val="22"/>
          <w:szCs w:val="22"/>
          <w:lang w:val="zh-CN"/>
        </w:rPr>
        <w:t>根据《中华人民共和国政府采购法》、《中华人民共和国</w:t>
      </w:r>
      <w:r>
        <w:rPr>
          <w:rFonts w:hint="eastAsia" w:ascii="宋体" w:hAnsi="宋体" w:eastAsia="宋体" w:cs="宋体"/>
          <w:sz w:val="22"/>
          <w:szCs w:val="22"/>
        </w:rPr>
        <w:t>民法典</w:t>
      </w:r>
      <w:r>
        <w:rPr>
          <w:rFonts w:hint="eastAsia" w:ascii="宋体" w:hAnsi="宋体" w:eastAsia="宋体" w:cs="宋体"/>
          <w:sz w:val="22"/>
          <w:szCs w:val="22"/>
          <w:lang w:val="zh-CN"/>
        </w:rPr>
        <w:t>》等法律法规的规定，甲乙双方按照采购结果签订本合同。</w:t>
      </w:r>
    </w:p>
    <w:p w14:paraId="20F0662E">
      <w:pPr>
        <w:spacing w:line="400" w:lineRule="exact"/>
        <w:ind w:firstLine="420"/>
        <w:jc w:val="left"/>
        <w:rPr>
          <w:rFonts w:hint="eastAsia" w:ascii="宋体" w:hAnsi="宋体" w:eastAsia="宋体" w:cs="宋体"/>
          <w:color w:val="auto"/>
          <w:sz w:val="22"/>
          <w:szCs w:val="22"/>
          <w:lang w:val="zh-CN" w:eastAsia="zh-CN"/>
        </w:rPr>
      </w:pPr>
      <w:r>
        <w:rPr>
          <w:rFonts w:hint="eastAsia" w:ascii="宋体" w:hAnsi="宋体" w:eastAsia="宋体" w:cs="宋体"/>
          <w:b/>
          <w:bCs/>
          <w:sz w:val="22"/>
          <w:szCs w:val="22"/>
          <w:lang w:val="zh-CN"/>
        </w:rPr>
        <w:t>合同标的</w:t>
      </w:r>
      <w:r>
        <w:rPr>
          <w:rFonts w:hint="eastAsia" w:ascii="宋体" w:hAnsi="宋体" w:eastAsia="宋体" w:cs="宋体"/>
          <w:sz w:val="22"/>
          <w:szCs w:val="22"/>
          <w:lang w:val="zh-CN"/>
        </w:rPr>
        <w:t xml:space="preserve"> </w:t>
      </w:r>
      <w:r>
        <w:rPr>
          <w:rFonts w:hint="eastAsia" w:ascii="宋体" w:hAnsi="宋体" w:eastAsia="宋体" w:cs="宋体"/>
          <w:color w:val="auto"/>
          <w:sz w:val="22"/>
          <w:szCs w:val="22"/>
          <w:lang w:val="zh-CN" w:eastAsia="zh-CN"/>
        </w:rPr>
        <w:t xml:space="preserve"> 乙方根据甲方需求提供下列服务：</w:t>
      </w:r>
      <w:r>
        <w:rPr>
          <w:rFonts w:hint="eastAsia" w:ascii="宋体" w:hAnsi="宋体" w:eastAsia="宋体" w:cs="宋体"/>
          <w:color w:val="auto"/>
          <w:sz w:val="22"/>
          <w:szCs w:val="22"/>
          <w:u w:val="single"/>
          <w:lang w:val="zh-CN" w:eastAsia="zh-CN"/>
        </w:rPr>
        <w:t>东山街道2026年既有建筑安全检测评估服务</w:t>
      </w:r>
      <w:r>
        <w:rPr>
          <w:rFonts w:hint="eastAsia" w:ascii="宋体" w:hAnsi="宋体" w:eastAsia="宋体" w:cs="宋体"/>
          <w:color w:val="auto"/>
          <w:sz w:val="22"/>
          <w:szCs w:val="22"/>
          <w:lang w:val="en-US" w:eastAsia="zh-CN"/>
        </w:rPr>
        <w:t>，具体为：</w:t>
      </w:r>
    </w:p>
    <w:p w14:paraId="6A517313">
      <w:pPr>
        <w:numPr>
          <w:ilvl w:val="0"/>
          <w:numId w:val="5"/>
        </w:numPr>
        <w:spacing w:line="360" w:lineRule="auto"/>
        <w:ind w:firstLine="420"/>
        <w:jc w:val="left"/>
        <w:rPr>
          <w:rFonts w:hint="eastAsia" w:ascii="宋体" w:hAnsi="宋体" w:eastAsia="宋体" w:cs="宋体"/>
          <w:sz w:val="24"/>
          <w:szCs w:val="32"/>
          <w:lang w:val="en-US" w:eastAsia="zh-CN"/>
        </w:rPr>
      </w:pPr>
      <w:r>
        <w:rPr>
          <w:rFonts w:hint="eastAsia" w:ascii="宋体" w:hAnsi="宋体" w:eastAsia="宋体" w:cs="宋体"/>
          <w:sz w:val="24"/>
          <w:szCs w:val="32"/>
          <w:lang w:val="en-US" w:eastAsia="zh-CN"/>
        </w:rPr>
        <w:t>房屋隐患整治</w:t>
      </w:r>
    </w:p>
    <w:p w14:paraId="3856390E">
      <w:pPr>
        <w:spacing w:line="360" w:lineRule="auto"/>
        <w:ind w:firstLine="420" w:firstLineChars="0"/>
        <w:rPr>
          <w:rFonts w:hint="eastAsia" w:ascii="宋体" w:hAnsi="宋体" w:eastAsia="宋体" w:cs="宋体"/>
          <w:color w:val="auto"/>
          <w:sz w:val="22"/>
          <w:szCs w:val="22"/>
          <w:lang w:val="zh-CN" w:eastAsia="zh-CN"/>
        </w:rPr>
      </w:pPr>
      <w:r>
        <w:rPr>
          <w:rFonts w:hint="eastAsia" w:ascii="宋体" w:hAnsi="宋体" w:eastAsia="宋体" w:cs="宋体"/>
          <w:color w:val="auto"/>
          <w:sz w:val="22"/>
          <w:szCs w:val="22"/>
          <w:lang w:val="zh-CN" w:eastAsia="zh-CN"/>
        </w:rPr>
        <w:t>1、按要求协助街道对属地内既有建筑按社区网格开展专业技术常态化巡查（包括各级部门下发的既有建筑巡查任务），街道排查约7691栋建筑（含约2305栋自建房），及时发现新增隐患；另：完成省系统数据约16103栋（以2026.4.20数据为准）既有建筑的巡查任务，巡查内容包括东发16栋既有建筑，补充相关房屋信息和房屋安全情况；形成全街房屋数量清单；对隐患房屋开展基础信息、使用情况及结构检查，并于10个工作日内出具查勘意见、排查报告或鉴定报告，编制并审查整治方案，建立“一户一档”；工作量以实际排查数量为准。</w:t>
      </w:r>
    </w:p>
    <w:p w14:paraId="21F8E910">
      <w:pPr>
        <w:spacing w:line="400" w:lineRule="exact"/>
        <w:ind w:firstLine="420" w:firstLineChars="0"/>
        <w:jc w:val="left"/>
        <w:rPr>
          <w:rFonts w:hint="eastAsia" w:ascii="宋体" w:hAnsi="宋体" w:eastAsia="宋体" w:cs="宋体"/>
          <w:color w:val="auto"/>
          <w:sz w:val="22"/>
          <w:szCs w:val="22"/>
          <w:lang w:val="zh-CN" w:eastAsia="zh-CN"/>
        </w:rPr>
      </w:pPr>
      <w:r>
        <w:rPr>
          <w:rFonts w:hint="eastAsia" w:ascii="宋体" w:hAnsi="宋体" w:eastAsia="宋体" w:cs="宋体"/>
          <w:color w:val="auto"/>
          <w:sz w:val="22"/>
          <w:szCs w:val="22"/>
          <w:lang w:val="zh-CN" w:eastAsia="zh-CN"/>
        </w:rPr>
        <w:t>2、隐患建筑动态监测：按需对重点区域、在册危房、隐患建筑、老旧建筑开展动态监测、房屋沉降倾斜、开裂、墙体风化裸露情况的测量对比，出具并上传评估(鉴定)报告（一般隐患季查、C级危房月查、D级危房周查，汛期及雨雪季等恶劣天气按上级部门要求协助街道增加专业技术巡查频次，按周期协助街道出具巡查技术分析报告，做好变化对比）。</w:t>
      </w:r>
    </w:p>
    <w:p w14:paraId="19EE81CD">
      <w:pPr>
        <w:spacing w:line="400" w:lineRule="exact"/>
        <w:ind w:firstLine="420" w:firstLineChars="0"/>
        <w:jc w:val="left"/>
        <w:rPr>
          <w:rFonts w:hint="eastAsia" w:ascii="宋体" w:hAnsi="宋体" w:eastAsia="宋体" w:cs="宋体"/>
          <w:color w:val="auto"/>
          <w:sz w:val="22"/>
          <w:szCs w:val="22"/>
          <w:lang w:val="zh-CN" w:eastAsia="zh-CN"/>
        </w:rPr>
      </w:pPr>
      <w:r>
        <w:rPr>
          <w:rFonts w:hint="eastAsia" w:ascii="宋体" w:hAnsi="宋体" w:eastAsia="宋体" w:cs="宋体"/>
          <w:color w:val="auto"/>
          <w:sz w:val="22"/>
          <w:szCs w:val="22"/>
          <w:lang w:val="zh-CN" w:eastAsia="zh-CN"/>
        </w:rPr>
        <w:t>3、消险复核：协助街道对整治完工的房屋进行查验，并于10个工作日内出具隐患复核意见。</w:t>
      </w:r>
    </w:p>
    <w:p w14:paraId="30F88E61">
      <w:pPr>
        <w:spacing w:line="400" w:lineRule="exact"/>
        <w:ind w:firstLine="420" w:firstLineChars="0"/>
        <w:jc w:val="left"/>
        <w:rPr>
          <w:rFonts w:hint="eastAsia" w:ascii="宋体" w:hAnsi="宋体" w:eastAsia="宋体" w:cs="宋体"/>
          <w:color w:val="auto"/>
          <w:sz w:val="22"/>
          <w:szCs w:val="22"/>
          <w:lang w:val="zh-CN" w:eastAsia="zh-CN"/>
        </w:rPr>
      </w:pPr>
      <w:r>
        <w:rPr>
          <w:rFonts w:hint="eastAsia" w:ascii="宋体" w:hAnsi="宋体" w:eastAsia="宋体" w:cs="宋体"/>
          <w:color w:val="auto"/>
          <w:sz w:val="22"/>
          <w:szCs w:val="22"/>
          <w:lang w:val="zh-CN" w:eastAsia="zh-CN"/>
        </w:rPr>
        <w:t>4、技术指导：对社区上报的房屋材料进行梳理、现场复核，提出处置建议并上报。</w:t>
      </w:r>
    </w:p>
    <w:p w14:paraId="3383A6B9">
      <w:pPr>
        <w:spacing w:line="400" w:lineRule="exact"/>
        <w:ind w:firstLine="420" w:firstLineChars="0"/>
        <w:jc w:val="left"/>
        <w:rPr>
          <w:rFonts w:hint="eastAsia" w:ascii="宋体" w:hAnsi="宋体" w:eastAsia="宋体" w:cs="宋体"/>
          <w:color w:val="auto"/>
          <w:sz w:val="22"/>
          <w:szCs w:val="22"/>
          <w:lang w:val="zh-CN" w:eastAsia="zh-CN"/>
        </w:rPr>
      </w:pPr>
      <w:r>
        <w:rPr>
          <w:rFonts w:hint="eastAsia" w:ascii="宋体" w:hAnsi="宋体" w:eastAsia="宋体" w:cs="宋体"/>
          <w:color w:val="auto"/>
          <w:sz w:val="22"/>
          <w:szCs w:val="22"/>
          <w:lang w:val="zh-CN" w:eastAsia="zh-CN"/>
        </w:rPr>
        <w:t>二、房屋装饰装修管理</w:t>
      </w:r>
    </w:p>
    <w:p w14:paraId="3C42EBE1">
      <w:pPr>
        <w:spacing w:line="400" w:lineRule="exact"/>
        <w:ind w:firstLine="420" w:firstLineChars="0"/>
        <w:jc w:val="left"/>
        <w:rPr>
          <w:rFonts w:hint="eastAsia" w:ascii="宋体" w:hAnsi="宋体" w:eastAsia="宋体" w:cs="宋体"/>
          <w:color w:val="auto"/>
          <w:sz w:val="22"/>
          <w:szCs w:val="22"/>
          <w:lang w:val="zh-CN" w:eastAsia="zh-CN"/>
        </w:rPr>
      </w:pPr>
      <w:r>
        <w:rPr>
          <w:rFonts w:hint="eastAsia" w:ascii="宋体" w:hAnsi="宋体" w:eastAsia="宋体" w:cs="宋体"/>
          <w:color w:val="auto"/>
          <w:sz w:val="22"/>
          <w:szCs w:val="22"/>
          <w:lang w:val="zh-CN" w:eastAsia="zh-CN"/>
        </w:rPr>
        <w:t>5、配合街道装饰装修综合受理窗口开展工作,协助街道对面积≤500㎡或造价≤100万元的小型装修工程进行现场踏勘、竣工核查，出具书面意见并建台账，提供从受理备案、方案审查、现场巡查、到完工查验全流程技术服务,按时间要求,利用既有建筑电子身份证管理平台、东山街道装修备案平台，协助街道完成专业技术查验录入工作并形成“一户一档”台账。</w:t>
      </w:r>
    </w:p>
    <w:p w14:paraId="56420C2B">
      <w:pPr>
        <w:spacing w:line="400" w:lineRule="exact"/>
        <w:ind w:firstLine="420" w:firstLineChars="0"/>
        <w:jc w:val="left"/>
        <w:rPr>
          <w:rFonts w:hint="eastAsia" w:ascii="宋体" w:hAnsi="宋体" w:eastAsia="宋体" w:cs="宋体"/>
          <w:color w:val="auto"/>
          <w:sz w:val="22"/>
          <w:szCs w:val="22"/>
          <w:lang w:val="zh-CN" w:eastAsia="zh-CN"/>
        </w:rPr>
      </w:pPr>
      <w:r>
        <w:rPr>
          <w:rFonts w:hint="eastAsia" w:ascii="宋体" w:hAnsi="宋体" w:eastAsia="宋体" w:cs="宋体"/>
          <w:color w:val="auto"/>
          <w:sz w:val="22"/>
          <w:szCs w:val="22"/>
          <w:lang w:val="zh-CN" w:eastAsia="zh-CN"/>
        </w:rPr>
        <w:t>6、技术指导与处置：协助街道对社区上报的装修材料进行复核，提出处置建议并上报。</w:t>
      </w:r>
    </w:p>
    <w:p w14:paraId="50F991A1">
      <w:pPr>
        <w:spacing w:line="400" w:lineRule="exact"/>
        <w:ind w:firstLine="420" w:firstLineChars="0"/>
        <w:jc w:val="left"/>
        <w:rPr>
          <w:rFonts w:hint="eastAsia" w:ascii="宋体" w:hAnsi="宋体" w:eastAsia="宋体" w:cs="宋体"/>
          <w:color w:val="auto"/>
          <w:sz w:val="22"/>
          <w:szCs w:val="22"/>
          <w:lang w:val="zh-CN" w:eastAsia="zh-CN"/>
        </w:rPr>
      </w:pPr>
      <w:r>
        <w:rPr>
          <w:rFonts w:hint="eastAsia" w:ascii="宋体" w:hAnsi="宋体" w:eastAsia="宋体" w:cs="宋体"/>
          <w:color w:val="auto"/>
          <w:sz w:val="22"/>
          <w:szCs w:val="22"/>
          <w:lang w:val="zh-CN" w:eastAsia="zh-CN"/>
        </w:rPr>
        <w:t>7、信息登记与告知：协助街道受理开工信息登记，核查资料并发放风险告知书；受理完工登记，实现工程闭环。</w:t>
      </w:r>
    </w:p>
    <w:p w14:paraId="6C4966F2">
      <w:pPr>
        <w:spacing w:line="400" w:lineRule="exact"/>
        <w:ind w:firstLine="420" w:firstLineChars="0"/>
        <w:jc w:val="left"/>
        <w:rPr>
          <w:rFonts w:hint="eastAsia" w:ascii="宋体" w:hAnsi="宋体" w:eastAsia="宋体" w:cs="宋体"/>
          <w:color w:val="auto"/>
          <w:sz w:val="22"/>
          <w:szCs w:val="22"/>
          <w:lang w:val="zh-CN" w:eastAsia="zh-CN"/>
        </w:rPr>
      </w:pPr>
      <w:r>
        <w:rPr>
          <w:rFonts w:hint="eastAsia" w:ascii="宋体" w:hAnsi="宋体" w:eastAsia="宋体" w:cs="宋体"/>
          <w:color w:val="auto"/>
          <w:sz w:val="22"/>
          <w:szCs w:val="22"/>
          <w:lang w:val="zh-CN" w:eastAsia="zh-CN"/>
        </w:rPr>
        <w:t>8、重点工程监管：协助街道对面积≥500㎡或造价≥100万元及需加固的装修工程，进行评估或鉴定并每月巡查至完工，督促办理施工许可。</w:t>
      </w:r>
    </w:p>
    <w:p w14:paraId="2A2A1BED">
      <w:pPr>
        <w:spacing w:line="400" w:lineRule="exact"/>
        <w:ind w:firstLine="420" w:firstLineChars="0"/>
        <w:jc w:val="left"/>
        <w:rPr>
          <w:rFonts w:hint="eastAsia" w:ascii="宋体" w:hAnsi="宋体" w:eastAsia="宋体" w:cs="宋体"/>
          <w:color w:val="auto"/>
          <w:sz w:val="22"/>
          <w:szCs w:val="22"/>
          <w:lang w:val="zh-CN" w:eastAsia="zh-CN"/>
        </w:rPr>
      </w:pPr>
      <w:r>
        <w:rPr>
          <w:rFonts w:hint="eastAsia" w:ascii="宋体" w:hAnsi="宋体" w:eastAsia="宋体" w:cs="宋体"/>
          <w:color w:val="auto"/>
          <w:sz w:val="22"/>
          <w:szCs w:val="22"/>
          <w:lang w:val="zh-CN" w:eastAsia="zh-CN"/>
        </w:rPr>
        <w:t>9、动态巡查与检查：协助街道对在建工程开展常态化巡查，督促未登记工程办理手续。对高风险工程在10个工作日内开展检查，超过3个月增加检查；其他工程按不低于10%比例随机抽查。检查重点包括登记情况、施工资质、结构拆改、安全措施等各项内容。</w:t>
      </w:r>
    </w:p>
    <w:p w14:paraId="78F5BC86">
      <w:pPr>
        <w:spacing w:line="400" w:lineRule="exact"/>
        <w:ind w:firstLine="420" w:firstLineChars="0"/>
        <w:jc w:val="left"/>
        <w:rPr>
          <w:rFonts w:hint="eastAsia" w:ascii="宋体" w:hAnsi="宋体" w:eastAsia="宋体" w:cs="宋体"/>
          <w:color w:val="auto"/>
          <w:sz w:val="22"/>
          <w:szCs w:val="22"/>
          <w:lang w:val="zh-CN" w:eastAsia="zh-CN"/>
        </w:rPr>
      </w:pPr>
      <w:r>
        <w:rPr>
          <w:rFonts w:hint="eastAsia" w:ascii="宋体" w:hAnsi="宋体" w:eastAsia="宋体" w:cs="宋体"/>
          <w:color w:val="auto"/>
          <w:sz w:val="22"/>
          <w:szCs w:val="22"/>
          <w:lang w:val="zh-CN" w:eastAsia="zh-CN"/>
        </w:rPr>
        <w:t>三、房屋质量、装修投诉、信访等技术踏勘</w:t>
      </w:r>
    </w:p>
    <w:p w14:paraId="69E5AAF2">
      <w:pPr>
        <w:spacing w:line="400" w:lineRule="exact"/>
        <w:ind w:firstLine="420" w:firstLineChars="0"/>
        <w:jc w:val="left"/>
        <w:rPr>
          <w:rFonts w:hint="eastAsia" w:ascii="宋体" w:hAnsi="宋体" w:eastAsia="宋体" w:cs="宋体"/>
          <w:color w:val="auto"/>
          <w:sz w:val="22"/>
          <w:szCs w:val="22"/>
          <w:lang w:val="zh-CN" w:eastAsia="zh-CN"/>
        </w:rPr>
      </w:pPr>
      <w:r>
        <w:rPr>
          <w:rFonts w:hint="eastAsia" w:ascii="宋体" w:hAnsi="宋体" w:eastAsia="宋体" w:cs="宋体"/>
          <w:color w:val="auto"/>
          <w:sz w:val="22"/>
          <w:szCs w:val="22"/>
          <w:lang w:val="zh-CN" w:eastAsia="zh-CN"/>
        </w:rPr>
        <w:t>10、协助街道12345 投诉及信访并提供专业技术处置服务,按要求做好相关检测、论证及专业解答工作，按要求出具明确查勘意见或评估(鉴定)报告，必要时出具鉴定报告，压实房屋所有权人主体责任。</w:t>
      </w:r>
    </w:p>
    <w:p w14:paraId="412575B0">
      <w:pPr>
        <w:spacing w:line="400" w:lineRule="exact"/>
        <w:ind w:firstLine="420" w:firstLineChars="0"/>
        <w:jc w:val="left"/>
        <w:rPr>
          <w:rFonts w:hint="eastAsia" w:ascii="宋体" w:hAnsi="宋体" w:eastAsia="宋体" w:cs="宋体"/>
          <w:color w:val="auto"/>
          <w:sz w:val="22"/>
          <w:szCs w:val="22"/>
          <w:lang w:val="zh-CN" w:eastAsia="zh-CN"/>
        </w:rPr>
      </w:pPr>
      <w:r>
        <w:rPr>
          <w:rFonts w:hint="eastAsia" w:ascii="宋体" w:hAnsi="宋体" w:eastAsia="宋体" w:cs="宋体"/>
          <w:color w:val="auto"/>
          <w:sz w:val="22"/>
          <w:szCs w:val="22"/>
          <w:lang w:val="zh-CN" w:eastAsia="zh-CN"/>
        </w:rPr>
        <w:t>四、其他安全监管与专项</w:t>
      </w:r>
    </w:p>
    <w:p w14:paraId="55E88249">
      <w:pPr>
        <w:spacing w:line="400" w:lineRule="exact"/>
        <w:ind w:firstLine="420" w:firstLineChars="0"/>
        <w:jc w:val="left"/>
        <w:rPr>
          <w:rFonts w:hint="eastAsia" w:ascii="宋体" w:hAnsi="宋体" w:eastAsia="宋体" w:cs="宋体"/>
          <w:color w:val="auto"/>
          <w:sz w:val="22"/>
          <w:szCs w:val="22"/>
          <w:lang w:val="zh-CN" w:eastAsia="zh-CN"/>
        </w:rPr>
      </w:pPr>
      <w:r>
        <w:rPr>
          <w:rFonts w:hint="eastAsia" w:ascii="宋体" w:hAnsi="宋体" w:eastAsia="宋体" w:cs="宋体"/>
          <w:color w:val="auto"/>
          <w:sz w:val="22"/>
          <w:szCs w:val="22"/>
          <w:lang w:val="zh-CN" w:eastAsia="zh-CN"/>
        </w:rPr>
        <w:t>11、配合街道其他房屋安全隐患相关专项行动，提供技术支持、评估或鉴定文件。</w:t>
      </w:r>
    </w:p>
    <w:p w14:paraId="6F21F84C">
      <w:pPr>
        <w:spacing w:line="400" w:lineRule="exact"/>
        <w:ind w:firstLine="420" w:firstLineChars="0"/>
        <w:jc w:val="left"/>
        <w:rPr>
          <w:rFonts w:hint="eastAsia" w:ascii="宋体" w:hAnsi="宋体" w:eastAsia="宋体" w:cs="宋体"/>
          <w:color w:val="auto"/>
          <w:sz w:val="22"/>
          <w:szCs w:val="22"/>
          <w:lang w:val="zh-CN" w:eastAsia="zh-CN"/>
        </w:rPr>
      </w:pPr>
      <w:r>
        <w:rPr>
          <w:rFonts w:hint="eastAsia" w:ascii="宋体" w:hAnsi="宋体" w:eastAsia="宋体" w:cs="宋体"/>
          <w:color w:val="auto"/>
          <w:sz w:val="22"/>
          <w:szCs w:val="22"/>
          <w:lang w:val="zh-CN" w:eastAsia="zh-CN"/>
        </w:rPr>
        <w:t>五、培训宣传与档案指导</w:t>
      </w:r>
      <w:r>
        <w:rPr>
          <w:rFonts w:hint="eastAsia" w:ascii="宋体" w:hAnsi="宋体" w:eastAsia="宋体" w:cs="宋体"/>
          <w:color w:val="auto"/>
          <w:sz w:val="22"/>
          <w:szCs w:val="22"/>
          <w:lang w:val="zh-CN" w:eastAsia="zh-CN"/>
        </w:rPr>
        <w:tab/>
      </w:r>
    </w:p>
    <w:p w14:paraId="499139AC">
      <w:pPr>
        <w:spacing w:line="400" w:lineRule="exact"/>
        <w:ind w:firstLine="420"/>
        <w:jc w:val="left"/>
        <w:rPr>
          <w:rFonts w:hint="eastAsia" w:ascii="宋体" w:hAnsi="宋体" w:cs="宋体"/>
          <w:color w:val="auto"/>
          <w:sz w:val="22"/>
          <w:szCs w:val="22"/>
          <w:lang w:val="zh-CN"/>
        </w:rPr>
      </w:pPr>
      <w:r>
        <w:rPr>
          <w:rFonts w:hint="eastAsia" w:ascii="宋体" w:hAnsi="宋体" w:eastAsia="宋体" w:cs="宋体"/>
          <w:color w:val="auto"/>
          <w:sz w:val="22"/>
          <w:szCs w:val="22"/>
          <w:lang w:val="zh-CN" w:eastAsia="zh-CN"/>
        </w:rPr>
        <w:t>12、协助街道定期开展房屋安全培训、巡查培训及对公众的宣传教育活动；指导街道、社区完善房屋安全档案及台账建设。</w:t>
      </w:r>
    </w:p>
    <w:p w14:paraId="5053094C">
      <w:pPr>
        <w:spacing w:line="400" w:lineRule="exact"/>
        <w:ind w:firstLine="420"/>
        <w:jc w:val="left"/>
        <w:rPr>
          <w:rFonts w:hint="eastAsia" w:ascii="宋体" w:hAnsi="宋体" w:eastAsia="宋体" w:cs="宋体"/>
          <w:color w:val="auto"/>
          <w:sz w:val="22"/>
          <w:szCs w:val="22"/>
          <w:lang w:val="zh-CN" w:eastAsia="en-US"/>
        </w:rPr>
      </w:pPr>
      <w:r>
        <w:rPr>
          <w:rFonts w:hint="eastAsia" w:ascii="宋体" w:hAnsi="宋体" w:eastAsia="宋体" w:cs="宋体"/>
          <w:b/>
          <w:bCs/>
          <w:color w:val="auto"/>
          <w:sz w:val="22"/>
          <w:szCs w:val="22"/>
          <w:lang w:val="zh-CN"/>
        </w:rPr>
        <w:t>第二条 合同价款</w:t>
      </w:r>
      <w:r>
        <w:rPr>
          <w:rFonts w:hint="eastAsia" w:ascii="宋体" w:hAnsi="宋体" w:eastAsia="宋体" w:cs="宋体"/>
          <w:color w:val="auto"/>
          <w:sz w:val="22"/>
          <w:szCs w:val="22"/>
          <w:lang w:val="zh-CN"/>
        </w:rPr>
        <w:t xml:space="preserve"> </w:t>
      </w:r>
      <w:r>
        <w:rPr>
          <w:rFonts w:hint="eastAsia" w:ascii="宋体" w:hAnsi="宋体" w:eastAsia="宋体" w:cs="宋体"/>
          <w:color w:val="auto"/>
          <w:sz w:val="22"/>
          <w:szCs w:val="22"/>
        </w:rPr>
        <w:t xml:space="preserve"> </w:t>
      </w:r>
      <w:r>
        <w:rPr>
          <w:rFonts w:hint="eastAsia" w:ascii="宋体" w:hAnsi="宋体" w:eastAsia="宋体" w:cs="宋体"/>
          <w:color w:val="auto"/>
          <w:sz w:val="22"/>
          <w:szCs w:val="22"/>
          <w:lang w:val="zh-CN"/>
        </w:rPr>
        <w:t>本合同项下服务总价款为（大写）：人民币</w:t>
      </w:r>
      <w:r>
        <w:rPr>
          <w:rFonts w:hint="eastAsia" w:ascii="宋体" w:hAnsi="宋体" w:eastAsia="宋体" w:cs="宋体"/>
          <w:color w:val="auto"/>
          <w:sz w:val="22"/>
          <w:szCs w:val="22"/>
          <w:u w:val="single"/>
          <w:lang w:val="en-US" w:eastAsia="zh-CN"/>
        </w:rPr>
        <w:t xml:space="preserve">                  </w:t>
      </w:r>
      <w:r>
        <w:rPr>
          <w:rFonts w:hint="eastAsia" w:ascii="宋体" w:hAnsi="宋体" w:eastAsia="宋体" w:cs="宋体"/>
          <w:color w:val="auto"/>
          <w:sz w:val="22"/>
          <w:szCs w:val="22"/>
          <w:lang w:val="en-US" w:eastAsia="zh-CN"/>
        </w:rPr>
        <w:t>元</w:t>
      </w:r>
      <w:r>
        <w:rPr>
          <w:rFonts w:hint="eastAsia" w:ascii="宋体" w:hAnsi="宋体" w:eastAsia="宋体" w:cs="宋体"/>
          <w:color w:val="auto"/>
          <w:sz w:val="22"/>
          <w:szCs w:val="22"/>
          <w:lang w:val="zh-CN"/>
        </w:rPr>
        <w:t>（</w:t>
      </w:r>
      <w:r>
        <w:rPr>
          <w:rFonts w:hint="eastAsia" w:ascii="宋体" w:hAnsi="宋体" w:eastAsia="宋体" w:cs="宋体"/>
          <w:color w:val="auto"/>
          <w:sz w:val="22"/>
          <w:szCs w:val="22"/>
          <w:lang w:val="en-US" w:eastAsia="zh-CN"/>
        </w:rPr>
        <w:t>小写</w:t>
      </w:r>
      <w:r>
        <w:rPr>
          <w:rFonts w:hint="eastAsia" w:ascii="宋体" w:hAnsi="宋体" w:eastAsia="宋体" w:cs="宋体"/>
          <w:color w:val="auto"/>
          <w:sz w:val="22"/>
          <w:szCs w:val="22"/>
          <w:u w:val="single"/>
          <w:lang w:val="en-US" w:eastAsia="zh-CN"/>
        </w:rPr>
        <w:t xml:space="preserve">               </w:t>
      </w:r>
      <w:r>
        <w:rPr>
          <w:rFonts w:hint="eastAsia" w:ascii="宋体" w:hAnsi="宋体" w:eastAsia="宋体" w:cs="宋体"/>
          <w:color w:val="auto"/>
          <w:sz w:val="22"/>
          <w:szCs w:val="22"/>
          <w:lang w:val="en-US" w:eastAsia="zh-CN"/>
        </w:rPr>
        <w:t>元</w:t>
      </w:r>
      <w:r>
        <w:rPr>
          <w:rFonts w:hint="eastAsia" w:ascii="宋体" w:hAnsi="宋体" w:eastAsia="宋体" w:cs="宋体"/>
          <w:color w:val="auto"/>
          <w:sz w:val="22"/>
          <w:szCs w:val="22"/>
          <w:lang w:val="zh-CN"/>
        </w:rPr>
        <w:t>），本合同执行期间合同总价款不变。</w:t>
      </w:r>
      <w:r>
        <w:rPr>
          <w:rFonts w:hint="eastAsia" w:ascii="宋体" w:hAnsi="宋体" w:eastAsia="宋体" w:cs="宋体"/>
          <w:color w:val="auto"/>
          <w:sz w:val="22"/>
          <w:szCs w:val="22"/>
          <w:lang w:val="zh-CN" w:eastAsia="en-US"/>
        </w:rPr>
        <w:t>乙方（含乙方工作人员）在履行合同过程中造成甲方、乙方或其他第三方人身财产损害的，由乙方承担赔偿责任，与甲方无关。</w:t>
      </w:r>
    </w:p>
    <w:p w14:paraId="0C8949D3">
      <w:pPr>
        <w:spacing w:line="400" w:lineRule="exact"/>
        <w:ind w:firstLine="420"/>
        <w:jc w:val="left"/>
        <w:rPr>
          <w:rFonts w:hint="eastAsia" w:ascii="宋体" w:hAnsi="宋体" w:eastAsia="宋体" w:cs="宋体"/>
          <w:color w:val="auto"/>
          <w:sz w:val="22"/>
          <w:szCs w:val="22"/>
          <w:lang w:val="zh-CN"/>
        </w:rPr>
      </w:pPr>
      <w:r>
        <w:rPr>
          <w:rFonts w:hint="eastAsia" w:ascii="宋体" w:hAnsi="宋体" w:eastAsia="宋体" w:cs="宋体"/>
          <w:color w:val="auto"/>
          <w:sz w:val="22"/>
          <w:szCs w:val="22"/>
          <w:lang w:val="zh-CN"/>
        </w:rPr>
        <w:t>本合同总价款是完成本项目所发生的所有含税费用</w:t>
      </w:r>
      <w:r>
        <w:rPr>
          <w:rFonts w:hint="eastAsia" w:ascii="宋体" w:hAnsi="宋体" w:eastAsia="宋体" w:cs="宋体"/>
          <w:color w:val="auto"/>
          <w:sz w:val="22"/>
          <w:szCs w:val="22"/>
          <w:lang w:val="zh-CN" w:eastAsia="en-US"/>
        </w:rPr>
        <w:t>、支付给员工的工资和国家强制缴纳的各种社会保障资金，以及乙方认为需要的其他费用等。本合同价款为含税总价，除本合同另有约定外，乙方不得就本合同约定的服务向甲方主张其他任何费用。</w:t>
      </w:r>
    </w:p>
    <w:p w14:paraId="1B5AF14F">
      <w:pPr>
        <w:spacing w:line="400" w:lineRule="exact"/>
        <w:ind w:firstLine="420"/>
        <w:jc w:val="left"/>
        <w:rPr>
          <w:rFonts w:hint="eastAsia" w:ascii="宋体" w:hAnsi="宋体" w:eastAsia="宋体" w:cs="宋体"/>
          <w:color w:val="auto"/>
          <w:sz w:val="22"/>
          <w:szCs w:val="22"/>
          <w:lang w:val="zh-CN"/>
        </w:rPr>
      </w:pPr>
      <w:r>
        <w:rPr>
          <w:rFonts w:hint="eastAsia" w:ascii="宋体" w:hAnsi="宋体" w:eastAsia="宋体" w:cs="宋体"/>
          <w:b/>
          <w:bCs/>
          <w:color w:val="auto"/>
          <w:sz w:val="22"/>
          <w:szCs w:val="22"/>
          <w:lang w:val="zh-CN"/>
        </w:rPr>
        <w:t>第三条 组成本合同的有关文件</w:t>
      </w:r>
      <w:r>
        <w:rPr>
          <w:rFonts w:hint="eastAsia" w:ascii="宋体" w:hAnsi="宋体" w:eastAsia="宋体" w:cs="宋体"/>
          <w:color w:val="auto"/>
          <w:sz w:val="22"/>
          <w:szCs w:val="22"/>
          <w:lang w:val="zh-CN"/>
        </w:rPr>
        <w:t xml:space="preserve">  下列关于</w:t>
      </w:r>
      <w:r>
        <w:rPr>
          <w:rFonts w:hint="eastAsia" w:ascii="宋体" w:hAnsi="宋体" w:eastAsia="宋体" w:cs="宋体"/>
          <w:color w:val="auto"/>
          <w:sz w:val="22"/>
          <w:szCs w:val="22"/>
          <w:u w:val="single"/>
          <w:lang w:val="en-US" w:eastAsia="zh-CN"/>
        </w:rPr>
        <w:t xml:space="preserve"> </w:t>
      </w:r>
      <w:r>
        <w:rPr>
          <w:rFonts w:hint="eastAsia" w:ascii="宋体" w:hAnsi="宋体" w:eastAsia="宋体" w:cs="宋体"/>
          <w:b w:val="0"/>
          <w:bCs/>
          <w:color w:val="auto"/>
          <w:sz w:val="22"/>
          <w:szCs w:val="22"/>
          <w:u w:val="single"/>
          <w:lang w:eastAsia="zh-CN"/>
        </w:rPr>
        <w:t>东山街道2026年既有建筑安全检测评估服务</w:t>
      </w:r>
      <w:r>
        <w:rPr>
          <w:rFonts w:hint="eastAsia" w:ascii="宋体" w:hAnsi="宋体" w:eastAsia="宋体" w:cs="宋体"/>
          <w:color w:val="auto"/>
          <w:sz w:val="22"/>
          <w:szCs w:val="22"/>
          <w:u w:val="single"/>
          <w:lang w:val="en-US" w:eastAsia="zh-CN"/>
        </w:rPr>
        <w:t xml:space="preserve"> </w:t>
      </w:r>
      <w:r>
        <w:rPr>
          <w:rFonts w:hint="eastAsia" w:ascii="宋体" w:hAnsi="宋体" w:eastAsia="宋体" w:cs="宋体"/>
          <w:color w:val="auto"/>
          <w:sz w:val="22"/>
          <w:szCs w:val="22"/>
          <w:lang w:val="zh-CN"/>
        </w:rPr>
        <w:t>（项目名称）的竞争性磋商文件、乙方响应文件，或与本次采购活动方式相适应的文件，以及有关附件是本合同不可分割的组成部分，与本合同具有同等法律效力，这些文件包括但不限于：</w:t>
      </w:r>
    </w:p>
    <w:p w14:paraId="1205B9A4">
      <w:pPr>
        <w:spacing w:line="400" w:lineRule="exact"/>
        <w:ind w:firstLine="420"/>
        <w:jc w:val="left"/>
        <w:rPr>
          <w:rFonts w:hint="eastAsia" w:ascii="宋体" w:hAnsi="宋体" w:eastAsia="宋体" w:cs="宋体"/>
          <w:color w:val="auto"/>
          <w:sz w:val="22"/>
          <w:szCs w:val="22"/>
          <w:lang w:val="zh-CN"/>
        </w:rPr>
      </w:pPr>
      <w:r>
        <w:rPr>
          <w:rFonts w:hint="eastAsia" w:ascii="宋体" w:hAnsi="宋体" w:eastAsia="宋体" w:cs="宋体"/>
          <w:color w:val="auto"/>
          <w:sz w:val="22"/>
          <w:szCs w:val="22"/>
          <w:lang w:val="zh-CN"/>
        </w:rPr>
        <w:t>（1）乙方提供的响应文件和报价表；</w:t>
      </w:r>
    </w:p>
    <w:p w14:paraId="5D8C464D">
      <w:pPr>
        <w:spacing w:line="400" w:lineRule="exact"/>
        <w:ind w:firstLine="420"/>
        <w:jc w:val="left"/>
        <w:rPr>
          <w:rFonts w:hint="eastAsia" w:ascii="宋体" w:hAnsi="宋体" w:eastAsia="宋体" w:cs="宋体"/>
          <w:color w:val="auto"/>
          <w:sz w:val="22"/>
          <w:szCs w:val="22"/>
          <w:lang w:val="zh-CN"/>
        </w:rPr>
      </w:pPr>
      <w:r>
        <w:rPr>
          <w:rFonts w:hint="eastAsia" w:ascii="宋体" w:hAnsi="宋体" w:eastAsia="宋体" w:cs="宋体"/>
          <w:color w:val="auto"/>
          <w:sz w:val="22"/>
          <w:szCs w:val="22"/>
          <w:lang w:val="zh-CN"/>
        </w:rPr>
        <w:t>（2）技术偏离表；</w:t>
      </w:r>
    </w:p>
    <w:p w14:paraId="37BDAF86">
      <w:pPr>
        <w:spacing w:line="400" w:lineRule="exact"/>
        <w:ind w:firstLine="420"/>
        <w:jc w:val="left"/>
        <w:rPr>
          <w:rFonts w:hint="eastAsia" w:ascii="宋体" w:hAnsi="宋体" w:eastAsia="宋体" w:cs="宋体"/>
          <w:color w:val="auto"/>
          <w:sz w:val="22"/>
          <w:szCs w:val="22"/>
          <w:lang w:val="zh-CN"/>
        </w:rPr>
      </w:pPr>
      <w:r>
        <w:rPr>
          <w:rFonts w:hint="eastAsia" w:ascii="宋体" w:hAnsi="宋体" w:eastAsia="宋体" w:cs="宋体"/>
          <w:color w:val="auto"/>
          <w:sz w:val="22"/>
          <w:szCs w:val="22"/>
          <w:lang w:val="zh-CN"/>
        </w:rPr>
        <w:t>（3）磋商承诺/服务承诺；</w:t>
      </w:r>
    </w:p>
    <w:p w14:paraId="0219B9AF">
      <w:pPr>
        <w:spacing w:line="400" w:lineRule="exact"/>
        <w:ind w:firstLine="420"/>
        <w:jc w:val="left"/>
        <w:rPr>
          <w:rFonts w:hint="eastAsia" w:ascii="宋体" w:hAnsi="宋体" w:eastAsia="宋体" w:cs="宋体"/>
          <w:color w:val="auto"/>
          <w:sz w:val="22"/>
          <w:szCs w:val="22"/>
          <w:lang w:val="zh-CN"/>
        </w:rPr>
      </w:pPr>
      <w:r>
        <w:rPr>
          <w:rFonts w:hint="eastAsia" w:ascii="宋体" w:hAnsi="宋体" w:eastAsia="宋体" w:cs="宋体"/>
          <w:color w:val="auto"/>
          <w:sz w:val="22"/>
          <w:szCs w:val="22"/>
          <w:lang w:val="zh-CN"/>
        </w:rPr>
        <w:t>（4）成交通知书；</w:t>
      </w:r>
    </w:p>
    <w:p w14:paraId="4517D0C0">
      <w:pPr>
        <w:spacing w:line="400" w:lineRule="exact"/>
        <w:ind w:firstLine="420"/>
        <w:jc w:val="left"/>
        <w:rPr>
          <w:rFonts w:hint="eastAsia" w:ascii="宋体" w:hAnsi="宋体" w:eastAsia="宋体" w:cs="宋体"/>
          <w:color w:val="auto"/>
          <w:sz w:val="22"/>
          <w:szCs w:val="22"/>
          <w:lang w:val="zh-CN"/>
        </w:rPr>
      </w:pPr>
      <w:r>
        <w:rPr>
          <w:rFonts w:hint="eastAsia" w:ascii="宋体" w:hAnsi="宋体" w:eastAsia="宋体" w:cs="宋体"/>
          <w:color w:val="auto"/>
          <w:sz w:val="22"/>
          <w:szCs w:val="22"/>
          <w:lang w:val="zh-CN"/>
        </w:rPr>
        <w:t>（5）甲乙双方商定的其他文件等。</w:t>
      </w:r>
    </w:p>
    <w:p w14:paraId="5428CA37">
      <w:pPr>
        <w:spacing w:line="400" w:lineRule="exact"/>
        <w:ind w:firstLine="420"/>
        <w:jc w:val="left"/>
        <w:rPr>
          <w:rFonts w:hint="eastAsia" w:ascii="宋体" w:hAnsi="宋体" w:eastAsia="宋体" w:cs="宋体"/>
          <w:color w:val="auto"/>
          <w:sz w:val="22"/>
          <w:szCs w:val="22"/>
          <w:lang w:val="zh-CN" w:eastAsia="zh-CN"/>
        </w:rPr>
      </w:pPr>
      <w:r>
        <w:rPr>
          <w:rFonts w:hint="eastAsia" w:ascii="宋体" w:hAnsi="宋体" w:eastAsia="宋体" w:cs="宋体"/>
          <w:color w:val="auto"/>
          <w:sz w:val="22"/>
          <w:szCs w:val="22"/>
          <w:lang w:val="zh-CN"/>
        </w:rPr>
        <w:t>文件内容冲突时的适用顺序</w:t>
      </w:r>
      <w:r>
        <w:rPr>
          <w:rFonts w:hint="eastAsia" w:ascii="宋体" w:hAnsi="宋体" w:eastAsia="宋体" w:cs="宋体"/>
          <w:color w:val="auto"/>
          <w:sz w:val="22"/>
          <w:szCs w:val="22"/>
          <w:lang w:val="zh-CN" w:eastAsia="zh-CN"/>
        </w:rPr>
        <w:t>：成交通知书、技术偏离表、乙方提供的响应文件和报价表、磋商承诺/服务承诺、甲乙双方商定的其他文件等。</w:t>
      </w:r>
    </w:p>
    <w:p w14:paraId="4E4AAD97">
      <w:pPr>
        <w:spacing w:line="400" w:lineRule="exact"/>
        <w:ind w:firstLine="420"/>
        <w:jc w:val="left"/>
        <w:rPr>
          <w:rFonts w:hint="eastAsia" w:ascii="宋体" w:hAnsi="宋体" w:eastAsia="宋体" w:cs="宋体"/>
          <w:b/>
          <w:bCs/>
          <w:color w:val="auto"/>
          <w:sz w:val="22"/>
          <w:szCs w:val="22"/>
          <w:lang w:val="zh-CN" w:eastAsia="zh-CN"/>
        </w:rPr>
      </w:pPr>
      <w:r>
        <w:rPr>
          <w:rFonts w:hint="eastAsia" w:ascii="宋体" w:hAnsi="宋体" w:eastAsia="宋体" w:cs="宋体"/>
          <w:b/>
          <w:bCs/>
          <w:color w:val="auto"/>
          <w:sz w:val="22"/>
          <w:szCs w:val="22"/>
          <w:lang w:val="zh-CN"/>
        </w:rPr>
        <w:t>第四条</w:t>
      </w:r>
      <w:r>
        <w:rPr>
          <w:rFonts w:hint="eastAsia" w:ascii="宋体" w:hAnsi="宋体" w:eastAsia="宋体" w:cs="宋体"/>
          <w:b/>
          <w:bCs/>
          <w:color w:val="auto"/>
          <w:sz w:val="22"/>
          <w:szCs w:val="22"/>
          <w:lang w:val="zh-CN" w:eastAsia="zh-CN"/>
        </w:rPr>
        <w:t xml:space="preserve"> 服务期限</w:t>
      </w:r>
    </w:p>
    <w:p w14:paraId="503809EF">
      <w:pPr>
        <w:spacing w:line="400" w:lineRule="exact"/>
        <w:ind w:firstLine="420"/>
        <w:jc w:val="left"/>
        <w:rPr>
          <w:rFonts w:hint="eastAsia" w:ascii="宋体" w:hAnsi="宋体" w:eastAsia="宋体" w:cs="宋体"/>
          <w:color w:val="auto"/>
          <w:sz w:val="22"/>
          <w:szCs w:val="22"/>
          <w:lang w:val="zh-CN" w:eastAsia="zh-CN"/>
        </w:rPr>
      </w:pPr>
      <w:r>
        <w:rPr>
          <w:rFonts w:hint="eastAsia" w:ascii="宋体" w:hAnsi="宋体" w:eastAsia="宋体" w:cs="宋体"/>
          <w:color w:val="auto"/>
          <w:sz w:val="22"/>
          <w:szCs w:val="22"/>
          <w:lang w:val="zh-CN" w:eastAsia="zh-CN"/>
        </w:rPr>
        <w:t>一年，服务期限自</w:t>
      </w:r>
      <w:r>
        <w:rPr>
          <w:rFonts w:hint="eastAsia" w:ascii="宋体" w:hAnsi="宋体" w:eastAsia="宋体" w:cs="宋体"/>
          <w:color w:val="auto"/>
          <w:sz w:val="22"/>
          <w:szCs w:val="22"/>
          <w:u w:val="single"/>
          <w:lang w:val="zh-CN"/>
        </w:rPr>
        <w:t xml:space="preserve">  </w:t>
      </w:r>
      <w:r>
        <w:rPr>
          <w:rFonts w:hint="eastAsia" w:ascii="宋体" w:hAnsi="宋体" w:eastAsia="宋体" w:cs="宋体"/>
          <w:color w:val="auto"/>
          <w:sz w:val="22"/>
          <w:szCs w:val="22"/>
          <w:lang w:val="zh-CN"/>
        </w:rPr>
        <w:t>年</w:t>
      </w:r>
      <w:r>
        <w:rPr>
          <w:rFonts w:hint="eastAsia" w:ascii="宋体" w:hAnsi="宋体" w:eastAsia="宋体" w:cs="宋体"/>
          <w:color w:val="auto"/>
          <w:sz w:val="22"/>
          <w:szCs w:val="22"/>
          <w:u w:val="single"/>
          <w:lang w:val="en-US" w:eastAsia="zh-CN"/>
        </w:rPr>
        <w:t xml:space="preserve">    </w:t>
      </w:r>
      <w:r>
        <w:rPr>
          <w:rFonts w:hint="eastAsia" w:ascii="宋体" w:hAnsi="宋体" w:eastAsia="宋体" w:cs="宋体"/>
          <w:color w:val="auto"/>
          <w:sz w:val="22"/>
          <w:szCs w:val="22"/>
          <w:lang w:val="zh-CN"/>
        </w:rPr>
        <w:t>月</w:t>
      </w:r>
      <w:r>
        <w:rPr>
          <w:rFonts w:hint="eastAsia" w:ascii="宋体" w:hAnsi="宋体" w:eastAsia="宋体" w:cs="宋体"/>
          <w:color w:val="auto"/>
          <w:sz w:val="22"/>
          <w:szCs w:val="22"/>
          <w:u w:val="single"/>
          <w:lang w:val="en-US" w:eastAsia="zh-CN"/>
        </w:rPr>
        <w:t xml:space="preserve">    </w:t>
      </w:r>
      <w:r>
        <w:rPr>
          <w:rFonts w:hint="eastAsia" w:ascii="宋体" w:hAnsi="宋体" w:eastAsia="宋体" w:cs="宋体"/>
          <w:color w:val="auto"/>
          <w:sz w:val="22"/>
          <w:szCs w:val="22"/>
          <w:lang w:val="zh-CN"/>
        </w:rPr>
        <w:t>日起至</w:t>
      </w:r>
      <w:r>
        <w:rPr>
          <w:rFonts w:hint="eastAsia" w:ascii="宋体" w:hAnsi="宋体" w:eastAsia="宋体" w:cs="宋体"/>
          <w:color w:val="auto"/>
          <w:sz w:val="22"/>
          <w:szCs w:val="22"/>
          <w:u w:val="single"/>
          <w:lang w:val="zh-CN"/>
        </w:rPr>
        <w:t xml:space="preserve">  </w:t>
      </w:r>
      <w:r>
        <w:rPr>
          <w:rFonts w:hint="eastAsia" w:ascii="宋体" w:hAnsi="宋体" w:eastAsia="宋体" w:cs="宋体"/>
          <w:color w:val="auto"/>
          <w:sz w:val="22"/>
          <w:szCs w:val="22"/>
          <w:lang w:val="zh-CN"/>
        </w:rPr>
        <w:t>年</w:t>
      </w:r>
      <w:r>
        <w:rPr>
          <w:rFonts w:hint="eastAsia" w:ascii="宋体" w:hAnsi="宋体" w:eastAsia="宋体" w:cs="宋体"/>
          <w:color w:val="auto"/>
          <w:sz w:val="22"/>
          <w:szCs w:val="22"/>
          <w:u w:val="single"/>
          <w:lang w:val="en-US" w:eastAsia="zh-CN"/>
        </w:rPr>
        <w:t xml:space="preserve">    </w:t>
      </w:r>
      <w:r>
        <w:rPr>
          <w:rFonts w:hint="eastAsia" w:ascii="宋体" w:hAnsi="宋体" w:eastAsia="宋体" w:cs="宋体"/>
          <w:color w:val="auto"/>
          <w:sz w:val="22"/>
          <w:szCs w:val="22"/>
          <w:lang w:val="zh-CN"/>
        </w:rPr>
        <w:t>月</w:t>
      </w:r>
      <w:r>
        <w:rPr>
          <w:rFonts w:hint="eastAsia" w:ascii="宋体" w:hAnsi="宋体" w:eastAsia="宋体" w:cs="宋体"/>
          <w:color w:val="auto"/>
          <w:sz w:val="22"/>
          <w:szCs w:val="22"/>
          <w:u w:val="single"/>
          <w:lang w:val="en-US" w:eastAsia="zh-CN"/>
        </w:rPr>
        <w:t xml:space="preserve">  </w:t>
      </w:r>
      <w:r>
        <w:rPr>
          <w:rFonts w:hint="eastAsia" w:ascii="宋体" w:hAnsi="宋体" w:eastAsia="宋体" w:cs="宋体"/>
          <w:color w:val="auto"/>
          <w:sz w:val="22"/>
          <w:szCs w:val="22"/>
          <w:lang w:val="zh-CN"/>
        </w:rPr>
        <w:t>日止，乙方应当在此期限内完成采购文件的全部内容。</w:t>
      </w:r>
    </w:p>
    <w:p w14:paraId="7B3F0FF0">
      <w:pPr>
        <w:spacing w:line="400" w:lineRule="exact"/>
        <w:ind w:firstLine="420"/>
        <w:jc w:val="left"/>
        <w:rPr>
          <w:rFonts w:hint="eastAsia" w:ascii="宋体" w:hAnsi="宋体" w:eastAsia="宋体" w:cs="宋体"/>
          <w:b/>
          <w:bCs/>
          <w:color w:val="auto"/>
          <w:sz w:val="22"/>
          <w:szCs w:val="22"/>
          <w:lang w:val="zh-CN"/>
        </w:rPr>
      </w:pPr>
      <w:r>
        <w:rPr>
          <w:rFonts w:hint="eastAsia" w:ascii="宋体" w:hAnsi="宋体" w:eastAsia="宋体" w:cs="宋体"/>
          <w:b/>
          <w:bCs/>
          <w:color w:val="auto"/>
          <w:sz w:val="22"/>
          <w:szCs w:val="22"/>
          <w:lang w:val="zh-CN"/>
        </w:rPr>
        <w:t>第五条 权利保证</w:t>
      </w:r>
    </w:p>
    <w:p w14:paraId="0328660B">
      <w:pPr>
        <w:spacing w:line="400" w:lineRule="exact"/>
        <w:ind w:firstLine="420"/>
        <w:jc w:val="left"/>
        <w:rPr>
          <w:rFonts w:hint="eastAsia" w:ascii="宋体" w:hAnsi="宋体" w:eastAsia="宋体" w:cs="宋体"/>
          <w:color w:val="auto"/>
          <w:sz w:val="22"/>
          <w:szCs w:val="22"/>
          <w:lang w:val="zh-CN"/>
        </w:rPr>
      </w:pPr>
      <w:r>
        <w:rPr>
          <w:rFonts w:hint="eastAsia" w:ascii="宋体" w:hAnsi="宋体" w:eastAsia="宋体" w:cs="宋体"/>
          <w:color w:val="auto"/>
          <w:sz w:val="22"/>
          <w:szCs w:val="22"/>
          <w:lang w:val="zh-CN"/>
        </w:rPr>
        <w:t>乙方应保证甲方在使用该服务或其任何一部分时不受第三方提出侵犯其专利权、版权、商标权或其他权利的起诉。一旦出现侵权，乙方应承担全部责任，并赔偿因此给甲方造成的全部损失，本合同中，甲方的损失均指甲方的全部损失，包括但不限于甲方的直接、间接损失，以及因依法维权产生的律师费，保全费，公证费，差旅费等。甲方有权在应付乙方费用中直接扣除前述违约金或赔偿金等。</w:t>
      </w:r>
    </w:p>
    <w:p w14:paraId="6AAFDB6F">
      <w:pPr>
        <w:spacing w:line="400" w:lineRule="exact"/>
        <w:ind w:firstLine="420"/>
        <w:jc w:val="left"/>
        <w:rPr>
          <w:rFonts w:hint="eastAsia" w:ascii="宋体" w:hAnsi="宋体" w:eastAsia="宋体" w:cs="宋体"/>
          <w:b/>
          <w:bCs/>
          <w:color w:val="auto"/>
          <w:sz w:val="22"/>
          <w:szCs w:val="22"/>
          <w:lang w:val="zh-CN"/>
        </w:rPr>
      </w:pPr>
      <w:r>
        <w:rPr>
          <w:rFonts w:hint="eastAsia" w:ascii="宋体" w:hAnsi="宋体" w:eastAsia="宋体" w:cs="宋体"/>
          <w:b/>
          <w:bCs/>
          <w:color w:val="auto"/>
          <w:sz w:val="22"/>
          <w:szCs w:val="22"/>
          <w:lang w:val="zh-CN"/>
        </w:rPr>
        <w:t>第六条 质量保证</w:t>
      </w:r>
    </w:p>
    <w:p w14:paraId="1D91A6BE">
      <w:pPr>
        <w:spacing w:line="400" w:lineRule="exact"/>
        <w:ind w:firstLine="420"/>
        <w:jc w:val="left"/>
        <w:rPr>
          <w:rFonts w:hint="eastAsia" w:ascii="宋体" w:hAnsi="宋体" w:eastAsia="宋体" w:cs="宋体"/>
          <w:color w:val="auto"/>
          <w:sz w:val="22"/>
          <w:szCs w:val="22"/>
          <w:lang w:val="zh-CN"/>
        </w:rPr>
      </w:pPr>
      <w:r>
        <w:rPr>
          <w:rFonts w:hint="eastAsia" w:ascii="宋体" w:hAnsi="宋体" w:eastAsia="宋体" w:cs="宋体"/>
          <w:color w:val="auto"/>
          <w:sz w:val="22"/>
          <w:szCs w:val="22"/>
          <w:lang w:val="zh-CN"/>
        </w:rPr>
        <w:t xml:space="preserve">乙方提供的服务必须全部达到采购文件各项要求，国家或行业有规定的，还要符合相应规定。 </w:t>
      </w:r>
    </w:p>
    <w:p w14:paraId="4255263D">
      <w:pPr>
        <w:keepNext w:val="0"/>
        <w:keepLines w:val="0"/>
        <w:pageBreakBefore w:val="0"/>
        <w:widowControl w:val="0"/>
        <w:spacing w:after="0" w:line="400" w:lineRule="exact"/>
        <w:ind w:firstLine="420"/>
        <w:jc w:val="left"/>
        <w:rPr>
          <w:rFonts w:hint="eastAsia" w:ascii="宋体" w:hAnsi="宋体" w:eastAsia="宋体" w:cs="宋体"/>
          <w:b/>
          <w:bCs/>
          <w:color w:val="auto"/>
          <w:sz w:val="22"/>
          <w:szCs w:val="22"/>
          <w:lang w:val="zh-CN"/>
        </w:rPr>
      </w:pPr>
      <w:r>
        <w:rPr>
          <w:rFonts w:hint="eastAsia" w:ascii="宋体" w:hAnsi="宋体" w:eastAsia="宋体" w:cs="宋体"/>
          <w:b/>
          <w:bCs/>
          <w:color w:val="auto"/>
          <w:sz w:val="22"/>
          <w:szCs w:val="22"/>
          <w:lang w:val="zh-CN"/>
        </w:rPr>
        <w:t>第七条 考核标准与付款条件</w:t>
      </w:r>
    </w:p>
    <w:p w14:paraId="0773FCC2">
      <w:pPr>
        <w:spacing w:line="400" w:lineRule="exact"/>
        <w:ind w:firstLine="420"/>
        <w:jc w:val="left"/>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1、考核标准：采购人按月对供应商进行考核，考核表见附件一，并根据考核结果计算应付检测费，具体如下：</w:t>
      </w:r>
    </w:p>
    <w:p w14:paraId="3D86DB4C">
      <w:pPr>
        <w:spacing w:line="400" w:lineRule="exact"/>
        <w:ind w:firstLine="420"/>
        <w:jc w:val="left"/>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（1）月考核得分大于等于90 分核定为优，按100%计取当月检测服务费；</w:t>
      </w:r>
    </w:p>
    <w:p w14:paraId="2959FC5D">
      <w:pPr>
        <w:spacing w:line="400" w:lineRule="exact"/>
        <w:ind w:firstLine="420"/>
        <w:jc w:val="left"/>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（2）月考核得分大于等于 80 分小于 90 分核定为良，按90%计取当月检测服务费；</w:t>
      </w:r>
    </w:p>
    <w:p w14:paraId="52840E26">
      <w:pPr>
        <w:spacing w:line="400" w:lineRule="exact"/>
        <w:ind w:firstLine="420"/>
        <w:jc w:val="left"/>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（3）月考核得分大于等于 70 分小于 80 分核定为合格，按80%计取当月检测服务费；</w:t>
      </w:r>
    </w:p>
    <w:p w14:paraId="63EAEA34">
      <w:pPr>
        <w:spacing w:line="400" w:lineRule="exact"/>
        <w:ind w:firstLine="420"/>
        <w:jc w:val="left"/>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（4）月考核得分小于 70 分当月考核不合格，不支付当月检测服务费并给予警告一次。累计两个月考核为不合格，甲方有权立即解除服务合同并不再续签下一年度服务合同。</w:t>
      </w:r>
    </w:p>
    <w:p w14:paraId="6A2D3146">
      <w:pPr>
        <w:pageBreakBefore w:val="0"/>
        <w:widowControl w:val="0"/>
        <w:numPr>
          <w:ilvl w:val="0"/>
          <w:numId w:val="0"/>
        </w:numPr>
        <w:spacing w:line="360" w:lineRule="auto"/>
        <w:ind w:firstLine="420"/>
        <w:rPr>
          <w:rFonts w:hint="eastAsia" w:ascii="宋体" w:hAnsi="宋体" w:eastAsia="宋体" w:cs="宋体"/>
          <w:b w:val="0"/>
          <w:bCs w:val="0"/>
          <w:i w:val="0"/>
          <w:iCs w:val="0"/>
          <w:color w:val="auto"/>
          <w:sz w:val="22"/>
          <w:szCs w:val="22"/>
          <w:highlight w:val="none"/>
          <w:u w:val="none"/>
          <w:lang w:val="en-US" w:eastAsia="zh-CN" w:bidi="ar"/>
        </w:rPr>
      </w:pPr>
      <w:r>
        <w:rPr>
          <w:rFonts w:hint="eastAsia" w:ascii="宋体" w:hAnsi="宋体" w:eastAsia="宋体" w:cs="宋体"/>
          <w:b w:val="0"/>
          <w:bCs w:val="0"/>
          <w:i w:val="0"/>
          <w:iCs w:val="0"/>
          <w:color w:val="auto"/>
          <w:sz w:val="22"/>
          <w:szCs w:val="22"/>
          <w:highlight w:val="none"/>
          <w:u w:val="none"/>
          <w:lang w:val="en-US" w:eastAsia="zh-CN" w:bidi="ar"/>
        </w:rPr>
        <w:t>2、付款方式：</w:t>
      </w:r>
    </w:p>
    <w:p w14:paraId="11099DF3">
      <w:pPr>
        <w:autoSpaceDE w:val="0"/>
        <w:autoSpaceDN w:val="0"/>
        <w:adjustRightInd w:val="0"/>
        <w:spacing w:line="360" w:lineRule="auto"/>
        <w:ind w:firstLine="431" w:firstLineChars="196"/>
        <w:rPr>
          <w:rFonts w:hint="eastAsia" w:ascii="宋体" w:hAnsi="宋体" w:eastAsia="宋体" w:cs="宋体"/>
          <w:color w:val="auto"/>
          <w:kern w:val="0"/>
          <w:sz w:val="22"/>
          <w:szCs w:val="22"/>
          <w:highlight w:val="none"/>
          <w:lang w:val="zh-CN" w:eastAsia="zh-CN"/>
        </w:rPr>
      </w:pPr>
      <w:r>
        <w:rPr>
          <w:rFonts w:hint="eastAsia" w:ascii="宋体" w:hAnsi="宋体" w:eastAsia="宋体" w:cs="宋体"/>
          <w:color w:val="auto"/>
          <w:kern w:val="0"/>
          <w:sz w:val="22"/>
          <w:szCs w:val="22"/>
          <w:highlight w:val="none"/>
          <w:lang w:val="zh-CN" w:eastAsia="zh-CN"/>
        </w:rPr>
        <w:t>（</w:t>
      </w:r>
      <w:r>
        <w:rPr>
          <w:rFonts w:hint="eastAsia" w:ascii="宋体" w:hAnsi="宋体" w:eastAsia="宋体" w:cs="宋体"/>
          <w:color w:val="auto"/>
          <w:kern w:val="0"/>
          <w:sz w:val="22"/>
          <w:szCs w:val="22"/>
          <w:highlight w:val="none"/>
          <w:lang w:val="en-US" w:eastAsia="zh-CN"/>
        </w:rPr>
        <w:t>1</w:t>
      </w:r>
      <w:r>
        <w:rPr>
          <w:rFonts w:hint="eastAsia" w:ascii="宋体" w:hAnsi="宋体" w:eastAsia="宋体" w:cs="宋体"/>
          <w:color w:val="auto"/>
          <w:kern w:val="0"/>
          <w:sz w:val="22"/>
          <w:szCs w:val="22"/>
          <w:highlight w:val="none"/>
          <w:lang w:val="zh-CN" w:eastAsia="zh-CN"/>
        </w:rPr>
        <w:t>）本合同项下所有款项均以人民币支付。</w:t>
      </w:r>
    </w:p>
    <w:p w14:paraId="4BD3493D">
      <w:pPr>
        <w:autoSpaceDE w:val="0"/>
        <w:autoSpaceDN w:val="0"/>
        <w:adjustRightInd w:val="0"/>
        <w:spacing w:line="360" w:lineRule="auto"/>
        <w:ind w:firstLine="431" w:firstLineChars="196"/>
        <w:rPr>
          <w:rFonts w:hint="eastAsia" w:ascii="宋体" w:hAnsi="宋体" w:eastAsia="宋体" w:cs="宋体"/>
          <w:color w:val="auto"/>
          <w:kern w:val="0"/>
          <w:sz w:val="22"/>
          <w:szCs w:val="22"/>
          <w:highlight w:val="none"/>
          <w:lang w:val="zh-CN" w:eastAsia="zh-CN"/>
        </w:rPr>
      </w:pPr>
      <w:r>
        <w:rPr>
          <w:rFonts w:hint="eastAsia" w:ascii="宋体" w:hAnsi="宋体" w:eastAsia="宋体" w:cs="宋体"/>
          <w:color w:val="auto"/>
          <w:kern w:val="0"/>
          <w:sz w:val="22"/>
          <w:szCs w:val="22"/>
          <w:highlight w:val="none"/>
          <w:lang w:val="zh-CN" w:eastAsia="zh-CN"/>
        </w:rPr>
        <w:t>（</w:t>
      </w:r>
      <w:r>
        <w:rPr>
          <w:rFonts w:hint="eastAsia" w:ascii="宋体" w:hAnsi="宋体" w:eastAsia="宋体" w:cs="宋体"/>
          <w:color w:val="auto"/>
          <w:kern w:val="0"/>
          <w:sz w:val="22"/>
          <w:szCs w:val="22"/>
          <w:highlight w:val="none"/>
          <w:lang w:val="en-US" w:eastAsia="zh-CN"/>
        </w:rPr>
        <w:t>2</w:t>
      </w:r>
      <w:r>
        <w:rPr>
          <w:rFonts w:hint="eastAsia" w:ascii="宋体" w:hAnsi="宋体" w:eastAsia="宋体" w:cs="宋体"/>
          <w:color w:val="auto"/>
          <w:kern w:val="0"/>
          <w:sz w:val="22"/>
          <w:szCs w:val="22"/>
          <w:highlight w:val="none"/>
          <w:lang w:val="zh-CN" w:eastAsia="zh-CN"/>
        </w:rPr>
        <w:t>）本合同项下的采购资金由甲方自行支付，乙方向甲方开具增值税专用发票，税率为</w:t>
      </w:r>
      <w:r>
        <w:rPr>
          <w:rFonts w:hint="eastAsia" w:ascii="宋体" w:hAnsi="宋体" w:eastAsia="宋体" w:cs="宋体"/>
          <w:color w:val="auto"/>
          <w:kern w:val="0"/>
          <w:sz w:val="22"/>
          <w:szCs w:val="22"/>
          <w:highlight w:val="none"/>
          <w:lang w:val="en-US" w:eastAsia="zh-CN"/>
        </w:rPr>
        <w:t>6%</w:t>
      </w:r>
      <w:r>
        <w:rPr>
          <w:rFonts w:hint="eastAsia" w:ascii="宋体" w:hAnsi="宋体" w:eastAsia="宋体" w:cs="宋体"/>
          <w:color w:val="auto"/>
          <w:kern w:val="0"/>
          <w:sz w:val="22"/>
          <w:szCs w:val="22"/>
          <w:highlight w:val="none"/>
          <w:lang w:val="zh-CN" w:eastAsia="zh-CN"/>
        </w:rPr>
        <w:t>。</w:t>
      </w:r>
      <w:r>
        <w:rPr>
          <w:rFonts w:hint="eastAsia" w:ascii="宋体" w:hAnsi="宋体" w:eastAsia="宋体" w:cs="宋体"/>
          <w:color w:val="auto"/>
          <w:kern w:val="0"/>
          <w:sz w:val="22"/>
          <w:szCs w:val="22"/>
          <w:highlight w:val="none"/>
          <w:lang w:val="en-US" w:eastAsia="zh-CN"/>
        </w:rPr>
        <w:t>甲方每次向乙方付款前，乙方应提供合法有效的发票，如乙方未提供或提供的发票不符合甲方要求的，甲方有权不予付款且不视甲方违约，乙方仍应继续履行本合同项下相关义务。</w:t>
      </w:r>
    </w:p>
    <w:p w14:paraId="03CCA015">
      <w:pPr>
        <w:autoSpaceDE w:val="0"/>
        <w:autoSpaceDN w:val="0"/>
        <w:adjustRightInd w:val="0"/>
        <w:spacing w:line="360" w:lineRule="auto"/>
        <w:ind w:firstLine="431" w:firstLineChars="196"/>
        <w:rPr>
          <w:rFonts w:hint="eastAsia" w:ascii="宋体" w:hAnsi="宋体" w:eastAsia="宋体" w:cs="宋体"/>
          <w:color w:val="auto"/>
          <w:kern w:val="0"/>
          <w:sz w:val="22"/>
          <w:szCs w:val="22"/>
          <w:highlight w:val="none"/>
          <w:lang w:val="en-US" w:eastAsia="zh-CN"/>
        </w:rPr>
      </w:pPr>
      <w:r>
        <w:rPr>
          <w:rFonts w:hint="eastAsia" w:ascii="宋体" w:hAnsi="宋体" w:eastAsia="宋体" w:cs="宋体"/>
          <w:color w:val="auto"/>
          <w:kern w:val="0"/>
          <w:sz w:val="22"/>
          <w:szCs w:val="22"/>
          <w:highlight w:val="none"/>
          <w:lang w:val="en-US" w:eastAsia="zh-CN"/>
        </w:rPr>
        <w:t>（3）每半年度支付。每半年度检测服务结束后，甲方根据</w:t>
      </w:r>
      <w:r>
        <w:rPr>
          <w:rFonts w:hint="eastAsia" w:ascii="Segoe UI" w:hAnsi="Segoe UI" w:eastAsia="宋体" w:cs="Segoe UI"/>
          <w:i w:val="0"/>
          <w:iCs w:val="0"/>
          <w:caps w:val="0"/>
          <w:color w:val="0F1115"/>
          <w:spacing w:val="0"/>
          <w:sz w:val="24"/>
          <w:szCs w:val="24"/>
          <w:highlight w:val="none"/>
          <w:shd w:val="clear" w:fill="FFFFFF"/>
          <w:lang w:val="en-US" w:eastAsia="zh-CN"/>
        </w:rPr>
        <w:t>完成工作量及</w:t>
      </w:r>
      <w:r>
        <w:rPr>
          <w:rFonts w:hint="eastAsia" w:ascii="宋体" w:hAnsi="宋体" w:eastAsia="宋体" w:cs="宋体"/>
          <w:color w:val="auto"/>
          <w:kern w:val="0"/>
          <w:sz w:val="22"/>
          <w:szCs w:val="22"/>
          <w:highlight w:val="none"/>
          <w:lang w:val="en-US" w:eastAsia="zh-CN"/>
        </w:rPr>
        <w:t>考核结果向乙方支付该半年度应付检测费的80%。</w:t>
      </w:r>
    </w:p>
    <w:p w14:paraId="78495EC2">
      <w:pPr>
        <w:autoSpaceDE w:val="0"/>
        <w:autoSpaceDN w:val="0"/>
        <w:adjustRightInd w:val="0"/>
        <w:spacing w:line="360" w:lineRule="auto"/>
        <w:ind w:firstLine="431" w:firstLineChars="196"/>
        <w:rPr>
          <w:rFonts w:hint="eastAsia" w:ascii="宋体" w:hAnsi="宋体" w:eastAsia="宋体" w:cs="宋体"/>
          <w:color w:val="auto"/>
          <w:kern w:val="0"/>
          <w:sz w:val="22"/>
          <w:szCs w:val="22"/>
          <w:highlight w:val="none"/>
          <w:lang w:val="en-US" w:eastAsia="zh-CN"/>
        </w:rPr>
      </w:pPr>
      <w:r>
        <w:rPr>
          <w:rFonts w:hint="eastAsia" w:ascii="宋体" w:hAnsi="宋体" w:eastAsia="宋体" w:cs="宋体"/>
          <w:color w:val="auto"/>
          <w:kern w:val="0"/>
          <w:sz w:val="22"/>
          <w:szCs w:val="22"/>
          <w:highlight w:val="none"/>
          <w:lang w:val="en-US" w:eastAsia="zh-CN"/>
        </w:rPr>
        <w:t>（4）余款待审计结束后，付清至审定价款。</w:t>
      </w:r>
    </w:p>
    <w:p w14:paraId="1A606991">
      <w:pPr>
        <w:widowControl/>
        <w:spacing w:line="360" w:lineRule="auto"/>
        <w:ind w:firstLine="420"/>
        <w:jc w:val="left"/>
        <w:rPr>
          <w:rFonts w:hint="eastAsia" w:ascii="宋体" w:hAnsi="宋体" w:eastAsia="宋体" w:cs="宋体"/>
          <w:sz w:val="22"/>
          <w:szCs w:val="22"/>
          <w:lang w:val="zh-CN" w:eastAsia="zh-CN"/>
        </w:rPr>
      </w:pPr>
      <w:r>
        <w:rPr>
          <w:rFonts w:hint="eastAsia" w:ascii="宋体" w:hAnsi="宋体" w:eastAsia="宋体" w:cs="宋体"/>
          <w:sz w:val="22"/>
          <w:szCs w:val="22"/>
          <w:lang w:val="en-US" w:eastAsia="zh-CN"/>
        </w:rPr>
        <w:t>3、</w:t>
      </w:r>
      <w:r>
        <w:rPr>
          <w:rFonts w:hint="eastAsia" w:ascii="宋体" w:hAnsi="宋体" w:eastAsia="宋体" w:cs="宋体"/>
          <w:sz w:val="22"/>
          <w:szCs w:val="22"/>
          <w:lang w:val="zh-CN" w:eastAsia="zh-CN"/>
        </w:rPr>
        <w:t>乙方银行开户信息：</w:t>
      </w:r>
    </w:p>
    <w:p w14:paraId="198B375A">
      <w:pPr>
        <w:widowControl/>
        <w:spacing w:line="360" w:lineRule="auto"/>
        <w:ind w:firstLine="420"/>
        <w:jc w:val="left"/>
        <w:rPr>
          <w:rFonts w:hint="eastAsia" w:ascii="宋体" w:hAnsi="宋体" w:eastAsia="宋体" w:cs="宋体"/>
          <w:sz w:val="22"/>
          <w:szCs w:val="22"/>
          <w:lang w:val="en-US" w:eastAsia="zh-CN"/>
        </w:rPr>
      </w:pPr>
      <w:r>
        <w:rPr>
          <w:rFonts w:hint="eastAsia" w:ascii="宋体" w:hAnsi="宋体" w:eastAsia="宋体" w:cs="宋体"/>
          <w:sz w:val="22"/>
          <w:szCs w:val="22"/>
          <w:lang w:val="zh-CN" w:eastAsia="zh-CN"/>
        </w:rPr>
        <w:t>开户行：</w:t>
      </w:r>
      <w:r>
        <w:rPr>
          <w:rFonts w:hint="eastAsia" w:ascii="宋体" w:hAnsi="宋体" w:eastAsia="宋体" w:cs="宋体"/>
          <w:sz w:val="22"/>
          <w:szCs w:val="22"/>
          <w:u w:val="single"/>
          <w:lang w:val="en-US" w:eastAsia="zh-CN"/>
        </w:rPr>
        <w:t xml:space="preserve">                     </w:t>
      </w:r>
      <w:r>
        <w:rPr>
          <w:rFonts w:hint="eastAsia" w:ascii="宋体" w:hAnsi="宋体" w:eastAsia="宋体" w:cs="宋体"/>
          <w:sz w:val="22"/>
          <w:szCs w:val="22"/>
          <w:lang w:val="en-US" w:eastAsia="zh-CN"/>
        </w:rPr>
        <w:t xml:space="preserve"> </w:t>
      </w:r>
    </w:p>
    <w:p w14:paraId="1F2F47FE">
      <w:pPr>
        <w:widowControl/>
        <w:spacing w:line="360" w:lineRule="auto"/>
        <w:ind w:firstLine="420"/>
        <w:jc w:val="left"/>
        <w:rPr>
          <w:rFonts w:hint="eastAsia" w:ascii="宋体" w:hAnsi="宋体" w:eastAsia="宋体" w:cs="宋体"/>
          <w:sz w:val="22"/>
          <w:szCs w:val="22"/>
          <w:lang w:val="zh-CN" w:eastAsia="zh-CN"/>
        </w:rPr>
      </w:pPr>
      <w:r>
        <w:rPr>
          <w:rFonts w:hint="eastAsia" w:ascii="宋体" w:hAnsi="宋体" w:eastAsia="宋体" w:cs="宋体"/>
          <w:sz w:val="22"/>
          <w:szCs w:val="22"/>
          <w:lang w:val="zh-CN" w:eastAsia="zh-CN"/>
        </w:rPr>
        <w:t>账</w:t>
      </w:r>
      <w:r>
        <w:rPr>
          <w:rFonts w:hint="eastAsia" w:ascii="宋体" w:hAnsi="宋体" w:eastAsia="宋体" w:cs="宋体"/>
          <w:sz w:val="22"/>
          <w:szCs w:val="22"/>
          <w:lang w:val="en-US" w:eastAsia="zh-CN"/>
        </w:rPr>
        <w:t xml:space="preserve">  </w:t>
      </w:r>
      <w:r>
        <w:rPr>
          <w:rFonts w:hint="eastAsia" w:ascii="宋体" w:hAnsi="宋体" w:eastAsia="宋体" w:cs="宋体"/>
          <w:sz w:val="22"/>
          <w:szCs w:val="22"/>
          <w:lang w:val="zh-CN" w:eastAsia="zh-CN"/>
        </w:rPr>
        <w:t>号：</w:t>
      </w:r>
      <w:r>
        <w:rPr>
          <w:rFonts w:hint="eastAsia" w:ascii="宋体" w:hAnsi="宋体" w:eastAsia="宋体" w:cs="宋体"/>
          <w:sz w:val="22"/>
          <w:szCs w:val="22"/>
          <w:u w:val="single"/>
          <w:lang w:val="en-US" w:eastAsia="zh-CN"/>
        </w:rPr>
        <w:t xml:space="preserve">                     </w:t>
      </w:r>
      <w:r>
        <w:rPr>
          <w:rFonts w:hint="eastAsia" w:ascii="宋体" w:hAnsi="宋体" w:eastAsia="宋体" w:cs="宋体"/>
          <w:sz w:val="22"/>
          <w:szCs w:val="22"/>
          <w:lang w:val="en-US" w:eastAsia="zh-CN"/>
        </w:rPr>
        <w:t xml:space="preserve">                              </w:t>
      </w:r>
    </w:p>
    <w:p w14:paraId="3619AE81">
      <w:pPr>
        <w:spacing w:line="360" w:lineRule="auto"/>
        <w:ind w:firstLine="420"/>
        <w:jc w:val="left"/>
        <w:rPr>
          <w:rFonts w:hint="eastAsia" w:ascii="宋体" w:hAnsi="宋体" w:eastAsia="宋体" w:cs="宋体"/>
          <w:b/>
          <w:bCs/>
          <w:sz w:val="22"/>
          <w:szCs w:val="22"/>
          <w:lang w:val="zh-CN"/>
        </w:rPr>
      </w:pPr>
      <w:r>
        <w:rPr>
          <w:rFonts w:hint="eastAsia" w:ascii="宋体" w:hAnsi="宋体" w:eastAsia="宋体" w:cs="宋体"/>
          <w:b/>
          <w:bCs/>
          <w:sz w:val="22"/>
          <w:szCs w:val="22"/>
          <w:lang w:val="zh-CN"/>
        </w:rPr>
        <w:t>第八条 违约责任</w:t>
      </w:r>
    </w:p>
    <w:p w14:paraId="57FD204C">
      <w:pPr>
        <w:widowControl/>
        <w:spacing w:line="400" w:lineRule="exact"/>
        <w:ind w:firstLine="440" w:firstLineChars="200"/>
        <w:jc w:val="left"/>
        <w:rPr>
          <w:rFonts w:hint="eastAsia" w:ascii="宋体" w:hAnsi="宋体" w:eastAsia="宋体" w:cs="宋体"/>
          <w:b w:val="0"/>
          <w:bCs w:val="0"/>
          <w:sz w:val="22"/>
          <w:szCs w:val="22"/>
          <w:lang w:val="zh-CN"/>
        </w:rPr>
      </w:pPr>
      <w:r>
        <w:rPr>
          <w:rFonts w:hint="eastAsia" w:ascii="宋体" w:hAnsi="宋体" w:eastAsia="宋体" w:cs="宋体"/>
          <w:b w:val="0"/>
          <w:bCs w:val="0"/>
          <w:sz w:val="22"/>
          <w:szCs w:val="22"/>
          <w:lang w:val="zh-CN" w:eastAsia="zh-CN"/>
        </w:rPr>
        <w:t>１、</w:t>
      </w:r>
      <w:r>
        <w:rPr>
          <w:rFonts w:hint="eastAsia" w:ascii="宋体" w:hAnsi="宋体" w:eastAsia="宋体" w:cs="宋体"/>
          <w:b w:val="0"/>
          <w:bCs w:val="0"/>
          <w:sz w:val="22"/>
          <w:szCs w:val="22"/>
          <w:lang w:val="zh-CN"/>
        </w:rPr>
        <w:t>甲方无正当理由拒收服务、拒付服务款的，由甲方向乙方偿付合同总价的5%违约金。</w:t>
      </w:r>
    </w:p>
    <w:p w14:paraId="3B6DC253">
      <w:pPr>
        <w:widowControl/>
        <w:spacing w:line="400" w:lineRule="exact"/>
        <w:ind w:firstLine="420"/>
        <w:jc w:val="left"/>
        <w:rPr>
          <w:rFonts w:hint="eastAsia" w:ascii="宋体" w:hAnsi="宋体" w:eastAsia="宋体" w:cs="宋体"/>
          <w:b w:val="0"/>
          <w:bCs w:val="0"/>
          <w:sz w:val="22"/>
          <w:szCs w:val="22"/>
          <w:lang w:val="zh-CN"/>
        </w:rPr>
      </w:pPr>
      <w:r>
        <w:rPr>
          <w:rFonts w:hint="eastAsia" w:ascii="宋体" w:hAnsi="宋体" w:eastAsia="宋体" w:cs="宋体"/>
          <w:b w:val="0"/>
          <w:bCs w:val="0"/>
          <w:sz w:val="22"/>
          <w:szCs w:val="22"/>
          <w:lang w:val="zh-CN" w:eastAsia="zh-CN"/>
        </w:rPr>
        <w:t>2、</w:t>
      </w:r>
      <w:r>
        <w:rPr>
          <w:rFonts w:hint="eastAsia" w:ascii="宋体" w:hAnsi="宋体" w:eastAsia="宋体" w:cs="宋体"/>
          <w:b w:val="0"/>
          <w:bCs w:val="0"/>
          <w:sz w:val="22"/>
          <w:szCs w:val="22"/>
          <w:lang w:val="zh-CN"/>
        </w:rPr>
        <w:t>如因财政资金下达、拨付等问题导致甲方付款延迟，不视为甲方违约，乙方不得追究甲方违约责任。</w:t>
      </w:r>
    </w:p>
    <w:p w14:paraId="1C78C7C9">
      <w:pPr>
        <w:widowControl/>
        <w:spacing w:line="400" w:lineRule="exact"/>
        <w:ind w:firstLine="420"/>
        <w:jc w:val="left"/>
        <w:rPr>
          <w:rFonts w:hint="eastAsia" w:ascii="宋体" w:hAnsi="宋体" w:eastAsia="宋体" w:cs="宋体"/>
          <w:b w:val="0"/>
          <w:bCs w:val="0"/>
          <w:sz w:val="22"/>
          <w:szCs w:val="22"/>
          <w:lang w:val="zh-CN" w:eastAsia="zh-CN"/>
        </w:rPr>
      </w:pPr>
      <w:r>
        <w:rPr>
          <w:rFonts w:hint="eastAsia" w:ascii="宋体" w:hAnsi="宋体" w:eastAsia="宋体" w:cs="宋体"/>
          <w:b w:val="0"/>
          <w:bCs w:val="0"/>
          <w:sz w:val="22"/>
          <w:szCs w:val="22"/>
          <w:lang w:val="zh-CN" w:eastAsia="zh-CN"/>
        </w:rPr>
        <w:t>3</w:t>
      </w:r>
      <w:r>
        <w:rPr>
          <w:rFonts w:hint="eastAsia" w:ascii="宋体" w:hAnsi="宋体" w:eastAsia="宋体" w:cs="宋体"/>
          <w:b w:val="0"/>
          <w:bCs w:val="0"/>
          <w:sz w:val="22"/>
          <w:szCs w:val="22"/>
          <w:lang w:val="zh-CN"/>
        </w:rPr>
        <w:t>、如乙方不能交付服务的，</w:t>
      </w:r>
      <w:r>
        <w:rPr>
          <w:rFonts w:hint="eastAsia" w:ascii="宋体" w:hAnsi="宋体" w:eastAsia="宋体" w:cs="宋体"/>
          <w:b w:val="0"/>
          <w:bCs w:val="0"/>
          <w:sz w:val="22"/>
          <w:szCs w:val="22"/>
          <w:lang w:val="zh-CN" w:eastAsia="zh-CN"/>
        </w:rPr>
        <w:t>甲方有权解除合同，本合同自解除合同的通知到达乙方时解除，</w:t>
      </w:r>
      <w:r>
        <w:rPr>
          <w:rFonts w:hint="eastAsia" w:ascii="宋体" w:hAnsi="宋体" w:eastAsia="宋体" w:cs="宋体"/>
          <w:b w:val="0"/>
          <w:bCs w:val="0"/>
          <w:sz w:val="22"/>
          <w:szCs w:val="22"/>
          <w:lang w:val="zh-CN"/>
        </w:rPr>
        <w:t>乙方应向甲方支付合同总价5%的</w:t>
      </w:r>
      <w:r>
        <w:rPr>
          <w:rFonts w:hint="eastAsia" w:ascii="宋体" w:hAnsi="宋体" w:eastAsia="宋体" w:cs="宋体"/>
          <w:b w:val="0"/>
          <w:bCs w:val="0"/>
          <w:sz w:val="22"/>
          <w:szCs w:val="22"/>
          <w:lang w:val="zh-CN" w:eastAsia="zh-CN"/>
        </w:rPr>
        <w:t>违约金。若违约金不足以弥补甲方损失的，乙方还应另行赔偿损失。</w:t>
      </w:r>
    </w:p>
    <w:p w14:paraId="20FFB3C3">
      <w:pPr>
        <w:widowControl/>
        <w:spacing w:line="400" w:lineRule="exact"/>
        <w:ind w:firstLine="420"/>
        <w:jc w:val="left"/>
        <w:rPr>
          <w:rFonts w:hint="eastAsia" w:ascii="宋体" w:hAnsi="宋体" w:eastAsia="宋体" w:cs="宋体"/>
          <w:b w:val="0"/>
          <w:bCs w:val="0"/>
          <w:sz w:val="22"/>
          <w:szCs w:val="22"/>
          <w:lang w:val="zh-CN" w:eastAsia="zh-CN"/>
        </w:rPr>
      </w:pPr>
      <w:r>
        <w:rPr>
          <w:rFonts w:hint="eastAsia" w:ascii="宋体" w:hAnsi="宋体" w:eastAsia="宋体" w:cs="宋体"/>
          <w:b w:val="0"/>
          <w:bCs w:val="0"/>
          <w:sz w:val="22"/>
          <w:szCs w:val="22"/>
          <w:lang w:val="zh-CN" w:eastAsia="zh-CN"/>
        </w:rPr>
        <w:t>4、乙方逾期交付的，每逾期1天，乙方向甲方偿付合同总额的5‰的滞纳金。如乙方逾期交付达10天，甲方有权解除合同</w:t>
      </w:r>
      <w:r>
        <w:rPr>
          <w:rFonts w:hint="eastAsia" w:ascii="宋体" w:hAnsi="宋体" w:eastAsia="宋体" w:cs="宋体"/>
          <w:b w:val="0"/>
          <w:bCs w:val="0"/>
          <w:sz w:val="22"/>
          <w:szCs w:val="22"/>
          <w:lang w:val="en-US" w:eastAsia="zh-CN"/>
        </w:rPr>
        <w:t>并要求乙方赔偿由此造成的全部损失</w:t>
      </w:r>
      <w:r>
        <w:rPr>
          <w:rFonts w:hint="eastAsia" w:ascii="宋体" w:hAnsi="宋体" w:eastAsia="宋体" w:cs="宋体"/>
          <w:b w:val="0"/>
          <w:bCs w:val="0"/>
          <w:sz w:val="22"/>
          <w:szCs w:val="22"/>
          <w:lang w:val="zh-CN" w:eastAsia="zh-CN"/>
        </w:rPr>
        <w:t>，本合同自解除合同的通知到达乙方时解除。</w:t>
      </w:r>
    </w:p>
    <w:p w14:paraId="20676696">
      <w:pPr>
        <w:widowControl/>
        <w:spacing w:line="400" w:lineRule="exact"/>
        <w:ind w:firstLine="420"/>
        <w:jc w:val="left"/>
        <w:rPr>
          <w:rFonts w:hint="eastAsia" w:ascii="宋体" w:hAnsi="宋体" w:eastAsia="宋体" w:cs="宋体"/>
          <w:b w:val="0"/>
          <w:bCs w:val="0"/>
          <w:sz w:val="22"/>
          <w:szCs w:val="22"/>
          <w:lang w:val="zh-CN" w:eastAsia="zh-CN"/>
        </w:rPr>
      </w:pPr>
      <w:r>
        <w:rPr>
          <w:rFonts w:hint="eastAsia" w:ascii="宋体" w:hAnsi="宋体" w:eastAsia="宋体" w:cs="宋体"/>
          <w:b w:val="0"/>
          <w:bCs w:val="0"/>
          <w:sz w:val="22"/>
          <w:szCs w:val="22"/>
          <w:lang w:val="zh-CN" w:eastAsia="zh-CN"/>
        </w:rPr>
        <w:t>5、乙方所交付的服务不符合合同规定的，甲方有权拒收。甲方拒收的，乙方应向甲方支付合同总款5%的违约金，</w:t>
      </w:r>
      <w:r>
        <w:rPr>
          <w:rFonts w:hint="eastAsia" w:ascii="宋体" w:hAnsi="宋体" w:eastAsia="宋体" w:cs="宋体"/>
          <w:b w:val="0"/>
          <w:bCs w:val="0"/>
          <w:sz w:val="22"/>
          <w:szCs w:val="22"/>
          <w:lang w:val="en-US" w:eastAsia="zh-CN"/>
        </w:rPr>
        <w:t>乙方应当无条件无偿进行整改，直至符合要求，经整改两次仍不符合要求的，甲方有权解除合同，并追究乙方的违约责任，要求乙方赔偿由此造成的全部损失。</w:t>
      </w:r>
    </w:p>
    <w:p w14:paraId="0B21A570">
      <w:pPr>
        <w:widowControl/>
        <w:spacing w:line="400" w:lineRule="exact"/>
        <w:ind w:firstLine="420"/>
        <w:jc w:val="left"/>
        <w:rPr>
          <w:rFonts w:hint="eastAsia" w:ascii="宋体" w:hAnsi="宋体" w:eastAsia="宋体" w:cs="宋体"/>
          <w:b w:val="0"/>
          <w:bCs w:val="0"/>
          <w:sz w:val="22"/>
          <w:szCs w:val="22"/>
          <w:lang w:val="zh-CN" w:eastAsia="zh-CN"/>
        </w:rPr>
      </w:pPr>
      <w:r>
        <w:rPr>
          <w:rFonts w:hint="eastAsia" w:ascii="宋体" w:hAnsi="宋体" w:eastAsia="宋体" w:cs="宋体"/>
          <w:b w:val="0"/>
          <w:bCs w:val="0"/>
          <w:sz w:val="22"/>
          <w:szCs w:val="22"/>
          <w:lang w:val="en-US" w:eastAsia="zh-CN"/>
        </w:rPr>
        <w:t>6</w:t>
      </w:r>
      <w:r>
        <w:rPr>
          <w:rFonts w:hint="eastAsia" w:ascii="宋体" w:hAnsi="宋体" w:eastAsia="宋体" w:cs="宋体"/>
          <w:b w:val="0"/>
          <w:bCs w:val="0"/>
          <w:sz w:val="22"/>
          <w:szCs w:val="22"/>
          <w:lang w:val="zh-CN" w:eastAsia="zh-CN"/>
        </w:rPr>
        <w:t>、乙方在承担上述</w:t>
      </w:r>
      <w:r>
        <w:rPr>
          <w:rFonts w:hint="eastAsia" w:ascii="宋体" w:hAnsi="宋体" w:eastAsia="宋体" w:cs="宋体"/>
          <w:b w:val="0"/>
          <w:bCs w:val="0"/>
          <w:sz w:val="22"/>
          <w:szCs w:val="22"/>
          <w:lang w:val="en-US" w:eastAsia="zh-CN"/>
        </w:rPr>
        <w:t>3-5</w:t>
      </w:r>
      <w:r>
        <w:rPr>
          <w:rFonts w:hint="eastAsia" w:ascii="宋体" w:hAnsi="宋体" w:eastAsia="宋体" w:cs="宋体"/>
          <w:b w:val="0"/>
          <w:bCs w:val="0"/>
          <w:sz w:val="22"/>
          <w:szCs w:val="22"/>
          <w:lang w:val="zh-CN" w:eastAsia="zh-CN"/>
        </w:rPr>
        <w:t>款一项或多项违约责任后，仍应继续履行合同规定的义务（甲方解除合同的除外）。甲方未能及时追究乙方的任何一项违约责任并不表明甲方放弃追究乙方该项或其他违约责任。</w:t>
      </w:r>
    </w:p>
    <w:p w14:paraId="2F37D9A7">
      <w:pPr>
        <w:widowControl/>
        <w:spacing w:line="400" w:lineRule="exact"/>
        <w:ind w:firstLine="420"/>
        <w:jc w:val="left"/>
        <w:rPr>
          <w:rFonts w:hint="eastAsia" w:ascii="宋体" w:hAnsi="宋体" w:eastAsia="宋体" w:cs="宋体"/>
          <w:b w:val="0"/>
          <w:bCs w:val="0"/>
          <w:sz w:val="22"/>
          <w:szCs w:val="22"/>
          <w:lang w:val="zh-CN"/>
        </w:rPr>
      </w:pPr>
      <w:r>
        <w:rPr>
          <w:rFonts w:hint="eastAsia" w:ascii="宋体" w:hAnsi="宋体" w:eastAsia="宋体" w:cs="宋体"/>
          <w:b w:val="0"/>
          <w:bCs w:val="0"/>
          <w:sz w:val="22"/>
          <w:szCs w:val="22"/>
          <w:lang w:val="en-US" w:eastAsia="zh-CN"/>
        </w:rPr>
        <w:t>7</w:t>
      </w:r>
      <w:r>
        <w:rPr>
          <w:rFonts w:hint="eastAsia" w:ascii="宋体" w:hAnsi="宋体" w:eastAsia="宋体" w:cs="宋体"/>
          <w:b w:val="0"/>
          <w:bCs w:val="0"/>
          <w:sz w:val="22"/>
          <w:szCs w:val="22"/>
          <w:lang w:val="zh-CN"/>
        </w:rPr>
        <w:t>、乙方投标属虚假承诺，或经权威部门监测提供的服务不能满足招标文件要求，或是由于乙方的过错造成合同无法继续履行的，乙方应向甲方支付不少于合同总价30%赔偿金。</w:t>
      </w:r>
    </w:p>
    <w:p w14:paraId="77FC976F">
      <w:pPr>
        <w:widowControl/>
        <w:spacing w:line="400" w:lineRule="exact"/>
        <w:ind w:firstLine="420"/>
        <w:jc w:val="left"/>
        <w:rPr>
          <w:rFonts w:hint="eastAsia" w:ascii="宋体" w:hAnsi="宋体" w:eastAsia="宋体" w:cs="宋体"/>
          <w:b/>
          <w:bCs/>
          <w:sz w:val="22"/>
          <w:szCs w:val="22"/>
          <w:lang w:val="zh-CN"/>
        </w:rPr>
      </w:pPr>
      <w:r>
        <w:rPr>
          <w:rFonts w:hint="eastAsia" w:ascii="宋体" w:hAnsi="宋体" w:eastAsia="宋体" w:cs="宋体"/>
          <w:b/>
          <w:bCs/>
          <w:sz w:val="22"/>
          <w:szCs w:val="22"/>
          <w:lang w:val="zh-CN"/>
        </w:rPr>
        <w:t>第九条 合同的变更和终止</w:t>
      </w:r>
    </w:p>
    <w:p w14:paraId="27488BE6">
      <w:pPr>
        <w:widowControl/>
        <w:spacing w:line="400" w:lineRule="exact"/>
        <w:ind w:firstLine="420"/>
        <w:jc w:val="left"/>
        <w:rPr>
          <w:rFonts w:hint="eastAsia" w:ascii="宋体" w:hAnsi="宋体" w:eastAsia="宋体" w:cs="宋体"/>
          <w:sz w:val="22"/>
          <w:szCs w:val="22"/>
          <w:lang w:val="zh-CN"/>
        </w:rPr>
      </w:pPr>
      <w:r>
        <w:rPr>
          <w:rFonts w:hint="eastAsia" w:ascii="宋体" w:hAnsi="宋体" w:eastAsia="宋体" w:cs="宋体"/>
          <w:sz w:val="22"/>
          <w:szCs w:val="22"/>
          <w:lang w:val="zh-CN"/>
        </w:rPr>
        <w:t>1、除《政府采购法》第50条第二款规定的情形外，本合同一经签订，甲乙双方不得擅自变更、中止或终止合同。</w:t>
      </w:r>
    </w:p>
    <w:p w14:paraId="53B0D534">
      <w:pPr>
        <w:widowControl/>
        <w:spacing w:line="400" w:lineRule="exact"/>
        <w:ind w:firstLine="420"/>
        <w:jc w:val="left"/>
        <w:rPr>
          <w:rFonts w:hint="eastAsia" w:ascii="宋体" w:hAnsi="宋体" w:eastAsia="宋体" w:cs="宋体"/>
          <w:sz w:val="22"/>
          <w:szCs w:val="22"/>
          <w:lang w:val="zh-CN"/>
        </w:rPr>
      </w:pPr>
      <w:r>
        <w:rPr>
          <w:rFonts w:hint="eastAsia" w:ascii="宋体" w:hAnsi="宋体" w:eastAsia="宋体" w:cs="宋体"/>
          <w:sz w:val="22"/>
          <w:szCs w:val="22"/>
          <w:lang w:val="zh-CN"/>
        </w:rPr>
        <w:t>2、</w:t>
      </w:r>
      <w:r>
        <w:rPr>
          <w:rFonts w:hint="eastAsia" w:ascii="宋体" w:hAnsi="宋体" w:eastAsia="宋体" w:cs="宋体"/>
          <w:sz w:val="22"/>
          <w:szCs w:val="22"/>
        </w:rPr>
        <w:t>除发生法律规定的不能预见、不能避免并不能克服的客观情况外，甲乙双方不得放弃或拒绝履行合同。</w:t>
      </w:r>
    </w:p>
    <w:p w14:paraId="07118BE2">
      <w:pPr>
        <w:widowControl/>
        <w:spacing w:line="400" w:lineRule="exact"/>
        <w:ind w:firstLine="420"/>
        <w:jc w:val="left"/>
        <w:rPr>
          <w:rFonts w:hint="eastAsia" w:ascii="宋体" w:hAnsi="宋体" w:eastAsia="宋体" w:cs="宋体"/>
          <w:b/>
          <w:bCs/>
          <w:sz w:val="22"/>
          <w:szCs w:val="22"/>
          <w:lang w:val="zh-CN"/>
        </w:rPr>
      </w:pPr>
      <w:r>
        <w:rPr>
          <w:rFonts w:hint="eastAsia" w:ascii="宋体" w:hAnsi="宋体" w:eastAsia="宋体" w:cs="宋体"/>
          <w:b/>
          <w:bCs/>
          <w:sz w:val="22"/>
          <w:szCs w:val="22"/>
          <w:lang w:val="zh-CN"/>
        </w:rPr>
        <w:t>第十条 合同的转让</w:t>
      </w:r>
    </w:p>
    <w:p w14:paraId="6EE0C286">
      <w:pPr>
        <w:widowControl/>
        <w:spacing w:line="400" w:lineRule="exact"/>
        <w:ind w:firstLine="420"/>
        <w:jc w:val="left"/>
        <w:rPr>
          <w:rFonts w:hint="eastAsia" w:ascii="宋体" w:hAnsi="宋体" w:eastAsia="宋体" w:cs="宋体"/>
          <w:sz w:val="22"/>
          <w:szCs w:val="22"/>
          <w:lang w:val="zh-CN"/>
        </w:rPr>
      </w:pPr>
      <w:r>
        <w:rPr>
          <w:rFonts w:hint="eastAsia" w:ascii="宋体" w:hAnsi="宋体" w:eastAsia="宋体" w:cs="宋体"/>
          <w:sz w:val="22"/>
          <w:szCs w:val="22"/>
          <w:lang w:val="zh-CN"/>
        </w:rPr>
        <w:t xml:space="preserve"> 乙方不得擅自部分或全部转让其应履行的合同义务。如乙方违约，甲方有权</w:t>
      </w:r>
      <w:r>
        <w:rPr>
          <w:rFonts w:hint="eastAsia" w:ascii="宋体" w:hAnsi="宋体" w:eastAsia="宋体" w:cs="宋体"/>
          <w:sz w:val="22"/>
          <w:szCs w:val="22"/>
          <w:lang w:val="zh-CN" w:eastAsia="zh-CN"/>
        </w:rPr>
        <w:t>解除合同并</w:t>
      </w:r>
      <w:r>
        <w:rPr>
          <w:rFonts w:hint="eastAsia" w:ascii="宋体" w:hAnsi="宋体" w:eastAsia="宋体" w:cs="宋体"/>
          <w:sz w:val="22"/>
          <w:szCs w:val="22"/>
          <w:lang w:val="zh-CN"/>
        </w:rPr>
        <w:t>向乙方要求支付合同价5%的违约金。</w:t>
      </w:r>
    </w:p>
    <w:p w14:paraId="67D764B6">
      <w:pPr>
        <w:widowControl/>
        <w:numPr>
          <w:ilvl w:val="0"/>
          <w:numId w:val="6"/>
        </w:numPr>
        <w:spacing w:line="400" w:lineRule="exact"/>
        <w:ind w:firstLine="420"/>
        <w:jc w:val="left"/>
        <w:rPr>
          <w:rFonts w:hint="eastAsia" w:ascii="宋体" w:hAnsi="宋体" w:eastAsia="宋体" w:cs="宋体"/>
          <w:b/>
          <w:bCs/>
          <w:sz w:val="22"/>
          <w:szCs w:val="22"/>
          <w:lang w:val="zh-CN"/>
        </w:rPr>
      </w:pPr>
      <w:r>
        <w:rPr>
          <w:rFonts w:hint="eastAsia" w:ascii="宋体" w:hAnsi="宋体" w:eastAsia="宋体" w:cs="宋体"/>
          <w:b/>
          <w:bCs/>
          <w:sz w:val="22"/>
          <w:szCs w:val="22"/>
          <w:lang w:val="zh-CN"/>
        </w:rPr>
        <w:t>争议的解决</w:t>
      </w:r>
    </w:p>
    <w:p w14:paraId="39B1A956">
      <w:pPr>
        <w:spacing w:line="400" w:lineRule="exact"/>
        <w:ind w:firstLine="420"/>
        <w:jc w:val="left"/>
        <w:rPr>
          <w:rFonts w:hint="eastAsia" w:ascii="宋体" w:hAnsi="宋体" w:eastAsia="宋体" w:cs="宋体"/>
          <w:sz w:val="22"/>
          <w:szCs w:val="22"/>
          <w:lang w:val="zh-CN" w:eastAsia="zh-CN"/>
        </w:rPr>
      </w:pPr>
      <w:r>
        <w:rPr>
          <w:rFonts w:hint="eastAsia" w:ascii="宋体" w:hAnsi="宋体" w:eastAsia="宋体" w:cs="宋体"/>
          <w:sz w:val="22"/>
          <w:szCs w:val="22"/>
          <w:lang w:val="en-US" w:eastAsia="zh-CN"/>
        </w:rPr>
        <w:t>1</w:t>
      </w:r>
      <w:r>
        <w:rPr>
          <w:rFonts w:hint="eastAsia" w:ascii="宋体" w:hAnsi="宋体" w:eastAsia="宋体" w:cs="宋体"/>
          <w:sz w:val="22"/>
          <w:szCs w:val="22"/>
          <w:lang w:val="zh-CN" w:eastAsia="zh-CN"/>
        </w:rPr>
        <w:t>、因履行本合同引起的或与本合同有关的争议，甲、乙双方应首先通过友好协商解决，如果协商不能解决争议，则采取以下第（</w:t>
      </w:r>
      <w:r>
        <w:rPr>
          <w:rFonts w:hint="eastAsia" w:ascii="宋体" w:hAnsi="宋体" w:eastAsia="宋体" w:cs="宋体"/>
          <w:sz w:val="22"/>
          <w:szCs w:val="22"/>
          <w:lang w:val="en-US" w:eastAsia="zh-CN"/>
        </w:rPr>
        <w:t>1</w:t>
      </w:r>
      <w:r>
        <w:rPr>
          <w:rFonts w:hint="eastAsia" w:ascii="宋体" w:hAnsi="宋体" w:eastAsia="宋体" w:cs="宋体"/>
          <w:sz w:val="22"/>
          <w:szCs w:val="22"/>
          <w:lang w:val="zh-CN" w:eastAsia="zh-CN"/>
        </w:rPr>
        <w:t>）种方式解决争议：</w:t>
      </w:r>
    </w:p>
    <w:p w14:paraId="777F0188">
      <w:pPr>
        <w:spacing w:line="400" w:lineRule="exact"/>
        <w:ind w:firstLine="420"/>
        <w:jc w:val="left"/>
        <w:rPr>
          <w:rFonts w:hint="eastAsia" w:ascii="宋体" w:hAnsi="宋体" w:eastAsia="宋体" w:cs="宋体"/>
          <w:sz w:val="22"/>
          <w:szCs w:val="22"/>
          <w:lang w:val="zh-CN" w:eastAsia="zh-CN"/>
        </w:rPr>
      </w:pPr>
      <w:r>
        <w:rPr>
          <w:rFonts w:hint="eastAsia" w:ascii="宋体" w:hAnsi="宋体" w:eastAsia="宋体" w:cs="宋体"/>
          <w:sz w:val="22"/>
          <w:szCs w:val="22"/>
          <w:lang w:val="zh-CN" w:eastAsia="zh-CN"/>
        </w:rPr>
        <w:t>（1）向甲方所在地有管辖权的人民法院提起诉讼；</w:t>
      </w:r>
    </w:p>
    <w:p w14:paraId="4DC3AA12">
      <w:pPr>
        <w:spacing w:line="400" w:lineRule="exact"/>
        <w:ind w:firstLine="420"/>
        <w:jc w:val="left"/>
        <w:rPr>
          <w:rFonts w:hint="eastAsia" w:ascii="宋体" w:hAnsi="宋体" w:eastAsia="宋体" w:cs="宋体"/>
          <w:sz w:val="22"/>
          <w:szCs w:val="22"/>
          <w:lang w:val="zh-CN" w:eastAsia="zh-CN"/>
        </w:rPr>
      </w:pPr>
      <w:r>
        <w:rPr>
          <w:rFonts w:hint="eastAsia" w:ascii="宋体" w:hAnsi="宋体" w:eastAsia="宋体" w:cs="宋体"/>
          <w:sz w:val="22"/>
          <w:szCs w:val="22"/>
          <w:lang w:val="zh-CN" w:eastAsia="zh-CN"/>
        </w:rPr>
        <w:t>（2）向南京仲裁委员会按其仲裁规则申请仲裁。</w:t>
      </w:r>
    </w:p>
    <w:p w14:paraId="6963E8A0">
      <w:pPr>
        <w:spacing w:line="400" w:lineRule="exact"/>
        <w:ind w:firstLine="420"/>
        <w:jc w:val="left"/>
        <w:rPr>
          <w:rFonts w:hint="eastAsia" w:ascii="宋体" w:hAnsi="宋体" w:eastAsia="宋体" w:cs="宋体"/>
          <w:sz w:val="22"/>
          <w:szCs w:val="22"/>
          <w:lang w:val="zh-CN" w:eastAsia="zh-CN"/>
        </w:rPr>
      </w:pPr>
      <w:r>
        <w:rPr>
          <w:rFonts w:hint="eastAsia" w:ascii="宋体" w:hAnsi="宋体" w:eastAsia="宋体" w:cs="宋体"/>
          <w:sz w:val="22"/>
          <w:szCs w:val="22"/>
          <w:lang w:val="zh-CN" w:eastAsia="zh-CN"/>
        </w:rPr>
        <w:t>如没有约定，预设采取第</w:t>
      </w:r>
      <w:r>
        <w:rPr>
          <w:rFonts w:hint="eastAsia" w:ascii="宋体" w:hAnsi="宋体" w:eastAsia="宋体" w:cs="宋体"/>
          <w:sz w:val="22"/>
          <w:szCs w:val="22"/>
          <w:lang w:val="en-US" w:eastAsia="zh-CN"/>
        </w:rPr>
        <w:t>2</w:t>
      </w:r>
      <w:r>
        <w:rPr>
          <w:rFonts w:hint="eastAsia" w:ascii="宋体" w:hAnsi="宋体" w:eastAsia="宋体" w:cs="宋体"/>
          <w:sz w:val="22"/>
          <w:szCs w:val="22"/>
          <w:lang w:val="zh-CN" w:eastAsia="zh-CN"/>
        </w:rPr>
        <w:t>种方式解决争议。</w:t>
      </w:r>
    </w:p>
    <w:p w14:paraId="548CECAF">
      <w:pPr>
        <w:spacing w:line="400" w:lineRule="exact"/>
        <w:ind w:firstLine="420"/>
        <w:jc w:val="left"/>
        <w:rPr>
          <w:rFonts w:hint="eastAsia" w:ascii="宋体" w:hAnsi="宋体" w:eastAsia="宋体" w:cs="宋体"/>
          <w:sz w:val="22"/>
          <w:szCs w:val="22"/>
          <w:lang w:val="zh-CN" w:eastAsia="zh-CN"/>
        </w:rPr>
      </w:pPr>
      <w:r>
        <w:rPr>
          <w:rFonts w:hint="eastAsia" w:ascii="宋体" w:hAnsi="宋体" w:eastAsia="宋体" w:cs="宋体"/>
          <w:sz w:val="22"/>
          <w:szCs w:val="22"/>
          <w:lang w:val="en-US" w:eastAsia="zh-CN"/>
        </w:rPr>
        <w:t>2</w:t>
      </w:r>
      <w:r>
        <w:rPr>
          <w:rFonts w:hint="eastAsia" w:ascii="宋体" w:hAnsi="宋体" w:eastAsia="宋体" w:cs="宋体"/>
          <w:sz w:val="22"/>
          <w:szCs w:val="22"/>
          <w:lang w:val="zh-CN" w:eastAsia="zh-CN"/>
        </w:rPr>
        <w:t>、在诉讼期间，本合同应继续履行，甲方解除合同的除外。</w:t>
      </w:r>
    </w:p>
    <w:p w14:paraId="3619491B">
      <w:pPr>
        <w:widowControl/>
        <w:spacing w:line="400" w:lineRule="exact"/>
        <w:ind w:firstLine="420"/>
        <w:jc w:val="left"/>
        <w:rPr>
          <w:rFonts w:hint="eastAsia" w:ascii="宋体" w:hAnsi="宋体" w:eastAsia="宋体" w:cs="宋体"/>
          <w:b/>
          <w:bCs/>
          <w:sz w:val="22"/>
          <w:szCs w:val="22"/>
          <w:lang w:val="zh-CN"/>
        </w:rPr>
      </w:pPr>
      <w:r>
        <w:rPr>
          <w:rFonts w:hint="eastAsia" w:ascii="宋体" w:hAnsi="宋体" w:eastAsia="宋体" w:cs="宋体"/>
          <w:b/>
          <w:bCs/>
          <w:sz w:val="22"/>
          <w:szCs w:val="22"/>
          <w:lang w:val="zh-CN"/>
        </w:rPr>
        <w:t xml:space="preserve">第十二条 诚实信用 </w:t>
      </w:r>
    </w:p>
    <w:p w14:paraId="47B4F04F">
      <w:pPr>
        <w:widowControl/>
        <w:adjustRightInd w:val="0"/>
        <w:spacing w:line="400" w:lineRule="exact"/>
        <w:ind w:firstLine="420" w:firstLineChars="200"/>
        <w:jc w:val="left"/>
        <w:rPr>
          <w:rFonts w:hint="eastAsia" w:ascii="宋体" w:hAnsi="宋体" w:eastAsia="宋体" w:cs="宋体"/>
          <w:kern w:val="0"/>
          <w:szCs w:val="21"/>
          <w:lang w:val="zh-CN"/>
        </w:rPr>
      </w:pPr>
      <w:r>
        <w:rPr>
          <w:rFonts w:hint="eastAsia" w:ascii="宋体" w:hAnsi="宋体" w:eastAsia="宋体" w:cs="宋体"/>
          <w:kern w:val="0"/>
          <w:szCs w:val="21"/>
          <w:lang w:val="zh-CN"/>
        </w:rPr>
        <w:t>乙方应诚实信用，严格按照招标文件要求和投标承诺履行合同，不向甲方进行商业贿赂或者提供不正当利益。如乙方违约，甲方有权向乙方要求支付合同价5%的违约金。</w:t>
      </w:r>
    </w:p>
    <w:p w14:paraId="4647A8DA">
      <w:pPr>
        <w:widowControl/>
        <w:spacing w:line="400" w:lineRule="exact"/>
        <w:ind w:firstLine="420"/>
        <w:jc w:val="left"/>
        <w:rPr>
          <w:rFonts w:hint="eastAsia" w:ascii="宋体" w:hAnsi="宋体" w:eastAsia="宋体" w:cs="宋体"/>
          <w:b/>
          <w:bCs/>
          <w:sz w:val="22"/>
          <w:szCs w:val="22"/>
          <w:lang w:val="zh-CN"/>
        </w:rPr>
      </w:pPr>
      <w:r>
        <w:rPr>
          <w:rFonts w:hint="eastAsia" w:ascii="宋体" w:hAnsi="宋体" w:eastAsia="宋体" w:cs="宋体"/>
          <w:b/>
          <w:bCs/>
          <w:sz w:val="22"/>
          <w:szCs w:val="22"/>
          <w:lang w:val="zh-CN"/>
        </w:rPr>
        <w:t>第十三条 合同生效及其他</w:t>
      </w:r>
    </w:p>
    <w:p w14:paraId="50C058C5">
      <w:pPr>
        <w:keepNext w:val="0"/>
        <w:keepLines w:val="0"/>
        <w:pageBreakBefore w:val="0"/>
        <w:kinsoku/>
        <w:wordWrap/>
        <w:overflowPunct/>
        <w:topLinePunct w:val="0"/>
        <w:autoSpaceDE/>
        <w:autoSpaceDN/>
        <w:bidi w:val="0"/>
        <w:adjustRightInd/>
        <w:snapToGrid/>
        <w:spacing w:line="312" w:lineRule="auto"/>
        <w:ind w:firstLine="420"/>
        <w:textAlignment w:val="auto"/>
        <w:outlineLvl w:val="9"/>
        <w:rPr>
          <w:rFonts w:hint="eastAsia" w:ascii="宋体" w:hAnsi="宋体" w:eastAsia="宋体" w:cs="宋体"/>
          <w:b w:val="0"/>
          <w:bCs w:val="0"/>
          <w:color w:val="000000"/>
          <w:sz w:val="22"/>
          <w:szCs w:val="22"/>
          <w:lang w:val="zh-CN"/>
        </w:rPr>
      </w:pPr>
      <w:r>
        <w:rPr>
          <w:rFonts w:hint="eastAsia" w:ascii="宋体" w:hAnsi="宋体" w:eastAsia="宋体" w:cs="宋体"/>
          <w:sz w:val="22"/>
          <w:szCs w:val="22"/>
          <w:lang w:val="zh-CN"/>
        </w:rPr>
        <w:t>1、本合同自双方签字并加盖公章之日起生效</w:t>
      </w:r>
      <w:r>
        <w:rPr>
          <w:rFonts w:hint="eastAsia" w:ascii="宋体" w:hAnsi="宋体" w:eastAsia="宋体" w:cs="宋体"/>
          <w:b w:val="0"/>
          <w:bCs w:val="0"/>
          <w:color w:val="000000"/>
          <w:sz w:val="22"/>
          <w:szCs w:val="22"/>
          <w:lang w:val="zh-CN"/>
        </w:rPr>
        <w:t>。</w:t>
      </w:r>
    </w:p>
    <w:p w14:paraId="0545686D">
      <w:pPr>
        <w:keepNext w:val="0"/>
        <w:keepLines w:val="0"/>
        <w:pageBreakBefore w:val="0"/>
        <w:widowControl/>
        <w:kinsoku/>
        <w:wordWrap/>
        <w:overflowPunct/>
        <w:topLinePunct w:val="0"/>
        <w:autoSpaceDE/>
        <w:autoSpaceDN/>
        <w:bidi w:val="0"/>
        <w:adjustRightInd/>
        <w:snapToGrid/>
        <w:spacing w:line="312" w:lineRule="auto"/>
        <w:ind w:firstLine="420"/>
        <w:jc w:val="left"/>
        <w:textAlignment w:val="auto"/>
        <w:rPr>
          <w:rFonts w:hint="eastAsia" w:ascii="宋体" w:hAnsi="宋体" w:eastAsia="宋体" w:cs="宋体"/>
          <w:sz w:val="22"/>
          <w:szCs w:val="22"/>
          <w:lang w:val="zh-CN"/>
        </w:rPr>
      </w:pPr>
      <w:r>
        <w:rPr>
          <w:rFonts w:hint="eastAsia" w:ascii="宋体" w:hAnsi="宋体" w:eastAsia="宋体" w:cs="宋体"/>
          <w:sz w:val="22"/>
          <w:szCs w:val="22"/>
          <w:lang w:val="zh-CN"/>
        </w:rPr>
        <w:t xml:space="preserve">2、本合同一式肆份，甲乙双方各执贰份。 </w:t>
      </w:r>
    </w:p>
    <w:p w14:paraId="232AAACC">
      <w:pPr>
        <w:keepNext w:val="0"/>
        <w:keepLines w:val="0"/>
        <w:pageBreakBefore w:val="0"/>
        <w:widowControl/>
        <w:kinsoku/>
        <w:wordWrap/>
        <w:overflowPunct/>
        <w:topLinePunct w:val="0"/>
        <w:autoSpaceDE/>
        <w:autoSpaceDN/>
        <w:bidi w:val="0"/>
        <w:adjustRightInd/>
        <w:snapToGrid/>
        <w:spacing w:line="312" w:lineRule="auto"/>
        <w:ind w:firstLine="420"/>
        <w:jc w:val="left"/>
        <w:textAlignment w:val="auto"/>
        <w:rPr>
          <w:rFonts w:hint="eastAsia" w:ascii="宋体" w:hAnsi="宋体" w:eastAsia="宋体" w:cs="宋体"/>
          <w:sz w:val="22"/>
          <w:szCs w:val="22"/>
          <w:lang w:val="zh-CN"/>
        </w:rPr>
      </w:pPr>
      <w:r>
        <w:rPr>
          <w:rFonts w:hint="eastAsia" w:ascii="宋体" w:hAnsi="宋体" w:eastAsia="宋体" w:cs="宋体"/>
          <w:sz w:val="22"/>
          <w:szCs w:val="22"/>
          <w:lang w:val="zh-CN"/>
        </w:rPr>
        <w:t>3、本合同应按照中华人民共和国的现行法律进行解释。</w:t>
      </w:r>
    </w:p>
    <w:tbl>
      <w:tblPr>
        <w:tblStyle w:val="38"/>
        <w:tblW w:w="9286" w:type="dxa"/>
        <w:tblInd w:w="-108" w:type="dxa"/>
        <w:tblLayout w:type="fixed"/>
        <w:tblCellMar>
          <w:top w:w="0" w:type="dxa"/>
          <w:left w:w="0" w:type="dxa"/>
          <w:bottom w:w="0" w:type="dxa"/>
          <w:right w:w="0" w:type="dxa"/>
        </w:tblCellMar>
      </w:tblPr>
      <w:tblGrid>
        <w:gridCol w:w="4643"/>
        <w:gridCol w:w="4643"/>
      </w:tblGrid>
      <w:tr w14:paraId="55FBC43B">
        <w:tblPrEx>
          <w:tblCellMar>
            <w:top w:w="0" w:type="dxa"/>
            <w:left w:w="0" w:type="dxa"/>
            <w:bottom w:w="0" w:type="dxa"/>
            <w:right w:w="0" w:type="dxa"/>
          </w:tblCellMar>
        </w:tblPrEx>
        <w:tc>
          <w:tcPr>
            <w:tcW w:w="4643" w:type="dxa"/>
            <w:tcBorders>
              <w:top w:val="nil"/>
              <w:left w:val="nil"/>
              <w:bottom w:val="nil"/>
              <w:right w:val="nil"/>
            </w:tcBorders>
            <w:noWrap w:val="0"/>
            <w:vAlign w:val="top"/>
          </w:tcPr>
          <w:p w14:paraId="2DB37388">
            <w:pPr>
              <w:widowControl/>
              <w:spacing w:line="400" w:lineRule="exact"/>
              <w:ind w:firstLine="420"/>
              <w:jc w:val="left"/>
              <w:rPr>
                <w:rFonts w:hint="eastAsia" w:ascii="宋体" w:hAnsi="宋体" w:eastAsia="宋体" w:cs="宋体"/>
                <w:sz w:val="22"/>
                <w:szCs w:val="22"/>
                <w:lang w:val="zh-CN"/>
              </w:rPr>
            </w:pPr>
            <w:r>
              <w:rPr>
                <w:rFonts w:hint="eastAsia" w:ascii="宋体" w:hAnsi="宋体" w:eastAsia="宋体" w:cs="宋体"/>
                <w:sz w:val="22"/>
                <w:szCs w:val="22"/>
                <w:lang w:val="zh-CN"/>
              </w:rPr>
              <w:t>甲方（采购人）：（盖章）</w:t>
            </w:r>
          </w:p>
          <w:p w14:paraId="2CFF5237">
            <w:pPr>
              <w:pStyle w:val="2"/>
              <w:ind w:firstLine="440" w:firstLineChars="200"/>
              <w:rPr>
                <w:rFonts w:hint="eastAsia" w:eastAsia="宋体"/>
                <w:lang w:val="en-US" w:eastAsia="zh-CN"/>
              </w:rPr>
            </w:pPr>
            <w:r>
              <w:rPr>
                <w:rFonts w:hint="eastAsia" w:ascii="宋体" w:hAnsi="宋体" w:cs="宋体"/>
                <w:sz w:val="22"/>
                <w:szCs w:val="22"/>
                <w:lang w:val="zh-CN" w:eastAsia="zh-CN"/>
              </w:rPr>
              <w:t>分管领导签字：</w:t>
            </w:r>
          </w:p>
        </w:tc>
        <w:tc>
          <w:tcPr>
            <w:tcW w:w="4643" w:type="dxa"/>
            <w:tcBorders>
              <w:top w:val="nil"/>
              <w:left w:val="nil"/>
              <w:bottom w:val="nil"/>
              <w:right w:val="nil"/>
            </w:tcBorders>
            <w:noWrap w:val="0"/>
            <w:vAlign w:val="top"/>
          </w:tcPr>
          <w:p w14:paraId="11914D49">
            <w:pPr>
              <w:widowControl/>
              <w:spacing w:line="400" w:lineRule="exact"/>
              <w:ind w:firstLine="210"/>
              <w:jc w:val="left"/>
              <w:rPr>
                <w:rFonts w:hint="eastAsia" w:ascii="宋体" w:hAnsi="宋体" w:eastAsia="宋体" w:cs="宋体"/>
                <w:sz w:val="22"/>
                <w:szCs w:val="22"/>
                <w:lang w:val="zh-CN"/>
              </w:rPr>
            </w:pPr>
            <w:r>
              <w:rPr>
                <w:rFonts w:hint="eastAsia" w:ascii="宋体" w:hAnsi="宋体" w:eastAsia="宋体" w:cs="宋体"/>
                <w:sz w:val="22"/>
                <w:szCs w:val="22"/>
                <w:lang w:val="zh-CN"/>
              </w:rPr>
              <w:t>乙方（供应商）：（盖章）</w:t>
            </w:r>
          </w:p>
        </w:tc>
      </w:tr>
      <w:tr w14:paraId="4057512B">
        <w:tblPrEx>
          <w:tblCellMar>
            <w:top w:w="0" w:type="dxa"/>
            <w:left w:w="0" w:type="dxa"/>
            <w:bottom w:w="0" w:type="dxa"/>
            <w:right w:w="0" w:type="dxa"/>
          </w:tblCellMar>
        </w:tblPrEx>
        <w:tc>
          <w:tcPr>
            <w:tcW w:w="4643" w:type="dxa"/>
            <w:tcBorders>
              <w:top w:val="nil"/>
              <w:left w:val="nil"/>
              <w:bottom w:val="nil"/>
              <w:right w:val="nil"/>
            </w:tcBorders>
            <w:noWrap w:val="0"/>
            <w:vAlign w:val="top"/>
          </w:tcPr>
          <w:p w14:paraId="709D158C">
            <w:pPr>
              <w:widowControl/>
              <w:spacing w:line="400" w:lineRule="exact"/>
              <w:ind w:firstLine="420"/>
              <w:jc w:val="left"/>
              <w:rPr>
                <w:rFonts w:hint="eastAsia" w:ascii="宋体" w:hAnsi="宋体" w:eastAsia="宋体" w:cs="宋体"/>
                <w:sz w:val="22"/>
                <w:szCs w:val="22"/>
              </w:rPr>
            </w:pPr>
            <w:r>
              <w:rPr>
                <w:rFonts w:hint="eastAsia" w:ascii="宋体" w:hAnsi="宋体" w:eastAsia="宋体" w:cs="宋体"/>
                <w:sz w:val="22"/>
                <w:szCs w:val="22"/>
                <w:lang w:val="zh-CN"/>
              </w:rPr>
              <w:t>代表人：</w:t>
            </w:r>
          </w:p>
        </w:tc>
        <w:tc>
          <w:tcPr>
            <w:tcW w:w="4643" w:type="dxa"/>
            <w:tcBorders>
              <w:top w:val="nil"/>
              <w:left w:val="nil"/>
              <w:bottom w:val="nil"/>
              <w:right w:val="nil"/>
            </w:tcBorders>
            <w:noWrap w:val="0"/>
            <w:vAlign w:val="top"/>
          </w:tcPr>
          <w:p w14:paraId="2E253A24">
            <w:pPr>
              <w:widowControl/>
              <w:spacing w:line="400" w:lineRule="exact"/>
              <w:ind w:firstLine="210"/>
              <w:jc w:val="left"/>
              <w:rPr>
                <w:rFonts w:hint="eastAsia" w:ascii="宋体" w:hAnsi="宋体" w:eastAsia="宋体" w:cs="宋体"/>
                <w:sz w:val="22"/>
                <w:szCs w:val="22"/>
              </w:rPr>
            </w:pPr>
            <w:r>
              <w:rPr>
                <w:rFonts w:hint="eastAsia" w:ascii="宋体" w:hAnsi="宋体" w:eastAsia="宋体" w:cs="宋体"/>
                <w:sz w:val="22"/>
                <w:szCs w:val="22"/>
                <w:lang w:val="zh-CN"/>
              </w:rPr>
              <w:t>代表人</w:t>
            </w:r>
            <w:r>
              <w:rPr>
                <w:rFonts w:hint="eastAsia" w:ascii="宋体" w:hAnsi="宋体" w:eastAsia="宋体" w:cs="宋体"/>
                <w:sz w:val="22"/>
                <w:szCs w:val="22"/>
              </w:rPr>
              <w:t>：</w:t>
            </w:r>
          </w:p>
        </w:tc>
      </w:tr>
      <w:tr w14:paraId="38C0F5DC">
        <w:tblPrEx>
          <w:tblCellMar>
            <w:top w:w="0" w:type="dxa"/>
            <w:left w:w="0" w:type="dxa"/>
            <w:bottom w:w="0" w:type="dxa"/>
            <w:right w:w="0" w:type="dxa"/>
          </w:tblCellMar>
        </w:tblPrEx>
        <w:tc>
          <w:tcPr>
            <w:tcW w:w="4643" w:type="dxa"/>
            <w:tcBorders>
              <w:top w:val="nil"/>
              <w:left w:val="nil"/>
              <w:bottom w:val="nil"/>
              <w:right w:val="nil"/>
            </w:tcBorders>
            <w:noWrap w:val="0"/>
            <w:vAlign w:val="top"/>
          </w:tcPr>
          <w:p w14:paraId="171F5859">
            <w:pPr>
              <w:widowControl/>
              <w:spacing w:line="400" w:lineRule="exact"/>
              <w:ind w:firstLine="420"/>
              <w:jc w:val="left"/>
              <w:rPr>
                <w:rFonts w:hint="eastAsia" w:ascii="宋体" w:hAnsi="宋体" w:eastAsia="宋体" w:cs="宋体"/>
                <w:sz w:val="22"/>
                <w:szCs w:val="22"/>
              </w:rPr>
            </w:pPr>
            <w:r>
              <w:rPr>
                <w:rFonts w:hint="eastAsia" w:ascii="宋体" w:hAnsi="宋体" w:eastAsia="宋体" w:cs="宋体"/>
                <w:sz w:val="22"/>
                <w:szCs w:val="22"/>
                <w:lang w:val="zh-CN"/>
              </w:rPr>
              <w:t>电</w:t>
            </w:r>
            <w:r>
              <w:rPr>
                <w:rFonts w:hint="eastAsia" w:ascii="宋体" w:hAnsi="宋体" w:eastAsia="宋体" w:cs="宋体"/>
                <w:sz w:val="22"/>
                <w:szCs w:val="22"/>
              </w:rPr>
              <w:t xml:space="preserve">    </w:t>
            </w:r>
            <w:r>
              <w:rPr>
                <w:rFonts w:hint="eastAsia" w:ascii="宋体" w:hAnsi="宋体" w:eastAsia="宋体" w:cs="宋体"/>
                <w:sz w:val="22"/>
                <w:szCs w:val="22"/>
                <w:lang w:val="zh-CN"/>
              </w:rPr>
              <w:t>话：</w:t>
            </w:r>
          </w:p>
        </w:tc>
        <w:tc>
          <w:tcPr>
            <w:tcW w:w="4643" w:type="dxa"/>
            <w:tcBorders>
              <w:top w:val="nil"/>
              <w:left w:val="nil"/>
              <w:bottom w:val="nil"/>
              <w:right w:val="nil"/>
            </w:tcBorders>
            <w:noWrap w:val="0"/>
            <w:vAlign w:val="top"/>
          </w:tcPr>
          <w:p w14:paraId="27F60403">
            <w:pPr>
              <w:widowControl/>
              <w:spacing w:line="400" w:lineRule="exact"/>
              <w:ind w:firstLine="210"/>
              <w:jc w:val="left"/>
              <w:rPr>
                <w:rFonts w:hint="eastAsia" w:ascii="宋体" w:hAnsi="宋体" w:eastAsia="宋体" w:cs="宋体"/>
                <w:sz w:val="22"/>
                <w:szCs w:val="22"/>
              </w:rPr>
            </w:pPr>
            <w:r>
              <w:rPr>
                <w:rFonts w:hint="eastAsia" w:ascii="宋体" w:hAnsi="宋体" w:eastAsia="宋体" w:cs="宋体"/>
                <w:sz w:val="22"/>
                <w:szCs w:val="22"/>
                <w:lang w:val="zh-CN"/>
              </w:rPr>
              <w:t>电</w:t>
            </w:r>
            <w:r>
              <w:rPr>
                <w:rFonts w:hint="eastAsia" w:ascii="宋体" w:hAnsi="宋体" w:eastAsia="宋体" w:cs="宋体"/>
                <w:sz w:val="22"/>
                <w:szCs w:val="22"/>
              </w:rPr>
              <w:t xml:space="preserve">    </w:t>
            </w:r>
            <w:r>
              <w:rPr>
                <w:rFonts w:hint="eastAsia" w:ascii="宋体" w:hAnsi="宋体" w:eastAsia="宋体" w:cs="宋体"/>
                <w:sz w:val="22"/>
                <w:szCs w:val="22"/>
                <w:lang w:val="zh-CN"/>
              </w:rPr>
              <w:t>话：</w:t>
            </w:r>
          </w:p>
        </w:tc>
      </w:tr>
      <w:tr w14:paraId="444015B0">
        <w:tblPrEx>
          <w:tblCellMar>
            <w:top w:w="0" w:type="dxa"/>
            <w:left w:w="0" w:type="dxa"/>
            <w:bottom w:w="0" w:type="dxa"/>
            <w:right w:w="0" w:type="dxa"/>
          </w:tblCellMar>
        </w:tblPrEx>
        <w:tc>
          <w:tcPr>
            <w:tcW w:w="4643" w:type="dxa"/>
            <w:tcBorders>
              <w:top w:val="nil"/>
              <w:left w:val="nil"/>
              <w:bottom w:val="nil"/>
              <w:right w:val="nil"/>
            </w:tcBorders>
            <w:noWrap w:val="0"/>
            <w:vAlign w:val="top"/>
          </w:tcPr>
          <w:p w14:paraId="64465F67">
            <w:pPr>
              <w:widowControl/>
              <w:spacing w:line="400" w:lineRule="exact"/>
              <w:ind w:firstLine="420"/>
              <w:jc w:val="left"/>
              <w:rPr>
                <w:rFonts w:hint="eastAsia" w:ascii="宋体" w:hAnsi="宋体" w:eastAsia="宋体" w:cs="宋体"/>
                <w:sz w:val="22"/>
                <w:szCs w:val="22"/>
              </w:rPr>
            </w:pPr>
            <w:r>
              <w:rPr>
                <w:rFonts w:hint="eastAsia" w:ascii="宋体" w:hAnsi="宋体" w:eastAsia="宋体" w:cs="宋体"/>
                <w:sz w:val="22"/>
                <w:szCs w:val="22"/>
                <w:lang w:val="zh-CN"/>
              </w:rPr>
              <w:t>开户银行：</w:t>
            </w:r>
          </w:p>
        </w:tc>
        <w:tc>
          <w:tcPr>
            <w:tcW w:w="4643" w:type="dxa"/>
            <w:tcBorders>
              <w:top w:val="nil"/>
              <w:left w:val="nil"/>
              <w:bottom w:val="nil"/>
              <w:right w:val="nil"/>
            </w:tcBorders>
            <w:noWrap w:val="0"/>
            <w:vAlign w:val="top"/>
          </w:tcPr>
          <w:p w14:paraId="5D84183A">
            <w:pPr>
              <w:widowControl/>
              <w:spacing w:line="400" w:lineRule="exact"/>
              <w:ind w:firstLine="210"/>
              <w:jc w:val="left"/>
              <w:rPr>
                <w:rFonts w:hint="eastAsia" w:ascii="宋体" w:hAnsi="宋体" w:eastAsia="宋体" w:cs="宋体"/>
                <w:sz w:val="22"/>
                <w:szCs w:val="22"/>
              </w:rPr>
            </w:pPr>
            <w:r>
              <w:rPr>
                <w:rFonts w:hint="eastAsia" w:ascii="宋体" w:hAnsi="宋体" w:eastAsia="宋体" w:cs="宋体"/>
                <w:sz w:val="22"/>
                <w:szCs w:val="22"/>
                <w:lang w:val="zh-CN"/>
              </w:rPr>
              <w:t>开户银行：</w:t>
            </w:r>
          </w:p>
        </w:tc>
      </w:tr>
      <w:tr w14:paraId="356F229D">
        <w:tblPrEx>
          <w:tblCellMar>
            <w:top w:w="0" w:type="dxa"/>
            <w:left w:w="0" w:type="dxa"/>
            <w:bottom w:w="0" w:type="dxa"/>
            <w:right w:w="0" w:type="dxa"/>
          </w:tblCellMar>
        </w:tblPrEx>
        <w:tc>
          <w:tcPr>
            <w:tcW w:w="4643" w:type="dxa"/>
            <w:tcBorders>
              <w:top w:val="nil"/>
              <w:left w:val="nil"/>
              <w:bottom w:val="nil"/>
              <w:right w:val="nil"/>
            </w:tcBorders>
            <w:noWrap w:val="0"/>
            <w:vAlign w:val="top"/>
          </w:tcPr>
          <w:p w14:paraId="5C7EA379">
            <w:pPr>
              <w:widowControl/>
              <w:spacing w:line="400" w:lineRule="exact"/>
              <w:ind w:firstLine="420"/>
              <w:jc w:val="left"/>
              <w:rPr>
                <w:rFonts w:hint="eastAsia" w:ascii="宋体" w:hAnsi="宋体" w:eastAsia="宋体" w:cs="宋体"/>
                <w:sz w:val="22"/>
                <w:szCs w:val="22"/>
              </w:rPr>
            </w:pPr>
            <w:r>
              <w:rPr>
                <w:rFonts w:hint="eastAsia" w:ascii="宋体" w:hAnsi="宋体" w:eastAsia="宋体" w:cs="宋体"/>
                <w:sz w:val="22"/>
                <w:szCs w:val="22"/>
                <w:lang w:val="zh-CN"/>
              </w:rPr>
              <w:t>账    号：</w:t>
            </w:r>
          </w:p>
        </w:tc>
        <w:tc>
          <w:tcPr>
            <w:tcW w:w="4643" w:type="dxa"/>
            <w:tcBorders>
              <w:top w:val="nil"/>
              <w:left w:val="nil"/>
              <w:bottom w:val="nil"/>
              <w:right w:val="nil"/>
            </w:tcBorders>
            <w:noWrap w:val="0"/>
            <w:vAlign w:val="top"/>
          </w:tcPr>
          <w:p w14:paraId="3B1E334A">
            <w:pPr>
              <w:widowControl/>
              <w:spacing w:line="400" w:lineRule="exact"/>
              <w:ind w:firstLine="210"/>
              <w:jc w:val="left"/>
              <w:rPr>
                <w:rFonts w:hint="eastAsia" w:ascii="宋体" w:hAnsi="宋体" w:eastAsia="宋体" w:cs="宋体"/>
                <w:sz w:val="22"/>
                <w:szCs w:val="22"/>
                <w:lang w:val="zh-CN"/>
              </w:rPr>
            </w:pPr>
            <w:r>
              <w:rPr>
                <w:rFonts w:hint="eastAsia" w:ascii="宋体" w:hAnsi="宋体" w:eastAsia="宋体" w:cs="宋体"/>
                <w:sz w:val="22"/>
                <w:szCs w:val="22"/>
                <w:lang w:val="zh-CN"/>
              </w:rPr>
              <w:t>账    号：</w:t>
            </w:r>
          </w:p>
          <w:p w14:paraId="0BCEF683">
            <w:pPr>
              <w:widowControl/>
              <w:spacing w:line="400" w:lineRule="exact"/>
              <w:jc w:val="left"/>
              <w:rPr>
                <w:rFonts w:hint="eastAsia" w:ascii="宋体" w:hAnsi="宋体" w:eastAsia="宋体" w:cs="宋体"/>
                <w:sz w:val="22"/>
                <w:szCs w:val="22"/>
                <w:lang w:val="zh-CN"/>
              </w:rPr>
            </w:pPr>
          </w:p>
        </w:tc>
      </w:tr>
    </w:tbl>
    <w:p w14:paraId="7CB8C9AC">
      <w:pPr>
        <w:jc w:val="both"/>
        <w:rPr>
          <w:rFonts w:hint="eastAsia"/>
          <w:color w:val="auto"/>
          <w:sz w:val="28"/>
          <w:szCs w:val="22"/>
          <w:lang w:eastAsia="zh-CN"/>
        </w:rPr>
      </w:pPr>
      <w:r>
        <w:rPr>
          <w:rFonts w:hint="eastAsia"/>
          <w:color w:val="auto"/>
          <w:sz w:val="28"/>
          <w:szCs w:val="22"/>
          <w:lang w:eastAsia="zh-CN"/>
        </w:rPr>
        <w:br w:type="page"/>
      </w:r>
    </w:p>
    <w:p w14:paraId="76C9FC51">
      <w:pPr>
        <w:pStyle w:val="210"/>
        <w:spacing w:line="240" w:lineRule="auto"/>
        <w:jc w:val="both"/>
        <w:rPr>
          <w:rFonts w:hint="default" w:eastAsia="黑体"/>
          <w:color w:val="auto"/>
          <w:sz w:val="28"/>
          <w:szCs w:val="22"/>
          <w:lang w:val="en-US" w:eastAsia="zh-CN"/>
        </w:rPr>
      </w:pPr>
      <w:r>
        <w:rPr>
          <w:rFonts w:hint="eastAsia"/>
          <w:color w:val="auto"/>
          <w:sz w:val="28"/>
          <w:szCs w:val="22"/>
          <w:lang w:eastAsia="zh-CN"/>
        </w:rPr>
        <w:t>附件</w:t>
      </w:r>
      <w:r>
        <w:rPr>
          <w:rFonts w:hint="eastAsia"/>
          <w:color w:val="auto"/>
          <w:sz w:val="28"/>
          <w:szCs w:val="22"/>
          <w:lang w:val="en-US" w:eastAsia="zh-CN"/>
        </w:rPr>
        <w:t>一</w:t>
      </w:r>
      <w:r>
        <w:rPr>
          <w:rFonts w:hint="eastAsia"/>
          <w:color w:val="auto"/>
          <w:sz w:val="28"/>
          <w:szCs w:val="22"/>
          <w:lang w:eastAsia="zh-CN"/>
        </w:rPr>
        <w:t>：考核</w:t>
      </w:r>
      <w:r>
        <w:rPr>
          <w:rFonts w:hint="eastAsia"/>
          <w:color w:val="auto"/>
          <w:sz w:val="28"/>
          <w:szCs w:val="22"/>
          <w:lang w:val="en-US" w:eastAsia="zh-CN"/>
        </w:rPr>
        <w:t>表</w:t>
      </w:r>
    </w:p>
    <w:tbl>
      <w:tblPr>
        <w:tblStyle w:val="38"/>
        <w:tblpPr w:leftFromText="180" w:rightFromText="180" w:vertAnchor="text" w:horzAnchor="page" w:tblpX="734" w:tblpY="129"/>
        <w:tblOverlap w:val="never"/>
        <w:tblW w:w="9797"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539"/>
        <w:gridCol w:w="2843"/>
        <w:gridCol w:w="577"/>
        <w:gridCol w:w="2904"/>
        <w:gridCol w:w="575"/>
        <w:gridCol w:w="1359"/>
      </w:tblGrid>
      <w:tr w14:paraId="7712816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75" w:hRule="atLeast"/>
          <w:tblHeader/>
          <w:jc w:val="center"/>
        </w:trPr>
        <w:tc>
          <w:tcPr>
            <w:tcW w:w="1539" w:type="dxa"/>
            <w:noWrap w:val="0"/>
            <w:vAlign w:val="center"/>
          </w:tcPr>
          <w:p w14:paraId="7786EE74">
            <w:pPr>
              <w:widowControl/>
              <w:spacing w:line="340" w:lineRule="exact"/>
              <w:jc w:val="center"/>
              <w:rPr>
                <w:rFonts w:ascii="方正仿宋简体" w:hAnsi="方正仿宋简体" w:eastAsia="方正仿宋简体"/>
                <w:b w:val="0"/>
                <w:bCs w:val="0"/>
                <w:color w:val="000000"/>
                <w:sz w:val="28"/>
                <w:szCs w:val="28"/>
              </w:rPr>
            </w:pPr>
            <w:r>
              <w:rPr>
                <w:rFonts w:hint="eastAsia" w:ascii="方正仿宋简体" w:hAnsi="方正仿宋简体" w:eastAsia="方正仿宋简体"/>
                <w:b w:val="0"/>
                <w:bCs w:val="0"/>
                <w:color w:val="000000"/>
                <w:sz w:val="28"/>
                <w:szCs w:val="28"/>
              </w:rPr>
              <w:t>考核项目</w:t>
            </w:r>
          </w:p>
        </w:tc>
        <w:tc>
          <w:tcPr>
            <w:tcW w:w="2843" w:type="dxa"/>
            <w:tcBorders>
              <w:right w:val="single" w:color="auto" w:sz="4" w:space="0"/>
            </w:tcBorders>
            <w:noWrap w:val="0"/>
            <w:vAlign w:val="center"/>
          </w:tcPr>
          <w:p w14:paraId="140B0B0A">
            <w:pPr>
              <w:widowControl/>
              <w:spacing w:line="340" w:lineRule="exact"/>
              <w:jc w:val="center"/>
              <w:rPr>
                <w:rFonts w:ascii="方正仿宋简体" w:hAnsi="方正仿宋简体" w:eastAsia="方正仿宋简体"/>
                <w:b w:val="0"/>
                <w:bCs w:val="0"/>
                <w:color w:val="000000"/>
                <w:sz w:val="28"/>
                <w:szCs w:val="28"/>
              </w:rPr>
            </w:pPr>
            <w:r>
              <w:rPr>
                <w:rFonts w:hint="eastAsia" w:ascii="方正仿宋简体" w:hAnsi="方正仿宋简体" w:eastAsia="方正仿宋简体"/>
                <w:b w:val="0"/>
                <w:bCs w:val="0"/>
                <w:color w:val="000000"/>
                <w:sz w:val="28"/>
                <w:szCs w:val="28"/>
              </w:rPr>
              <w:t>考核内容</w:t>
            </w:r>
          </w:p>
        </w:tc>
        <w:tc>
          <w:tcPr>
            <w:tcW w:w="577" w:type="dxa"/>
            <w:tcBorders>
              <w:left w:val="single" w:color="auto" w:sz="4" w:space="0"/>
            </w:tcBorders>
            <w:noWrap w:val="0"/>
            <w:vAlign w:val="center"/>
          </w:tcPr>
          <w:p w14:paraId="4AC5B071">
            <w:pPr>
              <w:widowControl/>
              <w:spacing w:line="340" w:lineRule="exact"/>
              <w:jc w:val="center"/>
              <w:rPr>
                <w:rFonts w:ascii="方正仿宋简体" w:hAnsi="方正仿宋简体" w:eastAsia="方正仿宋简体"/>
                <w:b w:val="0"/>
                <w:bCs w:val="0"/>
                <w:color w:val="000000"/>
                <w:sz w:val="28"/>
                <w:szCs w:val="28"/>
              </w:rPr>
            </w:pPr>
            <w:r>
              <w:rPr>
                <w:rFonts w:hint="eastAsia" w:ascii="方正仿宋简体" w:hAnsi="方正仿宋简体" w:eastAsia="方正仿宋简体"/>
                <w:b w:val="0"/>
                <w:bCs w:val="0"/>
                <w:color w:val="000000"/>
                <w:sz w:val="28"/>
                <w:szCs w:val="28"/>
              </w:rPr>
              <w:t>分值</w:t>
            </w:r>
          </w:p>
        </w:tc>
        <w:tc>
          <w:tcPr>
            <w:tcW w:w="2904" w:type="dxa"/>
            <w:noWrap w:val="0"/>
            <w:vAlign w:val="center"/>
          </w:tcPr>
          <w:p w14:paraId="53AFC137">
            <w:pPr>
              <w:widowControl/>
              <w:spacing w:line="340" w:lineRule="exact"/>
              <w:jc w:val="center"/>
              <w:rPr>
                <w:rFonts w:ascii="方正仿宋简体" w:hAnsi="方正仿宋简体" w:eastAsia="方正仿宋简体"/>
                <w:b w:val="0"/>
                <w:bCs w:val="0"/>
                <w:color w:val="000000"/>
                <w:sz w:val="28"/>
                <w:szCs w:val="28"/>
              </w:rPr>
            </w:pPr>
            <w:r>
              <w:rPr>
                <w:rFonts w:hint="eastAsia" w:ascii="方正仿宋简体" w:hAnsi="方正仿宋简体" w:eastAsia="方正仿宋简体"/>
                <w:b w:val="0"/>
                <w:bCs w:val="0"/>
                <w:color w:val="000000"/>
                <w:sz w:val="28"/>
                <w:szCs w:val="28"/>
              </w:rPr>
              <w:t>评分标准</w:t>
            </w:r>
          </w:p>
        </w:tc>
        <w:tc>
          <w:tcPr>
            <w:tcW w:w="575" w:type="dxa"/>
            <w:noWrap/>
            <w:vAlign w:val="center"/>
          </w:tcPr>
          <w:p w14:paraId="14E8A920">
            <w:pPr>
              <w:widowControl/>
              <w:spacing w:line="340" w:lineRule="exact"/>
              <w:jc w:val="center"/>
              <w:rPr>
                <w:rFonts w:ascii="方正仿宋简体" w:hAnsi="方正仿宋简体" w:eastAsia="方正仿宋简体"/>
                <w:b w:val="0"/>
                <w:bCs w:val="0"/>
                <w:color w:val="000000"/>
                <w:sz w:val="28"/>
                <w:szCs w:val="28"/>
              </w:rPr>
            </w:pPr>
            <w:r>
              <w:rPr>
                <w:rFonts w:hint="eastAsia" w:ascii="方正仿宋简体" w:hAnsi="方正仿宋简体" w:eastAsia="方正仿宋简体"/>
                <w:b w:val="0"/>
                <w:bCs w:val="0"/>
                <w:color w:val="000000"/>
                <w:sz w:val="28"/>
                <w:szCs w:val="28"/>
              </w:rPr>
              <w:t>得分</w:t>
            </w:r>
          </w:p>
        </w:tc>
        <w:tc>
          <w:tcPr>
            <w:tcW w:w="1359" w:type="dxa"/>
            <w:noWrap/>
            <w:vAlign w:val="center"/>
          </w:tcPr>
          <w:p w14:paraId="56BD12BC">
            <w:pPr>
              <w:widowControl/>
              <w:spacing w:line="340" w:lineRule="exact"/>
              <w:jc w:val="center"/>
              <w:rPr>
                <w:rFonts w:hint="eastAsia" w:ascii="方正仿宋简体" w:hAnsi="方正仿宋简体" w:eastAsia="方正仿宋简体"/>
                <w:b w:val="0"/>
                <w:bCs w:val="0"/>
                <w:color w:val="000000"/>
                <w:sz w:val="28"/>
                <w:szCs w:val="28"/>
                <w:lang w:val="en-US" w:eastAsia="zh-CN"/>
              </w:rPr>
            </w:pPr>
            <w:r>
              <w:rPr>
                <w:rFonts w:hint="eastAsia" w:ascii="方正仿宋简体" w:hAnsi="方正仿宋简体" w:eastAsia="方正仿宋简体"/>
                <w:b w:val="0"/>
                <w:bCs w:val="0"/>
                <w:color w:val="000000"/>
                <w:sz w:val="28"/>
                <w:szCs w:val="28"/>
                <w:lang w:val="en-US" w:eastAsia="zh-CN"/>
              </w:rPr>
              <w:t>扣分原因</w:t>
            </w:r>
          </w:p>
        </w:tc>
      </w:tr>
      <w:tr w14:paraId="565AC8A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22" w:hRule="atLeast"/>
          <w:jc w:val="center"/>
        </w:trPr>
        <w:tc>
          <w:tcPr>
            <w:tcW w:w="1539" w:type="dxa"/>
            <w:vMerge w:val="restart"/>
            <w:noWrap w:val="0"/>
            <w:vAlign w:val="center"/>
          </w:tcPr>
          <w:p w14:paraId="22C83689">
            <w:pPr>
              <w:widowControl/>
              <w:spacing w:line="340" w:lineRule="exact"/>
              <w:jc w:val="center"/>
              <w:rPr>
                <w:rFonts w:ascii="方正仿宋简体" w:hAnsi="方正仿宋简体" w:eastAsia="方正仿宋简体" w:cs="Tahoma"/>
                <w:b w:val="0"/>
                <w:bCs w:val="0"/>
                <w:color w:val="000000"/>
                <w:kern w:val="0"/>
                <w:sz w:val="22"/>
                <w:szCs w:val="22"/>
              </w:rPr>
            </w:pPr>
            <w:r>
              <w:rPr>
                <w:rFonts w:hint="eastAsia" w:ascii="方正仿宋简体" w:hAnsi="方正仿宋简体" w:eastAsia="方正仿宋简体" w:cs="Tahoma"/>
                <w:b w:val="0"/>
                <w:bCs w:val="0"/>
                <w:color w:val="000000"/>
                <w:kern w:val="0"/>
                <w:sz w:val="22"/>
                <w:szCs w:val="22"/>
              </w:rPr>
              <w:t>房屋安全日常管理</w:t>
            </w:r>
          </w:p>
          <w:p w14:paraId="20C67CB7">
            <w:pPr>
              <w:widowControl/>
              <w:spacing w:line="340" w:lineRule="exact"/>
              <w:jc w:val="center"/>
              <w:rPr>
                <w:rFonts w:ascii="方正仿宋简体" w:hAnsi="方正仿宋简体" w:eastAsia="方正仿宋简体" w:cs="Tahoma"/>
                <w:b w:val="0"/>
                <w:bCs w:val="0"/>
                <w:color w:val="000000"/>
                <w:kern w:val="0"/>
                <w:sz w:val="22"/>
                <w:szCs w:val="22"/>
              </w:rPr>
            </w:pPr>
            <w:r>
              <w:rPr>
                <w:rFonts w:hint="eastAsia" w:ascii="方正仿宋简体" w:hAnsi="方正仿宋简体" w:eastAsia="方正仿宋简体" w:cs="Tahoma"/>
                <w:b w:val="0"/>
                <w:bCs w:val="0"/>
                <w:color w:val="000000"/>
                <w:kern w:val="0"/>
                <w:sz w:val="22"/>
                <w:szCs w:val="22"/>
              </w:rPr>
              <w:t>(</w:t>
            </w:r>
            <w:r>
              <w:rPr>
                <w:rFonts w:ascii="方正仿宋简体" w:hAnsi="方正仿宋简体" w:eastAsia="方正仿宋简体" w:cs="Tahoma"/>
                <w:b w:val="0"/>
                <w:bCs w:val="0"/>
                <w:color w:val="000000"/>
                <w:kern w:val="0"/>
                <w:sz w:val="22"/>
                <w:szCs w:val="22"/>
              </w:rPr>
              <w:t>70</w:t>
            </w:r>
            <w:r>
              <w:rPr>
                <w:rFonts w:hint="eastAsia" w:ascii="方正仿宋简体" w:hAnsi="方正仿宋简体" w:eastAsia="方正仿宋简体" w:cs="Tahoma"/>
                <w:b w:val="0"/>
                <w:bCs w:val="0"/>
                <w:color w:val="000000"/>
                <w:kern w:val="0"/>
                <w:sz w:val="22"/>
                <w:szCs w:val="22"/>
              </w:rPr>
              <w:t>分)</w:t>
            </w:r>
          </w:p>
        </w:tc>
        <w:tc>
          <w:tcPr>
            <w:tcW w:w="2843" w:type="dxa"/>
            <w:tcBorders>
              <w:bottom w:val="single" w:color="auto" w:sz="4" w:space="0"/>
              <w:right w:val="single" w:color="auto" w:sz="4" w:space="0"/>
            </w:tcBorders>
            <w:noWrap w:val="0"/>
            <w:vAlign w:val="center"/>
          </w:tcPr>
          <w:p w14:paraId="34D7D7CC">
            <w:pPr>
              <w:rPr>
                <w:rFonts w:hint="eastAsia" w:ascii="宋体" w:hAnsi="宋体"/>
                <w:b w:val="0"/>
                <w:bCs w:val="0"/>
                <w:sz w:val="20"/>
                <w:szCs w:val="20"/>
                <w:highlight w:val="none"/>
              </w:rPr>
            </w:pPr>
            <w:r>
              <w:rPr>
                <w:rFonts w:hint="eastAsia" w:ascii="宋体" w:hAnsi="宋体"/>
                <w:b w:val="0"/>
                <w:bCs w:val="0"/>
                <w:sz w:val="20"/>
                <w:szCs w:val="20"/>
                <w:highlight w:val="none"/>
              </w:rPr>
              <w:t>1.组织辖区内房屋安全宣传或培训不少于2次。</w:t>
            </w:r>
          </w:p>
        </w:tc>
        <w:tc>
          <w:tcPr>
            <w:tcW w:w="577" w:type="dxa"/>
            <w:tcBorders>
              <w:left w:val="single" w:color="auto" w:sz="4" w:space="0"/>
              <w:bottom w:val="single" w:color="auto" w:sz="4" w:space="0"/>
            </w:tcBorders>
            <w:noWrap w:val="0"/>
            <w:vAlign w:val="center"/>
          </w:tcPr>
          <w:p w14:paraId="58E22159">
            <w:pPr>
              <w:rPr>
                <w:rFonts w:hint="eastAsia" w:ascii="宋体" w:hAnsi="宋体"/>
                <w:b w:val="0"/>
                <w:bCs w:val="0"/>
                <w:sz w:val="20"/>
                <w:szCs w:val="20"/>
                <w:highlight w:val="none"/>
              </w:rPr>
            </w:pPr>
            <w:r>
              <w:rPr>
                <w:rFonts w:hint="eastAsia" w:ascii="宋体" w:hAnsi="宋体"/>
                <w:b w:val="0"/>
                <w:bCs w:val="0"/>
                <w:sz w:val="20"/>
                <w:szCs w:val="20"/>
                <w:highlight w:val="none"/>
              </w:rPr>
              <w:t>2分</w:t>
            </w:r>
          </w:p>
        </w:tc>
        <w:tc>
          <w:tcPr>
            <w:tcW w:w="2904" w:type="dxa"/>
            <w:tcBorders>
              <w:bottom w:val="single" w:color="auto" w:sz="4" w:space="0"/>
            </w:tcBorders>
            <w:noWrap w:val="0"/>
            <w:vAlign w:val="center"/>
          </w:tcPr>
          <w:p w14:paraId="0B06F365">
            <w:pPr>
              <w:rPr>
                <w:rFonts w:hint="eastAsia" w:ascii="宋体" w:hAnsi="宋体"/>
                <w:b w:val="0"/>
                <w:bCs w:val="0"/>
                <w:sz w:val="20"/>
                <w:szCs w:val="20"/>
                <w:highlight w:val="none"/>
              </w:rPr>
            </w:pPr>
            <w:r>
              <w:rPr>
                <w:rFonts w:hint="eastAsia" w:ascii="宋体" w:hAnsi="宋体"/>
                <w:b w:val="0"/>
                <w:bCs w:val="0"/>
                <w:sz w:val="20"/>
                <w:szCs w:val="20"/>
                <w:highlight w:val="none"/>
              </w:rPr>
              <w:t>每少一次，扣1分。</w:t>
            </w:r>
          </w:p>
        </w:tc>
        <w:tc>
          <w:tcPr>
            <w:tcW w:w="575" w:type="dxa"/>
            <w:tcBorders>
              <w:bottom w:val="single" w:color="auto" w:sz="4" w:space="0"/>
            </w:tcBorders>
            <w:noWrap/>
            <w:vAlign w:val="center"/>
          </w:tcPr>
          <w:p w14:paraId="563D24A4">
            <w:pPr>
              <w:widowControl/>
              <w:spacing w:line="340" w:lineRule="exact"/>
              <w:jc w:val="left"/>
              <w:rPr>
                <w:rFonts w:ascii="方正仿宋简体" w:hAnsi="方正仿宋简体" w:eastAsia="方正仿宋简体" w:cs="Tahoma"/>
                <w:b w:val="0"/>
                <w:bCs w:val="0"/>
                <w:color w:val="000000"/>
                <w:kern w:val="0"/>
                <w:sz w:val="22"/>
                <w:szCs w:val="22"/>
              </w:rPr>
            </w:pPr>
          </w:p>
        </w:tc>
        <w:tc>
          <w:tcPr>
            <w:tcW w:w="1359" w:type="dxa"/>
            <w:tcBorders>
              <w:bottom w:val="single" w:color="auto" w:sz="4" w:space="0"/>
            </w:tcBorders>
            <w:noWrap/>
            <w:vAlign w:val="center"/>
          </w:tcPr>
          <w:p w14:paraId="1CD96835">
            <w:pPr>
              <w:widowControl/>
              <w:spacing w:line="340" w:lineRule="exact"/>
              <w:jc w:val="left"/>
              <w:rPr>
                <w:rFonts w:ascii="方正仿宋简体" w:hAnsi="方正仿宋简体" w:eastAsia="方正仿宋简体" w:cs="Tahoma"/>
                <w:b w:val="0"/>
                <w:bCs w:val="0"/>
                <w:color w:val="000000"/>
                <w:kern w:val="0"/>
                <w:sz w:val="22"/>
                <w:szCs w:val="22"/>
              </w:rPr>
            </w:pPr>
          </w:p>
        </w:tc>
      </w:tr>
      <w:tr w14:paraId="13F4992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22" w:hRule="atLeast"/>
          <w:jc w:val="center"/>
        </w:trPr>
        <w:tc>
          <w:tcPr>
            <w:tcW w:w="1539" w:type="dxa"/>
            <w:vMerge w:val="continue"/>
            <w:noWrap w:val="0"/>
            <w:vAlign w:val="center"/>
          </w:tcPr>
          <w:p w14:paraId="5E6B4924">
            <w:pPr>
              <w:widowControl/>
              <w:spacing w:line="340" w:lineRule="exact"/>
              <w:jc w:val="center"/>
              <w:rPr>
                <w:rFonts w:ascii="方正仿宋简体" w:hAnsi="方正仿宋简体" w:eastAsia="方正仿宋简体" w:cs="Tahoma"/>
                <w:b w:val="0"/>
                <w:bCs w:val="0"/>
                <w:color w:val="000000"/>
                <w:kern w:val="0"/>
                <w:sz w:val="22"/>
                <w:szCs w:val="22"/>
              </w:rPr>
            </w:pPr>
          </w:p>
        </w:tc>
        <w:tc>
          <w:tcPr>
            <w:tcW w:w="2843" w:type="dxa"/>
            <w:tcBorders>
              <w:top w:val="single" w:color="auto" w:sz="4" w:space="0"/>
              <w:bottom w:val="single" w:color="auto" w:sz="4" w:space="0"/>
              <w:right w:val="single" w:color="auto" w:sz="4" w:space="0"/>
            </w:tcBorders>
            <w:noWrap w:val="0"/>
            <w:vAlign w:val="center"/>
          </w:tcPr>
          <w:p w14:paraId="4BEA1631">
            <w:pPr>
              <w:rPr>
                <w:rFonts w:hint="eastAsia" w:ascii="宋体" w:hAnsi="宋体"/>
                <w:b w:val="0"/>
                <w:bCs w:val="0"/>
                <w:sz w:val="20"/>
                <w:szCs w:val="20"/>
                <w:highlight w:val="none"/>
              </w:rPr>
            </w:pPr>
            <w:r>
              <w:rPr>
                <w:rFonts w:hint="eastAsia" w:ascii="宋体" w:hAnsi="宋体"/>
                <w:b w:val="0"/>
                <w:bCs w:val="0"/>
                <w:sz w:val="20"/>
                <w:szCs w:val="20"/>
                <w:highlight w:val="none"/>
              </w:rPr>
              <w:t>2.建立辖区内隐患房屋基础资料台帐体系。</w:t>
            </w:r>
          </w:p>
        </w:tc>
        <w:tc>
          <w:tcPr>
            <w:tcW w:w="577" w:type="dxa"/>
            <w:tcBorders>
              <w:top w:val="single" w:color="auto" w:sz="4" w:space="0"/>
              <w:left w:val="single" w:color="auto" w:sz="4" w:space="0"/>
              <w:bottom w:val="single" w:color="auto" w:sz="4" w:space="0"/>
            </w:tcBorders>
            <w:noWrap w:val="0"/>
            <w:vAlign w:val="center"/>
          </w:tcPr>
          <w:p w14:paraId="591D580F">
            <w:pPr>
              <w:rPr>
                <w:rFonts w:hint="eastAsia" w:ascii="宋体" w:hAnsi="宋体"/>
                <w:b w:val="0"/>
                <w:bCs w:val="0"/>
                <w:sz w:val="20"/>
                <w:szCs w:val="20"/>
                <w:highlight w:val="none"/>
              </w:rPr>
            </w:pPr>
            <w:r>
              <w:rPr>
                <w:rFonts w:hint="eastAsia" w:ascii="宋体" w:hAnsi="宋体"/>
                <w:b w:val="0"/>
                <w:bCs w:val="0"/>
                <w:sz w:val="20"/>
                <w:szCs w:val="20"/>
                <w:highlight w:val="none"/>
              </w:rPr>
              <w:t>2分</w:t>
            </w:r>
          </w:p>
        </w:tc>
        <w:tc>
          <w:tcPr>
            <w:tcW w:w="2904" w:type="dxa"/>
            <w:tcBorders>
              <w:top w:val="single" w:color="auto" w:sz="4" w:space="0"/>
              <w:bottom w:val="single" w:color="auto" w:sz="4" w:space="0"/>
            </w:tcBorders>
            <w:noWrap w:val="0"/>
            <w:vAlign w:val="center"/>
          </w:tcPr>
          <w:p w14:paraId="2B0AC70E">
            <w:pPr>
              <w:rPr>
                <w:rFonts w:hint="eastAsia" w:ascii="宋体" w:hAnsi="宋体"/>
                <w:b w:val="0"/>
                <w:bCs w:val="0"/>
                <w:sz w:val="20"/>
                <w:szCs w:val="20"/>
                <w:highlight w:val="none"/>
              </w:rPr>
            </w:pPr>
            <w:r>
              <w:rPr>
                <w:rFonts w:hint="eastAsia" w:ascii="宋体" w:hAnsi="宋体"/>
                <w:b w:val="0"/>
                <w:bCs w:val="0"/>
                <w:sz w:val="20"/>
                <w:szCs w:val="20"/>
                <w:highlight w:val="none"/>
              </w:rPr>
              <w:t>视检查情况给分，未建立不得分</w:t>
            </w:r>
          </w:p>
        </w:tc>
        <w:tc>
          <w:tcPr>
            <w:tcW w:w="575" w:type="dxa"/>
            <w:tcBorders>
              <w:top w:val="single" w:color="auto" w:sz="4" w:space="0"/>
              <w:bottom w:val="single" w:color="auto" w:sz="4" w:space="0"/>
            </w:tcBorders>
            <w:noWrap/>
            <w:vAlign w:val="center"/>
          </w:tcPr>
          <w:p w14:paraId="32F3BA9E">
            <w:pPr>
              <w:spacing w:line="340" w:lineRule="exact"/>
              <w:jc w:val="left"/>
              <w:rPr>
                <w:rFonts w:ascii="方正仿宋简体" w:hAnsi="方正仿宋简体" w:eastAsia="方正仿宋简体" w:cs="Tahoma"/>
                <w:b w:val="0"/>
                <w:bCs w:val="0"/>
                <w:color w:val="000000"/>
                <w:kern w:val="0"/>
                <w:sz w:val="22"/>
                <w:szCs w:val="22"/>
              </w:rPr>
            </w:pPr>
          </w:p>
        </w:tc>
        <w:tc>
          <w:tcPr>
            <w:tcW w:w="1359" w:type="dxa"/>
            <w:tcBorders>
              <w:top w:val="single" w:color="auto" w:sz="4" w:space="0"/>
              <w:bottom w:val="single" w:color="auto" w:sz="4" w:space="0"/>
            </w:tcBorders>
            <w:noWrap/>
            <w:vAlign w:val="center"/>
          </w:tcPr>
          <w:p w14:paraId="7A382388">
            <w:pPr>
              <w:spacing w:line="340" w:lineRule="exact"/>
              <w:jc w:val="left"/>
              <w:rPr>
                <w:rFonts w:ascii="方正仿宋简体" w:hAnsi="方正仿宋简体" w:eastAsia="方正仿宋简体" w:cs="Tahoma"/>
                <w:b w:val="0"/>
                <w:bCs w:val="0"/>
                <w:color w:val="000000"/>
                <w:kern w:val="0"/>
                <w:sz w:val="22"/>
                <w:szCs w:val="22"/>
              </w:rPr>
            </w:pPr>
          </w:p>
        </w:tc>
      </w:tr>
      <w:tr w14:paraId="212ED4B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1029" w:hRule="atLeast"/>
          <w:jc w:val="center"/>
        </w:trPr>
        <w:tc>
          <w:tcPr>
            <w:tcW w:w="1539" w:type="dxa"/>
            <w:vMerge w:val="continue"/>
            <w:noWrap w:val="0"/>
            <w:vAlign w:val="center"/>
          </w:tcPr>
          <w:p w14:paraId="75D2DD03">
            <w:pPr>
              <w:widowControl/>
              <w:spacing w:line="340" w:lineRule="exact"/>
              <w:jc w:val="center"/>
              <w:rPr>
                <w:rFonts w:ascii="方正仿宋简体" w:hAnsi="方正仿宋简体" w:eastAsia="方正仿宋简体" w:cs="Tahoma"/>
                <w:b w:val="0"/>
                <w:bCs w:val="0"/>
                <w:color w:val="000000"/>
                <w:kern w:val="0"/>
                <w:sz w:val="22"/>
                <w:szCs w:val="22"/>
              </w:rPr>
            </w:pPr>
          </w:p>
        </w:tc>
        <w:tc>
          <w:tcPr>
            <w:tcW w:w="2843" w:type="dxa"/>
            <w:tcBorders>
              <w:top w:val="single" w:color="auto" w:sz="4" w:space="0"/>
              <w:bottom w:val="single" w:color="auto" w:sz="4" w:space="0"/>
              <w:right w:val="single" w:color="auto" w:sz="4" w:space="0"/>
            </w:tcBorders>
            <w:noWrap w:val="0"/>
            <w:vAlign w:val="center"/>
          </w:tcPr>
          <w:p w14:paraId="5A817E1D">
            <w:pPr>
              <w:rPr>
                <w:rFonts w:hint="eastAsia" w:ascii="宋体" w:hAnsi="宋体"/>
                <w:b w:val="0"/>
                <w:bCs w:val="0"/>
                <w:sz w:val="20"/>
                <w:szCs w:val="20"/>
                <w:highlight w:val="none"/>
              </w:rPr>
            </w:pPr>
            <w:r>
              <w:rPr>
                <w:rFonts w:hint="eastAsia" w:ascii="宋体" w:hAnsi="宋体"/>
                <w:b w:val="0"/>
                <w:bCs w:val="0"/>
                <w:sz w:val="20"/>
                <w:szCs w:val="20"/>
                <w:highlight w:val="none"/>
              </w:rPr>
              <w:t>3.拆改投诉处理、综合受理窗口运行顺利，资料记录归档符合要求。</w:t>
            </w:r>
          </w:p>
        </w:tc>
        <w:tc>
          <w:tcPr>
            <w:tcW w:w="577" w:type="dxa"/>
            <w:tcBorders>
              <w:top w:val="single" w:color="auto" w:sz="4" w:space="0"/>
              <w:left w:val="single" w:color="auto" w:sz="4" w:space="0"/>
              <w:bottom w:val="single" w:color="auto" w:sz="4" w:space="0"/>
            </w:tcBorders>
            <w:noWrap w:val="0"/>
            <w:vAlign w:val="center"/>
          </w:tcPr>
          <w:p w14:paraId="39770318">
            <w:pPr>
              <w:rPr>
                <w:rFonts w:hint="eastAsia" w:ascii="宋体" w:hAnsi="宋体"/>
                <w:b w:val="0"/>
                <w:bCs w:val="0"/>
                <w:sz w:val="20"/>
                <w:szCs w:val="20"/>
                <w:highlight w:val="none"/>
              </w:rPr>
            </w:pPr>
            <w:r>
              <w:rPr>
                <w:rFonts w:hint="eastAsia" w:ascii="宋体" w:hAnsi="宋体"/>
                <w:b w:val="0"/>
                <w:bCs w:val="0"/>
                <w:sz w:val="20"/>
                <w:szCs w:val="20"/>
                <w:highlight w:val="none"/>
                <w:lang w:val="en-US" w:eastAsia="zh-CN"/>
              </w:rPr>
              <w:t>20</w:t>
            </w:r>
            <w:r>
              <w:rPr>
                <w:rFonts w:hint="eastAsia" w:ascii="宋体" w:hAnsi="宋体"/>
                <w:b w:val="0"/>
                <w:bCs w:val="0"/>
                <w:sz w:val="20"/>
                <w:szCs w:val="20"/>
                <w:highlight w:val="none"/>
              </w:rPr>
              <w:t>分</w:t>
            </w:r>
          </w:p>
        </w:tc>
        <w:tc>
          <w:tcPr>
            <w:tcW w:w="2904" w:type="dxa"/>
            <w:tcBorders>
              <w:top w:val="single" w:color="auto" w:sz="4" w:space="0"/>
              <w:bottom w:val="single" w:color="auto" w:sz="4" w:space="0"/>
            </w:tcBorders>
            <w:noWrap w:val="0"/>
            <w:vAlign w:val="center"/>
          </w:tcPr>
          <w:p w14:paraId="6168FAE5">
            <w:pPr>
              <w:rPr>
                <w:rFonts w:hint="eastAsia" w:ascii="宋体" w:hAnsi="宋体"/>
                <w:b w:val="0"/>
                <w:bCs w:val="0"/>
                <w:sz w:val="20"/>
                <w:szCs w:val="20"/>
                <w:highlight w:val="none"/>
              </w:rPr>
            </w:pPr>
            <w:r>
              <w:rPr>
                <w:rFonts w:hint="eastAsia" w:ascii="宋体" w:hAnsi="宋体"/>
                <w:b w:val="0"/>
                <w:bCs w:val="0"/>
                <w:sz w:val="20"/>
                <w:szCs w:val="20"/>
                <w:highlight w:val="none"/>
              </w:rPr>
              <w:t>台帐资料不全、不符合要求的，每项扣1分；</w:t>
            </w:r>
          </w:p>
          <w:p w14:paraId="32129ADC">
            <w:pPr>
              <w:rPr>
                <w:rFonts w:hint="eastAsia" w:ascii="宋体" w:hAnsi="宋体"/>
                <w:b w:val="0"/>
                <w:bCs w:val="0"/>
                <w:sz w:val="20"/>
                <w:szCs w:val="20"/>
                <w:highlight w:val="none"/>
              </w:rPr>
            </w:pPr>
            <w:r>
              <w:rPr>
                <w:rFonts w:hint="eastAsia" w:ascii="宋体" w:hAnsi="宋体"/>
                <w:b w:val="0"/>
                <w:bCs w:val="0"/>
                <w:sz w:val="20"/>
                <w:szCs w:val="20"/>
                <w:highlight w:val="none"/>
              </w:rPr>
              <w:t>案件材料未归档的，每项扣1分。</w:t>
            </w:r>
          </w:p>
        </w:tc>
        <w:tc>
          <w:tcPr>
            <w:tcW w:w="575" w:type="dxa"/>
            <w:tcBorders>
              <w:top w:val="single" w:color="auto" w:sz="4" w:space="0"/>
              <w:bottom w:val="single" w:color="auto" w:sz="4" w:space="0"/>
            </w:tcBorders>
            <w:noWrap/>
            <w:vAlign w:val="center"/>
          </w:tcPr>
          <w:p w14:paraId="1D5D62D4">
            <w:pPr>
              <w:spacing w:line="340" w:lineRule="exact"/>
              <w:jc w:val="left"/>
              <w:rPr>
                <w:rFonts w:ascii="方正仿宋简体" w:hAnsi="方正仿宋简体" w:eastAsia="方正仿宋简体" w:cs="Tahoma"/>
                <w:b w:val="0"/>
                <w:bCs w:val="0"/>
                <w:color w:val="000000"/>
                <w:kern w:val="0"/>
                <w:sz w:val="22"/>
                <w:szCs w:val="22"/>
              </w:rPr>
            </w:pPr>
          </w:p>
        </w:tc>
        <w:tc>
          <w:tcPr>
            <w:tcW w:w="1359" w:type="dxa"/>
            <w:tcBorders>
              <w:top w:val="single" w:color="auto" w:sz="4" w:space="0"/>
              <w:bottom w:val="single" w:color="auto" w:sz="4" w:space="0"/>
            </w:tcBorders>
            <w:noWrap/>
            <w:vAlign w:val="center"/>
          </w:tcPr>
          <w:p w14:paraId="3F621747">
            <w:pPr>
              <w:spacing w:line="340" w:lineRule="exact"/>
              <w:jc w:val="left"/>
              <w:rPr>
                <w:rFonts w:ascii="方正仿宋简体" w:hAnsi="方正仿宋简体" w:eastAsia="方正仿宋简体" w:cs="Tahoma"/>
                <w:b w:val="0"/>
                <w:bCs w:val="0"/>
                <w:color w:val="000000"/>
                <w:kern w:val="0"/>
                <w:sz w:val="22"/>
                <w:szCs w:val="22"/>
              </w:rPr>
            </w:pPr>
          </w:p>
        </w:tc>
      </w:tr>
      <w:tr w14:paraId="79CBC3B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76" w:hRule="atLeast"/>
          <w:jc w:val="center"/>
        </w:trPr>
        <w:tc>
          <w:tcPr>
            <w:tcW w:w="1539" w:type="dxa"/>
            <w:vMerge w:val="continue"/>
            <w:noWrap w:val="0"/>
            <w:vAlign w:val="center"/>
          </w:tcPr>
          <w:p w14:paraId="1791F4C1">
            <w:pPr>
              <w:widowControl/>
              <w:spacing w:line="340" w:lineRule="exact"/>
              <w:jc w:val="center"/>
              <w:rPr>
                <w:rFonts w:ascii="方正仿宋简体" w:hAnsi="方正仿宋简体" w:eastAsia="方正仿宋简体" w:cs="Tahoma"/>
                <w:b w:val="0"/>
                <w:bCs w:val="0"/>
                <w:color w:val="000000"/>
                <w:kern w:val="0"/>
                <w:sz w:val="22"/>
                <w:szCs w:val="22"/>
              </w:rPr>
            </w:pPr>
          </w:p>
        </w:tc>
        <w:tc>
          <w:tcPr>
            <w:tcW w:w="2843" w:type="dxa"/>
            <w:tcBorders>
              <w:top w:val="single" w:color="auto" w:sz="4" w:space="0"/>
              <w:bottom w:val="single" w:color="auto" w:sz="4" w:space="0"/>
              <w:right w:val="single" w:color="auto" w:sz="4" w:space="0"/>
            </w:tcBorders>
            <w:noWrap w:val="0"/>
            <w:vAlign w:val="center"/>
          </w:tcPr>
          <w:p w14:paraId="74ADCB80">
            <w:pPr>
              <w:rPr>
                <w:rFonts w:hint="eastAsia" w:ascii="宋体" w:hAnsi="宋体"/>
                <w:b w:val="0"/>
                <w:bCs w:val="0"/>
                <w:sz w:val="20"/>
                <w:szCs w:val="20"/>
                <w:highlight w:val="none"/>
              </w:rPr>
            </w:pPr>
            <w:r>
              <w:rPr>
                <w:rFonts w:hint="eastAsia" w:ascii="宋体" w:hAnsi="宋体"/>
                <w:b w:val="0"/>
                <w:bCs w:val="0"/>
                <w:sz w:val="20"/>
                <w:szCs w:val="20"/>
                <w:highlight w:val="none"/>
              </w:rPr>
              <w:t>4.按要求完成日常巡查，记录详实无虚假，确保房屋安全形势稳定。</w:t>
            </w:r>
          </w:p>
        </w:tc>
        <w:tc>
          <w:tcPr>
            <w:tcW w:w="577" w:type="dxa"/>
            <w:tcBorders>
              <w:top w:val="single" w:color="auto" w:sz="4" w:space="0"/>
              <w:left w:val="single" w:color="auto" w:sz="4" w:space="0"/>
              <w:bottom w:val="single" w:color="auto" w:sz="4" w:space="0"/>
            </w:tcBorders>
            <w:noWrap w:val="0"/>
            <w:vAlign w:val="center"/>
          </w:tcPr>
          <w:p w14:paraId="7558417D">
            <w:pPr>
              <w:rPr>
                <w:rFonts w:hint="eastAsia" w:ascii="宋体" w:hAnsi="宋体"/>
                <w:b w:val="0"/>
                <w:bCs w:val="0"/>
                <w:sz w:val="20"/>
                <w:szCs w:val="20"/>
                <w:highlight w:val="none"/>
              </w:rPr>
            </w:pPr>
            <w:r>
              <w:rPr>
                <w:rFonts w:hint="eastAsia" w:ascii="宋体" w:hAnsi="宋体"/>
                <w:b w:val="0"/>
                <w:bCs w:val="0"/>
                <w:sz w:val="20"/>
                <w:szCs w:val="20"/>
                <w:highlight w:val="none"/>
                <w:lang w:val="en-US" w:eastAsia="zh-CN"/>
              </w:rPr>
              <w:t>15</w:t>
            </w:r>
            <w:r>
              <w:rPr>
                <w:rFonts w:hint="eastAsia" w:ascii="宋体" w:hAnsi="宋体"/>
                <w:b w:val="0"/>
                <w:bCs w:val="0"/>
                <w:sz w:val="20"/>
                <w:szCs w:val="20"/>
                <w:highlight w:val="none"/>
              </w:rPr>
              <w:t>分</w:t>
            </w:r>
          </w:p>
        </w:tc>
        <w:tc>
          <w:tcPr>
            <w:tcW w:w="2904" w:type="dxa"/>
            <w:tcBorders>
              <w:top w:val="single" w:color="auto" w:sz="4" w:space="0"/>
              <w:bottom w:val="single" w:color="auto" w:sz="4" w:space="0"/>
            </w:tcBorders>
            <w:noWrap w:val="0"/>
            <w:vAlign w:val="center"/>
          </w:tcPr>
          <w:p w14:paraId="0EFA6541">
            <w:pPr>
              <w:rPr>
                <w:rFonts w:hint="eastAsia" w:ascii="宋体" w:hAnsi="宋体"/>
                <w:b w:val="0"/>
                <w:bCs w:val="0"/>
                <w:sz w:val="20"/>
                <w:szCs w:val="20"/>
                <w:highlight w:val="none"/>
              </w:rPr>
            </w:pPr>
            <w:r>
              <w:rPr>
                <w:rFonts w:hint="eastAsia" w:ascii="宋体" w:hAnsi="宋体"/>
                <w:b w:val="0"/>
                <w:bCs w:val="0"/>
                <w:sz w:val="20"/>
                <w:szCs w:val="20"/>
                <w:highlight w:val="none"/>
              </w:rPr>
              <w:t>视检查情况给分，未开展不得分。</w:t>
            </w:r>
          </w:p>
        </w:tc>
        <w:tc>
          <w:tcPr>
            <w:tcW w:w="575" w:type="dxa"/>
            <w:tcBorders>
              <w:top w:val="single" w:color="auto" w:sz="4" w:space="0"/>
              <w:bottom w:val="single" w:color="auto" w:sz="4" w:space="0"/>
            </w:tcBorders>
            <w:noWrap/>
            <w:vAlign w:val="center"/>
          </w:tcPr>
          <w:p w14:paraId="7FED35D2">
            <w:pPr>
              <w:spacing w:line="340" w:lineRule="exact"/>
              <w:jc w:val="left"/>
              <w:rPr>
                <w:rFonts w:ascii="方正仿宋简体" w:hAnsi="方正仿宋简体" w:eastAsia="方正仿宋简体" w:cs="Tahoma"/>
                <w:b w:val="0"/>
                <w:bCs w:val="0"/>
                <w:color w:val="000000"/>
                <w:kern w:val="0"/>
                <w:sz w:val="22"/>
                <w:szCs w:val="22"/>
              </w:rPr>
            </w:pPr>
          </w:p>
        </w:tc>
        <w:tc>
          <w:tcPr>
            <w:tcW w:w="1359" w:type="dxa"/>
            <w:tcBorders>
              <w:top w:val="single" w:color="auto" w:sz="4" w:space="0"/>
              <w:bottom w:val="single" w:color="auto" w:sz="4" w:space="0"/>
            </w:tcBorders>
            <w:noWrap/>
            <w:vAlign w:val="center"/>
          </w:tcPr>
          <w:p w14:paraId="78084B7A">
            <w:pPr>
              <w:spacing w:line="340" w:lineRule="exact"/>
              <w:jc w:val="left"/>
              <w:rPr>
                <w:rFonts w:ascii="方正仿宋简体" w:hAnsi="方正仿宋简体" w:eastAsia="方正仿宋简体" w:cs="Tahoma"/>
                <w:b w:val="0"/>
                <w:bCs w:val="0"/>
                <w:color w:val="000000"/>
                <w:kern w:val="0"/>
                <w:sz w:val="22"/>
                <w:szCs w:val="22"/>
              </w:rPr>
            </w:pPr>
          </w:p>
        </w:tc>
      </w:tr>
      <w:tr w14:paraId="4C02384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22" w:hRule="atLeast"/>
          <w:jc w:val="center"/>
        </w:trPr>
        <w:tc>
          <w:tcPr>
            <w:tcW w:w="1539" w:type="dxa"/>
            <w:vMerge w:val="continue"/>
            <w:noWrap w:val="0"/>
            <w:vAlign w:val="center"/>
          </w:tcPr>
          <w:p w14:paraId="23648C7F">
            <w:pPr>
              <w:widowControl/>
              <w:spacing w:line="340" w:lineRule="exact"/>
              <w:jc w:val="center"/>
              <w:rPr>
                <w:rFonts w:ascii="方正仿宋简体" w:hAnsi="方正仿宋简体" w:eastAsia="方正仿宋简体" w:cs="Tahoma"/>
                <w:b w:val="0"/>
                <w:bCs w:val="0"/>
                <w:color w:val="000000"/>
                <w:kern w:val="0"/>
                <w:sz w:val="22"/>
                <w:szCs w:val="22"/>
              </w:rPr>
            </w:pPr>
          </w:p>
        </w:tc>
        <w:tc>
          <w:tcPr>
            <w:tcW w:w="2843" w:type="dxa"/>
            <w:tcBorders>
              <w:top w:val="single" w:color="auto" w:sz="4" w:space="0"/>
              <w:bottom w:val="single" w:color="auto" w:sz="4" w:space="0"/>
              <w:right w:val="single" w:color="auto" w:sz="4" w:space="0"/>
            </w:tcBorders>
            <w:noWrap w:val="0"/>
            <w:vAlign w:val="center"/>
          </w:tcPr>
          <w:p w14:paraId="715114CE">
            <w:pPr>
              <w:rPr>
                <w:rFonts w:hint="eastAsia" w:ascii="宋体" w:hAnsi="宋体"/>
                <w:b w:val="0"/>
                <w:bCs w:val="0"/>
                <w:sz w:val="20"/>
                <w:szCs w:val="20"/>
                <w:highlight w:val="none"/>
              </w:rPr>
            </w:pPr>
            <w:r>
              <w:rPr>
                <w:rFonts w:hint="eastAsia" w:ascii="宋体" w:hAnsi="宋体"/>
                <w:b w:val="0"/>
                <w:bCs w:val="0"/>
                <w:sz w:val="20"/>
                <w:szCs w:val="20"/>
                <w:highlight w:val="none"/>
              </w:rPr>
              <w:t>5.编制应急预案，并每年开展应急演练。</w:t>
            </w:r>
          </w:p>
        </w:tc>
        <w:tc>
          <w:tcPr>
            <w:tcW w:w="577" w:type="dxa"/>
            <w:tcBorders>
              <w:top w:val="single" w:color="auto" w:sz="4" w:space="0"/>
              <w:left w:val="single" w:color="auto" w:sz="4" w:space="0"/>
              <w:bottom w:val="single" w:color="auto" w:sz="4" w:space="0"/>
            </w:tcBorders>
            <w:noWrap w:val="0"/>
            <w:vAlign w:val="center"/>
          </w:tcPr>
          <w:p w14:paraId="7F7EAAE6">
            <w:pPr>
              <w:rPr>
                <w:rFonts w:hint="eastAsia" w:ascii="宋体" w:hAnsi="宋体"/>
                <w:b w:val="0"/>
                <w:bCs w:val="0"/>
                <w:sz w:val="20"/>
                <w:szCs w:val="20"/>
                <w:highlight w:val="none"/>
              </w:rPr>
            </w:pPr>
            <w:r>
              <w:rPr>
                <w:rFonts w:hint="eastAsia" w:ascii="宋体" w:hAnsi="宋体"/>
                <w:b w:val="0"/>
                <w:bCs w:val="0"/>
                <w:sz w:val="20"/>
                <w:szCs w:val="20"/>
                <w:highlight w:val="none"/>
              </w:rPr>
              <w:t>1分</w:t>
            </w:r>
          </w:p>
        </w:tc>
        <w:tc>
          <w:tcPr>
            <w:tcW w:w="2904" w:type="dxa"/>
            <w:tcBorders>
              <w:top w:val="single" w:color="auto" w:sz="4" w:space="0"/>
              <w:bottom w:val="single" w:color="auto" w:sz="4" w:space="0"/>
            </w:tcBorders>
            <w:noWrap w:val="0"/>
            <w:vAlign w:val="center"/>
          </w:tcPr>
          <w:p w14:paraId="56B65A6C">
            <w:pPr>
              <w:rPr>
                <w:rFonts w:hint="eastAsia" w:ascii="宋体" w:hAnsi="宋体"/>
                <w:b w:val="0"/>
                <w:bCs w:val="0"/>
                <w:sz w:val="20"/>
                <w:szCs w:val="20"/>
                <w:highlight w:val="none"/>
              </w:rPr>
            </w:pPr>
            <w:r>
              <w:rPr>
                <w:rFonts w:hint="eastAsia" w:ascii="宋体" w:hAnsi="宋体"/>
                <w:b w:val="0"/>
                <w:bCs w:val="0"/>
                <w:sz w:val="20"/>
                <w:szCs w:val="20"/>
                <w:highlight w:val="none"/>
              </w:rPr>
              <w:t>未编制应急预案或未开展应急演练不得分。</w:t>
            </w:r>
          </w:p>
        </w:tc>
        <w:tc>
          <w:tcPr>
            <w:tcW w:w="575" w:type="dxa"/>
            <w:tcBorders>
              <w:top w:val="single" w:color="auto" w:sz="4" w:space="0"/>
              <w:bottom w:val="single" w:color="auto" w:sz="4" w:space="0"/>
            </w:tcBorders>
            <w:noWrap/>
            <w:vAlign w:val="center"/>
          </w:tcPr>
          <w:p w14:paraId="7514F400">
            <w:pPr>
              <w:spacing w:line="340" w:lineRule="exact"/>
              <w:jc w:val="left"/>
              <w:rPr>
                <w:rFonts w:ascii="方正仿宋简体" w:hAnsi="方正仿宋简体" w:eastAsia="方正仿宋简体" w:cs="Tahoma"/>
                <w:b w:val="0"/>
                <w:bCs w:val="0"/>
                <w:color w:val="000000"/>
                <w:kern w:val="0"/>
                <w:sz w:val="22"/>
                <w:szCs w:val="22"/>
              </w:rPr>
            </w:pPr>
          </w:p>
        </w:tc>
        <w:tc>
          <w:tcPr>
            <w:tcW w:w="1359" w:type="dxa"/>
            <w:tcBorders>
              <w:top w:val="single" w:color="auto" w:sz="4" w:space="0"/>
              <w:bottom w:val="single" w:color="auto" w:sz="4" w:space="0"/>
            </w:tcBorders>
            <w:noWrap/>
            <w:vAlign w:val="center"/>
          </w:tcPr>
          <w:p w14:paraId="7C7B3532">
            <w:pPr>
              <w:spacing w:line="340" w:lineRule="exact"/>
              <w:jc w:val="left"/>
              <w:rPr>
                <w:rFonts w:ascii="方正仿宋简体" w:hAnsi="方正仿宋简体" w:eastAsia="方正仿宋简体" w:cs="Tahoma"/>
                <w:b w:val="0"/>
                <w:bCs w:val="0"/>
                <w:color w:val="000000"/>
                <w:kern w:val="0"/>
                <w:sz w:val="22"/>
                <w:szCs w:val="22"/>
              </w:rPr>
            </w:pPr>
          </w:p>
        </w:tc>
      </w:tr>
      <w:tr w14:paraId="1EF12D6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22" w:hRule="atLeast"/>
          <w:jc w:val="center"/>
        </w:trPr>
        <w:tc>
          <w:tcPr>
            <w:tcW w:w="1539" w:type="dxa"/>
            <w:vMerge w:val="continue"/>
            <w:noWrap w:val="0"/>
            <w:vAlign w:val="center"/>
          </w:tcPr>
          <w:p w14:paraId="37533C3C">
            <w:pPr>
              <w:widowControl/>
              <w:spacing w:line="340" w:lineRule="exact"/>
              <w:jc w:val="center"/>
              <w:rPr>
                <w:rFonts w:ascii="方正仿宋简体" w:hAnsi="方正仿宋简体" w:eastAsia="方正仿宋简体" w:cs="Tahoma"/>
                <w:b w:val="0"/>
                <w:bCs w:val="0"/>
                <w:color w:val="000000"/>
                <w:kern w:val="0"/>
                <w:sz w:val="22"/>
                <w:szCs w:val="22"/>
              </w:rPr>
            </w:pPr>
          </w:p>
        </w:tc>
        <w:tc>
          <w:tcPr>
            <w:tcW w:w="2843" w:type="dxa"/>
            <w:tcBorders>
              <w:top w:val="single" w:color="auto" w:sz="4" w:space="0"/>
              <w:bottom w:val="single" w:color="auto" w:sz="4" w:space="0"/>
              <w:right w:val="single" w:color="auto" w:sz="4" w:space="0"/>
            </w:tcBorders>
            <w:noWrap w:val="0"/>
            <w:vAlign w:val="center"/>
          </w:tcPr>
          <w:p w14:paraId="17A55603">
            <w:pPr>
              <w:rPr>
                <w:rFonts w:hint="default" w:ascii="宋体" w:hAnsi="宋体"/>
                <w:b w:val="0"/>
                <w:bCs w:val="0"/>
                <w:sz w:val="20"/>
                <w:szCs w:val="20"/>
                <w:highlight w:val="none"/>
                <w:lang w:val="en-US" w:eastAsia="zh-CN"/>
              </w:rPr>
            </w:pPr>
            <w:r>
              <w:rPr>
                <w:rFonts w:hint="eastAsia" w:ascii="宋体" w:hAnsi="宋体"/>
                <w:b w:val="0"/>
                <w:bCs w:val="0"/>
                <w:sz w:val="20"/>
                <w:szCs w:val="20"/>
                <w:highlight w:val="none"/>
                <w:lang w:val="en-US" w:eastAsia="zh-CN"/>
              </w:rPr>
              <w:t>6.检测评估所需要的检测设备，应具有计量证书。</w:t>
            </w:r>
          </w:p>
        </w:tc>
        <w:tc>
          <w:tcPr>
            <w:tcW w:w="577" w:type="dxa"/>
            <w:tcBorders>
              <w:top w:val="single" w:color="auto" w:sz="4" w:space="0"/>
              <w:left w:val="single" w:color="auto" w:sz="4" w:space="0"/>
              <w:bottom w:val="single" w:color="auto" w:sz="4" w:space="0"/>
            </w:tcBorders>
            <w:noWrap w:val="0"/>
            <w:vAlign w:val="center"/>
          </w:tcPr>
          <w:p w14:paraId="1E680DFE">
            <w:pPr>
              <w:rPr>
                <w:rFonts w:hint="default" w:ascii="宋体" w:hAnsi="宋体"/>
                <w:b w:val="0"/>
                <w:bCs w:val="0"/>
                <w:sz w:val="20"/>
                <w:szCs w:val="20"/>
                <w:highlight w:val="none"/>
                <w:lang w:val="en-US" w:eastAsia="zh-CN"/>
              </w:rPr>
            </w:pPr>
            <w:r>
              <w:rPr>
                <w:rFonts w:hint="eastAsia" w:ascii="宋体" w:hAnsi="宋体"/>
                <w:b w:val="0"/>
                <w:bCs w:val="0"/>
                <w:sz w:val="20"/>
                <w:szCs w:val="20"/>
                <w:highlight w:val="none"/>
                <w:lang w:val="en-US" w:eastAsia="zh-CN"/>
              </w:rPr>
              <w:t>5分</w:t>
            </w:r>
          </w:p>
        </w:tc>
        <w:tc>
          <w:tcPr>
            <w:tcW w:w="2904" w:type="dxa"/>
            <w:tcBorders>
              <w:top w:val="single" w:color="auto" w:sz="4" w:space="0"/>
              <w:bottom w:val="single" w:color="auto" w:sz="4" w:space="0"/>
            </w:tcBorders>
            <w:noWrap w:val="0"/>
            <w:vAlign w:val="center"/>
          </w:tcPr>
          <w:p w14:paraId="2CFC6990">
            <w:pPr>
              <w:rPr>
                <w:rFonts w:hint="eastAsia" w:ascii="宋体" w:hAnsi="宋体"/>
                <w:b w:val="0"/>
                <w:bCs w:val="0"/>
                <w:sz w:val="20"/>
                <w:szCs w:val="20"/>
                <w:highlight w:val="none"/>
              </w:rPr>
            </w:pPr>
            <w:r>
              <w:rPr>
                <w:rFonts w:hint="eastAsia" w:ascii="宋体" w:hAnsi="宋体"/>
                <w:b w:val="0"/>
                <w:bCs w:val="0"/>
                <w:sz w:val="20"/>
                <w:szCs w:val="20"/>
                <w:highlight w:val="none"/>
                <w:lang w:val="en-US" w:eastAsia="zh-CN"/>
              </w:rPr>
              <w:t>主要设备有1台不满足扣1分。</w:t>
            </w:r>
          </w:p>
        </w:tc>
        <w:tc>
          <w:tcPr>
            <w:tcW w:w="575" w:type="dxa"/>
            <w:tcBorders>
              <w:top w:val="single" w:color="auto" w:sz="4" w:space="0"/>
              <w:bottom w:val="single" w:color="auto" w:sz="4" w:space="0"/>
            </w:tcBorders>
            <w:noWrap/>
            <w:vAlign w:val="center"/>
          </w:tcPr>
          <w:p w14:paraId="036FF8C7">
            <w:pPr>
              <w:spacing w:line="340" w:lineRule="exact"/>
              <w:jc w:val="left"/>
              <w:rPr>
                <w:rFonts w:ascii="方正仿宋简体" w:hAnsi="方正仿宋简体" w:eastAsia="方正仿宋简体" w:cs="Tahoma"/>
                <w:b w:val="0"/>
                <w:bCs w:val="0"/>
                <w:color w:val="000000"/>
                <w:kern w:val="0"/>
                <w:sz w:val="22"/>
                <w:szCs w:val="22"/>
              </w:rPr>
            </w:pPr>
          </w:p>
        </w:tc>
        <w:tc>
          <w:tcPr>
            <w:tcW w:w="1359" w:type="dxa"/>
            <w:tcBorders>
              <w:top w:val="single" w:color="auto" w:sz="4" w:space="0"/>
              <w:bottom w:val="single" w:color="auto" w:sz="4" w:space="0"/>
            </w:tcBorders>
            <w:noWrap/>
            <w:vAlign w:val="center"/>
          </w:tcPr>
          <w:p w14:paraId="7DD284C1">
            <w:pPr>
              <w:spacing w:line="340" w:lineRule="exact"/>
              <w:jc w:val="left"/>
              <w:rPr>
                <w:rFonts w:ascii="方正仿宋简体" w:hAnsi="方正仿宋简体" w:eastAsia="方正仿宋简体" w:cs="Tahoma"/>
                <w:b w:val="0"/>
                <w:bCs w:val="0"/>
                <w:color w:val="000000"/>
                <w:kern w:val="0"/>
                <w:sz w:val="22"/>
                <w:szCs w:val="22"/>
              </w:rPr>
            </w:pPr>
          </w:p>
        </w:tc>
      </w:tr>
      <w:tr w14:paraId="734AAD4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79" w:hRule="atLeast"/>
          <w:jc w:val="center"/>
        </w:trPr>
        <w:tc>
          <w:tcPr>
            <w:tcW w:w="1539" w:type="dxa"/>
            <w:vMerge w:val="continue"/>
            <w:noWrap w:val="0"/>
            <w:vAlign w:val="center"/>
          </w:tcPr>
          <w:p w14:paraId="2E56D01B">
            <w:pPr>
              <w:widowControl/>
              <w:spacing w:line="340" w:lineRule="exact"/>
              <w:jc w:val="center"/>
              <w:rPr>
                <w:rFonts w:ascii="方正仿宋简体" w:hAnsi="方正仿宋简体" w:eastAsia="方正仿宋简体" w:cs="Tahoma"/>
                <w:b w:val="0"/>
                <w:bCs w:val="0"/>
                <w:color w:val="000000"/>
                <w:kern w:val="0"/>
                <w:sz w:val="22"/>
                <w:szCs w:val="22"/>
              </w:rPr>
            </w:pPr>
          </w:p>
        </w:tc>
        <w:tc>
          <w:tcPr>
            <w:tcW w:w="2843" w:type="dxa"/>
            <w:tcBorders>
              <w:top w:val="single" w:color="auto" w:sz="4" w:space="0"/>
              <w:bottom w:val="single" w:color="auto" w:sz="4" w:space="0"/>
              <w:right w:val="single" w:color="auto" w:sz="4" w:space="0"/>
            </w:tcBorders>
            <w:noWrap w:val="0"/>
            <w:vAlign w:val="center"/>
          </w:tcPr>
          <w:p w14:paraId="264BCC10">
            <w:pPr>
              <w:rPr>
                <w:rFonts w:hint="eastAsia" w:ascii="宋体" w:hAnsi="宋体"/>
                <w:b w:val="0"/>
                <w:bCs w:val="0"/>
                <w:sz w:val="20"/>
                <w:szCs w:val="20"/>
                <w:highlight w:val="none"/>
                <w:lang w:eastAsia="zh-CN"/>
              </w:rPr>
            </w:pPr>
            <w:r>
              <w:rPr>
                <w:rFonts w:hint="eastAsia" w:ascii="宋体" w:hAnsi="宋体"/>
                <w:b w:val="0"/>
                <w:bCs w:val="0"/>
                <w:sz w:val="20"/>
                <w:szCs w:val="20"/>
                <w:highlight w:val="none"/>
                <w:lang w:val="en-US" w:eastAsia="zh-CN"/>
              </w:rPr>
              <w:t>7.</w:t>
            </w:r>
            <w:r>
              <w:rPr>
                <w:rFonts w:hint="eastAsia" w:ascii="宋体" w:hAnsi="宋体"/>
                <w:b w:val="0"/>
                <w:bCs w:val="0"/>
                <w:sz w:val="20"/>
                <w:szCs w:val="20"/>
                <w:highlight w:val="none"/>
              </w:rPr>
              <w:t>服务期间人员配置是否符合投标时的要求</w:t>
            </w:r>
            <w:r>
              <w:rPr>
                <w:rFonts w:hint="eastAsia" w:ascii="宋体" w:hAnsi="宋体"/>
                <w:b w:val="0"/>
                <w:bCs w:val="0"/>
                <w:sz w:val="20"/>
                <w:szCs w:val="20"/>
                <w:highlight w:val="none"/>
                <w:lang w:eastAsia="zh-CN"/>
              </w:rPr>
              <w:t>。</w:t>
            </w:r>
          </w:p>
        </w:tc>
        <w:tc>
          <w:tcPr>
            <w:tcW w:w="577" w:type="dxa"/>
            <w:tcBorders>
              <w:top w:val="single" w:color="auto" w:sz="4" w:space="0"/>
              <w:left w:val="single" w:color="auto" w:sz="4" w:space="0"/>
              <w:bottom w:val="single" w:color="auto" w:sz="4" w:space="0"/>
            </w:tcBorders>
            <w:noWrap w:val="0"/>
            <w:vAlign w:val="center"/>
          </w:tcPr>
          <w:p w14:paraId="18AD2EAE">
            <w:pPr>
              <w:rPr>
                <w:rFonts w:hint="default" w:ascii="宋体" w:hAnsi="宋体"/>
                <w:b w:val="0"/>
                <w:bCs w:val="0"/>
                <w:sz w:val="20"/>
                <w:szCs w:val="20"/>
                <w:highlight w:val="none"/>
                <w:lang w:val="en-US" w:eastAsia="zh-CN"/>
              </w:rPr>
            </w:pPr>
            <w:r>
              <w:rPr>
                <w:rFonts w:hint="eastAsia" w:ascii="宋体" w:hAnsi="宋体"/>
                <w:b w:val="0"/>
                <w:bCs w:val="0"/>
                <w:sz w:val="20"/>
                <w:szCs w:val="20"/>
                <w:highlight w:val="none"/>
                <w:lang w:val="en-US" w:eastAsia="zh-CN"/>
              </w:rPr>
              <w:t>10分</w:t>
            </w:r>
          </w:p>
        </w:tc>
        <w:tc>
          <w:tcPr>
            <w:tcW w:w="2904" w:type="dxa"/>
            <w:tcBorders>
              <w:top w:val="single" w:color="auto" w:sz="4" w:space="0"/>
              <w:bottom w:val="single" w:color="auto" w:sz="4" w:space="0"/>
            </w:tcBorders>
            <w:noWrap w:val="0"/>
            <w:vAlign w:val="center"/>
          </w:tcPr>
          <w:p w14:paraId="14462D4D">
            <w:pPr>
              <w:rPr>
                <w:rFonts w:hint="eastAsia" w:ascii="宋体" w:hAnsi="宋体"/>
                <w:b w:val="0"/>
                <w:bCs w:val="0"/>
                <w:sz w:val="20"/>
                <w:szCs w:val="20"/>
                <w:highlight w:val="none"/>
              </w:rPr>
            </w:pPr>
            <w:r>
              <w:rPr>
                <w:rFonts w:hint="eastAsia" w:ascii="宋体" w:hAnsi="宋体"/>
                <w:b w:val="0"/>
                <w:bCs w:val="0"/>
                <w:sz w:val="20"/>
                <w:szCs w:val="20"/>
                <w:highlight w:val="none"/>
              </w:rPr>
              <w:t>所投入的主要人员缺少1人扣1分，其他人员缺少1人扣0.5分</w:t>
            </w:r>
          </w:p>
        </w:tc>
        <w:tc>
          <w:tcPr>
            <w:tcW w:w="575" w:type="dxa"/>
            <w:tcBorders>
              <w:top w:val="single" w:color="auto" w:sz="4" w:space="0"/>
              <w:bottom w:val="single" w:color="auto" w:sz="4" w:space="0"/>
            </w:tcBorders>
            <w:noWrap/>
            <w:vAlign w:val="center"/>
          </w:tcPr>
          <w:p w14:paraId="2E8E210F">
            <w:pPr>
              <w:spacing w:line="340" w:lineRule="exact"/>
              <w:jc w:val="left"/>
              <w:rPr>
                <w:rFonts w:ascii="方正仿宋简体" w:hAnsi="方正仿宋简体" w:eastAsia="方正仿宋简体" w:cs="Tahoma"/>
                <w:b w:val="0"/>
                <w:bCs w:val="0"/>
                <w:color w:val="000000"/>
                <w:kern w:val="0"/>
                <w:sz w:val="22"/>
                <w:szCs w:val="22"/>
              </w:rPr>
            </w:pPr>
          </w:p>
        </w:tc>
        <w:tc>
          <w:tcPr>
            <w:tcW w:w="1359" w:type="dxa"/>
            <w:tcBorders>
              <w:top w:val="single" w:color="auto" w:sz="4" w:space="0"/>
              <w:bottom w:val="single" w:color="auto" w:sz="4" w:space="0"/>
            </w:tcBorders>
            <w:noWrap/>
            <w:vAlign w:val="center"/>
          </w:tcPr>
          <w:p w14:paraId="4D89372B">
            <w:pPr>
              <w:spacing w:line="340" w:lineRule="exact"/>
              <w:jc w:val="left"/>
              <w:rPr>
                <w:rFonts w:ascii="方正仿宋简体" w:hAnsi="方正仿宋简体" w:eastAsia="方正仿宋简体" w:cs="Tahoma"/>
                <w:b w:val="0"/>
                <w:bCs w:val="0"/>
                <w:color w:val="000000"/>
                <w:kern w:val="0"/>
                <w:sz w:val="22"/>
                <w:szCs w:val="22"/>
              </w:rPr>
            </w:pPr>
          </w:p>
        </w:tc>
      </w:tr>
      <w:tr w14:paraId="2A18E38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79" w:hRule="atLeast"/>
          <w:jc w:val="center"/>
        </w:trPr>
        <w:tc>
          <w:tcPr>
            <w:tcW w:w="1539" w:type="dxa"/>
            <w:vMerge w:val="continue"/>
            <w:noWrap w:val="0"/>
            <w:vAlign w:val="center"/>
          </w:tcPr>
          <w:p w14:paraId="4215B3CB">
            <w:pPr>
              <w:widowControl/>
              <w:spacing w:line="340" w:lineRule="exact"/>
              <w:jc w:val="center"/>
              <w:rPr>
                <w:rFonts w:ascii="方正仿宋简体" w:hAnsi="方正仿宋简体" w:eastAsia="方正仿宋简体" w:cs="Tahoma"/>
                <w:b w:val="0"/>
                <w:bCs w:val="0"/>
                <w:color w:val="000000"/>
                <w:kern w:val="0"/>
                <w:sz w:val="22"/>
                <w:szCs w:val="22"/>
              </w:rPr>
            </w:pPr>
          </w:p>
        </w:tc>
        <w:tc>
          <w:tcPr>
            <w:tcW w:w="2843" w:type="dxa"/>
            <w:tcBorders>
              <w:top w:val="single" w:color="auto" w:sz="4" w:space="0"/>
              <w:bottom w:val="single" w:color="auto" w:sz="4" w:space="0"/>
              <w:right w:val="single" w:color="auto" w:sz="4" w:space="0"/>
            </w:tcBorders>
            <w:noWrap w:val="0"/>
            <w:vAlign w:val="center"/>
          </w:tcPr>
          <w:p w14:paraId="6FB0A5AD">
            <w:pPr>
              <w:rPr>
                <w:rFonts w:hint="eastAsia" w:ascii="宋体" w:hAnsi="宋体"/>
                <w:b w:val="0"/>
                <w:bCs w:val="0"/>
                <w:sz w:val="20"/>
                <w:szCs w:val="20"/>
                <w:highlight w:val="none"/>
                <w:lang w:eastAsia="zh-CN"/>
              </w:rPr>
            </w:pPr>
            <w:r>
              <w:rPr>
                <w:rFonts w:hint="eastAsia" w:ascii="宋体" w:hAnsi="宋体"/>
                <w:b w:val="0"/>
                <w:bCs w:val="0"/>
                <w:sz w:val="20"/>
                <w:szCs w:val="20"/>
                <w:highlight w:val="none"/>
                <w:lang w:val="en-US" w:eastAsia="zh-CN"/>
              </w:rPr>
              <w:t>8.</w:t>
            </w:r>
            <w:r>
              <w:rPr>
                <w:rFonts w:hint="eastAsia" w:ascii="宋体" w:hAnsi="宋体"/>
                <w:b w:val="0"/>
                <w:bCs w:val="0"/>
                <w:sz w:val="20"/>
                <w:szCs w:val="20"/>
                <w:highlight w:val="none"/>
              </w:rPr>
              <w:t>服务成果提交是否符合甲方要求</w:t>
            </w:r>
            <w:r>
              <w:rPr>
                <w:rFonts w:hint="eastAsia" w:ascii="宋体" w:hAnsi="宋体"/>
                <w:b w:val="0"/>
                <w:bCs w:val="0"/>
                <w:sz w:val="20"/>
                <w:szCs w:val="20"/>
                <w:highlight w:val="none"/>
                <w:lang w:eastAsia="zh-CN"/>
              </w:rPr>
              <w:t>。</w:t>
            </w:r>
          </w:p>
        </w:tc>
        <w:tc>
          <w:tcPr>
            <w:tcW w:w="577" w:type="dxa"/>
            <w:tcBorders>
              <w:top w:val="single" w:color="auto" w:sz="4" w:space="0"/>
              <w:left w:val="single" w:color="auto" w:sz="4" w:space="0"/>
              <w:bottom w:val="single" w:color="auto" w:sz="4" w:space="0"/>
            </w:tcBorders>
            <w:noWrap w:val="0"/>
            <w:vAlign w:val="center"/>
          </w:tcPr>
          <w:p w14:paraId="0AD004E9">
            <w:pPr>
              <w:rPr>
                <w:rFonts w:hint="default" w:ascii="宋体" w:hAnsi="宋体"/>
                <w:b w:val="0"/>
                <w:bCs w:val="0"/>
                <w:sz w:val="20"/>
                <w:szCs w:val="20"/>
                <w:highlight w:val="none"/>
                <w:lang w:val="en-US" w:eastAsia="zh-CN"/>
              </w:rPr>
            </w:pPr>
            <w:r>
              <w:rPr>
                <w:rFonts w:hint="eastAsia" w:ascii="宋体" w:hAnsi="宋体"/>
                <w:b w:val="0"/>
                <w:bCs w:val="0"/>
                <w:sz w:val="20"/>
                <w:szCs w:val="20"/>
                <w:highlight w:val="none"/>
                <w:lang w:val="en-US" w:eastAsia="zh-CN"/>
              </w:rPr>
              <w:t>5分</w:t>
            </w:r>
          </w:p>
        </w:tc>
        <w:tc>
          <w:tcPr>
            <w:tcW w:w="2904" w:type="dxa"/>
            <w:tcBorders>
              <w:top w:val="single" w:color="auto" w:sz="4" w:space="0"/>
              <w:bottom w:val="single" w:color="auto" w:sz="4" w:space="0"/>
            </w:tcBorders>
            <w:noWrap w:val="0"/>
            <w:vAlign w:val="center"/>
          </w:tcPr>
          <w:p w14:paraId="39A0E68A">
            <w:pPr>
              <w:rPr>
                <w:rFonts w:hint="eastAsia" w:ascii="宋体" w:hAnsi="宋体"/>
                <w:b w:val="0"/>
                <w:bCs w:val="0"/>
                <w:sz w:val="20"/>
                <w:szCs w:val="20"/>
                <w:highlight w:val="none"/>
              </w:rPr>
            </w:pPr>
            <w:r>
              <w:rPr>
                <w:rFonts w:hint="eastAsia" w:ascii="宋体" w:hAnsi="宋体"/>
                <w:b w:val="0"/>
                <w:bCs w:val="0"/>
                <w:sz w:val="20"/>
                <w:szCs w:val="20"/>
                <w:highlight w:val="none"/>
              </w:rPr>
              <w:t>提交的成果未能通过委托方的验收，修改超过2次的，每增加修改1次，扣1分。</w:t>
            </w:r>
          </w:p>
        </w:tc>
        <w:tc>
          <w:tcPr>
            <w:tcW w:w="575" w:type="dxa"/>
            <w:tcBorders>
              <w:top w:val="single" w:color="auto" w:sz="4" w:space="0"/>
              <w:bottom w:val="single" w:color="auto" w:sz="4" w:space="0"/>
            </w:tcBorders>
            <w:noWrap/>
            <w:vAlign w:val="center"/>
          </w:tcPr>
          <w:p w14:paraId="0F6BA34C">
            <w:pPr>
              <w:spacing w:line="340" w:lineRule="exact"/>
              <w:jc w:val="left"/>
              <w:rPr>
                <w:rFonts w:ascii="方正仿宋简体" w:hAnsi="方正仿宋简体" w:eastAsia="方正仿宋简体" w:cs="Tahoma"/>
                <w:b w:val="0"/>
                <w:bCs w:val="0"/>
                <w:color w:val="000000"/>
                <w:kern w:val="0"/>
                <w:sz w:val="22"/>
                <w:szCs w:val="22"/>
              </w:rPr>
            </w:pPr>
          </w:p>
        </w:tc>
        <w:tc>
          <w:tcPr>
            <w:tcW w:w="1359" w:type="dxa"/>
            <w:tcBorders>
              <w:top w:val="single" w:color="auto" w:sz="4" w:space="0"/>
              <w:bottom w:val="single" w:color="auto" w:sz="4" w:space="0"/>
            </w:tcBorders>
            <w:noWrap/>
            <w:vAlign w:val="center"/>
          </w:tcPr>
          <w:p w14:paraId="2D1CD332">
            <w:pPr>
              <w:spacing w:line="340" w:lineRule="exact"/>
              <w:jc w:val="left"/>
              <w:rPr>
                <w:rFonts w:ascii="方正仿宋简体" w:hAnsi="方正仿宋简体" w:eastAsia="方正仿宋简体" w:cs="Tahoma"/>
                <w:b w:val="0"/>
                <w:bCs w:val="0"/>
                <w:color w:val="000000"/>
                <w:kern w:val="0"/>
                <w:sz w:val="22"/>
                <w:szCs w:val="22"/>
              </w:rPr>
            </w:pPr>
          </w:p>
        </w:tc>
      </w:tr>
      <w:tr w14:paraId="5996566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824" w:hRule="atLeast"/>
          <w:jc w:val="center"/>
        </w:trPr>
        <w:tc>
          <w:tcPr>
            <w:tcW w:w="1539" w:type="dxa"/>
            <w:vMerge w:val="continue"/>
            <w:noWrap w:val="0"/>
            <w:vAlign w:val="center"/>
          </w:tcPr>
          <w:p w14:paraId="23DADC3B">
            <w:pPr>
              <w:widowControl/>
              <w:spacing w:line="340" w:lineRule="exact"/>
              <w:jc w:val="center"/>
              <w:rPr>
                <w:rFonts w:ascii="方正仿宋简体" w:hAnsi="方正仿宋简体" w:eastAsia="方正仿宋简体" w:cs="Tahoma"/>
                <w:b w:val="0"/>
                <w:bCs w:val="0"/>
                <w:color w:val="000000"/>
                <w:kern w:val="0"/>
                <w:sz w:val="22"/>
                <w:szCs w:val="22"/>
              </w:rPr>
            </w:pPr>
          </w:p>
        </w:tc>
        <w:tc>
          <w:tcPr>
            <w:tcW w:w="2843" w:type="dxa"/>
            <w:tcBorders>
              <w:top w:val="single" w:color="auto" w:sz="4" w:space="0"/>
              <w:bottom w:val="single" w:color="auto" w:sz="4" w:space="0"/>
              <w:right w:val="single" w:color="auto" w:sz="4" w:space="0"/>
            </w:tcBorders>
            <w:noWrap w:val="0"/>
            <w:vAlign w:val="center"/>
          </w:tcPr>
          <w:p w14:paraId="77A770CD">
            <w:pPr>
              <w:rPr>
                <w:rFonts w:hint="eastAsia" w:ascii="宋体" w:hAnsi="宋体"/>
                <w:b w:val="0"/>
                <w:bCs w:val="0"/>
                <w:sz w:val="20"/>
                <w:szCs w:val="20"/>
                <w:highlight w:val="none"/>
                <w:lang w:val="en-US" w:eastAsia="zh-CN"/>
              </w:rPr>
            </w:pPr>
            <w:r>
              <w:rPr>
                <w:rFonts w:hint="eastAsia" w:ascii="宋体" w:hAnsi="宋体"/>
                <w:b w:val="0"/>
                <w:bCs w:val="0"/>
                <w:sz w:val="20"/>
                <w:szCs w:val="20"/>
                <w:highlight w:val="none"/>
                <w:lang w:val="en-US" w:eastAsia="zh-CN"/>
              </w:rPr>
              <w:t>9.服务期间进度安排是否符合投标时的承诺。</w:t>
            </w:r>
          </w:p>
        </w:tc>
        <w:tc>
          <w:tcPr>
            <w:tcW w:w="577" w:type="dxa"/>
            <w:tcBorders>
              <w:top w:val="single" w:color="auto" w:sz="4" w:space="0"/>
              <w:left w:val="single" w:color="auto" w:sz="4" w:space="0"/>
              <w:bottom w:val="single" w:color="auto" w:sz="4" w:space="0"/>
            </w:tcBorders>
            <w:noWrap w:val="0"/>
            <w:vAlign w:val="center"/>
          </w:tcPr>
          <w:p w14:paraId="21AD88D3">
            <w:pPr>
              <w:rPr>
                <w:rFonts w:hint="eastAsia" w:ascii="宋体" w:hAnsi="宋体"/>
                <w:b w:val="0"/>
                <w:bCs w:val="0"/>
                <w:sz w:val="20"/>
                <w:szCs w:val="20"/>
                <w:highlight w:val="none"/>
                <w:lang w:val="en-US" w:eastAsia="zh-CN"/>
              </w:rPr>
            </w:pPr>
            <w:r>
              <w:rPr>
                <w:rFonts w:hint="eastAsia" w:ascii="宋体" w:hAnsi="宋体"/>
                <w:b w:val="0"/>
                <w:bCs w:val="0"/>
                <w:sz w:val="20"/>
                <w:szCs w:val="20"/>
                <w:highlight w:val="none"/>
                <w:lang w:val="en-US" w:eastAsia="zh-CN"/>
              </w:rPr>
              <w:t>2分</w:t>
            </w:r>
          </w:p>
        </w:tc>
        <w:tc>
          <w:tcPr>
            <w:tcW w:w="2904" w:type="dxa"/>
            <w:tcBorders>
              <w:top w:val="single" w:color="auto" w:sz="4" w:space="0"/>
              <w:bottom w:val="single" w:color="auto" w:sz="4" w:space="0"/>
            </w:tcBorders>
            <w:noWrap w:val="0"/>
            <w:vAlign w:val="center"/>
          </w:tcPr>
          <w:p w14:paraId="77427A14">
            <w:pPr>
              <w:rPr>
                <w:rFonts w:hint="eastAsia" w:ascii="宋体" w:hAnsi="宋体"/>
                <w:b w:val="0"/>
                <w:bCs w:val="0"/>
                <w:sz w:val="20"/>
                <w:szCs w:val="20"/>
                <w:highlight w:val="none"/>
                <w:lang w:val="en-US" w:eastAsia="zh-CN"/>
              </w:rPr>
            </w:pPr>
            <w:r>
              <w:rPr>
                <w:rFonts w:hint="eastAsia" w:ascii="宋体" w:hAnsi="宋体"/>
                <w:b w:val="0"/>
                <w:bCs w:val="0"/>
                <w:sz w:val="20"/>
                <w:szCs w:val="20"/>
                <w:highlight w:val="none"/>
                <w:lang w:val="en-US" w:eastAsia="zh-CN"/>
              </w:rPr>
              <w:t>未经委托方允许，未能按照合同约定的时间提交检查成果，每延迟1个工作日扣0.5分。</w:t>
            </w:r>
          </w:p>
        </w:tc>
        <w:tc>
          <w:tcPr>
            <w:tcW w:w="575" w:type="dxa"/>
            <w:tcBorders>
              <w:top w:val="single" w:color="auto" w:sz="4" w:space="0"/>
              <w:bottom w:val="single" w:color="auto" w:sz="4" w:space="0"/>
            </w:tcBorders>
            <w:noWrap/>
            <w:vAlign w:val="center"/>
          </w:tcPr>
          <w:p w14:paraId="46F8ECD7">
            <w:pPr>
              <w:spacing w:line="340" w:lineRule="exact"/>
              <w:jc w:val="left"/>
              <w:rPr>
                <w:rFonts w:ascii="方正仿宋简体" w:hAnsi="方正仿宋简体" w:eastAsia="方正仿宋简体" w:cs="Tahoma"/>
                <w:b w:val="0"/>
                <w:bCs w:val="0"/>
                <w:color w:val="000000"/>
                <w:kern w:val="0"/>
                <w:sz w:val="22"/>
                <w:szCs w:val="22"/>
              </w:rPr>
            </w:pPr>
          </w:p>
        </w:tc>
        <w:tc>
          <w:tcPr>
            <w:tcW w:w="1359" w:type="dxa"/>
            <w:tcBorders>
              <w:top w:val="single" w:color="auto" w:sz="4" w:space="0"/>
              <w:bottom w:val="single" w:color="auto" w:sz="4" w:space="0"/>
            </w:tcBorders>
            <w:noWrap/>
            <w:vAlign w:val="center"/>
          </w:tcPr>
          <w:p w14:paraId="4ECF60B0">
            <w:pPr>
              <w:spacing w:line="340" w:lineRule="exact"/>
              <w:jc w:val="left"/>
              <w:rPr>
                <w:rFonts w:ascii="方正仿宋简体" w:hAnsi="方正仿宋简体" w:eastAsia="方正仿宋简体" w:cs="Tahoma"/>
                <w:b w:val="0"/>
                <w:bCs w:val="0"/>
                <w:color w:val="000000"/>
                <w:kern w:val="0"/>
                <w:sz w:val="22"/>
                <w:szCs w:val="22"/>
              </w:rPr>
            </w:pPr>
          </w:p>
        </w:tc>
      </w:tr>
      <w:tr w14:paraId="4062381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27" w:hRule="atLeast"/>
          <w:jc w:val="center"/>
        </w:trPr>
        <w:tc>
          <w:tcPr>
            <w:tcW w:w="1539" w:type="dxa"/>
            <w:vMerge w:val="continue"/>
            <w:noWrap w:val="0"/>
            <w:vAlign w:val="center"/>
          </w:tcPr>
          <w:p w14:paraId="106251F7">
            <w:pPr>
              <w:widowControl/>
              <w:spacing w:line="340" w:lineRule="exact"/>
              <w:jc w:val="center"/>
              <w:rPr>
                <w:rFonts w:ascii="方正仿宋简体" w:hAnsi="方正仿宋简体" w:eastAsia="方正仿宋简体" w:cs="Tahoma"/>
                <w:b w:val="0"/>
                <w:bCs w:val="0"/>
                <w:color w:val="000000"/>
                <w:kern w:val="0"/>
                <w:sz w:val="22"/>
                <w:szCs w:val="22"/>
              </w:rPr>
            </w:pPr>
          </w:p>
        </w:tc>
        <w:tc>
          <w:tcPr>
            <w:tcW w:w="2843" w:type="dxa"/>
            <w:tcBorders>
              <w:top w:val="single" w:color="auto" w:sz="4" w:space="0"/>
              <w:bottom w:val="single" w:color="auto" w:sz="4" w:space="0"/>
              <w:right w:val="single" w:color="auto" w:sz="4" w:space="0"/>
            </w:tcBorders>
            <w:noWrap w:val="0"/>
            <w:vAlign w:val="center"/>
          </w:tcPr>
          <w:p w14:paraId="47F4A40C">
            <w:pPr>
              <w:rPr>
                <w:rFonts w:hint="eastAsia" w:ascii="宋体" w:hAnsi="宋体"/>
                <w:b w:val="0"/>
                <w:bCs w:val="0"/>
                <w:sz w:val="20"/>
                <w:szCs w:val="20"/>
                <w:highlight w:val="none"/>
                <w:lang w:val="en-US" w:eastAsia="zh-CN"/>
              </w:rPr>
            </w:pPr>
            <w:r>
              <w:rPr>
                <w:rFonts w:hint="eastAsia" w:ascii="宋体" w:hAnsi="宋体"/>
                <w:b w:val="0"/>
                <w:bCs w:val="0"/>
                <w:sz w:val="20"/>
                <w:szCs w:val="20"/>
                <w:highlight w:val="none"/>
                <w:lang w:val="en-US" w:eastAsia="zh-CN"/>
              </w:rPr>
              <w:t>10.服务期间遇到特殊情况有无及时向上级汇报。</w:t>
            </w:r>
          </w:p>
        </w:tc>
        <w:tc>
          <w:tcPr>
            <w:tcW w:w="577" w:type="dxa"/>
            <w:tcBorders>
              <w:top w:val="single" w:color="auto" w:sz="4" w:space="0"/>
              <w:left w:val="single" w:color="auto" w:sz="4" w:space="0"/>
              <w:bottom w:val="single" w:color="auto" w:sz="4" w:space="0"/>
            </w:tcBorders>
            <w:noWrap w:val="0"/>
            <w:vAlign w:val="center"/>
          </w:tcPr>
          <w:p w14:paraId="66F5CE1A">
            <w:pPr>
              <w:rPr>
                <w:rFonts w:hint="eastAsia" w:ascii="宋体" w:hAnsi="宋体"/>
                <w:b w:val="0"/>
                <w:bCs w:val="0"/>
                <w:sz w:val="20"/>
                <w:szCs w:val="20"/>
                <w:highlight w:val="none"/>
                <w:lang w:val="en-US" w:eastAsia="zh-CN"/>
              </w:rPr>
            </w:pPr>
            <w:r>
              <w:rPr>
                <w:rFonts w:hint="eastAsia" w:ascii="宋体" w:hAnsi="宋体"/>
                <w:b w:val="0"/>
                <w:bCs w:val="0"/>
                <w:sz w:val="20"/>
                <w:szCs w:val="20"/>
                <w:highlight w:val="none"/>
                <w:lang w:val="en-US" w:eastAsia="zh-CN"/>
              </w:rPr>
              <w:t>4分</w:t>
            </w:r>
          </w:p>
        </w:tc>
        <w:tc>
          <w:tcPr>
            <w:tcW w:w="2904" w:type="dxa"/>
            <w:tcBorders>
              <w:top w:val="single" w:color="auto" w:sz="4" w:space="0"/>
              <w:bottom w:val="single" w:color="auto" w:sz="4" w:space="0"/>
            </w:tcBorders>
            <w:noWrap w:val="0"/>
            <w:vAlign w:val="center"/>
          </w:tcPr>
          <w:p w14:paraId="453C52A9">
            <w:pPr>
              <w:rPr>
                <w:rFonts w:hint="eastAsia" w:ascii="宋体" w:hAnsi="宋体"/>
                <w:b w:val="0"/>
                <w:bCs w:val="0"/>
                <w:sz w:val="20"/>
                <w:szCs w:val="20"/>
                <w:highlight w:val="none"/>
                <w:lang w:val="en-US" w:eastAsia="zh-CN"/>
              </w:rPr>
            </w:pPr>
            <w:r>
              <w:rPr>
                <w:rFonts w:hint="eastAsia" w:ascii="宋体" w:hAnsi="宋体"/>
                <w:b w:val="0"/>
                <w:bCs w:val="0"/>
                <w:sz w:val="20"/>
                <w:szCs w:val="20"/>
                <w:highlight w:val="none"/>
                <w:lang w:val="en-US" w:eastAsia="zh-CN"/>
              </w:rPr>
              <w:t>对遇到的特殊情况未及时向上级汇报的，1次扣1分。</w:t>
            </w:r>
          </w:p>
        </w:tc>
        <w:tc>
          <w:tcPr>
            <w:tcW w:w="575" w:type="dxa"/>
            <w:tcBorders>
              <w:top w:val="single" w:color="auto" w:sz="4" w:space="0"/>
              <w:bottom w:val="single" w:color="auto" w:sz="4" w:space="0"/>
            </w:tcBorders>
            <w:noWrap/>
            <w:vAlign w:val="center"/>
          </w:tcPr>
          <w:p w14:paraId="74A5A273">
            <w:pPr>
              <w:spacing w:line="340" w:lineRule="exact"/>
              <w:jc w:val="left"/>
              <w:rPr>
                <w:rFonts w:ascii="方正仿宋简体" w:hAnsi="方正仿宋简体" w:eastAsia="方正仿宋简体" w:cs="Tahoma"/>
                <w:b w:val="0"/>
                <w:bCs w:val="0"/>
                <w:color w:val="000000"/>
                <w:kern w:val="0"/>
                <w:sz w:val="22"/>
                <w:szCs w:val="22"/>
              </w:rPr>
            </w:pPr>
          </w:p>
        </w:tc>
        <w:tc>
          <w:tcPr>
            <w:tcW w:w="1359" w:type="dxa"/>
            <w:tcBorders>
              <w:top w:val="single" w:color="auto" w:sz="4" w:space="0"/>
              <w:bottom w:val="single" w:color="auto" w:sz="4" w:space="0"/>
            </w:tcBorders>
            <w:noWrap/>
            <w:vAlign w:val="center"/>
          </w:tcPr>
          <w:p w14:paraId="0F188027">
            <w:pPr>
              <w:spacing w:line="340" w:lineRule="exact"/>
              <w:jc w:val="left"/>
              <w:rPr>
                <w:rFonts w:ascii="方正仿宋简体" w:hAnsi="方正仿宋简体" w:eastAsia="方正仿宋简体" w:cs="Tahoma"/>
                <w:b w:val="0"/>
                <w:bCs w:val="0"/>
                <w:color w:val="000000"/>
                <w:kern w:val="0"/>
                <w:sz w:val="22"/>
                <w:szCs w:val="22"/>
              </w:rPr>
            </w:pPr>
          </w:p>
        </w:tc>
      </w:tr>
      <w:tr w14:paraId="3E0BFA5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16" w:hRule="atLeast"/>
          <w:jc w:val="center"/>
        </w:trPr>
        <w:tc>
          <w:tcPr>
            <w:tcW w:w="1539" w:type="dxa"/>
            <w:vMerge w:val="continue"/>
            <w:noWrap w:val="0"/>
            <w:vAlign w:val="center"/>
          </w:tcPr>
          <w:p w14:paraId="757B17E7">
            <w:pPr>
              <w:widowControl/>
              <w:spacing w:line="340" w:lineRule="exact"/>
              <w:jc w:val="center"/>
              <w:rPr>
                <w:rFonts w:ascii="方正仿宋简体" w:hAnsi="方正仿宋简体" w:eastAsia="方正仿宋简体" w:cs="Tahoma"/>
                <w:b w:val="0"/>
                <w:bCs w:val="0"/>
                <w:color w:val="000000"/>
                <w:kern w:val="0"/>
                <w:sz w:val="22"/>
                <w:szCs w:val="22"/>
              </w:rPr>
            </w:pPr>
          </w:p>
        </w:tc>
        <w:tc>
          <w:tcPr>
            <w:tcW w:w="2843" w:type="dxa"/>
            <w:tcBorders>
              <w:top w:val="single" w:color="auto" w:sz="4" w:space="0"/>
              <w:bottom w:val="single" w:color="auto" w:sz="4" w:space="0"/>
              <w:right w:val="single" w:color="auto" w:sz="4" w:space="0"/>
            </w:tcBorders>
            <w:noWrap w:val="0"/>
            <w:vAlign w:val="center"/>
          </w:tcPr>
          <w:p w14:paraId="31F40AD5">
            <w:pPr>
              <w:rPr>
                <w:rFonts w:hint="eastAsia" w:ascii="宋体" w:hAnsi="宋体"/>
                <w:b w:val="0"/>
                <w:bCs w:val="0"/>
                <w:sz w:val="20"/>
                <w:szCs w:val="20"/>
                <w:highlight w:val="none"/>
                <w:lang w:val="en-US" w:eastAsia="zh-CN"/>
              </w:rPr>
            </w:pPr>
            <w:r>
              <w:rPr>
                <w:rFonts w:hint="eastAsia" w:ascii="宋体" w:hAnsi="宋体"/>
                <w:b w:val="0"/>
                <w:bCs w:val="0"/>
                <w:sz w:val="20"/>
                <w:szCs w:val="20"/>
                <w:highlight w:val="none"/>
                <w:lang w:val="en-US" w:eastAsia="zh-CN"/>
              </w:rPr>
              <w:t>11.服务期间有无积极配合甲方监督和管理</w:t>
            </w:r>
          </w:p>
        </w:tc>
        <w:tc>
          <w:tcPr>
            <w:tcW w:w="577" w:type="dxa"/>
            <w:tcBorders>
              <w:top w:val="single" w:color="auto" w:sz="4" w:space="0"/>
              <w:left w:val="single" w:color="auto" w:sz="4" w:space="0"/>
              <w:bottom w:val="single" w:color="auto" w:sz="4" w:space="0"/>
            </w:tcBorders>
            <w:noWrap w:val="0"/>
            <w:vAlign w:val="center"/>
          </w:tcPr>
          <w:p w14:paraId="7ACD11C1">
            <w:pPr>
              <w:rPr>
                <w:rFonts w:hint="eastAsia" w:ascii="宋体" w:hAnsi="宋体"/>
                <w:b w:val="0"/>
                <w:bCs w:val="0"/>
                <w:sz w:val="20"/>
                <w:szCs w:val="20"/>
                <w:highlight w:val="none"/>
                <w:lang w:val="en-US" w:eastAsia="zh-CN"/>
              </w:rPr>
            </w:pPr>
            <w:r>
              <w:rPr>
                <w:rFonts w:hint="eastAsia" w:ascii="宋体" w:hAnsi="宋体"/>
                <w:b w:val="0"/>
                <w:bCs w:val="0"/>
                <w:sz w:val="20"/>
                <w:szCs w:val="20"/>
                <w:highlight w:val="none"/>
                <w:lang w:val="en-US" w:eastAsia="zh-CN"/>
              </w:rPr>
              <w:t>4分</w:t>
            </w:r>
          </w:p>
        </w:tc>
        <w:tc>
          <w:tcPr>
            <w:tcW w:w="2904" w:type="dxa"/>
            <w:tcBorders>
              <w:top w:val="single" w:color="auto" w:sz="4" w:space="0"/>
              <w:bottom w:val="single" w:color="auto" w:sz="4" w:space="0"/>
            </w:tcBorders>
            <w:noWrap w:val="0"/>
            <w:vAlign w:val="center"/>
          </w:tcPr>
          <w:p w14:paraId="15E6F977">
            <w:pPr>
              <w:rPr>
                <w:rFonts w:hint="eastAsia" w:ascii="宋体" w:hAnsi="宋体"/>
                <w:b w:val="0"/>
                <w:bCs w:val="0"/>
                <w:sz w:val="20"/>
                <w:szCs w:val="20"/>
                <w:highlight w:val="none"/>
              </w:rPr>
            </w:pPr>
            <w:r>
              <w:rPr>
                <w:rFonts w:hint="eastAsia" w:ascii="宋体" w:hAnsi="宋体"/>
                <w:b w:val="0"/>
                <w:bCs w:val="0"/>
                <w:sz w:val="20"/>
                <w:szCs w:val="20"/>
                <w:highlight w:val="none"/>
                <w:lang w:val="en-US" w:eastAsia="zh-CN"/>
              </w:rPr>
              <w:t>服务期间对甲方的监督和管理有抵触或不配合的，1次扣2分。</w:t>
            </w:r>
          </w:p>
        </w:tc>
        <w:tc>
          <w:tcPr>
            <w:tcW w:w="575" w:type="dxa"/>
            <w:tcBorders>
              <w:top w:val="single" w:color="auto" w:sz="4" w:space="0"/>
              <w:bottom w:val="single" w:color="auto" w:sz="4" w:space="0"/>
            </w:tcBorders>
            <w:noWrap/>
            <w:vAlign w:val="center"/>
          </w:tcPr>
          <w:p w14:paraId="20EFF956">
            <w:pPr>
              <w:spacing w:line="340" w:lineRule="exact"/>
              <w:jc w:val="left"/>
              <w:rPr>
                <w:rFonts w:ascii="方正仿宋简体" w:hAnsi="方正仿宋简体" w:eastAsia="方正仿宋简体" w:cs="Tahoma"/>
                <w:b w:val="0"/>
                <w:bCs w:val="0"/>
                <w:color w:val="000000"/>
                <w:kern w:val="0"/>
                <w:sz w:val="22"/>
                <w:szCs w:val="22"/>
              </w:rPr>
            </w:pPr>
          </w:p>
        </w:tc>
        <w:tc>
          <w:tcPr>
            <w:tcW w:w="1359" w:type="dxa"/>
            <w:tcBorders>
              <w:top w:val="single" w:color="auto" w:sz="4" w:space="0"/>
              <w:bottom w:val="single" w:color="auto" w:sz="4" w:space="0"/>
            </w:tcBorders>
            <w:noWrap/>
            <w:vAlign w:val="center"/>
          </w:tcPr>
          <w:p w14:paraId="109AA12F">
            <w:pPr>
              <w:spacing w:line="340" w:lineRule="exact"/>
              <w:jc w:val="left"/>
              <w:rPr>
                <w:rFonts w:ascii="方正仿宋简体" w:hAnsi="方正仿宋简体" w:eastAsia="方正仿宋简体" w:cs="Tahoma"/>
                <w:b w:val="0"/>
                <w:bCs w:val="0"/>
                <w:color w:val="000000"/>
                <w:kern w:val="0"/>
                <w:sz w:val="22"/>
                <w:szCs w:val="22"/>
              </w:rPr>
            </w:pPr>
          </w:p>
        </w:tc>
      </w:tr>
      <w:tr w14:paraId="7F1B5B0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51" w:hRule="atLeast"/>
          <w:jc w:val="center"/>
        </w:trPr>
        <w:tc>
          <w:tcPr>
            <w:tcW w:w="1539" w:type="dxa"/>
            <w:vMerge w:val="restart"/>
            <w:tcBorders>
              <w:top w:val="single" w:color="auto" w:sz="4" w:space="0"/>
            </w:tcBorders>
            <w:noWrap w:val="0"/>
            <w:vAlign w:val="center"/>
          </w:tcPr>
          <w:p w14:paraId="2BDE126A">
            <w:pPr>
              <w:spacing w:line="340" w:lineRule="exact"/>
              <w:jc w:val="left"/>
              <w:rPr>
                <w:rFonts w:ascii="方正仿宋简体" w:hAnsi="方正仿宋简体" w:eastAsia="方正仿宋简体" w:cs="Tahoma"/>
                <w:b w:val="0"/>
                <w:bCs w:val="0"/>
                <w:color w:val="000000"/>
                <w:kern w:val="0"/>
                <w:sz w:val="22"/>
                <w:szCs w:val="22"/>
              </w:rPr>
            </w:pPr>
            <w:r>
              <w:rPr>
                <w:rFonts w:hint="eastAsia" w:ascii="方正仿宋简体" w:hAnsi="方正仿宋简体" w:eastAsia="方正仿宋简体" w:cs="Tahoma"/>
                <w:b w:val="0"/>
                <w:bCs w:val="0"/>
                <w:color w:val="000000"/>
                <w:kern w:val="0"/>
                <w:sz w:val="22"/>
                <w:szCs w:val="22"/>
              </w:rPr>
              <w:t>既有建筑安全隐患排查及整治 （</w:t>
            </w:r>
            <w:r>
              <w:rPr>
                <w:rFonts w:ascii="方正仿宋简体" w:hAnsi="方正仿宋简体" w:eastAsia="方正仿宋简体" w:cs="Tahoma"/>
                <w:b w:val="0"/>
                <w:bCs w:val="0"/>
                <w:color w:val="000000"/>
                <w:kern w:val="0"/>
                <w:sz w:val="22"/>
                <w:szCs w:val="22"/>
              </w:rPr>
              <w:t>30</w:t>
            </w:r>
            <w:r>
              <w:rPr>
                <w:rFonts w:hint="eastAsia" w:ascii="方正仿宋简体" w:hAnsi="方正仿宋简体" w:eastAsia="方正仿宋简体" w:cs="Tahoma"/>
                <w:b w:val="0"/>
                <w:bCs w:val="0"/>
                <w:color w:val="000000"/>
                <w:kern w:val="0"/>
                <w:sz w:val="22"/>
                <w:szCs w:val="22"/>
              </w:rPr>
              <w:t>分）</w:t>
            </w:r>
          </w:p>
        </w:tc>
        <w:tc>
          <w:tcPr>
            <w:tcW w:w="2843" w:type="dxa"/>
            <w:tcBorders>
              <w:bottom w:val="single" w:color="auto" w:sz="4" w:space="0"/>
              <w:right w:val="single" w:color="auto" w:sz="4" w:space="0"/>
            </w:tcBorders>
            <w:noWrap w:val="0"/>
            <w:vAlign w:val="center"/>
          </w:tcPr>
          <w:p w14:paraId="43484329">
            <w:pPr>
              <w:rPr>
                <w:rFonts w:hint="eastAsia" w:ascii="宋体" w:hAnsi="宋体"/>
                <w:b w:val="0"/>
                <w:bCs w:val="0"/>
                <w:sz w:val="20"/>
                <w:szCs w:val="20"/>
                <w:highlight w:val="none"/>
              </w:rPr>
            </w:pPr>
            <w:r>
              <w:rPr>
                <w:rFonts w:hint="eastAsia" w:ascii="宋体" w:hAnsi="宋体"/>
                <w:b w:val="0"/>
                <w:bCs w:val="0"/>
                <w:sz w:val="20"/>
                <w:szCs w:val="20"/>
                <w:highlight w:val="none"/>
              </w:rPr>
              <w:t>1.完成辖区范围内隐患房屋体检评估年度全覆盖。</w:t>
            </w:r>
          </w:p>
        </w:tc>
        <w:tc>
          <w:tcPr>
            <w:tcW w:w="577" w:type="dxa"/>
            <w:tcBorders>
              <w:left w:val="single" w:color="auto" w:sz="4" w:space="0"/>
              <w:bottom w:val="single" w:color="auto" w:sz="4" w:space="0"/>
            </w:tcBorders>
            <w:noWrap w:val="0"/>
            <w:vAlign w:val="center"/>
          </w:tcPr>
          <w:p w14:paraId="2ED09FB2">
            <w:pPr>
              <w:rPr>
                <w:rFonts w:hint="eastAsia" w:ascii="宋体" w:hAnsi="宋体"/>
                <w:b w:val="0"/>
                <w:bCs w:val="0"/>
                <w:sz w:val="20"/>
                <w:szCs w:val="20"/>
                <w:highlight w:val="none"/>
              </w:rPr>
            </w:pPr>
            <w:r>
              <w:rPr>
                <w:rFonts w:hint="eastAsia" w:ascii="宋体" w:hAnsi="宋体"/>
                <w:b w:val="0"/>
                <w:bCs w:val="0"/>
                <w:sz w:val="20"/>
                <w:szCs w:val="20"/>
                <w:highlight w:val="none"/>
              </w:rPr>
              <w:t>10分</w:t>
            </w:r>
          </w:p>
        </w:tc>
        <w:tc>
          <w:tcPr>
            <w:tcW w:w="2904" w:type="dxa"/>
            <w:tcBorders>
              <w:bottom w:val="single" w:color="auto" w:sz="4" w:space="0"/>
            </w:tcBorders>
            <w:noWrap w:val="0"/>
            <w:vAlign w:val="center"/>
          </w:tcPr>
          <w:p w14:paraId="19E2A281">
            <w:pPr>
              <w:rPr>
                <w:rFonts w:hint="eastAsia" w:ascii="宋体" w:hAnsi="宋体"/>
                <w:b w:val="0"/>
                <w:bCs w:val="0"/>
                <w:sz w:val="20"/>
                <w:szCs w:val="20"/>
                <w:highlight w:val="none"/>
              </w:rPr>
            </w:pPr>
            <w:r>
              <w:rPr>
                <w:rFonts w:hint="eastAsia" w:ascii="宋体" w:hAnsi="宋体"/>
                <w:b w:val="0"/>
                <w:bCs w:val="0"/>
                <w:sz w:val="20"/>
                <w:szCs w:val="20"/>
                <w:highlight w:val="none"/>
              </w:rPr>
              <w:t>视工作开展情况给分，未开展不得分。</w:t>
            </w:r>
          </w:p>
        </w:tc>
        <w:tc>
          <w:tcPr>
            <w:tcW w:w="575" w:type="dxa"/>
            <w:tcBorders>
              <w:bottom w:val="single" w:color="auto" w:sz="4" w:space="0"/>
            </w:tcBorders>
            <w:noWrap/>
            <w:vAlign w:val="center"/>
          </w:tcPr>
          <w:p w14:paraId="1E2E1DFF">
            <w:pPr>
              <w:widowControl/>
              <w:spacing w:line="340" w:lineRule="exact"/>
              <w:jc w:val="left"/>
              <w:rPr>
                <w:rFonts w:ascii="方正仿宋简体" w:hAnsi="方正仿宋简体" w:eastAsia="方正仿宋简体" w:cs="Tahoma"/>
                <w:b w:val="0"/>
                <w:bCs w:val="0"/>
                <w:color w:val="000000"/>
                <w:kern w:val="0"/>
                <w:sz w:val="22"/>
                <w:szCs w:val="22"/>
              </w:rPr>
            </w:pPr>
          </w:p>
        </w:tc>
        <w:tc>
          <w:tcPr>
            <w:tcW w:w="1359" w:type="dxa"/>
            <w:tcBorders>
              <w:bottom w:val="single" w:color="auto" w:sz="4" w:space="0"/>
            </w:tcBorders>
            <w:noWrap/>
            <w:vAlign w:val="center"/>
          </w:tcPr>
          <w:p w14:paraId="4C162879">
            <w:pPr>
              <w:widowControl/>
              <w:spacing w:line="340" w:lineRule="exact"/>
              <w:jc w:val="left"/>
              <w:rPr>
                <w:rFonts w:ascii="方正仿宋简体" w:hAnsi="方正仿宋简体" w:eastAsia="方正仿宋简体" w:cs="Tahoma"/>
                <w:b w:val="0"/>
                <w:bCs w:val="0"/>
                <w:color w:val="000000"/>
                <w:kern w:val="0"/>
                <w:sz w:val="22"/>
                <w:szCs w:val="22"/>
              </w:rPr>
            </w:pPr>
          </w:p>
        </w:tc>
      </w:tr>
      <w:tr w14:paraId="11D8866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28" w:hRule="atLeast"/>
          <w:jc w:val="center"/>
        </w:trPr>
        <w:tc>
          <w:tcPr>
            <w:tcW w:w="1539" w:type="dxa"/>
            <w:vMerge w:val="continue"/>
            <w:noWrap w:val="0"/>
            <w:vAlign w:val="center"/>
          </w:tcPr>
          <w:p w14:paraId="2198B398">
            <w:pPr>
              <w:spacing w:line="340" w:lineRule="exact"/>
              <w:jc w:val="left"/>
              <w:rPr>
                <w:rFonts w:ascii="方正仿宋简体" w:hAnsi="方正仿宋简体" w:eastAsia="方正仿宋简体" w:cs="Tahoma"/>
                <w:b w:val="0"/>
                <w:bCs w:val="0"/>
                <w:color w:val="000000"/>
                <w:kern w:val="0"/>
                <w:sz w:val="22"/>
                <w:szCs w:val="22"/>
              </w:rPr>
            </w:pPr>
          </w:p>
        </w:tc>
        <w:tc>
          <w:tcPr>
            <w:tcW w:w="2843" w:type="dxa"/>
            <w:tcBorders>
              <w:top w:val="single" w:color="auto" w:sz="4" w:space="0"/>
              <w:bottom w:val="single" w:color="auto" w:sz="4" w:space="0"/>
              <w:right w:val="single" w:color="auto" w:sz="4" w:space="0"/>
            </w:tcBorders>
            <w:noWrap w:val="0"/>
            <w:vAlign w:val="center"/>
          </w:tcPr>
          <w:p w14:paraId="0F77BA37">
            <w:pPr>
              <w:rPr>
                <w:rFonts w:hint="eastAsia" w:ascii="宋体" w:hAnsi="宋体"/>
                <w:b w:val="0"/>
                <w:bCs w:val="0"/>
                <w:sz w:val="20"/>
                <w:szCs w:val="20"/>
                <w:highlight w:val="none"/>
              </w:rPr>
            </w:pPr>
            <w:r>
              <w:rPr>
                <w:rFonts w:hint="eastAsia" w:ascii="宋体" w:hAnsi="宋体"/>
                <w:b w:val="0"/>
                <w:bCs w:val="0"/>
                <w:sz w:val="20"/>
                <w:szCs w:val="20"/>
                <w:highlight w:val="none"/>
              </w:rPr>
              <w:t>2.有工作专班统筹推动隐患房屋鉴定及治理，完成年度整治任务（含在册危房、自建房整治）。</w:t>
            </w:r>
          </w:p>
        </w:tc>
        <w:tc>
          <w:tcPr>
            <w:tcW w:w="577" w:type="dxa"/>
            <w:tcBorders>
              <w:top w:val="single" w:color="auto" w:sz="4" w:space="0"/>
              <w:left w:val="single" w:color="auto" w:sz="4" w:space="0"/>
              <w:bottom w:val="single" w:color="auto" w:sz="4" w:space="0"/>
            </w:tcBorders>
            <w:noWrap w:val="0"/>
            <w:vAlign w:val="center"/>
          </w:tcPr>
          <w:p w14:paraId="4208D08B">
            <w:pPr>
              <w:rPr>
                <w:rFonts w:hint="eastAsia" w:ascii="宋体" w:hAnsi="宋体"/>
                <w:b w:val="0"/>
                <w:bCs w:val="0"/>
                <w:sz w:val="20"/>
                <w:szCs w:val="20"/>
                <w:highlight w:val="none"/>
              </w:rPr>
            </w:pPr>
            <w:r>
              <w:rPr>
                <w:rFonts w:hint="eastAsia" w:ascii="宋体" w:hAnsi="宋体"/>
                <w:b w:val="0"/>
                <w:bCs w:val="0"/>
                <w:sz w:val="20"/>
                <w:szCs w:val="20"/>
                <w:highlight w:val="none"/>
              </w:rPr>
              <w:t>20分</w:t>
            </w:r>
          </w:p>
        </w:tc>
        <w:tc>
          <w:tcPr>
            <w:tcW w:w="2904" w:type="dxa"/>
            <w:tcBorders>
              <w:top w:val="single" w:color="auto" w:sz="4" w:space="0"/>
              <w:bottom w:val="single" w:color="auto" w:sz="4" w:space="0"/>
            </w:tcBorders>
            <w:noWrap w:val="0"/>
            <w:vAlign w:val="center"/>
          </w:tcPr>
          <w:p w14:paraId="3F4B29DB">
            <w:pPr>
              <w:rPr>
                <w:rFonts w:hint="eastAsia" w:ascii="宋体" w:hAnsi="宋体"/>
                <w:b w:val="0"/>
                <w:bCs w:val="0"/>
                <w:sz w:val="20"/>
                <w:szCs w:val="20"/>
                <w:highlight w:val="none"/>
              </w:rPr>
            </w:pPr>
            <w:r>
              <w:rPr>
                <w:rFonts w:hint="eastAsia" w:ascii="宋体" w:hAnsi="宋体"/>
                <w:b w:val="0"/>
                <w:bCs w:val="0"/>
                <w:sz w:val="20"/>
                <w:szCs w:val="20"/>
                <w:highlight w:val="none"/>
              </w:rPr>
              <w:t>对照目标任务数量，考核完成比例，每差5%扣2分。</w:t>
            </w:r>
          </w:p>
        </w:tc>
        <w:tc>
          <w:tcPr>
            <w:tcW w:w="575" w:type="dxa"/>
            <w:tcBorders>
              <w:top w:val="single" w:color="auto" w:sz="4" w:space="0"/>
              <w:bottom w:val="single" w:color="auto" w:sz="4" w:space="0"/>
            </w:tcBorders>
            <w:noWrap/>
            <w:vAlign w:val="center"/>
          </w:tcPr>
          <w:p w14:paraId="222E5A6B">
            <w:pPr>
              <w:spacing w:line="340" w:lineRule="exact"/>
              <w:jc w:val="left"/>
              <w:rPr>
                <w:rFonts w:ascii="方正仿宋简体" w:hAnsi="方正仿宋简体" w:eastAsia="方正仿宋简体" w:cs="Tahoma"/>
                <w:b w:val="0"/>
                <w:bCs w:val="0"/>
                <w:color w:val="000000"/>
                <w:kern w:val="0"/>
                <w:sz w:val="22"/>
                <w:szCs w:val="22"/>
              </w:rPr>
            </w:pPr>
          </w:p>
        </w:tc>
        <w:tc>
          <w:tcPr>
            <w:tcW w:w="1359" w:type="dxa"/>
            <w:tcBorders>
              <w:top w:val="single" w:color="auto" w:sz="4" w:space="0"/>
              <w:bottom w:val="single" w:color="auto" w:sz="4" w:space="0"/>
            </w:tcBorders>
            <w:noWrap/>
            <w:vAlign w:val="center"/>
          </w:tcPr>
          <w:p w14:paraId="64D22833">
            <w:pPr>
              <w:spacing w:line="340" w:lineRule="exact"/>
              <w:jc w:val="left"/>
              <w:rPr>
                <w:rFonts w:ascii="方正仿宋简体" w:hAnsi="方正仿宋简体" w:eastAsia="方正仿宋简体" w:cs="Tahoma"/>
                <w:b w:val="0"/>
                <w:bCs w:val="0"/>
                <w:color w:val="000000"/>
                <w:kern w:val="0"/>
                <w:sz w:val="22"/>
                <w:szCs w:val="22"/>
              </w:rPr>
            </w:pPr>
          </w:p>
        </w:tc>
      </w:tr>
      <w:tr w14:paraId="0614649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1537" w:hRule="atLeast"/>
          <w:jc w:val="center"/>
        </w:trPr>
        <w:tc>
          <w:tcPr>
            <w:tcW w:w="1539" w:type="dxa"/>
            <w:tcBorders>
              <w:bottom w:val="single" w:color="auto" w:sz="4" w:space="0"/>
            </w:tcBorders>
            <w:noWrap w:val="0"/>
            <w:vAlign w:val="center"/>
          </w:tcPr>
          <w:p w14:paraId="17680BE7">
            <w:pPr>
              <w:widowControl/>
              <w:spacing w:line="340" w:lineRule="exact"/>
              <w:jc w:val="center"/>
              <w:rPr>
                <w:rFonts w:ascii="方正仿宋简体" w:hAnsi="方正仿宋简体" w:eastAsia="方正仿宋简体" w:cs="Tahoma"/>
                <w:b w:val="0"/>
                <w:bCs w:val="0"/>
                <w:color w:val="000000"/>
                <w:kern w:val="0"/>
                <w:sz w:val="22"/>
                <w:szCs w:val="22"/>
              </w:rPr>
            </w:pPr>
            <w:r>
              <w:rPr>
                <w:rFonts w:hint="eastAsia" w:ascii="方正仿宋简体" w:hAnsi="方正仿宋简体" w:eastAsia="方正仿宋简体" w:cs="Tahoma"/>
                <w:b w:val="0"/>
                <w:bCs w:val="0"/>
                <w:color w:val="000000"/>
                <w:kern w:val="0"/>
                <w:sz w:val="22"/>
                <w:szCs w:val="22"/>
              </w:rPr>
              <w:t>表彰情况</w:t>
            </w:r>
          </w:p>
        </w:tc>
        <w:tc>
          <w:tcPr>
            <w:tcW w:w="2843" w:type="dxa"/>
            <w:tcBorders>
              <w:top w:val="single" w:color="auto" w:sz="4" w:space="0"/>
              <w:bottom w:val="single" w:color="auto" w:sz="4" w:space="0"/>
              <w:right w:val="single" w:color="auto" w:sz="4" w:space="0"/>
            </w:tcBorders>
            <w:noWrap w:val="0"/>
            <w:vAlign w:val="center"/>
          </w:tcPr>
          <w:p w14:paraId="0254D8C3">
            <w:pPr>
              <w:rPr>
                <w:rFonts w:hint="eastAsia" w:ascii="宋体" w:hAnsi="宋体"/>
                <w:b w:val="0"/>
                <w:bCs w:val="0"/>
                <w:sz w:val="20"/>
                <w:szCs w:val="20"/>
                <w:highlight w:val="none"/>
              </w:rPr>
            </w:pPr>
            <w:r>
              <w:rPr>
                <w:rFonts w:hint="eastAsia" w:ascii="宋体" w:hAnsi="宋体"/>
                <w:b w:val="0"/>
                <w:bCs w:val="0"/>
                <w:sz w:val="20"/>
                <w:szCs w:val="20"/>
                <w:highlight w:val="none"/>
              </w:rPr>
              <w:t>获得部、省、市级奖项称号或在主流媒体（如人民网、新华网、央视网、学习强国等）上进行宣传推介的可加分，积极承担参加部、省、市级活动受到表扬的予以加分。</w:t>
            </w:r>
          </w:p>
        </w:tc>
        <w:tc>
          <w:tcPr>
            <w:tcW w:w="577" w:type="dxa"/>
            <w:tcBorders>
              <w:top w:val="single" w:color="auto" w:sz="4" w:space="0"/>
              <w:left w:val="single" w:color="auto" w:sz="4" w:space="0"/>
              <w:bottom w:val="single" w:color="auto" w:sz="4" w:space="0"/>
            </w:tcBorders>
            <w:noWrap w:val="0"/>
            <w:vAlign w:val="center"/>
          </w:tcPr>
          <w:p w14:paraId="48C7A047">
            <w:pPr>
              <w:rPr>
                <w:rFonts w:hint="eastAsia" w:ascii="宋体" w:hAnsi="宋体" w:eastAsia="宋体"/>
                <w:b w:val="0"/>
                <w:bCs w:val="0"/>
                <w:sz w:val="20"/>
                <w:szCs w:val="20"/>
                <w:highlight w:val="none"/>
                <w:lang w:val="en-US" w:eastAsia="zh-CN"/>
              </w:rPr>
            </w:pPr>
            <w:r>
              <w:rPr>
                <w:rFonts w:hint="eastAsia" w:ascii="宋体" w:hAnsi="宋体"/>
                <w:b w:val="0"/>
                <w:bCs w:val="0"/>
                <w:sz w:val="20"/>
                <w:szCs w:val="20"/>
                <w:highlight w:val="none"/>
              </w:rPr>
              <w:t>10</w:t>
            </w:r>
            <w:r>
              <w:rPr>
                <w:rFonts w:hint="eastAsia" w:ascii="宋体" w:hAnsi="宋体"/>
                <w:b w:val="0"/>
                <w:bCs w:val="0"/>
                <w:sz w:val="20"/>
                <w:szCs w:val="20"/>
                <w:highlight w:val="none"/>
                <w:lang w:val="en-US" w:eastAsia="zh-CN"/>
              </w:rPr>
              <w:t>分</w:t>
            </w:r>
          </w:p>
        </w:tc>
        <w:tc>
          <w:tcPr>
            <w:tcW w:w="2904" w:type="dxa"/>
            <w:tcBorders>
              <w:top w:val="single" w:color="auto" w:sz="4" w:space="0"/>
              <w:bottom w:val="single" w:color="auto" w:sz="4" w:space="0"/>
            </w:tcBorders>
            <w:noWrap w:val="0"/>
            <w:vAlign w:val="center"/>
          </w:tcPr>
          <w:p w14:paraId="2C354513">
            <w:pPr>
              <w:rPr>
                <w:rFonts w:hint="eastAsia" w:ascii="宋体" w:hAnsi="宋体"/>
                <w:b w:val="0"/>
                <w:bCs w:val="0"/>
                <w:sz w:val="20"/>
                <w:szCs w:val="20"/>
                <w:highlight w:val="none"/>
              </w:rPr>
            </w:pPr>
            <w:r>
              <w:rPr>
                <w:rFonts w:hint="eastAsia" w:ascii="宋体" w:hAnsi="宋体"/>
                <w:b w:val="0"/>
                <w:bCs w:val="0"/>
                <w:sz w:val="20"/>
                <w:szCs w:val="20"/>
                <w:highlight w:val="none"/>
              </w:rPr>
              <w:t>每个项目加2分，最高可加10分。</w:t>
            </w:r>
          </w:p>
        </w:tc>
        <w:tc>
          <w:tcPr>
            <w:tcW w:w="575" w:type="dxa"/>
            <w:tcBorders>
              <w:top w:val="single" w:color="auto" w:sz="4" w:space="0"/>
              <w:bottom w:val="single" w:color="auto" w:sz="4" w:space="0"/>
            </w:tcBorders>
            <w:noWrap/>
            <w:vAlign w:val="center"/>
          </w:tcPr>
          <w:p w14:paraId="5DC231E5">
            <w:pPr>
              <w:spacing w:line="340" w:lineRule="exact"/>
              <w:jc w:val="left"/>
              <w:rPr>
                <w:rFonts w:ascii="方正仿宋简体" w:hAnsi="方正仿宋简体" w:eastAsia="方正仿宋简体" w:cs="Tahoma"/>
                <w:b w:val="0"/>
                <w:bCs w:val="0"/>
                <w:color w:val="000000"/>
                <w:kern w:val="0"/>
                <w:sz w:val="22"/>
                <w:szCs w:val="22"/>
              </w:rPr>
            </w:pPr>
          </w:p>
        </w:tc>
        <w:tc>
          <w:tcPr>
            <w:tcW w:w="1359" w:type="dxa"/>
            <w:tcBorders>
              <w:top w:val="single" w:color="auto" w:sz="4" w:space="0"/>
              <w:bottom w:val="single" w:color="auto" w:sz="4" w:space="0"/>
            </w:tcBorders>
            <w:noWrap/>
            <w:vAlign w:val="center"/>
          </w:tcPr>
          <w:p w14:paraId="0F746842">
            <w:pPr>
              <w:spacing w:line="340" w:lineRule="exact"/>
              <w:jc w:val="left"/>
              <w:rPr>
                <w:rFonts w:ascii="方正仿宋简体" w:hAnsi="方正仿宋简体" w:eastAsia="方正仿宋简体" w:cs="Tahoma"/>
                <w:b w:val="0"/>
                <w:bCs w:val="0"/>
                <w:color w:val="000000"/>
                <w:kern w:val="0"/>
                <w:sz w:val="22"/>
                <w:szCs w:val="22"/>
              </w:rPr>
            </w:pPr>
          </w:p>
        </w:tc>
      </w:tr>
      <w:tr w14:paraId="3CF143B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25" w:hRule="atLeast"/>
          <w:jc w:val="center"/>
        </w:trPr>
        <w:tc>
          <w:tcPr>
            <w:tcW w:w="1539" w:type="dxa"/>
            <w:tcBorders>
              <w:bottom w:val="single" w:color="auto" w:sz="4" w:space="0"/>
            </w:tcBorders>
            <w:noWrap w:val="0"/>
            <w:vAlign w:val="center"/>
          </w:tcPr>
          <w:p w14:paraId="471F61D5">
            <w:pPr>
              <w:widowControl/>
              <w:spacing w:line="340" w:lineRule="exact"/>
              <w:jc w:val="center"/>
              <w:rPr>
                <w:rFonts w:ascii="方正仿宋简体" w:hAnsi="方正仿宋简体" w:eastAsia="方正仿宋简体" w:cs="Tahoma"/>
                <w:b w:val="0"/>
                <w:bCs w:val="0"/>
                <w:color w:val="000000"/>
                <w:kern w:val="0"/>
                <w:sz w:val="22"/>
                <w:szCs w:val="22"/>
              </w:rPr>
            </w:pPr>
            <w:r>
              <w:rPr>
                <w:rFonts w:hint="eastAsia" w:ascii="方正仿宋简体" w:hAnsi="方正仿宋简体" w:eastAsia="方正仿宋简体" w:cs="Tahoma"/>
                <w:b w:val="0"/>
                <w:bCs w:val="0"/>
                <w:color w:val="000000"/>
                <w:kern w:val="0"/>
                <w:sz w:val="22"/>
                <w:szCs w:val="22"/>
              </w:rPr>
              <w:t>一票否决</w:t>
            </w:r>
          </w:p>
        </w:tc>
        <w:tc>
          <w:tcPr>
            <w:tcW w:w="2843" w:type="dxa"/>
            <w:tcBorders>
              <w:top w:val="single" w:color="auto" w:sz="4" w:space="0"/>
              <w:bottom w:val="single" w:color="auto" w:sz="4" w:space="0"/>
              <w:right w:val="single" w:color="auto" w:sz="4" w:space="0"/>
            </w:tcBorders>
            <w:noWrap w:val="0"/>
            <w:vAlign w:val="center"/>
          </w:tcPr>
          <w:p w14:paraId="40D96C95">
            <w:pPr>
              <w:rPr>
                <w:rFonts w:hint="eastAsia" w:ascii="宋体" w:hAnsi="宋体"/>
                <w:b w:val="0"/>
                <w:bCs w:val="0"/>
                <w:sz w:val="20"/>
                <w:szCs w:val="20"/>
                <w:highlight w:val="none"/>
              </w:rPr>
            </w:pPr>
            <w:r>
              <w:rPr>
                <w:rFonts w:hint="eastAsia" w:ascii="宋体" w:hAnsi="宋体"/>
                <w:b w:val="0"/>
                <w:bCs w:val="0"/>
                <w:sz w:val="20"/>
                <w:szCs w:val="20"/>
                <w:highlight w:val="none"/>
              </w:rPr>
              <w:t>服务期间是否发生过</w:t>
            </w:r>
            <w:r>
              <w:rPr>
                <w:rFonts w:hint="eastAsia" w:ascii="宋体" w:hAnsi="宋体"/>
                <w:b w:val="0"/>
                <w:bCs w:val="0"/>
                <w:sz w:val="20"/>
                <w:szCs w:val="20"/>
                <w:highlight w:val="none"/>
                <w:lang w:val="en-US" w:eastAsia="zh-CN"/>
              </w:rPr>
              <w:t>一般以上</w:t>
            </w:r>
            <w:r>
              <w:rPr>
                <w:rFonts w:hint="eastAsia" w:ascii="宋体" w:hAnsi="宋体"/>
                <w:b w:val="0"/>
                <w:bCs w:val="0"/>
                <w:sz w:val="20"/>
                <w:szCs w:val="20"/>
                <w:highlight w:val="none"/>
              </w:rPr>
              <w:t>安全事故</w:t>
            </w:r>
            <w:r>
              <w:rPr>
                <w:rFonts w:hint="eastAsia" w:ascii="宋体" w:hAnsi="宋体"/>
                <w:b w:val="0"/>
                <w:bCs w:val="0"/>
                <w:sz w:val="20"/>
                <w:szCs w:val="20"/>
                <w:highlight w:val="none"/>
                <w:lang w:eastAsia="zh-CN"/>
              </w:rPr>
              <w:t>。</w:t>
            </w:r>
          </w:p>
        </w:tc>
        <w:tc>
          <w:tcPr>
            <w:tcW w:w="577" w:type="dxa"/>
            <w:tcBorders>
              <w:top w:val="single" w:color="auto" w:sz="4" w:space="0"/>
              <w:left w:val="single" w:color="auto" w:sz="4" w:space="0"/>
              <w:bottom w:val="single" w:color="auto" w:sz="4" w:space="0"/>
            </w:tcBorders>
            <w:noWrap w:val="0"/>
            <w:vAlign w:val="center"/>
          </w:tcPr>
          <w:p w14:paraId="1E126B9E">
            <w:pPr>
              <w:rPr>
                <w:rFonts w:hint="eastAsia" w:ascii="宋体" w:hAnsi="宋体"/>
                <w:b w:val="0"/>
                <w:bCs w:val="0"/>
                <w:sz w:val="20"/>
                <w:szCs w:val="20"/>
                <w:highlight w:val="none"/>
              </w:rPr>
            </w:pPr>
          </w:p>
        </w:tc>
        <w:tc>
          <w:tcPr>
            <w:tcW w:w="2904" w:type="dxa"/>
            <w:tcBorders>
              <w:top w:val="single" w:color="auto" w:sz="4" w:space="0"/>
              <w:bottom w:val="single" w:color="auto" w:sz="4" w:space="0"/>
            </w:tcBorders>
            <w:noWrap w:val="0"/>
            <w:vAlign w:val="center"/>
          </w:tcPr>
          <w:p w14:paraId="664436E9">
            <w:pPr>
              <w:rPr>
                <w:rFonts w:hint="eastAsia" w:ascii="宋体" w:hAnsi="宋体"/>
                <w:b w:val="0"/>
                <w:bCs w:val="0"/>
                <w:sz w:val="20"/>
                <w:szCs w:val="20"/>
                <w:highlight w:val="none"/>
              </w:rPr>
            </w:pPr>
            <w:r>
              <w:rPr>
                <w:rFonts w:hint="eastAsia" w:ascii="宋体" w:hAnsi="宋体"/>
                <w:b w:val="0"/>
                <w:bCs w:val="0"/>
                <w:sz w:val="20"/>
                <w:szCs w:val="20"/>
                <w:highlight w:val="none"/>
              </w:rPr>
              <w:t>发生一起即全部扣除。</w:t>
            </w:r>
          </w:p>
        </w:tc>
        <w:tc>
          <w:tcPr>
            <w:tcW w:w="575" w:type="dxa"/>
            <w:tcBorders>
              <w:top w:val="single" w:color="auto" w:sz="4" w:space="0"/>
              <w:bottom w:val="single" w:color="auto" w:sz="4" w:space="0"/>
            </w:tcBorders>
            <w:noWrap/>
            <w:vAlign w:val="center"/>
          </w:tcPr>
          <w:p w14:paraId="2A52A797">
            <w:pPr>
              <w:spacing w:line="340" w:lineRule="exact"/>
              <w:jc w:val="left"/>
              <w:rPr>
                <w:rFonts w:ascii="方正仿宋简体" w:hAnsi="方正仿宋简体" w:eastAsia="方正仿宋简体" w:cs="Tahoma"/>
                <w:b w:val="0"/>
                <w:bCs w:val="0"/>
                <w:color w:val="000000"/>
                <w:kern w:val="0"/>
                <w:sz w:val="22"/>
                <w:szCs w:val="22"/>
              </w:rPr>
            </w:pPr>
          </w:p>
        </w:tc>
        <w:tc>
          <w:tcPr>
            <w:tcW w:w="1359" w:type="dxa"/>
            <w:tcBorders>
              <w:top w:val="single" w:color="auto" w:sz="4" w:space="0"/>
              <w:bottom w:val="single" w:color="auto" w:sz="4" w:space="0"/>
            </w:tcBorders>
            <w:noWrap/>
            <w:vAlign w:val="center"/>
          </w:tcPr>
          <w:p w14:paraId="4EBC5297">
            <w:pPr>
              <w:spacing w:line="340" w:lineRule="exact"/>
              <w:jc w:val="left"/>
              <w:rPr>
                <w:rFonts w:ascii="方正仿宋简体" w:hAnsi="方正仿宋简体" w:eastAsia="方正仿宋简体" w:cs="Tahoma"/>
                <w:b w:val="0"/>
                <w:bCs w:val="0"/>
                <w:color w:val="000000"/>
                <w:kern w:val="0"/>
                <w:sz w:val="22"/>
                <w:szCs w:val="22"/>
              </w:rPr>
            </w:pPr>
          </w:p>
        </w:tc>
      </w:tr>
      <w:tr w14:paraId="7E2B6FD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76" w:hRule="atLeast"/>
          <w:jc w:val="center"/>
        </w:trPr>
        <w:tc>
          <w:tcPr>
            <w:tcW w:w="1539" w:type="dxa"/>
            <w:tcBorders>
              <w:top w:val="single" w:color="auto" w:sz="4" w:space="0"/>
            </w:tcBorders>
            <w:noWrap w:val="0"/>
            <w:vAlign w:val="center"/>
          </w:tcPr>
          <w:p w14:paraId="56DC9256">
            <w:pPr>
              <w:spacing w:line="340" w:lineRule="exact"/>
              <w:jc w:val="center"/>
              <w:rPr>
                <w:rFonts w:ascii="方正仿宋简体" w:hAnsi="方正仿宋简体" w:eastAsia="方正仿宋简体" w:cs="Tahoma"/>
                <w:b w:val="0"/>
                <w:bCs w:val="0"/>
                <w:color w:val="000000"/>
                <w:kern w:val="0"/>
                <w:sz w:val="22"/>
                <w:szCs w:val="22"/>
              </w:rPr>
            </w:pPr>
            <w:r>
              <w:rPr>
                <w:rFonts w:hint="eastAsia" w:ascii="方正仿宋简体" w:hAnsi="方正仿宋简体" w:eastAsia="方正仿宋简体" w:cs="Tahoma"/>
                <w:b w:val="0"/>
                <w:bCs w:val="0"/>
                <w:color w:val="000000"/>
                <w:kern w:val="0"/>
                <w:sz w:val="22"/>
                <w:szCs w:val="22"/>
              </w:rPr>
              <w:t>合</w:t>
            </w:r>
            <w:r>
              <w:rPr>
                <w:rFonts w:hint="eastAsia" w:ascii="方正仿宋简体" w:hAnsi="方正仿宋简体" w:eastAsia="方正仿宋简体" w:cs="Tahoma"/>
                <w:b w:val="0"/>
                <w:bCs w:val="0"/>
                <w:color w:val="000000"/>
                <w:kern w:val="0"/>
                <w:sz w:val="22"/>
                <w:szCs w:val="22"/>
                <w:lang w:val="en-US" w:eastAsia="zh-CN"/>
              </w:rPr>
              <w:t xml:space="preserve">  </w:t>
            </w:r>
            <w:r>
              <w:rPr>
                <w:rFonts w:hint="eastAsia" w:ascii="方正仿宋简体" w:hAnsi="方正仿宋简体" w:eastAsia="方正仿宋简体" w:cs="Tahoma"/>
                <w:b w:val="0"/>
                <w:bCs w:val="0"/>
                <w:color w:val="000000"/>
                <w:kern w:val="0"/>
                <w:sz w:val="22"/>
                <w:szCs w:val="22"/>
              </w:rPr>
              <w:t>计</w:t>
            </w:r>
          </w:p>
        </w:tc>
        <w:tc>
          <w:tcPr>
            <w:tcW w:w="2843" w:type="dxa"/>
            <w:tcBorders>
              <w:top w:val="single" w:color="auto" w:sz="4" w:space="0"/>
              <w:right w:val="single" w:color="auto" w:sz="4" w:space="0"/>
            </w:tcBorders>
            <w:noWrap w:val="0"/>
            <w:vAlign w:val="center"/>
          </w:tcPr>
          <w:p w14:paraId="069221B8">
            <w:pPr>
              <w:rPr>
                <w:rFonts w:hint="eastAsia" w:ascii="宋体" w:hAnsi="宋体"/>
                <w:b w:val="0"/>
                <w:bCs w:val="0"/>
                <w:sz w:val="20"/>
                <w:szCs w:val="20"/>
                <w:highlight w:val="none"/>
              </w:rPr>
            </w:pPr>
            <w:r>
              <w:rPr>
                <w:rFonts w:hint="eastAsia" w:ascii="宋体" w:hAnsi="宋体"/>
                <w:b w:val="0"/>
                <w:bCs w:val="0"/>
                <w:sz w:val="20"/>
                <w:szCs w:val="20"/>
                <w:highlight w:val="none"/>
              </w:rPr>
              <w:t>总分</w:t>
            </w:r>
          </w:p>
        </w:tc>
        <w:tc>
          <w:tcPr>
            <w:tcW w:w="577" w:type="dxa"/>
            <w:tcBorders>
              <w:top w:val="single" w:color="auto" w:sz="4" w:space="0"/>
              <w:left w:val="single" w:color="auto" w:sz="4" w:space="0"/>
            </w:tcBorders>
            <w:noWrap w:val="0"/>
            <w:vAlign w:val="center"/>
          </w:tcPr>
          <w:p w14:paraId="4C63E2BD">
            <w:pPr>
              <w:rPr>
                <w:rFonts w:hint="eastAsia" w:ascii="宋体" w:hAnsi="宋体"/>
                <w:b w:val="0"/>
                <w:bCs w:val="0"/>
                <w:sz w:val="20"/>
                <w:szCs w:val="20"/>
                <w:highlight w:val="none"/>
              </w:rPr>
            </w:pPr>
            <w:r>
              <w:rPr>
                <w:rFonts w:hint="eastAsia" w:ascii="宋体" w:hAnsi="宋体"/>
                <w:b w:val="0"/>
                <w:bCs w:val="0"/>
                <w:sz w:val="20"/>
                <w:szCs w:val="20"/>
                <w:highlight w:val="none"/>
              </w:rPr>
              <w:t>100分</w:t>
            </w:r>
          </w:p>
        </w:tc>
        <w:tc>
          <w:tcPr>
            <w:tcW w:w="2904" w:type="dxa"/>
            <w:tcBorders>
              <w:top w:val="single" w:color="auto" w:sz="4" w:space="0"/>
            </w:tcBorders>
            <w:noWrap w:val="0"/>
            <w:vAlign w:val="center"/>
          </w:tcPr>
          <w:p w14:paraId="23348343">
            <w:pPr>
              <w:rPr>
                <w:rFonts w:hint="eastAsia" w:ascii="宋体" w:hAnsi="宋体"/>
                <w:b w:val="0"/>
                <w:bCs w:val="0"/>
                <w:sz w:val="20"/>
                <w:szCs w:val="20"/>
                <w:highlight w:val="none"/>
              </w:rPr>
            </w:pPr>
            <w:r>
              <w:rPr>
                <w:rFonts w:hint="eastAsia" w:ascii="宋体" w:hAnsi="宋体"/>
                <w:b w:val="0"/>
                <w:bCs w:val="0"/>
                <w:sz w:val="20"/>
                <w:szCs w:val="20"/>
                <w:highlight w:val="none"/>
              </w:rPr>
              <w:t>得分</w:t>
            </w:r>
          </w:p>
        </w:tc>
        <w:tc>
          <w:tcPr>
            <w:tcW w:w="575" w:type="dxa"/>
            <w:tcBorders>
              <w:top w:val="single" w:color="auto" w:sz="4" w:space="0"/>
            </w:tcBorders>
            <w:noWrap/>
            <w:vAlign w:val="center"/>
          </w:tcPr>
          <w:p w14:paraId="5970B5C8">
            <w:pPr>
              <w:spacing w:line="340" w:lineRule="exact"/>
              <w:jc w:val="left"/>
              <w:rPr>
                <w:rFonts w:ascii="方正仿宋简体" w:hAnsi="方正仿宋简体" w:eastAsia="方正仿宋简体" w:cs="Tahoma"/>
                <w:b w:val="0"/>
                <w:bCs w:val="0"/>
                <w:color w:val="000000"/>
                <w:kern w:val="0"/>
                <w:sz w:val="22"/>
                <w:szCs w:val="22"/>
              </w:rPr>
            </w:pPr>
          </w:p>
        </w:tc>
        <w:tc>
          <w:tcPr>
            <w:tcW w:w="1359" w:type="dxa"/>
            <w:tcBorders>
              <w:top w:val="single" w:color="auto" w:sz="4" w:space="0"/>
            </w:tcBorders>
            <w:noWrap/>
            <w:vAlign w:val="center"/>
          </w:tcPr>
          <w:p w14:paraId="33F7F2A4">
            <w:pPr>
              <w:spacing w:line="340" w:lineRule="exact"/>
              <w:jc w:val="left"/>
              <w:rPr>
                <w:rFonts w:ascii="方正仿宋简体" w:hAnsi="方正仿宋简体" w:eastAsia="方正仿宋简体" w:cs="Tahoma"/>
                <w:b w:val="0"/>
                <w:bCs w:val="0"/>
                <w:color w:val="000000"/>
                <w:kern w:val="0"/>
                <w:sz w:val="22"/>
                <w:szCs w:val="22"/>
              </w:rPr>
            </w:pPr>
          </w:p>
        </w:tc>
      </w:tr>
    </w:tbl>
    <w:p w14:paraId="4CF291F2">
      <w:pPr>
        <w:pStyle w:val="210"/>
        <w:spacing w:line="240" w:lineRule="auto"/>
        <w:rPr>
          <w:rFonts w:hint="eastAsia"/>
          <w:color w:val="auto"/>
        </w:rPr>
      </w:pPr>
    </w:p>
    <w:p w14:paraId="49689A84">
      <w:pPr>
        <w:pStyle w:val="48"/>
        <w:ind w:left="0" w:leftChars="0" w:firstLine="0" w:firstLineChars="0"/>
        <w:rPr>
          <w:rFonts w:hint="eastAsia" w:ascii="宋体" w:hAnsi="宋体" w:cs="宋体"/>
          <w:b/>
          <w:sz w:val="30"/>
          <w:szCs w:val="30"/>
          <w:highlight w:val="none"/>
        </w:rPr>
      </w:pPr>
    </w:p>
    <w:p w14:paraId="6DB3EEED">
      <w:pPr>
        <w:jc w:val="center"/>
        <w:outlineLvl w:val="0"/>
        <w:rPr>
          <w:rFonts w:hint="eastAsia" w:ascii="宋体" w:hAnsi="宋体" w:cs="宋体"/>
          <w:b/>
          <w:sz w:val="30"/>
          <w:szCs w:val="30"/>
          <w:highlight w:val="none"/>
        </w:rPr>
      </w:pPr>
    </w:p>
    <w:p w14:paraId="5B178982">
      <w:pPr>
        <w:jc w:val="center"/>
        <w:outlineLvl w:val="0"/>
        <w:rPr>
          <w:rFonts w:hint="eastAsia" w:ascii="宋体" w:hAnsi="宋体" w:cs="宋体"/>
          <w:b/>
          <w:sz w:val="30"/>
          <w:szCs w:val="30"/>
          <w:highlight w:val="none"/>
        </w:rPr>
      </w:pPr>
      <w:bookmarkStart w:id="330" w:name="_Toc3199"/>
      <w:r>
        <w:rPr>
          <w:rFonts w:hint="eastAsia" w:ascii="宋体" w:hAnsi="宋体" w:cs="宋体"/>
          <w:b/>
          <w:sz w:val="30"/>
          <w:szCs w:val="30"/>
          <w:highlight w:val="none"/>
        </w:rPr>
        <w:t>第六章  竞争性磋商响应文件格式及附件</w:t>
      </w:r>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30"/>
    </w:p>
    <w:p w14:paraId="3B6C4980">
      <w:pPr>
        <w:spacing w:line="360" w:lineRule="auto"/>
        <w:jc w:val="center"/>
        <w:rPr>
          <w:rFonts w:ascii="宋体" w:hAnsi="宋体" w:cs="宋体"/>
          <w:b/>
          <w:sz w:val="72"/>
          <w:highlight w:val="none"/>
        </w:rPr>
      </w:pPr>
      <w:bookmarkStart w:id="331" w:name="_Toc23839"/>
    </w:p>
    <w:p w14:paraId="39FC845F">
      <w:pPr>
        <w:spacing w:line="360" w:lineRule="auto"/>
        <w:jc w:val="center"/>
        <w:rPr>
          <w:rFonts w:ascii="宋体" w:hAnsi="宋体" w:cs="宋体"/>
          <w:b/>
          <w:sz w:val="72"/>
          <w:highlight w:val="none"/>
        </w:rPr>
      </w:pPr>
    </w:p>
    <w:p w14:paraId="2766530F">
      <w:pPr>
        <w:spacing w:line="360" w:lineRule="auto"/>
        <w:jc w:val="center"/>
        <w:rPr>
          <w:rFonts w:ascii="宋体" w:hAnsi="宋体" w:cs="宋体"/>
          <w:b/>
          <w:sz w:val="72"/>
          <w:highlight w:val="none"/>
        </w:rPr>
      </w:pPr>
      <w:bookmarkStart w:id="332" w:name="OLE_LINK13"/>
      <w:r>
        <w:rPr>
          <w:rFonts w:hint="eastAsia" w:ascii="宋体" w:hAnsi="宋体" w:cs="宋体"/>
          <w:b/>
          <w:sz w:val="72"/>
          <w:highlight w:val="none"/>
        </w:rPr>
        <w:t>竞争性磋商响应文件</w:t>
      </w:r>
    </w:p>
    <w:p w14:paraId="534C9E30">
      <w:pPr>
        <w:spacing w:line="360" w:lineRule="auto"/>
        <w:ind w:firstLine="3708"/>
        <w:rPr>
          <w:rFonts w:ascii="宋体" w:hAnsi="宋体" w:cs="宋体"/>
          <w:b/>
          <w:sz w:val="36"/>
          <w:highlight w:val="none"/>
        </w:rPr>
      </w:pPr>
    </w:p>
    <w:p w14:paraId="07FDB7CF">
      <w:pPr>
        <w:spacing w:line="360" w:lineRule="auto"/>
        <w:jc w:val="center"/>
        <w:rPr>
          <w:rFonts w:ascii="宋体" w:hAnsi="宋体" w:cs="宋体"/>
          <w:b/>
          <w:sz w:val="36"/>
          <w:highlight w:val="none"/>
        </w:rPr>
      </w:pPr>
    </w:p>
    <w:p w14:paraId="333C52FB">
      <w:pPr>
        <w:spacing w:line="360" w:lineRule="auto"/>
        <w:jc w:val="center"/>
        <w:rPr>
          <w:rFonts w:ascii="宋体" w:hAnsi="宋体" w:cs="宋体"/>
          <w:b/>
          <w:sz w:val="36"/>
          <w:highlight w:val="none"/>
        </w:rPr>
      </w:pPr>
    </w:p>
    <w:p w14:paraId="3379239F">
      <w:pPr>
        <w:spacing w:line="360" w:lineRule="auto"/>
        <w:jc w:val="center"/>
        <w:rPr>
          <w:rFonts w:ascii="宋体" w:hAnsi="宋体" w:cs="宋体"/>
          <w:b/>
          <w:sz w:val="36"/>
          <w:highlight w:val="none"/>
        </w:rPr>
      </w:pPr>
    </w:p>
    <w:p w14:paraId="5422F977">
      <w:pPr>
        <w:spacing w:line="360" w:lineRule="auto"/>
        <w:ind w:firstLine="1084"/>
        <w:rPr>
          <w:rFonts w:ascii="宋体" w:hAnsi="宋体" w:cs="宋体"/>
          <w:b/>
          <w:sz w:val="36"/>
          <w:highlight w:val="none"/>
        </w:rPr>
      </w:pPr>
      <w:r>
        <w:rPr>
          <w:rFonts w:hint="eastAsia" w:ascii="宋体" w:hAnsi="宋体" w:cs="宋体"/>
          <w:b/>
          <w:sz w:val="36"/>
          <w:highlight w:val="none"/>
        </w:rPr>
        <w:t xml:space="preserve">项 目 编 号： </w:t>
      </w:r>
    </w:p>
    <w:p w14:paraId="06863B2C">
      <w:pPr>
        <w:spacing w:line="360" w:lineRule="auto"/>
        <w:ind w:firstLine="1084"/>
        <w:rPr>
          <w:rFonts w:hint="eastAsia" w:ascii="宋体" w:hAnsi="宋体" w:cs="宋体"/>
          <w:b/>
          <w:sz w:val="36"/>
          <w:highlight w:val="none"/>
        </w:rPr>
      </w:pPr>
      <w:r>
        <w:rPr>
          <w:rFonts w:hint="eastAsia" w:ascii="宋体" w:hAnsi="宋体" w:cs="宋体"/>
          <w:b/>
          <w:sz w:val="36"/>
          <w:highlight w:val="none"/>
        </w:rPr>
        <w:t>项 目 名 称：</w:t>
      </w:r>
    </w:p>
    <w:p w14:paraId="21671669">
      <w:pPr>
        <w:spacing w:line="360" w:lineRule="auto"/>
        <w:ind w:firstLine="1084"/>
        <w:rPr>
          <w:rFonts w:ascii="宋体" w:hAnsi="宋体" w:cs="宋体"/>
          <w:b/>
          <w:sz w:val="36"/>
          <w:highlight w:val="none"/>
        </w:rPr>
      </w:pPr>
      <w:r>
        <w:rPr>
          <w:rFonts w:hint="eastAsia" w:ascii="宋体" w:hAnsi="宋体" w:cs="宋体"/>
          <w:b/>
          <w:sz w:val="36"/>
          <w:highlight w:val="none"/>
          <w:lang w:val="zh-CN"/>
        </w:rPr>
        <w:t>标</w:t>
      </w:r>
      <w:r>
        <w:rPr>
          <w:rFonts w:hint="eastAsia" w:ascii="宋体" w:hAnsi="宋体" w:cs="宋体"/>
          <w:b/>
          <w:sz w:val="36"/>
          <w:highlight w:val="none"/>
          <w:lang w:val="en-US" w:eastAsia="zh-CN"/>
        </w:rPr>
        <w:t xml:space="preserve"> </w:t>
      </w:r>
      <w:r>
        <w:rPr>
          <w:rFonts w:hint="eastAsia" w:ascii="宋体" w:hAnsi="宋体" w:cs="宋体"/>
          <w:b/>
          <w:sz w:val="36"/>
          <w:highlight w:val="none"/>
          <w:lang w:val="zh-CN"/>
        </w:rPr>
        <w:t>包</w:t>
      </w:r>
      <w:r>
        <w:rPr>
          <w:rFonts w:hint="eastAsia" w:ascii="宋体" w:hAnsi="宋体" w:cs="宋体"/>
          <w:b/>
          <w:sz w:val="36"/>
          <w:highlight w:val="none"/>
          <w:lang w:val="en-US" w:eastAsia="zh-CN"/>
        </w:rPr>
        <w:t xml:space="preserve"> </w:t>
      </w:r>
      <w:r>
        <w:rPr>
          <w:rFonts w:hint="eastAsia" w:ascii="宋体" w:hAnsi="宋体" w:cs="宋体"/>
          <w:b/>
          <w:sz w:val="36"/>
          <w:highlight w:val="none"/>
          <w:lang w:val="zh-CN"/>
        </w:rPr>
        <w:t>名</w:t>
      </w:r>
      <w:r>
        <w:rPr>
          <w:rFonts w:hint="eastAsia" w:ascii="宋体" w:hAnsi="宋体" w:cs="宋体"/>
          <w:b/>
          <w:sz w:val="36"/>
          <w:highlight w:val="none"/>
          <w:lang w:val="en-US" w:eastAsia="zh-CN"/>
        </w:rPr>
        <w:t xml:space="preserve"> </w:t>
      </w:r>
      <w:r>
        <w:rPr>
          <w:rFonts w:hint="eastAsia" w:ascii="宋体" w:hAnsi="宋体" w:cs="宋体"/>
          <w:b/>
          <w:sz w:val="36"/>
          <w:highlight w:val="none"/>
          <w:lang w:val="zh-CN"/>
        </w:rPr>
        <w:t>称 ：</w:t>
      </w:r>
    </w:p>
    <w:p w14:paraId="54E46F25">
      <w:pPr>
        <w:spacing w:line="360" w:lineRule="auto"/>
        <w:rPr>
          <w:rFonts w:hint="eastAsia" w:ascii="宋体" w:hAnsi="宋体" w:eastAsia="宋体" w:cs="宋体"/>
          <w:b/>
          <w:sz w:val="36"/>
          <w:highlight w:val="none"/>
          <w:u w:val="single"/>
          <w:lang w:eastAsia="zh-CN"/>
        </w:rPr>
      </w:pPr>
      <w:r>
        <w:rPr>
          <w:rFonts w:hint="eastAsia" w:ascii="宋体" w:hAnsi="宋体" w:cs="宋体"/>
          <w:b/>
          <w:sz w:val="36"/>
          <w:highlight w:val="none"/>
        </w:rPr>
        <w:t xml:space="preserve">      供  应  商 ：</w:t>
      </w:r>
      <w:bookmarkStart w:id="333" w:name="OLE_LINK12"/>
      <w:r>
        <w:rPr>
          <w:rFonts w:hint="eastAsia" w:ascii="宋体" w:hAnsi="宋体" w:cs="宋体"/>
          <w:b/>
          <w:sz w:val="36"/>
          <w:highlight w:val="none"/>
          <w:lang w:eastAsia="zh-CN"/>
        </w:rPr>
        <w:t>（</w:t>
      </w:r>
      <w:r>
        <w:rPr>
          <w:rFonts w:hint="eastAsia" w:ascii="宋体" w:hAnsi="宋体" w:cs="宋体"/>
          <w:b/>
          <w:sz w:val="36"/>
          <w:highlight w:val="none"/>
          <w:lang w:val="en-US" w:eastAsia="zh-CN"/>
        </w:rPr>
        <w:t>电子签章</w:t>
      </w:r>
      <w:r>
        <w:rPr>
          <w:rFonts w:hint="eastAsia" w:ascii="宋体" w:hAnsi="宋体" w:cs="宋体"/>
          <w:b/>
          <w:sz w:val="36"/>
          <w:highlight w:val="none"/>
          <w:lang w:eastAsia="zh-CN"/>
        </w:rPr>
        <w:t>）</w:t>
      </w:r>
      <w:bookmarkEnd w:id="333"/>
    </w:p>
    <w:p w14:paraId="1C9C5D2B">
      <w:pPr>
        <w:spacing w:line="360" w:lineRule="auto"/>
        <w:rPr>
          <w:rFonts w:ascii="宋体" w:hAnsi="宋体" w:cs="宋体"/>
          <w:b/>
          <w:sz w:val="36"/>
          <w:highlight w:val="none"/>
        </w:rPr>
      </w:pPr>
      <w:r>
        <w:rPr>
          <w:rFonts w:hint="eastAsia" w:ascii="宋体" w:hAnsi="宋体" w:cs="宋体"/>
          <w:b/>
          <w:sz w:val="36"/>
          <w:highlight w:val="none"/>
        </w:rPr>
        <w:t xml:space="preserve">      日      期 ：</w:t>
      </w:r>
      <w:bookmarkEnd w:id="332"/>
    </w:p>
    <w:p w14:paraId="33524023">
      <w:pPr>
        <w:jc w:val="left"/>
        <w:rPr>
          <w:rFonts w:ascii="宋体" w:hAnsi="宋体" w:cs="宋体"/>
          <w:b/>
          <w:bCs/>
          <w:sz w:val="44"/>
          <w:highlight w:val="none"/>
        </w:rPr>
      </w:pPr>
      <w:r>
        <w:rPr>
          <w:rFonts w:hint="eastAsia" w:ascii="宋体" w:hAnsi="宋体" w:cs="宋体"/>
          <w:b/>
          <w:sz w:val="36"/>
          <w:highlight w:val="none"/>
        </w:rPr>
        <w:br w:type="page" w:clear="all"/>
      </w:r>
    </w:p>
    <w:p w14:paraId="7F193E73">
      <w:pPr>
        <w:keepNext w:val="0"/>
        <w:keepLines w:val="0"/>
        <w:pageBreakBefore w:val="0"/>
        <w:widowControl w:val="0"/>
        <w:spacing w:line="360" w:lineRule="auto"/>
        <w:outlineLvl w:val="1"/>
        <w:rPr>
          <w:rFonts w:ascii="宋体" w:hAnsi="宋体" w:cs="宋体"/>
          <w:b/>
          <w:sz w:val="24"/>
          <w:szCs w:val="24"/>
          <w:highlight w:val="none"/>
        </w:rPr>
      </w:pPr>
      <w:bookmarkStart w:id="334" w:name="_Toc17984"/>
      <w:bookmarkStart w:id="335" w:name="_Toc7575"/>
      <w:bookmarkStart w:id="336" w:name="_Toc30748"/>
      <w:bookmarkStart w:id="337" w:name="_Toc30395"/>
      <w:bookmarkStart w:id="338" w:name="_Toc27566"/>
      <w:bookmarkStart w:id="339" w:name="_Toc24737"/>
      <w:bookmarkStart w:id="340" w:name="_Toc23770"/>
      <w:bookmarkStart w:id="341" w:name="_Toc340"/>
      <w:bookmarkStart w:id="342" w:name="_Toc1730"/>
      <w:bookmarkStart w:id="343" w:name="_Toc7367"/>
      <w:bookmarkStart w:id="344" w:name="_Toc23243"/>
      <w:bookmarkStart w:id="345" w:name="_Toc18859"/>
      <w:bookmarkStart w:id="346" w:name="_Toc3930"/>
      <w:bookmarkStart w:id="347" w:name="_Toc4572"/>
      <w:bookmarkStart w:id="348" w:name="_Toc25732"/>
      <w:bookmarkStart w:id="349" w:name="_Toc3217"/>
      <w:bookmarkStart w:id="350" w:name="_Toc9682"/>
      <w:bookmarkStart w:id="351" w:name="_Toc11327"/>
      <w:bookmarkStart w:id="352" w:name="_Toc30769"/>
      <w:r>
        <w:rPr>
          <w:rFonts w:hint="eastAsia" w:ascii="宋体" w:hAnsi="宋体" w:cs="宋体"/>
          <w:b/>
          <w:sz w:val="24"/>
          <w:szCs w:val="24"/>
          <w:highlight w:val="none"/>
        </w:rPr>
        <w:t>商务部分</w:t>
      </w:r>
      <w:bookmarkEnd w:id="334"/>
      <w:bookmarkEnd w:id="335"/>
      <w:bookmarkEnd w:id="336"/>
      <w:bookmarkEnd w:id="337"/>
      <w:bookmarkEnd w:id="338"/>
      <w:bookmarkEnd w:id="339"/>
      <w:bookmarkEnd w:id="340"/>
      <w:bookmarkEnd w:id="341"/>
      <w:bookmarkEnd w:id="342"/>
      <w:bookmarkEnd w:id="343"/>
      <w:bookmarkEnd w:id="344"/>
      <w:bookmarkEnd w:id="345"/>
      <w:bookmarkEnd w:id="346"/>
    </w:p>
    <w:p w14:paraId="5A9CBC62">
      <w:pPr>
        <w:keepNext w:val="0"/>
        <w:keepLines w:val="0"/>
        <w:pageBreakBefore w:val="0"/>
        <w:widowControl w:val="0"/>
        <w:spacing w:line="360" w:lineRule="auto"/>
        <w:outlineLvl w:val="2"/>
        <w:rPr>
          <w:rFonts w:ascii="宋体" w:hAnsi="宋体" w:cs="宋体"/>
          <w:b/>
          <w:sz w:val="24"/>
          <w:szCs w:val="24"/>
          <w:highlight w:val="none"/>
        </w:rPr>
      </w:pPr>
      <w:bookmarkStart w:id="353" w:name="_Toc14896"/>
      <w:bookmarkStart w:id="354" w:name="_Toc18822"/>
      <w:bookmarkStart w:id="355" w:name="_Toc7937"/>
      <w:bookmarkStart w:id="356" w:name="_Toc13045"/>
      <w:bookmarkStart w:id="357" w:name="_Toc32675"/>
      <w:bookmarkStart w:id="358" w:name="_Toc15816"/>
      <w:bookmarkStart w:id="359" w:name="_Toc8382"/>
      <w:bookmarkStart w:id="360" w:name="_Toc7994"/>
      <w:bookmarkStart w:id="361" w:name="_Toc31230"/>
      <w:bookmarkStart w:id="362" w:name="_Toc12303"/>
      <w:bookmarkStart w:id="363" w:name="_Toc9844"/>
      <w:bookmarkStart w:id="364" w:name="_Toc20649"/>
      <w:bookmarkStart w:id="365" w:name="_Toc18366"/>
      <w:r>
        <w:rPr>
          <w:rFonts w:hint="eastAsia" w:ascii="宋体" w:hAnsi="宋体" w:cs="宋体"/>
          <w:b/>
          <w:sz w:val="24"/>
          <w:szCs w:val="24"/>
          <w:highlight w:val="none"/>
        </w:rPr>
        <w:t>一、磋商申请及声明</w:t>
      </w:r>
      <w:bookmarkEnd w:id="331"/>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p>
    <w:p w14:paraId="0500F463">
      <w:pPr>
        <w:keepNext w:val="0"/>
        <w:keepLines w:val="0"/>
        <w:pageBreakBefore w:val="0"/>
        <w:widowControl w:val="0"/>
        <w:spacing w:line="360" w:lineRule="auto"/>
        <w:jc w:val="center"/>
        <w:rPr>
          <w:rFonts w:ascii="宋体" w:hAnsi="宋体" w:cs="宋体"/>
          <w:b/>
          <w:sz w:val="24"/>
          <w:szCs w:val="24"/>
          <w:highlight w:val="none"/>
          <w:lang w:val="zh-CN"/>
        </w:rPr>
      </w:pPr>
      <w:bookmarkStart w:id="366" w:name="OLE_LINK6"/>
      <w:r>
        <w:rPr>
          <w:rFonts w:hint="eastAsia" w:ascii="宋体" w:hAnsi="宋体" w:cs="宋体"/>
          <w:b/>
          <w:sz w:val="24"/>
          <w:szCs w:val="24"/>
          <w:highlight w:val="none"/>
          <w:lang w:val="zh-CN"/>
        </w:rPr>
        <w:t>磋商申请及声明</w:t>
      </w:r>
    </w:p>
    <w:p w14:paraId="52FEA81F">
      <w:pPr>
        <w:keepNext w:val="0"/>
        <w:keepLines w:val="0"/>
        <w:pageBreakBefore w:val="0"/>
        <w:widowControl w:val="0"/>
        <w:spacing w:line="360" w:lineRule="auto"/>
        <w:rPr>
          <w:rFonts w:ascii="宋体" w:hAnsi="宋体" w:cs="宋体"/>
          <w:sz w:val="21"/>
          <w:szCs w:val="21"/>
          <w:highlight w:val="none"/>
          <w:lang w:val="zh-CN"/>
        </w:rPr>
      </w:pPr>
      <w:r>
        <w:rPr>
          <w:rFonts w:hint="eastAsia" w:ascii="宋体" w:hAnsi="宋体" w:cs="宋体"/>
          <w:sz w:val="21"/>
          <w:szCs w:val="21"/>
          <w:highlight w:val="none"/>
          <w:lang w:val="zh-CN"/>
        </w:rPr>
        <w:t>致：南京市江宁区人民政府东山街道办事处</w:t>
      </w:r>
    </w:p>
    <w:p w14:paraId="1DD7DE60">
      <w:pPr>
        <w:keepNext w:val="0"/>
        <w:keepLines w:val="0"/>
        <w:pageBreakBefore w:val="0"/>
        <w:widowControl w:val="0"/>
        <w:spacing w:line="360" w:lineRule="auto"/>
        <w:ind w:firstLine="420"/>
        <w:rPr>
          <w:rFonts w:ascii="宋体" w:hAnsi="宋体" w:cs="宋体"/>
          <w:sz w:val="21"/>
          <w:szCs w:val="21"/>
          <w:highlight w:val="none"/>
          <w:lang w:val="zh-CN"/>
        </w:rPr>
      </w:pPr>
      <w:r>
        <w:rPr>
          <w:rFonts w:hint="eastAsia" w:ascii="宋体" w:hAnsi="宋体" w:cs="宋体"/>
          <w:sz w:val="21"/>
          <w:szCs w:val="21"/>
          <w:highlight w:val="none"/>
          <w:lang w:val="zh-CN"/>
        </w:rPr>
        <w:t>根据贵方</w:t>
      </w:r>
      <w:r>
        <w:rPr>
          <w:rFonts w:hint="eastAsia" w:ascii="宋体" w:hAnsi="宋体" w:cs="宋体"/>
          <w:sz w:val="21"/>
          <w:szCs w:val="21"/>
          <w:highlight w:val="none"/>
          <w:lang w:val="en-US" w:eastAsia="zh-CN"/>
        </w:rPr>
        <w:t xml:space="preserve">   </w:t>
      </w:r>
      <w:r>
        <w:rPr>
          <w:rFonts w:hint="eastAsia" w:ascii="宋体" w:hAnsi="宋体" w:cs="宋体"/>
          <w:sz w:val="21"/>
          <w:szCs w:val="21"/>
          <w:highlight w:val="none"/>
          <w:lang w:val="zh-CN"/>
        </w:rPr>
        <w:t>号采购文件，正式授权下述签字人(姓名和职务)代表（供应商名称），提交响应文件并参加磋商。</w:t>
      </w:r>
    </w:p>
    <w:p w14:paraId="0572FB97">
      <w:pPr>
        <w:keepNext w:val="0"/>
        <w:keepLines w:val="0"/>
        <w:pageBreakBefore w:val="0"/>
        <w:widowControl w:val="0"/>
        <w:spacing w:line="360" w:lineRule="auto"/>
        <w:ind w:firstLine="420"/>
        <w:rPr>
          <w:rFonts w:ascii="宋体" w:hAnsi="宋体" w:cs="宋体"/>
          <w:sz w:val="21"/>
          <w:szCs w:val="21"/>
          <w:highlight w:val="none"/>
        </w:rPr>
      </w:pPr>
      <w:r>
        <w:rPr>
          <w:rFonts w:hint="eastAsia" w:ascii="宋体" w:hAnsi="宋体" w:cs="宋体"/>
          <w:sz w:val="21"/>
          <w:szCs w:val="21"/>
          <w:highlight w:val="none"/>
        </w:rPr>
        <w:t>据此函，签字人兹宣布同意如下：</w:t>
      </w:r>
    </w:p>
    <w:p w14:paraId="1FA185CD">
      <w:pPr>
        <w:keepNext w:val="0"/>
        <w:keepLines w:val="0"/>
        <w:pageBreakBefore w:val="0"/>
        <w:widowControl w:val="0"/>
        <w:numPr>
          <w:ilvl w:val="0"/>
          <w:numId w:val="0"/>
        </w:num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lang w:val="en-US" w:eastAsia="zh-CN"/>
        </w:rPr>
        <w:t>1.</w:t>
      </w:r>
      <w:r>
        <w:rPr>
          <w:rFonts w:hint="eastAsia" w:ascii="宋体" w:hAnsi="宋体" w:cs="宋体"/>
          <w:sz w:val="21"/>
          <w:szCs w:val="21"/>
          <w:highlight w:val="none"/>
        </w:rPr>
        <w:t>根据已收到的《</w:t>
      </w:r>
      <w:r>
        <w:rPr>
          <w:rFonts w:hint="eastAsia" w:ascii="宋体" w:hAnsi="宋体" w:cs="宋体"/>
          <w:sz w:val="21"/>
          <w:szCs w:val="21"/>
          <w:highlight w:val="none"/>
          <w:lang w:val="en-US" w:eastAsia="zh-CN"/>
        </w:rPr>
        <w:t xml:space="preserve"> </w:t>
      </w:r>
      <w:r>
        <w:rPr>
          <w:rFonts w:hint="eastAsia" w:ascii="宋体" w:hAnsi="宋体" w:cs="宋体"/>
          <w:sz w:val="21"/>
          <w:szCs w:val="21"/>
          <w:highlight w:val="none"/>
        </w:rPr>
        <w:t>》磋商文件，遵照规定，我单位经现场考察和认真研究上述磋商文件后，愿以</w:t>
      </w:r>
      <w:r>
        <w:rPr>
          <w:rFonts w:hint="eastAsia" w:ascii="宋体" w:hAnsi="宋体" w:cs="宋体"/>
          <w:sz w:val="21"/>
          <w:szCs w:val="21"/>
          <w:highlight w:val="none"/>
          <w:lang w:val="en-US" w:eastAsia="zh-CN"/>
        </w:rPr>
        <w:t>以下填写内容</w:t>
      </w:r>
      <w:r>
        <w:rPr>
          <w:rFonts w:hint="eastAsia" w:ascii="宋体" w:hAnsi="宋体" w:cs="宋体"/>
          <w:sz w:val="21"/>
          <w:szCs w:val="21"/>
          <w:highlight w:val="none"/>
        </w:rPr>
        <w:t>作为磋商报价。</w:t>
      </w:r>
    </w:p>
    <w:p w14:paraId="0FE2ADE1">
      <w:pPr>
        <w:keepNext w:val="0"/>
        <w:keepLines w:val="0"/>
        <w:pageBreakBefore w:val="0"/>
        <w:widowControl w:val="0"/>
        <w:numPr>
          <w:ilvl w:val="0"/>
          <w:numId w:val="0"/>
        </w:numPr>
        <w:spacing w:line="360" w:lineRule="auto"/>
        <w:rPr>
          <w:rFonts w:hint="eastAsia" w:ascii="宋体" w:hAnsi="宋体" w:cs="宋体"/>
          <w:sz w:val="21"/>
          <w:szCs w:val="21"/>
          <w:highlight w:val="none"/>
          <w:u w:val="single"/>
          <w:lang w:val="en-US" w:eastAsia="zh-CN"/>
        </w:rPr>
      </w:pPr>
      <w:r>
        <w:rPr>
          <w:rFonts w:hint="eastAsia" w:ascii="宋体" w:hAnsi="宋体" w:cs="宋体"/>
          <w:sz w:val="21"/>
          <w:szCs w:val="21"/>
          <w:highlight w:val="none"/>
          <w:lang w:eastAsia="zh-CN"/>
        </w:rPr>
        <w:t>我方</w:t>
      </w:r>
      <w:r>
        <w:rPr>
          <w:rFonts w:hint="eastAsia" w:ascii="宋体" w:hAnsi="宋体" w:cs="宋体"/>
          <w:sz w:val="21"/>
          <w:szCs w:val="21"/>
          <w:highlight w:val="none"/>
        </w:rPr>
        <w:t>的投标报价为：</w:t>
      </w:r>
      <w:r>
        <w:rPr>
          <w:rFonts w:hint="eastAsia" w:ascii="宋体" w:hAnsi="宋体" w:cs="宋体"/>
          <w:sz w:val="21"/>
          <w:szCs w:val="21"/>
          <w:highlight w:val="none"/>
          <w:u w:val="single"/>
          <w:lang w:val="en-US" w:eastAsia="zh-CN"/>
        </w:rPr>
        <w:t xml:space="preserve">                     </w:t>
      </w:r>
      <w:r>
        <w:rPr>
          <w:rFonts w:hint="eastAsia" w:ascii="宋体" w:hAnsi="宋体" w:cs="宋体"/>
          <w:sz w:val="21"/>
          <w:szCs w:val="21"/>
          <w:highlight w:val="none"/>
          <w:u w:val="none"/>
          <w:lang w:val="en-US" w:eastAsia="zh-CN"/>
        </w:rPr>
        <w:t xml:space="preserve">  </w:t>
      </w:r>
      <w:r>
        <w:rPr>
          <w:rFonts w:hint="eastAsia" w:ascii="宋体" w:hAnsi="宋体" w:cs="宋体"/>
          <w:sz w:val="21"/>
          <w:szCs w:val="21"/>
          <w:highlight w:val="none"/>
        </w:rPr>
        <w:t>大写：</w:t>
      </w:r>
      <w:r>
        <w:rPr>
          <w:rFonts w:hint="eastAsia" w:ascii="宋体" w:hAnsi="宋体" w:cs="宋体"/>
          <w:sz w:val="21"/>
          <w:szCs w:val="21"/>
          <w:highlight w:val="none"/>
          <w:u w:val="single"/>
          <w:lang w:val="en-US" w:eastAsia="zh-CN"/>
        </w:rPr>
        <w:t xml:space="preserve">                   </w:t>
      </w:r>
    </w:p>
    <w:p w14:paraId="4A606317">
      <w:pPr>
        <w:keepNext w:val="0"/>
        <w:keepLines w:val="0"/>
        <w:pageBreakBefore w:val="0"/>
        <w:widowControl w:val="0"/>
        <w:numPr>
          <w:ilvl w:val="0"/>
          <w:numId w:val="0"/>
        </w:numPr>
        <w:spacing w:line="360" w:lineRule="auto"/>
        <w:ind w:firstLine="420"/>
        <w:rPr>
          <w:rFonts w:ascii="宋体" w:hAnsi="宋体" w:cs="宋体"/>
          <w:sz w:val="21"/>
          <w:szCs w:val="21"/>
          <w:highlight w:val="none"/>
        </w:rPr>
      </w:pPr>
      <w:r>
        <w:rPr>
          <w:rFonts w:hint="eastAsia" w:ascii="宋体" w:hAnsi="宋体" w:cs="宋体"/>
          <w:sz w:val="21"/>
          <w:szCs w:val="21"/>
          <w:highlight w:val="none"/>
        </w:rPr>
        <w:t>2.我们完全理解贵方不一定要接受最低报价的磋商或收到的任何磋商。</w:t>
      </w:r>
    </w:p>
    <w:p w14:paraId="3B3AC6D9">
      <w:pPr>
        <w:keepNext w:val="0"/>
        <w:keepLines w:val="0"/>
        <w:pageBreakBefore w:val="0"/>
        <w:widowControl w:val="0"/>
        <w:spacing w:line="360" w:lineRule="auto"/>
        <w:ind w:firstLine="420"/>
        <w:rPr>
          <w:rFonts w:ascii="宋体" w:hAnsi="宋体" w:cs="宋体"/>
          <w:sz w:val="21"/>
          <w:szCs w:val="21"/>
          <w:highlight w:val="none"/>
        </w:rPr>
      </w:pPr>
      <w:r>
        <w:rPr>
          <w:rFonts w:hint="eastAsia" w:ascii="宋体" w:hAnsi="宋体" w:cs="宋体"/>
          <w:sz w:val="21"/>
          <w:szCs w:val="21"/>
          <w:highlight w:val="none"/>
        </w:rPr>
        <w:t>3.我们已详细审核全部磋商文件及其有效补充文件，我们知道必须放弃提出含糊不清或误解的问题的权利。提交响应文件后，不对磋商文件本身提出质疑。否则，属于不诚信和故意扰乱政府采购活动行为，我们将无条件接受处罚。</w:t>
      </w:r>
    </w:p>
    <w:p w14:paraId="6AC48AA7">
      <w:pPr>
        <w:keepNext w:val="0"/>
        <w:keepLines w:val="0"/>
        <w:pageBreakBefore w:val="0"/>
        <w:widowControl w:val="0"/>
        <w:spacing w:line="360" w:lineRule="auto"/>
        <w:ind w:firstLine="420"/>
        <w:rPr>
          <w:rFonts w:ascii="宋体" w:hAnsi="宋体" w:cs="宋体"/>
          <w:sz w:val="21"/>
          <w:szCs w:val="21"/>
          <w:highlight w:val="none"/>
        </w:rPr>
      </w:pPr>
      <w:r>
        <w:rPr>
          <w:rFonts w:hint="eastAsia" w:ascii="宋体" w:hAnsi="宋体" w:cs="宋体"/>
          <w:sz w:val="21"/>
          <w:szCs w:val="21"/>
          <w:highlight w:val="none"/>
        </w:rPr>
        <w:t>4.我们同意从规定的磋商日期起遵循本磋商文件，并在规定的磋商有效期期满之前均具有约束力。</w:t>
      </w:r>
    </w:p>
    <w:p w14:paraId="118CEE3F">
      <w:pPr>
        <w:keepNext w:val="0"/>
        <w:keepLines w:val="0"/>
        <w:pageBreakBefore w:val="0"/>
        <w:widowControl w:val="0"/>
        <w:spacing w:line="360" w:lineRule="auto"/>
        <w:ind w:firstLine="420"/>
        <w:rPr>
          <w:rFonts w:ascii="宋体" w:hAnsi="宋体" w:cs="宋体"/>
          <w:sz w:val="21"/>
          <w:szCs w:val="21"/>
          <w:highlight w:val="none"/>
        </w:rPr>
      </w:pPr>
      <w:r>
        <w:rPr>
          <w:rFonts w:hint="eastAsia" w:ascii="宋体" w:hAnsi="宋体" w:cs="宋体"/>
          <w:sz w:val="21"/>
          <w:szCs w:val="21"/>
          <w:highlight w:val="none"/>
        </w:rPr>
        <w:t>5.同意向贵方提供贵方可能要求的与磋商有关的任何证据或资料。</w:t>
      </w:r>
    </w:p>
    <w:p w14:paraId="04EB4D92">
      <w:pPr>
        <w:keepNext w:val="0"/>
        <w:keepLines w:val="0"/>
        <w:pageBreakBefore w:val="0"/>
        <w:widowControl w:val="0"/>
        <w:spacing w:line="360" w:lineRule="auto"/>
        <w:ind w:firstLine="420"/>
        <w:rPr>
          <w:rFonts w:ascii="宋体" w:hAnsi="宋体" w:cs="宋体"/>
          <w:sz w:val="21"/>
          <w:szCs w:val="21"/>
          <w:highlight w:val="none"/>
        </w:rPr>
      </w:pPr>
      <w:r>
        <w:rPr>
          <w:rFonts w:hint="eastAsia" w:ascii="宋体" w:hAnsi="宋体" w:cs="宋体"/>
          <w:sz w:val="21"/>
          <w:szCs w:val="21"/>
          <w:highlight w:val="none"/>
        </w:rPr>
        <w:t>6.一旦我方成交，我方将根据磋商文件的规定，严格履行合同。</w:t>
      </w:r>
    </w:p>
    <w:p w14:paraId="23066986">
      <w:pPr>
        <w:keepNext w:val="0"/>
        <w:keepLines w:val="0"/>
        <w:pageBreakBefore w:val="0"/>
        <w:widowControl w:val="0"/>
        <w:spacing w:line="360" w:lineRule="auto"/>
        <w:ind w:firstLine="420"/>
        <w:rPr>
          <w:rFonts w:ascii="宋体" w:hAnsi="宋体" w:cs="宋体"/>
          <w:sz w:val="21"/>
          <w:szCs w:val="21"/>
          <w:highlight w:val="none"/>
        </w:rPr>
      </w:pPr>
      <w:r>
        <w:rPr>
          <w:rFonts w:hint="eastAsia" w:ascii="宋体" w:hAnsi="宋体" w:cs="宋体"/>
          <w:sz w:val="21"/>
          <w:szCs w:val="21"/>
          <w:highlight w:val="none"/>
        </w:rPr>
        <w:t>7.我方将严格遵守《中华人民共和国政府采购法》第七十七条规定，若有下列情形之一的，将被处以采购金额5‰以上10‰以下的罚款，列入不良行为记录名单，在一至三年内禁止参加政府采购活动；有违法所得的，并处没收违法所得；情节严重的，由工商行政管理机关吊销营业执照；构成犯罪的，依法追究刑事责任：</w:t>
      </w:r>
    </w:p>
    <w:p w14:paraId="799D2449">
      <w:pPr>
        <w:keepNext w:val="0"/>
        <w:keepLines w:val="0"/>
        <w:pageBreakBefore w:val="0"/>
        <w:widowControl w:val="0"/>
        <w:spacing w:line="360" w:lineRule="auto"/>
        <w:ind w:firstLine="420"/>
        <w:rPr>
          <w:rFonts w:ascii="宋体" w:hAnsi="宋体" w:cs="宋体"/>
          <w:sz w:val="21"/>
          <w:szCs w:val="21"/>
          <w:highlight w:val="none"/>
        </w:rPr>
      </w:pPr>
      <w:r>
        <w:rPr>
          <w:rFonts w:hint="eastAsia" w:ascii="宋体" w:hAnsi="宋体" w:cs="宋体"/>
          <w:sz w:val="21"/>
          <w:szCs w:val="21"/>
          <w:highlight w:val="none"/>
        </w:rPr>
        <w:t>（1）提供虚假材料谋取中标、成交的；</w:t>
      </w:r>
    </w:p>
    <w:p w14:paraId="2693FF70">
      <w:pPr>
        <w:keepNext w:val="0"/>
        <w:keepLines w:val="0"/>
        <w:pageBreakBefore w:val="0"/>
        <w:widowControl w:val="0"/>
        <w:spacing w:line="360" w:lineRule="auto"/>
        <w:ind w:firstLine="420"/>
        <w:rPr>
          <w:rFonts w:ascii="宋体" w:hAnsi="宋体" w:cs="宋体"/>
          <w:sz w:val="21"/>
          <w:szCs w:val="21"/>
          <w:highlight w:val="none"/>
        </w:rPr>
      </w:pPr>
      <w:r>
        <w:rPr>
          <w:rFonts w:hint="eastAsia" w:ascii="宋体" w:hAnsi="宋体" w:cs="宋体"/>
          <w:sz w:val="21"/>
          <w:szCs w:val="21"/>
          <w:highlight w:val="none"/>
        </w:rPr>
        <w:t>（2）采取不正当手段诋毁、排挤其他供应商的；</w:t>
      </w:r>
    </w:p>
    <w:p w14:paraId="296986C2">
      <w:pPr>
        <w:keepNext w:val="0"/>
        <w:keepLines w:val="0"/>
        <w:pageBreakBefore w:val="0"/>
        <w:widowControl w:val="0"/>
        <w:spacing w:line="360" w:lineRule="auto"/>
        <w:ind w:firstLine="420"/>
        <w:rPr>
          <w:rFonts w:ascii="宋体" w:hAnsi="宋体" w:cs="宋体"/>
          <w:sz w:val="21"/>
          <w:szCs w:val="21"/>
          <w:highlight w:val="none"/>
        </w:rPr>
      </w:pPr>
      <w:r>
        <w:rPr>
          <w:rFonts w:hint="eastAsia" w:ascii="宋体" w:hAnsi="宋体" w:cs="宋体"/>
          <w:sz w:val="21"/>
          <w:szCs w:val="21"/>
          <w:highlight w:val="none"/>
        </w:rPr>
        <w:t>（3）与采购人、其它供应商或者采购代理机构恶意串通的；</w:t>
      </w:r>
    </w:p>
    <w:p w14:paraId="5C30AAAE">
      <w:pPr>
        <w:keepNext w:val="0"/>
        <w:keepLines w:val="0"/>
        <w:pageBreakBefore w:val="0"/>
        <w:widowControl w:val="0"/>
        <w:spacing w:line="360" w:lineRule="auto"/>
        <w:ind w:firstLine="420"/>
        <w:rPr>
          <w:rFonts w:ascii="宋体" w:hAnsi="宋体" w:cs="宋体"/>
          <w:sz w:val="21"/>
          <w:szCs w:val="21"/>
          <w:highlight w:val="none"/>
        </w:rPr>
      </w:pPr>
      <w:r>
        <w:rPr>
          <w:rFonts w:hint="eastAsia" w:ascii="宋体" w:hAnsi="宋体" w:cs="宋体"/>
          <w:sz w:val="21"/>
          <w:szCs w:val="21"/>
          <w:highlight w:val="none"/>
        </w:rPr>
        <w:t>（4）向采购人、采购代理机构行贿或者提供其他不正当利益的；</w:t>
      </w:r>
    </w:p>
    <w:p w14:paraId="5EA7B030">
      <w:pPr>
        <w:keepNext w:val="0"/>
        <w:keepLines w:val="0"/>
        <w:pageBreakBefore w:val="0"/>
        <w:widowControl w:val="0"/>
        <w:spacing w:line="360" w:lineRule="auto"/>
        <w:ind w:firstLine="420"/>
        <w:rPr>
          <w:rFonts w:ascii="宋体" w:hAnsi="宋体" w:cs="宋体"/>
          <w:sz w:val="21"/>
          <w:szCs w:val="21"/>
          <w:highlight w:val="none"/>
        </w:rPr>
      </w:pPr>
      <w:r>
        <w:rPr>
          <w:rFonts w:hint="eastAsia" w:ascii="宋体" w:hAnsi="宋体" w:cs="宋体"/>
          <w:sz w:val="21"/>
          <w:szCs w:val="21"/>
          <w:highlight w:val="none"/>
        </w:rPr>
        <w:t>（5）在采购过程中与采购人进行协商磋商的；</w:t>
      </w:r>
    </w:p>
    <w:p w14:paraId="52D04385">
      <w:pPr>
        <w:keepNext w:val="0"/>
        <w:keepLines w:val="0"/>
        <w:pageBreakBefore w:val="0"/>
        <w:widowControl w:val="0"/>
        <w:spacing w:line="360" w:lineRule="auto"/>
        <w:ind w:firstLine="420"/>
        <w:rPr>
          <w:rFonts w:ascii="宋体" w:hAnsi="宋体" w:cs="宋体"/>
          <w:sz w:val="21"/>
          <w:szCs w:val="21"/>
          <w:highlight w:val="none"/>
        </w:rPr>
      </w:pPr>
      <w:r>
        <w:rPr>
          <w:rFonts w:hint="eastAsia" w:ascii="宋体" w:hAnsi="宋体" w:cs="宋体"/>
          <w:sz w:val="21"/>
          <w:szCs w:val="21"/>
          <w:highlight w:val="none"/>
        </w:rPr>
        <w:t>（6）拒绝有关部门监督检查或提供虚假情况的。</w:t>
      </w:r>
    </w:p>
    <w:p w14:paraId="287422B7">
      <w:pPr>
        <w:keepNext w:val="0"/>
        <w:keepLines w:val="0"/>
        <w:pageBreakBefore w:val="0"/>
        <w:widowControl w:val="0"/>
        <w:spacing w:line="360" w:lineRule="auto"/>
        <w:ind w:firstLine="420"/>
        <w:rPr>
          <w:rFonts w:ascii="宋体" w:hAnsi="宋体" w:cs="宋体"/>
          <w:sz w:val="21"/>
          <w:szCs w:val="21"/>
          <w:highlight w:val="none"/>
        </w:rPr>
      </w:pPr>
      <w:r>
        <w:rPr>
          <w:rFonts w:hint="eastAsia" w:ascii="宋体" w:hAnsi="宋体" w:cs="宋体"/>
          <w:sz w:val="21"/>
          <w:szCs w:val="21"/>
          <w:highlight w:val="none"/>
        </w:rPr>
        <w:t>8.本项目拟投入项</w:t>
      </w:r>
      <w:r>
        <w:rPr>
          <w:rFonts w:hint="eastAsia" w:ascii="宋体" w:hAnsi="宋体" w:cs="宋体"/>
          <w:sz w:val="21"/>
          <w:szCs w:val="21"/>
          <w:highlight w:val="none"/>
          <w:u w:val="none"/>
        </w:rPr>
        <w:t>目负责人：</w:t>
      </w:r>
      <w:r>
        <w:rPr>
          <w:rFonts w:hint="eastAsia" w:ascii="宋体" w:hAnsi="宋体" w:cs="宋体"/>
          <w:sz w:val="21"/>
          <w:szCs w:val="21"/>
          <w:highlight w:val="none"/>
          <w:u w:val="single"/>
        </w:rPr>
        <w:t xml:space="preserve">                      。</w:t>
      </w:r>
    </w:p>
    <w:p w14:paraId="73286069">
      <w:pPr>
        <w:keepNext w:val="0"/>
        <w:keepLines w:val="0"/>
        <w:pageBreakBefore w:val="0"/>
        <w:widowControl w:val="0"/>
        <w:spacing w:line="360" w:lineRule="auto"/>
        <w:ind w:firstLine="525"/>
        <w:rPr>
          <w:rFonts w:ascii="宋体" w:hAnsi="宋体" w:cs="宋体"/>
          <w:sz w:val="21"/>
          <w:szCs w:val="21"/>
          <w:highlight w:val="none"/>
        </w:rPr>
      </w:pPr>
      <w:r>
        <w:rPr>
          <w:rFonts w:hint="eastAsia" w:ascii="宋体" w:hAnsi="宋体" w:cs="宋体"/>
          <w:sz w:val="21"/>
          <w:szCs w:val="21"/>
          <w:highlight w:val="none"/>
        </w:rPr>
        <w:t>供应商名称（</w:t>
      </w:r>
      <w:r>
        <w:rPr>
          <w:rFonts w:hint="eastAsia" w:ascii="宋体" w:hAnsi="宋体" w:cs="宋体"/>
          <w:sz w:val="21"/>
          <w:szCs w:val="21"/>
          <w:highlight w:val="none"/>
          <w:lang w:val="en-US" w:eastAsia="zh-CN"/>
        </w:rPr>
        <w:t>电子签章</w:t>
      </w:r>
      <w:r>
        <w:rPr>
          <w:rFonts w:hint="eastAsia" w:ascii="宋体" w:hAnsi="宋体" w:cs="宋体"/>
          <w:sz w:val="21"/>
          <w:szCs w:val="21"/>
          <w:highlight w:val="none"/>
        </w:rPr>
        <w:t xml:space="preserve">）：  </w:t>
      </w:r>
    </w:p>
    <w:p w14:paraId="2CF43847">
      <w:pPr>
        <w:keepNext w:val="0"/>
        <w:keepLines w:val="0"/>
        <w:pageBreakBefore w:val="0"/>
        <w:widowControl w:val="0"/>
        <w:spacing w:line="360" w:lineRule="auto"/>
        <w:ind w:firstLine="525"/>
        <w:rPr>
          <w:rFonts w:ascii="宋体" w:hAnsi="宋体" w:cs="宋体"/>
          <w:sz w:val="21"/>
          <w:szCs w:val="21"/>
          <w:highlight w:val="none"/>
        </w:rPr>
      </w:pPr>
      <w:r>
        <w:rPr>
          <w:rFonts w:hint="eastAsia" w:ascii="宋体" w:hAnsi="宋体" w:cs="宋体"/>
          <w:sz w:val="21"/>
          <w:szCs w:val="21"/>
          <w:highlight w:val="none"/>
        </w:rPr>
        <w:t>地    址：</w:t>
      </w:r>
    </w:p>
    <w:p w14:paraId="5009368E">
      <w:pPr>
        <w:keepNext w:val="0"/>
        <w:keepLines w:val="0"/>
        <w:pageBreakBefore w:val="0"/>
        <w:widowControl w:val="0"/>
        <w:spacing w:line="360" w:lineRule="auto"/>
        <w:ind w:firstLine="525"/>
        <w:rPr>
          <w:rFonts w:ascii="宋体" w:hAnsi="宋体" w:cs="宋体"/>
          <w:sz w:val="21"/>
          <w:szCs w:val="21"/>
          <w:highlight w:val="none"/>
        </w:rPr>
      </w:pPr>
      <w:r>
        <w:rPr>
          <w:rFonts w:hint="eastAsia" w:ascii="宋体" w:hAnsi="宋体" w:cs="宋体"/>
          <w:sz w:val="21"/>
          <w:szCs w:val="21"/>
          <w:highlight w:val="none"/>
        </w:rPr>
        <w:t>联系电话：</w:t>
      </w:r>
    </w:p>
    <w:p w14:paraId="57D03AF3">
      <w:pPr>
        <w:keepNext w:val="0"/>
        <w:keepLines w:val="0"/>
        <w:pageBreakBefore w:val="0"/>
        <w:widowControl w:val="0"/>
        <w:spacing w:line="360" w:lineRule="auto"/>
        <w:ind w:firstLine="525"/>
        <w:rPr>
          <w:rFonts w:ascii="宋体" w:hAnsi="宋体" w:cs="宋体"/>
          <w:sz w:val="21"/>
          <w:szCs w:val="21"/>
          <w:highlight w:val="none"/>
        </w:rPr>
      </w:pPr>
      <w:r>
        <w:rPr>
          <w:rFonts w:hint="eastAsia" w:ascii="宋体" w:hAnsi="宋体" w:cs="宋体"/>
          <w:sz w:val="21"/>
          <w:szCs w:val="21"/>
          <w:highlight w:val="none"/>
        </w:rPr>
        <w:t>传    真：</w:t>
      </w:r>
    </w:p>
    <w:p w14:paraId="6E3B7C11">
      <w:pPr>
        <w:keepNext w:val="0"/>
        <w:keepLines w:val="0"/>
        <w:pageBreakBefore w:val="0"/>
        <w:widowControl w:val="0"/>
        <w:spacing w:line="360" w:lineRule="auto"/>
        <w:ind w:firstLine="525"/>
        <w:rPr>
          <w:rFonts w:ascii="宋体" w:hAnsi="宋体" w:cs="宋体"/>
          <w:sz w:val="21"/>
          <w:szCs w:val="21"/>
          <w:highlight w:val="none"/>
        </w:rPr>
      </w:pPr>
      <w:r>
        <w:rPr>
          <w:rFonts w:hint="eastAsia" w:ascii="宋体" w:hAnsi="宋体" w:cs="宋体"/>
          <w:sz w:val="21"/>
          <w:szCs w:val="21"/>
          <w:highlight w:val="none"/>
        </w:rPr>
        <w:t>开户银行：</w:t>
      </w:r>
    </w:p>
    <w:p w14:paraId="22A59C1B">
      <w:pPr>
        <w:keepNext w:val="0"/>
        <w:keepLines w:val="0"/>
        <w:pageBreakBefore w:val="0"/>
        <w:widowControl w:val="0"/>
        <w:spacing w:line="360" w:lineRule="auto"/>
        <w:ind w:firstLine="525"/>
        <w:rPr>
          <w:rFonts w:ascii="宋体" w:hAnsi="宋体" w:cs="宋体"/>
          <w:sz w:val="21"/>
          <w:szCs w:val="21"/>
          <w:highlight w:val="none"/>
        </w:rPr>
      </w:pPr>
      <w:r>
        <w:rPr>
          <w:rFonts w:hint="eastAsia" w:ascii="宋体" w:hAnsi="宋体" w:cs="宋体"/>
          <w:sz w:val="21"/>
          <w:szCs w:val="21"/>
          <w:highlight w:val="none"/>
          <w:lang w:eastAsia="zh-CN"/>
        </w:rPr>
        <w:t>账    号</w:t>
      </w:r>
      <w:r>
        <w:rPr>
          <w:rFonts w:hint="eastAsia" w:ascii="宋体" w:hAnsi="宋体" w:cs="宋体"/>
          <w:sz w:val="21"/>
          <w:szCs w:val="21"/>
          <w:highlight w:val="none"/>
        </w:rPr>
        <w:t>：</w:t>
      </w:r>
    </w:p>
    <w:p w14:paraId="256CEAB0">
      <w:pPr>
        <w:keepNext w:val="0"/>
        <w:keepLines w:val="0"/>
        <w:pageBreakBefore w:val="0"/>
        <w:widowControl w:val="0"/>
        <w:spacing w:line="360" w:lineRule="auto"/>
        <w:ind w:firstLine="525"/>
        <w:rPr>
          <w:rFonts w:ascii="宋体" w:hAnsi="宋体" w:cs="宋体"/>
          <w:sz w:val="21"/>
          <w:szCs w:val="21"/>
          <w:highlight w:val="none"/>
        </w:rPr>
      </w:pPr>
      <w:r>
        <w:rPr>
          <w:rFonts w:hint="eastAsia" w:ascii="宋体" w:hAnsi="宋体" w:cs="宋体"/>
          <w:sz w:val="21"/>
          <w:szCs w:val="21"/>
          <w:highlight w:val="none"/>
        </w:rPr>
        <w:t xml:space="preserve">供应商授权代表姓名（签字）：  </w:t>
      </w:r>
    </w:p>
    <w:p w14:paraId="00355823">
      <w:pPr>
        <w:keepNext w:val="0"/>
        <w:keepLines w:val="0"/>
        <w:pageBreakBefore w:val="0"/>
        <w:widowControl w:val="0"/>
        <w:spacing w:line="360" w:lineRule="auto"/>
        <w:ind w:firstLine="525"/>
        <w:rPr>
          <w:rFonts w:ascii="宋体" w:hAnsi="宋体" w:cs="宋体"/>
          <w:sz w:val="21"/>
          <w:szCs w:val="21"/>
          <w:highlight w:val="none"/>
        </w:rPr>
      </w:pPr>
      <w:r>
        <w:rPr>
          <w:rFonts w:hint="eastAsia" w:ascii="宋体" w:hAnsi="宋体" w:cs="宋体"/>
          <w:sz w:val="21"/>
          <w:szCs w:val="21"/>
          <w:highlight w:val="none"/>
        </w:rPr>
        <w:t xml:space="preserve">联系电话: </w:t>
      </w:r>
    </w:p>
    <w:p w14:paraId="6A41E0F2">
      <w:pPr>
        <w:keepNext w:val="0"/>
        <w:keepLines w:val="0"/>
        <w:pageBreakBefore w:val="0"/>
        <w:widowControl w:val="0"/>
        <w:spacing w:line="360" w:lineRule="auto"/>
        <w:ind w:firstLine="525"/>
        <w:rPr>
          <w:rFonts w:ascii="宋体" w:hAnsi="宋体" w:cs="宋体"/>
          <w:sz w:val="21"/>
          <w:szCs w:val="21"/>
          <w:highlight w:val="none"/>
        </w:rPr>
      </w:pPr>
      <w:r>
        <w:rPr>
          <w:rFonts w:hint="eastAsia" w:ascii="宋体" w:hAnsi="宋体" w:cs="宋体"/>
          <w:sz w:val="21"/>
          <w:szCs w:val="21"/>
          <w:highlight w:val="none"/>
        </w:rPr>
        <w:t xml:space="preserve">日    期：     年  月  日 </w:t>
      </w:r>
      <w:bookmarkEnd w:id="366"/>
    </w:p>
    <w:p w14:paraId="14B89BCC">
      <w:pPr>
        <w:keepNext w:val="0"/>
        <w:keepLines w:val="0"/>
        <w:pageBreakBefore w:val="0"/>
        <w:widowControl w:val="0"/>
        <w:spacing w:line="360" w:lineRule="auto"/>
        <w:ind w:firstLine="525"/>
        <w:rPr>
          <w:rFonts w:ascii="宋体" w:hAnsi="宋体" w:cs="宋体"/>
          <w:sz w:val="21"/>
          <w:szCs w:val="21"/>
          <w:highlight w:val="none"/>
          <w:u w:val="single"/>
        </w:rPr>
      </w:pPr>
    </w:p>
    <w:p w14:paraId="66C3CD18">
      <w:pPr>
        <w:ind w:firstLine="840"/>
        <w:rPr>
          <w:rFonts w:ascii="宋体" w:hAnsi="宋体" w:cs="宋体"/>
          <w:highlight w:val="none"/>
        </w:rPr>
      </w:pPr>
    </w:p>
    <w:p w14:paraId="7A879CA2">
      <w:pPr>
        <w:rPr>
          <w:rFonts w:ascii="宋体" w:hAnsi="宋体" w:cs="宋体"/>
          <w:highlight w:val="none"/>
        </w:rPr>
      </w:pPr>
    </w:p>
    <w:p w14:paraId="18FA37C4">
      <w:pPr>
        <w:rPr>
          <w:rFonts w:ascii="宋体" w:hAnsi="宋体" w:cs="宋体"/>
          <w:highlight w:val="none"/>
        </w:rPr>
      </w:pPr>
    </w:p>
    <w:p w14:paraId="1015B157">
      <w:pPr>
        <w:keepNext w:val="0"/>
        <w:keepLines w:val="0"/>
        <w:pageBreakBefore w:val="0"/>
        <w:spacing w:line="360" w:lineRule="auto"/>
        <w:outlineLvl w:val="2"/>
        <w:rPr>
          <w:rFonts w:ascii="宋体" w:hAnsi="宋体" w:cs="宋体"/>
          <w:b/>
          <w:sz w:val="24"/>
          <w:szCs w:val="24"/>
          <w:highlight w:val="none"/>
        </w:rPr>
      </w:pPr>
      <w:bookmarkStart w:id="367" w:name="_Toc11261"/>
      <w:r>
        <w:rPr>
          <w:rFonts w:hint="eastAsia" w:ascii="宋体" w:hAnsi="宋体" w:cs="宋体"/>
          <w:b/>
          <w:szCs w:val="21"/>
          <w:highlight w:val="none"/>
        </w:rPr>
        <w:br w:type="page" w:clear="all"/>
      </w:r>
      <w:bookmarkStart w:id="368" w:name="_Toc29001"/>
      <w:bookmarkStart w:id="369" w:name="_Toc23829"/>
      <w:bookmarkStart w:id="370" w:name="_Toc31281"/>
      <w:bookmarkStart w:id="371" w:name="_Toc9227"/>
      <w:bookmarkStart w:id="372" w:name="_Toc32635"/>
      <w:bookmarkStart w:id="373" w:name="_Toc3959"/>
      <w:bookmarkStart w:id="374" w:name="_Toc17372"/>
      <w:bookmarkStart w:id="375" w:name="_Toc1085"/>
      <w:bookmarkStart w:id="376" w:name="_Toc8124"/>
      <w:bookmarkStart w:id="377" w:name="_Toc631"/>
      <w:bookmarkStart w:id="378" w:name="_Toc21420"/>
      <w:bookmarkStart w:id="379" w:name="_Toc29133"/>
      <w:bookmarkStart w:id="380" w:name="_Toc4701"/>
      <w:bookmarkStart w:id="381" w:name="_Toc4949"/>
      <w:bookmarkStart w:id="382" w:name="_Toc12287"/>
      <w:bookmarkStart w:id="383" w:name="_Toc12624"/>
      <w:bookmarkStart w:id="384" w:name="_Toc29004"/>
      <w:bookmarkStart w:id="385" w:name="_Toc1520"/>
      <w:bookmarkStart w:id="386" w:name="_Toc26531"/>
      <w:r>
        <w:rPr>
          <w:rFonts w:hint="eastAsia" w:ascii="宋体" w:hAnsi="宋体" w:cs="宋体"/>
          <w:b/>
          <w:sz w:val="24"/>
          <w:szCs w:val="24"/>
          <w:highlight w:val="none"/>
        </w:rPr>
        <w:t>二、法定代表人授权委托书</w:t>
      </w:r>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p>
    <w:p w14:paraId="72282737">
      <w:pPr>
        <w:keepNext w:val="0"/>
        <w:keepLines w:val="0"/>
        <w:pageBreakBefore w:val="0"/>
        <w:spacing w:line="360" w:lineRule="auto"/>
        <w:ind w:firstLine="482"/>
        <w:jc w:val="center"/>
        <w:rPr>
          <w:rFonts w:ascii="宋体" w:hAnsi="宋体" w:cs="宋体"/>
          <w:b/>
          <w:bCs/>
          <w:sz w:val="24"/>
          <w:szCs w:val="24"/>
          <w:highlight w:val="none"/>
        </w:rPr>
      </w:pPr>
      <w:bookmarkStart w:id="387" w:name="OLE_LINK10"/>
      <w:r>
        <w:rPr>
          <w:rFonts w:hint="eastAsia" w:ascii="宋体" w:hAnsi="宋体" w:cs="宋体"/>
          <w:b/>
          <w:bCs/>
          <w:sz w:val="24"/>
          <w:szCs w:val="24"/>
          <w:highlight w:val="none"/>
        </w:rPr>
        <w:t>法定代表人授权委托书</w:t>
      </w:r>
    </w:p>
    <w:p w14:paraId="72D278D4">
      <w:pPr>
        <w:keepNext w:val="0"/>
        <w:keepLines w:val="0"/>
        <w:pageBreakBefore w:val="0"/>
        <w:spacing w:line="360" w:lineRule="auto"/>
        <w:ind w:firstLine="422"/>
        <w:jc w:val="center"/>
        <w:rPr>
          <w:rFonts w:ascii="宋体" w:hAnsi="宋体" w:cs="宋体"/>
          <w:b/>
          <w:bCs/>
          <w:highlight w:val="none"/>
        </w:rPr>
      </w:pPr>
    </w:p>
    <w:p w14:paraId="054F1843">
      <w:pPr>
        <w:keepNext w:val="0"/>
        <w:keepLines w:val="0"/>
        <w:pageBreakBefore w:val="0"/>
        <w:spacing w:line="360" w:lineRule="auto"/>
        <w:rPr>
          <w:rFonts w:ascii="宋体" w:hAnsi="宋体" w:cs="宋体"/>
          <w:szCs w:val="21"/>
          <w:highlight w:val="none"/>
        </w:rPr>
      </w:pPr>
      <w:r>
        <w:rPr>
          <w:rFonts w:hint="eastAsia" w:ascii="宋体" w:hAnsi="宋体" w:cs="宋体"/>
          <w:szCs w:val="21"/>
          <w:highlight w:val="none"/>
          <w:lang w:eastAsia="zh-CN"/>
        </w:rPr>
        <w:t>南京市江宁区人民政府东山街道办事处</w:t>
      </w:r>
      <w:r>
        <w:rPr>
          <w:rFonts w:hint="eastAsia" w:ascii="宋体" w:hAnsi="宋体" w:cs="宋体"/>
          <w:szCs w:val="21"/>
          <w:highlight w:val="none"/>
        </w:rPr>
        <w:t>：</w:t>
      </w:r>
    </w:p>
    <w:p w14:paraId="0167D47B">
      <w:pPr>
        <w:keepNext w:val="0"/>
        <w:keepLines w:val="0"/>
        <w:pageBreakBefore w:val="0"/>
        <w:widowControl/>
        <w:spacing w:line="360" w:lineRule="auto"/>
        <w:ind w:firstLine="420"/>
        <w:jc w:val="left"/>
        <w:rPr>
          <w:rFonts w:ascii="宋体" w:hAnsi="宋体" w:cs="宋体"/>
          <w:szCs w:val="21"/>
          <w:highlight w:val="none"/>
          <w:lang w:val="zh-CN"/>
        </w:rPr>
      </w:pPr>
      <w:r>
        <w:rPr>
          <w:rFonts w:hint="eastAsia" w:ascii="宋体" w:hAnsi="宋体" w:cs="宋体"/>
          <w:szCs w:val="21"/>
          <w:highlight w:val="none"/>
        </w:rPr>
        <w:t xml:space="preserve"> </w:t>
      </w:r>
      <w:r>
        <w:rPr>
          <w:rFonts w:hint="eastAsia" w:ascii="宋体" w:hAnsi="宋体" w:cs="宋体"/>
          <w:szCs w:val="21"/>
          <w:highlight w:val="none"/>
          <w:lang w:val="zh-CN"/>
        </w:rPr>
        <w:t>本授权书声明：注册于</w:t>
      </w:r>
      <w:r>
        <w:rPr>
          <w:rFonts w:hint="eastAsia" w:ascii="宋体" w:hAnsi="宋体" w:cs="宋体"/>
          <w:szCs w:val="21"/>
          <w:highlight w:val="none"/>
          <w:u w:val="single"/>
          <w:lang w:val="zh-CN"/>
        </w:rPr>
        <w:t>（供应商住址）</w:t>
      </w:r>
      <w:r>
        <w:rPr>
          <w:rFonts w:hint="eastAsia" w:ascii="宋体" w:hAnsi="宋体" w:cs="宋体"/>
          <w:szCs w:val="21"/>
          <w:highlight w:val="none"/>
          <w:lang w:val="zh-CN"/>
        </w:rPr>
        <w:t>的</w:t>
      </w:r>
      <w:r>
        <w:rPr>
          <w:rFonts w:hint="eastAsia" w:ascii="宋体" w:hAnsi="宋体" w:cs="宋体"/>
          <w:szCs w:val="21"/>
          <w:highlight w:val="none"/>
          <w:u w:val="single"/>
          <w:lang w:val="zh-CN"/>
        </w:rPr>
        <w:t>（供应商名称）</w:t>
      </w:r>
      <w:r>
        <w:rPr>
          <w:rFonts w:hint="eastAsia" w:ascii="宋体" w:hAnsi="宋体" w:cs="宋体"/>
          <w:szCs w:val="21"/>
          <w:highlight w:val="none"/>
          <w:lang w:val="zh-CN"/>
        </w:rPr>
        <w:t>法定代表人</w:t>
      </w:r>
      <w:r>
        <w:rPr>
          <w:rFonts w:hint="eastAsia" w:ascii="宋体" w:hAnsi="宋体" w:cs="宋体"/>
          <w:szCs w:val="21"/>
          <w:highlight w:val="none"/>
          <w:u w:val="single"/>
          <w:lang w:val="zh-CN"/>
        </w:rPr>
        <w:t>（法定代表人姓名、职务）</w:t>
      </w:r>
      <w:r>
        <w:rPr>
          <w:rFonts w:hint="eastAsia" w:ascii="宋体" w:hAnsi="宋体" w:cs="宋体"/>
          <w:szCs w:val="21"/>
          <w:highlight w:val="none"/>
          <w:lang w:val="zh-CN"/>
        </w:rPr>
        <w:t>代表本公司授权在下面签字的</w:t>
      </w:r>
      <w:r>
        <w:rPr>
          <w:rFonts w:hint="eastAsia" w:ascii="宋体" w:hAnsi="宋体" w:cs="宋体"/>
          <w:szCs w:val="21"/>
          <w:highlight w:val="none"/>
          <w:u w:val="single"/>
          <w:lang w:val="zh-CN"/>
        </w:rPr>
        <w:t>（供应商代表姓名、职务）</w:t>
      </w:r>
      <w:r>
        <w:rPr>
          <w:rFonts w:hint="eastAsia" w:ascii="宋体" w:hAnsi="宋体" w:cs="宋体"/>
          <w:szCs w:val="21"/>
          <w:highlight w:val="none"/>
          <w:lang w:val="zh-CN"/>
        </w:rPr>
        <w:t>为本公司的合法代理人，就贵方组织的</w:t>
      </w:r>
      <w:r>
        <w:rPr>
          <w:rFonts w:hint="eastAsia" w:ascii="宋体" w:hAnsi="宋体" w:cs="宋体"/>
          <w:b/>
          <w:bCs w:val="0"/>
          <w:szCs w:val="21"/>
          <w:highlight w:val="none"/>
          <w:u w:val="single"/>
          <w:lang w:val="en-US" w:eastAsia="zh-CN"/>
        </w:rPr>
        <w:t xml:space="preserve">     </w:t>
      </w:r>
      <w:r>
        <w:rPr>
          <w:rFonts w:hint="eastAsia" w:ascii="宋体" w:hAnsi="宋体" w:cs="宋体"/>
          <w:szCs w:val="21"/>
          <w:highlight w:val="none"/>
          <w:lang w:val="zh-CN"/>
        </w:rPr>
        <w:t>（项目名称） 投标，以本公司名义处理一切与之有关的事务。</w:t>
      </w:r>
    </w:p>
    <w:p w14:paraId="6FB4758C">
      <w:pPr>
        <w:keepNext w:val="0"/>
        <w:keepLines w:val="0"/>
        <w:pageBreakBefore w:val="0"/>
        <w:widowControl/>
        <w:spacing w:line="360" w:lineRule="auto"/>
        <w:jc w:val="left"/>
        <w:rPr>
          <w:rFonts w:ascii="宋体" w:hAnsi="宋体" w:cs="宋体"/>
          <w:szCs w:val="21"/>
          <w:highlight w:val="none"/>
          <w:lang w:val="zh-CN"/>
        </w:rPr>
      </w:pPr>
      <w:r>
        <w:rPr>
          <w:rFonts w:hint="eastAsia" w:ascii="宋体" w:hAnsi="宋体" w:cs="宋体"/>
          <w:szCs w:val="21"/>
          <w:highlight w:val="none"/>
          <w:lang w:val="zh-CN"/>
        </w:rPr>
        <w:t xml:space="preserve">    本授权书于    年  月  日签字生效，特此声明。</w:t>
      </w:r>
    </w:p>
    <w:p w14:paraId="2637240B">
      <w:pPr>
        <w:keepNext w:val="0"/>
        <w:keepLines w:val="0"/>
        <w:pageBreakBefore w:val="0"/>
        <w:widowControl/>
        <w:spacing w:line="360" w:lineRule="auto"/>
        <w:jc w:val="left"/>
        <w:rPr>
          <w:rFonts w:ascii="宋体" w:hAnsi="宋体" w:cs="宋体"/>
          <w:szCs w:val="21"/>
          <w:highlight w:val="none"/>
          <w:lang w:val="zh-CN"/>
        </w:rPr>
      </w:pPr>
      <w:r>
        <w:rPr>
          <w:rFonts w:hint="eastAsia" w:ascii="宋体" w:hAnsi="宋体" w:cs="宋体"/>
          <w:szCs w:val="21"/>
          <w:highlight w:val="none"/>
          <w:lang w:val="zh-CN"/>
        </w:rPr>
        <w:t xml:space="preserve">    法定代表人签字或</w:t>
      </w:r>
      <w:r>
        <w:rPr>
          <w:rFonts w:hint="eastAsia" w:ascii="宋体" w:hAnsi="宋体" w:cs="宋体"/>
          <w:sz w:val="21"/>
          <w:szCs w:val="21"/>
          <w:highlight w:val="none"/>
          <w:lang w:val="en-US" w:eastAsia="zh-CN"/>
        </w:rPr>
        <w:t>盖章</w:t>
      </w:r>
      <w:r>
        <w:rPr>
          <w:rFonts w:hint="eastAsia" w:ascii="宋体" w:hAnsi="宋体" w:cs="宋体"/>
          <w:szCs w:val="21"/>
          <w:highlight w:val="none"/>
          <w:lang w:val="zh-CN"/>
        </w:rPr>
        <w:t>：</w:t>
      </w:r>
    </w:p>
    <w:p w14:paraId="50A83BF7">
      <w:pPr>
        <w:keepNext w:val="0"/>
        <w:keepLines w:val="0"/>
        <w:pageBreakBefore w:val="0"/>
        <w:widowControl/>
        <w:spacing w:line="360" w:lineRule="auto"/>
        <w:jc w:val="left"/>
        <w:rPr>
          <w:rFonts w:ascii="宋体" w:hAnsi="宋体" w:cs="宋体"/>
          <w:szCs w:val="21"/>
          <w:highlight w:val="none"/>
          <w:lang w:val="zh-CN"/>
        </w:rPr>
      </w:pPr>
      <w:r>
        <w:rPr>
          <w:rFonts w:hint="eastAsia" w:ascii="宋体" w:hAnsi="宋体" w:cs="宋体"/>
          <w:szCs w:val="21"/>
          <w:highlight w:val="none"/>
          <w:lang w:val="zh-CN"/>
        </w:rPr>
        <w:t xml:space="preserve">    </w:t>
      </w:r>
      <w:r>
        <w:rPr>
          <w:rFonts w:hint="eastAsia" w:ascii="宋体" w:hAnsi="宋体" w:cs="宋体"/>
          <w:szCs w:val="21"/>
          <w:highlight w:val="none"/>
          <w:lang w:val="en-US" w:eastAsia="zh-CN"/>
        </w:rPr>
        <w:t>被</w:t>
      </w:r>
      <w:r>
        <w:rPr>
          <w:rFonts w:hint="eastAsia" w:ascii="宋体" w:hAnsi="宋体" w:cs="宋体"/>
          <w:szCs w:val="21"/>
          <w:highlight w:val="none"/>
          <w:lang w:val="zh-CN"/>
        </w:rPr>
        <w:t xml:space="preserve">委托人签字：                    </w:t>
      </w:r>
    </w:p>
    <w:p w14:paraId="3ADC9C54">
      <w:pPr>
        <w:keepNext w:val="0"/>
        <w:keepLines w:val="0"/>
        <w:pageBreakBefore w:val="0"/>
        <w:widowControl/>
        <w:tabs>
          <w:tab w:val="left" w:pos="1440"/>
        </w:tabs>
        <w:spacing w:line="360" w:lineRule="auto"/>
        <w:ind w:firstLine="420"/>
        <w:jc w:val="left"/>
        <w:rPr>
          <w:rFonts w:ascii="宋体" w:hAnsi="宋体" w:cs="宋体"/>
          <w:szCs w:val="21"/>
          <w:highlight w:val="none"/>
          <w:lang w:val="zh-CN"/>
        </w:rPr>
      </w:pPr>
      <w:r>
        <w:rPr>
          <w:rFonts w:hint="eastAsia" w:ascii="宋体" w:hAnsi="宋体" w:cs="宋体"/>
          <w:szCs w:val="21"/>
          <w:highlight w:val="none"/>
          <w:lang w:val="zh-CN"/>
        </w:rPr>
        <w:t>日        期：        年    月    日</w:t>
      </w:r>
    </w:p>
    <w:p w14:paraId="0C334ED8">
      <w:pPr>
        <w:keepNext w:val="0"/>
        <w:keepLines w:val="0"/>
        <w:pageBreakBefore w:val="0"/>
        <w:widowControl/>
        <w:tabs>
          <w:tab w:val="left" w:pos="1440"/>
        </w:tabs>
        <w:spacing w:line="360" w:lineRule="auto"/>
        <w:ind w:firstLine="420"/>
        <w:jc w:val="left"/>
        <w:rPr>
          <w:rFonts w:ascii="宋体" w:hAnsi="宋体" w:cs="宋体"/>
          <w:szCs w:val="21"/>
          <w:highlight w:val="none"/>
          <w:lang w:val="zh-CN"/>
        </w:rPr>
      </w:pPr>
    </w:p>
    <w:p w14:paraId="3A626EF6">
      <w:pPr>
        <w:keepNext w:val="0"/>
        <w:keepLines w:val="0"/>
        <w:pageBreakBefore w:val="0"/>
        <w:widowControl/>
        <w:tabs>
          <w:tab w:val="left" w:pos="1440"/>
        </w:tabs>
        <w:spacing w:line="360" w:lineRule="auto"/>
        <w:ind w:firstLine="420"/>
        <w:jc w:val="left"/>
        <w:rPr>
          <w:rFonts w:ascii="宋体" w:hAnsi="宋体" w:cs="宋体"/>
          <w:szCs w:val="21"/>
          <w:highlight w:val="none"/>
          <w:lang w:val="zh-CN"/>
        </w:rPr>
      </w:pPr>
    </w:p>
    <w:p w14:paraId="7CC62ACD">
      <w:pPr>
        <w:keepNext w:val="0"/>
        <w:keepLines w:val="0"/>
        <w:pageBreakBefore w:val="0"/>
        <w:tabs>
          <w:tab w:val="left" w:pos="1440"/>
        </w:tabs>
        <w:spacing w:line="360" w:lineRule="auto"/>
        <w:ind w:firstLine="422"/>
        <w:rPr>
          <w:rFonts w:ascii="宋体" w:hAnsi="宋体" w:cs="宋体"/>
          <w:b/>
          <w:szCs w:val="21"/>
          <w:highlight w:val="none"/>
        </w:rPr>
      </w:pPr>
      <w:r>
        <w:rPr>
          <w:rFonts w:hint="eastAsia" w:ascii="宋体" w:hAnsi="宋体" w:cs="宋体"/>
          <w:b/>
          <w:szCs w:val="21"/>
          <w:highlight w:val="none"/>
          <w:lang w:val="en-US" w:eastAsia="zh-CN"/>
        </w:rPr>
        <w:t>法人</w:t>
      </w:r>
      <w:r>
        <w:rPr>
          <w:rFonts w:hint="eastAsia" w:ascii="宋体" w:hAnsi="宋体" w:cs="宋体"/>
          <w:b/>
          <w:szCs w:val="21"/>
          <w:highlight w:val="none"/>
        </w:rPr>
        <w:t>身份证</w:t>
      </w:r>
      <w:r>
        <w:rPr>
          <w:rFonts w:hint="eastAsia" w:ascii="宋体" w:hAnsi="宋体" w:cs="宋体"/>
          <w:b/>
          <w:szCs w:val="21"/>
          <w:highlight w:val="none"/>
          <w:lang w:val="en-US" w:eastAsia="zh-CN"/>
        </w:rPr>
        <w:t xml:space="preserve">                               </w:t>
      </w:r>
      <w:r>
        <w:rPr>
          <w:rFonts w:hint="eastAsia" w:ascii="宋体" w:hAnsi="宋体" w:cs="宋体"/>
          <w:b/>
          <w:szCs w:val="21"/>
          <w:highlight w:val="none"/>
        </w:rPr>
        <w:t>授权代表身份证</w:t>
      </w:r>
      <w:bookmarkEnd w:id="387"/>
    </w:p>
    <w:p w14:paraId="634068DF">
      <w:pPr>
        <w:jc w:val="left"/>
        <w:rPr>
          <w:rFonts w:ascii="宋体" w:hAnsi="宋体" w:cs="宋体"/>
          <w:b/>
          <w:highlight w:val="none"/>
        </w:rPr>
      </w:pPr>
    </w:p>
    <w:p w14:paraId="54D539FC">
      <w:pPr>
        <w:pStyle w:val="49"/>
        <w:ind w:firstLine="562"/>
        <w:rPr>
          <w:rFonts w:ascii="宋体" w:hAnsi="宋体" w:cs="宋体"/>
          <w:b/>
          <w:highlight w:val="none"/>
        </w:rPr>
      </w:pPr>
    </w:p>
    <w:p w14:paraId="4AAAEC4F">
      <w:pPr>
        <w:spacing w:line="360" w:lineRule="auto"/>
        <w:outlineLvl w:val="2"/>
        <w:rPr>
          <w:rFonts w:ascii="宋体" w:hAnsi="宋体" w:cs="宋体"/>
          <w:b/>
          <w:bCs/>
          <w:szCs w:val="21"/>
          <w:highlight w:val="none"/>
        </w:rPr>
      </w:pPr>
      <w:bookmarkStart w:id="388" w:name="_Toc1432"/>
      <w:bookmarkStart w:id="389" w:name="_Toc20594"/>
      <w:bookmarkStart w:id="390" w:name="_Toc14492"/>
      <w:bookmarkStart w:id="391" w:name="_Toc2838"/>
      <w:bookmarkStart w:id="392" w:name="_Toc21374"/>
      <w:bookmarkStart w:id="393" w:name="_Toc32339"/>
      <w:bookmarkStart w:id="394" w:name="_Toc25501"/>
      <w:bookmarkStart w:id="395" w:name="_Toc16652"/>
      <w:bookmarkStart w:id="396" w:name="_Toc507400496"/>
      <w:bookmarkStart w:id="397" w:name="_Toc20770"/>
      <w:bookmarkStart w:id="398" w:name="_Toc4951"/>
      <w:bookmarkStart w:id="399" w:name="_Toc26713"/>
      <w:bookmarkStart w:id="400" w:name="_Toc23094"/>
      <w:bookmarkStart w:id="401" w:name="_Toc10614"/>
      <w:bookmarkStart w:id="402" w:name="_Toc18431"/>
      <w:bookmarkStart w:id="403" w:name="_Toc27875"/>
      <w:bookmarkStart w:id="404" w:name="_Toc26131"/>
      <w:bookmarkStart w:id="405" w:name="_Toc674"/>
      <w:bookmarkStart w:id="406" w:name="_Toc31511"/>
      <w:bookmarkStart w:id="407" w:name="_Toc15012"/>
      <w:bookmarkStart w:id="408" w:name="_Toc10688"/>
      <w:bookmarkStart w:id="409" w:name="_Toc20006"/>
      <w:r>
        <w:rPr>
          <w:rFonts w:hint="eastAsia" w:ascii="宋体" w:hAnsi="宋体" w:cs="宋体"/>
          <w:b/>
          <w:bCs/>
          <w:sz w:val="24"/>
          <w:highlight w:val="none"/>
        </w:rPr>
        <w:br w:type="page" w:clear="all"/>
      </w:r>
      <w:bookmarkStart w:id="410" w:name="_Toc18866"/>
      <w:bookmarkStart w:id="411" w:name="_Toc19021"/>
      <w:bookmarkStart w:id="412" w:name="_Toc31279"/>
      <w:bookmarkStart w:id="413" w:name="_Toc20178"/>
      <w:bookmarkStart w:id="414" w:name="_Toc9010"/>
      <w:bookmarkStart w:id="415" w:name="_Toc17480"/>
      <w:bookmarkStart w:id="416" w:name="_Toc8438"/>
      <w:bookmarkStart w:id="417" w:name="_Toc13653"/>
      <w:r>
        <w:rPr>
          <w:rFonts w:hint="eastAsia" w:ascii="宋体" w:hAnsi="宋体" w:cs="宋体"/>
          <w:b/>
          <w:bCs/>
          <w:sz w:val="24"/>
          <w:highlight w:val="none"/>
          <w:lang w:val="en-US" w:eastAsia="zh-CN"/>
        </w:rPr>
        <w:t>三</w:t>
      </w:r>
      <w:r>
        <w:rPr>
          <w:rFonts w:hint="eastAsia" w:ascii="宋体" w:hAnsi="宋体" w:cs="宋体"/>
          <w:b/>
          <w:bCs/>
          <w:sz w:val="24"/>
          <w:highlight w:val="none"/>
          <w:lang w:val="zh-CN"/>
        </w:rPr>
        <w:t>、</w:t>
      </w:r>
      <w:r>
        <w:rPr>
          <w:rFonts w:hint="eastAsia" w:ascii="宋体" w:hAnsi="宋体" w:cs="宋体"/>
          <w:b/>
          <w:bCs/>
          <w:sz w:val="24"/>
          <w:highlight w:val="none"/>
        </w:rPr>
        <w:t>南京市政府采购供应商信用记录表暨信用承诺书</w:t>
      </w:r>
      <w:bookmarkEnd w:id="410"/>
      <w:bookmarkEnd w:id="411"/>
      <w:bookmarkEnd w:id="412"/>
      <w:bookmarkEnd w:id="413"/>
      <w:bookmarkEnd w:id="414"/>
      <w:bookmarkEnd w:id="415"/>
      <w:bookmarkEnd w:id="416"/>
      <w:bookmarkEnd w:id="417"/>
    </w:p>
    <w:p w14:paraId="247A86FE">
      <w:pPr>
        <w:spacing w:line="360" w:lineRule="auto"/>
        <w:rPr>
          <w:rFonts w:ascii="宋体" w:hAnsi="宋体" w:cs="宋体"/>
          <w:b/>
          <w:bCs/>
          <w:sz w:val="24"/>
          <w:highlight w:val="none"/>
        </w:rPr>
      </w:pPr>
    </w:p>
    <w:p w14:paraId="05CE6004">
      <w:pPr>
        <w:spacing w:line="360" w:lineRule="auto"/>
        <w:rPr>
          <w:rFonts w:ascii="宋体" w:hAnsi="宋体" w:cs="宋体"/>
          <w:b/>
          <w:bCs/>
          <w:sz w:val="22"/>
          <w:szCs w:val="22"/>
          <w:highlight w:val="none"/>
        </w:rPr>
      </w:pPr>
      <w:bookmarkStart w:id="418" w:name="OLE_LINK8"/>
      <w:r>
        <w:rPr>
          <w:rFonts w:hint="eastAsia" w:ascii="宋体" w:hAnsi="宋体" w:cs="宋体"/>
          <w:b/>
          <w:bCs/>
          <w:sz w:val="22"/>
          <w:szCs w:val="22"/>
          <w:highlight w:val="none"/>
        </w:rPr>
        <w:t>（以下仅为示范格式，直接填写无效，需至“南京政府采购供应商诚信档案管理系统”在线打印</w:t>
      </w:r>
      <w:r>
        <w:rPr>
          <w:rFonts w:hint="eastAsia" w:ascii="宋体" w:hAnsi="宋体" w:cs="宋体"/>
          <w:b/>
          <w:bCs/>
          <w:sz w:val="22"/>
          <w:szCs w:val="22"/>
          <w:highlight w:val="none"/>
          <w:lang w:eastAsia="zh-CN"/>
        </w:rPr>
        <w:t>，</w:t>
      </w:r>
      <w:r>
        <w:rPr>
          <w:rFonts w:hint="eastAsia" w:ascii="宋体" w:hAnsi="宋体" w:cs="宋体"/>
          <w:b/>
          <w:bCs/>
          <w:sz w:val="22"/>
          <w:szCs w:val="22"/>
          <w:highlight w:val="none"/>
          <w:u w:val="single"/>
          <w:lang w:eastAsia="zh-CN"/>
        </w:rPr>
        <w:t>本表打印时间必须在采购文件发布之日起至提交响应文件截止日前</w:t>
      </w:r>
      <w:r>
        <w:rPr>
          <w:rFonts w:hint="eastAsia" w:ascii="宋体" w:hAnsi="宋体" w:cs="宋体"/>
          <w:b/>
          <w:bCs/>
          <w:sz w:val="22"/>
          <w:szCs w:val="22"/>
          <w:highlight w:val="none"/>
          <w:lang w:eastAsia="zh-CN"/>
        </w:rPr>
        <w:t>。</w:t>
      </w:r>
      <w:r>
        <w:rPr>
          <w:rFonts w:hint="eastAsia" w:ascii="宋体" w:hAnsi="宋体" w:cs="宋体"/>
          <w:b/>
          <w:bCs/>
          <w:sz w:val="22"/>
          <w:szCs w:val="22"/>
          <w:highlight w:val="none"/>
        </w:rPr>
        <w:t>）</w:t>
      </w:r>
    </w:p>
    <w:p w14:paraId="16F502E8">
      <w:pPr>
        <w:pStyle w:val="198"/>
        <w:ind w:firstLine="480"/>
        <w:rPr>
          <w:highlight w:val="none"/>
        </w:rPr>
      </w:pPr>
    </w:p>
    <w:tbl>
      <w:tblPr>
        <w:tblStyle w:val="38"/>
        <w:tblW w:w="9566" w:type="dxa"/>
        <w:jc w:val="center"/>
        <w:tblLayout w:type="fixed"/>
        <w:tblCellMar>
          <w:top w:w="15" w:type="dxa"/>
          <w:left w:w="15" w:type="dxa"/>
          <w:bottom w:w="15" w:type="dxa"/>
          <w:right w:w="15" w:type="dxa"/>
        </w:tblCellMar>
      </w:tblPr>
      <w:tblGrid>
        <w:gridCol w:w="1602"/>
        <w:gridCol w:w="2760"/>
        <w:gridCol w:w="2040"/>
        <w:gridCol w:w="3164"/>
      </w:tblGrid>
      <w:tr w14:paraId="0D3B2DA0">
        <w:tblPrEx>
          <w:tblCellMar>
            <w:top w:w="15" w:type="dxa"/>
            <w:left w:w="15" w:type="dxa"/>
            <w:bottom w:w="15" w:type="dxa"/>
            <w:right w:w="15" w:type="dxa"/>
          </w:tblCellMar>
        </w:tblPrEx>
        <w:trPr>
          <w:trHeight w:val="600" w:hRule="atLeast"/>
          <w:jc w:val="center"/>
        </w:trPr>
        <w:tc>
          <w:tcPr>
            <w:tcW w:w="9566" w:type="dxa"/>
            <w:gridSpan w:val="4"/>
            <w:noWrap/>
            <w:vAlign w:val="center"/>
          </w:tcPr>
          <w:p w14:paraId="665D73AD">
            <w:pPr>
              <w:widowControl/>
              <w:jc w:val="center"/>
              <w:rPr>
                <w:rFonts w:ascii="宋体" w:hAnsi="宋体" w:cs="宋体"/>
                <w:b/>
                <w:bCs/>
                <w:sz w:val="32"/>
                <w:szCs w:val="32"/>
                <w:highlight w:val="none"/>
              </w:rPr>
            </w:pPr>
            <w:r>
              <w:rPr>
                <w:rFonts w:hint="eastAsia" w:ascii="宋体" w:hAnsi="宋体" w:cs="宋体"/>
                <w:b/>
                <w:bCs/>
                <w:sz w:val="32"/>
                <w:szCs w:val="32"/>
                <w:highlight w:val="none"/>
              </w:rPr>
              <w:t>南京市政府采购供应商信用记录表</w:t>
            </w:r>
          </w:p>
          <w:p w14:paraId="58ABF97F">
            <w:pPr>
              <w:widowControl/>
              <w:jc w:val="center"/>
              <w:rPr>
                <w:rFonts w:ascii="宋体" w:hAnsi="宋体" w:cs="宋体"/>
                <w:sz w:val="40"/>
                <w:szCs w:val="40"/>
                <w:highlight w:val="none"/>
              </w:rPr>
            </w:pPr>
            <w:r>
              <w:rPr>
                <w:rFonts w:hint="eastAsia" w:ascii="宋体" w:hAnsi="宋体" w:cs="宋体"/>
                <w:b/>
                <w:bCs/>
                <w:sz w:val="32"/>
                <w:szCs w:val="32"/>
                <w:highlight w:val="none"/>
              </w:rPr>
              <w:t>暨信用承诺书</w:t>
            </w:r>
          </w:p>
        </w:tc>
      </w:tr>
      <w:tr w14:paraId="16CB9782">
        <w:tblPrEx>
          <w:tblCellMar>
            <w:top w:w="15" w:type="dxa"/>
            <w:left w:w="15" w:type="dxa"/>
            <w:bottom w:w="15" w:type="dxa"/>
            <w:right w:w="15" w:type="dxa"/>
          </w:tblCellMar>
        </w:tblPrEx>
        <w:trPr>
          <w:trHeight w:val="600" w:hRule="atLeast"/>
          <w:jc w:val="center"/>
        </w:trPr>
        <w:tc>
          <w:tcPr>
            <w:tcW w:w="9566" w:type="dxa"/>
            <w:gridSpan w:val="4"/>
            <w:noWrap/>
            <w:vAlign w:val="center"/>
          </w:tcPr>
          <w:p w14:paraId="165F6039">
            <w:pPr>
              <w:widowControl/>
              <w:jc w:val="right"/>
              <w:rPr>
                <w:rFonts w:ascii="宋体" w:hAnsi="宋体" w:cs="宋体"/>
                <w:b/>
                <w:bCs/>
                <w:sz w:val="32"/>
                <w:szCs w:val="32"/>
                <w:highlight w:val="none"/>
              </w:rPr>
            </w:pPr>
            <w:r>
              <w:rPr>
                <w:rFonts w:hint="eastAsia" w:ascii="宋体" w:hAnsi="宋体" w:cs="宋体"/>
                <w:sz w:val="24"/>
                <w:highlight w:val="none"/>
              </w:rPr>
              <w:t>年    月    日</w:t>
            </w:r>
          </w:p>
        </w:tc>
      </w:tr>
      <w:tr w14:paraId="7FA0BAEE">
        <w:tblPrEx>
          <w:tblCellMar>
            <w:top w:w="15" w:type="dxa"/>
            <w:left w:w="15" w:type="dxa"/>
            <w:bottom w:w="15" w:type="dxa"/>
            <w:right w:w="15" w:type="dxa"/>
          </w:tblCellMar>
        </w:tblPrEx>
        <w:trPr>
          <w:trHeight w:val="720" w:hRule="atLeast"/>
          <w:jc w:val="center"/>
        </w:trPr>
        <w:tc>
          <w:tcPr>
            <w:tcW w:w="1602" w:type="dxa"/>
            <w:tcBorders>
              <w:top w:val="single" w:color="000000" w:sz="18" w:space="0"/>
              <w:left w:val="single" w:color="000000" w:sz="18" w:space="0"/>
              <w:bottom w:val="single" w:color="000000" w:sz="4" w:space="0"/>
              <w:right w:val="single" w:color="000000" w:sz="4" w:space="0"/>
            </w:tcBorders>
            <w:noWrap/>
            <w:vAlign w:val="center"/>
          </w:tcPr>
          <w:p w14:paraId="02CBDF55">
            <w:pPr>
              <w:widowControl/>
              <w:jc w:val="left"/>
              <w:rPr>
                <w:rFonts w:ascii="宋体" w:hAnsi="宋体" w:cs="宋体"/>
                <w:bCs/>
                <w:sz w:val="22"/>
                <w:szCs w:val="22"/>
                <w:highlight w:val="none"/>
              </w:rPr>
            </w:pPr>
            <w:r>
              <w:rPr>
                <w:rFonts w:hint="eastAsia" w:ascii="宋体" w:hAnsi="宋体" w:cs="宋体"/>
                <w:bCs/>
                <w:sz w:val="22"/>
                <w:szCs w:val="22"/>
                <w:highlight w:val="none"/>
              </w:rPr>
              <w:t>单位名称</w:t>
            </w:r>
          </w:p>
        </w:tc>
        <w:tc>
          <w:tcPr>
            <w:tcW w:w="2760" w:type="dxa"/>
            <w:tcBorders>
              <w:top w:val="single" w:color="000000" w:sz="18" w:space="0"/>
              <w:left w:val="single" w:color="000000" w:sz="4" w:space="0"/>
              <w:bottom w:val="single" w:color="000000" w:sz="4" w:space="0"/>
              <w:right w:val="single" w:color="000000" w:sz="4" w:space="0"/>
            </w:tcBorders>
            <w:noWrap/>
            <w:vAlign w:val="center"/>
          </w:tcPr>
          <w:p w14:paraId="6A8A5ACF">
            <w:pPr>
              <w:rPr>
                <w:rFonts w:ascii="宋体" w:hAnsi="宋体" w:cs="宋体"/>
                <w:bCs/>
                <w:sz w:val="22"/>
                <w:szCs w:val="22"/>
                <w:highlight w:val="none"/>
              </w:rPr>
            </w:pPr>
          </w:p>
        </w:tc>
        <w:tc>
          <w:tcPr>
            <w:tcW w:w="2040" w:type="dxa"/>
            <w:tcBorders>
              <w:top w:val="single" w:color="000000" w:sz="18" w:space="0"/>
              <w:left w:val="single" w:color="000000" w:sz="4" w:space="0"/>
              <w:bottom w:val="single" w:color="000000" w:sz="4" w:space="0"/>
              <w:right w:val="single" w:color="000000" w:sz="4" w:space="0"/>
            </w:tcBorders>
            <w:noWrap/>
            <w:vAlign w:val="center"/>
          </w:tcPr>
          <w:p w14:paraId="412E71AA">
            <w:pPr>
              <w:widowControl/>
              <w:jc w:val="left"/>
              <w:rPr>
                <w:rFonts w:ascii="宋体" w:hAnsi="宋体" w:cs="宋体"/>
                <w:bCs/>
                <w:sz w:val="22"/>
                <w:szCs w:val="22"/>
                <w:highlight w:val="none"/>
              </w:rPr>
            </w:pPr>
            <w:r>
              <w:rPr>
                <w:rFonts w:hint="eastAsia" w:ascii="宋体" w:hAnsi="宋体" w:cs="宋体"/>
                <w:bCs/>
                <w:sz w:val="22"/>
                <w:szCs w:val="22"/>
                <w:highlight w:val="none"/>
              </w:rPr>
              <w:t>统一社会信用代码</w:t>
            </w:r>
          </w:p>
        </w:tc>
        <w:tc>
          <w:tcPr>
            <w:tcW w:w="3164" w:type="dxa"/>
            <w:tcBorders>
              <w:top w:val="single" w:color="000000" w:sz="18" w:space="0"/>
              <w:left w:val="single" w:color="000000" w:sz="4" w:space="0"/>
              <w:bottom w:val="single" w:color="000000" w:sz="4" w:space="0"/>
              <w:right w:val="single" w:color="000000" w:sz="18" w:space="0"/>
            </w:tcBorders>
            <w:noWrap/>
            <w:vAlign w:val="center"/>
          </w:tcPr>
          <w:p w14:paraId="6937442A">
            <w:pPr>
              <w:rPr>
                <w:rFonts w:ascii="宋体" w:hAnsi="宋体" w:cs="宋体"/>
                <w:sz w:val="22"/>
                <w:szCs w:val="22"/>
                <w:highlight w:val="none"/>
              </w:rPr>
            </w:pPr>
          </w:p>
        </w:tc>
      </w:tr>
      <w:tr w14:paraId="54446885">
        <w:tblPrEx>
          <w:tblCellMar>
            <w:top w:w="15" w:type="dxa"/>
            <w:left w:w="15" w:type="dxa"/>
            <w:bottom w:w="15" w:type="dxa"/>
            <w:right w:w="15" w:type="dxa"/>
          </w:tblCellMar>
        </w:tblPrEx>
        <w:trPr>
          <w:trHeight w:val="675" w:hRule="atLeast"/>
          <w:jc w:val="center"/>
        </w:trPr>
        <w:tc>
          <w:tcPr>
            <w:tcW w:w="1602" w:type="dxa"/>
            <w:tcBorders>
              <w:top w:val="single" w:color="000000" w:sz="4" w:space="0"/>
              <w:left w:val="single" w:color="000000" w:sz="18" w:space="0"/>
              <w:bottom w:val="single" w:color="000000" w:sz="4" w:space="0"/>
              <w:right w:val="single" w:color="000000" w:sz="4" w:space="0"/>
            </w:tcBorders>
            <w:noWrap/>
            <w:vAlign w:val="center"/>
          </w:tcPr>
          <w:p w14:paraId="55E47BA3">
            <w:pPr>
              <w:widowControl/>
              <w:jc w:val="left"/>
              <w:rPr>
                <w:rFonts w:ascii="宋体" w:hAnsi="宋体" w:cs="宋体"/>
                <w:bCs/>
                <w:sz w:val="22"/>
                <w:szCs w:val="22"/>
                <w:highlight w:val="none"/>
              </w:rPr>
            </w:pPr>
            <w:r>
              <w:rPr>
                <w:rFonts w:hint="eastAsia" w:ascii="宋体" w:hAnsi="宋体" w:cs="宋体"/>
                <w:bCs/>
                <w:sz w:val="22"/>
                <w:szCs w:val="22"/>
                <w:highlight w:val="none"/>
              </w:rPr>
              <w:t>法定代表人</w:t>
            </w:r>
          </w:p>
        </w:tc>
        <w:tc>
          <w:tcPr>
            <w:tcW w:w="2760" w:type="dxa"/>
            <w:tcBorders>
              <w:top w:val="single" w:color="000000" w:sz="4" w:space="0"/>
              <w:left w:val="single" w:color="000000" w:sz="4" w:space="0"/>
              <w:bottom w:val="single" w:color="000000" w:sz="4" w:space="0"/>
              <w:right w:val="single" w:color="000000" w:sz="4" w:space="0"/>
            </w:tcBorders>
            <w:noWrap/>
            <w:vAlign w:val="center"/>
          </w:tcPr>
          <w:p w14:paraId="3D872619">
            <w:pPr>
              <w:rPr>
                <w:rFonts w:ascii="宋体" w:hAnsi="宋体" w:cs="宋体"/>
                <w:bCs/>
                <w:sz w:val="22"/>
                <w:szCs w:val="22"/>
                <w:highlight w:val="none"/>
              </w:rPr>
            </w:pPr>
          </w:p>
        </w:tc>
        <w:tc>
          <w:tcPr>
            <w:tcW w:w="2040" w:type="dxa"/>
            <w:tcBorders>
              <w:top w:val="single" w:color="000000" w:sz="4" w:space="0"/>
              <w:left w:val="single" w:color="000000" w:sz="4" w:space="0"/>
              <w:bottom w:val="single" w:color="000000" w:sz="4" w:space="0"/>
              <w:right w:val="single" w:color="000000" w:sz="4" w:space="0"/>
            </w:tcBorders>
            <w:noWrap/>
            <w:vAlign w:val="center"/>
          </w:tcPr>
          <w:p w14:paraId="4AD5B0D8">
            <w:pPr>
              <w:widowControl/>
              <w:jc w:val="left"/>
              <w:rPr>
                <w:rFonts w:ascii="宋体" w:hAnsi="宋体" w:cs="宋体"/>
                <w:bCs/>
                <w:sz w:val="22"/>
                <w:szCs w:val="22"/>
                <w:highlight w:val="none"/>
              </w:rPr>
            </w:pPr>
            <w:r>
              <w:rPr>
                <w:rFonts w:hint="eastAsia" w:ascii="宋体" w:hAnsi="宋体" w:cs="宋体"/>
                <w:bCs/>
                <w:sz w:val="22"/>
                <w:szCs w:val="22"/>
                <w:highlight w:val="none"/>
              </w:rPr>
              <w:t>联系人</w:t>
            </w:r>
          </w:p>
        </w:tc>
        <w:tc>
          <w:tcPr>
            <w:tcW w:w="3164" w:type="dxa"/>
            <w:tcBorders>
              <w:top w:val="single" w:color="000000" w:sz="4" w:space="0"/>
              <w:left w:val="single" w:color="000000" w:sz="4" w:space="0"/>
              <w:bottom w:val="single" w:color="000000" w:sz="4" w:space="0"/>
              <w:right w:val="single" w:color="000000" w:sz="18" w:space="0"/>
            </w:tcBorders>
            <w:noWrap/>
            <w:vAlign w:val="center"/>
          </w:tcPr>
          <w:p w14:paraId="56CAFE82">
            <w:pPr>
              <w:rPr>
                <w:rFonts w:ascii="宋体" w:hAnsi="宋体" w:cs="宋体"/>
                <w:sz w:val="22"/>
                <w:szCs w:val="22"/>
                <w:highlight w:val="none"/>
              </w:rPr>
            </w:pPr>
          </w:p>
        </w:tc>
      </w:tr>
      <w:tr w14:paraId="0A10C789">
        <w:tblPrEx>
          <w:tblCellMar>
            <w:top w:w="15" w:type="dxa"/>
            <w:left w:w="15" w:type="dxa"/>
            <w:bottom w:w="15" w:type="dxa"/>
            <w:right w:w="15" w:type="dxa"/>
          </w:tblCellMar>
        </w:tblPrEx>
        <w:trPr>
          <w:trHeight w:val="720" w:hRule="atLeast"/>
          <w:jc w:val="center"/>
        </w:trPr>
        <w:tc>
          <w:tcPr>
            <w:tcW w:w="1602" w:type="dxa"/>
            <w:tcBorders>
              <w:top w:val="single" w:color="000000" w:sz="4" w:space="0"/>
              <w:left w:val="single" w:color="000000" w:sz="18" w:space="0"/>
              <w:bottom w:val="single" w:color="000000" w:sz="4" w:space="0"/>
              <w:right w:val="single" w:color="000000" w:sz="4" w:space="0"/>
            </w:tcBorders>
            <w:noWrap/>
            <w:vAlign w:val="center"/>
          </w:tcPr>
          <w:p w14:paraId="3899FE2B">
            <w:pPr>
              <w:widowControl/>
              <w:jc w:val="left"/>
              <w:rPr>
                <w:rFonts w:ascii="宋体" w:hAnsi="宋体" w:cs="宋体"/>
                <w:bCs/>
                <w:sz w:val="22"/>
                <w:szCs w:val="22"/>
                <w:highlight w:val="none"/>
              </w:rPr>
            </w:pPr>
            <w:r>
              <w:rPr>
                <w:rFonts w:hint="eastAsia" w:ascii="宋体" w:hAnsi="宋体" w:cs="宋体"/>
                <w:bCs/>
                <w:sz w:val="22"/>
                <w:szCs w:val="22"/>
                <w:highlight w:val="none"/>
              </w:rPr>
              <w:t>联系地址</w:t>
            </w:r>
          </w:p>
        </w:tc>
        <w:tc>
          <w:tcPr>
            <w:tcW w:w="2760" w:type="dxa"/>
            <w:tcBorders>
              <w:top w:val="single" w:color="000000" w:sz="4" w:space="0"/>
              <w:left w:val="single" w:color="000000" w:sz="4" w:space="0"/>
              <w:bottom w:val="single" w:color="000000" w:sz="4" w:space="0"/>
              <w:right w:val="single" w:color="000000" w:sz="4" w:space="0"/>
            </w:tcBorders>
            <w:noWrap/>
            <w:vAlign w:val="center"/>
          </w:tcPr>
          <w:p w14:paraId="66D8A895">
            <w:pPr>
              <w:rPr>
                <w:rFonts w:ascii="宋体" w:hAnsi="宋体" w:cs="宋体"/>
                <w:bCs/>
                <w:sz w:val="22"/>
                <w:szCs w:val="22"/>
                <w:highlight w:val="none"/>
              </w:rPr>
            </w:pPr>
          </w:p>
        </w:tc>
        <w:tc>
          <w:tcPr>
            <w:tcW w:w="2040" w:type="dxa"/>
            <w:tcBorders>
              <w:top w:val="single" w:color="000000" w:sz="4" w:space="0"/>
              <w:left w:val="single" w:color="000000" w:sz="4" w:space="0"/>
              <w:bottom w:val="single" w:color="000000" w:sz="4" w:space="0"/>
              <w:right w:val="single" w:color="000000" w:sz="4" w:space="0"/>
            </w:tcBorders>
            <w:noWrap/>
            <w:vAlign w:val="center"/>
          </w:tcPr>
          <w:p w14:paraId="363CDB61">
            <w:pPr>
              <w:widowControl/>
              <w:jc w:val="left"/>
              <w:rPr>
                <w:rFonts w:ascii="宋体" w:hAnsi="宋体" w:cs="宋体"/>
                <w:bCs/>
                <w:sz w:val="22"/>
                <w:szCs w:val="22"/>
                <w:highlight w:val="none"/>
              </w:rPr>
            </w:pPr>
            <w:r>
              <w:rPr>
                <w:rFonts w:hint="eastAsia" w:ascii="宋体" w:hAnsi="宋体" w:cs="宋体"/>
                <w:bCs/>
                <w:sz w:val="22"/>
                <w:szCs w:val="22"/>
                <w:highlight w:val="none"/>
              </w:rPr>
              <w:t>联系电话</w:t>
            </w:r>
          </w:p>
        </w:tc>
        <w:tc>
          <w:tcPr>
            <w:tcW w:w="3164" w:type="dxa"/>
            <w:tcBorders>
              <w:top w:val="single" w:color="000000" w:sz="4" w:space="0"/>
              <w:left w:val="single" w:color="000000" w:sz="4" w:space="0"/>
              <w:bottom w:val="single" w:color="000000" w:sz="4" w:space="0"/>
              <w:right w:val="single" w:color="000000" w:sz="18" w:space="0"/>
            </w:tcBorders>
            <w:noWrap/>
            <w:vAlign w:val="center"/>
          </w:tcPr>
          <w:p w14:paraId="2D9F2EDB">
            <w:pPr>
              <w:rPr>
                <w:rFonts w:ascii="宋体" w:hAnsi="宋体" w:cs="宋体"/>
                <w:sz w:val="22"/>
                <w:szCs w:val="22"/>
                <w:highlight w:val="none"/>
              </w:rPr>
            </w:pPr>
          </w:p>
        </w:tc>
      </w:tr>
      <w:tr w14:paraId="71726EB3">
        <w:tblPrEx>
          <w:tblCellMar>
            <w:top w:w="15" w:type="dxa"/>
            <w:left w:w="15" w:type="dxa"/>
            <w:bottom w:w="15" w:type="dxa"/>
            <w:right w:w="15" w:type="dxa"/>
          </w:tblCellMar>
        </w:tblPrEx>
        <w:trPr>
          <w:trHeight w:val="921" w:hRule="atLeast"/>
          <w:jc w:val="center"/>
        </w:trPr>
        <w:tc>
          <w:tcPr>
            <w:tcW w:w="1602" w:type="dxa"/>
            <w:tcBorders>
              <w:top w:val="single" w:color="000000" w:sz="4" w:space="0"/>
              <w:left w:val="single" w:color="000000" w:sz="18" w:space="0"/>
              <w:bottom w:val="single" w:color="000000" w:sz="4" w:space="0"/>
              <w:right w:val="single" w:color="000000" w:sz="4" w:space="0"/>
            </w:tcBorders>
            <w:noWrap/>
            <w:vAlign w:val="center"/>
          </w:tcPr>
          <w:p w14:paraId="1563C54F">
            <w:pPr>
              <w:widowControl/>
              <w:jc w:val="left"/>
              <w:rPr>
                <w:rFonts w:ascii="宋体" w:hAnsi="宋体" w:cs="宋体"/>
                <w:bCs/>
                <w:sz w:val="22"/>
                <w:szCs w:val="22"/>
                <w:highlight w:val="none"/>
              </w:rPr>
            </w:pPr>
            <w:r>
              <w:rPr>
                <w:rFonts w:hint="eastAsia" w:ascii="宋体" w:hAnsi="宋体" w:cs="宋体"/>
                <w:bCs/>
                <w:sz w:val="22"/>
                <w:szCs w:val="22"/>
                <w:highlight w:val="none"/>
              </w:rPr>
              <w:t>诚信档案记录情况</w:t>
            </w:r>
          </w:p>
        </w:tc>
        <w:tc>
          <w:tcPr>
            <w:tcW w:w="7964" w:type="dxa"/>
            <w:gridSpan w:val="3"/>
            <w:tcBorders>
              <w:top w:val="single" w:color="000000" w:sz="4" w:space="0"/>
              <w:left w:val="single" w:color="000000" w:sz="4" w:space="0"/>
              <w:bottom w:val="single" w:color="000000" w:sz="4" w:space="0"/>
              <w:right w:val="single" w:color="000000" w:sz="18" w:space="0"/>
            </w:tcBorders>
            <w:noWrap/>
            <w:vAlign w:val="center"/>
          </w:tcPr>
          <w:p w14:paraId="6E8C0F8E">
            <w:pPr>
              <w:rPr>
                <w:rFonts w:ascii="宋体" w:hAnsi="宋体" w:cs="宋体"/>
                <w:sz w:val="22"/>
                <w:szCs w:val="22"/>
                <w:highlight w:val="none"/>
              </w:rPr>
            </w:pPr>
          </w:p>
        </w:tc>
      </w:tr>
      <w:tr w14:paraId="2A52233E">
        <w:tblPrEx>
          <w:tblCellMar>
            <w:top w:w="15" w:type="dxa"/>
            <w:left w:w="15" w:type="dxa"/>
            <w:bottom w:w="15" w:type="dxa"/>
            <w:right w:w="15" w:type="dxa"/>
          </w:tblCellMar>
        </w:tblPrEx>
        <w:trPr>
          <w:trHeight w:val="5850" w:hRule="atLeast"/>
          <w:jc w:val="center"/>
        </w:trPr>
        <w:tc>
          <w:tcPr>
            <w:tcW w:w="1602" w:type="dxa"/>
            <w:tcBorders>
              <w:top w:val="single" w:color="000000" w:sz="4" w:space="0"/>
              <w:left w:val="single" w:color="000000" w:sz="18" w:space="0"/>
              <w:bottom w:val="single" w:color="000000" w:sz="18" w:space="0"/>
              <w:right w:val="single" w:color="000000" w:sz="4" w:space="0"/>
            </w:tcBorders>
            <w:noWrap/>
            <w:vAlign w:val="center"/>
          </w:tcPr>
          <w:p w14:paraId="603CC597">
            <w:pPr>
              <w:widowControl/>
              <w:jc w:val="left"/>
              <w:rPr>
                <w:rFonts w:ascii="宋体" w:hAnsi="宋体" w:cs="宋体"/>
                <w:bCs/>
                <w:sz w:val="22"/>
                <w:szCs w:val="22"/>
                <w:highlight w:val="none"/>
              </w:rPr>
            </w:pPr>
            <w:r>
              <w:rPr>
                <w:rFonts w:hint="eastAsia" w:ascii="宋体" w:hAnsi="宋体" w:cs="宋体"/>
                <w:bCs/>
                <w:sz w:val="22"/>
                <w:szCs w:val="22"/>
                <w:highlight w:val="none"/>
              </w:rPr>
              <w:t>信用承诺</w:t>
            </w:r>
          </w:p>
        </w:tc>
        <w:tc>
          <w:tcPr>
            <w:tcW w:w="7964" w:type="dxa"/>
            <w:gridSpan w:val="3"/>
            <w:tcBorders>
              <w:top w:val="single" w:color="000000" w:sz="4" w:space="0"/>
              <w:left w:val="single" w:color="000000" w:sz="4" w:space="0"/>
              <w:bottom w:val="single" w:color="000000" w:sz="18" w:space="0"/>
              <w:right w:val="single" w:color="000000" w:sz="18" w:space="0"/>
            </w:tcBorders>
            <w:noWrap/>
            <w:vAlign w:val="center"/>
          </w:tcPr>
          <w:p w14:paraId="7444520B">
            <w:pPr>
              <w:widowControl/>
              <w:jc w:val="left"/>
              <w:rPr>
                <w:rFonts w:ascii="宋体" w:hAnsi="宋体" w:cs="宋体"/>
                <w:sz w:val="24"/>
                <w:highlight w:val="none"/>
              </w:rPr>
            </w:pPr>
          </w:p>
          <w:p w14:paraId="7B92B0C9">
            <w:pPr>
              <w:widowControl/>
              <w:ind w:firstLine="480"/>
              <w:jc w:val="left"/>
              <w:rPr>
                <w:rFonts w:ascii="宋体" w:hAnsi="宋体" w:cs="宋体"/>
                <w:sz w:val="24"/>
                <w:highlight w:val="none"/>
              </w:rPr>
            </w:pPr>
            <w:r>
              <w:rPr>
                <w:rFonts w:hint="eastAsia" w:ascii="宋体" w:hAnsi="宋体" w:cs="宋体"/>
                <w:sz w:val="24"/>
                <w:highlight w:val="none"/>
              </w:rPr>
              <w:t>我公司自愿参加贵中心（公司〉组织的本次采购活动，严格遵守《中华人民共和国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p>
          <w:p w14:paraId="6D43B641">
            <w:pPr>
              <w:widowControl/>
              <w:ind w:firstLine="480"/>
              <w:jc w:val="left"/>
              <w:rPr>
                <w:rFonts w:ascii="宋体" w:hAnsi="宋体" w:cs="宋体"/>
                <w:sz w:val="24"/>
                <w:highlight w:val="none"/>
              </w:rPr>
            </w:pPr>
          </w:p>
          <w:p w14:paraId="4E9C4E46">
            <w:pPr>
              <w:widowControl/>
              <w:ind w:firstLine="480"/>
              <w:jc w:val="left"/>
              <w:rPr>
                <w:rFonts w:ascii="宋体" w:hAnsi="宋体" w:cs="宋体"/>
                <w:sz w:val="24"/>
                <w:highlight w:val="none"/>
              </w:rPr>
            </w:pPr>
            <w:r>
              <w:rPr>
                <w:rFonts w:hint="eastAsia" w:ascii="宋体" w:hAnsi="宋体" w:cs="宋体"/>
                <w:sz w:val="24"/>
                <w:highlight w:val="none"/>
              </w:rPr>
              <w:t xml:space="preserve">                      供应商名称（盖章）：</w:t>
            </w:r>
          </w:p>
          <w:p w14:paraId="133A68C7">
            <w:pPr>
              <w:widowControl/>
              <w:ind w:firstLine="480"/>
              <w:jc w:val="left"/>
              <w:rPr>
                <w:rFonts w:ascii="宋体" w:hAnsi="宋体" w:cs="宋体"/>
                <w:sz w:val="24"/>
                <w:highlight w:val="none"/>
              </w:rPr>
            </w:pPr>
            <w:r>
              <w:rPr>
                <w:rFonts w:hint="eastAsia" w:ascii="宋体" w:hAnsi="宋体" w:cs="宋体"/>
                <w:sz w:val="24"/>
                <w:highlight w:val="none"/>
              </w:rPr>
              <w:t xml:space="preserve">                      法定代表人（签字）：</w:t>
            </w:r>
          </w:p>
          <w:p w14:paraId="591D17EC">
            <w:pPr>
              <w:widowControl/>
              <w:ind w:firstLine="480"/>
              <w:jc w:val="left"/>
              <w:rPr>
                <w:rFonts w:ascii="宋体" w:hAnsi="宋体" w:cs="宋体"/>
                <w:sz w:val="24"/>
                <w:highlight w:val="none"/>
              </w:rPr>
            </w:pPr>
            <w:r>
              <w:rPr>
                <w:rFonts w:hint="eastAsia" w:ascii="宋体" w:hAnsi="宋体" w:cs="宋体"/>
                <w:sz w:val="24"/>
                <w:highlight w:val="none"/>
              </w:rPr>
              <w:t xml:space="preserve">                          年   月    日</w:t>
            </w:r>
            <w:bookmarkEnd w:id="418"/>
          </w:p>
        </w:tc>
      </w:tr>
    </w:tbl>
    <w:p w14:paraId="0E3878B9">
      <w:pPr>
        <w:rPr>
          <w:rFonts w:ascii="宋体" w:hAnsi="宋体" w:cs="宋体"/>
          <w:highlight w:val="none"/>
        </w:rPr>
      </w:pPr>
    </w:p>
    <w:p w14:paraId="0577CE60">
      <w:pPr>
        <w:pStyle w:val="16"/>
        <w:ind w:firstLine="200"/>
        <w:jc w:val="right"/>
        <w:rPr>
          <w:rFonts w:ascii="宋体" w:hAnsi="宋体" w:cs="宋体"/>
          <w:szCs w:val="21"/>
          <w:highlight w:val="none"/>
        </w:rPr>
      </w:pPr>
      <w:r>
        <w:rPr>
          <w:rFonts w:hint="eastAsia" w:ascii="宋体" w:hAnsi="宋体" w:cs="宋体"/>
          <w:b/>
          <w:bCs/>
          <w:sz w:val="24"/>
          <w:highlight w:val="none"/>
          <w:lang w:val="zh-CN"/>
        </w:rPr>
        <w:br w:type="page" w:clear="all"/>
      </w:r>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p>
    <w:p w14:paraId="6013E798">
      <w:pPr>
        <w:jc w:val="left"/>
        <w:outlineLvl w:val="2"/>
        <w:rPr>
          <w:rFonts w:ascii="宋体" w:hAnsi="宋体" w:cs="宋体"/>
          <w:b/>
          <w:bCs/>
          <w:sz w:val="24"/>
          <w:highlight w:val="none"/>
          <w:lang w:val="zh-CN"/>
        </w:rPr>
      </w:pPr>
      <w:bookmarkStart w:id="419" w:name="_Toc19537"/>
      <w:bookmarkStart w:id="420" w:name="_Toc22601"/>
      <w:bookmarkStart w:id="421" w:name="_Toc23169"/>
      <w:bookmarkStart w:id="422" w:name="_Toc31939"/>
      <w:bookmarkStart w:id="423" w:name="_Toc17781"/>
      <w:bookmarkStart w:id="424" w:name="_Toc2557"/>
      <w:bookmarkStart w:id="425" w:name="_Toc24747"/>
      <w:bookmarkStart w:id="426" w:name="_Toc22693"/>
      <w:bookmarkStart w:id="427" w:name="_Toc14759"/>
      <w:bookmarkStart w:id="428" w:name="_Toc17732"/>
      <w:bookmarkStart w:id="429" w:name="_Toc6732"/>
      <w:bookmarkStart w:id="430" w:name="_Toc20999"/>
      <w:bookmarkStart w:id="431" w:name="_Toc1704"/>
      <w:bookmarkStart w:id="432" w:name="_Toc5975"/>
      <w:bookmarkStart w:id="433" w:name="_Toc16394"/>
      <w:bookmarkStart w:id="434" w:name="_Toc22511"/>
      <w:bookmarkStart w:id="435" w:name="_Toc17411"/>
      <w:bookmarkStart w:id="436" w:name="_Toc18017"/>
      <w:bookmarkStart w:id="437" w:name="_Toc27874"/>
      <w:r>
        <w:rPr>
          <w:rFonts w:hint="eastAsia" w:ascii="宋体" w:hAnsi="宋体" w:cs="宋体"/>
          <w:b/>
          <w:bCs/>
          <w:sz w:val="24"/>
          <w:highlight w:val="none"/>
          <w:lang w:val="en-US" w:eastAsia="zh-CN"/>
        </w:rPr>
        <w:t>四</w:t>
      </w:r>
      <w:r>
        <w:rPr>
          <w:rFonts w:hint="eastAsia" w:ascii="宋体" w:hAnsi="宋体" w:cs="宋体"/>
          <w:b/>
          <w:bCs/>
          <w:sz w:val="24"/>
          <w:highlight w:val="none"/>
          <w:lang w:val="zh-CN"/>
        </w:rPr>
        <w:t>、</w:t>
      </w:r>
      <w:r>
        <w:rPr>
          <w:rFonts w:hint="eastAsia" w:ascii="宋体" w:hAnsi="宋体" w:cs="宋体"/>
          <w:b/>
          <w:sz w:val="24"/>
          <w:highlight w:val="none"/>
        </w:rPr>
        <w:t>企业业绩</w:t>
      </w:r>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p>
    <w:p w14:paraId="2EFB112C">
      <w:pPr>
        <w:ind w:firstLine="360"/>
        <w:jc w:val="center"/>
        <w:rPr>
          <w:rFonts w:ascii="宋体" w:hAnsi="宋体" w:cs="宋体"/>
          <w:b/>
          <w:bCs/>
          <w:sz w:val="24"/>
          <w:highlight w:val="none"/>
          <w:lang w:val="zh-CN"/>
        </w:rPr>
      </w:pPr>
      <w:bookmarkStart w:id="438" w:name="OLE_LINK4"/>
      <w:r>
        <w:rPr>
          <w:rFonts w:hint="eastAsia" w:ascii="宋体" w:hAnsi="宋体" w:cs="宋体"/>
          <w:b/>
          <w:bCs/>
          <w:sz w:val="24"/>
          <w:highlight w:val="none"/>
          <w:lang w:val="zh-CN"/>
        </w:rPr>
        <w:t>企业业绩汇总表</w:t>
      </w:r>
    </w:p>
    <w:p w14:paraId="481B2D40">
      <w:pPr>
        <w:ind w:firstLine="360"/>
        <w:jc w:val="center"/>
        <w:rPr>
          <w:rFonts w:ascii="宋体" w:hAnsi="宋体" w:cs="宋体"/>
          <w:sz w:val="24"/>
          <w:highlight w:val="none"/>
          <w:lang w:val="zh-CN"/>
        </w:rPr>
      </w:pPr>
    </w:p>
    <w:tbl>
      <w:tblPr>
        <w:tblStyle w:val="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05"/>
        <w:gridCol w:w="2405"/>
        <w:gridCol w:w="2405"/>
        <w:gridCol w:w="2405"/>
      </w:tblGrid>
      <w:tr w14:paraId="597DA0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05" w:type="dxa"/>
            <w:noWrap/>
          </w:tcPr>
          <w:p w14:paraId="671E138A">
            <w:pPr>
              <w:jc w:val="center"/>
              <w:rPr>
                <w:rFonts w:ascii="宋体" w:hAnsi="宋体" w:cs="宋体"/>
                <w:bCs/>
                <w:szCs w:val="21"/>
                <w:highlight w:val="none"/>
              </w:rPr>
            </w:pPr>
            <w:r>
              <w:rPr>
                <w:rFonts w:hint="eastAsia" w:ascii="宋体" w:hAnsi="宋体" w:cs="宋体"/>
                <w:bCs/>
                <w:szCs w:val="21"/>
                <w:highlight w:val="none"/>
              </w:rPr>
              <w:t>项目名称</w:t>
            </w:r>
          </w:p>
        </w:tc>
        <w:tc>
          <w:tcPr>
            <w:tcW w:w="2405" w:type="dxa"/>
            <w:noWrap/>
          </w:tcPr>
          <w:p w14:paraId="4D62B54C">
            <w:pPr>
              <w:jc w:val="center"/>
              <w:rPr>
                <w:rFonts w:ascii="宋体" w:hAnsi="宋体" w:cs="宋体"/>
                <w:bCs/>
                <w:szCs w:val="21"/>
                <w:highlight w:val="none"/>
                <w:lang w:val="zh-CN"/>
              </w:rPr>
            </w:pPr>
            <w:r>
              <w:rPr>
                <w:rFonts w:hint="eastAsia" w:ascii="宋体" w:hAnsi="宋体" w:cs="宋体"/>
                <w:bCs/>
                <w:szCs w:val="21"/>
                <w:highlight w:val="none"/>
                <w:lang w:val="zh-CN"/>
              </w:rPr>
              <w:t>委托人</w:t>
            </w:r>
          </w:p>
        </w:tc>
        <w:tc>
          <w:tcPr>
            <w:tcW w:w="2405" w:type="dxa"/>
            <w:noWrap/>
          </w:tcPr>
          <w:p w14:paraId="483632E0">
            <w:pPr>
              <w:jc w:val="center"/>
              <w:rPr>
                <w:rFonts w:ascii="宋体" w:hAnsi="宋体" w:cs="宋体"/>
                <w:bCs/>
                <w:szCs w:val="21"/>
                <w:highlight w:val="none"/>
                <w:lang w:val="zh-CN"/>
              </w:rPr>
            </w:pPr>
            <w:r>
              <w:rPr>
                <w:rFonts w:hint="eastAsia" w:ascii="宋体" w:hAnsi="宋体" w:cs="宋体"/>
                <w:bCs/>
                <w:szCs w:val="21"/>
                <w:highlight w:val="none"/>
                <w:lang w:val="zh-CN"/>
              </w:rPr>
              <w:t>合同签订时间</w:t>
            </w:r>
          </w:p>
        </w:tc>
        <w:tc>
          <w:tcPr>
            <w:tcW w:w="2405" w:type="dxa"/>
            <w:noWrap/>
          </w:tcPr>
          <w:p w14:paraId="40B293EA">
            <w:pPr>
              <w:jc w:val="center"/>
              <w:rPr>
                <w:rFonts w:hint="eastAsia" w:ascii="宋体" w:hAnsi="宋体" w:eastAsia="宋体" w:cs="宋体"/>
                <w:bCs/>
                <w:szCs w:val="21"/>
                <w:highlight w:val="none"/>
                <w:lang w:val="en-US" w:eastAsia="zh-CN"/>
              </w:rPr>
            </w:pPr>
            <w:r>
              <w:rPr>
                <w:rFonts w:hint="eastAsia" w:ascii="宋体" w:hAnsi="宋体" w:cs="宋体"/>
                <w:bCs/>
                <w:szCs w:val="21"/>
                <w:highlight w:val="none"/>
                <w:lang w:val="en-US" w:eastAsia="zh-CN"/>
              </w:rPr>
              <w:t>备注</w:t>
            </w:r>
          </w:p>
        </w:tc>
      </w:tr>
      <w:tr w14:paraId="25F73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05" w:type="dxa"/>
            <w:noWrap/>
          </w:tcPr>
          <w:p w14:paraId="4FA334B5">
            <w:pPr>
              <w:rPr>
                <w:rFonts w:ascii="宋体" w:hAnsi="宋体" w:cs="宋体"/>
                <w:b/>
                <w:szCs w:val="21"/>
                <w:highlight w:val="none"/>
                <w:lang w:val="zh-CN"/>
              </w:rPr>
            </w:pPr>
          </w:p>
        </w:tc>
        <w:tc>
          <w:tcPr>
            <w:tcW w:w="2405" w:type="dxa"/>
            <w:noWrap/>
          </w:tcPr>
          <w:p w14:paraId="2EEF469E">
            <w:pPr>
              <w:rPr>
                <w:rFonts w:ascii="宋体" w:hAnsi="宋体" w:cs="宋体"/>
                <w:b/>
                <w:szCs w:val="21"/>
                <w:highlight w:val="none"/>
                <w:lang w:val="zh-CN"/>
              </w:rPr>
            </w:pPr>
          </w:p>
        </w:tc>
        <w:tc>
          <w:tcPr>
            <w:tcW w:w="2405" w:type="dxa"/>
            <w:noWrap/>
          </w:tcPr>
          <w:p w14:paraId="65653140">
            <w:pPr>
              <w:rPr>
                <w:rFonts w:ascii="宋体" w:hAnsi="宋体" w:cs="宋体"/>
                <w:b/>
                <w:szCs w:val="21"/>
                <w:highlight w:val="none"/>
                <w:lang w:val="zh-CN"/>
              </w:rPr>
            </w:pPr>
          </w:p>
        </w:tc>
        <w:tc>
          <w:tcPr>
            <w:tcW w:w="2405" w:type="dxa"/>
            <w:noWrap/>
          </w:tcPr>
          <w:p w14:paraId="7285D166">
            <w:pPr>
              <w:rPr>
                <w:rFonts w:ascii="宋体" w:hAnsi="宋体" w:cs="宋体"/>
                <w:b/>
                <w:szCs w:val="21"/>
                <w:highlight w:val="none"/>
                <w:lang w:val="zh-CN"/>
              </w:rPr>
            </w:pPr>
          </w:p>
        </w:tc>
      </w:tr>
      <w:tr w14:paraId="0352A6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05" w:type="dxa"/>
            <w:noWrap/>
          </w:tcPr>
          <w:p w14:paraId="508B6B57">
            <w:pPr>
              <w:rPr>
                <w:rFonts w:ascii="宋体" w:hAnsi="宋体" w:cs="宋体"/>
                <w:b/>
                <w:szCs w:val="21"/>
                <w:highlight w:val="none"/>
                <w:lang w:val="zh-CN"/>
              </w:rPr>
            </w:pPr>
          </w:p>
        </w:tc>
        <w:tc>
          <w:tcPr>
            <w:tcW w:w="2405" w:type="dxa"/>
            <w:noWrap/>
          </w:tcPr>
          <w:p w14:paraId="76F8ED2E">
            <w:pPr>
              <w:rPr>
                <w:rFonts w:ascii="宋体" w:hAnsi="宋体" w:cs="宋体"/>
                <w:b/>
                <w:szCs w:val="21"/>
                <w:highlight w:val="none"/>
                <w:lang w:val="zh-CN"/>
              </w:rPr>
            </w:pPr>
          </w:p>
        </w:tc>
        <w:tc>
          <w:tcPr>
            <w:tcW w:w="2405" w:type="dxa"/>
            <w:noWrap/>
          </w:tcPr>
          <w:p w14:paraId="757F7647">
            <w:pPr>
              <w:rPr>
                <w:rFonts w:ascii="宋体" w:hAnsi="宋体" w:cs="宋体"/>
                <w:b/>
                <w:szCs w:val="21"/>
                <w:highlight w:val="none"/>
                <w:lang w:val="zh-CN"/>
              </w:rPr>
            </w:pPr>
          </w:p>
        </w:tc>
        <w:tc>
          <w:tcPr>
            <w:tcW w:w="2405" w:type="dxa"/>
            <w:noWrap/>
          </w:tcPr>
          <w:p w14:paraId="7D84EC9D">
            <w:pPr>
              <w:rPr>
                <w:rFonts w:ascii="宋体" w:hAnsi="宋体" w:cs="宋体"/>
                <w:b/>
                <w:szCs w:val="21"/>
                <w:highlight w:val="none"/>
                <w:lang w:val="zh-CN"/>
              </w:rPr>
            </w:pPr>
          </w:p>
        </w:tc>
      </w:tr>
      <w:tr w14:paraId="36874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05" w:type="dxa"/>
            <w:noWrap/>
          </w:tcPr>
          <w:p w14:paraId="2741F606">
            <w:pPr>
              <w:rPr>
                <w:rFonts w:ascii="宋体" w:hAnsi="宋体" w:cs="宋体"/>
                <w:b/>
                <w:szCs w:val="21"/>
                <w:highlight w:val="none"/>
                <w:lang w:val="zh-CN"/>
              </w:rPr>
            </w:pPr>
          </w:p>
        </w:tc>
        <w:tc>
          <w:tcPr>
            <w:tcW w:w="2405" w:type="dxa"/>
            <w:noWrap/>
          </w:tcPr>
          <w:p w14:paraId="5F9462D0">
            <w:pPr>
              <w:rPr>
                <w:rFonts w:ascii="宋体" w:hAnsi="宋体" w:cs="宋体"/>
                <w:b/>
                <w:szCs w:val="21"/>
                <w:highlight w:val="none"/>
                <w:lang w:val="zh-CN"/>
              </w:rPr>
            </w:pPr>
          </w:p>
        </w:tc>
        <w:tc>
          <w:tcPr>
            <w:tcW w:w="2405" w:type="dxa"/>
            <w:noWrap/>
          </w:tcPr>
          <w:p w14:paraId="1D75D8ED">
            <w:pPr>
              <w:rPr>
                <w:rFonts w:ascii="宋体" w:hAnsi="宋体" w:cs="宋体"/>
                <w:b/>
                <w:szCs w:val="21"/>
                <w:highlight w:val="none"/>
                <w:lang w:val="zh-CN"/>
              </w:rPr>
            </w:pPr>
          </w:p>
        </w:tc>
        <w:tc>
          <w:tcPr>
            <w:tcW w:w="2405" w:type="dxa"/>
            <w:noWrap/>
          </w:tcPr>
          <w:p w14:paraId="533B61FC">
            <w:pPr>
              <w:rPr>
                <w:rFonts w:ascii="宋体" w:hAnsi="宋体" w:cs="宋体"/>
                <w:b/>
                <w:szCs w:val="21"/>
                <w:highlight w:val="none"/>
                <w:lang w:val="zh-CN"/>
              </w:rPr>
            </w:pPr>
          </w:p>
        </w:tc>
      </w:tr>
      <w:tr w14:paraId="02FC50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05" w:type="dxa"/>
            <w:noWrap/>
          </w:tcPr>
          <w:p w14:paraId="1FC1F580">
            <w:pPr>
              <w:rPr>
                <w:rFonts w:ascii="宋体" w:hAnsi="宋体" w:cs="宋体"/>
                <w:b/>
                <w:szCs w:val="21"/>
                <w:highlight w:val="none"/>
                <w:lang w:val="zh-CN"/>
              </w:rPr>
            </w:pPr>
          </w:p>
        </w:tc>
        <w:tc>
          <w:tcPr>
            <w:tcW w:w="2405" w:type="dxa"/>
            <w:noWrap/>
          </w:tcPr>
          <w:p w14:paraId="6CB322DB">
            <w:pPr>
              <w:rPr>
                <w:rFonts w:ascii="宋体" w:hAnsi="宋体" w:cs="宋体"/>
                <w:b/>
                <w:szCs w:val="21"/>
                <w:highlight w:val="none"/>
                <w:lang w:val="zh-CN"/>
              </w:rPr>
            </w:pPr>
          </w:p>
        </w:tc>
        <w:tc>
          <w:tcPr>
            <w:tcW w:w="2405" w:type="dxa"/>
            <w:noWrap/>
          </w:tcPr>
          <w:p w14:paraId="70936B16">
            <w:pPr>
              <w:rPr>
                <w:rFonts w:ascii="宋体" w:hAnsi="宋体" w:cs="宋体"/>
                <w:b/>
                <w:szCs w:val="21"/>
                <w:highlight w:val="none"/>
                <w:lang w:val="zh-CN"/>
              </w:rPr>
            </w:pPr>
          </w:p>
        </w:tc>
        <w:tc>
          <w:tcPr>
            <w:tcW w:w="2405" w:type="dxa"/>
            <w:noWrap/>
          </w:tcPr>
          <w:p w14:paraId="0F1DB4D6">
            <w:pPr>
              <w:rPr>
                <w:rFonts w:ascii="宋体" w:hAnsi="宋体" w:cs="宋体"/>
                <w:b/>
                <w:szCs w:val="21"/>
                <w:highlight w:val="none"/>
                <w:lang w:val="zh-CN"/>
              </w:rPr>
            </w:pPr>
          </w:p>
        </w:tc>
      </w:tr>
      <w:tr w14:paraId="5BB25A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05" w:type="dxa"/>
            <w:noWrap/>
          </w:tcPr>
          <w:p w14:paraId="6BDA07E4">
            <w:pPr>
              <w:rPr>
                <w:rFonts w:ascii="宋体" w:hAnsi="宋体" w:cs="宋体"/>
                <w:b/>
                <w:szCs w:val="21"/>
                <w:highlight w:val="none"/>
                <w:lang w:val="zh-CN"/>
              </w:rPr>
            </w:pPr>
          </w:p>
        </w:tc>
        <w:tc>
          <w:tcPr>
            <w:tcW w:w="2405" w:type="dxa"/>
            <w:noWrap/>
          </w:tcPr>
          <w:p w14:paraId="6D4A8C34">
            <w:pPr>
              <w:rPr>
                <w:rFonts w:ascii="宋体" w:hAnsi="宋体" w:cs="宋体"/>
                <w:b/>
                <w:szCs w:val="21"/>
                <w:highlight w:val="none"/>
                <w:lang w:val="zh-CN"/>
              </w:rPr>
            </w:pPr>
          </w:p>
        </w:tc>
        <w:tc>
          <w:tcPr>
            <w:tcW w:w="2405" w:type="dxa"/>
            <w:noWrap/>
          </w:tcPr>
          <w:p w14:paraId="58846C3D">
            <w:pPr>
              <w:rPr>
                <w:rFonts w:ascii="宋体" w:hAnsi="宋体" w:cs="宋体"/>
                <w:b/>
                <w:szCs w:val="21"/>
                <w:highlight w:val="none"/>
                <w:lang w:val="zh-CN"/>
              </w:rPr>
            </w:pPr>
          </w:p>
        </w:tc>
        <w:tc>
          <w:tcPr>
            <w:tcW w:w="2405" w:type="dxa"/>
            <w:noWrap/>
          </w:tcPr>
          <w:p w14:paraId="56D14A08">
            <w:pPr>
              <w:rPr>
                <w:rFonts w:ascii="宋体" w:hAnsi="宋体" w:cs="宋体"/>
                <w:b/>
                <w:szCs w:val="21"/>
                <w:highlight w:val="none"/>
                <w:lang w:val="zh-CN"/>
              </w:rPr>
            </w:pPr>
          </w:p>
        </w:tc>
      </w:tr>
      <w:tr w14:paraId="024BBD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05" w:type="dxa"/>
            <w:noWrap/>
          </w:tcPr>
          <w:p w14:paraId="413760E5">
            <w:pPr>
              <w:rPr>
                <w:rFonts w:ascii="宋体" w:hAnsi="宋体" w:cs="宋体"/>
                <w:b/>
                <w:szCs w:val="21"/>
                <w:highlight w:val="none"/>
                <w:lang w:val="zh-CN"/>
              </w:rPr>
            </w:pPr>
          </w:p>
        </w:tc>
        <w:tc>
          <w:tcPr>
            <w:tcW w:w="2405" w:type="dxa"/>
            <w:noWrap/>
          </w:tcPr>
          <w:p w14:paraId="7CE8A55C">
            <w:pPr>
              <w:rPr>
                <w:rFonts w:ascii="宋体" w:hAnsi="宋体" w:cs="宋体"/>
                <w:b/>
                <w:szCs w:val="21"/>
                <w:highlight w:val="none"/>
                <w:lang w:val="zh-CN"/>
              </w:rPr>
            </w:pPr>
          </w:p>
        </w:tc>
        <w:tc>
          <w:tcPr>
            <w:tcW w:w="2405" w:type="dxa"/>
            <w:noWrap/>
          </w:tcPr>
          <w:p w14:paraId="7F15D36B">
            <w:pPr>
              <w:rPr>
                <w:rFonts w:ascii="宋体" w:hAnsi="宋体" w:cs="宋体"/>
                <w:b/>
                <w:szCs w:val="21"/>
                <w:highlight w:val="none"/>
                <w:lang w:val="zh-CN"/>
              </w:rPr>
            </w:pPr>
          </w:p>
        </w:tc>
        <w:tc>
          <w:tcPr>
            <w:tcW w:w="2405" w:type="dxa"/>
            <w:noWrap/>
          </w:tcPr>
          <w:p w14:paraId="6AEB0642">
            <w:pPr>
              <w:rPr>
                <w:rFonts w:ascii="宋体" w:hAnsi="宋体" w:cs="宋体"/>
                <w:b/>
                <w:szCs w:val="21"/>
                <w:highlight w:val="none"/>
                <w:lang w:val="zh-CN"/>
              </w:rPr>
            </w:pPr>
          </w:p>
        </w:tc>
      </w:tr>
      <w:tr w14:paraId="0EF563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05" w:type="dxa"/>
            <w:noWrap/>
          </w:tcPr>
          <w:p w14:paraId="0CED9E61">
            <w:pPr>
              <w:rPr>
                <w:rFonts w:ascii="宋体" w:hAnsi="宋体" w:cs="宋体"/>
                <w:b/>
                <w:szCs w:val="21"/>
                <w:highlight w:val="none"/>
                <w:lang w:val="zh-CN"/>
              </w:rPr>
            </w:pPr>
          </w:p>
        </w:tc>
        <w:tc>
          <w:tcPr>
            <w:tcW w:w="2405" w:type="dxa"/>
            <w:noWrap/>
          </w:tcPr>
          <w:p w14:paraId="7582A8D3">
            <w:pPr>
              <w:rPr>
                <w:rFonts w:ascii="宋体" w:hAnsi="宋体" w:cs="宋体"/>
                <w:b/>
                <w:szCs w:val="21"/>
                <w:highlight w:val="none"/>
                <w:lang w:val="zh-CN"/>
              </w:rPr>
            </w:pPr>
          </w:p>
        </w:tc>
        <w:tc>
          <w:tcPr>
            <w:tcW w:w="2405" w:type="dxa"/>
            <w:noWrap/>
          </w:tcPr>
          <w:p w14:paraId="1FAFBF70">
            <w:pPr>
              <w:rPr>
                <w:rFonts w:ascii="宋体" w:hAnsi="宋体" w:cs="宋体"/>
                <w:b/>
                <w:szCs w:val="21"/>
                <w:highlight w:val="none"/>
                <w:lang w:val="zh-CN"/>
              </w:rPr>
            </w:pPr>
          </w:p>
        </w:tc>
        <w:tc>
          <w:tcPr>
            <w:tcW w:w="2405" w:type="dxa"/>
            <w:noWrap/>
          </w:tcPr>
          <w:p w14:paraId="712FC653">
            <w:pPr>
              <w:rPr>
                <w:rFonts w:ascii="宋体" w:hAnsi="宋体" w:cs="宋体"/>
                <w:b/>
                <w:szCs w:val="21"/>
                <w:highlight w:val="none"/>
                <w:lang w:val="zh-CN"/>
              </w:rPr>
            </w:pPr>
          </w:p>
        </w:tc>
      </w:tr>
      <w:tr w14:paraId="48B03E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05" w:type="dxa"/>
            <w:noWrap/>
          </w:tcPr>
          <w:p w14:paraId="17D8A513">
            <w:pPr>
              <w:rPr>
                <w:rFonts w:ascii="宋体" w:hAnsi="宋体" w:cs="宋体"/>
                <w:b/>
                <w:szCs w:val="21"/>
                <w:highlight w:val="none"/>
                <w:lang w:val="zh-CN"/>
              </w:rPr>
            </w:pPr>
          </w:p>
        </w:tc>
        <w:tc>
          <w:tcPr>
            <w:tcW w:w="2405" w:type="dxa"/>
            <w:noWrap/>
          </w:tcPr>
          <w:p w14:paraId="2BDCE1B4">
            <w:pPr>
              <w:rPr>
                <w:rFonts w:ascii="宋体" w:hAnsi="宋体" w:cs="宋体"/>
                <w:b/>
                <w:szCs w:val="21"/>
                <w:highlight w:val="none"/>
                <w:lang w:val="zh-CN"/>
              </w:rPr>
            </w:pPr>
          </w:p>
        </w:tc>
        <w:tc>
          <w:tcPr>
            <w:tcW w:w="2405" w:type="dxa"/>
            <w:noWrap/>
          </w:tcPr>
          <w:p w14:paraId="341411E6">
            <w:pPr>
              <w:rPr>
                <w:rFonts w:ascii="宋体" w:hAnsi="宋体" w:cs="宋体"/>
                <w:b/>
                <w:szCs w:val="21"/>
                <w:highlight w:val="none"/>
                <w:lang w:val="zh-CN"/>
              </w:rPr>
            </w:pPr>
          </w:p>
        </w:tc>
        <w:tc>
          <w:tcPr>
            <w:tcW w:w="2405" w:type="dxa"/>
            <w:noWrap/>
          </w:tcPr>
          <w:p w14:paraId="337C8AF8">
            <w:pPr>
              <w:rPr>
                <w:rFonts w:ascii="宋体" w:hAnsi="宋体" w:cs="宋体"/>
                <w:b/>
                <w:szCs w:val="21"/>
                <w:highlight w:val="none"/>
                <w:lang w:val="zh-CN"/>
              </w:rPr>
            </w:pPr>
          </w:p>
        </w:tc>
      </w:tr>
    </w:tbl>
    <w:p w14:paraId="3ABFE1B0">
      <w:pPr>
        <w:jc w:val="center"/>
        <w:rPr>
          <w:rFonts w:ascii="宋体" w:hAnsi="宋体" w:cs="宋体"/>
          <w:b/>
          <w:bCs/>
          <w:sz w:val="24"/>
          <w:highlight w:val="none"/>
        </w:rPr>
      </w:pPr>
    </w:p>
    <w:p w14:paraId="707B9D51">
      <w:pPr>
        <w:jc w:val="right"/>
        <w:rPr>
          <w:rFonts w:ascii="宋体" w:hAnsi="宋体" w:cs="宋体"/>
          <w:sz w:val="24"/>
          <w:highlight w:val="none"/>
          <w:lang w:val="zh-CN"/>
        </w:rPr>
      </w:pPr>
      <w:r>
        <w:rPr>
          <w:rFonts w:hint="eastAsia" w:ascii="宋体" w:hAnsi="宋体" w:cs="宋体"/>
          <w:sz w:val="24"/>
          <w:highlight w:val="none"/>
          <w:lang w:val="zh-CN"/>
        </w:rPr>
        <w:t xml:space="preserve"> 供应商</w:t>
      </w:r>
      <w:r>
        <w:rPr>
          <w:rFonts w:hint="eastAsia" w:ascii="宋体" w:hAnsi="宋体" w:cs="宋体"/>
          <w:sz w:val="24"/>
          <w:highlight w:val="none"/>
        </w:rPr>
        <w:t>（</w:t>
      </w:r>
      <w:r>
        <w:rPr>
          <w:rFonts w:hint="eastAsia" w:ascii="宋体" w:hAnsi="宋体" w:cs="宋体"/>
          <w:sz w:val="24"/>
          <w:highlight w:val="none"/>
          <w:lang w:val="en-US" w:eastAsia="zh-CN"/>
        </w:rPr>
        <w:t>电子签章</w:t>
      </w:r>
      <w:r>
        <w:rPr>
          <w:rFonts w:hint="eastAsia" w:ascii="宋体" w:hAnsi="宋体" w:cs="宋体"/>
          <w:sz w:val="24"/>
          <w:highlight w:val="none"/>
        </w:rPr>
        <w:t xml:space="preserve">）：            </w:t>
      </w:r>
    </w:p>
    <w:p w14:paraId="0A109E0B">
      <w:pPr>
        <w:jc w:val="right"/>
        <w:rPr>
          <w:rFonts w:ascii="宋体" w:hAnsi="宋体" w:cs="宋体"/>
          <w:sz w:val="24"/>
          <w:highlight w:val="none"/>
          <w:lang w:val="zh-CN"/>
        </w:rPr>
      </w:pPr>
      <w:r>
        <w:rPr>
          <w:rFonts w:hint="eastAsia" w:ascii="宋体" w:hAnsi="宋体" w:cs="宋体"/>
          <w:sz w:val="24"/>
          <w:highlight w:val="none"/>
          <w:lang w:val="zh-CN"/>
        </w:rPr>
        <w:t xml:space="preserve">             </w:t>
      </w:r>
    </w:p>
    <w:p w14:paraId="4803B4B6">
      <w:pPr>
        <w:jc w:val="right"/>
        <w:rPr>
          <w:rFonts w:ascii="宋体" w:hAnsi="宋体" w:cs="宋体"/>
          <w:sz w:val="24"/>
          <w:highlight w:val="none"/>
          <w:lang w:val="zh-CN"/>
        </w:rPr>
      </w:pPr>
      <w:r>
        <w:rPr>
          <w:rFonts w:hint="eastAsia" w:ascii="宋体" w:hAnsi="宋体" w:cs="宋体"/>
          <w:sz w:val="24"/>
          <w:highlight w:val="none"/>
          <w:lang w:val="zh-CN"/>
        </w:rPr>
        <w:t>日    期：    年    月   日</w:t>
      </w:r>
    </w:p>
    <w:p w14:paraId="62F4FDCB">
      <w:pPr>
        <w:jc w:val="left"/>
        <w:rPr>
          <w:rFonts w:hint="eastAsia" w:ascii="宋体" w:hAnsi="宋体" w:cs="宋体"/>
          <w:b/>
          <w:bCs/>
          <w:szCs w:val="21"/>
          <w:highlight w:val="none"/>
          <w:lang w:val="zh-CN"/>
        </w:rPr>
      </w:pPr>
      <w:r>
        <w:rPr>
          <w:rFonts w:hint="eastAsia" w:ascii="宋体" w:hAnsi="宋体" w:cs="宋体"/>
          <w:b/>
          <w:bCs/>
          <w:szCs w:val="21"/>
          <w:highlight w:val="none"/>
          <w:lang w:val="zh-CN"/>
        </w:rPr>
        <w:t>注：附合同等业绩证明资料</w:t>
      </w:r>
      <w:bookmarkEnd w:id="438"/>
    </w:p>
    <w:p w14:paraId="0730D0C6">
      <w:pPr>
        <w:pStyle w:val="13"/>
        <w:rPr>
          <w:rFonts w:hint="eastAsia" w:ascii="宋体" w:hAnsi="宋体" w:cs="宋体"/>
          <w:b/>
          <w:bCs/>
          <w:szCs w:val="21"/>
          <w:highlight w:val="none"/>
          <w:lang w:val="zh-CN"/>
        </w:rPr>
      </w:pPr>
    </w:p>
    <w:p w14:paraId="1FAA6D07">
      <w:pPr>
        <w:pStyle w:val="13"/>
        <w:rPr>
          <w:rFonts w:hint="eastAsia" w:ascii="宋体" w:hAnsi="宋体" w:cs="宋体"/>
          <w:b/>
          <w:bCs/>
          <w:szCs w:val="21"/>
          <w:highlight w:val="none"/>
          <w:lang w:val="zh-CN"/>
        </w:rPr>
      </w:pPr>
    </w:p>
    <w:p w14:paraId="183F3EFB">
      <w:pPr>
        <w:pStyle w:val="13"/>
        <w:rPr>
          <w:rFonts w:hint="eastAsia" w:ascii="宋体" w:hAnsi="宋体" w:cs="宋体"/>
          <w:b/>
          <w:bCs/>
          <w:szCs w:val="21"/>
          <w:highlight w:val="none"/>
          <w:lang w:val="zh-CN"/>
        </w:rPr>
      </w:pPr>
    </w:p>
    <w:p w14:paraId="63A6D02E">
      <w:pPr>
        <w:pStyle w:val="13"/>
        <w:rPr>
          <w:rFonts w:hint="eastAsia" w:ascii="宋体" w:hAnsi="宋体" w:cs="宋体"/>
          <w:b/>
          <w:bCs/>
          <w:szCs w:val="21"/>
          <w:highlight w:val="none"/>
          <w:lang w:val="zh-CN"/>
        </w:rPr>
      </w:pPr>
    </w:p>
    <w:p w14:paraId="2378EC30">
      <w:pPr>
        <w:pStyle w:val="13"/>
        <w:rPr>
          <w:rFonts w:hint="eastAsia" w:ascii="宋体" w:hAnsi="宋体" w:cs="宋体"/>
          <w:b/>
          <w:bCs/>
          <w:szCs w:val="21"/>
          <w:highlight w:val="none"/>
          <w:lang w:val="zh-CN"/>
        </w:rPr>
      </w:pPr>
    </w:p>
    <w:p w14:paraId="5AB61BFC">
      <w:pPr>
        <w:pStyle w:val="13"/>
        <w:rPr>
          <w:rFonts w:hint="eastAsia" w:ascii="宋体" w:hAnsi="宋体" w:cs="宋体"/>
          <w:b/>
          <w:bCs/>
          <w:szCs w:val="21"/>
          <w:highlight w:val="none"/>
          <w:lang w:val="zh-CN"/>
        </w:rPr>
      </w:pPr>
    </w:p>
    <w:p w14:paraId="0704CE88">
      <w:pPr>
        <w:pStyle w:val="13"/>
        <w:rPr>
          <w:rFonts w:hint="eastAsia" w:ascii="宋体" w:hAnsi="宋体" w:cs="宋体"/>
          <w:b/>
          <w:bCs/>
          <w:szCs w:val="21"/>
          <w:highlight w:val="none"/>
          <w:lang w:val="zh-CN"/>
        </w:rPr>
      </w:pPr>
    </w:p>
    <w:p w14:paraId="0A8178EB">
      <w:pPr>
        <w:pStyle w:val="13"/>
        <w:rPr>
          <w:rFonts w:hint="eastAsia" w:ascii="宋体" w:hAnsi="宋体" w:cs="宋体"/>
          <w:b/>
          <w:bCs/>
          <w:szCs w:val="21"/>
          <w:highlight w:val="none"/>
          <w:lang w:val="zh-CN"/>
        </w:rPr>
      </w:pPr>
    </w:p>
    <w:p w14:paraId="66F6B835">
      <w:pPr>
        <w:pStyle w:val="13"/>
        <w:rPr>
          <w:rFonts w:hint="eastAsia" w:ascii="宋体" w:hAnsi="宋体" w:cs="宋体"/>
          <w:b/>
          <w:bCs/>
          <w:szCs w:val="21"/>
          <w:highlight w:val="none"/>
          <w:lang w:val="zh-CN"/>
        </w:rPr>
      </w:pPr>
    </w:p>
    <w:p w14:paraId="14D6D815">
      <w:pPr>
        <w:pStyle w:val="13"/>
        <w:rPr>
          <w:rFonts w:hint="eastAsia" w:ascii="宋体" w:hAnsi="宋体" w:cs="宋体"/>
          <w:b/>
          <w:bCs/>
          <w:szCs w:val="21"/>
          <w:highlight w:val="none"/>
          <w:lang w:val="zh-CN"/>
        </w:rPr>
      </w:pPr>
    </w:p>
    <w:p w14:paraId="567AC2AE">
      <w:pPr>
        <w:pStyle w:val="13"/>
        <w:rPr>
          <w:rFonts w:hint="eastAsia" w:ascii="宋体" w:hAnsi="宋体" w:cs="宋体"/>
          <w:b/>
          <w:bCs/>
          <w:szCs w:val="21"/>
          <w:highlight w:val="none"/>
          <w:lang w:val="zh-CN"/>
        </w:rPr>
      </w:pPr>
    </w:p>
    <w:p w14:paraId="3C0E5701">
      <w:pPr>
        <w:pStyle w:val="13"/>
        <w:rPr>
          <w:rFonts w:hint="eastAsia" w:ascii="宋体" w:hAnsi="宋体" w:cs="宋体"/>
          <w:b/>
          <w:bCs/>
          <w:szCs w:val="21"/>
          <w:highlight w:val="none"/>
          <w:lang w:val="zh-CN"/>
        </w:rPr>
      </w:pPr>
    </w:p>
    <w:p w14:paraId="77551F5A">
      <w:pPr>
        <w:pStyle w:val="13"/>
        <w:rPr>
          <w:rFonts w:hint="eastAsia" w:ascii="宋体" w:hAnsi="宋体" w:cs="宋体"/>
          <w:b/>
          <w:bCs/>
          <w:szCs w:val="21"/>
          <w:highlight w:val="none"/>
          <w:lang w:val="zh-CN"/>
        </w:rPr>
      </w:pPr>
    </w:p>
    <w:p w14:paraId="50ACF0D0">
      <w:pPr>
        <w:pStyle w:val="13"/>
        <w:rPr>
          <w:rFonts w:hint="eastAsia" w:ascii="宋体" w:hAnsi="宋体" w:cs="宋体"/>
          <w:b/>
          <w:bCs/>
          <w:szCs w:val="21"/>
          <w:highlight w:val="none"/>
          <w:lang w:val="zh-CN"/>
        </w:rPr>
      </w:pPr>
    </w:p>
    <w:p w14:paraId="44CA2C5C">
      <w:pPr>
        <w:pStyle w:val="13"/>
        <w:rPr>
          <w:rFonts w:hint="eastAsia" w:ascii="宋体" w:hAnsi="宋体" w:cs="宋体"/>
          <w:b/>
          <w:bCs/>
          <w:szCs w:val="21"/>
          <w:highlight w:val="none"/>
          <w:lang w:val="zh-CN"/>
        </w:rPr>
      </w:pPr>
    </w:p>
    <w:p w14:paraId="264C590E">
      <w:pPr>
        <w:pStyle w:val="13"/>
        <w:rPr>
          <w:rFonts w:hint="eastAsia" w:ascii="宋体" w:hAnsi="宋体" w:cs="宋体"/>
          <w:b/>
          <w:bCs/>
          <w:szCs w:val="21"/>
          <w:highlight w:val="none"/>
          <w:lang w:val="zh-CN"/>
        </w:rPr>
      </w:pPr>
    </w:p>
    <w:p w14:paraId="3D71C29D">
      <w:pPr>
        <w:pStyle w:val="13"/>
        <w:rPr>
          <w:rFonts w:hint="eastAsia" w:ascii="宋体" w:hAnsi="宋体" w:cs="宋体"/>
          <w:b/>
          <w:bCs/>
          <w:szCs w:val="21"/>
          <w:highlight w:val="none"/>
          <w:lang w:val="zh-CN"/>
        </w:rPr>
      </w:pPr>
    </w:p>
    <w:p w14:paraId="76A05D97">
      <w:pPr>
        <w:pStyle w:val="13"/>
        <w:rPr>
          <w:rFonts w:hint="eastAsia" w:ascii="宋体" w:hAnsi="宋体" w:cs="宋体"/>
          <w:b/>
          <w:bCs/>
          <w:szCs w:val="21"/>
          <w:highlight w:val="none"/>
          <w:lang w:val="zh-CN"/>
        </w:rPr>
      </w:pPr>
    </w:p>
    <w:p w14:paraId="45B95393">
      <w:pPr>
        <w:pStyle w:val="13"/>
        <w:rPr>
          <w:rFonts w:hint="eastAsia" w:ascii="宋体" w:hAnsi="宋体" w:cs="宋体"/>
          <w:b/>
          <w:bCs/>
          <w:szCs w:val="21"/>
          <w:highlight w:val="none"/>
          <w:lang w:val="zh-CN"/>
        </w:rPr>
      </w:pPr>
    </w:p>
    <w:p w14:paraId="263EB575">
      <w:pPr>
        <w:pStyle w:val="13"/>
        <w:rPr>
          <w:rFonts w:hint="eastAsia" w:ascii="宋体" w:hAnsi="宋体" w:cs="宋体"/>
          <w:b/>
          <w:bCs/>
          <w:szCs w:val="21"/>
          <w:highlight w:val="none"/>
          <w:lang w:val="zh-CN"/>
        </w:rPr>
      </w:pPr>
    </w:p>
    <w:p w14:paraId="59DC6212">
      <w:pPr>
        <w:pStyle w:val="13"/>
        <w:rPr>
          <w:rFonts w:hint="eastAsia" w:ascii="宋体" w:hAnsi="宋体" w:cs="宋体"/>
          <w:b/>
          <w:bCs/>
          <w:szCs w:val="21"/>
          <w:highlight w:val="none"/>
          <w:lang w:val="zh-CN"/>
        </w:rPr>
      </w:pPr>
    </w:p>
    <w:p w14:paraId="4D322E30">
      <w:pPr>
        <w:pStyle w:val="13"/>
        <w:rPr>
          <w:rFonts w:hint="eastAsia" w:ascii="宋体" w:hAnsi="宋体" w:cs="宋体"/>
          <w:b/>
          <w:bCs/>
          <w:szCs w:val="21"/>
          <w:highlight w:val="none"/>
          <w:lang w:val="zh-CN"/>
        </w:rPr>
      </w:pPr>
    </w:p>
    <w:p w14:paraId="16F6CC1D">
      <w:pPr>
        <w:pStyle w:val="13"/>
        <w:rPr>
          <w:rFonts w:hint="eastAsia" w:ascii="宋体" w:hAnsi="宋体" w:cs="宋体"/>
          <w:b/>
          <w:bCs/>
          <w:szCs w:val="21"/>
          <w:highlight w:val="none"/>
          <w:lang w:val="zh-CN"/>
        </w:rPr>
      </w:pPr>
    </w:p>
    <w:p w14:paraId="0C05EAC9">
      <w:pPr>
        <w:pStyle w:val="13"/>
        <w:rPr>
          <w:rFonts w:hint="eastAsia" w:ascii="宋体" w:hAnsi="宋体" w:cs="宋体"/>
          <w:b/>
          <w:bCs/>
          <w:szCs w:val="21"/>
          <w:highlight w:val="none"/>
          <w:lang w:val="zh-CN"/>
        </w:rPr>
      </w:pPr>
    </w:p>
    <w:p w14:paraId="7598F59B">
      <w:pPr>
        <w:pStyle w:val="13"/>
        <w:rPr>
          <w:rFonts w:hint="eastAsia" w:ascii="宋体" w:hAnsi="宋体" w:cs="宋体"/>
          <w:b/>
          <w:bCs/>
          <w:szCs w:val="21"/>
          <w:highlight w:val="none"/>
          <w:lang w:val="zh-CN"/>
        </w:rPr>
      </w:pPr>
    </w:p>
    <w:p w14:paraId="758F0FDD">
      <w:pPr>
        <w:pStyle w:val="13"/>
        <w:rPr>
          <w:rFonts w:hint="eastAsia" w:ascii="宋体" w:hAnsi="宋体" w:cs="宋体"/>
          <w:b/>
          <w:bCs/>
          <w:szCs w:val="21"/>
          <w:highlight w:val="none"/>
          <w:lang w:val="zh-CN"/>
        </w:rPr>
      </w:pPr>
    </w:p>
    <w:p w14:paraId="0E204A6A">
      <w:pPr>
        <w:pStyle w:val="13"/>
        <w:rPr>
          <w:rFonts w:hint="eastAsia" w:ascii="宋体" w:hAnsi="宋体" w:cs="宋体"/>
          <w:b/>
          <w:bCs/>
          <w:szCs w:val="21"/>
          <w:highlight w:val="none"/>
          <w:lang w:val="zh-CN"/>
        </w:rPr>
      </w:pPr>
    </w:p>
    <w:p w14:paraId="7DB0E038">
      <w:pPr>
        <w:pStyle w:val="13"/>
        <w:rPr>
          <w:rFonts w:hint="eastAsia" w:ascii="宋体" w:hAnsi="宋体" w:cs="宋体"/>
          <w:b/>
          <w:bCs/>
          <w:szCs w:val="21"/>
          <w:highlight w:val="none"/>
          <w:lang w:val="zh-CN"/>
        </w:rPr>
      </w:pPr>
    </w:p>
    <w:p w14:paraId="25152D99">
      <w:pPr>
        <w:pStyle w:val="13"/>
        <w:rPr>
          <w:rFonts w:hint="eastAsia" w:ascii="宋体" w:hAnsi="宋体" w:cs="宋体"/>
          <w:b/>
          <w:bCs/>
          <w:szCs w:val="21"/>
          <w:highlight w:val="none"/>
          <w:lang w:val="zh-CN"/>
        </w:rPr>
      </w:pPr>
    </w:p>
    <w:p w14:paraId="62C34B6F">
      <w:pPr>
        <w:pStyle w:val="13"/>
        <w:rPr>
          <w:rFonts w:hint="eastAsia" w:ascii="宋体" w:hAnsi="宋体" w:cs="宋体"/>
          <w:b/>
          <w:bCs/>
          <w:szCs w:val="21"/>
          <w:highlight w:val="none"/>
          <w:lang w:val="zh-CN"/>
        </w:rPr>
      </w:pPr>
    </w:p>
    <w:p w14:paraId="3F18AA57">
      <w:pPr>
        <w:pStyle w:val="13"/>
        <w:rPr>
          <w:rFonts w:hint="eastAsia" w:ascii="宋体" w:hAnsi="宋体" w:cs="宋体"/>
          <w:b/>
          <w:bCs/>
          <w:szCs w:val="21"/>
          <w:highlight w:val="none"/>
          <w:lang w:val="zh-CN"/>
        </w:rPr>
      </w:pPr>
    </w:p>
    <w:p w14:paraId="3B71E3B6">
      <w:pPr>
        <w:pStyle w:val="13"/>
        <w:rPr>
          <w:rFonts w:hint="eastAsia" w:ascii="宋体" w:hAnsi="宋体" w:cs="宋体"/>
          <w:b/>
          <w:bCs/>
          <w:szCs w:val="21"/>
          <w:highlight w:val="none"/>
          <w:lang w:val="zh-CN"/>
        </w:rPr>
      </w:pPr>
    </w:p>
    <w:p w14:paraId="036BA0BB">
      <w:pPr>
        <w:numPr>
          <w:ilvl w:val="0"/>
          <w:numId w:val="7"/>
        </w:numPr>
        <w:jc w:val="left"/>
        <w:outlineLvl w:val="2"/>
        <w:rPr>
          <w:rFonts w:hint="eastAsia" w:ascii="宋体" w:hAnsi="宋体" w:cs="宋体"/>
          <w:b/>
          <w:bCs/>
          <w:sz w:val="24"/>
          <w:highlight w:val="none"/>
          <w:lang w:val="en-US" w:eastAsia="zh-CN"/>
        </w:rPr>
      </w:pPr>
      <w:r>
        <w:rPr>
          <w:rFonts w:hint="eastAsia" w:ascii="宋体" w:hAnsi="宋体" w:cs="宋体"/>
          <w:b/>
          <w:bCs/>
          <w:sz w:val="24"/>
          <w:highlight w:val="none"/>
          <w:lang w:val="en-US" w:eastAsia="zh-CN"/>
        </w:rPr>
        <w:t>商务偏离表</w:t>
      </w:r>
    </w:p>
    <w:tbl>
      <w:tblPr>
        <w:tblStyle w:val="3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842"/>
        <w:gridCol w:w="1821"/>
        <w:gridCol w:w="2240"/>
        <w:gridCol w:w="1400"/>
        <w:gridCol w:w="1245"/>
        <w:gridCol w:w="1447"/>
      </w:tblGrid>
      <w:tr w14:paraId="5D6CB29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80" w:hRule="atLeast"/>
        </w:trPr>
        <w:tc>
          <w:tcPr>
            <w:tcW w:w="8995" w:type="dxa"/>
            <w:gridSpan w:val="6"/>
            <w:tcBorders>
              <w:top w:val="nil"/>
              <w:left w:val="nil"/>
              <w:bottom w:val="single" w:color="000000" w:sz="8" w:space="0"/>
              <w:right w:val="nil"/>
            </w:tcBorders>
            <w:tcMar>
              <w:top w:w="0" w:type="dxa"/>
              <w:left w:w="0" w:type="dxa"/>
              <w:bottom w:w="0" w:type="dxa"/>
              <w:right w:w="0" w:type="dxa"/>
            </w:tcMar>
            <w:vAlign w:val="center"/>
          </w:tcPr>
          <w:p w14:paraId="05A3444D">
            <w:pPr>
              <w:pBdr>
                <w:top w:val="none" w:color="000000" w:sz="0" w:space="0"/>
                <w:left w:val="none" w:color="000000" w:sz="0" w:space="0"/>
                <w:bottom w:val="none" w:color="000000" w:sz="0" w:space="0"/>
                <w:right w:val="none" w:color="000000" w:sz="0" w:space="0"/>
              </w:pBdr>
              <w:spacing w:before="220" w:line="85" w:lineRule="atLeast"/>
              <w:rPr>
                <w:highlight w:val="none"/>
              </w:rPr>
            </w:pPr>
            <w:r>
              <w:rPr>
                <w:rFonts w:ascii="仿宋" w:hAnsi="仿宋" w:eastAsia="仿宋" w:cs="仿宋"/>
                <w:color w:val="000000"/>
                <w:sz w:val="24"/>
                <w:highlight w:val="none"/>
              </w:rPr>
              <w:t>项目名称：</w:t>
            </w:r>
          </w:p>
          <w:p w14:paraId="463D2967">
            <w:pPr>
              <w:pBdr>
                <w:top w:val="none" w:color="000000" w:sz="0" w:space="0"/>
                <w:left w:val="none" w:color="000000" w:sz="0" w:space="0"/>
                <w:bottom w:val="none" w:color="000000" w:sz="0" w:space="0"/>
                <w:right w:val="none" w:color="000000" w:sz="0" w:space="0"/>
              </w:pBdr>
              <w:spacing w:before="220" w:line="85" w:lineRule="atLeast"/>
              <w:rPr>
                <w:highlight w:val="none"/>
              </w:rPr>
            </w:pPr>
            <w:r>
              <w:rPr>
                <w:rFonts w:ascii="仿宋" w:hAnsi="仿宋" w:eastAsia="仿宋" w:cs="仿宋"/>
                <w:color w:val="000000"/>
                <w:sz w:val="24"/>
                <w:highlight w:val="none"/>
              </w:rPr>
              <w:t>项目编号：</w:t>
            </w:r>
          </w:p>
        </w:tc>
      </w:tr>
      <w:tr w14:paraId="22BA2C6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80" w:hRule="atLeast"/>
        </w:trPr>
        <w:tc>
          <w:tcPr>
            <w:tcW w:w="842"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43FFD9DD">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序号</w:t>
            </w:r>
          </w:p>
        </w:tc>
        <w:tc>
          <w:tcPr>
            <w:tcW w:w="1821"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696508CB">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竞争性磋商文件</w:t>
            </w:r>
          </w:p>
          <w:p w14:paraId="5D163033">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条目号</w:t>
            </w:r>
          </w:p>
        </w:tc>
        <w:tc>
          <w:tcPr>
            <w:tcW w:w="224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1F7563A7">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竞争性磋商文件要求的商务条款</w:t>
            </w:r>
          </w:p>
        </w:tc>
        <w:tc>
          <w:tcPr>
            <w:tcW w:w="140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4A7A7085">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参与投标的</w:t>
            </w:r>
          </w:p>
          <w:p w14:paraId="0F3B782A">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商务响应</w:t>
            </w:r>
          </w:p>
        </w:tc>
        <w:tc>
          <w:tcPr>
            <w:tcW w:w="1245"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18FB071B">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是否偏离</w:t>
            </w:r>
          </w:p>
        </w:tc>
        <w:tc>
          <w:tcPr>
            <w:tcW w:w="1447"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5F88F2F0">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供应商的承诺或说明</w:t>
            </w:r>
          </w:p>
        </w:tc>
      </w:tr>
      <w:tr w14:paraId="6FD78CF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80" w:hRule="atLeast"/>
        </w:trPr>
        <w:tc>
          <w:tcPr>
            <w:tcW w:w="842"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38F03BBB">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821"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15A46157">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2240"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03CA9AD8">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400"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49150A90">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245" w:type="dxa"/>
            <w:tcBorders>
              <w:top w:val="nil"/>
              <w:left w:val="single" w:color="000000" w:sz="8" w:space="0"/>
              <w:bottom w:val="single" w:color="000000" w:sz="8" w:space="0"/>
              <w:right w:val="single" w:color="000000" w:sz="8" w:space="0"/>
            </w:tcBorders>
            <w:tcMar>
              <w:top w:w="0" w:type="dxa"/>
              <w:left w:w="0" w:type="dxa"/>
              <w:bottom w:w="0" w:type="dxa"/>
              <w:right w:w="0" w:type="dxa"/>
            </w:tcMar>
          </w:tcPr>
          <w:p w14:paraId="51B6C0C4">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447"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11DFB272">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r>
      <w:tr w14:paraId="7D0E892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80" w:hRule="atLeast"/>
        </w:trPr>
        <w:tc>
          <w:tcPr>
            <w:tcW w:w="842"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64C336AE">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821"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3517B1E4">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2240"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361077D0">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400"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488F993C">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245" w:type="dxa"/>
            <w:tcBorders>
              <w:top w:val="nil"/>
              <w:left w:val="single" w:color="000000" w:sz="8" w:space="0"/>
              <w:bottom w:val="single" w:color="000000" w:sz="8" w:space="0"/>
              <w:right w:val="single" w:color="000000" w:sz="8" w:space="0"/>
            </w:tcBorders>
            <w:tcMar>
              <w:top w:w="0" w:type="dxa"/>
              <w:left w:w="0" w:type="dxa"/>
              <w:bottom w:w="0" w:type="dxa"/>
              <w:right w:w="0" w:type="dxa"/>
            </w:tcMar>
          </w:tcPr>
          <w:p w14:paraId="1A96C04B">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447"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13253FEA">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r>
      <w:tr w14:paraId="4ED7B3A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80" w:hRule="atLeast"/>
        </w:trPr>
        <w:tc>
          <w:tcPr>
            <w:tcW w:w="842"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2AFE747A">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821"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7BDCD6E1">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2240"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120B2950">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400"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45700E0F">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245" w:type="dxa"/>
            <w:tcBorders>
              <w:top w:val="nil"/>
              <w:left w:val="single" w:color="000000" w:sz="8" w:space="0"/>
              <w:bottom w:val="single" w:color="000000" w:sz="8" w:space="0"/>
              <w:right w:val="single" w:color="000000" w:sz="8" w:space="0"/>
            </w:tcBorders>
            <w:tcMar>
              <w:top w:w="0" w:type="dxa"/>
              <w:left w:w="0" w:type="dxa"/>
              <w:bottom w:w="0" w:type="dxa"/>
              <w:right w:w="0" w:type="dxa"/>
            </w:tcMar>
          </w:tcPr>
          <w:p w14:paraId="5D6BFFE6">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447"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5A8F0574">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r>
      <w:tr w14:paraId="3B005DB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80" w:hRule="atLeast"/>
        </w:trPr>
        <w:tc>
          <w:tcPr>
            <w:tcW w:w="842"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3DDE8497">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821"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30FF5F49">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2240"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40177775">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400"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29139FF3">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245" w:type="dxa"/>
            <w:tcBorders>
              <w:top w:val="nil"/>
              <w:left w:val="single" w:color="000000" w:sz="8" w:space="0"/>
              <w:bottom w:val="single" w:color="000000" w:sz="8" w:space="0"/>
              <w:right w:val="single" w:color="000000" w:sz="8" w:space="0"/>
            </w:tcBorders>
            <w:tcMar>
              <w:top w:w="0" w:type="dxa"/>
              <w:left w:w="0" w:type="dxa"/>
              <w:bottom w:w="0" w:type="dxa"/>
              <w:right w:w="0" w:type="dxa"/>
            </w:tcMar>
          </w:tcPr>
          <w:p w14:paraId="5574C614">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447"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737A9BD1">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r>
      <w:tr w14:paraId="0325AF7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80" w:hRule="atLeast"/>
        </w:trPr>
        <w:tc>
          <w:tcPr>
            <w:tcW w:w="842"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45213C44">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821"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48845E92">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2240"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00E20A21">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400"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323D8D4B">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245" w:type="dxa"/>
            <w:tcBorders>
              <w:top w:val="nil"/>
              <w:left w:val="single" w:color="000000" w:sz="8" w:space="0"/>
              <w:bottom w:val="single" w:color="000000" w:sz="8" w:space="0"/>
              <w:right w:val="single" w:color="000000" w:sz="8" w:space="0"/>
            </w:tcBorders>
            <w:tcMar>
              <w:top w:w="0" w:type="dxa"/>
              <w:left w:w="0" w:type="dxa"/>
              <w:bottom w:w="0" w:type="dxa"/>
              <w:right w:w="0" w:type="dxa"/>
            </w:tcMar>
          </w:tcPr>
          <w:p w14:paraId="474490B2">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447"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164541BA">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r>
      <w:tr w14:paraId="3FF1C34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80" w:hRule="atLeast"/>
        </w:trPr>
        <w:tc>
          <w:tcPr>
            <w:tcW w:w="842"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7BB80FA5">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821"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06D5BCCF">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2240"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1D815E0E">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400"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68580152">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245" w:type="dxa"/>
            <w:tcBorders>
              <w:top w:val="nil"/>
              <w:left w:val="single" w:color="000000" w:sz="8" w:space="0"/>
              <w:bottom w:val="single" w:color="000000" w:sz="8" w:space="0"/>
              <w:right w:val="single" w:color="000000" w:sz="8" w:space="0"/>
            </w:tcBorders>
            <w:tcMar>
              <w:top w:w="0" w:type="dxa"/>
              <w:left w:w="0" w:type="dxa"/>
              <w:bottom w:w="0" w:type="dxa"/>
              <w:right w:w="0" w:type="dxa"/>
            </w:tcMar>
          </w:tcPr>
          <w:p w14:paraId="51796E56">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447"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44ABBB08">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r>
      <w:tr w14:paraId="55CAF35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80" w:hRule="atLeast"/>
        </w:trPr>
        <w:tc>
          <w:tcPr>
            <w:tcW w:w="842" w:type="dxa"/>
            <w:tcBorders>
              <w:top w:val="nil"/>
              <w:left w:val="single" w:color="000000" w:sz="8" w:space="0"/>
              <w:bottom w:val="nil"/>
              <w:right w:val="single" w:color="000000" w:sz="8" w:space="0"/>
            </w:tcBorders>
            <w:tcMar>
              <w:top w:w="0" w:type="dxa"/>
              <w:left w:w="0" w:type="dxa"/>
              <w:bottom w:w="0" w:type="dxa"/>
              <w:right w:w="0" w:type="dxa"/>
            </w:tcMar>
            <w:vAlign w:val="center"/>
          </w:tcPr>
          <w:p w14:paraId="7CC94F73">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821" w:type="dxa"/>
            <w:tcBorders>
              <w:top w:val="nil"/>
              <w:left w:val="single" w:color="000000" w:sz="8" w:space="0"/>
              <w:bottom w:val="nil"/>
              <w:right w:val="single" w:color="000000" w:sz="8" w:space="0"/>
            </w:tcBorders>
            <w:tcMar>
              <w:top w:w="0" w:type="dxa"/>
              <w:left w:w="0" w:type="dxa"/>
              <w:bottom w:w="0" w:type="dxa"/>
              <w:right w:w="0" w:type="dxa"/>
            </w:tcMar>
            <w:vAlign w:val="center"/>
          </w:tcPr>
          <w:p w14:paraId="75ECF730">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2240" w:type="dxa"/>
            <w:tcBorders>
              <w:top w:val="nil"/>
              <w:left w:val="single" w:color="000000" w:sz="8" w:space="0"/>
              <w:bottom w:val="nil"/>
              <w:right w:val="single" w:color="000000" w:sz="8" w:space="0"/>
            </w:tcBorders>
            <w:tcMar>
              <w:top w:w="0" w:type="dxa"/>
              <w:left w:w="0" w:type="dxa"/>
              <w:bottom w:w="0" w:type="dxa"/>
              <w:right w:w="0" w:type="dxa"/>
            </w:tcMar>
            <w:vAlign w:val="center"/>
          </w:tcPr>
          <w:p w14:paraId="0603E395">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400" w:type="dxa"/>
            <w:tcBorders>
              <w:top w:val="nil"/>
              <w:left w:val="single" w:color="000000" w:sz="8" w:space="0"/>
              <w:bottom w:val="nil"/>
              <w:right w:val="single" w:color="000000" w:sz="8" w:space="0"/>
            </w:tcBorders>
            <w:tcMar>
              <w:top w:w="0" w:type="dxa"/>
              <w:left w:w="0" w:type="dxa"/>
              <w:bottom w:w="0" w:type="dxa"/>
              <w:right w:w="0" w:type="dxa"/>
            </w:tcMar>
            <w:vAlign w:val="center"/>
          </w:tcPr>
          <w:p w14:paraId="58E04594">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245" w:type="dxa"/>
            <w:tcBorders>
              <w:top w:val="nil"/>
              <w:left w:val="single" w:color="000000" w:sz="8" w:space="0"/>
              <w:bottom w:val="nil"/>
              <w:right w:val="single" w:color="000000" w:sz="8" w:space="0"/>
            </w:tcBorders>
            <w:tcMar>
              <w:top w:w="0" w:type="dxa"/>
              <w:left w:w="0" w:type="dxa"/>
              <w:bottom w:w="0" w:type="dxa"/>
              <w:right w:w="0" w:type="dxa"/>
            </w:tcMar>
          </w:tcPr>
          <w:p w14:paraId="6BE21637">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447" w:type="dxa"/>
            <w:tcBorders>
              <w:top w:val="nil"/>
              <w:left w:val="single" w:color="000000" w:sz="8" w:space="0"/>
              <w:bottom w:val="nil"/>
              <w:right w:val="single" w:color="000000" w:sz="8" w:space="0"/>
            </w:tcBorders>
            <w:tcMar>
              <w:top w:w="0" w:type="dxa"/>
              <w:left w:w="0" w:type="dxa"/>
              <w:bottom w:w="0" w:type="dxa"/>
              <w:right w:w="0" w:type="dxa"/>
            </w:tcMar>
            <w:vAlign w:val="center"/>
          </w:tcPr>
          <w:p w14:paraId="5EDF914D">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r>
      <w:tr w14:paraId="7F6D54B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80" w:hRule="atLeast"/>
        </w:trPr>
        <w:tc>
          <w:tcPr>
            <w:tcW w:w="842"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477420F4">
            <w:pPr>
              <w:pBdr>
                <w:top w:val="none" w:color="000000" w:sz="0" w:space="0"/>
                <w:left w:val="none" w:color="000000" w:sz="0" w:space="0"/>
                <w:bottom w:val="none" w:color="000000" w:sz="0" w:space="0"/>
                <w:right w:val="none" w:color="000000" w:sz="0" w:space="0"/>
              </w:pBdr>
              <w:spacing w:before="220" w:line="250" w:lineRule="atLeast"/>
              <w:jc w:val="center"/>
              <w:rPr>
                <w:rFonts w:ascii="仿宋" w:hAnsi="仿宋" w:eastAsia="仿宋" w:cs="仿宋"/>
                <w:color w:val="000000"/>
                <w:sz w:val="24"/>
                <w:highlight w:val="none"/>
              </w:rPr>
            </w:pPr>
          </w:p>
        </w:tc>
        <w:tc>
          <w:tcPr>
            <w:tcW w:w="1821"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56CE6934">
            <w:pPr>
              <w:pBdr>
                <w:top w:val="none" w:color="000000" w:sz="0" w:space="0"/>
                <w:left w:val="none" w:color="000000" w:sz="0" w:space="0"/>
                <w:bottom w:val="none" w:color="000000" w:sz="0" w:space="0"/>
                <w:right w:val="none" w:color="000000" w:sz="0" w:space="0"/>
              </w:pBdr>
              <w:spacing w:before="220" w:line="250" w:lineRule="atLeast"/>
              <w:jc w:val="center"/>
              <w:rPr>
                <w:rFonts w:ascii="仿宋" w:hAnsi="仿宋" w:eastAsia="仿宋" w:cs="仿宋"/>
                <w:color w:val="000000"/>
                <w:sz w:val="24"/>
                <w:highlight w:val="none"/>
              </w:rPr>
            </w:pPr>
          </w:p>
        </w:tc>
        <w:tc>
          <w:tcPr>
            <w:tcW w:w="2240"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3500519A">
            <w:pPr>
              <w:pBdr>
                <w:top w:val="none" w:color="000000" w:sz="0" w:space="0"/>
                <w:left w:val="none" w:color="000000" w:sz="0" w:space="0"/>
                <w:bottom w:val="none" w:color="000000" w:sz="0" w:space="0"/>
                <w:right w:val="none" w:color="000000" w:sz="0" w:space="0"/>
              </w:pBdr>
              <w:spacing w:before="220" w:line="250" w:lineRule="atLeast"/>
              <w:jc w:val="center"/>
              <w:rPr>
                <w:rFonts w:ascii="仿宋" w:hAnsi="仿宋" w:eastAsia="仿宋" w:cs="仿宋"/>
                <w:color w:val="000000"/>
                <w:sz w:val="24"/>
                <w:highlight w:val="none"/>
              </w:rPr>
            </w:pPr>
          </w:p>
        </w:tc>
        <w:tc>
          <w:tcPr>
            <w:tcW w:w="1400"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17517D4D">
            <w:pPr>
              <w:pBdr>
                <w:top w:val="none" w:color="000000" w:sz="0" w:space="0"/>
                <w:left w:val="none" w:color="000000" w:sz="0" w:space="0"/>
                <w:bottom w:val="none" w:color="000000" w:sz="0" w:space="0"/>
                <w:right w:val="none" w:color="000000" w:sz="0" w:space="0"/>
              </w:pBdr>
              <w:spacing w:before="220" w:line="250" w:lineRule="atLeast"/>
              <w:jc w:val="center"/>
              <w:rPr>
                <w:rFonts w:ascii="仿宋" w:hAnsi="仿宋" w:eastAsia="仿宋" w:cs="仿宋"/>
                <w:color w:val="000000"/>
                <w:sz w:val="24"/>
                <w:highlight w:val="none"/>
              </w:rPr>
            </w:pPr>
          </w:p>
        </w:tc>
        <w:tc>
          <w:tcPr>
            <w:tcW w:w="1245" w:type="dxa"/>
            <w:tcBorders>
              <w:top w:val="nil"/>
              <w:left w:val="single" w:color="000000" w:sz="8" w:space="0"/>
              <w:bottom w:val="single" w:color="000000" w:sz="8" w:space="0"/>
              <w:right w:val="single" w:color="000000" w:sz="8" w:space="0"/>
            </w:tcBorders>
            <w:tcMar>
              <w:top w:w="0" w:type="dxa"/>
              <w:left w:w="0" w:type="dxa"/>
              <w:bottom w:w="0" w:type="dxa"/>
              <w:right w:w="0" w:type="dxa"/>
            </w:tcMar>
          </w:tcPr>
          <w:p w14:paraId="1C628868">
            <w:pPr>
              <w:pBdr>
                <w:top w:val="none" w:color="000000" w:sz="0" w:space="0"/>
                <w:left w:val="none" w:color="000000" w:sz="0" w:space="0"/>
                <w:bottom w:val="none" w:color="000000" w:sz="0" w:space="0"/>
                <w:right w:val="none" w:color="000000" w:sz="0" w:space="0"/>
              </w:pBdr>
              <w:spacing w:before="220" w:line="250" w:lineRule="atLeast"/>
              <w:jc w:val="center"/>
              <w:rPr>
                <w:rFonts w:ascii="仿宋" w:hAnsi="仿宋" w:eastAsia="仿宋" w:cs="仿宋"/>
                <w:color w:val="000000"/>
                <w:sz w:val="24"/>
                <w:highlight w:val="none"/>
              </w:rPr>
            </w:pPr>
          </w:p>
        </w:tc>
        <w:tc>
          <w:tcPr>
            <w:tcW w:w="1447"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03571043">
            <w:pPr>
              <w:pBdr>
                <w:top w:val="none" w:color="000000" w:sz="0" w:space="0"/>
                <w:left w:val="none" w:color="000000" w:sz="0" w:space="0"/>
                <w:bottom w:val="none" w:color="000000" w:sz="0" w:space="0"/>
                <w:right w:val="none" w:color="000000" w:sz="0" w:space="0"/>
              </w:pBdr>
              <w:spacing w:before="220" w:line="250" w:lineRule="atLeast"/>
              <w:jc w:val="center"/>
              <w:rPr>
                <w:rFonts w:ascii="仿宋" w:hAnsi="仿宋" w:eastAsia="仿宋" w:cs="仿宋"/>
                <w:color w:val="000000"/>
                <w:sz w:val="24"/>
                <w:highlight w:val="none"/>
              </w:rPr>
            </w:pPr>
          </w:p>
        </w:tc>
      </w:tr>
    </w:tbl>
    <w:p w14:paraId="49C213A1">
      <w:pPr>
        <w:pBdr>
          <w:top w:val="none" w:color="000000" w:sz="0" w:space="0"/>
          <w:left w:val="none" w:color="000000" w:sz="0" w:space="0"/>
          <w:bottom w:val="none" w:color="000000" w:sz="0" w:space="0"/>
          <w:right w:val="none" w:color="000000" w:sz="0" w:space="0"/>
        </w:pBdr>
        <w:spacing w:before="220" w:line="85" w:lineRule="atLeast"/>
        <w:rPr>
          <w:rFonts w:ascii="仿宋" w:hAnsi="仿宋" w:eastAsia="仿宋" w:cs="仿宋"/>
          <w:color w:val="000000"/>
          <w:sz w:val="24"/>
          <w:highlight w:val="none"/>
        </w:rPr>
      </w:pPr>
      <w:r>
        <w:rPr>
          <w:rFonts w:ascii="仿宋" w:hAnsi="仿宋" w:eastAsia="仿宋" w:cs="仿宋"/>
          <w:color w:val="000000"/>
          <w:sz w:val="24"/>
          <w:highlight w:val="none"/>
        </w:rPr>
        <w:t>供应商名称：（加盖电子公章）</w:t>
      </w:r>
    </w:p>
    <w:p w14:paraId="31D5EC12">
      <w:pPr>
        <w:pBdr>
          <w:top w:val="none" w:color="000000" w:sz="0" w:space="0"/>
          <w:left w:val="none" w:color="000000" w:sz="0" w:space="0"/>
          <w:bottom w:val="none" w:color="000000" w:sz="0" w:space="0"/>
          <w:right w:val="none" w:color="000000" w:sz="0" w:space="0"/>
        </w:pBdr>
        <w:spacing w:before="220" w:line="85"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t>法人签字或盖章：</w:t>
      </w:r>
    </w:p>
    <w:p w14:paraId="65025BDD">
      <w:pPr>
        <w:pBdr>
          <w:top w:val="none" w:color="000000" w:sz="0" w:space="0"/>
          <w:left w:val="none" w:color="000000" w:sz="0" w:space="0"/>
          <w:bottom w:val="none" w:color="000000" w:sz="0" w:space="0"/>
          <w:right w:val="none" w:color="000000" w:sz="0" w:space="0"/>
        </w:pBdr>
        <w:spacing w:before="220" w:line="85" w:lineRule="atLeast"/>
        <w:rPr>
          <w:highlight w:val="none"/>
        </w:rPr>
      </w:pPr>
      <w:r>
        <w:rPr>
          <w:rFonts w:ascii="仿宋" w:hAnsi="仿宋" w:eastAsia="仿宋" w:cs="仿宋"/>
          <w:color w:val="000000"/>
          <w:sz w:val="24"/>
          <w:highlight w:val="none"/>
        </w:rPr>
        <w:t>说明：</w:t>
      </w:r>
    </w:p>
    <w:p w14:paraId="393CBB7C">
      <w:pPr>
        <w:numPr>
          <w:ilvl w:val="0"/>
          <w:numId w:val="8"/>
        </w:numPr>
        <w:pBdr>
          <w:top w:val="none" w:color="000000" w:sz="0" w:space="0"/>
          <w:left w:val="none" w:color="000000" w:sz="0" w:space="0"/>
          <w:bottom w:val="none" w:color="000000" w:sz="0" w:space="0"/>
          <w:right w:val="none" w:color="000000" w:sz="0" w:space="0"/>
        </w:pBdr>
        <w:spacing w:before="220" w:line="85" w:lineRule="atLeast"/>
      </w:pPr>
      <w:r>
        <w:rPr>
          <w:rFonts w:ascii="仿宋" w:hAnsi="仿宋" w:eastAsia="仿宋" w:cs="仿宋"/>
          <w:color w:val="000000"/>
          <w:sz w:val="24"/>
          <w:highlight w:val="none"/>
        </w:rPr>
        <w:t>如果行数不够，请自行增加。</w:t>
      </w:r>
    </w:p>
    <w:p w14:paraId="0BAA9CA5">
      <w:pPr>
        <w:numPr>
          <w:ilvl w:val="0"/>
          <w:numId w:val="8"/>
        </w:numPr>
        <w:ind w:left="0" w:leftChars="0" w:firstLine="0" w:firstLineChars="0"/>
        <w:jc w:val="left"/>
        <w:outlineLvl w:val="2"/>
        <w:rPr>
          <w:rFonts w:ascii="仿宋" w:hAnsi="仿宋" w:eastAsia="仿宋" w:cs="仿宋"/>
          <w:color w:val="000000"/>
          <w:sz w:val="24"/>
          <w:highlight w:val="none"/>
        </w:rPr>
      </w:pPr>
      <w:r>
        <w:rPr>
          <w:rFonts w:ascii="仿宋" w:hAnsi="仿宋" w:eastAsia="仿宋" w:cs="仿宋"/>
          <w:color w:val="000000"/>
          <w:sz w:val="24"/>
          <w:highlight w:val="none"/>
        </w:rPr>
        <w:t>供应商必须仔细阅读磋商文件所有条款，并对所有偏离的条目列入上表，未列入上表的视作供应商完全接受。</w:t>
      </w:r>
    </w:p>
    <w:p w14:paraId="791FD1DE">
      <w:pPr>
        <w:pStyle w:val="13"/>
        <w:numPr>
          <w:ilvl w:val="0"/>
          <w:numId w:val="0"/>
        </w:numPr>
        <w:ind w:leftChars="0"/>
        <w:rPr>
          <w:rFonts w:hint="default"/>
          <w:lang w:val="en-US" w:eastAsia="zh-CN"/>
        </w:rPr>
      </w:pPr>
    </w:p>
    <w:p w14:paraId="6465572C">
      <w:pPr>
        <w:pStyle w:val="13"/>
        <w:numPr>
          <w:ilvl w:val="0"/>
          <w:numId w:val="0"/>
        </w:numPr>
        <w:ind w:leftChars="0"/>
        <w:rPr>
          <w:rFonts w:hint="default"/>
          <w:lang w:val="en-US" w:eastAsia="zh-CN"/>
        </w:rPr>
      </w:pPr>
    </w:p>
    <w:p w14:paraId="41E39D24">
      <w:pPr>
        <w:pStyle w:val="13"/>
        <w:numPr>
          <w:ilvl w:val="0"/>
          <w:numId w:val="0"/>
        </w:numPr>
        <w:ind w:leftChars="0"/>
        <w:rPr>
          <w:rFonts w:hint="default"/>
          <w:lang w:val="en-US" w:eastAsia="zh-CN"/>
        </w:rPr>
      </w:pPr>
    </w:p>
    <w:p w14:paraId="1C66BD5A">
      <w:pPr>
        <w:pStyle w:val="13"/>
        <w:numPr>
          <w:ilvl w:val="0"/>
          <w:numId w:val="0"/>
        </w:numPr>
        <w:ind w:leftChars="0"/>
        <w:rPr>
          <w:rFonts w:hint="default"/>
          <w:lang w:val="en-US" w:eastAsia="zh-CN"/>
        </w:rPr>
      </w:pPr>
    </w:p>
    <w:p w14:paraId="2AA3F3D6">
      <w:pPr>
        <w:pStyle w:val="13"/>
        <w:numPr>
          <w:ilvl w:val="0"/>
          <w:numId w:val="0"/>
        </w:numPr>
        <w:ind w:leftChars="0"/>
        <w:rPr>
          <w:rFonts w:hint="default"/>
          <w:lang w:val="en-US" w:eastAsia="zh-CN"/>
        </w:rPr>
      </w:pPr>
    </w:p>
    <w:p w14:paraId="5EF98ECB">
      <w:pPr>
        <w:pStyle w:val="13"/>
        <w:numPr>
          <w:ilvl w:val="0"/>
          <w:numId w:val="0"/>
        </w:numPr>
        <w:ind w:leftChars="0"/>
        <w:rPr>
          <w:rFonts w:hint="default"/>
          <w:lang w:val="en-US" w:eastAsia="zh-CN"/>
        </w:rPr>
      </w:pPr>
    </w:p>
    <w:p w14:paraId="67AF5142">
      <w:pPr>
        <w:pStyle w:val="13"/>
        <w:numPr>
          <w:ilvl w:val="0"/>
          <w:numId w:val="0"/>
        </w:numPr>
        <w:ind w:leftChars="0"/>
        <w:rPr>
          <w:rFonts w:hint="default"/>
          <w:lang w:val="en-US" w:eastAsia="zh-CN"/>
        </w:rPr>
      </w:pPr>
    </w:p>
    <w:p w14:paraId="3F37340D">
      <w:pPr>
        <w:pStyle w:val="13"/>
        <w:numPr>
          <w:ilvl w:val="0"/>
          <w:numId w:val="0"/>
        </w:numPr>
        <w:ind w:leftChars="0"/>
        <w:rPr>
          <w:rFonts w:hint="default"/>
          <w:lang w:val="en-US" w:eastAsia="zh-CN"/>
        </w:rPr>
      </w:pPr>
    </w:p>
    <w:p w14:paraId="5B0E9E4B">
      <w:pPr>
        <w:pStyle w:val="13"/>
        <w:numPr>
          <w:ilvl w:val="0"/>
          <w:numId w:val="0"/>
        </w:numPr>
        <w:ind w:leftChars="0"/>
        <w:rPr>
          <w:rFonts w:hint="default"/>
          <w:lang w:val="en-US" w:eastAsia="zh-CN"/>
        </w:rPr>
      </w:pPr>
    </w:p>
    <w:p w14:paraId="1DB8DF7C">
      <w:pPr>
        <w:pStyle w:val="13"/>
        <w:numPr>
          <w:ilvl w:val="0"/>
          <w:numId w:val="0"/>
        </w:numPr>
        <w:ind w:leftChars="0"/>
        <w:rPr>
          <w:rFonts w:hint="default"/>
          <w:lang w:val="en-US" w:eastAsia="zh-CN"/>
        </w:rPr>
      </w:pPr>
    </w:p>
    <w:p w14:paraId="72559819">
      <w:pPr>
        <w:pStyle w:val="13"/>
        <w:numPr>
          <w:ilvl w:val="0"/>
          <w:numId w:val="0"/>
        </w:numPr>
        <w:ind w:leftChars="0"/>
        <w:rPr>
          <w:rFonts w:hint="default"/>
          <w:lang w:val="en-US" w:eastAsia="zh-CN"/>
        </w:rPr>
      </w:pPr>
    </w:p>
    <w:p w14:paraId="100216B9">
      <w:pPr>
        <w:pStyle w:val="13"/>
        <w:numPr>
          <w:ilvl w:val="0"/>
          <w:numId w:val="0"/>
        </w:numPr>
        <w:ind w:leftChars="0"/>
        <w:rPr>
          <w:rFonts w:hint="default"/>
          <w:lang w:val="en-US" w:eastAsia="zh-CN"/>
        </w:rPr>
      </w:pPr>
    </w:p>
    <w:p w14:paraId="59994AE1">
      <w:pPr>
        <w:pStyle w:val="13"/>
        <w:numPr>
          <w:ilvl w:val="0"/>
          <w:numId w:val="0"/>
        </w:numPr>
        <w:ind w:leftChars="0"/>
        <w:rPr>
          <w:rFonts w:hint="default"/>
          <w:lang w:val="en-US" w:eastAsia="zh-CN"/>
        </w:rPr>
      </w:pPr>
    </w:p>
    <w:p w14:paraId="3165A6E5">
      <w:pPr>
        <w:numPr>
          <w:ilvl w:val="0"/>
          <w:numId w:val="7"/>
        </w:numPr>
        <w:jc w:val="left"/>
        <w:outlineLvl w:val="2"/>
        <w:rPr>
          <w:rFonts w:hint="default" w:ascii="宋体" w:hAnsi="宋体" w:cs="宋体"/>
          <w:b/>
          <w:bCs/>
          <w:sz w:val="24"/>
          <w:highlight w:val="none"/>
          <w:lang w:val="en-US" w:eastAsia="zh-CN"/>
        </w:rPr>
      </w:pPr>
      <w:r>
        <w:rPr>
          <w:rFonts w:hint="eastAsia" w:ascii="宋体" w:hAnsi="宋体" w:cs="宋体"/>
          <w:b/>
          <w:bCs/>
          <w:sz w:val="24"/>
          <w:highlight w:val="none"/>
          <w:lang w:val="en-US" w:eastAsia="zh-CN"/>
        </w:rPr>
        <w:t>技术偏离表</w:t>
      </w:r>
    </w:p>
    <w:p w14:paraId="57A681F4">
      <w:pPr>
        <w:pBdr>
          <w:top w:val="none" w:color="000000" w:sz="0" w:space="0"/>
          <w:left w:val="none" w:color="000000" w:sz="0" w:space="0"/>
          <w:bottom w:val="none" w:color="000000" w:sz="0" w:space="0"/>
          <w:right w:val="none" w:color="000000" w:sz="0" w:space="0"/>
        </w:pBdr>
        <w:spacing w:before="220" w:line="85" w:lineRule="atLeast"/>
        <w:jc w:val="center"/>
        <w:rPr>
          <w:highlight w:val="none"/>
        </w:rPr>
      </w:pPr>
      <w:r>
        <w:rPr>
          <w:rFonts w:ascii="仿宋" w:hAnsi="仿宋" w:eastAsia="仿宋" w:cs="仿宋"/>
          <w:b/>
          <w:color w:val="000000"/>
          <w:sz w:val="24"/>
          <w:highlight w:val="none"/>
        </w:rPr>
        <w:t>技术条款偏离表</w:t>
      </w:r>
    </w:p>
    <w:tbl>
      <w:tblPr>
        <w:tblStyle w:val="3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860"/>
        <w:gridCol w:w="1681"/>
        <w:gridCol w:w="1996"/>
        <w:gridCol w:w="1225"/>
        <w:gridCol w:w="1400"/>
        <w:gridCol w:w="1837"/>
      </w:tblGrid>
      <w:tr w14:paraId="351E6B6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80" w:hRule="atLeast"/>
        </w:trPr>
        <w:tc>
          <w:tcPr>
            <w:tcW w:w="8999" w:type="dxa"/>
            <w:gridSpan w:val="6"/>
            <w:tcBorders>
              <w:top w:val="nil"/>
              <w:left w:val="nil"/>
              <w:bottom w:val="single" w:color="000000" w:sz="8" w:space="0"/>
              <w:right w:val="nil"/>
            </w:tcBorders>
            <w:tcMar>
              <w:top w:w="0" w:type="dxa"/>
              <w:left w:w="0" w:type="dxa"/>
              <w:bottom w:w="0" w:type="dxa"/>
              <w:right w:w="0" w:type="dxa"/>
            </w:tcMar>
            <w:vAlign w:val="center"/>
          </w:tcPr>
          <w:p w14:paraId="63CD3579">
            <w:pPr>
              <w:pBdr>
                <w:top w:val="none" w:color="000000" w:sz="0" w:space="0"/>
                <w:left w:val="none" w:color="000000" w:sz="0" w:space="0"/>
                <w:bottom w:val="none" w:color="000000" w:sz="0" w:space="0"/>
                <w:right w:val="none" w:color="000000" w:sz="0" w:space="0"/>
              </w:pBdr>
              <w:spacing w:before="220" w:line="85" w:lineRule="atLeast"/>
              <w:rPr>
                <w:highlight w:val="none"/>
              </w:rPr>
            </w:pPr>
            <w:r>
              <w:rPr>
                <w:rFonts w:ascii="仿宋" w:hAnsi="仿宋" w:eastAsia="仿宋" w:cs="仿宋"/>
                <w:color w:val="000000"/>
                <w:sz w:val="24"/>
                <w:highlight w:val="none"/>
              </w:rPr>
              <w:t>项目名称：</w:t>
            </w:r>
          </w:p>
          <w:p w14:paraId="1EFB1A1D">
            <w:pPr>
              <w:pBdr>
                <w:top w:val="none" w:color="000000" w:sz="0" w:space="0"/>
                <w:left w:val="none" w:color="000000" w:sz="0" w:space="0"/>
                <w:bottom w:val="none" w:color="000000" w:sz="0" w:space="0"/>
                <w:right w:val="none" w:color="000000" w:sz="0" w:space="0"/>
              </w:pBdr>
              <w:spacing w:before="220" w:line="85" w:lineRule="atLeast"/>
              <w:rPr>
                <w:highlight w:val="none"/>
              </w:rPr>
            </w:pPr>
            <w:r>
              <w:rPr>
                <w:rFonts w:ascii="仿宋" w:hAnsi="仿宋" w:eastAsia="仿宋" w:cs="仿宋"/>
                <w:color w:val="000000"/>
                <w:sz w:val="24"/>
                <w:highlight w:val="none"/>
              </w:rPr>
              <w:t>项目编号：</w:t>
            </w:r>
          </w:p>
        </w:tc>
      </w:tr>
      <w:tr w14:paraId="59281F9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80" w:hRule="atLeast"/>
        </w:trPr>
        <w:tc>
          <w:tcPr>
            <w:tcW w:w="860"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57F237E2">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序号</w:t>
            </w:r>
          </w:p>
        </w:tc>
        <w:tc>
          <w:tcPr>
            <w:tcW w:w="1681"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43562477">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竞争性磋商文件条目号</w:t>
            </w:r>
          </w:p>
        </w:tc>
        <w:tc>
          <w:tcPr>
            <w:tcW w:w="1996"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6BE7B8ED">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竞争性磋商文件的</w:t>
            </w:r>
          </w:p>
          <w:p w14:paraId="64E043B9">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要求规格</w:t>
            </w:r>
          </w:p>
        </w:tc>
        <w:tc>
          <w:tcPr>
            <w:tcW w:w="1225"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2785FF72">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参与投标的</w:t>
            </w:r>
          </w:p>
          <w:p w14:paraId="66E9A0D7">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技术响应</w:t>
            </w:r>
          </w:p>
        </w:tc>
        <w:tc>
          <w:tcPr>
            <w:tcW w:w="140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072E3434">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有无偏离</w:t>
            </w:r>
          </w:p>
        </w:tc>
        <w:tc>
          <w:tcPr>
            <w:tcW w:w="1836"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5FD084F3">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偏离内容及原因</w:t>
            </w:r>
          </w:p>
        </w:tc>
      </w:tr>
      <w:tr w14:paraId="3FA7166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80" w:hRule="atLeast"/>
        </w:trPr>
        <w:tc>
          <w:tcPr>
            <w:tcW w:w="860"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61BAC49F">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681" w:type="dxa"/>
            <w:tcBorders>
              <w:top w:val="nil"/>
              <w:left w:val="nil"/>
              <w:bottom w:val="single" w:color="000000" w:sz="8" w:space="0"/>
              <w:right w:val="single" w:color="000000" w:sz="8" w:space="0"/>
            </w:tcBorders>
            <w:tcMar>
              <w:top w:w="0" w:type="dxa"/>
              <w:left w:w="0" w:type="dxa"/>
              <w:bottom w:w="0" w:type="dxa"/>
              <w:right w:w="0" w:type="dxa"/>
            </w:tcMar>
            <w:vAlign w:val="center"/>
          </w:tcPr>
          <w:p w14:paraId="1B483B6B">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996" w:type="dxa"/>
            <w:tcBorders>
              <w:top w:val="nil"/>
              <w:left w:val="nil"/>
              <w:bottom w:val="single" w:color="000000" w:sz="8" w:space="0"/>
              <w:right w:val="single" w:color="000000" w:sz="8" w:space="0"/>
            </w:tcBorders>
            <w:tcMar>
              <w:top w:w="0" w:type="dxa"/>
              <w:left w:w="0" w:type="dxa"/>
              <w:bottom w:w="0" w:type="dxa"/>
              <w:right w:w="0" w:type="dxa"/>
            </w:tcMar>
            <w:vAlign w:val="center"/>
          </w:tcPr>
          <w:p w14:paraId="176C6D1D">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225" w:type="dxa"/>
            <w:tcBorders>
              <w:top w:val="nil"/>
              <w:left w:val="nil"/>
              <w:bottom w:val="single" w:color="000000" w:sz="8" w:space="0"/>
              <w:right w:val="single" w:color="000000" w:sz="8" w:space="0"/>
            </w:tcBorders>
            <w:tcMar>
              <w:top w:w="0" w:type="dxa"/>
              <w:left w:w="0" w:type="dxa"/>
              <w:bottom w:w="0" w:type="dxa"/>
              <w:right w:w="0" w:type="dxa"/>
            </w:tcMar>
            <w:vAlign w:val="center"/>
          </w:tcPr>
          <w:p w14:paraId="543CE194">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400" w:type="dxa"/>
            <w:tcBorders>
              <w:top w:val="nil"/>
              <w:left w:val="nil"/>
              <w:bottom w:val="single" w:color="000000" w:sz="8" w:space="0"/>
              <w:right w:val="single" w:color="000000" w:sz="8" w:space="0"/>
            </w:tcBorders>
            <w:tcMar>
              <w:top w:w="0" w:type="dxa"/>
              <w:left w:w="0" w:type="dxa"/>
              <w:bottom w:w="0" w:type="dxa"/>
              <w:right w:w="0" w:type="dxa"/>
            </w:tcMar>
          </w:tcPr>
          <w:p w14:paraId="5E833D22">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836" w:type="dxa"/>
            <w:tcBorders>
              <w:top w:val="nil"/>
              <w:left w:val="nil"/>
              <w:bottom w:val="single" w:color="000000" w:sz="8" w:space="0"/>
              <w:right w:val="single" w:color="000000" w:sz="8" w:space="0"/>
            </w:tcBorders>
            <w:tcMar>
              <w:top w:w="0" w:type="dxa"/>
              <w:left w:w="0" w:type="dxa"/>
              <w:bottom w:w="0" w:type="dxa"/>
              <w:right w:w="0" w:type="dxa"/>
            </w:tcMar>
            <w:vAlign w:val="center"/>
          </w:tcPr>
          <w:p w14:paraId="1FC3D07E">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r>
      <w:tr w14:paraId="1CD5D9D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80" w:hRule="atLeast"/>
        </w:trPr>
        <w:tc>
          <w:tcPr>
            <w:tcW w:w="860"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7540B576">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681" w:type="dxa"/>
            <w:tcBorders>
              <w:top w:val="nil"/>
              <w:left w:val="nil"/>
              <w:bottom w:val="single" w:color="000000" w:sz="8" w:space="0"/>
              <w:right w:val="single" w:color="000000" w:sz="8" w:space="0"/>
            </w:tcBorders>
            <w:tcMar>
              <w:top w:w="0" w:type="dxa"/>
              <w:left w:w="0" w:type="dxa"/>
              <w:bottom w:w="0" w:type="dxa"/>
              <w:right w:w="0" w:type="dxa"/>
            </w:tcMar>
            <w:vAlign w:val="center"/>
          </w:tcPr>
          <w:p w14:paraId="05A66399">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996" w:type="dxa"/>
            <w:tcBorders>
              <w:top w:val="nil"/>
              <w:left w:val="nil"/>
              <w:bottom w:val="single" w:color="000000" w:sz="8" w:space="0"/>
              <w:right w:val="single" w:color="000000" w:sz="8" w:space="0"/>
            </w:tcBorders>
            <w:tcMar>
              <w:top w:w="0" w:type="dxa"/>
              <w:left w:w="0" w:type="dxa"/>
              <w:bottom w:w="0" w:type="dxa"/>
              <w:right w:w="0" w:type="dxa"/>
            </w:tcMar>
            <w:vAlign w:val="center"/>
          </w:tcPr>
          <w:p w14:paraId="2F575469">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225" w:type="dxa"/>
            <w:tcBorders>
              <w:top w:val="nil"/>
              <w:left w:val="nil"/>
              <w:bottom w:val="single" w:color="000000" w:sz="8" w:space="0"/>
              <w:right w:val="single" w:color="000000" w:sz="8" w:space="0"/>
            </w:tcBorders>
            <w:tcMar>
              <w:top w:w="0" w:type="dxa"/>
              <w:left w:w="0" w:type="dxa"/>
              <w:bottom w:w="0" w:type="dxa"/>
              <w:right w:w="0" w:type="dxa"/>
            </w:tcMar>
            <w:vAlign w:val="center"/>
          </w:tcPr>
          <w:p w14:paraId="19AD9D0F">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400" w:type="dxa"/>
            <w:tcBorders>
              <w:top w:val="nil"/>
              <w:left w:val="nil"/>
              <w:bottom w:val="single" w:color="000000" w:sz="8" w:space="0"/>
              <w:right w:val="single" w:color="000000" w:sz="8" w:space="0"/>
            </w:tcBorders>
            <w:tcMar>
              <w:top w:w="0" w:type="dxa"/>
              <w:left w:w="0" w:type="dxa"/>
              <w:bottom w:w="0" w:type="dxa"/>
              <w:right w:w="0" w:type="dxa"/>
            </w:tcMar>
          </w:tcPr>
          <w:p w14:paraId="3BBA55EF">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836" w:type="dxa"/>
            <w:tcBorders>
              <w:top w:val="nil"/>
              <w:left w:val="nil"/>
              <w:bottom w:val="single" w:color="000000" w:sz="8" w:space="0"/>
              <w:right w:val="single" w:color="000000" w:sz="8" w:space="0"/>
            </w:tcBorders>
            <w:tcMar>
              <w:top w:w="0" w:type="dxa"/>
              <w:left w:w="0" w:type="dxa"/>
              <w:bottom w:w="0" w:type="dxa"/>
              <w:right w:w="0" w:type="dxa"/>
            </w:tcMar>
            <w:vAlign w:val="center"/>
          </w:tcPr>
          <w:p w14:paraId="6B45CC1B">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r>
      <w:tr w14:paraId="6DD86CE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80" w:hRule="atLeast"/>
        </w:trPr>
        <w:tc>
          <w:tcPr>
            <w:tcW w:w="860"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798F74EE">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681" w:type="dxa"/>
            <w:tcBorders>
              <w:top w:val="nil"/>
              <w:left w:val="nil"/>
              <w:bottom w:val="single" w:color="000000" w:sz="8" w:space="0"/>
              <w:right w:val="single" w:color="000000" w:sz="8" w:space="0"/>
            </w:tcBorders>
            <w:tcMar>
              <w:top w:w="0" w:type="dxa"/>
              <w:left w:w="0" w:type="dxa"/>
              <w:bottom w:w="0" w:type="dxa"/>
              <w:right w:w="0" w:type="dxa"/>
            </w:tcMar>
            <w:vAlign w:val="center"/>
          </w:tcPr>
          <w:p w14:paraId="5C9E9869">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996" w:type="dxa"/>
            <w:tcBorders>
              <w:top w:val="nil"/>
              <w:left w:val="nil"/>
              <w:bottom w:val="single" w:color="000000" w:sz="8" w:space="0"/>
              <w:right w:val="single" w:color="000000" w:sz="8" w:space="0"/>
            </w:tcBorders>
            <w:tcMar>
              <w:top w:w="0" w:type="dxa"/>
              <w:left w:w="0" w:type="dxa"/>
              <w:bottom w:w="0" w:type="dxa"/>
              <w:right w:w="0" w:type="dxa"/>
            </w:tcMar>
            <w:vAlign w:val="center"/>
          </w:tcPr>
          <w:p w14:paraId="0EB6CDE5">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225" w:type="dxa"/>
            <w:tcBorders>
              <w:top w:val="nil"/>
              <w:left w:val="nil"/>
              <w:bottom w:val="single" w:color="000000" w:sz="8" w:space="0"/>
              <w:right w:val="single" w:color="000000" w:sz="8" w:space="0"/>
            </w:tcBorders>
            <w:tcMar>
              <w:top w:w="0" w:type="dxa"/>
              <w:left w:w="0" w:type="dxa"/>
              <w:bottom w:w="0" w:type="dxa"/>
              <w:right w:w="0" w:type="dxa"/>
            </w:tcMar>
            <w:vAlign w:val="center"/>
          </w:tcPr>
          <w:p w14:paraId="3A2D3692">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400" w:type="dxa"/>
            <w:tcBorders>
              <w:top w:val="nil"/>
              <w:left w:val="nil"/>
              <w:bottom w:val="single" w:color="000000" w:sz="8" w:space="0"/>
              <w:right w:val="single" w:color="000000" w:sz="8" w:space="0"/>
            </w:tcBorders>
            <w:tcMar>
              <w:top w:w="0" w:type="dxa"/>
              <w:left w:w="0" w:type="dxa"/>
              <w:bottom w:w="0" w:type="dxa"/>
              <w:right w:w="0" w:type="dxa"/>
            </w:tcMar>
          </w:tcPr>
          <w:p w14:paraId="0DDC65B5">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836" w:type="dxa"/>
            <w:tcBorders>
              <w:top w:val="nil"/>
              <w:left w:val="nil"/>
              <w:bottom w:val="single" w:color="000000" w:sz="8" w:space="0"/>
              <w:right w:val="single" w:color="000000" w:sz="8" w:space="0"/>
            </w:tcBorders>
            <w:tcMar>
              <w:top w:w="0" w:type="dxa"/>
              <w:left w:w="0" w:type="dxa"/>
              <w:bottom w:w="0" w:type="dxa"/>
              <w:right w:w="0" w:type="dxa"/>
            </w:tcMar>
            <w:vAlign w:val="center"/>
          </w:tcPr>
          <w:p w14:paraId="4E56C864">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r>
      <w:tr w14:paraId="63083D2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80" w:hRule="atLeast"/>
        </w:trPr>
        <w:tc>
          <w:tcPr>
            <w:tcW w:w="860"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27A66BE5">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681" w:type="dxa"/>
            <w:tcBorders>
              <w:top w:val="nil"/>
              <w:left w:val="nil"/>
              <w:bottom w:val="single" w:color="000000" w:sz="8" w:space="0"/>
              <w:right w:val="single" w:color="000000" w:sz="8" w:space="0"/>
            </w:tcBorders>
            <w:tcMar>
              <w:top w:w="0" w:type="dxa"/>
              <w:left w:w="0" w:type="dxa"/>
              <w:bottom w:w="0" w:type="dxa"/>
              <w:right w:w="0" w:type="dxa"/>
            </w:tcMar>
            <w:vAlign w:val="center"/>
          </w:tcPr>
          <w:p w14:paraId="76D9128B">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996" w:type="dxa"/>
            <w:tcBorders>
              <w:top w:val="nil"/>
              <w:left w:val="nil"/>
              <w:bottom w:val="single" w:color="000000" w:sz="8" w:space="0"/>
              <w:right w:val="single" w:color="000000" w:sz="8" w:space="0"/>
            </w:tcBorders>
            <w:tcMar>
              <w:top w:w="0" w:type="dxa"/>
              <w:left w:w="0" w:type="dxa"/>
              <w:bottom w:w="0" w:type="dxa"/>
              <w:right w:w="0" w:type="dxa"/>
            </w:tcMar>
            <w:vAlign w:val="center"/>
          </w:tcPr>
          <w:p w14:paraId="509748EB">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225" w:type="dxa"/>
            <w:tcBorders>
              <w:top w:val="nil"/>
              <w:left w:val="nil"/>
              <w:bottom w:val="single" w:color="000000" w:sz="8" w:space="0"/>
              <w:right w:val="single" w:color="000000" w:sz="8" w:space="0"/>
            </w:tcBorders>
            <w:tcMar>
              <w:top w:w="0" w:type="dxa"/>
              <w:left w:w="0" w:type="dxa"/>
              <w:bottom w:w="0" w:type="dxa"/>
              <w:right w:w="0" w:type="dxa"/>
            </w:tcMar>
            <w:vAlign w:val="center"/>
          </w:tcPr>
          <w:p w14:paraId="4648EE30">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400" w:type="dxa"/>
            <w:tcBorders>
              <w:top w:val="nil"/>
              <w:left w:val="nil"/>
              <w:bottom w:val="single" w:color="000000" w:sz="8" w:space="0"/>
              <w:right w:val="single" w:color="000000" w:sz="8" w:space="0"/>
            </w:tcBorders>
            <w:tcMar>
              <w:top w:w="0" w:type="dxa"/>
              <w:left w:w="0" w:type="dxa"/>
              <w:bottom w:w="0" w:type="dxa"/>
              <w:right w:w="0" w:type="dxa"/>
            </w:tcMar>
          </w:tcPr>
          <w:p w14:paraId="2354124D">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836" w:type="dxa"/>
            <w:tcBorders>
              <w:top w:val="nil"/>
              <w:left w:val="nil"/>
              <w:bottom w:val="single" w:color="000000" w:sz="8" w:space="0"/>
              <w:right w:val="single" w:color="000000" w:sz="8" w:space="0"/>
            </w:tcBorders>
            <w:tcMar>
              <w:top w:w="0" w:type="dxa"/>
              <w:left w:w="0" w:type="dxa"/>
              <w:bottom w:w="0" w:type="dxa"/>
              <w:right w:w="0" w:type="dxa"/>
            </w:tcMar>
            <w:vAlign w:val="center"/>
          </w:tcPr>
          <w:p w14:paraId="7750ECEB">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r>
      <w:tr w14:paraId="6B586F9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80" w:hRule="atLeast"/>
        </w:trPr>
        <w:tc>
          <w:tcPr>
            <w:tcW w:w="860"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258166BC">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681" w:type="dxa"/>
            <w:tcBorders>
              <w:top w:val="nil"/>
              <w:left w:val="nil"/>
              <w:bottom w:val="single" w:color="000000" w:sz="8" w:space="0"/>
              <w:right w:val="single" w:color="000000" w:sz="8" w:space="0"/>
            </w:tcBorders>
            <w:tcMar>
              <w:top w:w="0" w:type="dxa"/>
              <w:left w:w="0" w:type="dxa"/>
              <w:bottom w:w="0" w:type="dxa"/>
              <w:right w:w="0" w:type="dxa"/>
            </w:tcMar>
            <w:vAlign w:val="center"/>
          </w:tcPr>
          <w:p w14:paraId="3A6FE5B6">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996" w:type="dxa"/>
            <w:tcBorders>
              <w:top w:val="nil"/>
              <w:left w:val="nil"/>
              <w:bottom w:val="single" w:color="000000" w:sz="8" w:space="0"/>
              <w:right w:val="single" w:color="000000" w:sz="8" w:space="0"/>
            </w:tcBorders>
            <w:tcMar>
              <w:top w:w="0" w:type="dxa"/>
              <w:left w:w="0" w:type="dxa"/>
              <w:bottom w:w="0" w:type="dxa"/>
              <w:right w:w="0" w:type="dxa"/>
            </w:tcMar>
            <w:vAlign w:val="center"/>
          </w:tcPr>
          <w:p w14:paraId="2C5D0896">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225" w:type="dxa"/>
            <w:tcBorders>
              <w:top w:val="nil"/>
              <w:left w:val="nil"/>
              <w:bottom w:val="single" w:color="000000" w:sz="8" w:space="0"/>
              <w:right w:val="single" w:color="000000" w:sz="8" w:space="0"/>
            </w:tcBorders>
            <w:tcMar>
              <w:top w:w="0" w:type="dxa"/>
              <w:left w:w="0" w:type="dxa"/>
              <w:bottom w:w="0" w:type="dxa"/>
              <w:right w:w="0" w:type="dxa"/>
            </w:tcMar>
            <w:vAlign w:val="center"/>
          </w:tcPr>
          <w:p w14:paraId="6E3592AA">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400" w:type="dxa"/>
            <w:tcBorders>
              <w:top w:val="nil"/>
              <w:left w:val="nil"/>
              <w:bottom w:val="single" w:color="000000" w:sz="8" w:space="0"/>
              <w:right w:val="single" w:color="000000" w:sz="8" w:space="0"/>
            </w:tcBorders>
            <w:tcMar>
              <w:top w:w="0" w:type="dxa"/>
              <w:left w:w="0" w:type="dxa"/>
              <w:bottom w:w="0" w:type="dxa"/>
              <w:right w:w="0" w:type="dxa"/>
            </w:tcMar>
          </w:tcPr>
          <w:p w14:paraId="5AC82327">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836" w:type="dxa"/>
            <w:tcBorders>
              <w:top w:val="nil"/>
              <w:left w:val="nil"/>
              <w:bottom w:val="single" w:color="000000" w:sz="8" w:space="0"/>
              <w:right w:val="single" w:color="000000" w:sz="8" w:space="0"/>
            </w:tcBorders>
            <w:tcMar>
              <w:top w:w="0" w:type="dxa"/>
              <w:left w:w="0" w:type="dxa"/>
              <w:bottom w:w="0" w:type="dxa"/>
              <w:right w:w="0" w:type="dxa"/>
            </w:tcMar>
            <w:vAlign w:val="center"/>
          </w:tcPr>
          <w:p w14:paraId="3D22CB75">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r>
      <w:tr w14:paraId="1FF9CF9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80" w:hRule="atLeast"/>
        </w:trPr>
        <w:tc>
          <w:tcPr>
            <w:tcW w:w="860"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5BE53343">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681" w:type="dxa"/>
            <w:tcBorders>
              <w:top w:val="nil"/>
              <w:left w:val="nil"/>
              <w:bottom w:val="single" w:color="000000" w:sz="8" w:space="0"/>
              <w:right w:val="single" w:color="000000" w:sz="8" w:space="0"/>
            </w:tcBorders>
            <w:tcMar>
              <w:top w:w="0" w:type="dxa"/>
              <w:left w:w="0" w:type="dxa"/>
              <w:bottom w:w="0" w:type="dxa"/>
              <w:right w:w="0" w:type="dxa"/>
            </w:tcMar>
            <w:vAlign w:val="center"/>
          </w:tcPr>
          <w:p w14:paraId="38309536">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996" w:type="dxa"/>
            <w:tcBorders>
              <w:top w:val="nil"/>
              <w:left w:val="nil"/>
              <w:bottom w:val="single" w:color="000000" w:sz="8" w:space="0"/>
              <w:right w:val="single" w:color="000000" w:sz="8" w:space="0"/>
            </w:tcBorders>
            <w:tcMar>
              <w:top w:w="0" w:type="dxa"/>
              <w:left w:w="0" w:type="dxa"/>
              <w:bottom w:w="0" w:type="dxa"/>
              <w:right w:w="0" w:type="dxa"/>
            </w:tcMar>
            <w:vAlign w:val="center"/>
          </w:tcPr>
          <w:p w14:paraId="17FA6B6B">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225" w:type="dxa"/>
            <w:tcBorders>
              <w:top w:val="nil"/>
              <w:left w:val="nil"/>
              <w:bottom w:val="single" w:color="000000" w:sz="8" w:space="0"/>
              <w:right w:val="single" w:color="000000" w:sz="8" w:space="0"/>
            </w:tcBorders>
            <w:tcMar>
              <w:top w:w="0" w:type="dxa"/>
              <w:left w:w="0" w:type="dxa"/>
              <w:bottom w:w="0" w:type="dxa"/>
              <w:right w:w="0" w:type="dxa"/>
            </w:tcMar>
            <w:vAlign w:val="center"/>
          </w:tcPr>
          <w:p w14:paraId="2DC89E90">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400" w:type="dxa"/>
            <w:tcBorders>
              <w:top w:val="nil"/>
              <w:left w:val="nil"/>
              <w:bottom w:val="single" w:color="000000" w:sz="8" w:space="0"/>
              <w:right w:val="single" w:color="000000" w:sz="8" w:space="0"/>
            </w:tcBorders>
            <w:tcMar>
              <w:top w:w="0" w:type="dxa"/>
              <w:left w:w="0" w:type="dxa"/>
              <w:bottom w:w="0" w:type="dxa"/>
              <w:right w:w="0" w:type="dxa"/>
            </w:tcMar>
          </w:tcPr>
          <w:p w14:paraId="5CECB401">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836" w:type="dxa"/>
            <w:tcBorders>
              <w:top w:val="nil"/>
              <w:left w:val="nil"/>
              <w:bottom w:val="single" w:color="000000" w:sz="8" w:space="0"/>
              <w:right w:val="single" w:color="000000" w:sz="8" w:space="0"/>
            </w:tcBorders>
            <w:tcMar>
              <w:top w:w="0" w:type="dxa"/>
              <w:left w:w="0" w:type="dxa"/>
              <w:bottom w:w="0" w:type="dxa"/>
              <w:right w:w="0" w:type="dxa"/>
            </w:tcMar>
            <w:vAlign w:val="center"/>
          </w:tcPr>
          <w:p w14:paraId="3892323C">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r>
    </w:tbl>
    <w:p w14:paraId="53C6FBA8">
      <w:pPr>
        <w:pBdr>
          <w:top w:val="none" w:color="000000" w:sz="0" w:space="0"/>
          <w:left w:val="none" w:color="000000" w:sz="0" w:space="0"/>
          <w:bottom w:val="none" w:color="000000" w:sz="0" w:space="0"/>
          <w:right w:val="none" w:color="000000" w:sz="0" w:space="0"/>
        </w:pBdr>
        <w:spacing w:before="220" w:line="85" w:lineRule="atLeast"/>
        <w:rPr>
          <w:highlight w:val="none"/>
        </w:rPr>
      </w:pPr>
      <w:r>
        <w:rPr>
          <w:rFonts w:ascii="仿宋" w:hAnsi="仿宋" w:eastAsia="仿宋" w:cs="仿宋"/>
          <w:color w:val="000000"/>
          <w:sz w:val="24"/>
          <w:highlight w:val="none"/>
        </w:rPr>
        <w:t> </w:t>
      </w:r>
    </w:p>
    <w:p w14:paraId="1F1E1F1C">
      <w:pPr>
        <w:pBdr>
          <w:top w:val="none" w:color="000000" w:sz="0" w:space="0"/>
          <w:left w:val="none" w:color="000000" w:sz="0" w:space="0"/>
          <w:bottom w:val="none" w:color="000000" w:sz="0" w:space="0"/>
          <w:right w:val="none" w:color="000000" w:sz="0" w:space="0"/>
        </w:pBdr>
        <w:spacing w:before="220" w:line="85" w:lineRule="atLeast"/>
        <w:rPr>
          <w:rFonts w:ascii="仿宋" w:hAnsi="仿宋" w:eastAsia="仿宋" w:cs="仿宋"/>
          <w:color w:val="000000"/>
          <w:sz w:val="24"/>
          <w:highlight w:val="none"/>
        </w:rPr>
      </w:pPr>
      <w:r>
        <w:rPr>
          <w:rFonts w:ascii="仿宋" w:hAnsi="仿宋" w:eastAsia="仿宋" w:cs="仿宋"/>
          <w:color w:val="000000"/>
          <w:sz w:val="24"/>
          <w:highlight w:val="none"/>
        </w:rPr>
        <w:t>供应商名称：（加盖电子公章）</w:t>
      </w:r>
    </w:p>
    <w:p w14:paraId="64F5B32F">
      <w:pPr>
        <w:pBdr>
          <w:top w:val="none" w:color="000000" w:sz="0" w:space="0"/>
          <w:left w:val="none" w:color="000000" w:sz="0" w:space="0"/>
          <w:bottom w:val="none" w:color="000000" w:sz="0" w:space="0"/>
          <w:right w:val="none" w:color="000000" w:sz="0" w:space="0"/>
        </w:pBdr>
        <w:spacing w:before="220" w:line="85" w:lineRule="atLeast"/>
        <w:rPr>
          <w:highlight w:val="none"/>
        </w:rPr>
      </w:pPr>
      <w:r>
        <w:rPr>
          <w:rFonts w:hint="eastAsia" w:ascii="仿宋" w:hAnsi="仿宋" w:eastAsia="仿宋" w:cs="仿宋"/>
          <w:color w:val="000000"/>
          <w:sz w:val="24"/>
          <w:highlight w:val="none"/>
        </w:rPr>
        <w:t>法人签字或盖章：</w:t>
      </w:r>
    </w:p>
    <w:p w14:paraId="7E7E857E">
      <w:pPr>
        <w:pBdr>
          <w:top w:val="none" w:color="000000" w:sz="0" w:space="0"/>
          <w:left w:val="none" w:color="000000" w:sz="0" w:space="0"/>
          <w:bottom w:val="none" w:color="000000" w:sz="0" w:space="0"/>
          <w:right w:val="none" w:color="000000" w:sz="0" w:space="0"/>
        </w:pBdr>
        <w:spacing w:before="220" w:line="85" w:lineRule="atLeast"/>
        <w:rPr>
          <w:highlight w:val="none"/>
        </w:rPr>
      </w:pPr>
      <w:r>
        <w:rPr>
          <w:rFonts w:ascii="仿宋" w:hAnsi="仿宋" w:eastAsia="仿宋" w:cs="仿宋"/>
          <w:color w:val="000000"/>
          <w:sz w:val="24"/>
          <w:highlight w:val="none"/>
        </w:rPr>
        <w:t>说明：</w:t>
      </w:r>
    </w:p>
    <w:p w14:paraId="37753E98">
      <w:pPr>
        <w:pBdr>
          <w:top w:val="none" w:color="000000" w:sz="0" w:space="0"/>
          <w:left w:val="none" w:color="000000" w:sz="0" w:space="0"/>
          <w:bottom w:val="none" w:color="000000" w:sz="0" w:space="0"/>
          <w:right w:val="none" w:color="000000" w:sz="0" w:space="0"/>
        </w:pBdr>
        <w:spacing w:before="220" w:line="85" w:lineRule="atLeast"/>
        <w:rPr>
          <w:highlight w:val="none"/>
        </w:rPr>
      </w:pPr>
      <w:r>
        <w:rPr>
          <w:rFonts w:ascii="仿宋" w:hAnsi="仿宋" w:eastAsia="仿宋" w:cs="仿宋"/>
          <w:color w:val="000000"/>
          <w:sz w:val="24"/>
          <w:highlight w:val="none"/>
        </w:rPr>
        <w:t>1、如果行数不够，请自行增加。</w:t>
      </w:r>
    </w:p>
    <w:p w14:paraId="5FE5393C">
      <w:pPr>
        <w:pBdr>
          <w:top w:val="none" w:color="000000" w:sz="0" w:space="0"/>
          <w:left w:val="none" w:color="000000" w:sz="0" w:space="0"/>
          <w:bottom w:val="none" w:color="000000" w:sz="0" w:space="0"/>
          <w:right w:val="none" w:color="000000" w:sz="0" w:space="0"/>
        </w:pBdr>
        <w:spacing w:before="220" w:line="85" w:lineRule="atLeast"/>
        <w:rPr>
          <w:highlight w:val="none"/>
        </w:rPr>
      </w:pPr>
      <w:r>
        <w:rPr>
          <w:rFonts w:ascii="仿宋" w:hAnsi="仿宋" w:eastAsia="仿宋" w:cs="仿宋"/>
          <w:color w:val="000000"/>
          <w:sz w:val="24"/>
          <w:highlight w:val="none"/>
        </w:rPr>
        <w:t>2、供应商必须仔细阅读磋商文件所有条款，并对所有偏离的条目列入上表，未列入上表的视作供应商完全接受。</w:t>
      </w:r>
    </w:p>
    <w:p w14:paraId="0C3BFEDD">
      <w:pPr>
        <w:pStyle w:val="13"/>
        <w:rPr>
          <w:rFonts w:hint="default"/>
          <w:lang w:val="en-US" w:eastAsia="zh-CN"/>
        </w:rPr>
      </w:pPr>
    </w:p>
    <w:p w14:paraId="665C7AA9">
      <w:pPr>
        <w:pStyle w:val="13"/>
        <w:rPr>
          <w:rFonts w:hint="default"/>
          <w:lang w:val="en-US" w:eastAsia="zh-CN"/>
        </w:rPr>
      </w:pPr>
    </w:p>
    <w:p w14:paraId="774B6A4E">
      <w:pPr>
        <w:pStyle w:val="13"/>
        <w:rPr>
          <w:rFonts w:hint="default"/>
          <w:lang w:val="en-US" w:eastAsia="zh-CN"/>
        </w:rPr>
      </w:pPr>
    </w:p>
    <w:p w14:paraId="41E6352D">
      <w:pPr>
        <w:pStyle w:val="13"/>
        <w:rPr>
          <w:rFonts w:hint="default"/>
          <w:lang w:val="en-US" w:eastAsia="zh-CN"/>
        </w:rPr>
      </w:pPr>
    </w:p>
    <w:p w14:paraId="1D3094A6">
      <w:pPr>
        <w:pStyle w:val="13"/>
        <w:rPr>
          <w:rFonts w:hint="default"/>
          <w:lang w:val="en-US" w:eastAsia="zh-CN"/>
        </w:rPr>
      </w:pPr>
    </w:p>
    <w:p w14:paraId="0A7729A1">
      <w:pPr>
        <w:pStyle w:val="13"/>
        <w:rPr>
          <w:rFonts w:hint="default"/>
          <w:lang w:val="en-US" w:eastAsia="zh-CN"/>
        </w:rPr>
      </w:pPr>
    </w:p>
    <w:p w14:paraId="3FD00A25">
      <w:pPr>
        <w:pStyle w:val="13"/>
        <w:rPr>
          <w:rFonts w:hint="default"/>
          <w:lang w:val="en-US" w:eastAsia="zh-CN"/>
        </w:rPr>
      </w:pPr>
    </w:p>
    <w:p w14:paraId="38A4FBF1">
      <w:pPr>
        <w:pStyle w:val="13"/>
        <w:rPr>
          <w:rFonts w:hint="default"/>
          <w:lang w:val="en-US" w:eastAsia="zh-CN"/>
        </w:rPr>
      </w:pPr>
    </w:p>
    <w:p w14:paraId="4ACD1209">
      <w:pPr>
        <w:pStyle w:val="13"/>
        <w:rPr>
          <w:rFonts w:hint="default"/>
          <w:lang w:val="en-US" w:eastAsia="zh-CN"/>
        </w:rPr>
      </w:pPr>
    </w:p>
    <w:p w14:paraId="410819DA">
      <w:pPr>
        <w:pStyle w:val="13"/>
        <w:rPr>
          <w:rFonts w:hint="default"/>
          <w:lang w:val="en-US" w:eastAsia="zh-CN"/>
        </w:rPr>
      </w:pPr>
    </w:p>
    <w:p w14:paraId="74C730A0">
      <w:pPr>
        <w:pStyle w:val="13"/>
        <w:rPr>
          <w:rFonts w:hint="default"/>
          <w:lang w:val="en-US" w:eastAsia="zh-CN"/>
        </w:rPr>
      </w:pPr>
    </w:p>
    <w:p w14:paraId="7CF0096A">
      <w:pPr>
        <w:pStyle w:val="13"/>
        <w:rPr>
          <w:rFonts w:hint="default"/>
          <w:lang w:val="en-US" w:eastAsia="zh-CN"/>
        </w:rPr>
      </w:pPr>
    </w:p>
    <w:p w14:paraId="234BDD74">
      <w:pPr>
        <w:pStyle w:val="13"/>
        <w:rPr>
          <w:rFonts w:hint="default"/>
          <w:lang w:val="en-US" w:eastAsia="zh-CN"/>
        </w:rPr>
      </w:pPr>
    </w:p>
    <w:p w14:paraId="201F4C6D">
      <w:pPr>
        <w:jc w:val="left"/>
        <w:outlineLvl w:val="2"/>
        <w:rPr>
          <w:rFonts w:hint="eastAsia" w:ascii="宋体" w:hAnsi="宋体" w:cs="宋体"/>
          <w:b/>
          <w:bCs/>
          <w:sz w:val="24"/>
          <w:highlight w:val="none"/>
          <w:lang w:val="en-US" w:eastAsia="zh-CN"/>
        </w:rPr>
      </w:pPr>
      <w:bookmarkStart w:id="439" w:name="_Toc13135"/>
      <w:r>
        <w:rPr>
          <w:rFonts w:hint="eastAsia" w:ascii="宋体" w:hAnsi="宋体" w:cs="宋体"/>
          <w:b/>
          <w:bCs/>
          <w:sz w:val="24"/>
          <w:highlight w:val="none"/>
          <w:lang w:val="en-US" w:eastAsia="zh-CN"/>
        </w:rPr>
        <w:t>七、</w:t>
      </w:r>
      <w:r>
        <w:rPr>
          <w:rFonts w:hint="eastAsia" w:ascii="宋体" w:hAnsi="宋体" w:cs="宋体"/>
          <w:b/>
          <w:bCs/>
          <w:sz w:val="24"/>
          <w:highlight w:val="none"/>
          <w:lang w:val="zh-CN" w:eastAsia="zh-CN"/>
        </w:rPr>
        <w:t>供应商认为需要提供的其他证明文件和商务资料</w:t>
      </w:r>
      <w:bookmarkEnd w:id="439"/>
    </w:p>
    <w:p w14:paraId="4825A334">
      <w:pPr>
        <w:rPr>
          <w:rFonts w:ascii="宋体" w:hAnsi="宋体" w:cs="宋体"/>
          <w:b/>
          <w:szCs w:val="21"/>
          <w:highlight w:val="none"/>
        </w:rPr>
      </w:pPr>
    </w:p>
    <w:p w14:paraId="622723E1">
      <w:pPr>
        <w:keepNext w:val="0"/>
        <w:keepLines w:val="0"/>
        <w:pageBreakBefore w:val="0"/>
        <w:widowControl w:val="0"/>
        <w:spacing w:line="360" w:lineRule="auto"/>
        <w:outlineLvl w:val="1"/>
        <w:rPr>
          <w:rFonts w:ascii="宋体" w:hAnsi="宋体" w:cs="宋体"/>
          <w:b/>
          <w:sz w:val="24"/>
          <w:szCs w:val="24"/>
          <w:highlight w:val="none"/>
        </w:rPr>
      </w:pPr>
      <w:r>
        <w:rPr>
          <w:rFonts w:hint="eastAsia" w:ascii="宋体" w:hAnsi="宋体" w:cs="宋体"/>
          <w:b/>
          <w:szCs w:val="21"/>
          <w:highlight w:val="none"/>
        </w:rPr>
        <w:br w:type="page" w:clear="all"/>
      </w:r>
      <w:bookmarkStart w:id="440" w:name="_Toc4452"/>
      <w:bookmarkStart w:id="441" w:name="_Toc23936"/>
      <w:bookmarkStart w:id="442" w:name="_Toc6565"/>
      <w:bookmarkStart w:id="443" w:name="_Toc19350"/>
      <w:bookmarkStart w:id="444" w:name="_Toc9582"/>
      <w:bookmarkStart w:id="445" w:name="_Toc6301"/>
      <w:bookmarkStart w:id="446" w:name="_Toc9226"/>
      <w:bookmarkStart w:id="447" w:name="_Toc9496"/>
      <w:bookmarkStart w:id="448" w:name="_Toc10030"/>
      <w:bookmarkStart w:id="449" w:name="_Toc14403"/>
      <w:bookmarkStart w:id="450" w:name="_Toc25007"/>
      <w:bookmarkStart w:id="451" w:name="_Toc19556"/>
      <w:bookmarkStart w:id="452" w:name="_Toc3203"/>
      <w:r>
        <w:rPr>
          <w:rFonts w:hint="eastAsia" w:ascii="宋体" w:hAnsi="宋体" w:cs="宋体"/>
          <w:b/>
          <w:sz w:val="24"/>
          <w:szCs w:val="24"/>
          <w:highlight w:val="none"/>
        </w:rPr>
        <w:t>价格部分</w:t>
      </w:r>
      <w:bookmarkEnd w:id="440"/>
      <w:bookmarkEnd w:id="441"/>
      <w:bookmarkEnd w:id="442"/>
      <w:bookmarkEnd w:id="443"/>
      <w:bookmarkEnd w:id="444"/>
      <w:bookmarkEnd w:id="445"/>
      <w:bookmarkEnd w:id="446"/>
      <w:bookmarkEnd w:id="447"/>
      <w:bookmarkEnd w:id="448"/>
      <w:bookmarkEnd w:id="449"/>
      <w:bookmarkEnd w:id="450"/>
      <w:bookmarkEnd w:id="451"/>
      <w:bookmarkEnd w:id="452"/>
    </w:p>
    <w:p w14:paraId="57B3B348">
      <w:pPr>
        <w:keepNext w:val="0"/>
        <w:keepLines w:val="0"/>
        <w:pageBreakBefore w:val="0"/>
        <w:widowControl w:val="0"/>
        <w:spacing w:line="360" w:lineRule="auto"/>
        <w:outlineLvl w:val="2"/>
        <w:rPr>
          <w:rFonts w:ascii="宋体" w:hAnsi="宋体" w:cs="宋体"/>
          <w:b/>
          <w:sz w:val="24"/>
          <w:szCs w:val="24"/>
          <w:highlight w:val="none"/>
        </w:rPr>
      </w:pPr>
      <w:bookmarkStart w:id="453" w:name="_Toc8118"/>
      <w:bookmarkStart w:id="454" w:name="_Toc154"/>
      <w:bookmarkStart w:id="455" w:name="_Toc4088"/>
      <w:bookmarkStart w:id="456" w:name="_Toc24859"/>
      <w:bookmarkStart w:id="457" w:name="_Toc14449"/>
      <w:bookmarkStart w:id="458" w:name="_Toc6929"/>
      <w:bookmarkStart w:id="459" w:name="_Toc13601"/>
      <w:bookmarkStart w:id="460" w:name="_Toc5542"/>
      <w:bookmarkStart w:id="461" w:name="_Toc32062"/>
      <w:bookmarkStart w:id="462" w:name="_Toc26392"/>
      <w:bookmarkStart w:id="463" w:name="_Toc626"/>
      <w:bookmarkStart w:id="464" w:name="_Toc25792"/>
      <w:bookmarkStart w:id="465" w:name="_Toc19727"/>
      <w:r>
        <w:rPr>
          <w:rFonts w:hint="eastAsia" w:ascii="宋体" w:hAnsi="宋体" w:cs="宋体"/>
          <w:b/>
          <w:sz w:val="24"/>
          <w:szCs w:val="24"/>
          <w:highlight w:val="none"/>
        </w:rPr>
        <w:t>一、磋商报价表</w:t>
      </w:r>
      <w:bookmarkEnd w:id="403"/>
      <w:bookmarkEnd w:id="404"/>
      <w:bookmarkEnd w:id="405"/>
      <w:bookmarkEnd w:id="406"/>
      <w:bookmarkEnd w:id="407"/>
      <w:bookmarkEnd w:id="408"/>
      <w:bookmarkEnd w:id="409"/>
      <w:bookmarkEnd w:id="453"/>
      <w:bookmarkEnd w:id="454"/>
      <w:bookmarkEnd w:id="455"/>
      <w:bookmarkEnd w:id="456"/>
      <w:bookmarkEnd w:id="457"/>
      <w:bookmarkEnd w:id="458"/>
      <w:bookmarkEnd w:id="459"/>
      <w:bookmarkEnd w:id="460"/>
      <w:bookmarkEnd w:id="461"/>
      <w:bookmarkEnd w:id="462"/>
      <w:bookmarkEnd w:id="463"/>
      <w:bookmarkEnd w:id="464"/>
      <w:bookmarkEnd w:id="465"/>
    </w:p>
    <w:p w14:paraId="7531C5E7">
      <w:pPr>
        <w:keepNext w:val="0"/>
        <w:keepLines w:val="0"/>
        <w:pageBreakBefore w:val="0"/>
        <w:widowControl w:val="0"/>
        <w:spacing w:line="360" w:lineRule="auto"/>
        <w:ind w:firstLine="241"/>
        <w:jc w:val="center"/>
        <w:rPr>
          <w:rFonts w:hint="eastAsia" w:ascii="宋体" w:hAnsi="宋体" w:eastAsia="宋体" w:cs="宋体"/>
          <w:b/>
          <w:sz w:val="24"/>
          <w:szCs w:val="24"/>
          <w:highlight w:val="none"/>
          <w:lang w:val="en-US" w:eastAsia="zh-CN"/>
        </w:rPr>
      </w:pPr>
      <w:r>
        <w:rPr>
          <w:rFonts w:hint="eastAsia" w:ascii="宋体" w:hAnsi="宋体" w:cs="宋体"/>
          <w:b/>
          <w:sz w:val="24"/>
          <w:szCs w:val="24"/>
          <w:highlight w:val="none"/>
        </w:rPr>
        <w:t>磋商报价</w:t>
      </w:r>
      <w:r>
        <w:rPr>
          <w:rFonts w:hint="eastAsia" w:ascii="宋体" w:hAnsi="宋体" w:cs="宋体"/>
          <w:b/>
          <w:sz w:val="24"/>
          <w:szCs w:val="24"/>
          <w:highlight w:val="none"/>
          <w:lang w:val="en-US" w:eastAsia="zh-CN"/>
        </w:rPr>
        <w:t>表</w:t>
      </w:r>
    </w:p>
    <w:p w14:paraId="6762607F">
      <w:pPr>
        <w:pStyle w:val="36"/>
        <w:keepNext w:val="0"/>
        <w:keepLines w:val="0"/>
        <w:widowControl/>
        <w:suppressLineNumbers w:val="0"/>
      </w:pPr>
      <w:r>
        <w:t>本次为首次报价                                  货币单位：人民币元</w:t>
      </w:r>
    </w:p>
    <w:p w14:paraId="20E67B07">
      <w:pPr>
        <w:pStyle w:val="36"/>
        <w:keepNext w:val="0"/>
        <w:keepLines w:val="0"/>
        <w:widowControl/>
        <w:suppressLineNumbers w:val="0"/>
      </w:pPr>
      <w:r>
        <w:t>项目编号：项目编号 </w:t>
      </w:r>
    </w:p>
    <w:tbl>
      <w:tblPr>
        <w:tblStyle w:val="38"/>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top w:w="15" w:type="dxa"/>
          <w:left w:w="15" w:type="dxa"/>
          <w:bottom w:w="15" w:type="dxa"/>
          <w:right w:w="15" w:type="dxa"/>
        </w:tblCellMar>
      </w:tblPr>
      <w:tblGrid>
        <w:gridCol w:w="2719"/>
        <w:gridCol w:w="2591"/>
        <w:gridCol w:w="3882"/>
      </w:tblGrid>
      <w:tr w14:paraId="48764A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15" w:type="dxa"/>
            <w:left w:w="15" w:type="dxa"/>
            <w:bottom w:w="15" w:type="dxa"/>
            <w:right w:w="15" w:type="dxa"/>
          </w:tblCellMar>
        </w:tblPrEx>
        <w:trPr>
          <w:tblCellSpacing w:w="15" w:type="dxa"/>
        </w:trPr>
        <w:tc>
          <w:tcPr>
            <w:tcW w:w="3330" w:type="dxa"/>
            <w:shd w:val="clear" w:color="auto" w:fill="auto"/>
            <w:noWrap w:val="0"/>
            <w:vAlign w:val="center"/>
          </w:tcPr>
          <w:p w14:paraId="4D349CE0">
            <w:pPr>
              <w:pStyle w:val="36"/>
              <w:keepNext w:val="0"/>
              <w:keepLines w:val="0"/>
              <w:widowControl/>
              <w:suppressLineNumbers w:val="0"/>
            </w:pPr>
            <w:r>
              <w:t>项目名称</w:t>
            </w:r>
          </w:p>
        </w:tc>
        <w:tc>
          <w:tcPr>
            <w:tcW w:w="3345" w:type="dxa"/>
            <w:shd w:val="clear" w:color="auto" w:fill="auto"/>
            <w:noWrap w:val="0"/>
            <w:vAlign w:val="center"/>
          </w:tcPr>
          <w:p w14:paraId="2B8C1CA9">
            <w:pPr>
              <w:pStyle w:val="36"/>
              <w:keepNext w:val="0"/>
              <w:keepLines w:val="0"/>
              <w:widowControl/>
              <w:suppressLineNumbers w:val="0"/>
            </w:pPr>
            <w:r>
              <w:t>项目内容</w:t>
            </w:r>
          </w:p>
        </w:tc>
        <w:tc>
          <w:tcPr>
            <w:tcW w:w="4980" w:type="dxa"/>
            <w:shd w:val="clear" w:color="auto" w:fill="auto"/>
            <w:noWrap w:val="0"/>
            <w:vAlign w:val="center"/>
          </w:tcPr>
          <w:p w14:paraId="7AFE9401">
            <w:pPr>
              <w:pStyle w:val="36"/>
              <w:keepNext w:val="0"/>
              <w:keepLines w:val="0"/>
              <w:widowControl/>
              <w:suppressLineNumbers w:val="0"/>
            </w:pPr>
            <w:r>
              <w:t>总价（小写）</w:t>
            </w:r>
          </w:p>
        </w:tc>
      </w:tr>
      <w:tr w14:paraId="6D7E19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15" w:type="dxa"/>
            <w:left w:w="15" w:type="dxa"/>
            <w:bottom w:w="15" w:type="dxa"/>
            <w:right w:w="15" w:type="dxa"/>
          </w:tblCellMar>
        </w:tblPrEx>
        <w:trPr>
          <w:tblCellSpacing w:w="15" w:type="dxa"/>
        </w:trPr>
        <w:tc>
          <w:tcPr>
            <w:tcW w:w="3330" w:type="dxa"/>
            <w:shd w:val="clear" w:color="auto" w:fill="auto"/>
            <w:noWrap w:val="0"/>
            <w:vAlign w:val="center"/>
          </w:tcPr>
          <w:p w14:paraId="060D812B">
            <w:pPr>
              <w:pStyle w:val="36"/>
              <w:keepNext w:val="0"/>
              <w:keepLines w:val="0"/>
              <w:widowControl/>
              <w:suppressLineNumbers w:val="0"/>
            </w:pPr>
            <w:r>
              <w:t> 项目名称 </w:t>
            </w:r>
          </w:p>
        </w:tc>
        <w:tc>
          <w:tcPr>
            <w:tcW w:w="3345" w:type="dxa"/>
            <w:shd w:val="clear" w:color="auto" w:fill="auto"/>
            <w:noWrap w:val="0"/>
            <w:vAlign w:val="center"/>
          </w:tcPr>
          <w:p w14:paraId="12BBFEDA">
            <w:pPr>
              <w:pStyle w:val="36"/>
              <w:keepNext w:val="0"/>
              <w:keepLines w:val="0"/>
              <w:widowControl/>
              <w:suppressLineNumbers w:val="0"/>
            </w:pPr>
            <w:r>
              <w:t>详见响应文件</w:t>
            </w:r>
          </w:p>
        </w:tc>
        <w:tc>
          <w:tcPr>
            <w:tcW w:w="4980" w:type="dxa"/>
            <w:shd w:val="clear" w:color="auto" w:fill="auto"/>
            <w:noWrap w:val="0"/>
            <w:vAlign w:val="center"/>
          </w:tcPr>
          <w:p w14:paraId="0F1C71F4">
            <w:pPr>
              <w:pStyle w:val="36"/>
              <w:keepNext w:val="0"/>
              <w:keepLines w:val="0"/>
              <w:widowControl/>
              <w:suppressLineNumbers w:val="0"/>
            </w:pPr>
            <w:r>
              <w:t>  元</w:t>
            </w:r>
          </w:p>
        </w:tc>
      </w:tr>
      <w:tr w14:paraId="48E8BC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15" w:type="dxa"/>
            <w:left w:w="15" w:type="dxa"/>
            <w:bottom w:w="15" w:type="dxa"/>
            <w:right w:w="15" w:type="dxa"/>
          </w:tblCellMar>
        </w:tblPrEx>
        <w:trPr>
          <w:trHeight w:val="681" w:hRule="atLeast"/>
          <w:tblCellSpacing w:w="15" w:type="dxa"/>
        </w:trPr>
        <w:tc>
          <w:tcPr>
            <w:tcW w:w="3330" w:type="dxa"/>
            <w:shd w:val="clear" w:color="auto" w:fill="auto"/>
            <w:noWrap w:val="0"/>
            <w:vAlign w:val="center"/>
          </w:tcPr>
          <w:p w14:paraId="5AD61FD0">
            <w:pPr>
              <w:pStyle w:val="36"/>
              <w:keepNext w:val="0"/>
              <w:keepLines w:val="0"/>
              <w:widowControl/>
              <w:suppressLineNumbers w:val="0"/>
            </w:pPr>
            <w:r>
              <w:t>总价（大写）：</w:t>
            </w:r>
          </w:p>
        </w:tc>
        <w:tc>
          <w:tcPr>
            <w:tcW w:w="8340" w:type="dxa"/>
            <w:gridSpan w:val="2"/>
            <w:shd w:val="clear" w:color="auto" w:fill="auto"/>
            <w:noWrap w:val="0"/>
            <w:vAlign w:val="center"/>
          </w:tcPr>
          <w:p w14:paraId="1A6B8205">
            <w:pPr>
              <w:pStyle w:val="36"/>
              <w:keepNext w:val="0"/>
              <w:keepLines w:val="0"/>
              <w:widowControl/>
              <w:suppressLineNumbers w:val="0"/>
            </w:pPr>
            <w:r>
              <w:t>金额大写 </w:t>
            </w:r>
          </w:p>
        </w:tc>
      </w:tr>
    </w:tbl>
    <w:p w14:paraId="436F680B">
      <w:pPr>
        <w:pStyle w:val="36"/>
        <w:keepNext w:val="0"/>
        <w:keepLines w:val="0"/>
        <w:widowControl/>
        <w:suppressLineNumbers w:val="0"/>
      </w:pPr>
      <w:r>
        <w:t>报价说明：</w:t>
      </w:r>
    </w:p>
    <w:p w14:paraId="0AEFDB62">
      <w:pPr>
        <w:pStyle w:val="36"/>
        <w:keepNext w:val="0"/>
        <w:keepLines w:val="0"/>
        <w:widowControl/>
        <w:suppressLineNumbers w:val="0"/>
      </w:pPr>
      <w:r>
        <w:t>1、报价包括完成项目的所有费用。采购人不再支付报价以外的任何费用。</w:t>
      </w:r>
    </w:p>
    <w:p w14:paraId="6A7F79D2">
      <w:pPr>
        <w:pStyle w:val="36"/>
        <w:keepNext w:val="0"/>
        <w:keepLines w:val="0"/>
        <w:widowControl/>
        <w:suppressLineNumbers w:val="0"/>
      </w:pPr>
      <w:r>
        <w:t>2、报价以总价为准，大小写不一致以大写为准；</w:t>
      </w:r>
    </w:p>
    <w:p w14:paraId="40D862F9">
      <w:pPr>
        <w:pStyle w:val="36"/>
        <w:keepNext w:val="0"/>
        <w:keepLines w:val="0"/>
        <w:widowControl/>
        <w:suppressLineNumbers w:val="0"/>
      </w:pPr>
      <w:r>
        <w:t>3、</w:t>
      </w:r>
      <w:r>
        <w:rPr>
          <w:highlight w:val="yellow"/>
        </w:rPr>
        <w:t>偏离说明：详见《偏离表》</w:t>
      </w:r>
      <w:r>
        <w:t>；</w:t>
      </w:r>
    </w:p>
    <w:p w14:paraId="2B265450">
      <w:pPr>
        <w:pStyle w:val="36"/>
        <w:keepNext w:val="0"/>
        <w:keepLines w:val="0"/>
        <w:widowControl/>
        <w:suppressLineNumbers w:val="0"/>
      </w:pPr>
      <w:r>
        <w:t>供应商（电子签章）：</w:t>
      </w:r>
    </w:p>
    <w:p w14:paraId="64E438D8">
      <w:pPr>
        <w:widowControl/>
        <w:adjustRightInd w:val="0"/>
        <w:outlineLvl w:val="1"/>
      </w:pPr>
      <w:r>
        <w:t> </w:t>
      </w:r>
    </w:p>
    <w:p w14:paraId="37BC4F87">
      <w:pPr>
        <w:widowControl/>
        <w:adjustRightInd w:val="0"/>
        <w:outlineLvl w:val="1"/>
      </w:pPr>
    </w:p>
    <w:p w14:paraId="1AF26113">
      <w:pPr>
        <w:widowControl/>
        <w:adjustRightInd w:val="0"/>
        <w:outlineLvl w:val="1"/>
      </w:pPr>
    </w:p>
    <w:p w14:paraId="1C07BDD0">
      <w:pPr>
        <w:widowControl/>
        <w:adjustRightInd w:val="0"/>
        <w:outlineLvl w:val="1"/>
      </w:pPr>
    </w:p>
    <w:p w14:paraId="7D4C1E36">
      <w:pPr>
        <w:widowControl/>
        <w:adjustRightInd w:val="0"/>
        <w:outlineLvl w:val="1"/>
      </w:pPr>
    </w:p>
    <w:p w14:paraId="3D7704A2">
      <w:pPr>
        <w:widowControl/>
        <w:adjustRightInd w:val="0"/>
        <w:outlineLvl w:val="1"/>
      </w:pPr>
    </w:p>
    <w:p w14:paraId="5B00C9D6">
      <w:pPr>
        <w:widowControl/>
        <w:adjustRightInd w:val="0"/>
        <w:outlineLvl w:val="1"/>
      </w:pPr>
    </w:p>
    <w:p w14:paraId="2881B89F">
      <w:pPr>
        <w:widowControl/>
        <w:adjustRightInd w:val="0"/>
        <w:outlineLvl w:val="1"/>
      </w:pPr>
    </w:p>
    <w:p w14:paraId="67D69858">
      <w:pPr>
        <w:widowControl/>
        <w:adjustRightInd w:val="0"/>
        <w:outlineLvl w:val="1"/>
      </w:pPr>
    </w:p>
    <w:p w14:paraId="6ADFFC9A">
      <w:pPr>
        <w:widowControl/>
        <w:adjustRightInd w:val="0"/>
        <w:outlineLvl w:val="1"/>
      </w:pPr>
    </w:p>
    <w:p w14:paraId="5BC56176">
      <w:pPr>
        <w:widowControl/>
        <w:adjustRightInd w:val="0"/>
        <w:outlineLvl w:val="1"/>
      </w:pPr>
    </w:p>
    <w:p w14:paraId="0A2119E0">
      <w:pPr>
        <w:widowControl/>
        <w:adjustRightInd w:val="0"/>
        <w:outlineLvl w:val="1"/>
      </w:pPr>
    </w:p>
    <w:p w14:paraId="2B2D7234">
      <w:pPr>
        <w:widowControl/>
        <w:adjustRightInd w:val="0"/>
        <w:outlineLvl w:val="1"/>
      </w:pPr>
    </w:p>
    <w:p w14:paraId="7EEC8AE2">
      <w:pPr>
        <w:widowControl/>
        <w:adjustRightInd w:val="0"/>
        <w:outlineLvl w:val="1"/>
      </w:pPr>
    </w:p>
    <w:p w14:paraId="6A6DF684">
      <w:pPr>
        <w:widowControl/>
        <w:adjustRightInd w:val="0"/>
        <w:outlineLvl w:val="1"/>
      </w:pPr>
    </w:p>
    <w:p w14:paraId="2DDA2377">
      <w:pPr>
        <w:widowControl/>
        <w:adjustRightInd w:val="0"/>
        <w:outlineLvl w:val="1"/>
      </w:pPr>
    </w:p>
    <w:p w14:paraId="0F8BAA8C">
      <w:pPr>
        <w:widowControl/>
        <w:adjustRightInd w:val="0"/>
        <w:outlineLvl w:val="1"/>
      </w:pPr>
    </w:p>
    <w:p w14:paraId="655CC50A">
      <w:pPr>
        <w:widowControl/>
        <w:adjustRightInd w:val="0"/>
        <w:outlineLvl w:val="1"/>
      </w:pPr>
    </w:p>
    <w:p w14:paraId="6FFA81E2">
      <w:pPr>
        <w:widowControl/>
        <w:adjustRightInd w:val="0"/>
        <w:outlineLvl w:val="1"/>
      </w:pPr>
    </w:p>
    <w:p w14:paraId="29F3019A">
      <w:pPr>
        <w:widowControl/>
        <w:adjustRightInd w:val="0"/>
        <w:outlineLvl w:val="1"/>
      </w:pPr>
    </w:p>
    <w:p w14:paraId="40C89AE9">
      <w:pPr>
        <w:widowControl/>
        <w:adjustRightInd w:val="0"/>
        <w:outlineLvl w:val="1"/>
      </w:pPr>
    </w:p>
    <w:p w14:paraId="191ABAA1">
      <w:pPr>
        <w:widowControl/>
        <w:adjustRightInd w:val="0"/>
        <w:outlineLvl w:val="1"/>
      </w:pPr>
    </w:p>
    <w:p w14:paraId="2EA122B1">
      <w:pPr>
        <w:widowControl/>
        <w:adjustRightInd w:val="0"/>
        <w:outlineLvl w:val="1"/>
      </w:pPr>
    </w:p>
    <w:p w14:paraId="02D6C84E">
      <w:pPr>
        <w:widowControl/>
        <w:adjustRightInd w:val="0"/>
        <w:outlineLvl w:val="1"/>
      </w:pPr>
    </w:p>
    <w:p w14:paraId="6E8C0DA5">
      <w:pPr>
        <w:widowControl/>
        <w:adjustRightInd w:val="0"/>
        <w:outlineLvl w:val="1"/>
      </w:pPr>
    </w:p>
    <w:p w14:paraId="7019F39B">
      <w:pPr>
        <w:widowControl/>
        <w:adjustRightInd w:val="0"/>
        <w:outlineLvl w:val="1"/>
      </w:pPr>
    </w:p>
    <w:p w14:paraId="532F264B">
      <w:pPr>
        <w:keepNext w:val="0"/>
        <w:keepLines w:val="0"/>
        <w:pageBreakBefore w:val="0"/>
        <w:widowControl w:val="0"/>
        <w:spacing w:line="360" w:lineRule="auto"/>
        <w:ind w:firstLine="241"/>
        <w:jc w:val="center"/>
        <w:rPr>
          <w:rFonts w:hint="eastAsia" w:ascii="宋体" w:hAnsi="宋体" w:cs="宋体"/>
          <w:b/>
          <w:sz w:val="24"/>
          <w:szCs w:val="24"/>
          <w:highlight w:val="none"/>
        </w:rPr>
      </w:pPr>
      <w:r>
        <w:rPr>
          <w:rFonts w:hint="eastAsia" w:ascii="宋体" w:hAnsi="宋体" w:cs="宋体"/>
          <w:b/>
          <w:sz w:val="24"/>
          <w:szCs w:val="24"/>
          <w:highlight w:val="none"/>
        </w:rPr>
        <w:t>分项报价明细表</w:t>
      </w:r>
    </w:p>
    <w:p w14:paraId="7A930650">
      <w:pPr>
        <w:spacing w:line="360" w:lineRule="auto"/>
        <w:rPr>
          <w:rFonts w:hint="default"/>
          <w:b w:val="0"/>
          <w:bCs w:val="0"/>
          <w:u w:val="none"/>
          <w:lang w:val="en-US" w:eastAsia="zh-CN"/>
        </w:rPr>
      </w:pPr>
      <w:r>
        <w:rPr>
          <w:rFonts w:hint="eastAsia" w:ascii="宋体" w:hAnsi="宋体" w:eastAsia="宋体" w:cs="宋体"/>
          <w:b/>
          <w:bCs/>
          <w:sz w:val="24"/>
          <w:szCs w:val="32"/>
          <w:lang w:val="en-US" w:eastAsia="zh-CN"/>
        </w:rPr>
        <w:t>分包：包</w:t>
      </w:r>
      <w:r>
        <w:rPr>
          <w:rFonts w:hint="eastAsia" w:ascii="宋体" w:hAnsi="宋体" w:cs="宋体"/>
          <w:b/>
          <w:bCs/>
          <w:sz w:val="24"/>
          <w:szCs w:val="32"/>
          <w:u w:val="single"/>
          <w:lang w:val="en-US" w:eastAsia="zh-CN"/>
        </w:rPr>
        <w:t xml:space="preserve">   </w:t>
      </w:r>
      <w:r>
        <w:rPr>
          <w:rFonts w:hint="eastAsia" w:ascii="宋体" w:hAnsi="宋体" w:eastAsia="宋体" w:cs="宋体"/>
          <w:b/>
          <w:bCs/>
          <w:sz w:val="24"/>
          <w:szCs w:val="32"/>
          <w:u w:val="single"/>
          <w:lang w:val="en-US" w:eastAsia="zh-CN"/>
        </w:rPr>
        <w:t xml:space="preserve"> </w:t>
      </w:r>
    </w:p>
    <w:tbl>
      <w:tblPr>
        <w:tblStyle w:val="38"/>
        <w:tblW w:w="913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98"/>
        <w:gridCol w:w="533"/>
        <w:gridCol w:w="4543"/>
        <w:gridCol w:w="388"/>
        <w:gridCol w:w="584"/>
        <w:gridCol w:w="973"/>
        <w:gridCol w:w="1217"/>
      </w:tblGrid>
      <w:tr w14:paraId="60D7A6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2" w:hRule="atLeast"/>
          <w:jc w:val="center"/>
        </w:trPr>
        <w:tc>
          <w:tcPr>
            <w:tcW w:w="8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68DE5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项目</w:t>
            </w:r>
          </w:p>
        </w:tc>
        <w:tc>
          <w:tcPr>
            <w:tcW w:w="5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7EF23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序号</w:t>
            </w:r>
          </w:p>
        </w:tc>
        <w:tc>
          <w:tcPr>
            <w:tcW w:w="45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885E1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服务内容</w:t>
            </w:r>
          </w:p>
        </w:tc>
        <w:tc>
          <w:tcPr>
            <w:tcW w:w="3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06C51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数量</w:t>
            </w:r>
          </w:p>
        </w:tc>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B5DC4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单位</w:t>
            </w:r>
          </w:p>
        </w:tc>
        <w:tc>
          <w:tcPr>
            <w:tcW w:w="9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3884B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单价(元)</w:t>
            </w:r>
          </w:p>
        </w:tc>
        <w:tc>
          <w:tcPr>
            <w:tcW w:w="12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D41E5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合价(元)</w:t>
            </w:r>
          </w:p>
        </w:tc>
      </w:tr>
      <w:tr w14:paraId="7BFD0D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12" w:hRule="atLeast"/>
          <w:jc w:val="center"/>
        </w:trPr>
        <w:tc>
          <w:tcPr>
            <w:tcW w:w="8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B5D271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一、房屋隐患整治</w:t>
            </w:r>
          </w:p>
        </w:tc>
        <w:tc>
          <w:tcPr>
            <w:tcW w:w="5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F9E91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5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8FFE45">
            <w:pPr>
              <w:keepNext w:val="0"/>
              <w:keepLines w:val="0"/>
              <w:widowControl/>
              <w:suppressLineNumbers w:val="0"/>
              <w:spacing w:line="240" w:lineRule="auto"/>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按要求协助街道对属地内既有建筑按社区网格开展专业技术常态化巡查（包括各级部门下发的既有建筑巡查任务），街道排查约7691栋建筑（含约2305栋自建房），及时发现新增隐患；另：完成省系统数据约16103栋（以2026.4.20数据为准）既有建筑的巡查任务，巡查内容包括东发16栋既有建筑，补充相关房屋信息和房屋安全情况；形成全街房屋数量清单；对隐患房屋开展基础信息、使用情况及结构检查，并于10个工作日内出具查勘意见、排查报告或鉴定报告，编制并审查整治方案，建立“一户一档”；工作量以实际排查数量为准。</w:t>
            </w:r>
          </w:p>
          <w:p w14:paraId="15F40564">
            <w:pPr>
              <w:pStyle w:val="4"/>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rPr>
            </w:pPr>
            <w:r>
              <w:rPr>
                <w:rFonts w:hint="eastAsia" w:ascii="宋体" w:hAnsi="宋体" w:cs="宋体"/>
                <w:b/>
                <w:bCs/>
                <w:sz w:val="18"/>
                <w:szCs w:val="21"/>
                <w:u w:val="none"/>
                <w:em w:val="dot"/>
                <w:lang w:val="en-US" w:eastAsia="zh-CN"/>
              </w:rPr>
              <w:t>（此项各包供应商根据分包实际负责区域内既有建筑数量开展工作，详见第三章（一）分包情况）</w:t>
            </w:r>
          </w:p>
        </w:tc>
        <w:tc>
          <w:tcPr>
            <w:tcW w:w="3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EE259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D6896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w:t>
            </w:r>
          </w:p>
        </w:tc>
        <w:tc>
          <w:tcPr>
            <w:tcW w:w="9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68A2DA">
            <w:pPr>
              <w:jc w:val="center"/>
              <w:rPr>
                <w:rFonts w:hint="eastAsia" w:ascii="宋体" w:hAnsi="宋体" w:eastAsia="宋体" w:cs="宋体"/>
                <w:i w:val="0"/>
                <w:iCs w:val="0"/>
                <w:color w:val="000000"/>
                <w:sz w:val="22"/>
                <w:szCs w:val="22"/>
                <w:u w:val="none"/>
              </w:rPr>
            </w:pPr>
          </w:p>
        </w:tc>
        <w:tc>
          <w:tcPr>
            <w:tcW w:w="12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044B2D">
            <w:pPr>
              <w:jc w:val="center"/>
              <w:rPr>
                <w:rFonts w:hint="eastAsia" w:ascii="宋体" w:hAnsi="宋体" w:eastAsia="宋体" w:cs="宋体"/>
                <w:i w:val="0"/>
                <w:iCs w:val="0"/>
                <w:color w:val="000000"/>
                <w:sz w:val="22"/>
                <w:szCs w:val="22"/>
                <w:u w:val="none"/>
              </w:rPr>
            </w:pPr>
          </w:p>
        </w:tc>
      </w:tr>
      <w:tr w14:paraId="2B6BAF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31" w:hRule="atLeast"/>
          <w:jc w:val="center"/>
        </w:trPr>
        <w:tc>
          <w:tcPr>
            <w:tcW w:w="8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F3CAD5">
            <w:pPr>
              <w:jc w:val="center"/>
              <w:rPr>
                <w:rFonts w:hint="eastAsia" w:ascii="宋体" w:hAnsi="宋体" w:eastAsia="宋体" w:cs="宋体"/>
                <w:i w:val="0"/>
                <w:iCs w:val="0"/>
                <w:color w:val="000000"/>
                <w:sz w:val="18"/>
                <w:szCs w:val="18"/>
                <w:u w:val="none"/>
              </w:rPr>
            </w:pPr>
          </w:p>
        </w:tc>
        <w:tc>
          <w:tcPr>
            <w:tcW w:w="5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48157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45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63526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隐患建筑动态监测：按需对重点区域、在册危房、隐患建筑、老旧建筑开展动态监测、房屋沉降倾斜、开裂、墙体风化裸露情况的测量对比，出具并上传评估(鉴定)报告，（一般隐患季查、C级危房月查、D级危房周查，汛期及雨雪季等恶劣天气按上级部门要求协助街道增加专业技术巡查频次，按周期协助街道出具巡查技术分析报告，做好变化对比）</w:t>
            </w:r>
          </w:p>
        </w:tc>
        <w:tc>
          <w:tcPr>
            <w:tcW w:w="3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147DB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2FD1A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w:t>
            </w:r>
          </w:p>
        </w:tc>
        <w:tc>
          <w:tcPr>
            <w:tcW w:w="9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4BD7A0">
            <w:pPr>
              <w:jc w:val="center"/>
              <w:rPr>
                <w:rFonts w:hint="eastAsia" w:ascii="宋体" w:hAnsi="宋体" w:eastAsia="宋体" w:cs="宋体"/>
                <w:i w:val="0"/>
                <w:iCs w:val="0"/>
                <w:color w:val="000000"/>
                <w:sz w:val="22"/>
                <w:szCs w:val="22"/>
                <w:u w:val="none"/>
              </w:rPr>
            </w:pPr>
          </w:p>
        </w:tc>
        <w:tc>
          <w:tcPr>
            <w:tcW w:w="12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89829E">
            <w:pPr>
              <w:jc w:val="center"/>
              <w:rPr>
                <w:rFonts w:hint="eastAsia" w:ascii="宋体" w:hAnsi="宋体" w:eastAsia="宋体" w:cs="宋体"/>
                <w:i w:val="0"/>
                <w:iCs w:val="0"/>
                <w:color w:val="000000"/>
                <w:sz w:val="22"/>
                <w:szCs w:val="22"/>
                <w:u w:val="none"/>
              </w:rPr>
            </w:pPr>
          </w:p>
        </w:tc>
      </w:tr>
      <w:tr w14:paraId="575C43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7" w:hRule="atLeast"/>
          <w:jc w:val="center"/>
        </w:trPr>
        <w:tc>
          <w:tcPr>
            <w:tcW w:w="8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CDC76A">
            <w:pPr>
              <w:jc w:val="center"/>
              <w:rPr>
                <w:rFonts w:hint="eastAsia" w:ascii="宋体" w:hAnsi="宋体" w:eastAsia="宋体" w:cs="宋体"/>
                <w:i w:val="0"/>
                <w:iCs w:val="0"/>
                <w:color w:val="000000"/>
                <w:sz w:val="18"/>
                <w:szCs w:val="18"/>
                <w:u w:val="none"/>
              </w:rPr>
            </w:pPr>
          </w:p>
        </w:tc>
        <w:tc>
          <w:tcPr>
            <w:tcW w:w="5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20B5C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45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BD4B4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消险复核：协助街道对整治完工的房屋进行查验，并于10个工作日内出具隐患复核意见。</w:t>
            </w:r>
          </w:p>
        </w:tc>
        <w:tc>
          <w:tcPr>
            <w:tcW w:w="3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03132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5B74F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w:t>
            </w:r>
          </w:p>
        </w:tc>
        <w:tc>
          <w:tcPr>
            <w:tcW w:w="9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29C846">
            <w:pPr>
              <w:jc w:val="center"/>
              <w:rPr>
                <w:rFonts w:hint="eastAsia" w:ascii="宋体" w:hAnsi="宋体" w:eastAsia="宋体" w:cs="宋体"/>
                <w:i w:val="0"/>
                <w:iCs w:val="0"/>
                <w:color w:val="000000"/>
                <w:sz w:val="22"/>
                <w:szCs w:val="22"/>
                <w:u w:val="none"/>
              </w:rPr>
            </w:pPr>
          </w:p>
        </w:tc>
        <w:tc>
          <w:tcPr>
            <w:tcW w:w="12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B89895">
            <w:pPr>
              <w:jc w:val="center"/>
              <w:rPr>
                <w:rFonts w:hint="eastAsia" w:ascii="宋体" w:hAnsi="宋体" w:eastAsia="宋体" w:cs="宋体"/>
                <w:i w:val="0"/>
                <w:iCs w:val="0"/>
                <w:color w:val="000000"/>
                <w:sz w:val="22"/>
                <w:szCs w:val="22"/>
                <w:u w:val="none"/>
              </w:rPr>
            </w:pPr>
          </w:p>
        </w:tc>
      </w:tr>
      <w:tr w14:paraId="48930C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6" w:hRule="atLeast"/>
          <w:jc w:val="center"/>
        </w:trPr>
        <w:tc>
          <w:tcPr>
            <w:tcW w:w="8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FCAE3A">
            <w:pPr>
              <w:jc w:val="center"/>
              <w:rPr>
                <w:rFonts w:hint="eastAsia" w:ascii="宋体" w:hAnsi="宋体" w:eastAsia="宋体" w:cs="宋体"/>
                <w:i w:val="0"/>
                <w:iCs w:val="0"/>
                <w:color w:val="000000"/>
                <w:sz w:val="18"/>
                <w:szCs w:val="18"/>
                <w:u w:val="none"/>
              </w:rPr>
            </w:pPr>
          </w:p>
        </w:tc>
        <w:tc>
          <w:tcPr>
            <w:tcW w:w="5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BE527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45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7E76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技术指导：对社区上报的房屋材料进行梳理、现场复核，提出处置建议并上报。</w:t>
            </w:r>
          </w:p>
        </w:tc>
        <w:tc>
          <w:tcPr>
            <w:tcW w:w="3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0BBD4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FB423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w:t>
            </w:r>
          </w:p>
        </w:tc>
        <w:tc>
          <w:tcPr>
            <w:tcW w:w="9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204F2D">
            <w:pPr>
              <w:jc w:val="center"/>
              <w:rPr>
                <w:rFonts w:hint="eastAsia" w:ascii="宋体" w:hAnsi="宋体" w:eastAsia="宋体" w:cs="宋体"/>
                <w:i w:val="0"/>
                <w:iCs w:val="0"/>
                <w:color w:val="000000"/>
                <w:sz w:val="22"/>
                <w:szCs w:val="22"/>
                <w:u w:val="none"/>
              </w:rPr>
            </w:pPr>
          </w:p>
        </w:tc>
        <w:tc>
          <w:tcPr>
            <w:tcW w:w="12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8184AD">
            <w:pPr>
              <w:jc w:val="center"/>
              <w:rPr>
                <w:rFonts w:hint="eastAsia" w:ascii="宋体" w:hAnsi="宋体" w:eastAsia="宋体" w:cs="宋体"/>
                <w:i w:val="0"/>
                <w:iCs w:val="0"/>
                <w:color w:val="000000"/>
                <w:sz w:val="22"/>
                <w:szCs w:val="22"/>
                <w:u w:val="none"/>
              </w:rPr>
            </w:pPr>
          </w:p>
        </w:tc>
      </w:tr>
      <w:tr w14:paraId="52BD1F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91" w:hRule="atLeast"/>
          <w:jc w:val="center"/>
        </w:trPr>
        <w:tc>
          <w:tcPr>
            <w:tcW w:w="8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0116C4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二、房屋装饰装修管理</w:t>
            </w:r>
          </w:p>
        </w:tc>
        <w:tc>
          <w:tcPr>
            <w:tcW w:w="5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C2782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45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07BC6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配合街道装饰装修综合受理窗口开展工作,协助街道对面积≤500㎡或造价≤100万元的小型装修工程进行现场踏勘、竣工核查，出具书面意见并建台账，提供从受理备案、方案审查、现场巡查、到完工查验全流程技术服务,按时间要求,利用既有建筑电子身份证管理平台、东山街道装修备案平台，协助街道完成专业技术查验录入工作并形成“一户一档”台账。</w:t>
            </w:r>
          </w:p>
        </w:tc>
        <w:tc>
          <w:tcPr>
            <w:tcW w:w="3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96063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07B84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w:t>
            </w:r>
          </w:p>
        </w:tc>
        <w:tc>
          <w:tcPr>
            <w:tcW w:w="9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80EA99">
            <w:pPr>
              <w:jc w:val="center"/>
              <w:rPr>
                <w:rFonts w:hint="eastAsia" w:ascii="宋体" w:hAnsi="宋体" w:eastAsia="宋体" w:cs="宋体"/>
                <w:i w:val="0"/>
                <w:iCs w:val="0"/>
                <w:color w:val="000000"/>
                <w:sz w:val="22"/>
                <w:szCs w:val="22"/>
                <w:u w:val="none"/>
              </w:rPr>
            </w:pPr>
          </w:p>
        </w:tc>
        <w:tc>
          <w:tcPr>
            <w:tcW w:w="12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9F95B4">
            <w:pPr>
              <w:jc w:val="center"/>
              <w:rPr>
                <w:rFonts w:hint="eastAsia" w:ascii="宋体" w:hAnsi="宋体" w:eastAsia="宋体" w:cs="宋体"/>
                <w:i w:val="0"/>
                <w:iCs w:val="0"/>
                <w:color w:val="000000"/>
                <w:sz w:val="22"/>
                <w:szCs w:val="22"/>
                <w:u w:val="none"/>
              </w:rPr>
            </w:pPr>
          </w:p>
        </w:tc>
      </w:tr>
      <w:tr w14:paraId="124696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8" w:hRule="atLeast"/>
          <w:jc w:val="center"/>
        </w:trPr>
        <w:tc>
          <w:tcPr>
            <w:tcW w:w="8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4B5618">
            <w:pPr>
              <w:jc w:val="center"/>
              <w:rPr>
                <w:rFonts w:hint="eastAsia" w:ascii="宋体" w:hAnsi="宋体" w:eastAsia="宋体" w:cs="宋体"/>
                <w:i w:val="0"/>
                <w:iCs w:val="0"/>
                <w:color w:val="000000"/>
                <w:sz w:val="18"/>
                <w:szCs w:val="18"/>
                <w:u w:val="none"/>
              </w:rPr>
            </w:pPr>
          </w:p>
        </w:tc>
        <w:tc>
          <w:tcPr>
            <w:tcW w:w="5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43C29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45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04858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技术指导与处置：协助街道对社区上报的装修材料进行复核，提出处置建议并上报。</w:t>
            </w:r>
          </w:p>
        </w:tc>
        <w:tc>
          <w:tcPr>
            <w:tcW w:w="3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798D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11E26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w:t>
            </w:r>
          </w:p>
        </w:tc>
        <w:tc>
          <w:tcPr>
            <w:tcW w:w="9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0D35A8">
            <w:pPr>
              <w:jc w:val="center"/>
              <w:rPr>
                <w:rFonts w:hint="eastAsia" w:ascii="宋体" w:hAnsi="宋体" w:eastAsia="宋体" w:cs="宋体"/>
                <w:i w:val="0"/>
                <w:iCs w:val="0"/>
                <w:color w:val="000000"/>
                <w:sz w:val="22"/>
                <w:szCs w:val="22"/>
                <w:u w:val="none"/>
              </w:rPr>
            </w:pPr>
          </w:p>
        </w:tc>
        <w:tc>
          <w:tcPr>
            <w:tcW w:w="12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85AD9E">
            <w:pPr>
              <w:jc w:val="center"/>
              <w:rPr>
                <w:rFonts w:hint="eastAsia" w:ascii="宋体" w:hAnsi="宋体" w:eastAsia="宋体" w:cs="宋体"/>
                <w:i w:val="0"/>
                <w:iCs w:val="0"/>
                <w:color w:val="000000"/>
                <w:sz w:val="22"/>
                <w:szCs w:val="22"/>
                <w:u w:val="none"/>
              </w:rPr>
            </w:pPr>
          </w:p>
        </w:tc>
      </w:tr>
      <w:tr w14:paraId="38B9ED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8" w:hRule="atLeast"/>
          <w:jc w:val="center"/>
        </w:trPr>
        <w:tc>
          <w:tcPr>
            <w:tcW w:w="8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3C6F23">
            <w:pPr>
              <w:jc w:val="center"/>
              <w:rPr>
                <w:rFonts w:hint="eastAsia" w:ascii="宋体" w:hAnsi="宋体" w:eastAsia="宋体" w:cs="宋体"/>
                <w:i w:val="0"/>
                <w:iCs w:val="0"/>
                <w:color w:val="000000"/>
                <w:sz w:val="18"/>
                <w:szCs w:val="18"/>
                <w:u w:val="none"/>
              </w:rPr>
            </w:pPr>
          </w:p>
        </w:tc>
        <w:tc>
          <w:tcPr>
            <w:tcW w:w="5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CEA9B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45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C7D6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信息登记与告知：协助街道受理开工信息登记，核查资料并发放风险告知书；受理完工登记，实现工程闭环。</w:t>
            </w:r>
          </w:p>
        </w:tc>
        <w:tc>
          <w:tcPr>
            <w:tcW w:w="3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A543D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D3AD4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w:t>
            </w:r>
          </w:p>
        </w:tc>
        <w:tc>
          <w:tcPr>
            <w:tcW w:w="9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AA67F6">
            <w:pPr>
              <w:jc w:val="center"/>
              <w:rPr>
                <w:rFonts w:hint="eastAsia" w:ascii="宋体" w:hAnsi="宋体" w:eastAsia="宋体" w:cs="宋体"/>
                <w:i w:val="0"/>
                <w:iCs w:val="0"/>
                <w:color w:val="000000"/>
                <w:sz w:val="22"/>
                <w:szCs w:val="22"/>
                <w:u w:val="none"/>
              </w:rPr>
            </w:pPr>
          </w:p>
        </w:tc>
        <w:tc>
          <w:tcPr>
            <w:tcW w:w="12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BE41E1">
            <w:pPr>
              <w:jc w:val="center"/>
              <w:rPr>
                <w:rFonts w:hint="eastAsia" w:ascii="宋体" w:hAnsi="宋体" w:eastAsia="宋体" w:cs="宋体"/>
                <w:i w:val="0"/>
                <w:iCs w:val="0"/>
                <w:color w:val="000000"/>
                <w:sz w:val="22"/>
                <w:szCs w:val="22"/>
                <w:u w:val="none"/>
              </w:rPr>
            </w:pPr>
          </w:p>
        </w:tc>
      </w:tr>
      <w:tr w14:paraId="603ED4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73" w:hRule="atLeast"/>
          <w:jc w:val="center"/>
        </w:trPr>
        <w:tc>
          <w:tcPr>
            <w:tcW w:w="8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334D46">
            <w:pPr>
              <w:jc w:val="center"/>
              <w:rPr>
                <w:rFonts w:hint="eastAsia" w:ascii="宋体" w:hAnsi="宋体" w:eastAsia="宋体" w:cs="宋体"/>
                <w:i w:val="0"/>
                <w:iCs w:val="0"/>
                <w:color w:val="000000"/>
                <w:sz w:val="18"/>
                <w:szCs w:val="18"/>
                <w:u w:val="none"/>
              </w:rPr>
            </w:pPr>
          </w:p>
        </w:tc>
        <w:tc>
          <w:tcPr>
            <w:tcW w:w="5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78570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45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B9955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重点工程监管：协助街道对面积≥500㎡或造价≥100万元及需加固的装修工程，进行评估或鉴定并每月巡查至完工，督促办理施工许可。</w:t>
            </w:r>
          </w:p>
        </w:tc>
        <w:tc>
          <w:tcPr>
            <w:tcW w:w="3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CC6A9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BBD19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w:t>
            </w:r>
          </w:p>
        </w:tc>
        <w:tc>
          <w:tcPr>
            <w:tcW w:w="9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CCC06D">
            <w:pPr>
              <w:jc w:val="center"/>
              <w:rPr>
                <w:rFonts w:hint="eastAsia" w:ascii="宋体" w:hAnsi="宋体" w:eastAsia="宋体" w:cs="宋体"/>
                <w:i w:val="0"/>
                <w:iCs w:val="0"/>
                <w:color w:val="000000"/>
                <w:sz w:val="22"/>
                <w:szCs w:val="22"/>
                <w:u w:val="none"/>
              </w:rPr>
            </w:pPr>
          </w:p>
        </w:tc>
        <w:tc>
          <w:tcPr>
            <w:tcW w:w="12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8F5B07">
            <w:pPr>
              <w:jc w:val="center"/>
              <w:rPr>
                <w:rFonts w:hint="eastAsia" w:ascii="宋体" w:hAnsi="宋体" w:eastAsia="宋体" w:cs="宋体"/>
                <w:i w:val="0"/>
                <w:iCs w:val="0"/>
                <w:color w:val="000000"/>
                <w:sz w:val="22"/>
                <w:szCs w:val="22"/>
                <w:u w:val="none"/>
              </w:rPr>
            </w:pPr>
          </w:p>
        </w:tc>
      </w:tr>
      <w:tr w14:paraId="573A90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42" w:hRule="atLeast"/>
          <w:jc w:val="center"/>
        </w:trPr>
        <w:tc>
          <w:tcPr>
            <w:tcW w:w="8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15716E">
            <w:pPr>
              <w:jc w:val="center"/>
              <w:rPr>
                <w:rFonts w:hint="eastAsia" w:ascii="宋体" w:hAnsi="宋体" w:eastAsia="宋体" w:cs="宋体"/>
                <w:i w:val="0"/>
                <w:iCs w:val="0"/>
                <w:color w:val="000000"/>
                <w:sz w:val="18"/>
                <w:szCs w:val="18"/>
                <w:u w:val="none"/>
              </w:rPr>
            </w:pPr>
          </w:p>
        </w:tc>
        <w:tc>
          <w:tcPr>
            <w:tcW w:w="5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A0003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45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07B73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动态巡查与检查：协助街道对在建工程开展常态化巡查，督促未登记工程办理手续。对高风险工程在10个工作日内开展检查，超过3个月增加检查；其他工程按不低于10%比例随机抽查。检查重点包括登记情况、施工资质、结构拆改、安全措施等各项内容。</w:t>
            </w:r>
          </w:p>
        </w:tc>
        <w:tc>
          <w:tcPr>
            <w:tcW w:w="3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CD27A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AD765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w:t>
            </w:r>
          </w:p>
        </w:tc>
        <w:tc>
          <w:tcPr>
            <w:tcW w:w="9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72DA7B">
            <w:pPr>
              <w:jc w:val="center"/>
              <w:rPr>
                <w:rFonts w:hint="eastAsia" w:ascii="宋体" w:hAnsi="宋体" w:eastAsia="宋体" w:cs="宋体"/>
                <w:i w:val="0"/>
                <w:iCs w:val="0"/>
                <w:color w:val="000000"/>
                <w:sz w:val="22"/>
                <w:szCs w:val="22"/>
                <w:u w:val="none"/>
              </w:rPr>
            </w:pPr>
          </w:p>
        </w:tc>
        <w:tc>
          <w:tcPr>
            <w:tcW w:w="12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385311">
            <w:pPr>
              <w:jc w:val="center"/>
              <w:rPr>
                <w:rFonts w:hint="eastAsia" w:ascii="宋体" w:hAnsi="宋体" w:eastAsia="宋体" w:cs="宋体"/>
                <w:i w:val="0"/>
                <w:iCs w:val="0"/>
                <w:color w:val="000000"/>
                <w:sz w:val="22"/>
                <w:szCs w:val="22"/>
                <w:u w:val="none"/>
              </w:rPr>
            </w:pPr>
          </w:p>
        </w:tc>
      </w:tr>
      <w:tr w14:paraId="5D6A5C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29" w:hRule="atLeast"/>
          <w:jc w:val="center"/>
        </w:trPr>
        <w:tc>
          <w:tcPr>
            <w:tcW w:w="8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3BEF5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三、房屋质量、装修投诉、信访等技术踏勘</w:t>
            </w:r>
          </w:p>
        </w:tc>
        <w:tc>
          <w:tcPr>
            <w:tcW w:w="5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0C8E8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45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0EF82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协助街道12345 投诉及信访并提供专业技术处置服务,按要求做好相关检测、论证及专业解答工作，按要求出具明确查勘意见或评估(鉴定)报告，必要时出具鉴定报告，压实房屋所有权人主体责任。</w:t>
            </w:r>
          </w:p>
        </w:tc>
        <w:tc>
          <w:tcPr>
            <w:tcW w:w="3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A227E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88D24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w:t>
            </w:r>
          </w:p>
        </w:tc>
        <w:tc>
          <w:tcPr>
            <w:tcW w:w="9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330CF7">
            <w:pPr>
              <w:jc w:val="center"/>
              <w:rPr>
                <w:rFonts w:hint="eastAsia" w:ascii="宋体" w:hAnsi="宋体" w:eastAsia="宋体" w:cs="宋体"/>
                <w:i w:val="0"/>
                <w:iCs w:val="0"/>
                <w:color w:val="000000"/>
                <w:sz w:val="22"/>
                <w:szCs w:val="22"/>
                <w:u w:val="none"/>
              </w:rPr>
            </w:pPr>
          </w:p>
        </w:tc>
        <w:tc>
          <w:tcPr>
            <w:tcW w:w="12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1DFF2E">
            <w:pPr>
              <w:jc w:val="center"/>
              <w:rPr>
                <w:rFonts w:hint="eastAsia" w:ascii="宋体" w:hAnsi="宋体" w:eastAsia="宋体" w:cs="宋体"/>
                <w:i w:val="0"/>
                <w:iCs w:val="0"/>
                <w:color w:val="000000"/>
                <w:sz w:val="22"/>
                <w:szCs w:val="22"/>
                <w:u w:val="none"/>
              </w:rPr>
            </w:pPr>
          </w:p>
        </w:tc>
      </w:tr>
      <w:tr w14:paraId="340487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17" w:hRule="atLeast"/>
          <w:jc w:val="center"/>
        </w:trPr>
        <w:tc>
          <w:tcPr>
            <w:tcW w:w="8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13DF7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四、其他安全监管与专项</w:t>
            </w:r>
          </w:p>
        </w:tc>
        <w:tc>
          <w:tcPr>
            <w:tcW w:w="5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E4E86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c>
          <w:tcPr>
            <w:tcW w:w="45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82746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配合街道其他房屋安全隐患相关专项行动，提供技术支持、评估或鉴定文件。</w:t>
            </w:r>
          </w:p>
        </w:tc>
        <w:tc>
          <w:tcPr>
            <w:tcW w:w="3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4B8B9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1E025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w:t>
            </w:r>
          </w:p>
        </w:tc>
        <w:tc>
          <w:tcPr>
            <w:tcW w:w="9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5412A6">
            <w:pPr>
              <w:jc w:val="center"/>
              <w:rPr>
                <w:rFonts w:hint="eastAsia" w:ascii="宋体" w:hAnsi="宋体" w:eastAsia="宋体" w:cs="宋体"/>
                <w:i w:val="0"/>
                <w:iCs w:val="0"/>
                <w:color w:val="000000"/>
                <w:sz w:val="22"/>
                <w:szCs w:val="22"/>
                <w:u w:val="none"/>
              </w:rPr>
            </w:pPr>
          </w:p>
        </w:tc>
        <w:tc>
          <w:tcPr>
            <w:tcW w:w="12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80E92C">
            <w:pPr>
              <w:jc w:val="center"/>
              <w:rPr>
                <w:rFonts w:hint="eastAsia" w:ascii="宋体" w:hAnsi="宋体" w:eastAsia="宋体" w:cs="宋体"/>
                <w:i w:val="0"/>
                <w:iCs w:val="0"/>
                <w:color w:val="000000"/>
                <w:sz w:val="22"/>
                <w:szCs w:val="22"/>
                <w:u w:val="none"/>
              </w:rPr>
            </w:pPr>
          </w:p>
        </w:tc>
      </w:tr>
      <w:tr w14:paraId="5C2596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57" w:hRule="atLeast"/>
          <w:jc w:val="center"/>
        </w:trPr>
        <w:tc>
          <w:tcPr>
            <w:tcW w:w="8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7108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五、培训宣传与档案指导</w:t>
            </w:r>
          </w:p>
        </w:tc>
        <w:tc>
          <w:tcPr>
            <w:tcW w:w="5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2D715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45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EAC23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协助街道定期开展房屋安全培训、巡查培训及对公众的宣传教育活动；指导街道、社区完善房屋安全档案及台账建设。</w:t>
            </w:r>
          </w:p>
        </w:tc>
        <w:tc>
          <w:tcPr>
            <w:tcW w:w="3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87FDB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CFF0A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w:t>
            </w:r>
          </w:p>
        </w:tc>
        <w:tc>
          <w:tcPr>
            <w:tcW w:w="9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AF162A">
            <w:pPr>
              <w:jc w:val="center"/>
              <w:rPr>
                <w:rFonts w:hint="eastAsia" w:ascii="宋体" w:hAnsi="宋体" w:eastAsia="宋体" w:cs="宋体"/>
                <w:i w:val="0"/>
                <w:iCs w:val="0"/>
                <w:color w:val="000000"/>
                <w:sz w:val="22"/>
                <w:szCs w:val="22"/>
                <w:u w:val="none"/>
              </w:rPr>
            </w:pPr>
          </w:p>
        </w:tc>
        <w:tc>
          <w:tcPr>
            <w:tcW w:w="12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09CA57">
            <w:pPr>
              <w:jc w:val="center"/>
              <w:rPr>
                <w:rFonts w:hint="eastAsia" w:ascii="宋体" w:hAnsi="宋体" w:eastAsia="宋体" w:cs="宋体"/>
                <w:i w:val="0"/>
                <w:iCs w:val="0"/>
                <w:color w:val="000000"/>
                <w:sz w:val="22"/>
                <w:szCs w:val="22"/>
                <w:u w:val="none"/>
              </w:rPr>
            </w:pPr>
          </w:p>
        </w:tc>
      </w:tr>
      <w:tr w14:paraId="2CEDB1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5" w:hRule="atLeast"/>
          <w:jc w:val="center"/>
        </w:trPr>
        <w:tc>
          <w:tcPr>
            <w:tcW w:w="8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3C72BB">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总计</w:t>
            </w:r>
          </w:p>
        </w:tc>
        <w:tc>
          <w:tcPr>
            <w:tcW w:w="5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85A2A8">
            <w:pPr>
              <w:jc w:val="center"/>
              <w:rPr>
                <w:rFonts w:hint="eastAsia" w:ascii="宋体" w:hAnsi="宋体" w:eastAsia="宋体" w:cs="宋体"/>
                <w:b/>
                <w:bCs/>
                <w:i w:val="0"/>
                <w:iCs w:val="0"/>
                <w:color w:val="000000"/>
                <w:sz w:val="22"/>
                <w:szCs w:val="22"/>
                <w:u w:val="none"/>
              </w:rPr>
            </w:pPr>
          </w:p>
        </w:tc>
        <w:tc>
          <w:tcPr>
            <w:tcW w:w="45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369DFE">
            <w:pPr>
              <w:rPr>
                <w:rFonts w:hint="eastAsia" w:ascii="宋体" w:hAnsi="宋体" w:eastAsia="宋体" w:cs="宋体"/>
                <w:b/>
                <w:bCs/>
                <w:i w:val="0"/>
                <w:iCs w:val="0"/>
                <w:color w:val="000000"/>
                <w:sz w:val="22"/>
                <w:szCs w:val="22"/>
                <w:u w:val="none"/>
              </w:rPr>
            </w:pPr>
          </w:p>
        </w:tc>
        <w:tc>
          <w:tcPr>
            <w:tcW w:w="3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B928F2">
            <w:pPr>
              <w:jc w:val="center"/>
              <w:rPr>
                <w:rFonts w:hint="eastAsia" w:ascii="宋体" w:hAnsi="宋体" w:eastAsia="宋体" w:cs="宋体"/>
                <w:b/>
                <w:bCs/>
                <w:i w:val="0"/>
                <w:iCs w:val="0"/>
                <w:color w:val="000000"/>
                <w:sz w:val="22"/>
                <w:szCs w:val="22"/>
                <w:u w:val="none"/>
              </w:rPr>
            </w:pPr>
          </w:p>
        </w:tc>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A12EDC">
            <w:pPr>
              <w:jc w:val="center"/>
              <w:rPr>
                <w:rFonts w:hint="eastAsia" w:ascii="宋体" w:hAnsi="宋体" w:eastAsia="宋体" w:cs="宋体"/>
                <w:b/>
                <w:bCs/>
                <w:i w:val="0"/>
                <w:iCs w:val="0"/>
                <w:color w:val="000000"/>
                <w:sz w:val="22"/>
                <w:szCs w:val="22"/>
                <w:u w:val="none"/>
              </w:rPr>
            </w:pPr>
          </w:p>
        </w:tc>
        <w:tc>
          <w:tcPr>
            <w:tcW w:w="9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023A7C">
            <w:pPr>
              <w:jc w:val="center"/>
              <w:rPr>
                <w:rFonts w:hint="eastAsia" w:ascii="宋体" w:hAnsi="宋体" w:eastAsia="宋体" w:cs="宋体"/>
                <w:b/>
                <w:bCs/>
                <w:i w:val="0"/>
                <w:iCs w:val="0"/>
                <w:color w:val="000000"/>
                <w:sz w:val="22"/>
                <w:szCs w:val="22"/>
                <w:u w:val="none"/>
              </w:rPr>
            </w:pPr>
          </w:p>
        </w:tc>
        <w:tc>
          <w:tcPr>
            <w:tcW w:w="12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CE8271">
            <w:pPr>
              <w:jc w:val="center"/>
              <w:rPr>
                <w:rFonts w:hint="eastAsia" w:ascii="宋体" w:hAnsi="宋体" w:eastAsia="宋体" w:cs="宋体"/>
                <w:b/>
                <w:bCs/>
                <w:i w:val="0"/>
                <w:iCs w:val="0"/>
                <w:color w:val="000000"/>
                <w:sz w:val="22"/>
                <w:szCs w:val="22"/>
                <w:u w:val="none"/>
              </w:rPr>
            </w:pPr>
          </w:p>
        </w:tc>
      </w:tr>
    </w:tbl>
    <w:p w14:paraId="38416933">
      <w:pPr>
        <w:pStyle w:val="16"/>
        <w:rPr>
          <w:rFonts w:hint="eastAsia"/>
          <w:lang w:eastAsia="zh-CN"/>
        </w:rPr>
      </w:pPr>
    </w:p>
    <w:p w14:paraId="0178AF43">
      <w:pPr>
        <w:rPr>
          <w:rFonts w:hint="default"/>
          <w:lang w:val="en-US" w:eastAsia="zh-CN"/>
        </w:rPr>
      </w:pPr>
    </w:p>
    <w:p w14:paraId="6B197FA4">
      <w:pPr>
        <w:wordWrap w:val="0"/>
        <w:autoSpaceDE w:val="0"/>
        <w:autoSpaceDN w:val="0"/>
        <w:adjustRightInd w:val="0"/>
        <w:ind w:firstLine="5760" w:firstLineChars="2400"/>
        <w:rPr>
          <w:rFonts w:hint="eastAsia" w:ascii="宋体" w:hAnsi="宋体" w:cs="宋体"/>
          <w:sz w:val="24"/>
          <w:lang w:val="zh-CN"/>
        </w:rPr>
      </w:pPr>
    </w:p>
    <w:p w14:paraId="527B66BC">
      <w:pPr>
        <w:wordWrap w:val="0"/>
        <w:autoSpaceDE w:val="0"/>
        <w:autoSpaceDN w:val="0"/>
        <w:adjustRightInd w:val="0"/>
        <w:ind w:firstLine="5760" w:firstLineChars="2400"/>
        <w:rPr>
          <w:rFonts w:hint="eastAsia" w:ascii="宋体" w:hAnsi="宋体" w:cs="宋体"/>
          <w:sz w:val="24"/>
          <w:lang w:val="zh-CN"/>
        </w:rPr>
      </w:pPr>
      <w:r>
        <w:rPr>
          <w:rFonts w:hint="eastAsia" w:ascii="宋体" w:hAnsi="宋体" w:cs="宋体"/>
          <w:sz w:val="24"/>
          <w:lang w:val="zh-CN"/>
        </w:rPr>
        <w:t xml:space="preserve">供应商（盖章）：            </w:t>
      </w:r>
    </w:p>
    <w:p w14:paraId="4C0796AB">
      <w:pPr>
        <w:wordWrap w:val="0"/>
        <w:autoSpaceDE w:val="0"/>
        <w:autoSpaceDN w:val="0"/>
        <w:adjustRightInd w:val="0"/>
        <w:ind w:firstLine="5760" w:firstLineChars="2400"/>
        <w:rPr>
          <w:rFonts w:hint="eastAsia" w:ascii="宋体" w:hAnsi="宋体" w:cs="宋体"/>
          <w:sz w:val="24"/>
          <w:lang w:val="zh-CN"/>
        </w:rPr>
      </w:pPr>
      <w:r>
        <w:rPr>
          <w:rFonts w:hint="eastAsia" w:ascii="宋体" w:hAnsi="宋体" w:cs="宋体"/>
          <w:sz w:val="24"/>
          <w:lang w:val="zh-CN"/>
        </w:rPr>
        <w:t xml:space="preserve">授权代表签字：   </w:t>
      </w:r>
    </w:p>
    <w:p w14:paraId="2F0CA826">
      <w:pPr>
        <w:wordWrap w:val="0"/>
        <w:autoSpaceDE w:val="0"/>
        <w:autoSpaceDN w:val="0"/>
        <w:adjustRightInd w:val="0"/>
        <w:ind w:firstLine="5760" w:firstLineChars="2400"/>
        <w:rPr>
          <w:rFonts w:ascii="宋体" w:hAnsi="宋体" w:cs="宋体"/>
          <w:sz w:val="24"/>
          <w:lang w:val="zh-CN"/>
        </w:rPr>
      </w:pPr>
      <w:r>
        <w:rPr>
          <w:rFonts w:hint="eastAsia" w:ascii="宋体" w:hAnsi="宋体" w:cs="宋体"/>
          <w:sz w:val="24"/>
          <w:lang w:val="zh-CN"/>
        </w:rPr>
        <w:t xml:space="preserve">          </w:t>
      </w:r>
    </w:p>
    <w:p w14:paraId="4623850A">
      <w:pPr>
        <w:widowControl/>
        <w:adjustRightInd w:val="0"/>
        <w:ind w:firstLine="5760" w:firstLineChars="2400"/>
        <w:rPr>
          <w:rFonts w:hint="eastAsia" w:ascii="宋体" w:hAnsi="宋体" w:cs="宋体"/>
          <w:b/>
          <w:kern w:val="0"/>
          <w:szCs w:val="21"/>
          <w:lang w:val="zh-CN"/>
        </w:rPr>
      </w:pPr>
      <w:r>
        <w:rPr>
          <w:rFonts w:hint="eastAsia" w:ascii="宋体" w:hAnsi="宋体" w:cs="宋体"/>
          <w:sz w:val="24"/>
          <w:lang w:val="zh-CN"/>
        </w:rPr>
        <w:t>日    期：    年    月   日</w:t>
      </w:r>
    </w:p>
    <w:p w14:paraId="0FC543C7">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宋体" w:hAnsi="宋体" w:cs="宋体"/>
          <w:b/>
          <w:bCs/>
          <w:kern w:val="0"/>
          <w:szCs w:val="21"/>
          <w:lang w:val="en-US" w:eastAsia="zh-CN"/>
        </w:rPr>
      </w:pPr>
    </w:p>
    <w:p w14:paraId="5333C31A">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宋体" w:hAnsi="宋体" w:cs="宋体"/>
          <w:b/>
          <w:bCs/>
          <w:kern w:val="0"/>
          <w:szCs w:val="21"/>
          <w:lang w:val="en-US" w:eastAsia="zh-CN"/>
        </w:rPr>
      </w:pPr>
    </w:p>
    <w:p w14:paraId="7FA47B10">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宋体" w:hAnsi="宋体" w:eastAsia="宋体" w:cs="宋体"/>
          <w:sz w:val="22"/>
          <w:szCs w:val="22"/>
          <w:lang w:val="en-US" w:eastAsia="zh-CN" w:bidi="ar-SA"/>
        </w:rPr>
      </w:pPr>
    </w:p>
    <w:p w14:paraId="2312FC1F">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报价说明：1、报价应包含完成本服务项目发生的所有含税费用、支付给员工的工资和国家强制缴纳的各种社会保障资金以及供应商为完成相关服务所承担的全部费用（包括利润、税金、政策性文件规定及合同包含内的所有风险、责任等各项应有费用）。</w:t>
      </w:r>
    </w:p>
    <w:p w14:paraId="61105C44">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2、投标供应商的任何错漏、优惠、竞争性报价不得作为减轻责任、减少服务、增加收费、降低质量的理由。</w:t>
      </w:r>
    </w:p>
    <w:p w14:paraId="63DD3CED">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3、经磋商后，二次报价为最终报价，二次报价原则上不高于首次报价，如果成交价低于供应商在响应文件首次报价的，分项报价（除暂列金额、不可竞争费以外的所有费用）同比例调整。</w:t>
      </w:r>
    </w:p>
    <w:p w14:paraId="0FF01192">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default" w:ascii="宋体" w:hAnsi="宋体" w:eastAsia="宋体" w:cs="宋体"/>
          <w:b/>
          <w:bCs/>
          <w:sz w:val="22"/>
          <w:szCs w:val="22"/>
          <w:lang w:val="en-US" w:eastAsia="zh-CN" w:bidi="ar-SA"/>
        </w:rPr>
      </w:pPr>
      <w:r>
        <w:rPr>
          <w:rFonts w:hint="eastAsia" w:ascii="宋体" w:hAnsi="宋体" w:eastAsia="宋体" w:cs="宋体"/>
          <w:b/>
          <w:bCs/>
          <w:sz w:val="22"/>
          <w:szCs w:val="22"/>
          <w:lang w:val="en-US" w:eastAsia="zh-CN" w:bidi="ar-SA"/>
        </w:rPr>
        <w:t>4、根据相关规定，服务类供应商一般要求提供税率为6%增值税专用发票,报价时税率不得修改。结算时，如供应商提供的发票税率不足6%，实际税率差额从结算价款中扣除（提供相关纳税凭证）。</w:t>
      </w:r>
    </w:p>
    <w:p w14:paraId="146B9416">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 </w:t>
      </w:r>
    </w:p>
    <w:p w14:paraId="7787F2BF">
      <w:pPr>
        <w:pStyle w:val="36"/>
        <w:keepNext w:val="0"/>
        <w:keepLines w:val="0"/>
        <w:widowControl/>
        <w:suppressLineNumbers w:val="0"/>
        <w:rPr>
          <w:rFonts w:hint="eastAsia" w:ascii="宋体" w:hAnsi="宋体" w:eastAsia="宋体" w:cs="宋体"/>
          <w:b/>
          <w:bCs/>
          <w:kern w:val="0"/>
          <w:szCs w:val="21"/>
          <w:lang w:val="en-US" w:eastAsia="zh-CN"/>
        </w:rPr>
      </w:pPr>
    </w:p>
    <w:p w14:paraId="20478821">
      <w:pPr>
        <w:pStyle w:val="36"/>
        <w:keepNext w:val="0"/>
        <w:keepLines w:val="0"/>
        <w:widowControl/>
        <w:suppressLineNumbers w:val="0"/>
        <w:rPr>
          <w:rFonts w:hint="eastAsia" w:ascii="宋体" w:hAnsi="宋体" w:cs="宋体"/>
          <w:b/>
          <w:bCs/>
          <w:kern w:val="0"/>
          <w:szCs w:val="21"/>
          <w:lang w:val="zh-CN"/>
        </w:rPr>
      </w:pPr>
    </w:p>
    <w:p w14:paraId="465C78CD">
      <w:pPr>
        <w:rPr>
          <w:rFonts w:ascii="宋体" w:hAnsi="宋体" w:cs="宋体"/>
          <w:sz w:val="24"/>
          <w:szCs w:val="24"/>
          <w:highlight w:val="none"/>
        </w:rPr>
      </w:pPr>
      <w:r>
        <w:rPr>
          <w:rFonts w:ascii="宋体" w:hAnsi="宋体" w:cs="宋体"/>
          <w:highlight w:val="none"/>
        </w:rPr>
        <w:br w:type="page"/>
      </w:r>
      <w:bookmarkStart w:id="466" w:name="_Toc5771"/>
      <w:bookmarkEnd w:id="466"/>
      <w:bookmarkStart w:id="467" w:name="_Toc19578"/>
      <w:bookmarkEnd w:id="467"/>
      <w:bookmarkStart w:id="468" w:name="_Toc3646"/>
      <w:bookmarkEnd w:id="468"/>
      <w:bookmarkStart w:id="469" w:name="_Toc5233"/>
      <w:bookmarkStart w:id="470" w:name="_Toc70"/>
      <w:bookmarkStart w:id="471" w:name="_Toc29325"/>
      <w:bookmarkStart w:id="472" w:name="_Toc20404"/>
      <w:bookmarkStart w:id="473" w:name="_Toc1398"/>
      <w:bookmarkStart w:id="474" w:name="_Toc14584"/>
      <w:bookmarkStart w:id="475" w:name="_Toc27264"/>
      <w:bookmarkStart w:id="476" w:name="_Toc11866"/>
      <w:bookmarkStart w:id="477" w:name="_Toc24300"/>
      <w:bookmarkStart w:id="478" w:name="_Toc18958"/>
      <w:bookmarkStart w:id="479" w:name="_Toc24980"/>
      <w:bookmarkStart w:id="480" w:name="_Toc18512"/>
      <w:bookmarkStart w:id="481" w:name="_Toc26603"/>
      <w:r>
        <w:rPr>
          <w:rFonts w:hint="eastAsia" w:ascii="宋体" w:hAnsi="宋体" w:cs="宋体"/>
          <w:b/>
          <w:sz w:val="24"/>
          <w:szCs w:val="24"/>
          <w:highlight w:val="none"/>
        </w:rPr>
        <w:t>技术部分</w:t>
      </w:r>
      <w:bookmarkEnd w:id="469"/>
      <w:bookmarkEnd w:id="470"/>
      <w:bookmarkEnd w:id="471"/>
      <w:bookmarkEnd w:id="472"/>
      <w:bookmarkEnd w:id="473"/>
      <w:bookmarkEnd w:id="474"/>
      <w:bookmarkEnd w:id="475"/>
      <w:bookmarkEnd w:id="476"/>
      <w:bookmarkEnd w:id="477"/>
      <w:bookmarkEnd w:id="478"/>
      <w:bookmarkEnd w:id="479"/>
      <w:bookmarkEnd w:id="480"/>
      <w:bookmarkEnd w:id="481"/>
    </w:p>
    <w:p w14:paraId="377F376F">
      <w:pPr>
        <w:keepNext w:val="0"/>
        <w:keepLines w:val="0"/>
        <w:pageBreakBefore w:val="0"/>
        <w:widowControl w:val="0"/>
        <w:spacing w:line="360" w:lineRule="auto"/>
        <w:outlineLvl w:val="2"/>
        <w:rPr>
          <w:rFonts w:ascii="宋体" w:hAnsi="宋体" w:cs="宋体"/>
          <w:b/>
          <w:sz w:val="24"/>
          <w:szCs w:val="24"/>
          <w:highlight w:val="none"/>
        </w:rPr>
      </w:pPr>
      <w:bookmarkStart w:id="482" w:name="_Toc2491"/>
      <w:bookmarkStart w:id="483" w:name="_Toc14780"/>
      <w:bookmarkStart w:id="484" w:name="_Toc6883"/>
      <w:bookmarkStart w:id="485" w:name="_Toc20605"/>
      <w:bookmarkStart w:id="486" w:name="_Toc1847"/>
      <w:bookmarkStart w:id="487" w:name="_Toc4249"/>
      <w:bookmarkStart w:id="488" w:name="_Toc27376"/>
      <w:bookmarkStart w:id="489" w:name="_Toc23155"/>
      <w:bookmarkStart w:id="490" w:name="_Toc2697"/>
      <w:bookmarkStart w:id="491" w:name="_Toc20154"/>
      <w:bookmarkStart w:id="492" w:name="_Toc22898"/>
      <w:bookmarkStart w:id="493" w:name="_Toc1611"/>
      <w:bookmarkStart w:id="494" w:name="_Toc19820"/>
      <w:bookmarkStart w:id="495" w:name="_Toc25152"/>
      <w:bookmarkStart w:id="496" w:name="_Toc26303"/>
      <w:bookmarkStart w:id="497" w:name="_Toc220"/>
      <w:bookmarkStart w:id="498" w:name="_Toc12519"/>
      <w:bookmarkStart w:id="499" w:name="_Toc6561"/>
      <w:bookmarkStart w:id="500" w:name="_Toc18411"/>
      <w:bookmarkStart w:id="501" w:name="_Toc2440"/>
      <w:bookmarkStart w:id="502" w:name="_Toc26480"/>
      <w:bookmarkStart w:id="503" w:name="_Toc9670"/>
      <w:bookmarkStart w:id="504" w:name="_Toc27656"/>
      <w:bookmarkStart w:id="505" w:name="_Toc13549"/>
      <w:bookmarkStart w:id="506" w:name="_Toc11049"/>
      <w:bookmarkStart w:id="507" w:name="_Toc13425"/>
      <w:r>
        <w:rPr>
          <w:rFonts w:hint="eastAsia" w:ascii="宋体" w:hAnsi="宋体" w:cs="宋体"/>
          <w:b/>
          <w:sz w:val="24"/>
          <w:szCs w:val="24"/>
          <w:highlight w:val="none"/>
        </w:rPr>
        <w:t>一、</w:t>
      </w:r>
      <w:bookmarkEnd w:id="482"/>
      <w:bookmarkEnd w:id="483"/>
      <w:bookmarkEnd w:id="484"/>
      <w:bookmarkEnd w:id="485"/>
      <w:bookmarkEnd w:id="486"/>
      <w:bookmarkEnd w:id="487"/>
      <w:bookmarkEnd w:id="488"/>
      <w:bookmarkEnd w:id="489"/>
      <w:bookmarkEnd w:id="490"/>
      <w:bookmarkEnd w:id="491"/>
      <w:bookmarkEnd w:id="492"/>
      <w:bookmarkEnd w:id="493"/>
      <w:bookmarkEnd w:id="494"/>
      <w:bookmarkStart w:id="508" w:name="_Toc27045"/>
      <w:bookmarkStart w:id="509" w:name="_Toc10986"/>
      <w:bookmarkStart w:id="510" w:name="_Toc26119"/>
      <w:bookmarkStart w:id="511" w:name="_Toc7250"/>
      <w:bookmarkStart w:id="512" w:name="_Toc13930"/>
      <w:r>
        <w:rPr>
          <w:rFonts w:hint="eastAsia" w:ascii="宋体" w:hAnsi="宋体" w:cs="宋体"/>
          <w:b/>
          <w:sz w:val="24"/>
          <w:szCs w:val="24"/>
          <w:highlight w:val="none"/>
        </w:rPr>
        <w:t>项目服务方案</w:t>
      </w:r>
      <w:bookmarkEnd w:id="495"/>
      <w:bookmarkEnd w:id="496"/>
      <w:bookmarkEnd w:id="497"/>
      <w:bookmarkEnd w:id="498"/>
      <w:bookmarkEnd w:id="499"/>
      <w:bookmarkEnd w:id="500"/>
      <w:bookmarkEnd w:id="501"/>
      <w:bookmarkEnd w:id="502"/>
      <w:bookmarkEnd w:id="503"/>
      <w:bookmarkEnd w:id="504"/>
      <w:bookmarkEnd w:id="505"/>
      <w:bookmarkEnd w:id="506"/>
      <w:bookmarkEnd w:id="507"/>
    </w:p>
    <w:p w14:paraId="3E0E12FB">
      <w:pPr>
        <w:keepNext w:val="0"/>
        <w:keepLines w:val="0"/>
        <w:pageBreakBefore w:val="0"/>
        <w:widowControl w:val="0"/>
        <w:spacing w:line="360" w:lineRule="auto"/>
        <w:jc w:val="center"/>
        <w:rPr>
          <w:rFonts w:ascii="宋体" w:hAnsi="宋体" w:cs="宋体"/>
          <w:b/>
          <w:bCs/>
          <w:sz w:val="24"/>
          <w:szCs w:val="24"/>
          <w:highlight w:val="none"/>
          <w:lang w:val="zh-CN"/>
        </w:rPr>
      </w:pPr>
      <w:r>
        <w:rPr>
          <w:rFonts w:hint="eastAsia" w:ascii="宋体" w:hAnsi="宋体" w:cs="宋体"/>
          <w:b/>
          <w:bCs/>
          <w:sz w:val="24"/>
          <w:szCs w:val="24"/>
          <w:highlight w:val="none"/>
          <w:lang w:val="zh-CN"/>
        </w:rPr>
        <w:t>项目服务方案</w:t>
      </w:r>
    </w:p>
    <w:p w14:paraId="3FFE792E">
      <w:pPr>
        <w:keepNext w:val="0"/>
        <w:keepLines w:val="0"/>
        <w:pageBreakBefore w:val="0"/>
        <w:widowControl w:val="0"/>
        <w:spacing w:line="360" w:lineRule="auto"/>
        <w:ind w:firstLine="360"/>
        <w:jc w:val="center"/>
        <w:rPr>
          <w:rFonts w:ascii="宋体" w:hAnsi="宋体" w:cs="宋体"/>
          <w:sz w:val="24"/>
          <w:szCs w:val="24"/>
          <w:highlight w:val="none"/>
        </w:rPr>
      </w:pPr>
      <w:r>
        <w:rPr>
          <w:rFonts w:hint="eastAsia" w:ascii="宋体" w:hAnsi="宋体" w:cs="宋体"/>
          <w:sz w:val="24"/>
          <w:szCs w:val="24"/>
          <w:highlight w:val="none"/>
          <w:lang w:val="zh-CN"/>
        </w:rPr>
        <w:t>（格式自拟）</w:t>
      </w:r>
    </w:p>
    <w:p w14:paraId="110BD5BA">
      <w:pPr>
        <w:keepNext w:val="0"/>
        <w:keepLines w:val="0"/>
        <w:pageBreakBefore w:val="0"/>
        <w:widowControl w:val="0"/>
        <w:spacing w:line="360" w:lineRule="auto"/>
        <w:jc w:val="center"/>
        <w:rPr>
          <w:rFonts w:ascii="宋体" w:hAnsi="宋体" w:cs="宋体"/>
          <w:b/>
          <w:bCs/>
          <w:sz w:val="24"/>
          <w:highlight w:val="none"/>
        </w:rPr>
      </w:pPr>
    </w:p>
    <w:p w14:paraId="6924BB5E">
      <w:pPr>
        <w:keepNext w:val="0"/>
        <w:keepLines w:val="0"/>
        <w:pageBreakBefore w:val="0"/>
        <w:widowControl w:val="0"/>
        <w:spacing w:line="360" w:lineRule="auto"/>
        <w:jc w:val="center"/>
        <w:rPr>
          <w:rFonts w:ascii="宋体" w:hAnsi="宋体" w:cs="宋体"/>
          <w:b/>
          <w:bCs/>
          <w:sz w:val="24"/>
          <w:highlight w:val="none"/>
          <w:lang w:val="zh-CN"/>
        </w:rPr>
      </w:pPr>
    </w:p>
    <w:p w14:paraId="29F2F49C">
      <w:pPr>
        <w:keepNext w:val="0"/>
        <w:keepLines w:val="0"/>
        <w:pageBreakBefore w:val="0"/>
        <w:widowControl w:val="0"/>
        <w:spacing w:line="360" w:lineRule="auto"/>
        <w:jc w:val="right"/>
        <w:rPr>
          <w:rFonts w:ascii="宋体" w:hAnsi="宋体" w:cs="宋体"/>
          <w:sz w:val="24"/>
          <w:highlight w:val="none"/>
          <w:lang w:val="zh-CN"/>
        </w:rPr>
      </w:pPr>
      <w:r>
        <w:rPr>
          <w:rFonts w:hint="eastAsia" w:ascii="宋体" w:hAnsi="宋体" w:cs="宋体"/>
          <w:sz w:val="24"/>
          <w:highlight w:val="none"/>
          <w:lang w:val="zh-CN"/>
        </w:rPr>
        <w:t xml:space="preserve"> 供应商</w:t>
      </w:r>
      <w:r>
        <w:rPr>
          <w:rFonts w:hint="eastAsia" w:ascii="宋体" w:hAnsi="宋体" w:cs="宋体"/>
          <w:sz w:val="24"/>
          <w:highlight w:val="none"/>
        </w:rPr>
        <w:t>（</w:t>
      </w:r>
      <w:r>
        <w:rPr>
          <w:rFonts w:hint="eastAsia" w:ascii="宋体" w:hAnsi="宋体" w:cs="宋体"/>
          <w:sz w:val="21"/>
          <w:szCs w:val="21"/>
          <w:highlight w:val="none"/>
          <w:lang w:val="en-US" w:eastAsia="zh-CN"/>
        </w:rPr>
        <w:t>电子签章</w:t>
      </w:r>
      <w:r>
        <w:rPr>
          <w:rFonts w:hint="eastAsia" w:ascii="宋体" w:hAnsi="宋体" w:cs="宋体"/>
          <w:sz w:val="24"/>
          <w:highlight w:val="none"/>
        </w:rPr>
        <w:t xml:space="preserve">）：            </w:t>
      </w:r>
    </w:p>
    <w:p w14:paraId="13CB0ACA">
      <w:pPr>
        <w:keepNext w:val="0"/>
        <w:keepLines w:val="0"/>
        <w:pageBreakBefore w:val="0"/>
        <w:widowControl w:val="0"/>
        <w:spacing w:line="360" w:lineRule="auto"/>
        <w:jc w:val="right"/>
        <w:rPr>
          <w:rFonts w:ascii="宋体" w:hAnsi="宋体" w:cs="宋体"/>
          <w:sz w:val="24"/>
          <w:highlight w:val="none"/>
          <w:lang w:val="zh-CN"/>
        </w:rPr>
      </w:pPr>
      <w:r>
        <w:rPr>
          <w:rFonts w:hint="eastAsia" w:ascii="宋体" w:hAnsi="宋体" w:cs="宋体"/>
          <w:sz w:val="24"/>
          <w:highlight w:val="none"/>
          <w:lang w:val="zh-CN"/>
        </w:rPr>
        <w:t xml:space="preserve">            </w:t>
      </w:r>
    </w:p>
    <w:p w14:paraId="79ABEE22">
      <w:pPr>
        <w:keepNext w:val="0"/>
        <w:keepLines w:val="0"/>
        <w:pageBreakBefore w:val="0"/>
        <w:widowControl w:val="0"/>
        <w:spacing w:line="360" w:lineRule="auto"/>
        <w:jc w:val="right"/>
        <w:rPr>
          <w:rFonts w:ascii="宋体" w:hAnsi="宋体" w:cs="宋体"/>
          <w:sz w:val="24"/>
          <w:highlight w:val="none"/>
          <w:lang w:val="zh-CN"/>
        </w:rPr>
      </w:pPr>
      <w:r>
        <w:rPr>
          <w:rFonts w:hint="eastAsia" w:ascii="宋体" w:hAnsi="宋体" w:cs="宋体"/>
          <w:sz w:val="24"/>
          <w:highlight w:val="none"/>
          <w:lang w:val="zh-CN"/>
        </w:rPr>
        <w:t>日    期：    年    月   日</w:t>
      </w:r>
    </w:p>
    <w:p w14:paraId="7650F6DA">
      <w:pPr>
        <w:rPr>
          <w:rFonts w:ascii="宋体" w:hAnsi="宋体" w:cs="宋体"/>
          <w:b/>
          <w:szCs w:val="21"/>
          <w:highlight w:val="none"/>
        </w:rPr>
      </w:pPr>
    </w:p>
    <w:p w14:paraId="4DE32EF4">
      <w:pPr>
        <w:rPr>
          <w:rFonts w:ascii="宋体" w:hAnsi="宋体" w:cs="宋体"/>
          <w:b/>
          <w:szCs w:val="21"/>
          <w:highlight w:val="none"/>
        </w:rPr>
      </w:pPr>
    </w:p>
    <w:p w14:paraId="713B10FD">
      <w:pPr>
        <w:pStyle w:val="49"/>
        <w:ind w:firstLine="560"/>
        <w:rPr>
          <w:rFonts w:ascii="宋体" w:hAnsi="宋体" w:cs="宋体"/>
          <w:highlight w:val="none"/>
        </w:rPr>
      </w:pPr>
    </w:p>
    <w:p w14:paraId="7562A538">
      <w:pPr>
        <w:outlineLvl w:val="2"/>
        <w:rPr>
          <w:rFonts w:ascii="宋体" w:hAnsi="宋体" w:cs="宋体"/>
          <w:b/>
          <w:sz w:val="24"/>
          <w:highlight w:val="none"/>
        </w:rPr>
      </w:pPr>
      <w:bookmarkStart w:id="513" w:name="_Toc24761"/>
      <w:bookmarkStart w:id="514" w:name="_Toc7944"/>
      <w:bookmarkStart w:id="515" w:name="_Toc26591"/>
      <w:bookmarkStart w:id="516" w:name="_Toc6856"/>
      <w:bookmarkStart w:id="517" w:name="_Toc9137"/>
      <w:bookmarkStart w:id="518" w:name="_Toc13970"/>
      <w:bookmarkStart w:id="519" w:name="_Toc25"/>
      <w:bookmarkStart w:id="520" w:name="_Toc4875"/>
      <w:bookmarkStart w:id="521" w:name="_Toc29020"/>
      <w:bookmarkStart w:id="522" w:name="_Toc23395"/>
      <w:bookmarkStart w:id="523" w:name="_Toc3678"/>
      <w:bookmarkStart w:id="524" w:name="_Toc6591"/>
      <w:bookmarkStart w:id="525" w:name="_Toc19573"/>
      <w:bookmarkStart w:id="526" w:name="_Toc4743"/>
      <w:bookmarkStart w:id="527" w:name="_Toc8551"/>
      <w:r>
        <w:rPr>
          <w:rFonts w:hint="eastAsia" w:ascii="宋体" w:hAnsi="宋体" w:cs="宋体"/>
          <w:b/>
          <w:sz w:val="24"/>
          <w:highlight w:val="none"/>
        </w:rPr>
        <w:t>二、</w:t>
      </w:r>
      <w:bookmarkEnd w:id="508"/>
      <w:bookmarkEnd w:id="509"/>
      <w:bookmarkEnd w:id="510"/>
      <w:bookmarkEnd w:id="511"/>
      <w:bookmarkEnd w:id="512"/>
      <w:bookmarkEnd w:id="513"/>
      <w:r>
        <w:rPr>
          <w:rFonts w:hint="eastAsia" w:ascii="宋体" w:hAnsi="宋体" w:cs="宋体"/>
          <w:b/>
          <w:sz w:val="24"/>
          <w:highlight w:val="none"/>
        </w:rPr>
        <w:t>项目组成人员一览表</w:t>
      </w:r>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p>
    <w:p w14:paraId="192760FC">
      <w:pPr>
        <w:jc w:val="center"/>
        <w:rPr>
          <w:rFonts w:ascii="宋体" w:hAnsi="宋体" w:cs="宋体"/>
          <w:b/>
          <w:bCs/>
          <w:sz w:val="28"/>
          <w:szCs w:val="28"/>
          <w:highlight w:val="none"/>
          <w:lang w:val="zh-CN"/>
        </w:rPr>
      </w:pPr>
      <w:r>
        <w:rPr>
          <w:rFonts w:hint="eastAsia" w:ascii="宋体" w:hAnsi="宋体" w:cs="宋体"/>
          <w:b/>
          <w:bCs/>
          <w:sz w:val="28"/>
          <w:szCs w:val="28"/>
          <w:highlight w:val="none"/>
          <w:lang w:val="zh-CN"/>
        </w:rPr>
        <w:t>项目组成人员一览表</w:t>
      </w:r>
    </w:p>
    <w:tbl>
      <w:tblPr>
        <w:tblStyle w:val="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7"/>
        <w:gridCol w:w="876"/>
        <w:gridCol w:w="705"/>
        <w:gridCol w:w="1105"/>
        <w:gridCol w:w="1105"/>
        <w:gridCol w:w="1080"/>
        <w:gridCol w:w="1975"/>
        <w:gridCol w:w="2075"/>
      </w:tblGrid>
      <w:tr w14:paraId="56998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58" w:type="dxa"/>
            <w:gridSpan w:val="8"/>
            <w:noWrap/>
            <w:vAlign w:val="center"/>
          </w:tcPr>
          <w:p w14:paraId="52E1F94C">
            <w:pPr>
              <w:jc w:val="left"/>
              <w:rPr>
                <w:rFonts w:ascii="宋体" w:hAnsi="宋体" w:cs="宋体"/>
                <w:szCs w:val="21"/>
                <w:highlight w:val="none"/>
                <w:lang w:val="zh-CN"/>
              </w:rPr>
            </w:pPr>
            <w:r>
              <w:rPr>
                <w:rFonts w:hint="eastAsia" w:ascii="宋体" w:hAnsi="宋体" w:cs="宋体"/>
                <w:szCs w:val="21"/>
                <w:highlight w:val="none"/>
                <w:lang w:val="zh-CN"/>
              </w:rPr>
              <w:t>项目编号：</w:t>
            </w:r>
          </w:p>
          <w:p w14:paraId="644CA690">
            <w:pPr>
              <w:jc w:val="left"/>
              <w:rPr>
                <w:rFonts w:hint="default" w:ascii="宋体" w:hAnsi="宋体" w:cs="宋体"/>
                <w:bCs/>
                <w:szCs w:val="21"/>
                <w:highlight w:val="none"/>
                <w:lang w:val="en-US" w:eastAsia="zh-CN"/>
              </w:rPr>
            </w:pPr>
            <w:r>
              <w:rPr>
                <w:rFonts w:hint="eastAsia" w:ascii="宋体" w:hAnsi="宋体" w:cs="宋体"/>
                <w:szCs w:val="21"/>
                <w:highlight w:val="none"/>
                <w:lang w:val="zh-CN"/>
              </w:rPr>
              <w:t>项目名称：</w:t>
            </w:r>
          </w:p>
        </w:tc>
      </w:tr>
      <w:tr w14:paraId="1BBD6A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7" w:type="dxa"/>
            <w:noWrap/>
          </w:tcPr>
          <w:p w14:paraId="57727307">
            <w:pPr>
              <w:jc w:val="center"/>
              <w:rPr>
                <w:rFonts w:ascii="宋体" w:hAnsi="宋体" w:cs="宋体"/>
                <w:b/>
                <w:szCs w:val="21"/>
                <w:highlight w:val="none"/>
                <w:lang w:val="zh-CN"/>
              </w:rPr>
            </w:pPr>
            <w:r>
              <w:rPr>
                <w:rFonts w:hint="eastAsia" w:ascii="宋体" w:hAnsi="宋体" w:cs="宋体"/>
                <w:b/>
                <w:szCs w:val="21"/>
                <w:highlight w:val="none"/>
                <w:lang w:val="zh-CN"/>
              </w:rPr>
              <w:t>序号</w:t>
            </w:r>
          </w:p>
        </w:tc>
        <w:tc>
          <w:tcPr>
            <w:tcW w:w="876" w:type="dxa"/>
            <w:noWrap/>
            <w:vAlign w:val="center"/>
          </w:tcPr>
          <w:p w14:paraId="0A4298FD">
            <w:pPr>
              <w:jc w:val="center"/>
              <w:rPr>
                <w:rFonts w:ascii="宋体" w:hAnsi="宋体" w:cs="宋体"/>
                <w:b/>
                <w:szCs w:val="21"/>
                <w:highlight w:val="none"/>
                <w:lang w:val="zh-CN"/>
              </w:rPr>
            </w:pPr>
            <w:r>
              <w:rPr>
                <w:rFonts w:hint="eastAsia" w:ascii="宋体" w:hAnsi="宋体" w:cs="宋体"/>
                <w:b/>
                <w:szCs w:val="21"/>
                <w:highlight w:val="none"/>
                <w:lang w:val="zh-CN"/>
              </w:rPr>
              <w:t>姓名</w:t>
            </w:r>
          </w:p>
        </w:tc>
        <w:tc>
          <w:tcPr>
            <w:tcW w:w="705" w:type="dxa"/>
            <w:noWrap/>
            <w:vAlign w:val="center"/>
          </w:tcPr>
          <w:p w14:paraId="24409358">
            <w:pPr>
              <w:jc w:val="center"/>
              <w:rPr>
                <w:rFonts w:ascii="宋体" w:hAnsi="宋体" w:cs="宋体"/>
                <w:b/>
                <w:szCs w:val="21"/>
                <w:highlight w:val="none"/>
                <w:lang w:val="zh-CN"/>
              </w:rPr>
            </w:pPr>
            <w:r>
              <w:rPr>
                <w:rFonts w:hint="eastAsia" w:ascii="宋体" w:hAnsi="宋体" w:cs="宋体"/>
                <w:b/>
                <w:szCs w:val="21"/>
                <w:highlight w:val="none"/>
                <w:lang w:val="zh-CN"/>
              </w:rPr>
              <w:t>性别</w:t>
            </w:r>
          </w:p>
        </w:tc>
        <w:tc>
          <w:tcPr>
            <w:tcW w:w="1105" w:type="dxa"/>
            <w:noWrap/>
            <w:vAlign w:val="center"/>
          </w:tcPr>
          <w:p w14:paraId="7BC7C1DF">
            <w:pPr>
              <w:jc w:val="center"/>
              <w:rPr>
                <w:rFonts w:ascii="宋体" w:hAnsi="宋体" w:cs="宋体"/>
                <w:b/>
                <w:szCs w:val="21"/>
                <w:highlight w:val="none"/>
                <w:lang w:val="zh-CN"/>
              </w:rPr>
            </w:pPr>
            <w:r>
              <w:rPr>
                <w:rFonts w:hint="eastAsia" w:ascii="宋体" w:hAnsi="宋体" w:cs="宋体"/>
                <w:b/>
                <w:szCs w:val="21"/>
                <w:highlight w:val="none"/>
                <w:lang w:val="zh-CN"/>
              </w:rPr>
              <w:t>执业资格</w:t>
            </w:r>
          </w:p>
        </w:tc>
        <w:tc>
          <w:tcPr>
            <w:tcW w:w="1105" w:type="dxa"/>
            <w:noWrap/>
            <w:vAlign w:val="center"/>
          </w:tcPr>
          <w:p w14:paraId="71EDE80F">
            <w:pPr>
              <w:jc w:val="center"/>
              <w:rPr>
                <w:rFonts w:ascii="宋体" w:hAnsi="宋体" w:cs="宋体"/>
                <w:b/>
                <w:szCs w:val="21"/>
                <w:highlight w:val="none"/>
                <w:lang w:val="zh-CN"/>
              </w:rPr>
            </w:pPr>
            <w:r>
              <w:rPr>
                <w:rFonts w:hint="eastAsia" w:ascii="宋体" w:hAnsi="宋体" w:cs="宋体"/>
                <w:b/>
                <w:szCs w:val="21"/>
                <w:highlight w:val="none"/>
                <w:lang w:val="zh-CN"/>
              </w:rPr>
              <w:t>类别</w:t>
            </w:r>
          </w:p>
        </w:tc>
        <w:tc>
          <w:tcPr>
            <w:tcW w:w="1080" w:type="dxa"/>
            <w:noWrap/>
            <w:vAlign w:val="center"/>
          </w:tcPr>
          <w:p w14:paraId="6D4DB231">
            <w:pPr>
              <w:jc w:val="center"/>
              <w:rPr>
                <w:rFonts w:ascii="宋体" w:hAnsi="宋体" w:cs="宋体"/>
                <w:b/>
                <w:szCs w:val="21"/>
                <w:highlight w:val="none"/>
                <w:lang w:val="zh-CN"/>
              </w:rPr>
            </w:pPr>
            <w:r>
              <w:rPr>
                <w:rFonts w:hint="eastAsia" w:ascii="宋体" w:hAnsi="宋体" w:cs="宋体"/>
                <w:b/>
                <w:szCs w:val="21"/>
                <w:highlight w:val="none"/>
                <w:lang w:val="zh-CN"/>
              </w:rPr>
              <w:t>证书号</w:t>
            </w:r>
          </w:p>
        </w:tc>
        <w:tc>
          <w:tcPr>
            <w:tcW w:w="1975" w:type="dxa"/>
            <w:noWrap/>
            <w:vAlign w:val="center"/>
          </w:tcPr>
          <w:p w14:paraId="38DD836E">
            <w:pPr>
              <w:jc w:val="center"/>
              <w:rPr>
                <w:rFonts w:ascii="宋体" w:hAnsi="宋体" w:cs="宋体"/>
                <w:b/>
                <w:szCs w:val="21"/>
                <w:highlight w:val="none"/>
                <w:lang w:val="zh-CN"/>
              </w:rPr>
            </w:pPr>
            <w:r>
              <w:rPr>
                <w:rFonts w:hint="eastAsia" w:ascii="宋体" w:hAnsi="宋体" w:cs="宋体"/>
                <w:b/>
                <w:szCs w:val="21"/>
                <w:highlight w:val="none"/>
                <w:lang w:val="zh-CN"/>
              </w:rPr>
              <w:t>技术职称</w:t>
            </w:r>
          </w:p>
        </w:tc>
        <w:tc>
          <w:tcPr>
            <w:tcW w:w="2075" w:type="dxa"/>
            <w:noWrap/>
            <w:vAlign w:val="center"/>
          </w:tcPr>
          <w:p w14:paraId="5EE60659">
            <w:pPr>
              <w:jc w:val="center"/>
              <w:rPr>
                <w:rFonts w:ascii="宋体" w:hAnsi="宋体" w:cs="宋体"/>
                <w:b/>
                <w:szCs w:val="21"/>
                <w:highlight w:val="none"/>
                <w:lang w:val="zh-CN"/>
              </w:rPr>
            </w:pPr>
            <w:r>
              <w:rPr>
                <w:rFonts w:hint="eastAsia" w:ascii="宋体" w:hAnsi="宋体" w:cs="宋体"/>
                <w:b/>
                <w:szCs w:val="21"/>
                <w:highlight w:val="none"/>
                <w:lang w:val="zh-CN"/>
              </w:rPr>
              <w:t>备    注       （本项目担任职务）</w:t>
            </w:r>
          </w:p>
        </w:tc>
      </w:tr>
      <w:tr w14:paraId="5D32E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37" w:type="dxa"/>
            <w:noWrap/>
          </w:tcPr>
          <w:p w14:paraId="5F47D4A2">
            <w:pPr>
              <w:rPr>
                <w:rFonts w:ascii="宋体" w:hAnsi="宋体" w:cs="宋体"/>
                <w:szCs w:val="21"/>
                <w:highlight w:val="none"/>
                <w:lang w:val="zh-CN"/>
              </w:rPr>
            </w:pPr>
          </w:p>
        </w:tc>
        <w:tc>
          <w:tcPr>
            <w:tcW w:w="876" w:type="dxa"/>
            <w:noWrap/>
          </w:tcPr>
          <w:p w14:paraId="71CD562F">
            <w:pPr>
              <w:rPr>
                <w:rFonts w:ascii="宋体" w:hAnsi="宋体" w:cs="宋体"/>
                <w:szCs w:val="21"/>
                <w:highlight w:val="none"/>
                <w:lang w:val="zh-CN"/>
              </w:rPr>
            </w:pPr>
          </w:p>
        </w:tc>
        <w:tc>
          <w:tcPr>
            <w:tcW w:w="705" w:type="dxa"/>
            <w:noWrap/>
          </w:tcPr>
          <w:p w14:paraId="77AF1642">
            <w:pPr>
              <w:rPr>
                <w:rFonts w:ascii="宋体" w:hAnsi="宋体" w:cs="宋体"/>
                <w:szCs w:val="21"/>
                <w:highlight w:val="none"/>
                <w:lang w:val="zh-CN"/>
              </w:rPr>
            </w:pPr>
          </w:p>
        </w:tc>
        <w:tc>
          <w:tcPr>
            <w:tcW w:w="1105" w:type="dxa"/>
            <w:noWrap/>
          </w:tcPr>
          <w:p w14:paraId="7C165182">
            <w:pPr>
              <w:rPr>
                <w:rFonts w:ascii="宋体" w:hAnsi="宋体" w:cs="宋体"/>
                <w:szCs w:val="21"/>
                <w:highlight w:val="none"/>
                <w:lang w:val="zh-CN"/>
              </w:rPr>
            </w:pPr>
          </w:p>
        </w:tc>
        <w:tc>
          <w:tcPr>
            <w:tcW w:w="1105" w:type="dxa"/>
            <w:noWrap/>
          </w:tcPr>
          <w:p w14:paraId="494F187D">
            <w:pPr>
              <w:rPr>
                <w:rFonts w:ascii="宋体" w:hAnsi="宋体" w:cs="宋体"/>
                <w:szCs w:val="21"/>
                <w:highlight w:val="none"/>
                <w:lang w:val="zh-CN"/>
              </w:rPr>
            </w:pPr>
          </w:p>
        </w:tc>
        <w:tc>
          <w:tcPr>
            <w:tcW w:w="1080" w:type="dxa"/>
            <w:noWrap/>
          </w:tcPr>
          <w:p w14:paraId="06205A01">
            <w:pPr>
              <w:rPr>
                <w:rFonts w:ascii="宋体" w:hAnsi="宋体" w:cs="宋体"/>
                <w:szCs w:val="21"/>
                <w:highlight w:val="none"/>
                <w:lang w:val="zh-CN"/>
              </w:rPr>
            </w:pPr>
          </w:p>
        </w:tc>
        <w:tc>
          <w:tcPr>
            <w:tcW w:w="1975" w:type="dxa"/>
            <w:noWrap/>
          </w:tcPr>
          <w:p w14:paraId="042EC4E0">
            <w:pPr>
              <w:rPr>
                <w:rFonts w:ascii="宋体" w:hAnsi="宋体" w:cs="宋体"/>
                <w:szCs w:val="21"/>
                <w:highlight w:val="none"/>
                <w:lang w:val="zh-CN"/>
              </w:rPr>
            </w:pPr>
          </w:p>
        </w:tc>
        <w:tc>
          <w:tcPr>
            <w:tcW w:w="2075" w:type="dxa"/>
            <w:noWrap/>
          </w:tcPr>
          <w:p w14:paraId="0346D2ED">
            <w:pPr>
              <w:rPr>
                <w:rFonts w:ascii="宋体" w:hAnsi="宋体" w:cs="宋体"/>
                <w:szCs w:val="21"/>
                <w:highlight w:val="none"/>
                <w:lang w:val="zh-CN"/>
              </w:rPr>
            </w:pPr>
          </w:p>
        </w:tc>
      </w:tr>
      <w:tr w14:paraId="09B1CA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37" w:type="dxa"/>
            <w:noWrap/>
          </w:tcPr>
          <w:p w14:paraId="7EBBE9CD">
            <w:pPr>
              <w:rPr>
                <w:rFonts w:ascii="宋体" w:hAnsi="宋体" w:cs="宋体"/>
                <w:szCs w:val="21"/>
                <w:highlight w:val="none"/>
                <w:lang w:val="zh-CN"/>
              </w:rPr>
            </w:pPr>
          </w:p>
        </w:tc>
        <w:tc>
          <w:tcPr>
            <w:tcW w:w="876" w:type="dxa"/>
            <w:noWrap/>
          </w:tcPr>
          <w:p w14:paraId="4219A91E">
            <w:pPr>
              <w:rPr>
                <w:rFonts w:ascii="宋体" w:hAnsi="宋体" w:cs="宋体"/>
                <w:szCs w:val="21"/>
                <w:highlight w:val="none"/>
                <w:lang w:val="zh-CN"/>
              </w:rPr>
            </w:pPr>
          </w:p>
        </w:tc>
        <w:tc>
          <w:tcPr>
            <w:tcW w:w="705" w:type="dxa"/>
            <w:noWrap/>
          </w:tcPr>
          <w:p w14:paraId="66A97406">
            <w:pPr>
              <w:rPr>
                <w:rFonts w:ascii="宋体" w:hAnsi="宋体" w:cs="宋体"/>
                <w:szCs w:val="21"/>
                <w:highlight w:val="none"/>
                <w:lang w:val="zh-CN"/>
              </w:rPr>
            </w:pPr>
          </w:p>
        </w:tc>
        <w:tc>
          <w:tcPr>
            <w:tcW w:w="1105" w:type="dxa"/>
            <w:noWrap/>
          </w:tcPr>
          <w:p w14:paraId="7F644A8F">
            <w:pPr>
              <w:rPr>
                <w:rFonts w:ascii="宋体" w:hAnsi="宋体" w:cs="宋体"/>
                <w:szCs w:val="21"/>
                <w:highlight w:val="none"/>
                <w:lang w:val="zh-CN"/>
              </w:rPr>
            </w:pPr>
          </w:p>
        </w:tc>
        <w:tc>
          <w:tcPr>
            <w:tcW w:w="1105" w:type="dxa"/>
            <w:noWrap/>
          </w:tcPr>
          <w:p w14:paraId="301F1954">
            <w:pPr>
              <w:rPr>
                <w:rFonts w:ascii="宋体" w:hAnsi="宋体" w:cs="宋体"/>
                <w:szCs w:val="21"/>
                <w:highlight w:val="none"/>
                <w:lang w:val="zh-CN"/>
              </w:rPr>
            </w:pPr>
          </w:p>
        </w:tc>
        <w:tc>
          <w:tcPr>
            <w:tcW w:w="1080" w:type="dxa"/>
            <w:noWrap/>
          </w:tcPr>
          <w:p w14:paraId="64A296B3">
            <w:pPr>
              <w:rPr>
                <w:rFonts w:ascii="宋体" w:hAnsi="宋体" w:cs="宋体"/>
                <w:szCs w:val="21"/>
                <w:highlight w:val="none"/>
                <w:lang w:val="zh-CN"/>
              </w:rPr>
            </w:pPr>
          </w:p>
        </w:tc>
        <w:tc>
          <w:tcPr>
            <w:tcW w:w="1975" w:type="dxa"/>
            <w:noWrap/>
          </w:tcPr>
          <w:p w14:paraId="306F9332">
            <w:pPr>
              <w:rPr>
                <w:rFonts w:ascii="宋体" w:hAnsi="宋体" w:cs="宋体"/>
                <w:szCs w:val="21"/>
                <w:highlight w:val="none"/>
                <w:lang w:val="zh-CN"/>
              </w:rPr>
            </w:pPr>
          </w:p>
        </w:tc>
        <w:tc>
          <w:tcPr>
            <w:tcW w:w="2075" w:type="dxa"/>
            <w:noWrap/>
          </w:tcPr>
          <w:p w14:paraId="31002346">
            <w:pPr>
              <w:rPr>
                <w:rFonts w:ascii="宋体" w:hAnsi="宋体" w:cs="宋体"/>
                <w:szCs w:val="21"/>
                <w:highlight w:val="none"/>
                <w:lang w:val="zh-CN"/>
              </w:rPr>
            </w:pPr>
          </w:p>
        </w:tc>
      </w:tr>
      <w:tr w14:paraId="01C947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37" w:type="dxa"/>
            <w:noWrap/>
          </w:tcPr>
          <w:p w14:paraId="544675DC">
            <w:pPr>
              <w:rPr>
                <w:rFonts w:ascii="宋体" w:hAnsi="宋体" w:cs="宋体"/>
                <w:szCs w:val="21"/>
                <w:highlight w:val="none"/>
                <w:lang w:val="zh-CN"/>
              </w:rPr>
            </w:pPr>
          </w:p>
        </w:tc>
        <w:tc>
          <w:tcPr>
            <w:tcW w:w="876" w:type="dxa"/>
            <w:noWrap/>
          </w:tcPr>
          <w:p w14:paraId="38598CDB">
            <w:pPr>
              <w:rPr>
                <w:rFonts w:ascii="宋体" w:hAnsi="宋体" w:cs="宋体"/>
                <w:szCs w:val="21"/>
                <w:highlight w:val="none"/>
                <w:lang w:val="zh-CN"/>
              </w:rPr>
            </w:pPr>
          </w:p>
        </w:tc>
        <w:tc>
          <w:tcPr>
            <w:tcW w:w="705" w:type="dxa"/>
            <w:noWrap/>
          </w:tcPr>
          <w:p w14:paraId="7AC8BC27">
            <w:pPr>
              <w:rPr>
                <w:rFonts w:ascii="宋体" w:hAnsi="宋体" w:cs="宋体"/>
                <w:szCs w:val="21"/>
                <w:highlight w:val="none"/>
                <w:lang w:val="zh-CN"/>
              </w:rPr>
            </w:pPr>
          </w:p>
        </w:tc>
        <w:tc>
          <w:tcPr>
            <w:tcW w:w="1105" w:type="dxa"/>
            <w:noWrap/>
          </w:tcPr>
          <w:p w14:paraId="46CD0010">
            <w:pPr>
              <w:rPr>
                <w:rFonts w:ascii="宋体" w:hAnsi="宋体" w:cs="宋体"/>
                <w:szCs w:val="21"/>
                <w:highlight w:val="none"/>
                <w:lang w:val="zh-CN"/>
              </w:rPr>
            </w:pPr>
          </w:p>
        </w:tc>
        <w:tc>
          <w:tcPr>
            <w:tcW w:w="1105" w:type="dxa"/>
            <w:noWrap/>
          </w:tcPr>
          <w:p w14:paraId="7F18F455">
            <w:pPr>
              <w:rPr>
                <w:rFonts w:ascii="宋体" w:hAnsi="宋体" w:cs="宋体"/>
                <w:szCs w:val="21"/>
                <w:highlight w:val="none"/>
                <w:lang w:val="zh-CN"/>
              </w:rPr>
            </w:pPr>
          </w:p>
        </w:tc>
        <w:tc>
          <w:tcPr>
            <w:tcW w:w="1080" w:type="dxa"/>
            <w:noWrap/>
          </w:tcPr>
          <w:p w14:paraId="3828897C">
            <w:pPr>
              <w:rPr>
                <w:rFonts w:ascii="宋体" w:hAnsi="宋体" w:cs="宋体"/>
                <w:szCs w:val="21"/>
                <w:highlight w:val="none"/>
                <w:lang w:val="zh-CN"/>
              </w:rPr>
            </w:pPr>
          </w:p>
        </w:tc>
        <w:tc>
          <w:tcPr>
            <w:tcW w:w="1975" w:type="dxa"/>
            <w:noWrap/>
          </w:tcPr>
          <w:p w14:paraId="3B106F96">
            <w:pPr>
              <w:rPr>
                <w:rFonts w:ascii="宋体" w:hAnsi="宋体" w:cs="宋体"/>
                <w:szCs w:val="21"/>
                <w:highlight w:val="none"/>
                <w:lang w:val="zh-CN"/>
              </w:rPr>
            </w:pPr>
          </w:p>
        </w:tc>
        <w:tc>
          <w:tcPr>
            <w:tcW w:w="2075" w:type="dxa"/>
            <w:noWrap/>
          </w:tcPr>
          <w:p w14:paraId="4B9E2DD8">
            <w:pPr>
              <w:rPr>
                <w:rFonts w:ascii="宋体" w:hAnsi="宋体" w:cs="宋体"/>
                <w:szCs w:val="21"/>
                <w:highlight w:val="none"/>
                <w:lang w:val="zh-CN"/>
              </w:rPr>
            </w:pPr>
          </w:p>
        </w:tc>
      </w:tr>
    </w:tbl>
    <w:p w14:paraId="18405BDC">
      <w:pPr>
        <w:keepNext w:val="0"/>
        <w:keepLines w:val="0"/>
        <w:pageBreakBefore w:val="0"/>
        <w:widowControl w:val="0"/>
        <w:spacing w:line="360" w:lineRule="auto"/>
        <w:rPr>
          <w:rFonts w:ascii="宋体" w:hAnsi="宋体" w:cs="宋体"/>
          <w:b/>
          <w:bCs/>
          <w:highlight w:val="none"/>
        </w:rPr>
      </w:pPr>
      <w:r>
        <w:rPr>
          <w:rFonts w:hint="eastAsia" w:ascii="宋体" w:hAnsi="宋体" w:cs="宋体"/>
          <w:b/>
          <w:bCs/>
          <w:highlight w:val="none"/>
        </w:rPr>
        <w:t>说明：</w:t>
      </w:r>
      <w:r>
        <w:rPr>
          <w:rFonts w:hint="eastAsia" w:ascii="宋体" w:hAnsi="宋体" w:cs="宋体"/>
          <w:b/>
          <w:bCs/>
          <w:szCs w:val="21"/>
          <w:highlight w:val="none"/>
          <w:lang w:val="zh-CN"/>
        </w:rPr>
        <w:t>请同时提供以上人员的相关</w:t>
      </w:r>
      <w:r>
        <w:rPr>
          <w:rFonts w:hint="eastAsia" w:ascii="宋体" w:hAnsi="宋体" w:cs="宋体"/>
          <w:b/>
          <w:bCs/>
          <w:szCs w:val="21"/>
          <w:highlight w:val="none"/>
        </w:rPr>
        <w:t>证书</w:t>
      </w:r>
      <w:r>
        <w:rPr>
          <w:rFonts w:hint="eastAsia" w:ascii="宋体" w:hAnsi="宋体" w:cs="宋体"/>
          <w:b/>
          <w:bCs/>
          <w:szCs w:val="21"/>
          <w:highlight w:val="none"/>
          <w:lang w:val="zh-CN"/>
        </w:rPr>
        <w:t>等证明材料。</w:t>
      </w:r>
    </w:p>
    <w:p w14:paraId="1DA6A711">
      <w:pPr>
        <w:keepNext w:val="0"/>
        <w:keepLines w:val="0"/>
        <w:pageBreakBefore w:val="0"/>
        <w:widowControl w:val="0"/>
        <w:spacing w:line="360" w:lineRule="auto"/>
        <w:rPr>
          <w:rFonts w:ascii="宋体" w:hAnsi="宋体" w:cs="宋体"/>
          <w:szCs w:val="21"/>
          <w:highlight w:val="none"/>
        </w:rPr>
      </w:pPr>
    </w:p>
    <w:p w14:paraId="0983624E">
      <w:pPr>
        <w:keepNext w:val="0"/>
        <w:keepLines w:val="0"/>
        <w:pageBreakBefore w:val="0"/>
        <w:widowControl w:val="0"/>
        <w:spacing w:line="360" w:lineRule="auto"/>
        <w:jc w:val="right"/>
        <w:rPr>
          <w:rFonts w:ascii="宋体" w:hAnsi="宋体" w:cs="宋体"/>
          <w:szCs w:val="21"/>
          <w:highlight w:val="none"/>
          <w:lang w:val="zh-CN"/>
        </w:rPr>
      </w:pPr>
      <w:r>
        <w:rPr>
          <w:rFonts w:hint="eastAsia" w:ascii="宋体" w:hAnsi="宋体" w:cs="宋体"/>
          <w:szCs w:val="21"/>
          <w:highlight w:val="none"/>
          <w:lang w:val="zh-CN"/>
        </w:rPr>
        <w:t>供应商</w:t>
      </w:r>
      <w:r>
        <w:rPr>
          <w:rFonts w:hint="eastAsia" w:ascii="宋体" w:hAnsi="宋体" w:cs="宋体"/>
          <w:szCs w:val="21"/>
          <w:highlight w:val="none"/>
        </w:rPr>
        <w:t>（</w:t>
      </w:r>
      <w:r>
        <w:rPr>
          <w:rFonts w:hint="eastAsia" w:ascii="宋体" w:hAnsi="宋体" w:cs="宋体"/>
          <w:sz w:val="21"/>
          <w:szCs w:val="21"/>
          <w:highlight w:val="none"/>
          <w:lang w:val="en-US" w:eastAsia="zh-CN"/>
        </w:rPr>
        <w:t>电子签章</w:t>
      </w:r>
      <w:r>
        <w:rPr>
          <w:rFonts w:hint="eastAsia" w:ascii="宋体" w:hAnsi="宋体" w:cs="宋体"/>
          <w:szCs w:val="21"/>
          <w:highlight w:val="none"/>
        </w:rPr>
        <w:t xml:space="preserve">）：            </w:t>
      </w:r>
    </w:p>
    <w:p w14:paraId="5B0ECDB5">
      <w:pPr>
        <w:keepNext w:val="0"/>
        <w:keepLines w:val="0"/>
        <w:pageBreakBefore w:val="0"/>
        <w:widowControl w:val="0"/>
        <w:spacing w:line="360" w:lineRule="auto"/>
        <w:jc w:val="right"/>
        <w:rPr>
          <w:rFonts w:ascii="宋体" w:hAnsi="宋体" w:cs="宋体"/>
          <w:szCs w:val="21"/>
          <w:highlight w:val="none"/>
          <w:lang w:val="zh-CN"/>
        </w:rPr>
      </w:pPr>
      <w:r>
        <w:rPr>
          <w:rFonts w:hint="eastAsia" w:ascii="宋体" w:hAnsi="宋体" w:cs="宋体"/>
          <w:szCs w:val="21"/>
          <w:highlight w:val="none"/>
          <w:lang w:val="zh-CN"/>
        </w:rPr>
        <w:t xml:space="preserve">           </w:t>
      </w:r>
    </w:p>
    <w:p w14:paraId="083CE587">
      <w:pPr>
        <w:keepNext w:val="0"/>
        <w:keepLines w:val="0"/>
        <w:pageBreakBefore w:val="0"/>
        <w:widowControl w:val="0"/>
        <w:spacing w:line="360" w:lineRule="auto"/>
        <w:jc w:val="right"/>
        <w:rPr>
          <w:rFonts w:ascii="宋体" w:hAnsi="宋体" w:cs="宋体"/>
          <w:szCs w:val="21"/>
          <w:highlight w:val="none"/>
          <w:lang w:val="zh-CN"/>
        </w:rPr>
      </w:pPr>
      <w:r>
        <w:rPr>
          <w:rFonts w:hint="eastAsia" w:ascii="宋体" w:hAnsi="宋体" w:cs="宋体"/>
          <w:szCs w:val="21"/>
          <w:highlight w:val="none"/>
          <w:lang w:val="zh-CN"/>
        </w:rPr>
        <w:t>日    期：    年    月   日</w:t>
      </w:r>
    </w:p>
    <w:p w14:paraId="36C6C75E">
      <w:pPr>
        <w:jc w:val="right"/>
        <w:rPr>
          <w:rFonts w:ascii="宋体" w:hAnsi="宋体" w:cs="宋体"/>
          <w:szCs w:val="21"/>
          <w:highlight w:val="none"/>
          <w:lang w:val="zh-CN"/>
        </w:rPr>
      </w:pPr>
    </w:p>
    <w:p w14:paraId="074E9EAE">
      <w:pPr>
        <w:rPr>
          <w:rFonts w:ascii="宋体" w:hAnsi="宋体" w:cs="宋体"/>
          <w:b/>
          <w:szCs w:val="21"/>
          <w:highlight w:val="none"/>
        </w:rPr>
      </w:pPr>
    </w:p>
    <w:p w14:paraId="00BDF50A">
      <w:pPr>
        <w:rPr>
          <w:rFonts w:ascii="宋体" w:hAnsi="宋体" w:cs="宋体"/>
          <w:highlight w:val="none"/>
        </w:rPr>
      </w:pPr>
      <w:r>
        <w:rPr>
          <w:rFonts w:hint="eastAsia" w:ascii="宋体" w:hAnsi="宋体" w:cs="宋体"/>
          <w:b/>
          <w:highlight w:val="none"/>
        </w:rPr>
        <w:br w:type="page" w:clear="all"/>
      </w:r>
      <w:bookmarkStart w:id="528" w:name="_Toc9277"/>
    </w:p>
    <w:p w14:paraId="359F12CD">
      <w:pPr>
        <w:keepNext w:val="0"/>
        <w:keepLines w:val="0"/>
        <w:pageBreakBefore w:val="0"/>
        <w:widowControl w:val="0"/>
        <w:spacing w:line="360" w:lineRule="auto"/>
        <w:outlineLvl w:val="2"/>
        <w:rPr>
          <w:rFonts w:ascii="宋体" w:hAnsi="宋体" w:cs="宋体"/>
          <w:b/>
          <w:sz w:val="24"/>
          <w:highlight w:val="none"/>
        </w:rPr>
      </w:pPr>
      <w:bookmarkStart w:id="529" w:name="_Toc22783"/>
      <w:bookmarkStart w:id="530" w:name="_Toc20316"/>
      <w:bookmarkStart w:id="531" w:name="_Toc15709"/>
      <w:bookmarkStart w:id="532" w:name="_Toc26138"/>
      <w:bookmarkStart w:id="533" w:name="_Toc29382"/>
      <w:bookmarkStart w:id="534" w:name="_Toc2832"/>
      <w:bookmarkStart w:id="535" w:name="_Toc11450"/>
      <w:bookmarkStart w:id="536" w:name="_Toc30562"/>
      <w:bookmarkStart w:id="537" w:name="_Toc8947"/>
      <w:bookmarkStart w:id="538" w:name="_Toc10369"/>
      <w:bookmarkStart w:id="539" w:name="_Toc30144"/>
      <w:bookmarkStart w:id="540" w:name="_Toc8488"/>
      <w:bookmarkStart w:id="541" w:name="_Toc9727"/>
      <w:bookmarkStart w:id="542" w:name="_Toc6493"/>
      <w:bookmarkStart w:id="543" w:name="_Toc26557"/>
      <w:bookmarkStart w:id="544" w:name="_Toc10394"/>
      <w:bookmarkStart w:id="545" w:name="_Toc7255"/>
      <w:bookmarkStart w:id="546" w:name="_Toc5934"/>
      <w:bookmarkStart w:id="547" w:name="_Toc26500"/>
      <w:r>
        <w:rPr>
          <w:rFonts w:hint="eastAsia" w:ascii="宋体" w:hAnsi="宋体" w:cs="宋体"/>
          <w:b/>
          <w:sz w:val="24"/>
          <w:highlight w:val="none"/>
          <w:lang w:val="en-US" w:eastAsia="zh-CN"/>
        </w:rPr>
        <w:t>三</w:t>
      </w:r>
      <w:r>
        <w:rPr>
          <w:rFonts w:hint="eastAsia" w:ascii="宋体" w:hAnsi="宋体" w:cs="宋体"/>
          <w:b/>
          <w:sz w:val="24"/>
          <w:highlight w:val="none"/>
        </w:rPr>
        <w:t>、质量保证及服务承诺</w:t>
      </w:r>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p>
    <w:p w14:paraId="0B95200C">
      <w:pPr>
        <w:keepNext w:val="0"/>
        <w:keepLines w:val="0"/>
        <w:pageBreakBefore w:val="0"/>
        <w:widowControl w:val="0"/>
        <w:spacing w:line="360" w:lineRule="auto"/>
        <w:jc w:val="center"/>
        <w:rPr>
          <w:rFonts w:ascii="宋体" w:hAnsi="宋体" w:cs="宋体"/>
          <w:b/>
          <w:bCs/>
          <w:sz w:val="28"/>
          <w:szCs w:val="28"/>
          <w:highlight w:val="none"/>
          <w:lang w:val="zh-CN"/>
        </w:rPr>
      </w:pPr>
      <w:r>
        <w:rPr>
          <w:rFonts w:hint="eastAsia" w:ascii="宋体" w:hAnsi="宋体" w:cs="宋体"/>
          <w:b/>
          <w:bCs/>
          <w:sz w:val="28"/>
          <w:szCs w:val="28"/>
          <w:highlight w:val="none"/>
          <w:lang w:val="zh-CN"/>
        </w:rPr>
        <w:t>质量保证及服务承诺</w:t>
      </w:r>
    </w:p>
    <w:p w14:paraId="29D998DE">
      <w:pPr>
        <w:keepNext w:val="0"/>
        <w:keepLines w:val="0"/>
        <w:pageBreakBefore w:val="0"/>
        <w:widowControl w:val="0"/>
        <w:spacing w:line="360" w:lineRule="auto"/>
        <w:jc w:val="center"/>
        <w:rPr>
          <w:rFonts w:ascii="宋体" w:hAnsi="宋体" w:cs="宋体"/>
          <w:szCs w:val="21"/>
          <w:highlight w:val="none"/>
        </w:rPr>
      </w:pPr>
    </w:p>
    <w:p w14:paraId="7A96640C">
      <w:pPr>
        <w:keepNext w:val="0"/>
        <w:keepLines w:val="0"/>
        <w:pageBreakBefore w:val="0"/>
        <w:widowControl w:val="0"/>
        <w:spacing w:line="360" w:lineRule="auto"/>
        <w:rPr>
          <w:rFonts w:ascii="宋体" w:hAnsi="宋体" w:cs="宋体"/>
          <w:szCs w:val="21"/>
          <w:highlight w:val="none"/>
        </w:rPr>
      </w:pPr>
      <w:r>
        <w:rPr>
          <w:rFonts w:hint="eastAsia" w:ascii="宋体" w:hAnsi="宋体" w:cs="宋体"/>
          <w:szCs w:val="21"/>
          <w:highlight w:val="none"/>
          <w:lang w:val="zh-CN"/>
        </w:rPr>
        <w:t>我公司就项目编号为“”的采购项目质量保证及服务承诺如下：</w:t>
      </w:r>
    </w:p>
    <w:p w14:paraId="7ED361DC">
      <w:pPr>
        <w:keepNext w:val="0"/>
        <w:keepLines w:val="0"/>
        <w:pageBreakBefore w:val="0"/>
        <w:widowControl w:val="0"/>
        <w:spacing w:line="360" w:lineRule="auto"/>
        <w:ind w:firstLine="360"/>
        <w:jc w:val="center"/>
        <w:rPr>
          <w:rFonts w:ascii="宋体" w:hAnsi="宋体" w:cs="宋体"/>
          <w:szCs w:val="21"/>
          <w:highlight w:val="none"/>
        </w:rPr>
      </w:pPr>
    </w:p>
    <w:p w14:paraId="76BF8724">
      <w:pPr>
        <w:keepNext w:val="0"/>
        <w:keepLines w:val="0"/>
        <w:pageBreakBefore w:val="0"/>
        <w:widowControl w:val="0"/>
        <w:spacing w:line="360" w:lineRule="auto"/>
        <w:ind w:firstLine="360"/>
        <w:jc w:val="center"/>
        <w:rPr>
          <w:rFonts w:ascii="宋体" w:hAnsi="宋体" w:cs="宋体"/>
          <w:szCs w:val="21"/>
          <w:highlight w:val="none"/>
          <w:lang w:val="zh-CN"/>
        </w:rPr>
      </w:pPr>
      <w:r>
        <w:rPr>
          <w:rFonts w:hint="eastAsia" w:ascii="宋体" w:hAnsi="宋体" w:cs="宋体"/>
          <w:szCs w:val="21"/>
          <w:highlight w:val="none"/>
          <w:lang w:val="zh-CN"/>
        </w:rPr>
        <w:t>（供应商自拟）</w:t>
      </w:r>
    </w:p>
    <w:p w14:paraId="40777630">
      <w:pPr>
        <w:keepNext w:val="0"/>
        <w:keepLines w:val="0"/>
        <w:pageBreakBefore w:val="0"/>
        <w:widowControl w:val="0"/>
        <w:spacing w:line="360" w:lineRule="auto"/>
        <w:ind w:firstLine="360"/>
        <w:jc w:val="center"/>
        <w:rPr>
          <w:rFonts w:ascii="宋体" w:hAnsi="宋体" w:cs="宋体"/>
          <w:szCs w:val="21"/>
          <w:highlight w:val="none"/>
          <w:lang w:val="zh-CN"/>
        </w:rPr>
      </w:pPr>
    </w:p>
    <w:p w14:paraId="61335D32">
      <w:pPr>
        <w:keepNext w:val="0"/>
        <w:keepLines w:val="0"/>
        <w:pageBreakBefore w:val="0"/>
        <w:widowControl w:val="0"/>
        <w:spacing w:line="360" w:lineRule="auto"/>
        <w:ind w:firstLine="360"/>
        <w:jc w:val="center"/>
        <w:rPr>
          <w:rFonts w:ascii="宋体" w:hAnsi="宋体" w:cs="宋体"/>
          <w:szCs w:val="21"/>
          <w:highlight w:val="none"/>
          <w:lang w:val="zh-CN"/>
        </w:rPr>
      </w:pPr>
    </w:p>
    <w:p w14:paraId="7FBBD619">
      <w:pPr>
        <w:keepNext w:val="0"/>
        <w:keepLines w:val="0"/>
        <w:pageBreakBefore w:val="0"/>
        <w:widowControl w:val="0"/>
        <w:spacing w:line="360" w:lineRule="auto"/>
        <w:ind w:firstLine="360"/>
        <w:jc w:val="center"/>
        <w:rPr>
          <w:rFonts w:ascii="宋体" w:hAnsi="宋体" w:cs="宋体"/>
          <w:szCs w:val="21"/>
          <w:highlight w:val="none"/>
          <w:lang w:val="zh-CN"/>
        </w:rPr>
      </w:pPr>
    </w:p>
    <w:p w14:paraId="7C4AC747">
      <w:pPr>
        <w:keepNext w:val="0"/>
        <w:keepLines w:val="0"/>
        <w:pageBreakBefore w:val="0"/>
        <w:widowControl w:val="0"/>
        <w:spacing w:line="360" w:lineRule="auto"/>
        <w:ind w:firstLine="360"/>
        <w:jc w:val="center"/>
        <w:rPr>
          <w:rFonts w:ascii="宋体" w:hAnsi="宋体" w:cs="宋体"/>
          <w:szCs w:val="21"/>
          <w:highlight w:val="none"/>
          <w:lang w:val="zh-CN"/>
        </w:rPr>
      </w:pPr>
    </w:p>
    <w:p w14:paraId="4DBE4C9E">
      <w:pPr>
        <w:keepNext w:val="0"/>
        <w:keepLines w:val="0"/>
        <w:pageBreakBefore w:val="0"/>
        <w:widowControl w:val="0"/>
        <w:spacing w:line="360" w:lineRule="auto"/>
        <w:ind w:firstLine="360"/>
        <w:jc w:val="center"/>
        <w:rPr>
          <w:rFonts w:ascii="宋体" w:hAnsi="宋体" w:cs="宋体"/>
          <w:szCs w:val="21"/>
          <w:highlight w:val="none"/>
          <w:lang w:val="zh-CN"/>
        </w:rPr>
      </w:pPr>
    </w:p>
    <w:p w14:paraId="7A1F0DE7">
      <w:pPr>
        <w:keepNext w:val="0"/>
        <w:keepLines w:val="0"/>
        <w:pageBreakBefore w:val="0"/>
        <w:widowControl w:val="0"/>
        <w:spacing w:line="360" w:lineRule="auto"/>
        <w:jc w:val="right"/>
        <w:rPr>
          <w:rFonts w:ascii="宋体" w:hAnsi="宋体" w:cs="宋体"/>
          <w:szCs w:val="21"/>
          <w:highlight w:val="none"/>
          <w:lang w:val="zh-CN"/>
        </w:rPr>
      </w:pPr>
      <w:r>
        <w:rPr>
          <w:rFonts w:hint="eastAsia" w:ascii="宋体" w:hAnsi="宋体" w:cs="宋体"/>
          <w:szCs w:val="21"/>
          <w:highlight w:val="none"/>
          <w:lang w:val="zh-CN"/>
        </w:rPr>
        <w:t>供应商</w:t>
      </w:r>
      <w:r>
        <w:rPr>
          <w:rFonts w:hint="eastAsia" w:ascii="宋体" w:hAnsi="宋体" w:cs="宋体"/>
          <w:szCs w:val="21"/>
          <w:highlight w:val="none"/>
        </w:rPr>
        <w:t>（</w:t>
      </w:r>
      <w:r>
        <w:rPr>
          <w:rFonts w:hint="eastAsia" w:ascii="宋体" w:hAnsi="宋体" w:cs="宋体"/>
          <w:sz w:val="21"/>
          <w:szCs w:val="21"/>
          <w:highlight w:val="none"/>
          <w:lang w:val="en-US" w:eastAsia="zh-CN"/>
        </w:rPr>
        <w:t>电子签章</w:t>
      </w:r>
      <w:r>
        <w:rPr>
          <w:rFonts w:hint="eastAsia" w:ascii="宋体" w:hAnsi="宋体" w:cs="宋体"/>
          <w:szCs w:val="21"/>
          <w:highlight w:val="none"/>
        </w:rPr>
        <w:t xml:space="preserve">）：            </w:t>
      </w:r>
    </w:p>
    <w:p w14:paraId="2C16DC35">
      <w:pPr>
        <w:keepNext w:val="0"/>
        <w:keepLines w:val="0"/>
        <w:pageBreakBefore w:val="0"/>
        <w:widowControl w:val="0"/>
        <w:spacing w:line="360" w:lineRule="auto"/>
        <w:jc w:val="right"/>
        <w:rPr>
          <w:rFonts w:ascii="宋体" w:hAnsi="宋体" w:cs="宋体"/>
          <w:szCs w:val="21"/>
          <w:highlight w:val="none"/>
          <w:lang w:val="zh-CN"/>
        </w:rPr>
      </w:pPr>
      <w:r>
        <w:rPr>
          <w:rFonts w:hint="eastAsia" w:ascii="宋体" w:hAnsi="宋体" w:cs="宋体"/>
          <w:szCs w:val="21"/>
          <w:highlight w:val="none"/>
          <w:lang w:val="zh-CN"/>
        </w:rPr>
        <w:t xml:space="preserve">          </w:t>
      </w:r>
    </w:p>
    <w:p w14:paraId="3DEC4F9B">
      <w:pPr>
        <w:keepNext w:val="0"/>
        <w:keepLines w:val="0"/>
        <w:pageBreakBefore w:val="0"/>
        <w:widowControl w:val="0"/>
        <w:spacing w:line="360" w:lineRule="auto"/>
        <w:jc w:val="right"/>
        <w:rPr>
          <w:rFonts w:hint="eastAsia" w:ascii="宋体" w:hAnsi="宋体" w:cs="宋体"/>
          <w:szCs w:val="21"/>
          <w:highlight w:val="none"/>
          <w:lang w:val="zh-CN"/>
        </w:rPr>
      </w:pPr>
      <w:r>
        <w:rPr>
          <w:rFonts w:hint="eastAsia" w:ascii="宋体" w:hAnsi="宋体" w:cs="宋体"/>
          <w:szCs w:val="21"/>
          <w:highlight w:val="none"/>
          <w:lang w:val="zh-CN"/>
        </w:rPr>
        <w:t>日    期：    年    月   日</w:t>
      </w:r>
    </w:p>
    <w:p w14:paraId="6E6766D6">
      <w:pPr>
        <w:bidi w:val="0"/>
        <w:rPr>
          <w:rFonts w:hint="eastAsia"/>
          <w:lang w:val="zh-CN"/>
        </w:rPr>
      </w:pPr>
    </w:p>
    <w:p w14:paraId="0EDD3362">
      <w:pPr>
        <w:keepNext w:val="0"/>
        <w:keepLines w:val="0"/>
        <w:pageBreakBefore w:val="0"/>
        <w:widowControl w:val="0"/>
        <w:spacing w:line="360" w:lineRule="auto"/>
        <w:outlineLvl w:val="2"/>
        <w:rPr>
          <w:rFonts w:hint="eastAsia" w:ascii="宋体" w:hAnsi="宋体" w:cs="宋体"/>
          <w:b/>
          <w:sz w:val="24"/>
          <w:highlight w:val="none"/>
          <w:lang w:val="zh-CN" w:eastAsia="zh-CN"/>
        </w:rPr>
      </w:pPr>
      <w:bookmarkStart w:id="548" w:name="_Toc17475"/>
      <w:r>
        <w:rPr>
          <w:rFonts w:hint="eastAsia" w:ascii="宋体" w:hAnsi="宋体" w:cs="宋体"/>
          <w:b/>
          <w:sz w:val="24"/>
          <w:highlight w:val="none"/>
          <w:lang w:val="en-US" w:eastAsia="zh-CN"/>
        </w:rPr>
        <w:t>四、</w:t>
      </w:r>
      <w:r>
        <w:rPr>
          <w:rFonts w:hint="eastAsia" w:ascii="宋体" w:hAnsi="宋体" w:cs="宋体"/>
          <w:b/>
          <w:sz w:val="24"/>
          <w:highlight w:val="none"/>
          <w:lang w:val="zh-CN" w:eastAsia="zh-CN"/>
        </w:rPr>
        <w:t>供应商认为需要提供的其他技术文件或资料等</w:t>
      </w:r>
      <w:bookmarkEnd w:id="548"/>
    </w:p>
    <w:p w14:paraId="4186486F">
      <w:pPr>
        <w:pStyle w:val="16"/>
        <w:spacing w:after="0"/>
        <w:ind w:right="105" w:firstLine="210"/>
        <w:jc w:val="right"/>
        <w:rPr>
          <w:rFonts w:ascii="宋体" w:hAnsi="宋体" w:cs="宋体"/>
          <w:szCs w:val="21"/>
          <w:highlight w:val="none"/>
        </w:rPr>
      </w:pPr>
    </w:p>
    <w:p w14:paraId="57BFA43A">
      <w:pPr>
        <w:pStyle w:val="16"/>
        <w:spacing w:after="0"/>
        <w:ind w:right="105"/>
        <w:rPr>
          <w:rFonts w:ascii="宋体" w:hAnsi="宋体" w:cs="宋体"/>
          <w:szCs w:val="21"/>
          <w:highlight w:val="none"/>
        </w:rPr>
      </w:pPr>
    </w:p>
    <w:p w14:paraId="3A9A6CDB">
      <w:pPr>
        <w:keepNext w:val="0"/>
        <w:keepLines w:val="0"/>
        <w:pageBreakBefore w:val="0"/>
        <w:widowControl w:val="0"/>
        <w:spacing w:line="360" w:lineRule="auto"/>
        <w:outlineLvl w:val="1"/>
        <w:rPr>
          <w:rFonts w:ascii="宋体" w:hAnsi="宋体" w:cs="宋体"/>
          <w:b/>
          <w:szCs w:val="21"/>
          <w:highlight w:val="none"/>
        </w:rPr>
      </w:pPr>
      <w:r>
        <w:rPr>
          <w:rFonts w:hint="eastAsia" w:ascii="宋体" w:hAnsi="宋体" w:cs="宋体"/>
          <w:b/>
          <w:bCs/>
          <w:sz w:val="24"/>
          <w:highlight w:val="none"/>
          <w:lang w:val="zh-CN"/>
        </w:rPr>
        <w:br w:type="page" w:clear="all"/>
      </w:r>
      <w:bookmarkEnd w:id="528"/>
      <w:bookmarkStart w:id="549" w:name="_Toc31031"/>
      <w:bookmarkStart w:id="550" w:name="_Toc4245"/>
      <w:bookmarkStart w:id="551" w:name="_Toc30728"/>
      <w:bookmarkStart w:id="552" w:name="_Toc28878"/>
      <w:bookmarkStart w:id="553" w:name="_Toc12016"/>
      <w:bookmarkStart w:id="554" w:name="_Toc6878"/>
      <w:bookmarkStart w:id="555" w:name="_Toc26579"/>
      <w:bookmarkStart w:id="556" w:name="_Toc20122"/>
      <w:bookmarkStart w:id="557" w:name="_Toc19150"/>
      <w:bookmarkStart w:id="558" w:name="_Toc204"/>
      <w:bookmarkStart w:id="559" w:name="_Toc25789"/>
      <w:bookmarkStart w:id="560" w:name="_Toc17178"/>
      <w:bookmarkStart w:id="561" w:name="_Toc5707"/>
      <w:bookmarkStart w:id="562" w:name="_Toc31436"/>
      <w:bookmarkStart w:id="563" w:name="_Toc4780"/>
      <w:bookmarkStart w:id="564" w:name="_Toc7887"/>
      <w:bookmarkStart w:id="565" w:name="_Toc5412"/>
      <w:bookmarkStart w:id="566" w:name="_Toc13753"/>
      <w:bookmarkStart w:id="567" w:name="_Toc20625"/>
      <w:bookmarkStart w:id="568" w:name="_Toc27576"/>
      <w:bookmarkStart w:id="569" w:name="_Toc15535"/>
      <w:bookmarkStart w:id="570" w:name="_Toc10415"/>
      <w:bookmarkStart w:id="571" w:name="_Toc13882"/>
      <w:bookmarkStart w:id="572" w:name="_Toc17388"/>
      <w:bookmarkStart w:id="573" w:name="_Toc25830"/>
      <w:bookmarkStart w:id="574" w:name="_Toc31166"/>
      <w:bookmarkStart w:id="575" w:name="_Toc13017"/>
      <w:bookmarkStart w:id="576" w:name="_Toc17045"/>
      <w:bookmarkStart w:id="577" w:name="_Toc22740"/>
      <w:bookmarkStart w:id="578" w:name="_Toc6336"/>
      <w:bookmarkStart w:id="579" w:name="_Toc4276"/>
      <w:bookmarkStart w:id="580" w:name="_Toc19583"/>
      <w:bookmarkStart w:id="581" w:name="_Toc1352"/>
      <w:bookmarkStart w:id="582" w:name="_Toc11914"/>
      <w:bookmarkStart w:id="583" w:name="_Toc10669"/>
      <w:bookmarkStart w:id="584" w:name="_Toc20700"/>
      <w:bookmarkStart w:id="585" w:name="_Toc28544"/>
      <w:bookmarkStart w:id="586" w:name="_Toc22112"/>
      <w:bookmarkStart w:id="587" w:name="_Toc18025"/>
      <w:bookmarkStart w:id="588" w:name="_Toc29835"/>
      <w:bookmarkStart w:id="589" w:name="_Toc8388"/>
      <w:bookmarkStart w:id="590" w:name="_Toc16174"/>
      <w:bookmarkStart w:id="591" w:name="_Toc14174"/>
      <w:r>
        <w:rPr>
          <w:rFonts w:hint="eastAsia" w:ascii="宋体" w:hAnsi="宋体" w:cs="宋体"/>
          <w:b/>
          <w:bCs/>
          <w:sz w:val="24"/>
          <w:highlight w:val="none"/>
        </w:rPr>
        <w:t>附件一、中小企业声明函</w:t>
      </w:r>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p>
    <w:p w14:paraId="3D0A2C13">
      <w:pPr>
        <w:keepNext w:val="0"/>
        <w:keepLines w:val="0"/>
        <w:pageBreakBefore w:val="0"/>
        <w:widowControl w:val="0"/>
        <w:spacing w:line="360" w:lineRule="auto"/>
        <w:rPr>
          <w:rFonts w:ascii="宋体" w:hAnsi="宋体" w:cs="宋体"/>
          <w:b/>
          <w:szCs w:val="21"/>
          <w:highlight w:val="none"/>
        </w:rPr>
      </w:pPr>
    </w:p>
    <w:p w14:paraId="2C681943">
      <w:pPr>
        <w:keepNext w:val="0"/>
        <w:keepLines w:val="0"/>
        <w:pageBreakBefore w:val="0"/>
        <w:widowControl w:val="0"/>
        <w:spacing w:line="360" w:lineRule="auto"/>
        <w:jc w:val="center"/>
        <w:rPr>
          <w:rFonts w:ascii="宋体" w:hAnsi="宋体" w:cs="宋体"/>
          <w:b/>
          <w:bCs/>
          <w:sz w:val="28"/>
          <w:szCs w:val="28"/>
          <w:highlight w:val="none"/>
        </w:rPr>
      </w:pPr>
      <w:bookmarkStart w:id="592" w:name="OLE_LINK2"/>
      <w:r>
        <w:rPr>
          <w:rFonts w:hint="eastAsia" w:ascii="宋体" w:hAnsi="宋体" w:cs="宋体"/>
          <w:b/>
          <w:bCs/>
          <w:sz w:val="28"/>
          <w:szCs w:val="28"/>
          <w:highlight w:val="none"/>
        </w:rPr>
        <w:t>中小企业声明函</w:t>
      </w:r>
    </w:p>
    <w:bookmarkEnd w:id="592"/>
    <w:p w14:paraId="2313B7F4">
      <w:pPr>
        <w:keepNext w:val="0"/>
        <w:keepLines w:val="0"/>
        <w:pageBreakBefore w:val="0"/>
        <w:spacing w:line="360" w:lineRule="auto"/>
        <w:ind w:firstLine="42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本公司（联合体）郑重声明，根据《政府采购促进中小企业发展管理办法》（财库﹝2020﹞46 号）的规定，本公司（联合体）参加</w:t>
      </w:r>
      <w:r>
        <w:rPr>
          <w:rFonts w:hint="eastAsia" w:asciiTheme="minorEastAsia" w:hAnsiTheme="minorEastAsia" w:eastAsiaTheme="minorEastAsia" w:cstheme="minorEastAsia"/>
          <w:color w:val="auto"/>
          <w:highlight w:val="none"/>
          <w:u w:val="single"/>
        </w:rPr>
        <w:t xml:space="preserve">       （采购人名称）</w:t>
      </w:r>
      <w:r>
        <w:rPr>
          <w:rFonts w:hint="eastAsia" w:asciiTheme="minorEastAsia" w:hAnsiTheme="minorEastAsia" w:eastAsiaTheme="minorEastAsia" w:cstheme="minorEastAsia"/>
          <w:color w:val="auto"/>
          <w:highlight w:val="none"/>
        </w:rPr>
        <w:t>的</w:t>
      </w:r>
      <w:r>
        <w:rPr>
          <w:rFonts w:hint="eastAsia" w:asciiTheme="minorEastAsia" w:hAnsiTheme="minorEastAsia" w:eastAsiaTheme="minorEastAsia" w:cstheme="minorEastAsia"/>
          <w:color w:val="auto"/>
          <w:highlight w:val="none"/>
          <w:u w:val="single"/>
        </w:rPr>
        <w:t xml:space="preserve">      （项目名称）</w:t>
      </w:r>
      <w:r>
        <w:rPr>
          <w:rFonts w:hint="eastAsia" w:asciiTheme="minorEastAsia" w:hAnsiTheme="minorEastAsia" w:eastAsiaTheme="minorEastAsia" w:cstheme="minorEastAsia"/>
          <w:color w:val="auto"/>
          <w:highlight w:val="none"/>
        </w:rPr>
        <w:t>采购活动，服务全部由符合政策要求的中小企业承接。相关企业（含联合体中的中小企业、签订分包意向协议的中小企业）的具体情况如下：</w:t>
      </w:r>
    </w:p>
    <w:p w14:paraId="4AFC84F9">
      <w:pPr>
        <w:keepNext w:val="0"/>
        <w:keepLines w:val="0"/>
        <w:pageBreakBefore w:val="0"/>
        <w:spacing w:line="360" w:lineRule="auto"/>
        <w:ind w:firstLine="42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 </w:t>
      </w:r>
      <w:r>
        <w:rPr>
          <w:rFonts w:hint="eastAsia" w:asciiTheme="minorEastAsia" w:hAnsiTheme="minorEastAsia" w:eastAsiaTheme="minorEastAsia" w:cstheme="minorEastAsia"/>
          <w:color w:val="auto"/>
          <w:highlight w:val="none"/>
          <w:u w:val="single"/>
        </w:rPr>
        <w:t xml:space="preserve">         （标的名称）</w:t>
      </w:r>
      <w:r>
        <w:rPr>
          <w:rFonts w:hint="eastAsia" w:asciiTheme="minorEastAsia" w:hAnsiTheme="minorEastAsia" w:eastAsiaTheme="minorEastAsia" w:cstheme="minorEastAsia"/>
          <w:color w:val="auto"/>
          <w:highlight w:val="none"/>
        </w:rPr>
        <w:t>，属于</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u w:val="single"/>
          <w:lang w:eastAsia="zh-CN"/>
        </w:rPr>
        <w:t>招标文件</w:t>
      </w:r>
      <w:r>
        <w:rPr>
          <w:rFonts w:hint="eastAsia" w:asciiTheme="minorEastAsia" w:hAnsiTheme="minorEastAsia" w:eastAsiaTheme="minorEastAsia" w:cstheme="minorEastAsia"/>
          <w:color w:val="auto"/>
          <w:highlight w:val="none"/>
          <w:u w:val="single"/>
        </w:rPr>
        <w:t>中明确的所属行业）</w:t>
      </w:r>
      <w:r>
        <w:rPr>
          <w:rFonts w:hint="eastAsia" w:asciiTheme="minorEastAsia" w:hAnsiTheme="minorEastAsia" w:eastAsiaTheme="minorEastAsia" w:cstheme="minorEastAsia"/>
          <w:color w:val="auto"/>
          <w:highlight w:val="none"/>
        </w:rPr>
        <w:t>；承建（承接）企业为</w:t>
      </w:r>
      <w:r>
        <w:rPr>
          <w:rFonts w:hint="eastAsia" w:asciiTheme="minorEastAsia" w:hAnsiTheme="minorEastAsia" w:eastAsiaTheme="minorEastAsia" w:cstheme="minorEastAsia"/>
          <w:color w:val="auto"/>
          <w:highlight w:val="none"/>
          <w:u w:val="single"/>
        </w:rPr>
        <w:t xml:space="preserve">     （企业名称）</w:t>
      </w:r>
      <w:r>
        <w:rPr>
          <w:rFonts w:hint="eastAsia" w:asciiTheme="minorEastAsia" w:hAnsiTheme="minorEastAsia" w:eastAsiaTheme="minorEastAsia" w:cstheme="minorEastAsia"/>
          <w:color w:val="auto"/>
          <w:highlight w:val="none"/>
        </w:rPr>
        <w:t>，从业人员人，营业收入为万元，资产总额为万元</w:t>
      </w:r>
      <w:r>
        <w:rPr>
          <w:rFonts w:hint="eastAsia" w:asciiTheme="minorEastAsia" w:hAnsiTheme="minorEastAsia" w:eastAsiaTheme="minorEastAsia" w:cstheme="minorEastAsia"/>
          <w:color w:val="auto"/>
          <w:highlight w:val="none"/>
          <w:vertAlign w:val="superscript"/>
        </w:rPr>
        <w:t>①</w:t>
      </w:r>
      <w:r>
        <w:rPr>
          <w:rFonts w:hint="eastAsia" w:asciiTheme="minorEastAsia" w:hAnsiTheme="minorEastAsia" w:eastAsiaTheme="minorEastAsia" w:cstheme="minorEastAsia"/>
          <w:color w:val="auto"/>
          <w:highlight w:val="none"/>
        </w:rPr>
        <w:t>，属于</w:t>
      </w:r>
      <w:r>
        <w:rPr>
          <w:rFonts w:hint="eastAsia" w:asciiTheme="minorEastAsia" w:hAnsiTheme="minorEastAsia" w:eastAsiaTheme="minorEastAsia" w:cstheme="minorEastAsia"/>
          <w:color w:val="auto"/>
          <w:highlight w:val="none"/>
          <w:u w:val="single"/>
        </w:rPr>
        <w:t xml:space="preserve">      （中型企业、小型企业、微型企业）</w:t>
      </w:r>
      <w:r>
        <w:rPr>
          <w:rFonts w:hint="eastAsia" w:asciiTheme="minorEastAsia" w:hAnsiTheme="minorEastAsia" w:eastAsiaTheme="minorEastAsia" w:cstheme="minorEastAsia"/>
          <w:color w:val="auto"/>
          <w:highlight w:val="none"/>
        </w:rPr>
        <w:t>；</w:t>
      </w:r>
    </w:p>
    <w:p w14:paraId="1D03D262">
      <w:pPr>
        <w:keepNext w:val="0"/>
        <w:keepLines w:val="0"/>
        <w:pageBreakBefore w:val="0"/>
        <w:spacing w:line="360" w:lineRule="auto"/>
        <w:ind w:firstLine="42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 </w:t>
      </w:r>
      <w:r>
        <w:rPr>
          <w:rFonts w:hint="eastAsia" w:asciiTheme="minorEastAsia" w:hAnsiTheme="minorEastAsia" w:eastAsiaTheme="minorEastAsia" w:cstheme="minorEastAsia"/>
          <w:color w:val="auto"/>
          <w:highlight w:val="none"/>
          <w:u w:val="single"/>
        </w:rPr>
        <w:t xml:space="preserve">         （标的名称）</w:t>
      </w:r>
      <w:r>
        <w:rPr>
          <w:rFonts w:hint="eastAsia" w:asciiTheme="minorEastAsia" w:hAnsiTheme="minorEastAsia" w:eastAsiaTheme="minorEastAsia" w:cstheme="minorEastAsia"/>
          <w:color w:val="auto"/>
          <w:highlight w:val="none"/>
        </w:rPr>
        <w:t>，属于</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u w:val="single"/>
          <w:lang w:eastAsia="zh-CN"/>
        </w:rPr>
        <w:t>招标文件</w:t>
      </w:r>
      <w:r>
        <w:rPr>
          <w:rFonts w:hint="eastAsia" w:asciiTheme="minorEastAsia" w:hAnsiTheme="minorEastAsia" w:eastAsiaTheme="minorEastAsia" w:cstheme="minorEastAsia"/>
          <w:color w:val="auto"/>
          <w:highlight w:val="none"/>
          <w:u w:val="single"/>
        </w:rPr>
        <w:t>中明确的所属行业）</w:t>
      </w:r>
      <w:r>
        <w:rPr>
          <w:rFonts w:hint="eastAsia" w:asciiTheme="minorEastAsia" w:hAnsiTheme="minorEastAsia" w:eastAsiaTheme="minorEastAsia" w:cstheme="minorEastAsia"/>
          <w:color w:val="auto"/>
          <w:highlight w:val="none"/>
        </w:rPr>
        <w:t>；承建（承接）企业为</w:t>
      </w:r>
      <w:r>
        <w:rPr>
          <w:rFonts w:hint="eastAsia" w:asciiTheme="minorEastAsia" w:hAnsiTheme="minorEastAsia" w:eastAsiaTheme="minorEastAsia" w:cstheme="minorEastAsia"/>
          <w:color w:val="auto"/>
          <w:highlight w:val="none"/>
          <w:u w:val="single"/>
        </w:rPr>
        <w:t xml:space="preserve">     （企业名称）</w:t>
      </w:r>
      <w:r>
        <w:rPr>
          <w:rFonts w:hint="eastAsia" w:asciiTheme="minorEastAsia" w:hAnsiTheme="minorEastAsia" w:eastAsiaTheme="minorEastAsia" w:cstheme="minorEastAsia"/>
          <w:color w:val="auto"/>
          <w:highlight w:val="none"/>
        </w:rPr>
        <w:t>，从业人员人，营业收入为万元，资产总额为万元</w:t>
      </w:r>
      <w:r>
        <w:rPr>
          <w:rFonts w:hint="eastAsia" w:asciiTheme="minorEastAsia" w:hAnsiTheme="minorEastAsia" w:eastAsiaTheme="minorEastAsia" w:cstheme="minorEastAsia"/>
          <w:color w:val="auto"/>
          <w:highlight w:val="none"/>
          <w:vertAlign w:val="superscript"/>
        </w:rPr>
        <w:t>①</w:t>
      </w:r>
      <w:r>
        <w:rPr>
          <w:rFonts w:hint="eastAsia" w:asciiTheme="minorEastAsia" w:hAnsiTheme="minorEastAsia" w:eastAsiaTheme="minorEastAsia" w:cstheme="minorEastAsia"/>
          <w:color w:val="auto"/>
          <w:highlight w:val="none"/>
        </w:rPr>
        <w:t>，属于</w:t>
      </w:r>
      <w:r>
        <w:rPr>
          <w:rFonts w:hint="eastAsia" w:asciiTheme="minorEastAsia" w:hAnsiTheme="minorEastAsia" w:eastAsiaTheme="minorEastAsia" w:cstheme="minorEastAsia"/>
          <w:color w:val="auto"/>
          <w:highlight w:val="none"/>
          <w:u w:val="single"/>
        </w:rPr>
        <w:t xml:space="preserve">      （中型企业、小型企业、微型企业）</w:t>
      </w:r>
      <w:r>
        <w:rPr>
          <w:rFonts w:hint="eastAsia" w:asciiTheme="minorEastAsia" w:hAnsiTheme="minorEastAsia" w:eastAsiaTheme="minorEastAsia" w:cstheme="minorEastAsia"/>
          <w:color w:val="auto"/>
          <w:highlight w:val="none"/>
        </w:rPr>
        <w:t>；</w:t>
      </w:r>
    </w:p>
    <w:p w14:paraId="65BEE29C">
      <w:pPr>
        <w:keepNext w:val="0"/>
        <w:keepLines w:val="0"/>
        <w:pageBreakBefore w:val="0"/>
        <w:spacing w:line="360" w:lineRule="auto"/>
        <w:ind w:firstLine="42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w:t>
      </w:r>
    </w:p>
    <w:p w14:paraId="7314E462">
      <w:pPr>
        <w:keepNext w:val="0"/>
        <w:keepLines w:val="0"/>
        <w:pageBreakBefore w:val="0"/>
        <w:spacing w:line="360" w:lineRule="auto"/>
        <w:ind w:firstLine="42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以上企业，不属于大企业的分支机构，不存在控股股东为大企业的情形，也不存在与大企业的负责人为同一人的情形。</w:t>
      </w:r>
    </w:p>
    <w:p w14:paraId="1EDCC583">
      <w:pPr>
        <w:keepNext w:val="0"/>
        <w:keepLines w:val="0"/>
        <w:pageBreakBefore w:val="0"/>
        <w:spacing w:line="360" w:lineRule="auto"/>
        <w:ind w:firstLine="42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本企业对上述声明内容的真实性负责。如有虚假，将依 法承担相应责任。</w:t>
      </w:r>
    </w:p>
    <w:p w14:paraId="7E4675F8">
      <w:pPr>
        <w:keepNext w:val="0"/>
        <w:keepLines w:val="0"/>
        <w:pageBreakBefore w:val="0"/>
        <w:widowControl w:val="0"/>
        <w:spacing w:line="360" w:lineRule="auto"/>
        <w:ind w:firstLine="420"/>
        <w:rPr>
          <w:rFonts w:hint="eastAsia" w:asciiTheme="minorEastAsia" w:hAnsiTheme="minorEastAsia" w:eastAsiaTheme="minorEastAsia" w:cstheme="minorEastAsia"/>
          <w:color w:val="auto"/>
          <w:highlight w:val="none"/>
        </w:rPr>
      </w:pPr>
    </w:p>
    <w:p w14:paraId="662A3814">
      <w:pPr>
        <w:keepNext w:val="0"/>
        <w:keepLines w:val="0"/>
        <w:pageBreakBefore w:val="0"/>
        <w:widowControl w:val="0"/>
        <w:spacing w:line="360" w:lineRule="auto"/>
        <w:ind w:firstLine="4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Cs w:val="21"/>
          <w:highlight w:val="none"/>
        </w:rPr>
        <w:t>供应商</w:t>
      </w:r>
      <w:r>
        <w:rPr>
          <w:rFonts w:hint="eastAsia" w:asciiTheme="minorEastAsia" w:hAnsiTheme="minorEastAsia" w:eastAsiaTheme="minorEastAsia" w:cstheme="minorEastAsia"/>
          <w:color w:val="auto"/>
          <w:highlight w:val="none"/>
        </w:rPr>
        <w:t>（</w:t>
      </w:r>
      <w:r>
        <w:rPr>
          <w:rFonts w:hint="eastAsia" w:ascii="宋体" w:hAnsi="宋体" w:cs="宋体"/>
          <w:sz w:val="21"/>
          <w:szCs w:val="21"/>
          <w:highlight w:val="none"/>
          <w:lang w:val="en-US" w:eastAsia="zh-CN"/>
        </w:rPr>
        <w:t>电子签章</w:t>
      </w:r>
      <w:r>
        <w:rPr>
          <w:rFonts w:hint="eastAsia" w:asciiTheme="minorEastAsia" w:hAnsiTheme="minorEastAsia" w:eastAsiaTheme="minorEastAsia" w:cstheme="minorEastAsia"/>
          <w:color w:val="auto"/>
          <w:highlight w:val="none"/>
        </w:rPr>
        <w:t>）：</w:t>
      </w:r>
    </w:p>
    <w:p w14:paraId="486777AC">
      <w:pPr>
        <w:keepNext w:val="0"/>
        <w:keepLines w:val="0"/>
        <w:pageBreakBefore w:val="0"/>
        <w:widowControl w:val="0"/>
        <w:spacing w:line="360" w:lineRule="auto"/>
        <w:ind w:firstLine="4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日期：</w:t>
      </w:r>
    </w:p>
    <w:p w14:paraId="05EEEC5B">
      <w:pPr>
        <w:keepNext w:val="0"/>
        <w:keepLines w:val="0"/>
        <w:pageBreakBefore w:val="0"/>
        <w:widowControl w:val="0"/>
        <w:spacing w:line="360" w:lineRule="auto"/>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mc:AlternateContent>
          <mc:Choice Requires="wps">
            <w:drawing>
              <wp:anchor distT="0" distB="0" distL="114300" distR="114300" simplePos="0" relativeHeight="251659264" behindDoc="0" locked="0" layoutInCell="1" allowOverlap="1">
                <wp:simplePos x="0" y="0"/>
                <wp:positionH relativeFrom="column">
                  <wp:posOffset>23495</wp:posOffset>
                </wp:positionH>
                <wp:positionV relativeFrom="paragraph">
                  <wp:posOffset>160020</wp:posOffset>
                </wp:positionV>
                <wp:extent cx="2199005" cy="635"/>
                <wp:effectExtent l="0" t="0" r="0" b="0"/>
                <wp:wrapNone/>
                <wp:docPr id="3" name="直接连接符 3"/>
                <wp:cNvGraphicFramePr/>
                <a:graphic xmlns:a="http://schemas.openxmlformats.org/drawingml/2006/main">
                  <a:graphicData uri="http://schemas.microsoft.com/office/word/2010/wordprocessingShape">
                    <wps:wsp>
                      <wps:cNvCnPr/>
                      <wps:spPr bwMode="auto">
                        <a:xfrm>
                          <a:off x="0" y="0"/>
                          <a:ext cx="2199005" cy="635"/>
                        </a:xfrm>
                        <a:prstGeom prst="line">
                          <a:avLst/>
                        </a:prstGeom>
                        <a:solidFill>
                          <a:srgbClr val="FFFFFF"/>
                        </a:solidFill>
                        <a:ln>
                          <a:solidFill>
                            <a:srgbClr val="000000"/>
                          </a:solidFill>
                        </a:ln>
                      </wps:spPr>
                      <wps:bodyPr rot="0">
                        <a:noAutofit/>
                      </wps:bodyPr>
                    </wps:wsp>
                  </a:graphicData>
                </a:graphic>
              </wp:anchor>
            </w:drawing>
          </mc:Choice>
          <mc:Fallback>
            <w:pict>
              <v:line id="_x0000_s1026" o:spid="_x0000_s1026" o:spt="20" style="position:absolute;left:0pt;margin-left:1.85pt;margin-top:12.6pt;height:0.05pt;width:173.15pt;z-index:251659264;mso-width-relative:page;mso-height-relative:page;" fillcolor="#FFFFFF" filled="t" stroked="t" coordsize="21600,21600" o:gfxdata="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SnwIhdUAAAAHAQAADwAAAAAAAAABACAAAAAiAAAA&#10;ZHJzL2Rvd25yZXYueG1sUEsBAhQAFAAAAAgAh07iQAUaS5zRAQAAsgMAAA4AAAAAAAAAAQAgAAAA&#10;JAEAAGRycy9lMm9Eb2MueG1sUEsFBgAAAAAGAAYAWQEAAGcFAAAAAA==&#10;">
                <v:fill on="t" focussize="0,0"/>
                <v:stroke color="#000000" joinstyle="round"/>
                <v:imagedata o:title=""/>
                <o:lock v:ext="edit" aspectratio="f"/>
              </v:line>
            </w:pict>
          </mc:Fallback>
        </mc:AlternateContent>
      </w:r>
    </w:p>
    <w:p w14:paraId="7B23F0D6">
      <w:pPr>
        <w:keepNext w:val="0"/>
        <w:keepLines w:val="0"/>
        <w:pageBreakBefore w:val="0"/>
        <w:widowControl w:val="0"/>
        <w:spacing w:line="360" w:lineRule="auto"/>
        <w:jc w:val="left"/>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注：</w:t>
      </w:r>
    </w:p>
    <w:p w14:paraId="53D3BD98">
      <w:pPr>
        <w:keepNext w:val="0"/>
        <w:keepLines w:val="0"/>
        <w:pageBreakBefore w:val="0"/>
        <w:widowControl w:val="0"/>
        <w:spacing w:line="360" w:lineRule="auto"/>
        <w:ind w:firstLine="42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①从业人员、营业收入、资产总额填报上一年度数据，无上一年度数据的新成立企业可不填报。</w:t>
      </w:r>
    </w:p>
    <w:p w14:paraId="4243DAB8">
      <w:pPr>
        <w:keepNext w:val="0"/>
        <w:keepLines w:val="0"/>
        <w:pageBreakBefore w:val="0"/>
        <w:widowControl w:val="0"/>
        <w:spacing w:line="360" w:lineRule="auto"/>
        <w:ind w:firstLine="420"/>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highlight w:val="none"/>
        </w:rPr>
        <w:t>②供应商提供的货物符合下列情形的，享受中小企业扶持政策：</w:t>
      </w:r>
      <w:r>
        <w:rPr>
          <w:rFonts w:hint="eastAsia" w:asciiTheme="minorEastAsia" w:hAnsiTheme="minorEastAsia" w:eastAsiaTheme="minorEastAsia" w:cstheme="minorEastAsia"/>
          <w:color w:val="auto"/>
          <w:szCs w:val="21"/>
          <w:highlight w:val="none"/>
          <w:lang w:val="zh-CN"/>
        </w:rPr>
        <w:t>在货物采购项目中，货物由中小企业制造，即货物由中小企业生产且使用该中小企业商号或者注册商标。若供应商提供的货物既有中小企业制造货物，也有大型企业制造货物的，则不享受中小企业扶持政策。</w:t>
      </w:r>
    </w:p>
    <w:p w14:paraId="72C15426">
      <w:pPr>
        <w:keepNext w:val="0"/>
        <w:keepLines w:val="0"/>
        <w:pageBreakBefore w:val="0"/>
        <w:widowControl w:val="0"/>
        <w:spacing w:line="360" w:lineRule="auto"/>
        <w:ind w:firstLine="420"/>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highlight w:val="none"/>
        </w:rPr>
        <w:t>③中标（成交）供应商的《中小企业声明函》将随中标（成交）公告进行公示。供应商按照本办法规定提供声明函内容不实的，属于提供虚假材料谋取中标、成交，依照《中华人民共和国政府采购法》等国家有关规定追究相应责任。</w:t>
      </w:r>
    </w:p>
    <w:p w14:paraId="312E7C11">
      <w:pPr>
        <w:keepNext w:val="0"/>
        <w:keepLines w:val="0"/>
        <w:pageBreakBefore w:val="0"/>
        <w:widowControl w:val="0"/>
        <w:spacing w:line="360" w:lineRule="auto"/>
        <w:ind w:firstLine="420"/>
        <w:rPr>
          <w:rFonts w:hint="eastAsia" w:asciiTheme="minorEastAsia" w:hAnsiTheme="minorEastAsia" w:eastAsiaTheme="minorEastAsia" w:cstheme="minorEastAsia"/>
          <w:color w:val="auto"/>
          <w:szCs w:val="21"/>
          <w:highlight w:val="yellow"/>
          <w:lang w:val="zh-CN"/>
        </w:rPr>
      </w:pPr>
      <w:r>
        <w:rPr>
          <w:rFonts w:hint="eastAsia" w:asciiTheme="minorEastAsia" w:hAnsiTheme="minorEastAsia" w:eastAsiaTheme="minorEastAsia" w:cstheme="minorEastAsia"/>
          <w:color w:val="auto"/>
          <w:szCs w:val="21"/>
          <w:highlight w:val="none"/>
          <w:lang w:val="zh-CN"/>
        </w:rPr>
        <w:t>④</w:t>
      </w:r>
      <w:r>
        <w:rPr>
          <w:rFonts w:hint="eastAsia" w:asciiTheme="minorEastAsia" w:hAnsiTheme="minorEastAsia" w:eastAsiaTheme="minorEastAsia" w:cstheme="minorEastAsia"/>
          <w:color w:val="auto"/>
          <w:highlight w:val="none"/>
          <w:lang w:val="en-US" w:eastAsia="zh-CN"/>
        </w:rPr>
        <w:t>本项目</w:t>
      </w:r>
      <w:r>
        <w:rPr>
          <w:rFonts w:hint="eastAsia" w:asciiTheme="minorEastAsia" w:hAnsiTheme="minorEastAsia" w:eastAsiaTheme="minorEastAsia" w:cstheme="minorEastAsia"/>
          <w:color w:val="auto"/>
          <w:highlight w:val="none"/>
        </w:rPr>
        <w:t>所属行业</w:t>
      </w:r>
      <w:r>
        <w:rPr>
          <w:rFonts w:hint="eastAsia" w:asciiTheme="minorEastAsia" w:hAnsiTheme="minorEastAsia" w:eastAsiaTheme="minorEastAsia" w:cstheme="minorEastAsia"/>
          <w:color w:val="auto"/>
          <w:highlight w:val="none"/>
          <w:lang w:val="en-US" w:eastAsia="zh-CN"/>
        </w:rPr>
        <w:t>为：</w:t>
      </w:r>
      <w:r>
        <w:rPr>
          <w:b/>
          <w:color w:val="0000FF"/>
          <w:sz w:val="21"/>
          <w:szCs w:val="21"/>
        </w:rPr>
        <w:t>其他未列明行业。</w:t>
      </w:r>
      <w:r>
        <w:rPr>
          <w:color w:val="000000"/>
          <w:sz w:val="21"/>
          <w:szCs w:val="21"/>
        </w:rPr>
        <w:t>从业人员300人以下的为中小微型企业。其中，从业人员100人及以上的为中型企业；从业人员10人及以上的为小型企业；从业人员10人以下的为微型企业。</w:t>
      </w:r>
      <w:r>
        <w:rPr>
          <w:rFonts w:hint="eastAsia" w:asciiTheme="minorEastAsia" w:hAnsiTheme="minorEastAsia" w:eastAsiaTheme="minorEastAsia" w:cstheme="minorEastAsia"/>
          <w:color w:val="auto"/>
          <w:highlight w:val="none"/>
          <w:lang w:val="en-US" w:eastAsia="zh-CN"/>
        </w:rPr>
        <w:br w:type="textWrapping"/>
      </w:r>
    </w:p>
    <w:p w14:paraId="2EDD5318">
      <w:pPr>
        <w:rPr>
          <w:rFonts w:hint="eastAsia" w:ascii="宋体" w:hAnsi="宋体" w:cs="宋体"/>
          <w:b/>
          <w:bCs/>
          <w:sz w:val="24"/>
          <w:highlight w:val="none"/>
        </w:rPr>
      </w:pPr>
      <w:bookmarkStart w:id="593" w:name="_Toc29218"/>
      <w:bookmarkStart w:id="594" w:name="_Toc26526"/>
      <w:bookmarkStart w:id="595" w:name="_Toc2188"/>
      <w:bookmarkStart w:id="596" w:name="_Toc28517"/>
      <w:bookmarkStart w:id="597" w:name="_Toc7841"/>
      <w:bookmarkStart w:id="598" w:name="_Toc4340"/>
      <w:bookmarkStart w:id="599" w:name="_Toc9914"/>
      <w:bookmarkStart w:id="600" w:name="_Toc4055"/>
      <w:bookmarkStart w:id="601" w:name="_Toc1082"/>
      <w:bookmarkStart w:id="602" w:name="_Toc28482"/>
      <w:bookmarkStart w:id="603" w:name="_Toc32151"/>
      <w:bookmarkStart w:id="604" w:name="_Toc31452"/>
    </w:p>
    <w:p w14:paraId="50AF5A8E">
      <w:pPr>
        <w:keepNext w:val="0"/>
        <w:keepLines w:val="0"/>
        <w:pageBreakBefore w:val="0"/>
        <w:spacing w:line="360" w:lineRule="auto"/>
        <w:outlineLvl w:val="1"/>
        <w:rPr>
          <w:rFonts w:ascii="宋体" w:hAnsi="宋体" w:cs="宋体"/>
          <w:b/>
          <w:szCs w:val="21"/>
          <w:highlight w:val="none"/>
        </w:rPr>
      </w:pPr>
      <w:bookmarkStart w:id="605" w:name="_Toc24858"/>
      <w:r>
        <w:rPr>
          <w:rFonts w:hint="eastAsia" w:ascii="宋体" w:hAnsi="宋体" w:cs="宋体"/>
          <w:b/>
          <w:bCs/>
          <w:sz w:val="24"/>
          <w:highlight w:val="none"/>
        </w:rPr>
        <w:t>附件二、残疾人福利性单位声明函（如有）</w:t>
      </w:r>
      <w:bookmarkEnd w:id="593"/>
      <w:bookmarkEnd w:id="594"/>
      <w:bookmarkEnd w:id="595"/>
      <w:bookmarkEnd w:id="596"/>
      <w:bookmarkEnd w:id="597"/>
      <w:bookmarkEnd w:id="598"/>
      <w:bookmarkEnd w:id="599"/>
      <w:bookmarkEnd w:id="600"/>
      <w:bookmarkEnd w:id="601"/>
      <w:bookmarkEnd w:id="602"/>
      <w:bookmarkEnd w:id="603"/>
      <w:bookmarkEnd w:id="604"/>
      <w:bookmarkEnd w:id="605"/>
    </w:p>
    <w:p w14:paraId="6D4A81C8">
      <w:pPr>
        <w:keepNext w:val="0"/>
        <w:keepLines w:val="0"/>
        <w:pageBreakBefore w:val="0"/>
        <w:widowControl/>
        <w:spacing w:line="360" w:lineRule="auto"/>
        <w:ind w:firstLine="562"/>
        <w:rPr>
          <w:rFonts w:ascii="宋体" w:hAnsi="宋体" w:cs="宋体"/>
          <w:b/>
          <w:bCs/>
          <w:sz w:val="28"/>
          <w:szCs w:val="28"/>
          <w:highlight w:val="none"/>
        </w:rPr>
      </w:pPr>
    </w:p>
    <w:p w14:paraId="70B6EC6E">
      <w:pPr>
        <w:keepNext w:val="0"/>
        <w:keepLines w:val="0"/>
        <w:pageBreakBefore w:val="0"/>
        <w:widowControl/>
        <w:spacing w:line="360" w:lineRule="auto"/>
        <w:ind w:firstLine="562"/>
        <w:jc w:val="center"/>
        <w:rPr>
          <w:rFonts w:ascii="宋体" w:hAnsi="宋体" w:cs="宋体"/>
          <w:highlight w:val="none"/>
        </w:rPr>
      </w:pPr>
      <w:r>
        <w:rPr>
          <w:rFonts w:hint="eastAsia" w:ascii="宋体" w:hAnsi="宋体" w:cs="宋体"/>
          <w:b/>
          <w:bCs/>
          <w:sz w:val="28"/>
          <w:szCs w:val="28"/>
          <w:highlight w:val="none"/>
        </w:rPr>
        <w:t>残疾人福利性单位声明函（如有）</w:t>
      </w:r>
    </w:p>
    <w:p w14:paraId="58CC70C2">
      <w:pPr>
        <w:keepNext w:val="0"/>
        <w:keepLines w:val="0"/>
        <w:pageBreakBefore w:val="0"/>
        <w:spacing w:line="360" w:lineRule="auto"/>
        <w:ind w:firstLine="444"/>
        <w:rPr>
          <w:rFonts w:ascii="宋体" w:hAnsi="宋体" w:cs="宋体"/>
          <w:spacing w:val="6"/>
          <w:szCs w:val="21"/>
          <w:highlight w:val="none"/>
          <w:lang w:val="zh-CN"/>
        </w:rPr>
      </w:pPr>
      <w:r>
        <w:rPr>
          <w:rFonts w:hint="eastAsia" w:ascii="宋体" w:hAnsi="宋体" w:cs="宋体"/>
          <w:spacing w:val="6"/>
          <w:szCs w:val="21"/>
          <w:highlight w:val="none"/>
          <w:lang w:val="zh-CN"/>
        </w:rPr>
        <w:t>本单位郑重声明，根据《财政部 民政部 中国残疾人联合会关于促进残疾人就业政府采购政策的通知》（财库〔2017〕 141号）的规定，本单位为        （符合/不符合）   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6A57DEA1">
      <w:pPr>
        <w:keepNext w:val="0"/>
        <w:keepLines w:val="0"/>
        <w:pageBreakBefore w:val="0"/>
        <w:spacing w:line="360" w:lineRule="auto"/>
        <w:ind w:firstLine="444"/>
        <w:rPr>
          <w:rFonts w:ascii="宋体" w:hAnsi="宋体" w:cs="宋体"/>
          <w:spacing w:val="6"/>
          <w:szCs w:val="21"/>
          <w:highlight w:val="none"/>
          <w:lang w:val="zh-CN"/>
        </w:rPr>
      </w:pPr>
      <w:r>
        <w:rPr>
          <w:rFonts w:hint="eastAsia" w:ascii="宋体" w:hAnsi="宋体" w:cs="宋体"/>
          <w:spacing w:val="6"/>
          <w:szCs w:val="21"/>
          <w:highlight w:val="none"/>
          <w:lang w:val="zh-CN"/>
        </w:rPr>
        <w:t>本单位对上述声明的真实性负责。如有虚假，将依法承担相应责任。</w:t>
      </w:r>
    </w:p>
    <w:p w14:paraId="263998D1">
      <w:pPr>
        <w:keepNext w:val="0"/>
        <w:keepLines w:val="0"/>
        <w:pageBreakBefore w:val="0"/>
        <w:spacing w:line="360" w:lineRule="auto"/>
        <w:rPr>
          <w:rFonts w:ascii="宋体" w:hAnsi="宋体" w:cs="宋体"/>
          <w:szCs w:val="21"/>
          <w:highlight w:val="none"/>
          <w:lang w:val="zh-CN"/>
        </w:rPr>
      </w:pPr>
    </w:p>
    <w:p w14:paraId="0B385AFE">
      <w:pPr>
        <w:keepNext w:val="0"/>
        <w:keepLines w:val="0"/>
        <w:pageBreakBefore w:val="0"/>
        <w:spacing w:line="360" w:lineRule="auto"/>
        <w:jc w:val="right"/>
        <w:rPr>
          <w:rFonts w:ascii="宋体" w:hAnsi="宋体" w:cs="宋体"/>
          <w:szCs w:val="21"/>
          <w:highlight w:val="none"/>
          <w:lang w:val="zh-CN"/>
        </w:rPr>
      </w:pPr>
      <w:r>
        <w:rPr>
          <w:rFonts w:hint="eastAsia" w:ascii="宋体" w:hAnsi="宋体" w:cs="宋体"/>
          <w:szCs w:val="21"/>
          <w:highlight w:val="none"/>
          <w:lang w:val="zh-CN"/>
        </w:rPr>
        <w:t>供应商</w:t>
      </w:r>
      <w:r>
        <w:rPr>
          <w:rFonts w:hint="eastAsia" w:ascii="宋体" w:hAnsi="宋体" w:cs="宋体"/>
          <w:szCs w:val="21"/>
          <w:highlight w:val="none"/>
        </w:rPr>
        <w:t>（</w:t>
      </w:r>
      <w:r>
        <w:rPr>
          <w:rFonts w:hint="eastAsia" w:ascii="宋体" w:hAnsi="宋体" w:cs="宋体"/>
          <w:sz w:val="21"/>
          <w:szCs w:val="21"/>
          <w:highlight w:val="none"/>
          <w:lang w:val="en-US" w:eastAsia="zh-CN"/>
        </w:rPr>
        <w:t>电子签章</w:t>
      </w:r>
      <w:r>
        <w:rPr>
          <w:rFonts w:hint="eastAsia" w:ascii="宋体" w:hAnsi="宋体" w:cs="宋体"/>
          <w:szCs w:val="21"/>
          <w:highlight w:val="none"/>
        </w:rPr>
        <w:t xml:space="preserve">）：            </w:t>
      </w:r>
    </w:p>
    <w:p w14:paraId="3E63BFA9">
      <w:pPr>
        <w:keepNext w:val="0"/>
        <w:keepLines w:val="0"/>
        <w:pageBreakBefore w:val="0"/>
        <w:spacing w:line="360" w:lineRule="auto"/>
        <w:jc w:val="right"/>
        <w:rPr>
          <w:rFonts w:ascii="宋体" w:hAnsi="宋体" w:cs="宋体"/>
          <w:szCs w:val="21"/>
          <w:highlight w:val="none"/>
          <w:lang w:val="zh-CN"/>
        </w:rPr>
      </w:pPr>
      <w:r>
        <w:rPr>
          <w:rFonts w:hint="eastAsia" w:ascii="宋体" w:hAnsi="宋体" w:cs="宋体"/>
          <w:szCs w:val="21"/>
          <w:highlight w:val="none"/>
          <w:lang w:val="zh-CN"/>
        </w:rPr>
        <w:t xml:space="preserve">             </w:t>
      </w:r>
    </w:p>
    <w:p w14:paraId="4CA937F6">
      <w:pPr>
        <w:keepNext w:val="0"/>
        <w:keepLines w:val="0"/>
        <w:pageBreakBefore w:val="0"/>
        <w:spacing w:line="360" w:lineRule="auto"/>
        <w:jc w:val="right"/>
        <w:rPr>
          <w:rFonts w:ascii="宋体" w:hAnsi="宋体" w:cs="宋体"/>
          <w:szCs w:val="21"/>
          <w:highlight w:val="none"/>
          <w:lang w:val="zh-CN"/>
        </w:rPr>
      </w:pPr>
      <w:r>
        <w:rPr>
          <w:rFonts w:hint="eastAsia" w:ascii="宋体" w:hAnsi="宋体" w:cs="宋体"/>
          <w:szCs w:val="21"/>
          <w:highlight w:val="none"/>
          <w:lang w:val="zh-CN"/>
        </w:rPr>
        <w:t>日    期：    年    月   日</w:t>
      </w:r>
    </w:p>
    <w:p w14:paraId="57F92C6B">
      <w:pPr>
        <w:keepNext w:val="0"/>
        <w:keepLines w:val="0"/>
        <w:pageBreakBefore w:val="0"/>
        <w:spacing w:line="360" w:lineRule="auto"/>
        <w:outlineLvl w:val="1"/>
        <w:rPr>
          <w:rFonts w:ascii="宋体" w:hAnsi="宋体" w:cs="宋体"/>
          <w:b/>
          <w:bCs/>
          <w:sz w:val="24"/>
          <w:highlight w:val="none"/>
          <w:lang w:val="zh-CN"/>
        </w:rPr>
      </w:pPr>
      <w:r>
        <w:rPr>
          <w:rFonts w:hint="eastAsia" w:ascii="宋体" w:hAnsi="宋体" w:cs="宋体"/>
          <w:b/>
          <w:bCs/>
          <w:szCs w:val="21"/>
          <w:highlight w:val="none"/>
        </w:rPr>
        <w:br w:type="page" w:clear="all"/>
      </w:r>
      <w:bookmarkEnd w:id="303"/>
      <w:bookmarkEnd w:id="304"/>
      <w:bookmarkEnd w:id="305"/>
      <w:bookmarkEnd w:id="306"/>
      <w:bookmarkEnd w:id="307"/>
      <w:bookmarkEnd w:id="308"/>
      <w:bookmarkEnd w:id="309"/>
      <w:bookmarkEnd w:id="310"/>
      <w:bookmarkEnd w:id="326"/>
      <w:bookmarkEnd w:id="327"/>
      <w:bookmarkEnd w:id="328"/>
      <w:bookmarkEnd w:id="329"/>
      <w:bookmarkEnd w:id="581"/>
      <w:bookmarkEnd w:id="582"/>
      <w:bookmarkEnd w:id="583"/>
      <w:bookmarkEnd w:id="584"/>
      <w:bookmarkEnd w:id="585"/>
      <w:bookmarkEnd w:id="586"/>
      <w:bookmarkEnd w:id="587"/>
      <w:bookmarkEnd w:id="588"/>
      <w:bookmarkEnd w:id="589"/>
      <w:bookmarkEnd w:id="590"/>
      <w:bookmarkEnd w:id="591"/>
      <w:bookmarkStart w:id="606" w:name="_Toc30368"/>
      <w:bookmarkStart w:id="607" w:name="_Toc3243"/>
      <w:bookmarkStart w:id="608" w:name="_Toc24015"/>
      <w:bookmarkStart w:id="609" w:name="_Toc13441"/>
      <w:bookmarkStart w:id="610" w:name="_Toc9900"/>
      <w:bookmarkStart w:id="611" w:name="_Toc23866"/>
      <w:bookmarkStart w:id="612" w:name="_Toc21421"/>
      <w:bookmarkStart w:id="613" w:name="_Toc21839"/>
      <w:bookmarkStart w:id="614" w:name="_Toc25507"/>
      <w:bookmarkStart w:id="615" w:name="_Toc6214"/>
      <w:bookmarkStart w:id="616" w:name="_Toc8045"/>
      <w:bookmarkStart w:id="617" w:name="_Toc30111"/>
      <w:bookmarkStart w:id="618" w:name="_Toc23492"/>
      <w:bookmarkStart w:id="619" w:name="_Toc16890"/>
      <w:bookmarkStart w:id="620" w:name="_Toc31467"/>
      <w:bookmarkStart w:id="621" w:name="_Toc27285"/>
      <w:bookmarkStart w:id="622" w:name="_Toc24127"/>
      <w:bookmarkStart w:id="623" w:name="_Toc14481"/>
      <w:bookmarkStart w:id="624" w:name="_Toc27705"/>
      <w:r>
        <w:rPr>
          <w:rFonts w:hint="eastAsia" w:ascii="宋体" w:hAnsi="宋体" w:cs="宋体"/>
          <w:b/>
          <w:bCs/>
          <w:sz w:val="24"/>
          <w:highlight w:val="none"/>
          <w:lang w:val="zh-CN"/>
        </w:rPr>
        <w:t>附件</w:t>
      </w:r>
      <w:r>
        <w:rPr>
          <w:rFonts w:hint="eastAsia" w:ascii="宋体" w:hAnsi="宋体" w:cs="宋体"/>
          <w:b/>
          <w:bCs/>
          <w:sz w:val="24"/>
          <w:highlight w:val="none"/>
        </w:rPr>
        <w:t>三</w:t>
      </w:r>
      <w:r>
        <w:rPr>
          <w:rFonts w:hint="eastAsia" w:ascii="宋体" w:hAnsi="宋体" w:cs="宋体"/>
          <w:b/>
          <w:bCs/>
          <w:sz w:val="24"/>
          <w:highlight w:val="none"/>
          <w:lang w:val="zh-CN"/>
        </w:rPr>
        <w:t>：具备履行合同所必需的设备和专业技术能力的书面声明</w:t>
      </w:r>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p>
    <w:p w14:paraId="501664EF">
      <w:pPr>
        <w:keepNext w:val="0"/>
        <w:keepLines w:val="0"/>
        <w:pageBreakBefore w:val="0"/>
        <w:spacing w:line="360" w:lineRule="auto"/>
        <w:jc w:val="center"/>
        <w:rPr>
          <w:rFonts w:ascii="宋体" w:hAnsi="宋体" w:cs="宋体"/>
          <w:b/>
          <w:bCs/>
          <w:sz w:val="24"/>
          <w:highlight w:val="none"/>
          <w:lang w:val="zh-CN"/>
        </w:rPr>
      </w:pPr>
    </w:p>
    <w:p w14:paraId="6994533C">
      <w:pPr>
        <w:keepNext w:val="0"/>
        <w:keepLines w:val="0"/>
        <w:pageBreakBefore w:val="0"/>
        <w:spacing w:line="360" w:lineRule="auto"/>
        <w:jc w:val="center"/>
        <w:rPr>
          <w:rFonts w:ascii="宋体" w:hAnsi="宋体" w:cs="宋体"/>
          <w:b/>
          <w:bCs/>
          <w:sz w:val="24"/>
          <w:highlight w:val="none"/>
          <w:lang w:val="zh-CN"/>
        </w:rPr>
      </w:pPr>
      <w:r>
        <w:rPr>
          <w:rFonts w:hint="eastAsia" w:ascii="宋体" w:hAnsi="宋体" w:cs="宋体"/>
          <w:b/>
          <w:bCs/>
          <w:sz w:val="24"/>
          <w:highlight w:val="none"/>
          <w:lang w:val="zh-CN"/>
        </w:rPr>
        <w:t>具备履行合同所必需的设备和专业技术能力的书面声明</w:t>
      </w:r>
    </w:p>
    <w:p w14:paraId="10BEC59E">
      <w:pPr>
        <w:keepNext w:val="0"/>
        <w:keepLines w:val="0"/>
        <w:pageBreakBefore w:val="0"/>
        <w:spacing w:line="360" w:lineRule="auto"/>
        <w:ind w:firstLine="444"/>
        <w:rPr>
          <w:rFonts w:ascii="宋体" w:hAnsi="宋体" w:cs="宋体"/>
          <w:spacing w:val="6"/>
          <w:szCs w:val="21"/>
          <w:highlight w:val="none"/>
        </w:rPr>
      </w:pPr>
    </w:p>
    <w:p w14:paraId="26C8899B">
      <w:pPr>
        <w:keepNext w:val="0"/>
        <w:keepLines w:val="0"/>
        <w:pageBreakBefore w:val="0"/>
        <w:spacing w:line="360" w:lineRule="auto"/>
        <w:ind w:firstLine="444"/>
        <w:rPr>
          <w:rFonts w:ascii="宋体" w:hAnsi="宋体" w:cs="宋体"/>
          <w:spacing w:val="6"/>
          <w:szCs w:val="21"/>
          <w:highlight w:val="none"/>
        </w:rPr>
      </w:pPr>
      <w:r>
        <w:rPr>
          <w:rFonts w:hint="eastAsia" w:ascii="宋体" w:hAnsi="宋体" w:cs="宋体"/>
          <w:spacing w:val="6"/>
          <w:szCs w:val="21"/>
          <w:highlight w:val="none"/>
        </w:rPr>
        <w:t>我单位郑重声明：我单位具备履行本项采购合同所必需的设备和专业技术能力，为履行本项采购合同我公司具备如下主要设备和主要专业技术能力：</w:t>
      </w:r>
    </w:p>
    <w:p w14:paraId="6A21DAB1">
      <w:pPr>
        <w:keepNext w:val="0"/>
        <w:keepLines w:val="0"/>
        <w:pageBreakBefore w:val="0"/>
        <w:spacing w:line="360" w:lineRule="auto"/>
        <w:ind w:firstLine="444"/>
        <w:rPr>
          <w:rFonts w:ascii="宋体" w:hAnsi="宋体" w:cs="宋体"/>
          <w:spacing w:val="6"/>
          <w:szCs w:val="21"/>
          <w:highlight w:val="none"/>
        </w:rPr>
      </w:pPr>
      <w:r>
        <w:rPr>
          <w:rFonts w:hint="eastAsia" w:ascii="宋体" w:hAnsi="宋体" w:cs="宋体"/>
          <w:spacing w:val="6"/>
          <w:szCs w:val="21"/>
          <w:highlight w:val="none"/>
        </w:rPr>
        <w:t>主要设备有：。</w:t>
      </w:r>
    </w:p>
    <w:p w14:paraId="582C85F5">
      <w:pPr>
        <w:keepNext w:val="0"/>
        <w:keepLines w:val="0"/>
        <w:pageBreakBefore w:val="0"/>
        <w:spacing w:line="360" w:lineRule="auto"/>
        <w:ind w:firstLine="444"/>
        <w:rPr>
          <w:rFonts w:ascii="宋体" w:hAnsi="宋体" w:cs="宋体"/>
          <w:spacing w:val="6"/>
          <w:szCs w:val="21"/>
          <w:highlight w:val="none"/>
        </w:rPr>
      </w:pPr>
      <w:r>
        <w:rPr>
          <w:rFonts w:hint="eastAsia" w:ascii="宋体" w:hAnsi="宋体" w:cs="宋体"/>
          <w:spacing w:val="6"/>
          <w:szCs w:val="21"/>
          <w:highlight w:val="none"/>
        </w:rPr>
        <w:t>主要专业技术能力有：。</w:t>
      </w:r>
    </w:p>
    <w:p w14:paraId="429CEBC9">
      <w:pPr>
        <w:keepNext w:val="0"/>
        <w:keepLines w:val="0"/>
        <w:pageBreakBefore w:val="0"/>
        <w:spacing w:line="360" w:lineRule="auto"/>
        <w:rPr>
          <w:rFonts w:ascii="宋体" w:hAnsi="宋体" w:cs="宋体"/>
          <w:bCs/>
          <w:sz w:val="24"/>
          <w:highlight w:val="none"/>
        </w:rPr>
      </w:pPr>
    </w:p>
    <w:p w14:paraId="013B9F28">
      <w:pPr>
        <w:keepNext w:val="0"/>
        <w:keepLines w:val="0"/>
        <w:pageBreakBefore w:val="0"/>
        <w:spacing w:line="360" w:lineRule="auto"/>
        <w:ind w:right="840"/>
        <w:jc w:val="center"/>
        <w:rPr>
          <w:rFonts w:ascii="宋体" w:hAnsi="宋体" w:cs="宋体"/>
          <w:szCs w:val="21"/>
          <w:highlight w:val="none"/>
          <w:lang w:val="zh-CN"/>
        </w:rPr>
      </w:pPr>
      <w:r>
        <w:rPr>
          <w:rFonts w:hint="eastAsia" w:ascii="宋体" w:hAnsi="宋体" w:cs="宋体"/>
          <w:szCs w:val="21"/>
          <w:highlight w:val="none"/>
          <w:lang w:val="zh-CN"/>
        </w:rPr>
        <w:t xml:space="preserve">                                                            供应商</w:t>
      </w:r>
      <w:r>
        <w:rPr>
          <w:rFonts w:hint="eastAsia" w:ascii="宋体" w:hAnsi="宋体" w:cs="宋体"/>
          <w:szCs w:val="21"/>
          <w:highlight w:val="none"/>
        </w:rPr>
        <w:t>（</w:t>
      </w:r>
      <w:r>
        <w:rPr>
          <w:rFonts w:hint="eastAsia" w:ascii="宋体" w:hAnsi="宋体" w:cs="宋体"/>
          <w:sz w:val="21"/>
          <w:szCs w:val="21"/>
          <w:highlight w:val="none"/>
          <w:lang w:val="en-US" w:eastAsia="zh-CN"/>
        </w:rPr>
        <w:t>电子签章</w:t>
      </w:r>
      <w:r>
        <w:rPr>
          <w:rFonts w:hint="eastAsia" w:ascii="宋体" w:hAnsi="宋体" w:cs="宋体"/>
          <w:szCs w:val="21"/>
          <w:highlight w:val="none"/>
        </w:rPr>
        <w:t xml:space="preserve">）：            </w:t>
      </w:r>
    </w:p>
    <w:p w14:paraId="33428D4E">
      <w:pPr>
        <w:keepNext w:val="0"/>
        <w:keepLines w:val="0"/>
        <w:pageBreakBefore w:val="0"/>
        <w:spacing w:line="360" w:lineRule="auto"/>
        <w:ind w:right="420"/>
        <w:jc w:val="center"/>
        <w:rPr>
          <w:rFonts w:ascii="宋体" w:hAnsi="宋体" w:cs="宋体"/>
          <w:szCs w:val="21"/>
          <w:highlight w:val="none"/>
          <w:lang w:val="zh-CN"/>
        </w:rPr>
      </w:pPr>
      <w:r>
        <w:rPr>
          <w:rFonts w:hint="eastAsia" w:ascii="宋体" w:hAnsi="宋体" w:cs="宋体"/>
          <w:szCs w:val="21"/>
          <w:highlight w:val="none"/>
          <w:lang w:val="zh-CN"/>
        </w:rPr>
        <w:t xml:space="preserve">                                                   </w:t>
      </w:r>
    </w:p>
    <w:p w14:paraId="20B49549">
      <w:pPr>
        <w:keepNext w:val="0"/>
        <w:keepLines w:val="0"/>
        <w:pageBreakBefore w:val="0"/>
        <w:spacing w:line="360" w:lineRule="auto"/>
        <w:jc w:val="center"/>
        <w:rPr>
          <w:rFonts w:ascii="宋体" w:hAnsi="宋体" w:cs="宋体"/>
          <w:b/>
          <w:sz w:val="24"/>
          <w:highlight w:val="none"/>
        </w:rPr>
      </w:pPr>
      <w:r>
        <w:rPr>
          <w:rFonts w:hint="eastAsia" w:ascii="宋体" w:hAnsi="宋体" w:cs="宋体"/>
          <w:szCs w:val="21"/>
          <w:highlight w:val="none"/>
          <w:lang w:val="en-US" w:eastAsia="zh-CN"/>
        </w:rPr>
        <w:t xml:space="preserve">                                                  </w:t>
      </w:r>
      <w:r>
        <w:rPr>
          <w:rFonts w:hint="eastAsia" w:ascii="宋体" w:hAnsi="宋体" w:cs="宋体"/>
          <w:szCs w:val="21"/>
          <w:highlight w:val="none"/>
          <w:lang w:val="zh-CN"/>
        </w:rPr>
        <w:t>日    期：    年    月   日</w:t>
      </w:r>
      <w:bookmarkStart w:id="625" w:name="_Toc21823"/>
      <w:bookmarkStart w:id="626" w:name="_Toc255"/>
      <w:bookmarkStart w:id="627" w:name="_Toc14601"/>
      <w:bookmarkStart w:id="628" w:name="_Toc24546"/>
      <w:bookmarkStart w:id="629" w:name="_Toc2124"/>
      <w:bookmarkStart w:id="630" w:name="_Toc5885"/>
      <w:bookmarkStart w:id="631" w:name="_Toc16018"/>
      <w:bookmarkStart w:id="632" w:name="_Toc21760"/>
    </w:p>
    <w:p w14:paraId="69FE7B53">
      <w:pPr>
        <w:keepNext w:val="0"/>
        <w:keepLines w:val="0"/>
        <w:pageBreakBefore w:val="0"/>
        <w:widowControl/>
        <w:spacing w:line="360" w:lineRule="auto"/>
        <w:rPr>
          <w:rFonts w:ascii="宋体" w:hAnsi="宋体" w:cs="宋体"/>
          <w:b/>
          <w:sz w:val="24"/>
          <w:highlight w:val="none"/>
        </w:rPr>
      </w:pPr>
    </w:p>
    <w:p w14:paraId="4478EFDB">
      <w:pPr>
        <w:keepNext w:val="0"/>
        <w:keepLines w:val="0"/>
        <w:pageBreakBefore w:val="0"/>
        <w:widowControl/>
        <w:spacing w:line="360" w:lineRule="auto"/>
        <w:rPr>
          <w:rFonts w:ascii="宋体" w:hAnsi="宋体" w:cs="宋体"/>
          <w:b/>
          <w:sz w:val="24"/>
          <w:highlight w:val="none"/>
        </w:rPr>
      </w:pPr>
    </w:p>
    <w:p w14:paraId="03DB64EE">
      <w:pPr>
        <w:keepNext w:val="0"/>
        <w:keepLines w:val="0"/>
        <w:pageBreakBefore w:val="0"/>
        <w:widowControl/>
        <w:spacing w:line="360" w:lineRule="auto"/>
        <w:outlineLvl w:val="1"/>
        <w:rPr>
          <w:rFonts w:ascii="宋体" w:hAnsi="宋体" w:cs="宋体"/>
          <w:b/>
          <w:sz w:val="24"/>
          <w:highlight w:val="none"/>
        </w:rPr>
      </w:pPr>
      <w:bookmarkStart w:id="633" w:name="_Toc19342"/>
      <w:bookmarkStart w:id="634" w:name="_Toc13486"/>
      <w:bookmarkStart w:id="635" w:name="_Toc3055"/>
      <w:bookmarkStart w:id="636" w:name="_Toc558"/>
      <w:bookmarkStart w:id="637" w:name="_Toc2687"/>
      <w:bookmarkStart w:id="638" w:name="_Toc26835"/>
      <w:bookmarkStart w:id="639" w:name="_Toc9308"/>
      <w:bookmarkStart w:id="640" w:name="_Toc23399"/>
      <w:bookmarkStart w:id="641" w:name="_Toc2393"/>
      <w:bookmarkStart w:id="642" w:name="_Toc21243"/>
      <w:bookmarkStart w:id="643" w:name="_Toc29952"/>
      <w:r>
        <w:rPr>
          <w:rFonts w:hint="eastAsia" w:ascii="宋体" w:hAnsi="宋体" w:cs="宋体"/>
          <w:b/>
          <w:sz w:val="24"/>
          <w:highlight w:val="none"/>
        </w:rPr>
        <w:t>附件四：无重大违法记录声明格式</w:t>
      </w:r>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p>
    <w:p w14:paraId="748DB09A">
      <w:pPr>
        <w:keepNext w:val="0"/>
        <w:keepLines w:val="0"/>
        <w:pageBreakBefore w:val="0"/>
        <w:spacing w:line="360" w:lineRule="auto"/>
        <w:jc w:val="center"/>
        <w:rPr>
          <w:rFonts w:ascii="宋体" w:hAnsi="宋体" w:cs="宋体"/>
          <w:sz w:val="36"/>
          <w:szCs w:val="36"/>
          <w:highlight w:val="none"/>
        </w:rPr>
      </w:pPr>
      <w:bookmarkStart w:id="644" w:name="OLE_LINK14"/>
      <w:r>
        <w:rPr>
          <w:rFonts w:hint="eastAsia" w:ascii="宋体" w:hAnsi="宋体" w:cs="宋体"/>
          <w:b/>
          <w:bCs/>
          <w:sz w:val="28"/>
          <w:szCs w:val="28"/>
          <w:highlight w:val="none"/>
          <w:lang w:val="zh-CN"/>
        </w:rPr>
        <w:t>无重大违法记录声明</w:t>
      </w:r>
    </w:p>
    <w:p w14:paraId="7D67E0E4">
      <w:pPr>
        <w:keepNext w:val="0"/>
        <w:keepLines w:val="0"/>
        <w:pageBreakBefore w:val="0"/>
        <w:spacing w:line="360" w:lineRule="auto"/>
        <w:rPr>
          <w:rFonts w:ascii="宋体" w:hAnsi="宋体" w:cs="宋体"/>
          <w:spacing w:val="6"/>
          <w:szCs w:val="21"/>
          <w:highlight w:val="none"/>
        </w:rPr>
      </w:pPr>
      <w:r>
        <w:rPr>
          <w:rFonts w:hint="eastAsia" w:ascii="宋体" w:hAnsi="宋体" w:cs="宋体"/>
          <w:spacing w:val="6"/>
          <w:szCs w:val="21"/>
          <w:highlight w:val="none"/>
          <w:lang w:eastAsia="zh-CN"/>
        </w:rPr>
        <w:t>南京市江宁区人民政府东山街道办事处</w:t>
      </w:r>
      <w:r>
        <w:rPr>
          <w:rFonts w:hint="eastAsia" w:ascii="宋体" w:hAnsi="宋体" w:cs="宋体"/>
          <w:spacing w:val="6"/>
          <w:szCs w:val="21"/>
          <w:highlight w:val="none"/>
        </w:rPr>
        <w:t>：</w:t>
      </w:r>
    </w:p>
    <w:p w14:paraId="13079400">
      <w:pPr>
        <w:keepNext w:val="0"/>
        <w:keepLines w:val="0"/>
        <w:pageBreakBefore w:val="0"/>
        <w:spacing w:line="360" w:lineRule="auto"/>
        <w:rPr>
          <w:rFonts w:ascii="宋体" w:hAnsi="宋体" w:cs="宋体"/>
          <w:spacing w:val="6"/>
          <w:szCs w:val="21"/>
          <w:highlight w:val="none"/>
        </w:rPr>
      </w:pPr>
      <w:r>
        <w:rPr>
          <w:rFonts w:hint="eastAsia" w:ascii="宋体" w:hAnsi="宋体" w:cs="宋体"/>
          <w:spacing w:val="6"/>
          <w:szCs w:val="21"/>
          <w:highlight w:val="none"/>
        </w:rPr>
        <w:t xml:space="preserve">    我单位（供应商名称）郑重声明：</w:t>
      </w:r>
    </w:p>
    <w:p w14:paraId="77EDCCCA">
      <w:pPr>
        <w:keepNext w:val="0"/>
        <w:keepLines w:val="0"/>
        <w:pageBreakBefore w:val="0"/>
        <w:spacing w:line="360" w:lineRule="auto"/>
        <w:rPr>
          <w:rFonts w:ascii="宋体" w:hAnsi="宋体" w:cs="宋体"/>
          <w:spacing w:val="6"/>
          <w:szCs w:val="21"/>
          <w:highlight w:val="none"/>
        </w:rPr>
      </w:pPr>
      <w:r>
        <w:rPr>
          <w:rFonts w:hint="eastAsia" w:ascii="宋体" w:hAnsi="宋体" w:cs="宋体"/>
          <w:spacing w:val="6"/>
          <w:szCs w:val="21"/>
          <w:highlight w:val="none"/>
        </w:rPr>
        <w:t xml:space="preserve">    参加政府采购活动前3年内在经营活动中（在下划线上如实填写：有或没有）重大违法记录。</w:t>
      </w:r>
    </w:p>
    <w:p w14:paraId="78C39502">
      <w:pPr>
        <w:keepNext w:val="0"/>
        <w:keepLines w:val="0"/>
        <w:pageBreakBefore w:val="0"/>
        <w:spacing w:line="360" w:lineRule="auto"/>
        <w:rPr>
          <w:rFonts w:ascii="宋体" w:hAnsi="宋体" w:cs="宋体"/>
          <w:spacing w:val="6"/>
          <w:szCs w:val="21"/>
          <w:highlight w:val="none"/>
        </w:rPr>
      </w:pPr>
      <w:r>
        <w:rPr>
          <w:rFonts w:hint="eastAsia" w:ascii="宋体" w:hAnsi="宋体" w:cs="宋体"/>
          <w:spacing w:val="6"/>
          <w:szCs w:val="21"/>
          <w:highlight w:val="none"/>
        </w:rPr>
        <w:t xml:space="preserve">    （说明：政府采购法第二十二条第一款第五项所称重大违法记录，是指供应商因违法经营受到刑事处罚或者责令停产停业、吊销许可证或者执照、较大数额罚款等行政处罚。）</w:t>
      </w:r>
    </w:p>
    <w:p w14:paraId="614A4928">
      <w:pPr>
        <w:keepNext w:val="0"/>
        <w:keepLines w:val="0"/>
        <w:pageBreakBefore w:val="0"/>
        <w:spacing w:line="360" w:lineRule="auto"/>
        <w:jc w:val="right"/>
        <w:rPr>
          <w:rFonts w:ascii="宋体" w:hAnsi="宋体" w:cs="宋体"/>
          <w:szCs w:val="21"/>
          <w:highlight w:val="none"/>
          <w:lang w:val="zh-CN"/>
        </w:rPr>
      </w:pPr>
      <w:r>
        <w:rPr>
          <w:rFonts w:hint="eastAsia" w:ascii="宋体" w:hAnsi="宋体" w:cs="宋体"/>
          <w:szCs w:val="21"/>
          <w:highlight w:val="none"/>
          <w:lang w:val="zh-CN"/>
        </w:rPr>
        <w:t>供应商</w:t>
      </w:r>
      <w:r>
        <w:rPr>
          <w:rFonts w:hint="eastAsia" w:ascii="宋体" w:hAnsi="宋体" w:cs="宋体"/>
          <w:szCs w:val="21"/>
          <w:highlight w:val="none"/>
        </w:rPr>
        <w:t>（</w:t>
      </w:r>
      <w:r>
        <w:rPr>
          <w:rFonts w:hint="eastAsia" w:ascii="宋体" w:hAnsi="宋体" w:cs="宋体"/>
          <w:sz w:val="21"/>
          <w:szCs w:val="21"/>
          <w:highlight w:val="none"/>
          <w:lang w:val="en-US" w:eastAsia="zh-CN"/>
        </w:rPr>
        <w:t>电子签章</w:t>
      </w:r>
      <w:r>
        <w:rPr>
          <w:rFonts w:hint="eastAsia" w:ascii="宋体" w:hAnsi="宋体" w:cs="宋体"/>
          <w:szCs w:val="21"/>
          <w:highlight w:val="none"/>
        </w:rPr>
        <w:t xml:space="preserve">）：            </w:t>
      </w:r>
    </w:p>
    <w:p w14:paraId="5EB7BF9F">
      <w:pPr>
        <w:keepNext w:val="0"/>
        <w:keepLines w:val="0"/>
        <w:pageBreakBefore w:val="0"/>
        <w:spacing w:line="360" w:lineRule="auto"/>
        <w:jc w:val="right"/>
        <w:rPr>
          <w:rFonts w:ascii="宋体" w:hAnsi="宋体" w:cs="宋体"/>
          <w:szCs w:val="21"/>
          <w:highlight w:val="none"/>
          <w:lang w:val="zh-CN"/>
        </w:rPr>
      </w:pPr>
      <w:r>
        <w:rPr>
          <w:rFonts w:hint="eastAsia" w:ascii="宋体" w:hAnsi="宋体" w:cs="宋体"/>
          <w:szCs w:val="21"/>
          <w:highlight w:val="none"/>
          <w:lang w:val="zh-CN"/>
        </w:rPr>
        <w:t xml:space="preserve">           </w:t>
      </w:r>
    </w:p>
    <w:p w14:paraId="5A0BB163">
      <w:pPr>
        <w:keepNext w:val="0"/>
        <w:keepLines w:val="0"/>
        <w:pageBreakBefore w:val="0"/>
        <w:spacing w:line="360" w:lineRule="auto"/>
        <w:jc w:val="right"/>
        <w:rPr>
          <w:rFonts w:ascii="宋体" w:hAnsi="宋体" w:cs="宋体"/>
          <w:szCs w:val="21"/>
          <w:highlight w:val="none"/>
          <w:lang w:val="zh-CN"/>
        </w:rPr>
      </w:pPr>
      <w:r>
        <w:rPr>
          <w:rFonts w:hint="eastAsia" w:ascii="宋体" w:hAnsi="宋体" w:cs="宋体"/>
          <w:szCs w:val="21"/>
          <w:highlight w:val="none"/>
          <w:lang w:val="zh-CN"/>
        </w:rPr>
        <w:t>日    期：    年    月   日</w:t>
      </w:r>
      <w:bookmarkEnd w:id="644"/>
    </w:p>
    <w:p w14:paraId="6EC81143">
      <w:pPr>
        <w:rPr>
          <w:rFonts w:hint="eastAsia" w:ascii="宋体" w:hAnsi="宋体" w:eastAsia="宋体" w:cs="宋体"/>
          <w:b/>
          <w:sz w:val="24"/>
          <w:szCs w:val="24"/>
          <w:highlight w:val="none"/>
          <w:lang w:val="en-US" w:eastAsia="zh-CN" w:bidi="ar-SA"/>
        </w:rPr>
      </w:pPr>
    </w:p>
    <w:p w14:paraId="76E04770">
      <w:pPr>
        <w:pStyle w:val="16"/>
        <w:keepNext w:val="0"/>
        <w:keepLines w:val="0"/>
        <w:pageBreakBefore w:val="0"/>
        <w:spacing w:after="0" w:line="360" w:lineRule="auto"/>
        <w:rPr>
          <w:rFonts w:hint="default" w:ascii="宋体" w:hAnsi="宋体" w:eastAsia="宋体" w:cs="宋体"/>
          <w:spacing w:val="6"/>
          <w:sz w:val="21"/>
          <w:szCs w:val="21"/>
          <w:highlight w:val="none"/>
          <w:lang w:val="en-US" w:eastAsia="zh-CN" w:bidi="ar-SA"/>
        </w:rPr>
      </w:pPr>
    </w:p>
    <w:sectPr>
      <w:pgSz w:w="11906" w:h="16838"/>
      <w:pgMar w:top="1417" w:right="1417" w:bottom="1417" w:left="1417" w:header="851" w:footer="992"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script"/>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仿宋简体">
    <w:altName w:val="微软雅黑"/>
    <w:panose1 w:val="02010601030101010101"/>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Segoe UI">
    <w:panose1 w:val="020B0502040204020203"/>
    <w:charset w:val="00"/>
    <w:family w:val="auto"/>
    <w:pitch w:val="default"/>
    <w:sig w:usb0="E4002EFF" w:usb1="C000E47F" w:usb2="00000009" w:usb3="00000000" w:csb0="200001FF" w:csb1="00000000"/>
  </w:font>
  <w:font w:name="Tahoma">
    <w:panose1 w:val="020B0604030504040204"/>
    <w:charset w:val="00"/>
    <w:family w:val="swiss"/>
    <w:pitch w:val="default"/>
    <w:sig w:usb0="E1002EFF" w:usb1="C000605B" w:usb2="00000029" w:usb3="00000000" w:csb0="200101FF" w:csb1="20280000"/>
  </w:font>
  <w:font w:name="方正小标宋简体">
    <w:altName w:val="黑体"/>
    <w:panose1 w:val="02010601030101010101"/>
    <w:charset w:val="86"/>
    <w:family w:val="auto"/>
    <w:pitch w:val="default"/>
    <w:sig w:usb0="00000000" w:usb1="00000000" w:usb2="00000000" w:usb3="00000000" w:csb0="00040000" w:csb1="00000000"/>
  </w:font>
  <w:font w:name="Arial">
    <w:panose1 w:val="020B0604020202020204"/>
    <w:charset w:val="00"/>
    <w:family w:val="auto"/>
    <w:pitch w:val="default"/>
    <w:sig w:usb0="E0002EFF" w:usb1="C000785B" w:usb2="00000009" w:usb3="00000000" w:csb0="400001FF" w:csb1="FFFF0000"/>
  </w:font>
  <w:font w:name="KSOF025BBAAE">
    <w:panose1 w:val="020B0503020204020204"/>
    <w:charset w:val="86"/>
    <w:family w:val="auto"/>
    <w:pitch w:val="default"/>
    <w:sig w:usb0="00000001" w:usb1="00000000" w:usb2="00000000" w:usb3="00000000" w:csb0="00040001" w:csb1="00000000"/>
  </w:font>
  <w:font w:name="KSOF439EEF50">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9B9B95">
    <w:pPr>
      <w:pStyle w:val="24"/>
      <w:jc w:val="center"/>
      <w:rPr>
        <w:rFonts w:ascii="宋体" w:hAnsi="宋体"/>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47650" cy="131445"/>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247650" cy="131445"/>
                      </a:xfrm>
                      <a:prstGeom prst="rect">
                        <a:avLst/>
                      </a:prstGeom>
                      <a:noFill/>
                      <a:ln>
                        <a:noFill/>
                      </a:ln>
                    </wps:spPr>
                    <wps:txbx>
                      <w:txbxContent>
                        <w:p w14:paraId="2820DF4F">
                          <w:pPr>
                            <w:pStyle w:val="24"/>
                          </w:pPr>
                          <w:r>
                            <w:rPr>
                              <w:rFonts w:hint="eastAsia"/>
                            </w:rPr>
                            <w:fldChar w:fldCharType="begin"/>
                          </w:r>
                          <w:r>
                            <w:rPr>
                              <w:rFonts w:hint="eastAsia"/>
                            </w:rPr>
                            <w:instrText xml:space="preserve"> PAGE  \* MERGEFORMAT </w:instrText>
                          </w:r>
                          <w:r>
                            <w:rPr>
                              <w:rFonts w:hint="eastAsia"/>
                            </w:rPr>
                            <w:fldChar w:fldCharType="separate"/>
                          </w:r>
                          <w:r>
                            <w:t>- 5 -</w:t>
                          </w:r>
                          <w:r>
                            <w:rPr>
                              <w:rFonts w:hint="eastAsia"/>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0.35pt;width:19.5pt;mso-position-horizontal:center;mso-position-horizontal-relative:margin;mso-wrap-style:none;z-index:251659264;mso-width-relative:page;mso-height-relative:page;" filled="f" stroked="f" coordsize="21600,21600" o:gfxdata="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XsUjg0AAAAAMBAAAPAAAAAAAAAAEAIAAAACIA&#10;AABkcnMvZG93bnJldi54bWxQSwECFAAUAAAACACHTuJAHrY6e9gBAAClAwAADgAAAAAAAAABACAA&#10;AAAfAQAAZHJzL2Uyb0RvYy54bWxQSwUGAAAAAAYABgBZAQAAaQUAAAAA&#10;">
              <v:fill on="f" focussize="0,0"/>
              <v:stroke on="f"/>
              <v:imagedata o:title=""/>
              <o:lock v:ext="edit" aspectratio="f"/>
              <v:textbox inset="0mm,0mm,0mm,0mm" style="mso-fit-shape-to-text:t;">
                <w:txbxContent>
                  <w:p w14:paraId="2820DF4F">
                    <w:pPr>
                      <w:pStyle w:val="24"/>
                    </w:pPr>
                    <w:r>
                      <w:rPr>
                        <w:rFonts w:hint="eastAsia"/>
                      </w:rPr>
                      <w:fldChar w:fldCharType="begin"/>
                    </w:r>
                    <w:r>
                      <w:rPr>
                        <w:rFonts w:hint="eastAsia"/>
                      </w:rPr>
                      <w:instrText xml:space="preserve"> PAGE  \* MERGEFORMAT </w:instrText>
                    </w:r>
                    <w:r>
                      <w:rPr>
                        <w:rFonts w:hint="eastAsia"/>
                      </w:rPr>
                      <w:fldChar w:fldCharType="separate"/>
                    </w:r>
                    <w:r>
                      <w:t>- 5 -</w:t>
                    </w:r>
                    <w:r>
                      <w:rPr>
                        <w:rFonts w:hint="eastAsia"/>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A09F1E">
    <w:pPr>
      <w:pStyle w:val="24"/>
      <w:jc w:val="center"/>
      <w:rPr>
        <w:rFonts w:ascii="宋体" w:hAnsi="宋体"/>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miter/>
                      </a:ln>
                    </wps:spPr>
                    <wps:txbx>
                      <w:txbxContent>
                        <w:p w14:paraId="4606A270">
                          <w:pPr>
                            <w:pStyle w:val="24"/>
                          </w:pPr>
                          <w:r>
                            <w:rPr>
                              <w:rFonts w:hint="eastAsia"/>
                            </w:rPr>
                            <w:fldChar w:fldCharType="begin"/>
                          </w:r>
                          <w:r>
                            <w:rPr>
                              <w:rFonts w:hint="eastAsia"/>
                            </w:rPr>
                            <w:instrText xml:space="preserve"> PAGE  \* MERGEFORMAT </w:instrText>
                          </w:r>
                          <w:r>
                            <w:rPr>
                              <w:rFonts w:hint="eastAsia"/>
                            </w:rPr>
                            <w:fldChar w:fldCharType="separate"/>
                          </w:r>
                          <w:r>
                            <w:t>- 38 -</w:t>
                          </w:r>
                          <w:r>
                            <w:rPr>
                              <w:rFonts w:hint="eastAsia"/>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M6pebnPAAAABQEAAA8AAAAAAAAAAQAgAAAAIgAAAGRy&#10;cy9kb3ducmV2LnhtbFBLAQIUABQAAAAIAIdO4kDqQ4Wm1QEAALEDAAAOAAAAAAAAAAEAIAAAAB4B&#10;AABkcnMvZTJvRG9jLnhtbFBLBQYAAAAABgAGAFkBAABlBQAAAAA=&#10;">
              <v:fill on="f" focussize="0,0"/>
              <v:stroke on="f" joinstyle="miter"/>
              <v:imagedata o:title=""/>
              <o:lock v:ext="edit" aspectratio="f"/>
              <v:textbox inset="0mm,0mm,0mm,0mm" style="mso-fit-shape-to-text:t;">
                <w:txbxContent>
                  <w:p w14:paraId="4606A270">
                    <w:pPr>
                      <w:pStyle w:val="24"/>
                    </w:pPr>
                    <w:r>
                      <w:rPr>
                        <w:rFonts w:hint="eastAsia"/>
                      </w:rPr>
                      <w:fldChar w:fldCharType="begin"/>
                    </w:r>
                    <w:r>
                      <w:rPr>
                        <w:rFonts w:hint="eastAsia"/>
                      </w:rPr>
                      <w:instrText xml:space="preserve"> PAGE  \* MERGEFORMAT </w:instrText>
                    </w:r>
                    <w:r>
                      <w:rPr>
                        <w:rFonts w:hint="eastAsia"/>
                      </w:rPr>
                      <w:fldChar w:fldCharType="separate"/>
                    </w:r>
                    <w:r>
                      <w:t>- 38 -</w:t>
                    </w:r>
                    <w:r>
                      <w:rPr>
                        <w:rFonts w:hint="eastAsia"/>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9A0D51">
    <w:pPr>
      <w:pStyle w:val="25"/>
      <w:pBdr>
        <w:bottom w:val="none" w:color="auto" w:sz="0" w:space="1"/>
      </w:pBdr>
      <w:jc w:val="right"/>
      <w:rPr>
        <w:b/>
        <w:i/>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20339B">
    <w:pPr>
      <w:pStyle w:val="25"/>
      <w:pBdr>
        <w:bottom w:val="none" w:color="auto" w:sz="0" w:space="1"/>
      </w:pBdr>
      <w:jc w:val="right"/>
      <w:rPr>
        <w:b/>
        <w: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729BE39"/>
    <w:multiLevelType w:val="singleLevel"/>
    <w:tmpl w:val="A729BE39"/>
    <w:lvl w:ilvl="0" w:tentative="0">
      <w:start w:val="1"/>
      <w:numFmt w:val="decimal"/>
      <w:suff w:val="nothing"/>
      <w:lvlText w:val="%1、"/>
      <w:lvlJc w:val="left"/>
    </w:lvl>
  </w:abstractNum>
  <w:abstractNum w:abstractNumId="1">
    <w:nsid w:val="B54A537B"/>
    <w:multiLevelType w:val="singleLevel"/>
    <w:tmpl w:val="B54A537B"/>
    <w:lvl w:ilvl="0" w:tentative="0">
      <w:start w:val="5"/>
      <w:numFmt w:val="chineseCounting"/>
      <w:suff w:val="nothing"/>
      <w:lvlText w:val="%1、"/>
      <w:lvlJc w:val="left"/>
      <w:rPr>
        <w:rFonts w:hint="eastAsia"/>
      </w:rPr>
    </w:lvl>
  </w:abstractNum>
  <w:abstractNum w:abstractNumId="2">
    <w:nsid w:val="BF205925"/>
    <w:multiLevelType w:val="multilevel"/>
    <w:tmpl w:val="BF205925"/>
    <w:lvl w:ilvl="0" w:tentative="0">
      <w:start w:val="11"/>
      <w:numFmt w:val="chineseCounting"/>
      <w:suff w:val="space"/>
      <w:lvlText w:val="第%1条"/>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DE70B658"/>
    <w:multiLevelType w:val="singleLevel"/>
    <w:tmpl w:val="DE70B658"/>
    <w:lvl w:ilvl="0" w:tentative="0">
      <w:start w:val="1"/>
      <w:numFmt w:val="chineseCounting"/>
      <w:suff w:val="nothing"/>
      <w:lvlText w:val="（%1）"/>
      <w:lvlJc w:val="left"/>
      <w:rPr>
        <w:rFonts w:hint="eastAsia"/>
      </w:rPr>
    </w:lvl>
  </w:abstractNum>
  <w:abstractNum w:abstractNumId="4">
    <w:nsid w:val="0053208E"/>
    <w:multiLevelType w:val="multilevel"/>
    <w:tmpl w:val="0053208E"/>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428A4901"/>
    <w:multiLevelType w:val="singleLevel"/>
    <w:tmpl w:val="428A4901"/>
    <w:lvl w:ilvl="0" w:tentative="0">
      <w:start w:val="1"/>
      <w:numFmt w:val="chineseCounting"/>
      <w:suff w:val="nothing"/>
      <w:lvlText w:val="%1、"/>
      <w:lvlJc w:val="left"/>
      <w:rPr>
        <w:rFonts w:hint="eastAsia"/>
      </w:rPr>
    </w:lvl>
  </w:abstractNum>
  <w:abstractNum w:abstractNumId="6">
    <w:nsid w:val="5B6A51C4"/>
    <w:multiLevelType w:val="singleLevel"/>
    <w:tmpl w:val="5B6A51C4"/>
    <w:lvl w:ilvl="0" w:tentative="0">
      <w:start w:val="1"/>
      <w:numFmt w:val="chineseCounting"/>
      <w:suff w:val="nothing"/>
      <w:lvlText w:val="%1、"/>
      <w:lvlJc w:val="left"/>
      <w:rPr>
        <w:rFonts w:hint="eastAsia"/>
      </w:rPr>
    </w:lvl>
  </w:abstractNum>
  <w:abstractNum w:abstractNumId="7">
    <w:nsid w:val="655A5090"/>
    <w:multiLevelType w:val="singleLevel"/>
    <w:tmpl w:val="655A5090"/>
    <w:lvl w:ilvl="0" w:tentative="0">
      <w:start w:val="1"/>
      <w:numFmt w:val="decimal"/>
      <w:suff w:val="nothing"/>
      <w:lvlText w:val="（%1）"/>
      <w:lvlJc w:val="left"/>
    </w:lvl>
  </w:abstractNum>
  <w:num w:numId="1">
    <w:abstractNumId w:val="4"/>
  </w:num>
  <w:num w:numId="2">
    <w:abstractNumId w:val="3"/>
  </w:num>
  <w:num w:numId="3">
    <w:abstractNumId w:val="5"/>
  </w:num>
  <w:num w:numId="4">
    <w:abstractNumId w:val="7"/>
  </w:num>
  <w:num w:numId="5">
    <w:abstractNumId w:val="6"/>
  </w:num>
  <w:num w:numId="6">
    <w:abstractNumId w:val="2"/>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trackRevisions w:val="1"/>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JjNWYzMzdiMGRkYTA2MmNlMTUyMWJhOWI1ZTNmMDcifQ=="/>
  </w:docVars>
  <w:rsids>
    <w:rsidRoot w:val="00000000"/>
    <w:rsid w:val="005C0AB5"/>
    <w:rsid w:val="00CF3752"/>
    <w:rsid w:val="019D55FE"/>
    <w:rsid w:val="031C0638"/>
    <w:rsid w:val="03D8291E"/>
    <w:rsid w:val="040F2377"/>
    <w:rsid w:val="04473600"/>
    <w:rsid w:val="04815BD8"/>
    <w:rsid w:val="04C36E12"/>
    <w:rsid w:val="053556B0"/>
    <w:rsid w:val="079B3507"/>
    <w:rsid w:val="07D77390"/>
    <w:rsid w:val="087B4212"/>
    <w:rsid w:val="08DF64FD"/>
    <w:rsid w:val="092E09EE"/>
    <w:rsid w:val="09675FD9"/>
    <w:rsid w:val="09D27E0F"/>
    <w:rsid w:val="0B070428"/>
    <w:rsid w:val="0D46489F"/>
    <w:rsid w:val="0D7C6A10"/>
    <w:rsid w:val="0E8A2A67"/>
    <w:rsid w:val="0EA948D3"/>
    <w:rsid w:val="0F3375A2"/>
    <w:rsid w:val="0FA77648"/>
    <w:rsid w:val="0FF52AA9"/>
    <w:rsid w:val="1038508D"/>
    <w:rsid w:val="10A33ADA"/>
    <w:rsid w:val="115A0E16"/>
    <w:rsid w:val="120B3EBE"/>
    <w:rsid w:val="123F625E"/>
    <w:rsid w:val="12695633"/>
    <w:rsid w:val="12C56763"/>
    <w:rsid w:val="12D720A5"/>
    <w:rsid w:val="12F6691D"/>
    <w:rsid w:val="137D703E"/>
    <w:rsid w:val="14263091"/>
    <w:rsid w:val="146401FE"/>
    <w:rsid w:val="14D62EA9"/>
    <w:rsid w:val="16071EE7"/>
    <w:rsid w:val="1651030E"/>
    <w:rsid w:val="1664653B"/>
    <w:rsid w:val="1726179A"/>
    <w:rsid w:val="17E92EF4"/>
    <w:rsid w:val="188E75F7"/>
    <w:rsid w:val="1A6F13E1"/>
    <w:rsid w:val="1A89451A"/>
    <w:rsid w:val="1BC17BAC"/>
    <w:rsid w:val="1C142509"/>
    <w:rsid w:val="1CA23671"/>
    <w:rsid w:val="1CC373C8"/>
    <w:rsid w:val="1CCD6243"/>
    <w:rsid w:val="1DED3012"/>
    <w:rsid w:val="1F107B5E"/>
    <w:rsid w:val="1F1C3BAF"/>
    <w:rsid w:val="1F8879DD"/>
    <w:rsid w:val="1FD229BE"/>
    <w:rsid w:val="20515D81"/>
    <w:rsid w:val="20745325"/>
    <w:rsid w:val="20BD6CCC"/>
    <w:rsid w:val="2129610F"/>
    <w:rsid w:val="22947F00"/>
    <w:rsid w:val="23B76A4B"/>
    <w:rsid w:val="23DF51AB"/>
    <w:rsid w:val="23FC5D5D"/>
    <w:rsid w:val="24A51F50"/>
    <w:rsid w:val="24DB3BC4"/>
    <w:rsid w:val="267047E0"/>
    <w:rsid w:val="274A5031"/>
    <w:rsid w:val="283006CB"/>
    <w:rsid w:val="283261F1"/>
    <w:rsid w:val="287D021D"/>
    <w:rsid w:val="2932686F"/>
    <w:rsid w:val="2AAA2B32"/>
    <w:rsid w:val="2B116592"/>
    <w:rsid w:val="2C366B76"/>
    <w:rsid w:val="2D494156"/>
    <w:rsid w:val="2D616C31"/>
    <w:rsid w:val="2D655CD2"/>
    <w:rsid w:val="2EA640D2"/>
    <w:rsid w:val="2EFC4E63"/>
    <w:rsid w:val="2F605A35"/>
    <w:rsid w:val="2FEA73B1"/>
    <w:rsid w:val="30AD60BC"/>
    <w:rsid w:val="31774E13"/>
    <w:rsid w:val="31B22151"/>
    <w:rsid w:val="335964C1"/>
    <w:rsid w:val="33A31678"/>
    <w:rsid w:val="347436ED"/>
    <w:rsid w:val="34B65AB4"/>
    <w:rsid w:val="35EA1EB9"/>
    <w:rsid w:val="35F44AE6"/>
    <w:rsid w:val="36A75FFC"/>
    <w:rsid w:val="36B14785"/>
    <w:rsid w:val="374A490E"/>
    <w:rsid w:val="377451B9"/>
    <w:rsid w:val="37EC38F1"/>
    <w:rsid w:val="37F52D97"/>
    <w:rsid w:val="38594CE7"/>
    <w:rsid w:val="3901065F"/>
    <w:rsid w:val="3A062C33"/>
    <w:rsid w:val="3A085004"/>
    <w:rsid w:val="3A092B2A"/>
    <w:rsid w:val="3AFC659F"/>
    <w:rsid w:val="3B0113FB"/>
    <w:rsid w:val="3B0A55D6"/>
    <w:rsid w:val="3C0B4937"/>
    <w:rsid w:val="3C3D0ABF"/>
    <w:rsid w:val="3CB371B9"/>
    <w:rsid w:val="3D65276D"/>
    <w:rsid w:val="3D736C38"/>
    <w:rsid w:val="3E3A3C65"/>
    <w:rsid w:val="3EE14075"/>
    <w:rsid w:val="3F520ACF"/>
    <w:rsid w:val="3FDD2A8F"/>
    <w:rsid w:val="40A04958"/>
    <w:rsid w:val="4175618E"/>
    <w:rsid w:val="41D77026"/>
    <w:rsid w:val="425A2175"/>
    <w:rsid w:val="42611755"/>
    <w:rsid w:val="432E715D"/>
    <w:rsid w:val="43513465"/>
    <w:rsid w:val="437E6337"/>
    <w:rsid w:val="44211060"/>
    <w:rsid w:val="45686297"/>
    <w:rsid w:val="45986FC9"/>
    <w:rsid w:val="45E22BAD"/>
    <w:rsid w:val="460C47E4"/>
    <w:rsid w:val="481B05F8"/>
    <w:rsid w:val="4828061F"/>
    <w:rsid w:val="490B41C9"/>
    <w:rsid w:val="494168A1"/>
    <w:rsid w:val="49B22D26"/>
    <w:rsid w:val="4AD11DB9"/>
    <w:rsid w:val="4AD8632C"/>
    <w:rsid w:val="4BDF5F68"/>
    <w:rsid w:val="4C4F6AC2"/>
    <w:rsid w:val="4C712E22"/>
    <w:rsid w:val="4E0B6A19"/>
    <w:rsid w:val="4E7D7917"/>
    <w:rsid w:val="4EB125CA"/>
    <w:rsid w:val="4EFD4553"/>
    <w:rsid w:val="4F297952"/>
    <w:rsid w:val="4F374134"/>
    <w:rsid w:val="4F460556"/>
    <w:rsid w:val="500C20E4"/>
    <w:rsid w:val="51652600"/>
    <w:rsid w:val="51BA0C5F"/>
    <w:rsid w:val="51E47CAD"/>
    <w:rsid w:val="52043EAB"/>
    <w:rsid w:val="523236EE"/>
    <w:rsid w:val="525C7843"/>
    <w:rsid w:val="52FD3A38"/>
    <w:rsid w:val="536B4DEE"/>
    <w:rsid w:val="540957A8"/>
    <w:rsid w:val="548656FA"/>
    <w:rsid w:val="54D97871"/>
    <w:rsid w:val="54F41FB5"/>
    <w:rsid w:val="55AF412E"/>
    <w:rsid w:val="567A1039"/>
    <w:rsid w:val="585714BA"/>
    <w:rsid w:val="589B53C1"/>
    <w:rsid w:val="58B817E0"/>
    <w:rsid w:val="58E71997"/>
    <w:rsid w:val="590E1E43"/>
    <w:rsid w:val="59253085"/>
    <w:rsid w:val="5A144EA7"/>
    <w:rsid w:val="5A221372"/>
    <w:rsid w:val="5BB73D3C"/>
    <w:rsid w:val="5BBA55DA"/>
    <w:rsid w:val="5BF3746A"/>
    <w:rsid w:val="5CA16EC6"/>
    <w:rsid w:val="5CDD77D2"/>
    <w:rsid w:val="5DCE4E36"/>
    <w:rsid w:val="5DE17655"/>
    <w:rsid w:val="5E21692C"/>
    <w:rsid w:val="5E292944"/>
    <w:rsid w:val="5FCA1283"/>
    <w:rsid w:val="60846FEF"/>
    <w:rsid w:val="61081394"/>
    <w:rsid w:val="61371BA7"/>
    <w:rsid w:val="614D13CA"/>
    <w:rsid w:val="62B153C1"/>
    <w:rsid w:val="644836E8"/>
    <w:rsid w:val="6461518D"/>
    <w:rsid w:val="64E06F0C"/>
    <w:rsid w:val="65095BA8"/>
    <w:rsid w:val="66061B48"/>
    <w:rsid w:val="66787717"/>
    <w:rsid w:val="68D50FF4"/>
    <w:rsid w:val="69D640BC"/>
    <w:rsid w:val="6A206FDB"/>
    <w:rsid w:val="6A346831"/>
    <w:rsid w:val="6A89372B"/>
    <w:rsid w:val="6AA72606"/>
    <w:rsid w:val="6B28481A"/>
    <w:rsid w:val="6B7834E8"/>
    <w:rsid w:val="6BB12556"/>
    <w:rsid w:val="6BD2300E"/>
    <w:rsid w:val="6D1B05CF"/>
    <w:rsid w:val="6D2558D7"/>
    <w:rsid w:val="6E5F4497"/>
    <w:rsid w:val="6E742570"/>
    <w:rsid w:val="6E8729DB"/>
    <w:rsid w:val="6EA91A83"/>
    <w:rsid w:val="6EAE5FF2"/>
    <w:rsid w:val="6F2061FD"/>
    <w:rsid w:val="6F5E0C47"/>
    <w:rsid w:val="6F6D0E8A"/>
    <w:rsid w:val="6F9E1043"/>
    <w:rsid w:val="713B7DC1"/>
    <w:rsid w:val="717169A4"/>
    <w:rsid w:val="71EC5F27"/>
    <w:rsid w:val="724F114D"/>
    <w:rsid w:val="72816E64"/>
    <w:rsid w:val="73153B07"/>
    <w:rsid w:val="742F0025"/>
    <w:rsid w:val="746F19EB"/>
    <w:rsid w:val="75722D56"/>
    <w:rsid w:val="766703E1"/>
    <w:rsid w:val="76685F07"/>
    <w:rsid w:val="768865A9"/>
    <w:rsid w:val="76E71B10"/>
    <w:rsid w:val="775D17E4"/>
    <w:rsid w:val="77FE2FC7"/>
    <w:rsid w:val="7883527A"/>
    <w:rsid w:val="78DE6126"/>
    <w:rsid w:val="78F30652"/>
    <w:rsid w:val="79E61F64"/>
    <w:rsid w:val="79F44681"/>
    <w:rsid w:val="7D133070"/>
    <w:rsid w:val="7D5F7614"/>
    <w:rsid w:val="7D7B0C16"/>
    <w:rsid w:val="7E6802A9"/>
    <w:rsid w:val="7E88183C"/>
    <w:rsid w:val="7EB671B5"/>
    <w:rsid w:val="7F787207"/>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9" w:semiHidden="0" w:name="heading 3"/>
    <w:lsdException w:qFormat="1" w:unhideWhenUsed="0"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qFormat="1" w:unhideWhenUsed="0" w:uiPriority="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qFormat="1" w:unhideWhenUsed="0" w:uiPriority="0"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qFormat="1"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3">
    <w:name w:val="heading 1"/>
    <w:basedOn w:val="1"/>
    <w:next w:val="1"/>
    <w:link w:val="197"/>
    <w:qFormat/>
    <w:uiPriority w:val="0"/>
    <w:pPr>
      <w:keepNext/>
      <w:keepLines/>
      <w:spacing w:before="340" w:after="330" w:line="360" w:lineRule="auto"/>
      <w:outlineLvl w:val="0"/>
    </w:pPr>
    <w:rPr>
      <w:b/>
      <w:bCs/>
      <w:sz w:val="32"/>
      <w:szCs w:val="44"/>
    </w:rPr>
  </w:style>
  <w:style w:type="paragraph" w:styleId="4">
    <w:name w:val="heading 2"/>
    <w:basedOn w:val="1"/>
    <w:next w:val="1"/>
    <w:semiHidden/>
    <w:unhideWhenUsed/>
    <w:qFormat/>
    <w:uiPriority w:val="0"/>
    <w:pPr>
      <w:spacing w:before="0" w:beforeAutospacing="1" w:after="0" w:afterAutospacing="1"/>
      <w:jc w:val="left"/>
    </w:pPr>
    <w:rPr>
      <w:rFonts w:hint="eastAsia" w:ascii="宋体" w:hAnsi="宋体" w:eastAsia="宋体" w:cs="宋体"/>
      <w:b/>
      <w:bCs/>
      <w:sz w:val="36"/>
      <w:szCs w:val="36"/>
      <w:lang w:val="en-US" w:eastAsia="zh-CN" w:bidi="ar"/>
    </w:rPr>
  </w:style>
  <w:style w:type="paragraph" w:styleId="5">
    <w:name w:val="heading 3"/>
    <w:basedOn w:val="1"/>
    <w:next w:val="1"/>
    <w:link w:val="52"/>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qFormat/>
    <w:uiPriority w:val="9"/>
    <w:pPr>
      <w:keepNext/>
      <w:keepLines/>
      <w:spacing w:before="280" w:after="290" w:line="376" w:lineRule="auto"/>
      <w:outlineLvl w:val="3"/>
    </w:pPr>
    <w:rPr>
      <w:rFonts w:ascii="Cambria" w:hAnsi="Cambria"/>
      <w:b/>
      <w:bCs/>
      <w:sz w:val="28"/>
      <w:szCs w:val="28"/>
    </w:rPr>
  </w:style>
  <w:style w:type="paragraph" w:styleId="7">
    <w:name w:val="heading 5"/>
    <w:basedOn w:val="1"/>
    <w:next w:val="1"/>
    <w:link w:val="54"/>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55"/>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56"/>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57"/>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58"/>
    <w:unhideWhenUsed/>
    <w:qFormat/>
    <w:uiPriority w:val="9"/>
    <w:pPr>
      <w:keepNext/>
      <w:keepLines/>
      <w:spacing w:before="320" w:after="200"/>
      <w:outlineLvl w:val="8"/>
    </w:pPr>
    <w:rPr>
      <w:rFonts w:ascii="Arial" w:hAnsi="Arial" w:eastAsia="Arial" w:cs="Arial"/>
      <w:i/>
      <w:iCs/>
      <w:sz w:val="21"/>
      <w:szCs w:val="21"/>
    </w:rPr>
  </w:style>
  <w:style w:type="character" w:default="1" w:styleId="40">
    <w:name w:val="Default Paragraph Font"/>
    <w:semiHidden/>
    <w:unhideWhenUsed/>
    <w:qFormat/>
    <w:uiPriority w:val="1"/>
  </w:style>
  <w:style w:type="table" w:default="1" w:styleId="38">
    <w:name w:val="Normal Table"/>
    <w:semiHidden/>
    <w:unhideWhenUsed/>
    <w:qFormat/>
    <w:uiPriority w:val="99"/>
    <w:tblPr>
      <w:tblCellMar>
        <w:top w:w="0" w:type="dxa"/>
        <w:left w:w="108" w:type="dxa"/>
        <w:bottom w:w="0" w:type="dxa"/>
        <w:right w:w="108" w:type="dxa"/>
      </w:tblCellMar>
    </w:tblPr>
  </w:style>
  <w:style w:type="paragraph" w:styleId="2">
    <w:name w:val="Title"/>
    <w:basedOn w:val="1"/>
    <w:next w:val="1"/>
    <w:link w:val="60"/>
    <w:qFormat/>
    <w:uiPriority w:val="10"/>
    <w:pPr>
      <w:spacing w:before="300" w:after="200"/>
      <w:contextualSpacing/>
    </w:pPr>
    <w:rPr>
      <w:sz w:val="48"/>
      <w:szCs w:val="48"/>
    </w:rPr>
  </w:style>
  <w:style w:type="paragraph" w:styleId="12">
    <w:name w:val="toc 7"/>
    <w:basedOn w:val="1"/>
    <w:next w:val="1"/>
    <w:unhideWhenUsed/>
    <w:qFormat/>
    <w:uiPriority w:val="39"/>
    <w:pPr>
      <w:spacing w:after="57"/>
      <w:ind w:left="1701" w:right="0" w:firstLine="0"/>
    </w:pPr>
  </w:style>
  <w:style w:type="paragraph" w:styleId="13">
    <w:name w:val="Normal Indent"/>
    <w:basedOn w:val="1"/>
    <w:qFormat/>
    <w:uiPriority w:val="0"/>
    <w:pPr>
      <w:ind w:firstLine="420"/>
    </w:pPr>
    <w:rPr>
      <w:szCs w:val="20"/>
    </w:rPr>
  </w:style>
  <w:style w:type="paragraph" w:styleId="14">
    <w:name w:val="caption"/>
    <w:basedOn w:val="1"/>
    <w:next w:val="1"/>
    <w:semiHidden/>
    <w:unhideWhenUsed/>
    <w:qFormat/>
    <w:uiPriority w:val="35"/>
    <w:pPr>
      <w:spacing w:line="276" w:lineRule="auto"/>
    </w:pPr>
    <w:rPr>
      <w:b/>
      <w:bCs/>
      <w:color w:val="5B9BD5" w:themeColor="accent1"/>
      <w:sz w:val="18"/>
      <w:szCs w:val="18"/>
      <w14:textFill>
        <w14:solidFill>
          <w14:schemeClr w14:val="accent1"/>
        </w14:solidFill>
      </w14:textFill>
    </w:rPr>
  </w:style>
  <w:style w:type="paragraph" w:styleId="15">
    <w:name w:val="annotation text"/>
    <w:basedOn w:val="1"/>
    <w:qFormat/>
    <w:uiPriority w:val="0"/>
    <w:pPr>
      <w:jc w:val="left"/>
    </w:pPr>
  </w:style>
  <w:style w:type="paragraph" w:styleId="16">
    <w:name w:val="Body Text"/>
    <w:basedOn w:val="1"/>
    <w:qFormat/>
    <w:uiPriority w:val="0"/>
    <w:pPr>
      <w:spacing w:after="120"/>
    </w:pPr>
  </w:style>
  <w:style w:type="paragraph" w:styleId="17">
    <w:name w:val="Body Text Indent"/>
    <w:basedOn w:val="1"/>
    <w:qFormat/>
    <w:uiPriority w:val="0"/>
    <w:pPr>
      <w:spacing w:after="120"/>
      <w:ind w:left="420"/>
    </w:pPr>
    <w:rPr>
      <w:sz w:val="24"/>
    </w:rPr>
  </w:style>
  <w:style w:type="paragraph" w:styleId="18">
    <w:name w:val="toc 5"/>
    <w:basedOn w:val="1"/>
    <w:next w:val="1"/>
    <w:unhideWhenUsed/>
    <w:qFormat/>
    <w:uiPriority w:val="39"/>
    <w:pPr>
      <w:spacing w:after="57"/>
      <w:ind w:left="1134" w:right="0" w:firstLine="0"/>
    </w:pPr>
  </w:style>
  <w:style w:type="paragraph" w:styleId="19">
    <w:name w:val="toc 3"/>
    <w:basedOn w:val="1"/>
    <w:next w:val="1"/>
    <w:qFormat/>
    <w:uiPriority w:val="39"/>
    <w:pPr>
      <w:ind w:left="840"/>
    </w:pPr>
  </w:style>
  <w:style w:type="paragraph" w:styleId="20">
    <w:name w:val="Plain Text"/>
    <w:basedOn w:val="1"/>
    <w:unhideWhenUsed/>
    <w:qFormat/>
    <w:uiPriority w:val="0"/>
    <w:rPr>
      <w:rFonts w:ascii="宋体" w:hAnsi="Courier New"/>
      <w:szCs w:val="21"/>
    </w:rPr>
  </w:style>
  <w:style w:type="paragraph" w:styleId="21">
    <w:name w:val="toc 8"/>
    <w:basedOn w:val="1"/>
    <w:next w:val="1"/>
    <w:unhideWhenUsed/>
    <w:qFormat/>
    <w:uiPriority w:val="39"/>
    <w:pPr>
      <w:spacing w:after="57"/>
      <w:ind w:left="1984" w:right="0" w:firstLine="0"/>
    </w:pPr>
  </w:style>
  <w:style w:type="paragraph" w:styleId="22">
    <w:name w:val="Body Text Indent 2"/>
    <w:basedOn w:val="1"/>
    <w:qFormat/>
    <w:uiPriority w:val="0"/>
    <w:pPr>
      <w:ind w:left="630" w:firstLine="645"/>
    </w:pPr>
    <w:rPr>
      <w:rFonts w:ascii="Arial" w:hAnsi="Arial" w:eastAsia="仿宋_GB2312"/>
      <w:sz w:val="32"/>
      <w:szCs w:val="20"/>
    </w:rPr>
  </w:style>
  <w:style w:type="paragraph" w:styleId="23">
    <w:name w:val="endnote text"/>
    <w:basedOn w:val="1"/>
    <w:link w:val="195"/>
    <w:semiHidden/>
    <w:unhideWhenUsed/>
    <w:qFormat/>
    <w:uiPriority w:val="99"/>
    <w:pPr>
      <w:spacing w:after="0" w:line="240" w:lineRule="auto"/>
    </w:pPr>
    <w:rPr>
      <w:sz w:val="20"/>
    </w:rPr>
  </w:style>
  <w:style w:type="paragraph" w:styleId="24">
    <w:name w:val="footer"/>
    <w:basedOn w:val="1"/>
    <w:qFormat/>
    <w:uiPriority w:val="0"/>
    <w:pPr>
      <w:tabs>
        <w:tab w:val="center" w:pos="4153"/>
        <w:tab w:val="right" w:pos="8306"/>
      </w:tabs>
      <w:jc w:val="left"/>
    </w:pPr>
    <w:rPr>
      <w:sz w:val="18"/>
      <w:szCs w:val="18"/>
    </w:rPr>
  </w:style>
  <w:style w:type="paragraph" w:styleId="25">
    <w:name w:val="header"/>
    <w:basedOn w:val="1"/>
    <w:qFormat/>
    <w:uiPriority w:val="0"/>
    <w:pPr>
      <w:pBdr>
        <w:bottom w:val="single" w:color="auto" w:sz="6" w:space="1"/>
      </w:pBdr>
      <w:tabs>
        <w:tab w:val="center" w:pos="4153"/>
        <w:tab w:val="right" w:pos="8306"/>
      </w:tabs>
      <w:jc w:val="center"/>
    </w:pPr>
    <w:rPr>
      <w:sz w:val="18"/>
      <w:szCs w:val="18"/>
    </w:rPr>
  </w:style>
  <w:style w:type="paragraph" w:styleId="26">
    <w:name w:val="toc 1"/>
    <w:basedOn w:val="1"/>
    <w:next w:val="1"/>
    <w:qFormat/>
    <w:uiPriority w:val="39"/>
  </w:style>
  <w:style w:type="paragraph" w:styleId="27">
    <w:name w:val="toc 4"/>
    <w:basedOn w:val="1"/>
    <w:next w:val="1"/>
    <w:unhideWhenUsed/>
    <w:qFormat/>
    <w:uiPriority w:val="39"/>
    <w:pPr>
      <w:spacing w:after="57"/>
      <w:ind w:left="850" w:right="0" w:firstLine="0"/>
    </w:pPr>
  </w:style>
  <w:style w:type="paragraph" w:styleId="28">
    <w:name w:val="index heading"/>
    <w:basedOn w:val="1"/>
    <w:next w:val="29"/>
    <w:semiHidden/>
    <w:qFormat/>
    <w:uiPriority w:val="0"/>
    <w:rPr>
      <w:szCs w:val="20"/>
    </w:rPr>
  </w:style>
  <w:style w:type="paragraph" w:styleId="29">
    <w:name w:val="index 1"/>
    <w:basedOn w:val="1"/>
    <w:next w:val="1"/>
    <w:semiHidden/>
    <w:qFormat/>
    <w:uiPriority w:val="0"/>
    <w:pPr>
      <w:jc w:val="center"/>
    </w:pPr>
    <w:rPr>
      <w:bCs/>
      <w:szCs w:val="20"/>
    </w:rPr>
  </w:style>
  <w:style w:type="paragraph" w:styleId="30">
    <w:name w:val="Subtitle"/>
    <w:basedOn w:val="1"/>
    <w:next w:val="1"/>
    <w:link w:val="61"/>
    <w:qFormat/>
    <w:uiPriority w:val="11"/>
    <w:pPr>
      <w:spacing w:before="200" w:after="200"/>
    </w:pPr>
    <w:rPr>
      <w:sz w:val="24"/>
      <w:szCs w:val="24"/>
    </w:rPr>
  </w:style>
  <w:style w:type="paragraph" w:styleId="31">
    <w:name w:val="footnote text"/>
    <w:basedOn w:val="1"/>
    <w:link w:val="194"/>
    <w:semiHidden/>
    <w:unhideWhenUsed/>
    <w:qFormat/>
    <w:uiPriority w:val="99"/>
    <w:pPr>
      <w:spacing w:after="40" w:line="240" w:lineRule="auto"/>
    </w:pPr>
    <w:rPr>
      <w:sz w:val="18"/>
    </w:rPr>
  </w:style>
  <w:style w:type="paragraph" w:styleId="32">
    <w:name w:val="toc 6"/>
    <w:basedOn w:val="1"/>
    <w:next w:val="1"/>
    <w:unhideWhenUsed/>
    <w:qFormat/>
    <w:uiPriority w:val="39"/>
    <w:pPr>
      <w:spacing w:after="57"/>
      <w:ind w:left="1417" w:right="0" w:firstLine="0"/>
    </w:pPr>
  </w:style>
  <w:style w:type="paragraph" w:styleId="33">
    <w:name w:val="table of figures"/>
    <w:basedOn w:val="1"/>
    <w:next w:val="1"/>
    <w:unhideWhenUsed/>
    <w:qFormat/>
    <w:uiPriority w:val="99"/>
    <w:pPr>
      <w:spacing w:after="0" w:afterAutospacing="0"/>
    </w:pPr>
  </w:style>
  <w:style w:type="paragraph" w:styleId="34">
    <w:name w:val="toc 2"/>
    <w:basedOn w:val="1"/>
    <w:next w:val="1"/>
    <w:qFormat/>
    <w:uiPriority w:val="39"/>
    <w:pPr>
      <w:ind w:left="420"/>
    </w:pPr>
  </w:style>
  <w:style w:type="paragraph" w:styleId="35">
    <w:name w:val="toc 9"/>
    <w:basedOn w:val="1"/>
    <w:next w:val="1"/>
    <w:unhideWhenUsed/>
    <w:qFormat/>
    <w:uiPriority w:val="39"/>
    <w:pPr>
      <w:spacing w:after="57"/>
      <w:ind w:left="2268" w:right="0" w:firstLine="0"/>
    </w:pPr>
  </w:style>
  <w:style w:type="paragraph" w:styleId="36">
    <w:name w:val="Normal (Web)"/>
    <w:basedOn w:val="1"/>
    <w:qFormat/>
    <w:uiPriority w:val="0"/>
    <w:pPr>
      <w:spacing w:before="0" w:beforeAutospacing="1" w:after="0" w:afterAutospacing="1"/>
      <w:ind w:left="0" w:right="0"/>
      <w:jc w:val="left"/>
    </w:pPr>
    <w:rPr>
      <w:sz w:val="24"/>
      <w:lang w:val="en-US" w:eastAsia="zh-CN" w:bidi="ar"/>
    </w:rPr>
  </w:style>
  <w:style w:type="paragraph" w:styleId="37">
    <w:name w:val="Body Text First Indent"/>
    <w:basedOn w:val="16"/>
    <w:qFormat/>
    <w:uiPriority w:val="0"/>
    <w:pPr>
      <w:ind w:firstLine="420"/>
    </w:pPr>
  </w:style>
  <w:style w:type="table" w:styleId="39">
    <w:name w:val="Table Grid"/>
    <w:basedOn w:val="38"/>
    <w:qFormat/>
    <w:uiPriority w:val="5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1">
    <w:name w:val="Strong"/>
    <w:basedOn w:val="40"/>
    <w:qFormat/>
    <w:uiPriority w:val="0"/>
    <w:rPr>
      <w:b/>
    </w:rPr>
  </w:style>
  <w:style w:type="character" w:styleId="42">
    <w:name w:val="endnote reference"/>
    <w:basedOn w:val="40"/>
    <w:semiHidden/>
    <w:unhideWhenUsed/>
    <w:qFormat/>
    <w:uiPriority w:val="99"/>
    <w:rPr>
      <w:vertAlign w:val="superscript"/>
    </w:rPr>
  </w:style>
  <w:style w:type="character" w:styleId="43">
    <w:name w:val="Hyperlink"/>
    <w:qFormat/>
    <w:uiPriority w:val="99"/>
    <w:rPr>
      <w:color w:val="000000"/>
      <w:sz w:val="18"/>
      <w:szCs w:val="18"/>
      <w:u w:val="none"/>
    </w:rPr>
  </w:style>
  <w:style w:type="character" w:styleId="44">
    <w:name w:val="footnote reference"/>
    <w:basedOn w:val="40"/>
    <w:unhideWhenUsed/>
    <w:qFormat/>
    <w:uiPriority w:val="99"/>
    <w:rPr>
      <w:vertAlign w:val="superscript"/>
    </w:rPr>
  </w:style>
  <w:style w:type="paragraph" w:customStyle="1" w:styleId="45">
    <w:name w:val="正文首行缩进 21"/>
    <w:basedOn w:val="46"/>
    <w:next w:val="1"/>
    <w:qFormat/>
    <w:uiPriority w:val="0"/>
    <w:pPr>
      <w:spacing w:line="360" w:lineRule="auto"/>
      <w:ind w:firstLine="200"/>
    </w:pPr>
    <w:rPr>
      <w:rFonts w:ascii="宋体"/>
    </w:rPr>
  </w:style>
  <w:style w:type="paragraph" w:customStyle="1" w:styleId="46">
    <w:name w:val="正文文本缩进11"/>
    <w:basedOn w:val="1"/>
    <w:next w:val="47"/>
    <w:unhideWhenUsed/>
    <w:qFormat/>
    <w:uiPriority w:val="0"/>
    <w:pPr>
      <w:spacing w:after="120"/>
      <w:ind w:left="420"/>
    </w:pPr>
  </w:style>
  <w:style w:type="paragraph" w:customStyle="1" w:styleId="47">
    <w:name w:val="寄信人地址1"/>
    <w:basedOn w:val="1"/>
    <w:qFormat/>
    <w:uiPriority w:val="0"/>
    <w:rPr>
      <w:rFonts w:ascii="Arial" w:hAnsi="Arial" w:eastAsia="宋体" w:cs="宋体"/>
    </w:rPr>
  </w:style>
  <w:style w:type="paragraph" w:customStyle="1" w:styleId="48">
    <w:name w:val="首行缩进"/>
    <w:basedOn w:val="1"/>
    <w:qFormat/>
    <w:uiPriority w:val="0"/>
    <w:pPr>
      <w:ind w:firstLine="480"/>
    </w:pPr>
    <w:rPr>
      <w:lang w:val="zh-CN"/>
    </w:rPr>
  </w:style>
  <w:style w:type="paragraph" w:styleId="49">
    <w:name w:val="List Paragraph"/>
    <w:basedOn w:val="1"/>
    <w:qFormat/>
    <w:uiPriority w:val="0"/>
    <w:pPr>
      <w:spacing w:line="360" w:lineRule="auto"/>
      <w:ind w:firstLine="420"/>
    </w:pPr>
    <w:rPr>
      <w:sz w:val="28"/>
    </w:rPr>
  </w:style>
  <w:style w:type="character" w:customStyle="1" w:styleId="50">
    <w:name w:val="Heading 1 Char"/>
    <w:basedOn w:val="40"/>
    <w:qFormat/>
    <w:uiPriority w:val="9"/>
    <w:rPr>
      <w:rFonts w:ascii="Arial" w:hAnsi="Arial" w:eastAsia="Arial" w:cs="Arial"/>
      <w:sz w:val="40"/>
      <w:szCs w:val="40"/>
    </w:rPr>
  </w:style>
  <w:style w:type="character" w:customStyle="1" w:styleId="51">
    <w:name w:val="Heading 2 Char"/>
    <w:basedOn w:val="40"/>
    <w:qFormat/>
    <w:uiPriority w:val="9"/>
    <w:rPr>
      <w:rFonts w:ascii="Arial" w:hAnsi="Arial" w:eastAsia="Arial" w:cs="Arial"/>
      <w:sz w:val="34"/>
    </w:rPr>
  </w:style>
  <w:style w:type="character" w:customStyle="1" w:styleId="52">
    <w:name w:val="Heading 3 Char"/>
    <w:basedOn w:val="40"/>
    <w:link w:val="5"/>
    <w:qFormat/>
    <w:uiPriority w:val="9"/>
    <w:rPr>
      <w:rFonts w:ascii="Arial" w:hAnsi="Arial" w:eastAsia="Arial" w:cs="Arial"/>
      <w:sz w:val="30"/>
      <w:szCs w:val="30"/>
    </w:rPr>
  </w:style>
  <w:style w:type="character" w:customStyle="1" w:styleId="53">
    <w:name w:val="Heading 4 Char"/>
    <w:basedOn w:val="40"/>
    <w:qFormat/>
    <w:uiPriority w:val="9"/>
    <w:rPr>
      <w:rFonts w:ascii="Arial" w:hAnsi="Arial" w:eastAsia="Arial" w:cs="Arial"/>
      <w:b/>
      <w:bCs/>
      <w:sz w:val="26"/>
      <w:szCs w:val="26"/>
    </w:rPr>
  </w:style>
  <w:style w:type="character" w:customStyle="1" w:styleId="54">
    <w:name w:val="Heading 5 Char"/>
    <w:basedOn w:val="40"/>
    <w:link w:val="7"/>
    <w:qFormat/>
    <w:uiPriority w:val="9"/>
    <w:rPr>
      <w:rFonts w:ascii="Arial" w:hAnsi="Arial" w:eastAsia="Arial" w:cs="Arial"/>
      <w:b/>
      <w:bCs/>
      <w:sz w:val="24"/>
      <w:szCs w:val="24"/>
    </w:rPr>
  </w:style>
  <w:style w:type="character" w:customStyle="1" w:styleId="55">
    <w:name w:val="Heading 6 Char"/>
    <w:basedOn w:val="40"/>
    <w:link w:val="8"/>
    <w:qFormat/>
    <w:uiPriority w:val="9"/>
    <w:rPr>
      <w:rFonts w:ascii="Arial" w:hAnsi="Arial" w:eastAsia="Arial" w:cs="Arial"/>
      <w:b/>
      <w:bCs/>
      <w:sz w:val="22"/>
      <w:szCs w:val="22"/>
    </w:rPr>
  </w:style>
  <w:style w:type="character" w:customStyle="1" w:styleId="56">
    <w:name w:val="Heading 7 Char"/>
    <w:basedOn w:val="40"/>
    <w:link w:val="9"/>
    <w:qFormat/>
    <w:uiPriority w:val="9"/>
    <w:rPr>
      <w:rFonts w:ascii="Arial" w:hAnsi="Arial" w:eastAsia="Arial" w:cs="Arial"/>
      <w:b/>
      <w:bCs/>
      <w:i/>
      <w:iCs/>
      <w:sz w:val="22"/>
      <w:szCs w:val="22"/>
    </w:rPr>
  </w:style>
  <w:style w:type="character" w:customStyle="1" w:styleId="57">
    <w:name w:val="Heading 8 Char"/>
    <w:basedOn w:val="40"/>
    <w:link w:val="10"/>
    <w:qFormat/>
    <w:uiPriority w:val="9"/>
    <w:rPr>
      <w:rFonts w:ascii="Arial" w:hAnsi="Arial" w:eastAsia="Arial" w:cs="Arial"/>
      <w:i/>
      <w:iCs/>
      <w:sz w:val="22"/>
      <w:szCs w:val="22"/>
    </w:rPr>
  </w:style>
  <w:style w:type="character" w:customStyle="1" w:styleId="58">
    <w:name w:val="Heading 9 Char"/>
    <w:basedOn w:val="40"/>
    <w:link w:val="11"/>
    <w:qFormat/>
    <w:uiPriority w:val="9"/>
    <w:rPr>
      <w:rFonts w:ascii="Arial" w:hAnsi="Arial" w:eastAsia="Arial" w:cs="Arial"/>
      <w:i/>
      <w:iCs/>
      <w:sz w:val="21"/>
      <w:szCs w:val="21"/>
    </w:rPr>
  </w:style>
  <w:style w:type="paragraph" w:styleId="59">
    <w:name w:val="No Spacing"/>
    <w:qFormat/>
    <w:uiPriority w:val="1"/>
    <w:pPr>
      <w:spacing w:before="0" w:after="0" w:line="240" w:lineRule="auto"/>
    </w:pPr>
    <w:rPr>
      <w:rFonts w:hint="default" w:ascii="Times New Roman" w:hAnsi="Times New Roman" w:eastAsia="宋体" w:cs="Times New Roman"/>
    </w:rPr>
  </w:style>
  <w:style w:type="character" w:customStyle="1" w:styleId="60">
    <w:name w:val="Title Char"/>
    <w:basedOn w:val="40"/>
    <w:link w:val="2"/>
    <w:qFormat/>
    <w:uiPriority w:val="10"/>
    <w:rPr>
      <w:sz w:val="48"/>
      <w:szCs w:val="48"/>
    </w:rPr>
  </w:style>
  <w:style w:type="character" w:customStyle="1" w:styleId="61">
    <w:name w:val="Subtitle Char"/>
    <w:basedOn w:val="40"/>
    <w:link w:val="30"/>
    <w:qFormat/>
    <w:uiPriority w:val="11"/>
    <w:rPr>
      <w:sz w:val="24"/>
      <w:szCs w:val="24"/>
    </w:rPr>
  </w:style>
  <w:style w:type="paragraph" w:styleId="62">
    <w:name w:val="Quote"/>
    <w:basedOn w:val="1"/>
    <w:next w:val="1"/>
    <w:link w:val="63"/>
    <w:qFormat/>
    <w:uiPriority w:val="29"/>
    <w:pPr>
      <w:ind w:left="720" w:right="720"/>
    </w:pPr>
    <w:rPr>
      <w:i/>
    </w:rPr>
  </w:style>
  <w:style w:type="character" w:customStyle="1" w:styleId="63">
    <w:name w:val="Quote Char"/>
    <w:link w:val="62"/>
    <w:qFormat/>
    <w:uiPriority w:val="29"/>
    <w:rPr>
      <w:i/>
    </w:rPr>
  </w:style>
  <w:style w:type="paragraph" w:styleId="64">
    <w:name w:val="Intense Quote"/>
    <w:basedOn w:val="1"/>
    <w:next w:val="1"/>
    <w:link w:val="6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5">
    <w:name w:val="Intense Quote Char"/>
    <w:link w:val="64"/>
    <w:qFormat/>
    <w:uiPriority w:val="30"/>
    <w:rPr>
      <w:i/>
    </w:rPr>
  </w:style>
  <w:style w:type="character" w:customStyle="1" w:styleId="66">
    <w:name w:val="Header Char"/>
    <w:basedOn w:val="40"/>
    <w:qFormat/>
    <w:uiPriority w:val="99"/>
  </w:style>
  <w:style w:type="character" w:customStyle="1" w:styleId="67">
    <w:name w:val="Footer Char"/>
    <w:basedOn w:val="40"/>
    <w:qFormat/>
    <w:uiPriority w:val="99"/>
  </w:style>
  <w:style w:type="character" w:customStyle="1" w:styleId="68">
    <w:name w:val="Caption Char"/>
    <w:qFormat/>
    <w:uiPriority w:val="99"/>
  </w:style>
  <w:style w:type="table" w:customStyle="1" w:styleId="69">
    <w:name w:val="Table Grid Light"/>
    <w:basedOn w:val="38"/>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0">
    <w:name w:val="Plain Table 1"/>
    <w:basedOn w:val="38"/>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1">
    <w:name w:val="Plain Table 2"/>
    <w:basedOn w:val="38"/>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2">
    <w:name w:val="Plain Table 3"/>
    <w:basedOn w:val="38"/>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3">
    <w:name w:val="Plain Table 4"/>
    <w:basedOn w:val="38"/>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4">
    <w:name w:val="Plain Table 5"/>
    <w:basedOn w:val="38"/>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5">
    <w:name w:val="Grid Table 1 Light"/>
    <w:basedOn w:val="38"/>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6">
    <w:name w:val="Grid Table 1 Light - Accent 1"/>
    <w:basedOn w:val="38"/>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77">
    <w:name w:val="Grid Table 1 Light - Accent 2"/>
    <w:basedOn w:val="38"/>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78">
    <w:name w:val="Grid Table 1 Light - Accent 3"/>
    <w:basedOn w:val="38"/>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79">
    <w:name w:val="Grid Table 1 Light - Accent 4"/>
    <w:basedOn w:val="38"/>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80">
    <w:name w:val="Grid Table 1 Light - Accent 5"/>
    <w:basedOn w:val="38"/>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81">
    <w:name w:val="Grid Table 1 Light - Accent 6"/>
    <w:basedOn w:val="38"/>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82">
    <w:name w:val="Grid Table 2"/>
    <w:basedOn w:val="38"/>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3">
    <w:name w:val="Grid Table 2 - Accent 1"/>
    <w:basedOn w:val="38"/>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84">
    <w:name w:val="Grid Table 2 - Accent 2"/>
    <w:basedOn w:val="38"/>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5">
    <w:name w:val="Grid Table 2 - Accent 3"/>
    <w:basedOn w:val="38"/>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86">
    <w:name w:val="Grid Table 2 - Accent 4"/>
    <w:basedOn w:val="38"/>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87">
    <w:name w:val="Grid Table 2 - Accent 5"/>
    <w:basedOn w:val="38"/>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88">
    <w:name w:val="Grid Table 2 - Accent 6"/>
    <w:basedOn w:val="38"/>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89">
    <w:name w:val="Grid Table 3"/>
    <w:basedOn w:val="38"/>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0">
    <w:name w:val="Grid Table 3 - Accent 1"/>
    <w:basedOn w:val="38"/>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91">
    <w:name w:val="Grid Table 3 - Accent 2"/>
    <w:basedOn w:val="38"/>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2">
    <w:name w:val="Grid Table 3 - Accent 3"/>
    <w:basedOn w:val="38"/>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3">
    <w:name w:val="Grid Table 3 - Accent 4"/>
    <w:basedOn w:val="38"/>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4">
    <w:name w:val="Grid Table 3 - Accent 5"/>
    <w:basedOn w:val="38"/>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5">
    <w:name w:val="Grid Table 3 - Accent 6"/>
    <w:basedOn w:val="38"/>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6">
    <w:name w:val="Grid Table 4"/>
    <w:basedOn w:val="38"/>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7">
    <w:name w:val="Grid Table 4 - Accent 1"/>
    <w:basedOn w:val="38"/>
    <w:qFormat/>
    <w:uiPriority w:val="5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98">
    <w:name w:val="Grid Table 4 - Accent 2"/>
    <w:basedOn w:val="38"/>
    <w:qFormat/>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9">
    <w:name w:val="Grid Table 4 - Accent 3"/>
    <w:basedOn w:val="38"/>
    <w:qFormat/>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00">
    <w:name w:val="Grid Table 4 - Accent 4"/>
    <w:basedOn w:val="38"/>
    <w:qFormat/>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01">
    <w:name w:val="Grid Table 4 - Accent 5"/>
    <w:basedOn w:val="38"/>
    <w:qFormat/>
    <w:uiPriority w:val="5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02">
    <w:name w:val="Grid Table 4 - Accent 6"/>
    <w:basedOn w:val="38"/>
    <w:qFormat/>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03">
    <w:name w:val="Grid Table 5 Dark"/>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4">
    <w:name w:val="Grid Table 5 Dark- Accent 1"/>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105">
    <w:name w:val="Grid Table 5 Dark - Accent 2"/>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06">
    <w:name w:val="Grid Table 5 Dark - Accent 3"/>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07">
    <w:name w:val="Grid Table 5 Dark- Accent 4"/>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08">
    <w:name w:val="Grid Table 5 Dark - Accent 5"/>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09">
    <w:name w:val="Grid Table 5 Dark - Accent 6"/>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10">
    <w:name w:val="Grid Table 6 Colorful"/>
    <w:basedOn w:val="38"/>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1">
    <w:name w:val="Grid Table 6 Colorful - Accent 1"/>
    <w:basedOn w:val="38"/>
    <w:qFormat/>
    <w:uiPriority w:val="99"/>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12">
    <w:name w:val="Grid Table 6 Colorful - Accent 2"/>
    <w:basedOn w:val="38"/>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13">
    <w:name w:val="Grid Table 6 Colorful - Accent 3"/>
    <w:basedOn w:val="38"/>
    <w:qFormat/>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Row">
      <w:rPr>
        <w:b/>
        <w:color w:val="A5A5A5" w:themeColor="accent3" w:themeTint="FF"/>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lastCol">
      <w:rPr>
        <w:b/>
        <w:color w:val="A5A5A5" w:themeColor="accent3" w:themeTint="FF"/>
        <w14:textFill>
          <w14:solidFill>
            <w14:schemeClr w14:val="accent3">
              <w14:lumMod w14:val="100000"/>
              <w14:lumOff w14:val="0"/>
            </w14:schemeClr>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14">
    <w:name w:val="Grid Table 6 Colorful - Accent 4"/>
    <w:basedOn w:val="38"/>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15">
    <w:name w:val="Grid Table 6 Colorful - Accent 5"/>
    <w:basedOn w:val="38"/>
    <w:qFormat/>
    <w:uiPriority w:val="99"/>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16">
    <w:name w:val="Grid Table 6 Colorful - Accent 6"/>
    <w:basedOn w:val="38"/>
    <w:qFormat/>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17">
    <w:name w:val="Grid Table 7 Colorful"/>
    <w:basedOn w:val="38"/>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8">
    <w:name w:val="Grid Table 7 Colorful - Accent 1"/>
    <w:basedOn w:val="38"/>
    <w:qFormat/>
    <w:uiPriority w:val="99"/>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19">
    <w:name w:val="Grid Table 7 Colorful - Accent 2"/>
    <w:basedOn w:val="38"/>
    <w:qFormat/>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20">
    <w:name w:val="Grid Table 7 Colorful - Accent 3"/>
    <w:basedOn w:val="38"/>
    <w:qFormat/>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themeTint="FF"/>
        <w:sz w:val="22"/>
        <w14:textFill>
          <w14:solidFill>
            <w14:schemeClr w14:val="accent3">
              <w14:lumMod w14:val="100000"/>
              <w14:lumOff w14:val="0"/>
            </w14:schemeClr>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Tint="FF"/>
        <w:sz w:val="22"/>
        <w14:textFill>
          <w14:solidFill>
            <w14:schemeClr w14:val="accent3">
              <w14:lumMod w14:val="100000"/>
              <w14:lumOff w14:val="0"/>
            </w14:schemeClr>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21">
    <w:name w:val="Grid Table 7 Colorful - Accent 4"/>
    <w:basedOn w:val="38"/>
    <w:qFormat/>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22">
    <w:name w:val="Grid Table 7 Colorful - Accent 5"/>
    <w:basedOn w:val="38"/>
    <w:qFormat/>
    <w:uiPriority w:val="99"/>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23">
    <w:name w:val="Grid Table 7 Colorful - Accent 6"/>
    <w:basedOn w:val="38"/>
    <w:qFormat/>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24">
    <w:name w:val="List Table 1 Light"/>
    <w:basedOn w:val="38"/>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5">
    <w:name w:val="List Table 1 Light - Accent 1"/>
    <w:basedOn w:val="38"/>
    <w:qFormat/>
    <w:uiPriority w:val="99"/>
    <w:pPr>
      <w:spacing w:after="0" w:line="240" w:lineRule="auto"/>
    </w:pPr>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26">
    <w:name w:val="List Table 1 Light - Accent 2"/>
    <w:basedOn w:val="38"/>
    <w:qFormat/>
    <w:uiPriority w:val="99"/>
    <w:pPr>
      <w:spacing w:after="0" w:line="240" w:lineRule="auto"/>
    </w:p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27">
    <w:name w:val="List Table 1 Light - Accent 3"/>
    <w:basedOn w:val="38"/>
    <w:qFormat/>
    <w:uiPriority w:val="99"/>
    <w:pPr>
      <w:spacing w:after="0" w:line="240" w:lineRule="auto"/>
    </w:p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28">
    <w:name w:val="List Table 1 Light - Accent 4"/>
    <w:basedOn w:val="38"/>
    <w:qFormat/>
    <w:uiPriority w:val="99"/>
    <w:pPr>
      <w:spacing w:after="0" w:line="240" w:lineRule="auto"/>
    </w:p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29">
    <w:name w:val="List Table 1 Light - Accent 5"/>
    <w:basedOn w:val="38"/>
    <w:qFormat/>
    <w:uiPriority w:val="99"/>
    <w:pPr>
      <w:spacing w:after="0" w:line="240" w:lineRule="auto"/>
    </w:pPr>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30">
    <w:name w:val="List Table 1 Light - Accent 6"/>
    <w:basedOn w:val="38"/>
    <w:qFormat/>
    <w:uiPriority w:val="99"/>
    <w:pPr>
      <w:spacing w:after="0" w:line="240" w:lineRule="auto"/>
    </w:p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31">
    <w:name w:val="List Table 2"/>
    <w:basedOn w:val="38"/>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2">
    <w:name w:val="List Table 2 - Accent 1"/>
    <w:basedOn w:val="38"/>
    <w:qFormat/>
    <w:uiPriority w:val="99"/>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33">
    <w:name w:val="List Table 2 - Accent 2"/>
    <w:basedOn w:val="38"/>
    <w:qFormat/>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34">
    <w:name w:val="List Table 2 - Accent 3"/>
    <w:basedOn w:val="38"/>
    <w:qFormat/>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35">
    <w:name w:val="List Table 2 - Accent 4"/>
    <w:basedOn w:val="38"/>
    <w:qFormat/>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36">
    <w:name w:val="List Table 2 - Accent 5"/>
    <w:basedOn w:val="38"/>
    <w:qFormat/>
    <w:uiPriority w:val="99"/>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37">
    <w:name w:val="List Table 2 - Accent 6"/>
    <w:basedOn w:val="38"/>
    <w:qFormat/>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38">
    <w:name w:val="List Table 3"/>
    <w:basedOn w:val="38"/>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9">
    <w:name w:val="List Table 3 - Accent 1"/>
    <w:basedOn w:val="38"/>
    <w:qFormat/>
    <w:uiPriority w:val="99"/>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40">
    <w:name w:val="List Table 3 - Accent 2"/>
    <w:basedOn w:val="38"/>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41">
    <w:name w:val="List Table 3 - Accent 3"/>
    <w:basedOn w:val="38"/>
    <w:qFormat/>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42">
    <w:name w:val="List Table 3 - Accent 4"/>
    <w:basedOn w:val="38"/>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43">
    <w:name w:val="List Table 3 - Accent 5"/>
    <w:basedOn w:val="38"/>
    <w:qFormat/>
    <w:uiPriority w:val="99"/>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44">
    <w:name w:val="List Table 3 - Accent 6"/>
    <w:basedOn w:val="38"/>
    <w:qFormat/>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45">
    <w:name w:val="List Table 4"/>
    <w:basedOn w:val="38"/>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6">
    <w:name w:val="List Table 4 - Accent 1"/>
    <w:basedOn w:val="38"/>
    <w:qFormat/>
    <w:uiPriority w:val="9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47">
    <w:name w:val="List Table 4 - Accent 2"/>
    <w:basedOn w:val="38"/>
    <w:qFormat/>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48">
    <w:name w:val="List Table 4 - Accent 3"/>
    <w:basedOn w:val="38"/>
    <w:qFormat/>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49">
    <w:name w:val="List Table 4 - Accent 4"/>
    <w:basedOn w:val="38"/>
    <w:qFormat/>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50">
    <w:name w:val="List Table 4 - Accent 5"/>
    <w:basedOn w:val="38"/>
    <w:qFormat/>
    <w:uiPriority w:val="9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51">
    <w:name w:val="List Table 4 - Accent 6"/>
    <w:basedOn w:val="38"/>
    <w:qFormat/>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52">
    <w:name w:val="List Table 5 Dark"/>
    <w:basedOn w:val="38"/>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3">
    <w:name w:val="List Table 5 Dark - Accent 1"/>
    <w:basedOn w:val="38"/>
    <w:qFormat/>
    <w:uiPriority w:val="99"/>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54">
    <w:name w:val="List Table 5 Dark - Accent 2"/>
    <w:basedOn w:val="38"/>
    <w:qFormat/>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55">
    <w:name w:val="List Table 5 Dark - Accent 3"/>
    <w:basedOn w:val="38"/>
    <w:qFormat/>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56">
    <w:name w:val="List Table 5 Dark - Accent 4"/>
    <w:basedOn w:val="38"/>
    <w:qFormat/>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57">
    <w:name w:val="List Table 5 Dark - Accent 5"/>
    <w:basedOn w:val="38"/>
    <w:qFormat/>
    <w:uiPriority w:val="99"/>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58">
    <w:name w:val="List Table 5 Dark - Accent 6"/>
    <w:basedOn w:val="38"/>
    <w:qFormat/>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59">
    <w:name w:val="List Table 6 Colorful"/>
    <w:basedOn w:val="38"/>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0">
    <w:name w:val="List Table 6 Colorful - Accent 1"/>
    <w:basedOn w:val="38"/>
    <w:qFormat/>
    <w:uiPriority w:val="99"/>
    <w:pPr>
      <w:spacing w:after="0" w:line="240" w:lineRule="auto"/>
    </w:pPr>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61">
    <w:name w:val="List Table 6 Colorful - Accent 2"/>
    <w:basedOn w:val="38"/>
    <w:qFormat/>
    <w:uiPriority w:val="99"/>
    <w:pPr>
      <w:spacing w:after="0" w:line="240" w:lineRule="auto"/>
    </w:pPr>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2">
    <w:name w:val="List Table 6 Colorful - Accent 3"/>
    <w:basedOn w:val="38"/>
    <w:qFormat/>
    <w:uiPriority w:val="99"/>
    <w:pPr>
      <w:spacing w:after="0" w:line="240" w:lineRule="auto"/>
    </w:pPr>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63">
    <w:name w:val="List Table 6 Colorful - Accent 4"/>
    <w:basedOn w:val="38"/>
    <w:qFormat/>
    <w:uiPriority w:val="99"/>
    <w:pPr>
      <w:spacing w:after="0" w:line="240" w:lineRule="auto"/>
    </w:pPr>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4">
    <w:name w:val="List Table 6 Colorful - Accent 5"/>
    <w:basedOn w:val="38"/>
    <w:qFormat/>
    <w:uiPriority w:val="99"/>
    <w:pPr>
      <w:spacing w:after="0" w:line="240" w:lineRule="auto"/>
    </w:pPr>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65">
    <w:name w:val="List Table 6 Colorful - Accent 6"/>
    <w:basedOn w:val="38"/>
    <w:qFormat/>
    <w:uiPriority w:val="99"/>
    <w:pPr>
      <w:spacing w:after="0" w:line="240" w:lineRule="auto"/>
    </w:pPr>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66">
    <w:name w:val="List Table 7 Colorful"/>
    <w:basedOn w:val="38"/>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7">
    <w:name w:val="List Table 7 Colorful - Accent 1"/>
    <w:basedOn w:val="38"/>
    <w:qFormat/>
    <w:uiPriority w:val="99"/>
    <w:pPr>
      <w:spacing w:after="0" w:line="240" w:lineRule="auto"/>
    </w:pPr>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68">
    <w:name w:val="List Table 7 Colorful - Accent 2"/>
    <w:basedOn w:val="38"/>
    <w:qFormat/>
    <w:uiPriority w:val="99"/>
    <w:pPr>
      <w:spacing w:after="0" w:line="240" w:lineRule="auto"/>
    </w:pPr>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9">
    <w:name w:val="List Table 7 Colorful - Accent 3"/>
    <w:basedOn w:val="38"/>
    <w:qFormat/>
    <w:uiPriority w:val="99"/>
    <w:pPr>
      <w:spacing w:after="0" w:line="240" w:lineRule="auto"/>
    </w:pPr>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70">
    <w:name w:val="List Table 7 Colorful - Accent 4"/>
    <w:basedOn w:val="38"/>
    <w:qFormat/>
    <w:uiPriority w:val="99"/>
    <w:pPr>
      <w:spacing w:after="0" w:line="240" w:lineRule="auto"/>
    </w:pPr>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71">
    <w:name w:val="List Table 7 Colorful - Accent 5"/>
    <w:basedOn w:val="38"/>
    <w:qFormat/>
    <w:uiPriority w:val="99"/>
    <w:pPr>
      <w:spacing w:after="0" w:line="240" w:lineRule="auto"/>
    </w:pPr>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72">
    <w:name w:val="List Table 7 Colorful - Accent 6"/>
    <w:basedOn w:val="38"/>
    <w:qFormat/>
    <w:uiPriority w:val="99"/>
    <w:pPr>
      <w:spacing w:after="0" w:line="240" w:lineRule="auto"/>
    </w:pPr>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73">
    <w:name w:val="Lined - Accent"/>
    <w:basedOn w:val="38"/>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4">
    <w:name w:val="Lined - Accent 1"/>
    <w:basedOn w:val="38"/>
    <w:qFormat/>
    <w:uiPriority w:val="99"/>
    <w:pPr>
      <w:spacing w:after="0" w:line="240" w:lineRule="auto"/>
    </w:pPr>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75">
    <w:name w:val="Lined - Accent 2"/>
    <w:basedOn w:val="38"/>
    <w:qFormat/>
    <w:uiPriority w:val="99"/>
    <w:pPr>
      <w:spacing w:after="0" w:line="240" w:lineRule="auto"/>
    </w:pPr>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76">
    <w:name w:val="Lined - Accent 3"/>
    <w:basedOn w:val="38"/>
    <w:qFormat/>
    <w:uiPriority w:val="99"/>
    <w:pPr>
      <w:spacing w:after="0" w:line="240" w:lineRule="auto"/>
    </w:pPr>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77">
    <w:name w:val="Lined - Accent 4"/>
    <w:basedOn w:val="38"/>
    <w:qFormat/>
    <w:uiPriority w:val="99"/>
    <w:pPr>
      <w:spacing w:after="0" w:line="240" w:lineRule="auto"/>
    </w:pPr>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78">
    <w:name w:val="Lined - Accent 5"/>
    <w:basedOn w:val="38"/>
    <w:qFormat/>
    <w:uiPriority w:val="99"/>
    <w:pPr>
      <w:spacing w:after="0" w:line="240" w:lineRule="auto"/>
    </w:pPr>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79">
    <w:name w:val="Lined - Accent 6"/>
    <w:basedOn w:val="38"/>
    <w:qFormat/>
    <w:uiPriority w:val="99"/>
    <w:pPr>
      <w:spacing w:after="0" w:line="240" w:lineRule="auto"/>
    </w:pPr>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80">
    <w:name w:val="Bordered &amp; Lined - Accent"/>
    <w:basedOn w:val="38"/>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1">
    <w:name w:val="Bordered &amp; Lined - Accent 1"/>
    <w:basedOn w:val="38"/>
    <w:qFormat/>
    <w:uiPriority w:val="99"/>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82">
    <w:name w:val="Bordered &amp; Lined - Accent 2"/>
    <w:basedOn w:val="38"/>
    <w:qFormat/>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83">
    <w:name w:val="Bordered &amp; Lined - Accent 3"/>
    <w:basedOn w:val="38"/>
    <w:qFormat/>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84">
    <w:name w:val="Bordered &amp; Lined - Accent 4"/>
    <w:basedOn w:val="38"/>
    <w:qFormat/>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85">
    <w:name w:val="Bordered &amp; Lined - Accent 5"/>
    <w:basedOn w:val="38"/>
    <w:qFormat/>
    <w:uiPriority w:val="99"/>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86">
    <w:name w:val="Bordered &amp; Lined - Accent 6"/>
    <w:basedOn w:val="38"/>
    <w:qFormat/>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87">
    <w:name w:val="Bordered"/>
    <w:basedOn w:val="38"/>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8">
    <w:name w:val="Bordered - Accent 1"/>
    <w:basedOn w:val="38"/>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89">
    <w:name w:val="Bordered - Accent 2"/>
    <w:basedOn w:val="38"/>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90">
    <w:name w:val="Bordered - Accent 3"/>
    <w:basedOn w:val="38"/>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91">
    <w:name w:val="Bordered - Accent 4"/>
    <w:basedOn w:val="38"/>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92">
    <w:name w:val="Bordered - Accent 5"/>
    <w:basedOn w:val="38"/>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93">
    <w:name w:val="Bordered - Accent 6"/>
    <w:basedOn w:val="38"/>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194">
    <w:name w:val="Footnote Text Char"/>
    <w:link w:val="31"/>
    <w:qFormat/>
    <w:uiPriority w:val="99"/>
    <w:rPr>
      <w:sz w:val="18"/>
    </w:rPr>
  </w:style>
  <w:style w:type="character" w:customStyle="1" w:styleId="195">
    <w:name w:val="Endnote Text Char"/>
    <w:link w:val="23"/>
    <w:qFormat/>
    <w:uiPriority w:val="99"/>
    <w:rPr>
      <w:sz w:val="20"/>
    </w:rPr>
  </w:style>
  <w:style w:type="paragraph" w:customStyle="1" w:styleId="196">
    <w:name w:val="TOC Heading"/>
    <w:unhideWhenUsed/>
    <w:qFormat/>
    <w:uiPriority w:val="39"/>
    <w:rPr>
      <w:rFonts w:hint="default" w:ascii="Times New Roman" w:hAnsi="Times New Roman" w:eastAsia="宋体" w:cs="Times New Roman"/>
    </w:rPr>
  </w:style>
  <w:style w:type="character" w:customStyle="1" w:styleId="197">
    <w:name w:val="标题 1 Char"/>
    <w:basedOn w:val="40"/>
    <w:link w:val="3"/>
    <w:qFormat/>
    <w:uiPriority w:val="0"/>
    <w:rPr>
      <w:rFonts w:ascii="Times New Roman" w:hAnsi="Times New Roman" w:eastAsia="宋体" w:cs="宋体"/>
      <w:b/>
      <w:sz w:val="32"/>
      <w:szCs w:val="28"/>
    </w:rPr>
  </w:style>
  <w:style w:type="paragraph" w:customStyle="1" w:styleId="198">
    <w:name w:val="段"/>
    <w:next w:val="1"/>
    <w:qFormat/>
    <w:uiPriority w:val="0"/>
    <w:pPr>
      <w:spacing w:line="360" w:lineRule="auto"/>
      <w:ind w:firstLine="200"/>
      <w:jc w:val="both"/>
    </w:pPr>
    <w:rPr>
      <w:rFonts w:hint="default" w:ascii="宋体" w:hAnsi="Times New Roman" w:eastAsia="宋体" w:cs="Times New Roman"/>
      <w:sz w:val="24"/>
      <w:szCs w:val="22"/>
      <w:lang w:val="en-US" w:eastAsia="zh-CN" w:bidi="ar-SA"/>
    </w:rPr>
  </w:style>
  <w:style w:type="paragraph" w:customStyle="1" w:styleId="199">
    <w:name w:val="正文1"/>
    <w:basedOn w:val="1"/>
    <w:next w:val="1"/>
    <w:qFormat/>
    <w:uiPriority w:val="0"/>
    <w:pPr>
      <w:spacing w:before="156" w:line="360" w:lineRule="auto"/>
      <w:ind w:firstLine="510"/>
    </w:pPr>
    <w:rPr>
      <w:sz w:val="24"/>
      <w:szCs w:val="20"/>
    </w:rPr>
  </w:style>
  <w:style w:type="paragraph" w:customStyle="1" w:styleId="200">
    <w:name w:val="Default"/>
    <w:next w:val="1"/>
    <w:qFormat/>
    <w:uiPriority w:val="0"/>
    <w:pPr>
      <w:widowControl w:val="0"/>
    </w:pPr>
    <w:rPr>
      <w:rFonts w:hint="default" w:ascii="宋体" w:hAnsi="Times New Roman" w:eastAsia="宋体" w:cs="宋体"/>
      <w:color w:val="000000"/>
      <w:sz w:val="24"/>
      <w:szCs w:val="24"/>
      <w:lang w:val="en-US" w:eastAsia="zh-CN" w:bidi="ar-SA"/>
    </w:rPr>
  </w:style>
  <w:style w:type="table" w:customStyle="1" w:styleId="201">
    <w:name w:val="网格型1"/>
    <w:basedOn w:val="38"/>
    <w:qFormat/>
    <w:uiPriority w:val="59"/>
    <w:rPr>
      <w:rFonts w:ascii="Calibri" w:hAnsi="Calibri"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202">
    <w:name w:val="[Normal]"/>
    <w:qFormat/>
    <w:uiPriority w:val="0"/>
    <w:rPr>
      <w:rFonts w:hint="default" w:ascii="方正仿宋简体" w:hAnsi="方正仿宋简体" w:eastAsia="方正仿宋简体" w:cs="Courier New"/>
      <w:sz w:val="24"/>
      <w:szCs w:val="22"/>
      <w:lang w:val="zh-CN" w:eastAsia="zh-CN" w:bidi="ar-SA"/>
    </w:rPr>
  </w:style>
  <w:style w:type="paragraph" w:customStyle="1" w:styleId="203">
    <w:name w:val="p"/>
    <w:basedOn w:val="1"/>
    <w:qFormat/>
    <w:uiPriority w:val="0"/>
    <w:pPr>
      <w:widowControl/>
      <w:spacing w:before="100" w:beforeAutospacing="1" w:after="100" w:afterAutospacing="1"/>
    </w:pPr>
    <w:rPr>
      <w:sz w:val="24"/>
      <w:lang w:val="en-US" w:eastAsia="zh-CN" w:bidi="ar"/>
    </w:rPr>
  </w:style>
  <w:style w:type="paragraph" w:customStyle="1" w:styleId="204">
    <w:name w:val="索引 41"/>
    <w:basedOn w:val="1"/>
    <w:next w:val="1"/>
    <w:unhideWhenUsed/>
    <w:qFormat/>
    <w:uiPriority w:val="0"/>
    <w:pPr>
      <w:ind w:left="600"/>
    </w:pPr>
  </w:style>
  <w:style w:type="paragraph" w:customStyle="1" w:styleId="205">
    <w:name w:val="纯文本11"/>
    <w:basedOn w:val="1"/>
    <w:qFormat/>
    <w:uiPriority w:val="0"/>
    <w:rPr>
      <w:rFonts w:ascii="宋体" w:hAnsi="Courier New" w:eastAsia="楷体_GB2312"/>
      <w:sz w:val="26"/>
      <w:szCs w:val="20"/>
    </w:rPr>
  </w:style>
  <w:style w:type="paragraph" w:customStyle="1" w:styleId="206">
    <w:name w:val="正文缩进11"/>
    <w:basedOn w:val="1"/>
    <w:qFormat/>
    <w:uiPriority w:val="99"/>
    <w:pPr>
      <w:ind w:firstLine="420"/>
    </w:pPr>
    <w:rPr>
      <w:szCs w:val="20"/>
    </w:rPr>
  </w:style>
  <w:style w:type="paragraph" w:customStyle="1" w:styleId="207">
    <w:name w:val="p15"/>
    <w:basedOn w:val="1"/>
    <w:qFormat/>
    <w:uiPriority w:val="0"/>
    <w:pPr>
      <w:widowControl/>
    </w:pPr>
    <w:rPr>
      <w:rFonts w:ascii="宋体" w:hAnsi="宋体" w:cs="宋体"/>
      <w:sz w:val="28"/>
      <w:szCs w:val="28"/>
    </w:rPr>
  </w:style>
  <w:style w:type="paragraph" w:customStyle="1" w:styleId="208">
    <w:name w:val="纯文本1"/>
    <w:basedOn w:val="1"/>
    <w:qFormat/>
    <w:uiPriority w:val="0"/>
    <w:rPr>
      <w:rFonts w:ascii="宋体" w:hAnsi="宋体" w:eastAsia="楷体_GB2312" w:cs="宋体"/>
      <w:sz w:val="28"/>
      <w:szCs w:val="20"/>
    </w:rPr>
  </w:style>
  <w:style w:type="paragraph" w:customStyle="1" w:styleId="209">
    <w:name w:val="批注文字1"/>
    <w:basedOn w:val="1"/>
    <w:qFormat/>
    <w:uiPriority w:val="0"/>
    <w:pPr>
      <w:jc w:val="left"/>
    </w:pPr>
    <w:rPr>
      <w:szCs w:val="20"/>
    </w:rPr>
  </w:style>
  <w:style w:type="paragraph" w:customStyle="1" w:styleId="210">
    <w:name w:val="标题1，章节第一层"/>
    <w:basedOn w:val="211"/>
    <w:next w:val="211"/>
    <w:qFormat/>
    <w:uiPriority w:val="0"/>
    <w:pPr>
      <w:tabs>
        <w:tab w:val="left" w:pos="693"/>
      </w:tabs>
      <w:spacing w:beforeLines="0"/>
      <w:ind w:left="272" w:hanging="272"/>
      <w:jc w:val="center"/>
      <w:outlineLvl w:val="0"/>
    </w:pPr>
    <w:rPr>
      <w:rFonts w:eastAsia="黑体"/>
      <w:color w:val="000000"/>
      <w:sz w:val="32"/>
      <w:szCs w:val="24"/>
      <w:lang w:val="zh-CN"/>
    </w:rPr>
  </w:style>
  <w:style w:type="paragraph" w:customStyle="1" w:styleId="211">
    <w:name w:val="正文格式"/>
    <w:basedOn w:val="1"/>
    <w:qFormat/>
    <w:uiPriority w:val="0"/>
    <w:pPr>
      <w:widowControl/>
      <w:adjustRightInd w:val="0"/>
      <w:snapToGrid w:val="0"/>
      <w:spacing w:beforeLines="25" w:line="360" w:lineRule="auto"/>
      <w:ind w:left="178" w:right="44" w:rightChars="21" w:hanging="178" w:hangingChars="85"/>
      <w:jc w:val="left"/>
      <w:textAlignment w:val="baseline"/>
    </w:pPr>
    <w:rPr>
      <w:rFonts w:ascii="宋体" w:hAnsi="宋体"/>
      <w:bCs/>
      <w:kern w:val="0"/>
      <w:szCs w:val="21"/>
    </w:rPr>
  </w:style>
  <w:style w:type="paragraph" w:customStyle="1" w:styleId="212">
    <w:name w:val="列出段落2"/>
    <w:basedOn w:val="1"/>
    <w:qFormat/>
    <w:uiPriority w:val="99"/>
    <w:pPr>
      <w:ind w:firstLine="420"/>
    </w:pPr>
  </w:style>
  <w:style w:type="paragraph" w:customStyle="1" w:styleId="213">
    <w:name w:val="标题 41"/>
    <w:basedOn w:val="1"/>
    <w:next w:val="1"/>
    <w:qFormat/>
    <w:uiPriority w:val="0"/>
    <w:pPr>
      <w:keepNext/>
      <w:keepLines/>
      <w:spacing w:before="120" w:after="120"/>
      <w:outlineLvl w:val="3"/>
    </w:pPr>
    <w:rPr>
      <w:rFonts w:ascii="Arial" w:hAnsi="Arial" w:eastAsia="黑体"/>
      <w:b/>
      <w:sz w:val="28"/>
      <w:szCs w:val="20"/>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F0BFADD-2E8B-4842-AA31-2AD7CEF95A1D}">
  <ds:schemaRefs/>
</ds:datastoreItem>
</file>

<file path=docProps/app.xml><?xml version="1.0" encoding="utf-8"?>
<Properties xmlns="http://schemas.openxmlformats.org/officeDocument/2006/extended-properties" xmlns:vt="http://schemas.openxmlformats.org/officeDocument/2006/docPropsVTypes">
  <Template>Normal.dotm</Template>
  <Pages>50</Pages>
  <Words>11113</Words>
  <Characters>11876</Characters>
  <TotalTime>3</TotalTime>
  <ScaleCrop>false</ScaleCrop>
  <LinksUpToDate>false</LinksUpToDate>
  <CharactersWithSpaces>11999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2022-09-05T02:00:00Z</dcterms:created>
  <dc:creator>dell</dc:creator>
  <cp:lastModifiedBy>伊</cp:lastModifiedBy>
  <dcterms:modified xsi:type="dcterms:W3CDTF">2026-07-27T02:15:26Z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90C2D71CA8DE4C7EB820B3EB77D61063_13</vt:lpwstr>
  </property>
  <property fmtid="{D5CDD505-2E9C-101B-9397-08002B2CF9AE}" pid="4" name="KSOTemplateDocerSaveRecord">
    <vt:lpwstr>eyJoZGlkIjoiZTg2ZmUwNDNmNzE0NTUzZjJkNDM0MjA0MzlkYmZjMWEiLCJ1c2VySWQiOiI4Mjg1OTQxIn0=</vt:lpwstr>
  </property>
</Properties>
</file>