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both"/>
        <w:rPr>
          <w:rFonts w:hint="eastAsia"/>
          <w:b/>
          <w:bCs/>
          <w:color w:val="000000"/>
          <w:sz w:val="60"/>
          <w:szCs w:val="60"/>
          <w:highlight w:val="none"/>
          <w:lang w:eastAsia="zh-CN"/>
        </w:rPr>
        <w:outlineLvl w:val="9"/>
      </w:pPr>
      <w:r>
        <w:rPr>
          <w:rFonts w:hint="eastAsia"/>
          <w:b/>
          <w:bCs/>
          <w:color w:val="000000"/>
          <w:sz w:val="60"/>
          <w:szCs w:val="60"/>
          <w:highlight w:val="none"/>
          <w:lang w:eastAsia="zh-CN"/>
        </w:rPr>
      </w:r>
      <w:r/>
    </w:p>
    <w:p>
      <w:pPr>
        <w:pStyle w:val="909"/>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常州市第一人民医院主动脉内球囊反搏仪采购项目</w:t>
      </w:r>
      <w:r>
        <w:rPr>
          <w:rFonts w:hint="eastAsia"/>
          <w:b/>
          <w:bCs/>
          <w:color w:val="000000"/>
          <w:sz w:val="60"/>
          <w:szCs w:val="60"/>
          <w:highlight w:val="none"/>
          <w:lang w:eastAsia="zh-CN"/>
        </w:rPr>
      </w:r>
      <w:r/>
    </w:p>
    <w:p>
      <w:pPr>
        <w:pStyle w:val="909"/>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公开招标文件</w:t>
      </w:r>
      <w:r>
        <w:rPr>
          <w:rFonts w:hint="eastAsia"/>
          <w:b/>
          <w:bCs/>
          <w:color w:val="000000"/>
          <w:sz w:val="60"/>
          <w:szCs w:val="60"/>
          <w:highlight w:val="none"/>
          <w:lang w:eastAsia="zh-CN"/>
        </w:rPr>
      </w:r>
      <w:r/>
    </w:p>
    <w:p>
      <w:pPr>
        <w:pStyle w:val="909"/>
        <w:jc w:val="left"/>
        <w:tabs>
          <w:tab w:val="left" w:pos="1980" w:leader="none"/>
        </w:tabs>
        <w:rPr>
          <w:rFonts w:hint="eastAsia" w:eastAsia="宋体"/>
          <w:b/>
          <w:bCs/>
          <w:color w:val="000000"/>
          <w:sz w:val="60"/>
          <w:szCs w:val="60"/>
          <w:highlight w:val="none"/>
          <w:lang w:eastAsia="zh-CN"/>
        </w:rPr>
        <w:outlineLvl w:val="9"/>
      </w:pPr>
      <w:r>
        <w:rPr>
          <w:rFonts w:hint="eastAsia"/>
          <w:b/>
          <w:bCs/>
          <w:color w:val="000000"/>
          <w:sz w:val="60"/>
          <w:szCs w:val="60"/>
          <w:highlight w:val="none"/>
          <w:lang w:eastAsia="zh-CN"/>
        </w:rPr>
        <w:tab/>
      </w:r>
      <w:r>
        <w:rPr>
          <w:rFonts w:hint="eastAsia" w:eastAsia="宋体"/>
          <w:b/>
          <w:bCs/>
          <w:color w:val="000000"/>
          <w:sz w:val="60"/>
          <w:szCs w:val="60"/>
          <w:highlight w:val="none"/>
          <w:lang w:eastAsia="zh-CN"/>
        </w:rPr>
      </w:r>
      <w:r/>
    </w:p>
    <w:p>
      <w:pPr>
        <w:pStyle w:val="909"/>
        <w:jc w:val="center"/>
        <w:rPr>
          <w:b/>
          <w:bCs/>
          <w:color w:val="000000"/>
          <w:sz w:val="60"/>
          <w:szCs w:val="60"/>
          <w:highlight w:val="none"/>
        </w:rPr>
        <w:outlineLvl w:val="9"/>
      </w:pPr>
      <w:r>
        <w:rPr>
          <w:b/>
          <w:bCs/>
          <w:color w:val="000000"/>
          <w:sz w:val="60"/>
          <w:szCs w:val="60"/>
          <w:highlight w:val="none"/>
        </w:rPr>
      </w:r>
      <w:r/>
    </w:p>
    <w:p>
      <w:pPr>
        <w:pStyle w:val="909"/>
        <w:jc w:val="center"/>
        <w:spacing w:line="360" w:lineRule="auto"/>
        <w:rPr>
          <w:color w:val="000000"/>
          <w:sz w:val="60"/>
          <w:szCs w:val="60"/>
          <w:highlight w:val="none"/>
        </w:rPr>
        <w:outlineLvl w:val="9"/>
      </w:pPr>
      <w:r>
        <w:rPr>
          <w:color w:val="000000"/>
          <w:sz w:val="60"/>
          <w:szCs w:val="60"/>
          <w:highlight w:val="none"/>
        </w:rPr>
      </w:r>
      <w:r/>
    </w:p>
    <w:p>
      <w:pPr>
        <w:pStyle w:val="9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常州市第一人民医院主动脉内球囊反搏仪采购项目</w:t>
      </w:r>
      <w:r>
        <w:rPr>
          <w:rFonts w:hint="eastAsia" w:eastAsia="宋体"/>
          <w:bCs/>
          <w:color w:val="000000"/>
          <w:sz w:val="36"/>
          <w:szCs w:val="36"/>
          <w:highlight w:val="none"/>
          <w:lang w:eastAsia="zh-CN"/>
        </w:rPr>
      </w:r>
      <w:r/>
    </w:p>
    <w:p>
      <w:pPr>
        <w:pStyle w:val="9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JSZC-320400-SYZB-G2026-0045</w:t>
      </w:r>
      <w:r>
        <w:rPr>
          <w:rFonts w:hint="eastAsia" w:eastAsia="宋体"/>
          <w:bCs/>
          <w:color w:val="000000"/>
          <w:sz w:val="36"/>
          <w:szCs w:val="36"/>
          <w:highlight w:val="none"/>
          <w:lang w:eastAsia="zh-CN"/>
        </w:rPr>
      </w:r>
      <w:r/>
    </w:p>
    <w:p>
      <w:pPr>
        <w:pStyle w:val="9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采 购 人：</w:t>
      </w:r>
      <w:r>
        <w:rPr>
          <w:rFonts w:hint="eastAsia"/>
          <w:bCs/>
          <w:color w:val="000000"/>
          <w:sz w:val="36"/>
          <w:szCs w:val="36"/>
          <w:highlight w:val="none"/>
          <w:lang w:eastAsia="zh-CN"/>
        </w:rPr>
        <w:t xml:space="preserve">常州市第一人民医院</w:t>
      </w:r>
      <w:r>
        <w:rPr>
          <w:rFonts w:hint="eastAsia" w:eastAsia="宋体"/>
          <w:bCs/>
          <w:color w:val="000000"/>
          <w:sz w:val="36"/>
          <w:szCs w:val="36"/>
          <w:highlight w:val="none"/>
          <w:lang w:eastAsia="zh-CN"/>
        </w:rPr>
      </w:r>
      <w:r/>
    </w:p>
    <w:p>
      <w:pPr>
        <w:pStyle w:val="909"/>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909"/>
        <w:jc w:val="center"/>
        <w:spacing w:line="360" w:lineRule="auto"/>
        <w:rPr>
          <w:b/>
          <w:bCs/>
          <w:color w:val="000000"/>
          <w:sz w:val="44"/>
          <w:highlight w:val="none"/>
        </w:rPr>
        <w:outlineLvl w:val="9"/>
      </w:pPr>
      <w:r>
        <w:rPr>
          <w:b/>
          <w:bCs/>
          <w:color w:val="000000"/>
          <w:sz w:val="44"/>
          <w:highlight w:val="none"/>
        </w:rPr>
        <w:br w:type="page" w:clear="all"/>
      </w:r>
      <w:bookmarkStart w:id="0" w:name="_Toc99301418"/>
      <w:r>
        <w:rPr>
          <w:b/>
          <w:bCs/>
          <w:color w:val="000000"/>
          <w:sz w:val="44"/>
          <w:highlight w:val="none"/>
        </w:rPr>
      </w:r>
      <w:r/>
    </w:p>
    <w:p>
      <w:pPr>
        <w:pStyle w:val="909"/>
        <w:jc w:val="center"/>
        <w:spacing w:line="360" w:lineRule="auto"/>
        <w:rPr>
          <w:b/>
          <w:bCs/>
          <w:color w:val="000000"/>
          <w:sz w:val="44"/>
          <w:highlight w:val="none"/>
        </w:rPr>
        <w:outlineLvl w:val="9"/>
      </w:pPr>
      <w:r>
        <w:rPr>
          <w:b/>
          <w:bCs/>
          <w:color w:val="000000"/>
          <w:sz w:val="44"/>
          <w:highlight w:val="none"/>
        </w:rPr>
        <w:t xml:space="preserve">目      录</w:t>
      </w:r>
      <w:bookmarkEnd w:id="0"/>
      <w:r>
        <w:rPr>
          <w:b/>
          <w:bCs/>
          <w:color w:val="000000"/>
          <w:sz w:val="44"/>
          <w:highlight w:val="none"/>
        </w:rPr>
      </w:r>
      <w:r/>
    </w:p>
    <w:p>
      <w:pPr>
        <w:pStyle w:val="909"/>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TOC \o "1-1" \h \z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_Toc4451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第一章   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_Toc4451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_Toc14966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第二章   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_Toc14966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8</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_Toc4348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第三章   资格审查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_Toc4348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_Toc3485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第四章   评标程序、评标方法和评标标准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_Toc3485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25</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_Toc30413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第五章   采购需求</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_Toc30413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36</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_Toc16116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_Toc16116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_Toc14478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第七章   投标文件格式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lang w:val="en-US" w:eastAsia="zh-CN"/>
        </w:rPr>
        <w:t xml:space="preserve">1</w:t>
      </w:r>
      <w:r>
        <w:rPr>
          <w:rFonts w:hint="eastAsia" w:ascii="宋体" w:hAnsi="宋体" w:eastAsia="宋体" w:cs="宋体"/>
          <w:color w:val="000000"/>
          <w:sz w:val="32"/>
          <w:szCs w:val="32"/>
          <w:highlight w:val="none"/>
          <w:lang w:val="en-US" w:eastAsia="zh-CN"/>
        </w:rPr>
      </w:r>
      <w:r/>
    </w:p>
    <w:p>
      <w:pPr>
        <w:pStyle w:val="961"/>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br w:type="page" w:clear="all"/>
      </w:r>
      <w:r/>
    </w:p>
    <w:p>
      <w:pPr>
        <w:pStyle w:val="909"/>
        <w:jc w:val="center"/>
        <w:keepLines w:val="0"/>
        <w:keepNext w:val="0"/>
        <w:pageBreakBefore w:val="0"/>
        <w:spacing w:line="360" w:lineRule="auto"/>
        <w:widowControl w:val="off"/>
        <w:rPr>
          <w:b/>
          <w:color w:val="000000"/>
          <w:sz w:val="36"/>
          <w:szCs w:val="36"/>
          <w:highlight w:val="none"/>
        </w:rPr>
        <w:outlineLvl w:val="0"/>
      </w:pPr>
      <w:r/>
      <w:bookmarkStart w:id="1" w:name="_Toc4451"/>
      <w:r>
        <w:rPr>
          <w:b/>
          <w:color w:val="000000"/>
          <w:sz w:val="36"/>
          <w:szCs w:val="36"/>
          <w:highlight w:val="none"/>
        </w:rPr>
        <w:t xml:space="preserve">第一章   投标邀请</w:t>
      </w:r>
      <w:bookmarkEnd w:id="1"/>
      <w:r>
        <w:rPr>
          <w:b/>
          <w:color w:val="000000"/>
          <w:sz w:val="36"/>
          <w:szCs w:val="36"/>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 w:name="_Toc35393790"/>
      <w:r/>
      <w:bookmarkStart w:id="3" w:name="_Toc35393621"/>
      <w:r/>
      <w:bookmarkStart w:id="4" w:name="_Toc28359002"/>
      <w:r/>
      <w:bookmarkStart w:id="5" w:name="_Toc28359079"/>
      <w:r/>
      <w:bookmarkStart w:id="6" w:name="_Hlk24379207"/>
      <w:r>
        <w:rPr>
          <w:rFonts w:hint="eastAsia" w:ascii="宋体" w:hAnsi="宋体" w:eastAsia="宋体" w:cs="Times New Roman"/>
          <w:b/>
          <w:bCs/>
          <w:color w:val="000000"/>
          <w:sz w:val="24"/>
          <w:szCs w:val="24"/>
          <w:highlight w:val="none"/>
        </w:rPr>
        <w:t xml:space="preserve">一、项目基本情况</w:t>
      </w:r>
      <w:bookmarkEnd w:id="2"/>
      <w:r/>
      <w:bookmarkEnd w:id="3"/>
      <w:r/>
      <w:bookmarkEnd w:id="4"/>
      <w:r/>
      <w:bookmarkEnd w:id="5"/>
      <w:r>
        <w:rPr>
          <w:rFonts w:hint="eastAsia" w:ascii="宋体" w:hAnsi="宋体" w:eastAsia="宋体" w:cs="Times New Roman"/>
          <w:b/>
          <w:bCs/>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u w:val="single"/>
          <w:lang w:val="en-US" w:eastAsia="zh-CN"/>
        </w:rPr>
        <w:t xml:space="preserve"> JSZC-320400-SYZB-G2026-0045 </w:t>
      </w:r>
      <w:r>
        <w:rPr>
          <w:rFonts w:hint="eastAsia" w:ascii="宋体" w:hAnsi="宋体" w:eastAsia="宋体" w:cs="宋体"/>
          <w:color w:val="000000"/>
          <w:sz w:val="24"/>
          <w:szCs w:val="24"/>
          <w:highlight w:val="none"/>
          <w:lang w:val="en-US" w:eastAsia="zh-CN"/>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常州市第一人民医院主动脉内球囊反搏仪采购项目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235 </w:t>
      </w:r>
      <w:r>
        <w:rPr>
          <w:rFonts w:hint="eastAsia" w:ascii="宋体" w:hAnsi="宋体" w:eastAsia="宋体" w:cs="宋体"/>
          <w:color w:val="000000"/>
          <w:sz w:val="24"/>
          <w:szCs w:val="24"/>
          <w:highlight w:val="none"/>
        </w:rPr>
        <w:t xml:space="preserve">万元、项目最高限价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235 </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7"/>
        <w:gridCol w:w="1564"/>
        <w:gridCol w:w="680"/>
        <w:gridCol w:w="4298"/>
      </w:tblGrid>
      <w:tr>
        <w:trPr>
          <w:trHeight w:val="454"/>
        </w:trPr>
        <w:tc>
          <w:tcPr>
            <w:tcW w:w="2037"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bookmarkEnd w:id="6"/>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1564"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预算金额</w:t>
            </w:r>
            <w:r>
              <w:rPr>
                <w:rFonts w:hint="eastAsia" w:ascii="宋体" w:hAnsi="宋体" w:eastAsia="宋体" w:cs="宋体"/>
                <w:bCs/>
                <w:color w:val="000000"/>
                <w:sz w:val="24"/>
                <w:szCs w:val="24"/>
                <w:highlight w:val="none"/>
              </w:rPr>
            </w:r>
            <w:r/>
          </w:p>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680"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4298"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简要技术需求或服务要求</w:t>
            </w:r>
            <w:r>
              <w:rPr>
                <w:rFonts w:hint="eastAsia" w:ascii="宋体" w:hAnsi="宋体" w:eastAsia="宋体" w:cs="宋体"/>
                <w:bCs/>
                <w:color w:val="000000"/>
                <w:sz w:val="24"/>
                <w:szCs w:val="24"/>
                <w:highlight w:val="none"/>
              </w:rPr>
            </w:r>
            <w:r/>
          </w:p>
        </w:tc>
      </w:tr>
      <w:tr>
        <w:trPr>
          <w:trHeight w:val="454"/>
        </w:trPr>
        <w:tc>
          <w:tcPr>
            <w:tcW w:w="2037" w:type="dxa"/>
            <w:vAlign w:val="center"/>
            <w:textDirection w:val="lrTb"/>
            <w:noWrap w:val="false"/>
          </w:tcPr>
          <w:p>
            <w:pPr>
              <w:pStyle w:val="909"/>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主动脉内球囊反搏仪</w:t>
            </w:r>
            <w:r>
              <w:rPr>
                <w:rFonts w:ascii="宋体" w:hAnsi="宋体" w:eastAsia="宋体" w:cs="宋体"/>
                <w:bCs/>
                <w:color w:val="000000"/>
                <w:sz w:val="24"/>
                <w:szCs w:val="24"/>
                <w:highlight w:val="none"/>
                <w:lang w:val="en-US" w:eastAsia="zh-CN"/>
              </w:rPr>
            </w:r>
            <w:r/>
          </w:p>
        </w:tc>
        <w:tc>
          <w:tcPr>
            <w:tcW w:w="1564" w:type="dxa"/>
            <w:vAlign w:val="center"/>
            <w:textDirection w:val="lrTb"/>
            <w:noWrap w:val="false"/>
          </w:tcPr>
          <w:p>
            <w:pPr>
              <w:pStyle w:val="909"/>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235</w:t>
            </w:r>
            <w:r>
              <w:rPr>
                <w:rFonts w:ascii="宋体" w:hAnsi="宋体" w:eastAsia="宋体" w:cs="宋体"/>
                <w:bCs/>
                <w:color w:val="000000"/>
                <w:sz w:val="24"/>
                <w:szCs w:val="24"/>
                <w:highlight w:val="none"/>
                <w:lang w:val="en-US" w:eastAsia="zh-CN"/>
              </w:rPr>
            </w:r>
            <w:r/>
          </w:p>
        </w:tc>
        <w:tc>
          <w:tcPr>
            <w:tcW w:w="680" w:type="dxa"/>
            <w:vAlign w:val="center"/>
            <w:textDirection w:val="lrTb"/>
            <w:noWrap w:val="false"/>
          </w:tcPr>
          <w:p>
            <w:pPr>
              <w:pStyle w:val="909"/>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2套</w:t>
            </w:r>
            <w:r>
              <w:rPr>
                <w:rFonts w:ascii="宋体" w:hAnsi="宋体" w:eastAsia="宋体" w:cs="宋体"/>
                <w:bCs/>
                <w:color w:val="000000"/>
                <w:sz w:val="24"/>
                <w:szCs w:val="24"/>
                <w:highlight w:val="none"/>
                <w:lang w:val="en-US" w:eastAsia="zh-CN"/>
              </w:rPr>
            </w:r>
            <w:r/>
          </w:p>
        </w:tc>
        <w:tc>
          <w:tcPr>
            <w:tcW w:w="4298" w:type="dxa"/>
            <w:vAlign w:val="center"/>
            <w:textDirection w:val="lrTb"/>
            <w:noWrap w:val="false"/>
          </w:tcPr>
          <w:p>
            <w:pPr>
              <w:pStyle w:val="909"/>
              <w:jc w:val="center"/>
              <w:keepLines w:val="0"/>
              <w:keepNext w:val="0"/>
              <w:pageBreakBefore w:val="0"/>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本项目是常州市第一人民医院主动脉内球囊反搏仪采购项目，</w:t>
            </w:r>
            <w:r>
              <w:rPr>
                <w:rFonts w:hint="eastAsia" w:ascii="宋体" w:hAnsi="宋体" w:eastAsia="宋体" w:cs="宋体"/>
                <w:bCs/>
                <w:color w:val="000000"/>
                <w:sz w:val="24"/>
                <w:szCs w:val="24"/>
                <w:highlight w:val="none"/>
                <w:lang w:val="en-US" w:eastAsia="zh-CN"/>
              </w:rPr>
              <w:t xml:space="preserve">采购主动脉内球囊反搏仪2套，内容包括但不限于</w:t>
            </w:r>
            <w:r>
              <w:rPr>
                <w:rFonts w:hint="eastAsia" w:ascii="宋体" w:hAnsi="宋体" w:eastAsia="宋体" w:cs="宋体"/>
                <w:bCs/>
                <w:color w:val="000000"/>
                <w:sz w:val="24"/>
                <w:szCs w:val="24"/>
                <w:highlight w:val="none"/>
              </w:rPr>
              <w:t xml:space="preserve">设备的制造（采购）、运输、装卸、安装、调试、测试、售后服务、技术培训等，直至通过相关部门的验收以及质量保修、免费维保等全部工作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bl>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合同签订后60个工作日内完成合同范围内所有设备的供货、安装调试</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.本项目是否接受联合体投标：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7.本项目是否接受进口产品投标：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是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7" w:name="_Toc35393622"/>
      <w:r/>
      <w:bookmarkStart w:id="8" w:name="_Toc35393791"/>
      <w:r/>
      <w:bookmarkStart w:id="9" w:name="_Toc28359080"/>
      <w:r/>
      <w:bookmarkStart w:id="10" w:name="_Toc28359003"/>
      <w:r>
        <w:rPr>
          <w:rFonts w:hint="eastAsia" w:ascii="宋体" w:hAnsi="宋体" w:eastAsia="宋体" w:cs="Times New Roman"/>
          <w:b/>
          <w:bCs/>
          <w:color w:val="000000"/>
          <w:sz w:val="24"/>
          <w:szCs w:val="24"/>
          <w:highlight w:val="none"/>
        </w:rPr>
        <w:t xml:space="preserve">二、申请人的资格要求（须同时满足）</w:t>
      </w:r>
      <w:bookmarkEnd w:id="7"/>
      <w:r/>
      <w:bookmarkEnd w:id="8"/>
      <w:r/>
      <w:bookmarkEnd w:id="9"/>
      <w:r/>
      <w:bookmarkEnd w:id="10"/>
      <w:r>
        <w:rPr>
          <w:rFonts w:hint="eastAsia" w:ascii="宋体" w:hAnsi="宋体" w:eastAsia="宋体" w:cs="Times New Roman"/>
          <w:b/>
          <w:bCs/>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1" w:name="_Toc28359004"/>
      <w:r/>
      <w:bookmarkStart w:id="12" w:name="_Toc28359081"/>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□本项目专门面向   □中小 □小微企业  采购。即：提供的货物全部由符合政策要求的中小企业制造。</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□本项目预留部分采购项目预算专门面向中小企业采购。对于预留份额，提供的货物由符合政策要求的中小企业制造。预留份额通过以下措施进行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其它落实政府采购政策的资格要求：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3.1本项目是否接受分支机构参与投标：□是   ■否；</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909"/>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909"/>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u w:val="singl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bookmarkEnd w:id="11"/>
      <w:r/>
      <w:bookmarkEnd w:id="12"/>
      <w:r/>
      <w:bookmarkStart w:id="13" w:name="_Toc35393623"/>
      <w:r/>
      <w:bookmarkStart w:id="14" w:name="_Toc35393792"/>
      <w:r>
        <w:rPr>
          <w:rFonts w:hint="eastAsia" w:ascii="宋体" w:hAnsi="宋体" w:eastAsia="宋体" w:cs="宋体"/>
          <w:color w:val="000000"/>
          <w:sz w:val="24"/>
          <w:szCs w:val="24"/>
          <w:highlight w:val="none"/>
        </w:rPr>
        <w:t xml:space="preserve">3.3.1满足以下两项中任意一项要求：</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rPr>
        <w:t xml:space="preserve">为所投产品制造商：具有有效期内的医疗器械生产许可证（或备案证）</w:t>
      </w:r>
      <w:r>
        <w:rPr>
          <w:rFonts w:hint="eastAsia" w:ascii="宋体" w:hAnsi="宋体" w:eastAsia="宋体" w:cs="宋体"/>
          <w:color w:val="000000"/>
          <w:sz w:val="24"/>
          <w:szCs w:val="24"/>
          <w:highlight w:val="none"/>
        </w:rPr>
        <w:t xml:space="preserve">(如为进口产品，可不提供）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rPr>
        <w:t xml:space="preserve">为所投产品经销商：具有有效期内的医疗器械经营许可证（或备案证）</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3.3.2提供所投产品的有效医疗器械注册证；</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3.3.3本项目接受进口产品，如所投产品为进口产品的，投标人应提供以下之一的证明材料：</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此设备的本区域的经销（代理）商，必须提供逐级经销（代理）商的证书及有效销售资质；</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三、获取招标文件</w:t>
      </w:r>
      <w:bookmarkEnd w:id="13"/>
      <w:r/>
      <w:bookmarkEnd w:id="14"/>
      <w:r>
        <w:rPr>
          <w:rFonts w:hint="eastAsia" w:ascii="宋体" w:hAnsi="宋体" w:eastAsia="宋体" w:cs="Times New Roman"/>
          <w:b/>
          <w:bCs/>
          <w:color w:val="000000"/>
          <w:sz w:val="24"/>
          <w:szCs w:val="24"/>
          <w:highlight w:val="none"/>
        </w:rPr>
      </w:r>
      <w:r/>
    </w:p>
    <w:p>
      <w:pPr>
        <w:pStyle w:val="909"/>
        <w:ind w:firstLine="480"/>
        <w:spacing w:line="360" w:lineRule="auto"/>
        <w:rPr>
          <w:rFonts w:hint="eastAsia" w:ascii="宋体" w:hAnsi="宋体" w:cs="宋体"/>
          <w:color w:val="000000"/>
          <w:sz w:val="24"/>
          <w:highlight w:val="none"/>
          <w:u w:val="none"/>
          <w:lang w:bidi="ar"/>
        </w:rPr>
      </w:pPr>
      <w:r/>
      <w:bookmarkStart w:id="15" w:name="_Toc28359082"/>
      <w:r/>
      <w:bookmarkStart w:id="16" w:name="_Toc28359005"/>
      <w:r/>
      <w:bookmarkStart w:id="17" w:name="_Toc35393624"/>
      <w:r/>
      <w:bookmarkStart w:id="18" w:name="_Toc35393793"/>
      <w:r>
        <w:rPr>
          <w:rFonts w:hint="eastAsia" w:ascii="宋体" w:hAnsi="宋体" w:cs="宋体"/>
          <w:color w:val="000000"/>
          <w:sz w:val="24"/>
          <w:highlight w:val="none"/>
          <w:u w:val="none"/>
          <w:lang w:bidi="ar"/>
        </w:rPr>
        <w:t xml:space="preserve">1.时间：</w:t>
      </w:r>
      <w:r>
        <w:rPr>
          <w:rFonts w:hint="eastAsia" w:ascii="宋体" w:hAnsi="宋体" w:cs="宋体"/>
          <w:color w:val="000000"/>
          <w:sz w:val="24"/>
          <w:highlight w:val="none"/>
          <w:u w:val="none"/>
        </w:rPr>
        <w:t xml:space="preserve">自招标公告发布之日起5个工作日。</w:t>
      </w:r>
      <w:r>
        <w:rPr>
          <w:rFonts w:hint="eastAsia" w:ascii="宋体" w:hAnsi="宋体" w:cs="宋体"/>
          <w:color w:val="000000"/>
          <w:sz w:val="24"/>
          <w:highlight w:val="none"/>
          <w:u w:val="none"/>
          <w:lang w:bidi="ar"/>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3.方式：投标人</w:t>
      </w:r>
      <w:r>
        <w:rPr>
          <w:rFonts w:hint="eastAsia" w:ascii="宋体" w:hAnsi="宋体" w:cs="宋体"/>
          <w:color w:val="000000"/>
          <w:sz w:val="24"/>
          <w:highlight w:val="none"/>
          <w:lang w:val="en-US" w:eastAsia="zh-CN" w:bidi="ar"/>
        </w:rPr>
        <w:t xml:space="preserve">登录</w:t>
      </w:r>
      <w:r>
        <w:rPr>
          <w:rFonts w:hint="eastAsia" w:ascii="宋体" w:hAnsi="宋体" w:cs="宋体"/>
          <w:color w:val="000000"/>
          <w:sz w:val="24"/>
          <w:highlight w:val="non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四、提交投标文件</w:t>
      </w:r>
      <w:bookmarkEnd w:id="15"/>
      <w:r/>
      <w:bookmarkEnd w:id="16"/>
      <w:r>
        <w:rPr>
          <w:rFonts w:hint="eastAsia" w:ascii="宋体" w:hAnsi="宋体" w:eastAsia="宋体" w:cs="Times New Roman"/>
          <w:b/>
          <w:bCs/>
          <w:color w:val="000000"/>
          <w:sz w:val="24"/>
          <w:szCs w:val="24"/>
          <w:highlight w:val="none"/>
        </w:rPr>
        <w:t xml:space="preserve">截止时间、开标时间和地点</w:t>
      </w:r>
      <w:bookmarkEnd w:id="17"/>
      <w:r/>
      <w:bookmarkEnd w:id="18"/>
      <w:r>
        <w:rPr>
          <w:rFonts w:hint="eastAsia" w:ascii="宋体" w:hAnsi="宋体" w:eastAsia="宋体" w:cs="Times New Roman"/>
          <w:b/>
          <w:bCs/>
          <w:color w:val="000000"/>
          <w:sz w:val="24"/>
          <w:szCs w:val="24"/>
          <w:highlight w:val="none"/>
        </w:rPr>
      </w:r>
      <w:r/>
    </w:p>
    <w:p>
      <w:pPr>
        <w:pStyle w:val="909"/>
        <w:ind w:firstLine="480"/>
        <w:spacing w:line="360" w:lineRule="auto"/>
        <w:rPr>
          <w:rFonts w:hint="eastAsia" w:ascii="宋体" w:hAnsi="宋体" w:eastAsia="宋体" w:cs="宋体"/>
          <w:iCs/>
          <w:color w:val="000000"/>
          <w:sz w:val="24"/>
          <w:highlight w:val="none"/>
          <w:lang w:bidi="ar"/>
        </w:rPr>
        <w:outlineLvl w:val="9"/>
      </w:pPr>
      <w:r/>
      <w:bookmarkStart w:id="19" w:name="_Toc35393625"/>
      <w:r/>
      <w:bookmarkStart w:id="20" w:name="_Toc28359007"/>
      <w:r/>
      <w:bookmarkStart w:id="21" w:name="_Toc28359084"/>
      <w:r/>
      <w:bookmarkStart w:id="22" w:name="_Toc35393794"/>
      <w:r>
        <w:rPr>
          <w:color w:val="000000"/>
          <w:sz w:val="24"/>
          <w:highlight w:val="none"/>
          <w:lang w:bidi="ar"/>
        </w:rPr>
        <w:t xml:space="preserve">投标截止时间、开标时间：</w:t>
      </w:r>
      <w:r>
        <w:rPr>
          <w:rFonts w:hint="eastAsia" w:ascii="宋体" w:hAnsi="宋体" w:eastAsia="宋体" w:cs="宋体"/>
          <w:color w:val="ff0000"/>
          <w:sz w:val="24"/>
          <w:highlight w:val="none"/>
          <w:u w:val="single"/>
        </w:rPr>
        <w:t xml:space="preserve"> </w:t>
      </w:r>
      <w:r>
        <w:rPr>
          <w:rFonts w:hint="eastAsia" w:ascii="宋体" w:hAnsi="宋体" w:eastAsia="宋体" w:cs="宋体"/>
          <w:color w:val="ff0000"/>
          <w:sz w:val="24"/>
          <w:highlight w:val="none"/>
          <w:u w:val="single"/>
          <w:lang w:val="en-US" w:eastAsia="zh-CN"/>
        </w:rPr>
        <w:t xml:space="preserve">2026 </w:t>
      </w:r>
      <w:r>
        <w:rPr>
          <w:rFonts w:hint="eastAsia" w:ascii="宋体" w:hAnsi="宋体" w:eastAsia="宋体" w:cs="宋体"/>
          <w:color w:val="ff0000"/>
          <w:sz w:val="24"/>
          <w:highlight w:val="none"/>
          <w:lang w:bidi="ar"/>
        </w:rPr>
        <w:t xml:space="preserve">年</w:t>
      </w:r>
      <w:r>
        <w:rPr>
          <w:rFonts w:hint="eastAsia" w:ascii="宋体" w:hAnsi="宋体" w:eastAsia="宋体" w:cs="宋体"/>
          <w:color w:val="ff0000"/>
          <w:sz w:val="24"/>
          <w:highlight w:val="none"/>
          <w:u w:val="single"/>
          <w:lang w:val="en-US" w:eastAsia="zh-CN"/>
        </w:rPr>
        <w:t xml:space="preserve"> 8 </w:t>
      </w:r>
      <w:r>
        <w:rPr>
          <w:rFonts w:hint="eastAsia" w:ascii="宋体" w:hAnsi="宋体" w:eastAsia="宋体" w:cs="宋体"/>
          <w:color w:val="ff0000"/>
          <w:sz w:val="24"/>
          <w:highlight w:val="none"/>
          <w:lang w:bidi="ar"/>
        </w:rPr>
        <w:t xml:space="preserve">月</w:t>
      </w:r>
      <w:r>
        <w:rPr>
          <w:rFonts w:hint="eastAsia" w:ascii="宋体" w:hAnsi="宋体" w:eastAsia="宋体" w:cs="宋体"/>
          <w:color w:val="ff0000"/>
          <w:sz w:val="24"/>
          <w:highlight w:val="none"/>
          <w:u w:val="single"/>
          <w:lang w:val="en-US" w:eastAsia="zh-CN"/>
        </w:rPr>
        <w:t xml:space="preserve"> 18 </w:t>
      </w:r>
      <w:r>
        <w:rPr>
          <w:rFonts w:hint="eastAsia" w:ascii="宋体" w:hAnsi="宋体" w:eastAsia="宋体" w:cs="宋体"/>
          <w:color w:val="ff0000"/>
          <w:sz w:val="24"/>
          <w:highlight w:val="none"/>
          <w:lang w:bidi="ar"/>
        </w:rPr>
        <w:t xml:space="preserve">日</w:t>
      </w:r>
      <w:r>
        <w:rPr>
          <w:rFonts w:hint="eastAsia" w:ascii="宋体" w:hAnsi="宋体" w:eastAsia="宋体" w:cs="宋体"/>
          <w:color w:val="ff0000"/>
          <w:sz w:val="24"/>
          <w:highlight w:val="none"/>
          <w:u w:val="single"/>
          <w:lang w:val="en-US" w:eastAsia="zh-CN"/>
        </w:rPr>
        <w:t xml:space="preserve"> 9 </w:t>
      </w:r>
      <w:r>
        <w:rPr>
          <w:rFonts w:hint="eastAsia" w:ascii="宋体" w:hAnsi="宋体" w:eastAsia="宋体" w:cs="宋体"/>
          <w:color w:val="ff0000"/>
          <w:sz w:val="24"/>
          <w:highlight w:val="none"/>
          <w:lang w:bidi="ar"/>
        </w:rPr>
        <w:t xml:space="preserve">点</w:t>
      </w:r>
      <w:r>
        <w:rPr>
          <w:rFonts w:hint="eastAsia" w:ascii="宋体" w:hAnsi="宋体" w:eastAsia="宋体" w:cs="宋体"/>
          <w:color w:val="ff0000"/>
          <w:sz w:val="24"/>
          <w:highlight w:val="none"/>
          <w:u w:val="single"/>
          <w:lang w:val="en-US" w:eastAsia="zh-CN"/>
        </w:rPr>
        <w:t xml:space="preserve"> </w:t>
      </w:r>
      <w:r>
        <w:rPr>
          <w:rFonts w:hint="eastAsia" w:ascii="宋体" w:hAnsi="宋体" w:eastAsia="宋体" w:cs="宋体"/>
          <w:color w:val="ff0000"/>
          <w:sz w:val="24"/>
          <w:highlight w:val="none"/>
          <w:u w:val="single"/>
          <w:lang w:val="en-US" w:eastAsia="zh-CN" w:bidi="ar"/>
        </w:rPr>
        <w:t xml:space="preserve">30</w:t>
      </w:r>
      <w:r>
        <w:rPr>
          <w:rFonts w:hint="eastAsia" w:ascii="宋体" w:hAnsi="宋体" w:eastAsia="宋体" w:cs="宋体"/>
          <w:color w:val="ff0000"/>
          <w:sz w:val="24"/>
          <w:highlight w:val="none"/>
          <w:u w:val="single"/>
          <w:lang w:val="en-US" w:eastAsia="zh-CN"/>
        </w:rPr>
        <w:t xml:space="preserve"> </w:t>
      </w:r>
      <w:r>
        <w:rPr>
          <w:rFonts w:hint="eastAsia" w:ascii="宋体" w:hAnsi="宋体" w:eastAsia="宋体" w:cs="宋体"/>
          <w:color w:val="ff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iCs/>
          <w:color w:val="000000"/>
          <w:sz w:val="24"/>
          <w:highlight w:val="none"/>
          <w:lang w:bidi="ar"/>
        </w:rPr>
      </w:r>
      <w:r/>
    </w:p>
    <w:p>
      <w:pPr>
        <w:pStyle w:val="909"/>
        <w:ind w:firstLine="480"/>
        <w:spacing w:line="360" w:lineRule="auto"/>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“苏采云”政府采购交易系统网上开标大厅。</w:t>
      </w:r>
      <w:r>
        <w:rPr>
          <w:rFonts w:hint="eastAsia" w:ascii="宋体" w:hAnsi="宋体" w:cs="宋体"/>
          <w:color w:val="000000"/>
          <w:sz w:val="24"/>
          <w:highlight w:val="none"/>
          <w:u w:val="single"/>
          <w:lang w:bidi="ar"/>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五、公告期限</w:t>
      </w:r>
      <w:bookmarkEnd w:id="19"/>
      <w:r/>
      <w:bookmarkEnd w:id="20"/>
      <w:r/>
      <w:bookmarkEnd w:id="21"/>
      <w:r/>
      <w:bookmarkEnd w:id="22"/>
      <w:r>
        <w:rPr>
          <w:rFonts w:hint="eastAsia" w:ascii="宋体" w:hAnsi="宋体" w:eastAsia="宋体" w:cs="Times New Roman"/>
          <w:b/>
          <w:bCs/>
          <w:color w:val="000000"/>
          <w:sz w:val="24"/>
          <w:szCs w:val="24"/>
          <w:highlight w:val="none"/>
        </w:rPr>
      </w:r>
      <w:r/>
    </w:p>
    <w:p>
      <w:pPr>
        <w:pStyle w:val="909"/>
        <w:ind w:firstLine="480"/>
        <w:spacing w:line="360" w:lineRule="auto"/>
        <w:rPr>
          <w:color w:val="000000"/>
          <w:sz w:val="24"/>
          <w:highlight w:val="none"/>
        </w:rPr>
        <w:outlineLvl w:val="9"/>
      </w:pPr>
      <w:r>
        <w:rPr>
          <w:color w:val="000000"/>
          <w:sz w:val="24"/>
          <w:highlight w:val="none"/>
        </w:rPr>
        <w:t xml:space="preserve">自本公告发布之日起5个工作日。</w:t>
      </w:r>
      <w:r>
        <w:rPr>
          <w:color w:val="000000"/>
          <w:sz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3" w:name="_Toc35393626"/>
      <w:r/>
      <w:bookmarkStart w:id="24" w:name="_Toc35393795"/>
      <w:r>
        <w:rPr>
          <w:rFonts w:hint="eastAsia" w:ascii="宋体" w:hAnsi="宋体" w:eastAsia="宋体" w:cs="Times New Roman"/>
          <w:b/>
          <w:bCs/>
          <w:color w:val="000000"/>
          <w:sz w:val="24"/>
          <w:szCs w:val="24"/>
          <w:highlight w:val="none"/>
        </w:rPr>
        <w:t xml:space="preserve">六、其他补充事宜</w:t>
      </w:r>
      <w:bookmarkEnd w:id="23"/>
      <w:r/>
      <w:bookmarkEnd w:id="24"/>
      <w:r>
        <w:rPr>
          <w:rFonts w:hint="eastAsia" w:ascii="宋体" w:hAnsi="宋体" w:eastAsia="宋体" w:cs="Times New Roman"/>
          <w:b/>
          <w:bCs/>
          <w:color w:val="000000"/>
          <w:sz w:val="24"/>
          <w:szCs w:val="24"/>
          <w:highlight w:val="none"/>
        </w:rPr>
      </w:r>
      <w:r/>
    </w:p>
    <w:p>
      <w:pPr>
        <w:pStyle w:val="909"/>
        <w:ind w:firstLine="480"/>
        <w:spacing w:line="360" w:lineRule="auto"/>
        <w:rPr>
          <w:rFonts w:hint="eastAsia" w:ascii="宋体" w:hAnsi="宋体" w:cs="宋体"/>
          <w:color w:val="000000"/>
          <w:sz w:val="24"/>
          <w:highlight w:val="none"/>
        </w:rPr>
      </w:pPr>
      <w:r/>
      <w:bookmarkStart w:id="25" w:name="_Toc28359008"/>
      <w:r/>
      <w:bookmarkStart w:id="26" w:name="_Toc35393796"/>
      <w:r/>
      <w:bookmarkStart w:id="27" w:name="_Toc35393627"/>
      <w:r/>
      <w:bookmarkStart w:id="28" w:name="_Toc28359085"/>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对小型和微型企业的价格给予20%的扣除，用扣除后的价格参与评审。监狱企业、残疾人福利性单位视同小微企业，给予价格扣除</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7.注意事项</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自行承担。</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可以在“江苏政府采购网”或者“常州市政府采购网”自行免费下载采购文件，但本项目通过“苏采云”系统采用电子化不见面交易的模式，</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在“苏采云”系统进行登记、参与及下载电子采购文件，选择“我要参与”点提交的日期视同为依法获取采购文件日期。报名成功后须打印、保留“</w:t>
      </w:r>
      <w:r>
        <w:rPr>
          <w:rFonts w:hint="eastAsia" w:ascii="宋体" w:hAnsi="宋体" w:cs="宋体"/>
          <w:color w:val="000000"/>
          <w:sz w:val="24"/>
          <w:highlight w:val="none"/>
          <w:lang w:eastAsia="zh-CN"/>
        </w:rPr>
        <w:t xml:space="preserve">投标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确认函”，质疑时“</w:t>
      </w:r>
      <w:r>
        <w:rPr>
          <w:rFonts w:hint="eastAsia" w:ascii="宋体" w:hAnsi="宋体" w:cs="宋体"/>
          <w:color w:val="000000"/>
          <w:sz w:val="24"/>
          <w:highlight w:val="none"/>
          <w:lang w:eastAsia="zh-CN"/>
        </w:rPr>
        <w:t xml:space="preserve">投标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确认函”与质疑函一并提交；未依照招标公告要求实行网上报名的</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，视为未参与该项政府采购活动，不具备对该政府采购项目提出质疑的法定权利，但因</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资格条件或报名时间设定不符合有关法律法规规定等原因使</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权益受损的除外。</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10.如潜在</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未按上述要求操作，将自行承担所产生的风险。</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909"/>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七、对本次招标提出询问，请按以下方式联系。</w:t>
      </w:r>
      <w:bookmarkEnd w:id="25"/>
      <w:r/>
      <w:bookmarkEnd w:id="26"/>
      <w:r/>
      <w:bookmarkEnd w:id="27"/>
      <w:r/>
      <w:bookmarkEnd w:id="28"/>
      <w:r>
        <w:rPr>
          <w:rFonts w:hint="eastAsia" w:ascii="宋体" w:hAnsi="宋体" w:eastAsia="宋体" w:cs="Times New Roman"/>
          <w:b/>
          <w:bCs/>
          <w:color w:val="000000"/>
          <w:sz w:val="24"/>
          <w:szCs w:val="24"/>
          <w:highlight w:val="none"/>
        </w:rPr>
      </w:r>
      <w:r/>
    </w:p>
    <w:p>
      <w:pPr>
        <w:pStyle w:val="909"/>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bookmarkStart w:id="29" w:name="_Toc127161488"/>
      <w:r/>
      <w:bookmarkStart w:id="30" w:name="_Toc195842950"/>
      <w:r/>
      <w:bookmarkStart w:id="31" w:name="_Toc150774783"/>
      <w:r/>
      <w:bookmarkStart w:id="32" w:name="_Toc264969275"/>
      <w:r/>
      <w:bookmarkStart w:id="33" w:name="_Toc305158854"/>
      <w:r/>
      <w:bookmarkStart w:id="34" w:name="_Toc265228423"/>
      <w:r/>
      <w:bookmarkStart w:id="35" w:name="_Toc353873938"/>
      <w:r/>
      <w:bookmarkStart w:id="36" w:name="_Toc353825548"/>
      <w:r/>
      <w:bookmarkStart w:id="37" w:name="_Toc512937850"/>
      <w:r/>
      <w:bookmarkStart w:id="38" w:name="_Toc127151777"/>
      <w:r/>
      <w:bookmarkStart w:id="39" w:name="_Toc305158928"/>
      <w:r/>
      <w:bookmarkStart w:id="40" w:name="_Toc226965856"/>
      <w:r>
        <w:rPr>
          <w:rFonts w:hint="eastAsia" w:ascii="宋体" w:hAnsi="宋体" w:eastAsia="宋体" w:cs="宋体"/>
          <w:b/>
          <w:bCs/>
          <w:color w:val="000000"/>
          <w:sz w:val="24"/>
          <w:highlight w:val="none"/>
          <w:lang w:val="zh-TW" w:bidi="ar"/>
        </w:rPr>
        <w:t xml:space="preserve">1.</w:t>
      </w:r>
      <w:r>
        <w:rPr>
          <w:rFonts w:hint="eastAsia" w:ascii="宋体" w:hAnsi="宋体" w:eastAsia="宋体" w:cs="宋体"/>
          <w:b/>
          <w:bCs/>
          <w:color w:val="000000"/>
          <w:sz w:val="24"/>
          <w:highlight w:val="none"/>
          <w:lang w:val="zh-TW" w:eastAsia="zh-CN" w:bidi="ar"/>
        </w:rPr>
        <w:t xml:space="preserve">采购人</w:t>
      </w:r>
      <w:r>
        <w:rPr>
          <w:rFonts w:hint="eastAsia" w:ascii="宋体" w:hAnsi="宋体" w:eastAsia="宋体" w:cs="宋体"/>
          <w:b/>
          <w:bCs/>
          <w:color w:val="000000"/>
          <w:sz w:val="24"/>
          <w:highlight w:val="none"/>
          <w:lang w:val="zh-TW" w:bidi="ar"/>
        </w:rPr>
        <w:t xml:space="preserve">信息</w:t>
      </w:r>
      <w:r>
        <w:rPr>
          <w:rFonts w:hint="eastAsia" w:ascii="宋体" w:hAnsi="宋体" w:eastAsia="宋体" w:cs="宋体"/>
          <w:b/>
          <w:bCs/>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常州市第一人民医院 </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常州市局前街185号 </w:t>
      </w:r>
      <w:r>
        <w:rPr>
          <w:rFonts w:ascii="宋体" w:hAnsi="宋体" w:eastAsia="宋体" w:cs="宋体"/>
          <w:color w:val="000000"/>
          <w:sz w:val="24"/>
          <w:highlight w:val="none"/>
          <w:u w:val="single"/>
          <w:lang w:val="en-US" w:eastAsia="zh-CN"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龚女士、0519-68870782 </w:t>
      </w:r>
      <w:r>
        <w:rPr>
          <w:rFonts w:hint="eastAsia" w:ascii="宋体" w:hAnsi="宋体" w:eastAsia="宋体" w:cs="宋体"/>
          <w:color w:val="000000"/>
          <w:sz w:val="24"/>
          <w:highlight w:val="none"/>
          <w:lang w:val="zh-TW" w:bidi="ar"/>
        </w:rPr>
      </w:r>
      <w:r/>
    </w:p>
    <w:p>
      <w:pPr>
        <w:pStyle w:val="909"/>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rPr>
          <w:rFonts w:hint="eastAsia" w:ascii="宋体" w:hAnsi="宋体" w:eastAsia="宋体" w:cs="宋体"/>
          <w:b/>
          <w:bCs/>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常州市新北区嵩山路1-301号（太湖明珠苑综合市场3楼）</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09"/>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rPr>
          <w:rFonts w:hint="eastAsia" w:ascii="宋体" w:hAnsi="宋体" w:eastAsia="宋体" w:cs="宋体"/>
          <w:b/>
          <w:bCs/>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嵇玲 </w:t>
      </w:r>
      <w:r>
        <w:rPr>
          <w:rFonts w:hint="eastAsia" w:ascii="宋体" w:hAnsi="宋体" w:eastAsia="宋体" w:cs="宋体"/>
          <w:color w:val="000000"/>
          <w:sz w:val="24"/>
          <w:highlight w:val="none"/>
          <w:u w:val="single"/>
          <w:lang w:val="en-US" w:eastAsia="zh-CN"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0519-88818295（8000）</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rPr>
      </w:r>
      <w:r/>
    </w:p>
    <w:p>
      <w:pPr>
        <w:pStyle w:val="909"/>
        <w:ind w:firstLine="480"/>
        <w:spacing w:line="360" w:lineRule="auto"/>
        <w:rPr>
          <w:rFonts w:hint="eastAsia" w:ascii="宋体" w:hAnsi="宋体" w:eastAsia="宋体" w:cs="宋体"/>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rPr>
          <w:b/>
          <w:color w:val="000000"/>
          <w:sz w:val="36"/>
          <w:szCs w:val="36"/>
          <w:highlight w:val="none"/>
        </w:rPr>
        <w:outlineLvl w:val="0"/>
      </w:pPr>
      <w:r/>
      <w:bookmarkStart w:id="41" w:name="_Toc14966"/>
      <w:r>
        <w:rPr>
          <w:b/>
          <w:color w:val="000000"/>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color w:val="000000"/>
          <w:sz w:val="36"/>
          <w:szCs w:val="36"/>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2" w:name="_Toc164229214"/>
      <w:r/>
      <w:bookmarkStart w:id="43" w:name="_Toc127151720"/>
      <w:r/>
      <w:bookmarkStart w:id="44" w:name="_Toc151193617"/>
      <w:r/>
      <w:bookmarkStart w:id="45" w:name="_Toc151193907"/>
      <w:r/>
      <w:bookmarkStart w:id="46" w:name="_Toc164351613"/>
      <w:r/>
      <w:bookmarkStart w:id="47" w:name="_Toc226965709"/>
      <w:r/>
      <w:bookmarkStart w:id="48" w:name="_Toc150774724"/>
      <w:r/>
      <w:bookmarkStart w:id="49" w:name="_Toc150774619"/>
      <w:r/>
      <w:bookmarkStart w:id="50" w:name="_Toc127161433"/>
      <w:r/>
      <w:bookmarkStart w:id="51" w:name="_Toc195842884"/>
      <w:r/>
      <w:bookmarkStart w:id="52" w:name="_Toc151193833"/>
      <w:r/>
      <w:bookmarkStart w:id="53" w:name="_Toc164608633"/>
      <w:r/>
      <w:bookmarkStart w:id="54" w:name="_Toc149720812"/>
      <w:r/>
      <w:bookmarkStart w:id="55" w:name="_Toc150480757"/>
      <w:r/>
      <w:bookmarkStart w:id="56" w:name="_Toc150509270"/>
      <w:r/>
      <w:bookmarkStart w:id="57" w:name="_Toc151193689"/>
      <w:r/>
      <w:bookmarkStart w:id="58" w:name="_Toc164229360"/>
      <w:r/>
      <w:bookmarkStart w:id="59" w:name="_Toc226337215"/>
      <w:r/>
      <w:bookmarkStart w:id="60" w:name="_Toc226309763"/>
      <w:r/>
      <w:bookmarkStart w:id="61" w:name="_Toc520356144"/>
      <w:r/>
      <w:bookmarkStart w:id="62" w:name="_Toc127151519"/>
      <w:r/>
      <w:bookmarkStart w:id="63" w:name="_Toc151193761"/>
      <w:r/>
      <w:bookmarkStart w:id="64" w:name="_Toc142311021"/>
      <w:r/>
      <w:bookmarkStart w:id="65" w:name="_Toc226965792"/>
      <w:r/>
      <w:bookmarkStart w:id="66" w:name="_Toc151190146"/>
      <w:r/>
      <w:bookmarkStart w:id="67" w:name="_Toc164608788"/>
      <w:r>
        <w:rPr>
          <w:rFonts w:hint="eastAsia" w:ascii="宋体" w:hAnsi="宋体" w:eastAsia="宋体" w:cs="Times New Roman"/>
          <w:b/>
          <w:bCs/>
          <w:color w:val="000000"/>
          <w:sz w:val="28"/>
          <w:szCs w:val="28"/>
          <w:highlight w:val="none"/>
          <w:lang w:val="en-US" w:eastAsia="zh-CN"/>
        </w:rPr>
        <w:t xml:space="preserve">投标人须知资料表</w:t>
      </w:r>
      <w:r>
        <w:rPr>
          <w:rFonts w:hint="eastAsia" w:ascii="宋体" w:hAnsi="宋体" w:eastAsia="宋体" w:cs="Times New Roman"/>
          <w:b/>
          <w:bCs/>
          <w:color w:val="000000"/>
          <w:sz w:val="28"/>
          <w:szCs w:val="28"/>
          <w:highlight w:val="none"/>
          <w:lang w:val="en-US" w:eastAsia="zh-CN"/>
        </w:rPr>
      </w:r>
      <w:r/>
    </w:p>
    <w:p>
      <w:pPr>
        <w:pStyle w:val="909"/>
        <w:jc w:val="center"/>
        <w:rPr>
          <w:b/>
          <w:color w:val="000000"/>
          <w:sz w:val="28"/>
          <w:szCs w:val="28"/>
          <w:highlight w:val="none"/>
        </w:rPr>
        <w:outlineLvl w:val="9"/>
      </w:pPr>
      <w:r>
        <w:rPr>
          <w:b/>
          <w:color w:val="000000"/>
          <w:sz w:val="28"/>
          <w:szCs w:val="28"/>
          <w:highlight w:val="none"/>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本表是对投标人须知的具体补充和修改，如有矛盾，均以本资料表为准。</w:t>
      </w:r>
      <w:r>
        <w:rPr>
          <w:rFonts w:hint="eastAsia" w:ascii="宋体" w:hAnsi="宋体" w:eastAsia="宋体" w:cs="宋体"/>
          <w:color w:val="000000"/>
          <w:sz w:val="24"/>
          <w:highlight w:val="none"/>
          <w:lang w:val="zh-TW" w:bidi="ar"/>
        </w:rPr>
      </w:r>
      <w:r/>
    </w:p>
    <w:p>
      <w:pPr>
        <w:pStyle w:val="909"/>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标记“■”的选项意为适用于本项目，标记“□”的选项意为不适用于本项目。</w:t>
      </w:r>
      <w:r>
        <w:rPr>
          <w:rFonts w:hint="eastAsia" w:ascii="宋体" w:hAnsi="宋体" w:eastAsia="宋体" w:cs="宋体"/>
          <w:color w:val="000000"/>
          <w:sz w:val="24"/>
          <w:highlight w:val="none"/>
          <w:lang w:val="zh-TW" w:bidi="ar"/>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09"/>
              <w:jc w:val="center"/>
              <w:rPr>
                <w:b/>
                <w:bCs/>
                <w:color w:val="000000"/>
                <w:sz w:val="24"/>
                <w:highlight w:val="none"/>
              </w:rPr>
              <w:outlineLvl w:val="9"/>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09"/>
              <w:jc w:val="center"/>
              <w:rPr>
                <w:b/>
                <w:bCs/>
                <w:color w:val="000000"/>
                <w:sz w:val="24"/>
                <w:highlight w:val="none"/>
              </w:rPr>
              <w:outlineLvl w:val="9"/>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909"/>
              <w:jc w:val="center"/>
              <w:rPr>
                <w:b/>
                <w:bCs/>
                <w:color w:val="000000"/>
                <w:sz w:val="24"/>
                <w:highlight w:val="none"/>
              </w:rPr>
              <w:outlineLvl w:val="9"/>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项目属性：</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□服务</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■货物</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是否属于科研仪器设备采购项目：</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□是</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■否</w:t>
            </w:r>
            <w:r>
              <w:rPr>
                <w:rFonts w:hint="eastAsia" w:ascii="宋体" w:hAnsi="宋体" w:eastAsia="宋体" w:cs="宋体"/>
                <w:color w:val="000000"/>
                <w:sz w:val="24"/>
                <w:szCs w:val="24"/>
                <w:highlight w:val="none"/>
                <w:lang w:val="en-US" w:eastAsia="zh-CN" w:bidi="ar-SA"/>
              </w:rPr>
            </w:r>
            <w:r/>
          </w:p>
        </w:tc>
      </w:tr>
      <w:tr>
        <w:trPr>
          <w:trHeight w:val="878"/>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948"/>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□关于核心产品本项目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包不适用。</w:t>
            </w:r>
            <w:r>
              <w:rPr>
                <w:rFonts w:hint="eastAsia" w:ascii="宋体" w:hAnsi="宋体" w:eastAsia="宋体" w:cs="宋体"/>
                <w:color w:val="000000"/>
                <w:sz w:val="24"/>
                <w:szCs w:val="24"/>
                <w:highlight w:val="none"/>
                <w:lang w:val="en-US" w:eastAsia="zh-CN" w:bidi="ar-SA"/>
              </w:rPr>
            </w:r>
            <w:r/>
          </w:p>
          <w:p>
            <w:pPr>
              <w:pStyle w:val="948"/>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本项目为单一产品采购项目。</w:t>
            </w:r>
            <w:r>
              <w:rPr>
                <w:rFonts w:hint="eastAsia" w:ascii="宋体" w:hAnsi="宋体" w:eastAsia="宋体" w:cs="宋体"/>
                <w:color w:val="000000"/>
                <w:sz w:val="24"/>
                <w:szCs w:val="24"/>
                <w:highlight w:val="none"/>
                <w:lang w:val="en-US" w:eastAsia="zh-CN" w:bidi="ar-SA"/>
              </w:rPr>
            </w:r>
            <w:r/>
          </w:p>
          <w:p>
            <w:pPr>
              <w:pStyle w:val="948"/>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本项目为非单一产品采购项目，核心产品为：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vMerge w:val="restart"/>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948"/>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bidi="ar-SA"/>
              </w:rPr>
            </w:r>
            <w:r/>
          </w:p>
        </w:tc>
      </w:tr>
      <w:tr>
        <w:trPr>
          <w:trHeight w:val="20"/>
        </w:trPr>
        <w:tc>
          <w:tcPr>
            <w:tcW w:w="988" w:type="dxa"/>
            <w:vAlign w:val="center"/>
            <w:vMerge w:val="continue"/>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投标样品递交：</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不需要</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□需要，具体要求如下：</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（1）样品制作的标准和要求：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（2）是否需要随样品提交相关检测报告：</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（3）样品递交要求：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（4）未中标人样品退还：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（5）中标人样品保管、封存及退还：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（6）其他要求（如有）：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10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  工业  </w:t>
            </w:r>
            <w:r>
              <w:rPr>
                <w:rFonts w:hint="eastAsia" w:ascii="宋体" w:hAnsi="宋体" w:eastAsia="宋体" w:cs="宋体"/>
                <w:color w:val="000000"/>
                <w:sz w:val="24"/>
                <w:szCs w:val="24"/>
                <w:highlight w:val="none"/>
                <w:lang w:val="en-US" w:eastAsia="zh-CN" w:bidi="ar-SA"/>
              </w:rPr>
            </w:r>
            <w:r/>
          </w:p>
        </w:tc>
      </w:tr>
      <w:tr>
        <w:trPr>
          <w:trHeight w:val="841"/>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rFonts w:hint="eastAsia"/>
                <w:color w:val="000000"/>
                <w:sz w:val="24"/>
                <w:highlight w:val="none"/>
              </w:rPr>
              <w:t xml:space="preserve">投标报价</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投标报价的特殊规定：</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rFonts w:hint="eastAsia"/>
                <w:color w:val="000000"/>
                <w:sz w:val="24"/>
                <w:highlight w:val="none"/>
              </w:rPr>
              <w:t xml:space="preserve">投标保证金</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免收</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自提交投标文件的截止之日起算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本项目的非主体、非关键性工作是否允许分包： </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询问送达形式：</w:t>
            </w:r>
            <w:r>
              <w:rPr>
                <w:rFonts w:hint="eastAsia" w:ascii="宋体" w:hAnsi="宋体" w:eastAsia="宋体" w:cs="宋体"/>
                <w:color w:val="000000"/>
                <w:sz w:val="24"/>
                <w:szCs w:val="24"/>
                <w:highlight w:val="none"/>
                <w:u w:val="single"/>
                <w:lang w:val="en-US" w:eastAsia="zh-CN"/>
              </w:rPr>
              <w:t xml:space="preserve"> 于2026年7月20日11:00（北京时间）前以书面形式递交至江苏尚阳工程管理有限公司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接收询问和质疑的联系方式</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嵇玲</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0519-88818295（8000）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常州市新北区嵩山路1-301号（太湖明珠苑综合市场3楼）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收费对象：</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中标人</w:t>
            </w:r>
            <w:r>
              <w:rPr>
                <w:rFonts w:hint="eastAsia" w:ascii="宋体" w:hAnsi="宋体" w:eastAsia="宋体" w:cs="宋体"/>
                <w:color w:val="000000"/>
                <w:sz w:val="24"/>
                <w:szCs w:val="24"/>
                <w:highlight w:val="none"/>
                <w:lang w:val="en-US" w:eastAsia="zh-CN" w:bidi="ar-SA"/>
              </w:rPr>
            </w:r>
            <w:r/>
          </w:p>
          <w:p>
            <w:pPr>
              <w:pStyle w:val="909"/>
              <w:jc w:val="left"/>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u w:val="single"/>
              </w:rPr>
              <w:t xml:space="preserve"> 中标人须按其中标金额的0.8%计算并支付</w:t>
            </w:r>
            <w:r>
              <w:rPr>
                <w:rFonts w:hint="eastAsia" w:ascii="宋体" w:hAnsi="宋体" w:eastAsia="宋体" w:cs="宋体"/>
                <w:color w:val="000000"/>
                <w:sz w:val="24"/>
                <w:szCs w:val="24"/>
                <w:highlight w:val="none"/>
                <w:u w:val="single"/>
                <w:lang w:val="en-US" w:eastAsia="zh-CN"/>
              </w:rPr>
              <w:t xml:space="preserve">代理</w:t>
            </w:r>
            <w:r>
              <w:rPr>
                <w:rFonts w:hint="eastAsia" w:ascii="宋体" w:hAnsi="宋体" w:eastAsia="宋体" w:cs="宋体"/>
                <w:color w:val="000000"/>
                <w:sz w:val="24"/>
                <w:szCs w:val="24"/>
                <w:highlight w:val="none"/>
                <w:u w:val="single"/>
              </w:rPr>
              <w:t xml:space="preserve">服务费，不足人民币3000元的，按人民币3000元收取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eastAsia="zh-CN"/>
              </w:rPr>
            </w:r>
            <w:r/>
          </w:p>
          <w:p>
            <w:pPr>
              <w:pStyle w:val="909"/>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中标人</w:t>
            </w:r>
            <w:r>
              <w:rPr>
                <w:rFonts w:hint="eastAsia" w:ascii="宋体" w:hAnsi="宋体" w:eastAsia="宋体" w:cs="宋体"/>
                <w:color w:val="000000"/>
                <w:sz w:val="24"/>
                <w:szCs w:val="24"/>
                <w:highlight w:val="none"/>
                <w:u w:val="single"/>
              </w:rPr>
              <w:t xml:space="preserve">应在领取</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通知书时将</w:t>
            </w:r>
            <w:r>
              <w:rPr>
                <w:rFonts w:hint="eastAsia" w:ascii="宋体" w:hAnsi="宋体" w:eastAsia="宋体" w:cs="宋体"/>
                <w:color w:val="000000"/>
                <w:sz w:val="24"/>
                <w:szCs w:val="24"/>
                <w:highlight w:val="none"/>
                <w:u w:val="single"/>
                <w:lang w:val="en-US" w:eastAsia="zh-CN"/>
              </w:rPr>
              <w:t xml:space="preserve">代理</w:t>
            </w:r>
            <w:r>
              <w:rPr>
                <w:rFonts w:hint="eastAsia" w:ascii="宋体" w:hAnsi="宋体" w:eastAsia="宋体" w:cs="宋体"/>
                <w:color w:val="000000"/>
                <w:sz w:val="24"/>
                <w:szCs w:val="24"/>
                <w:highlight w:val="none"/>
                <w:u w:val="single"/>
              </w:rPr>
              <w:t xml:space="preserve">服务费付至采购代理机构的</w:t>
            </w:r>
            <w:r>
              <w:rPr>
                <w:rFonts w:hint="eastAsia" w:ascii="宋体" w:hAnsi="宋体" w:eastAsia="宋体" w:cs="宋体"/>
                <w:color w:val="000000"/>
                <w:sz w:val="24"/>
                <w:szCs w:val="24"/>
                <w:highlight w:val="none"/>
                <w:u w:val="single"/>
                <w:lang w:eastAsia="zh-CN"/>
              </w:rPr>
              <w:t xml:space="preserve">账</w:t>
            </w:r>
            <w:r>
              <w:rPr>
                <w:rFonts w:hint="eastAsia" w:ascii="宋体" w:hAnsi="宋体" w:eastAsia="宋体" w:cs="宋体"/>
                <w:color w:val="000000"/>
                <w:sz w:val="24"/>
                <w:szCs w:val="24"/>
                <w:highlight w:val="none"/>
                <w:u w:val="single"/>
              </w:rPr>
              <w:t xml:space="preserve">户并备注项目编号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收款单位：江苏尚阳工程管理有限公司</w:t>
            </w:r>
            <w:r>
              <w:rPr>
                <w:rFonts w:hint="eastAsia" w:ascii="宋体" w:hAnsi="宋体" w:eastAsia="宋体" w:cs="宋体"/>
                <w:color w:val="000000"/>
                <w:sz w:val="24"/>
                <w:szCs w:val="24"/>
                <w:highlight w:val="none"/>
                <w:u w:val="single"/>
              </w:rPr>
            </w:r>
            <w:r/>
          </w:p>
          <w:p>
            <w:pPr>
              <w:pStyle w:val="909"/>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银行账号：406010100100626575</w:t>
            </w:r>
            <w:r>
              <w:rPr>
                <w:rFonts w:hint="eastAsia" w:ascii="宋体" w:hAnsi="宋体" w:eastAsia="宋体" w:cs="宋体"/>
                <w:color w:val="000000"/>
                <w:sz w:val="24"/>
                <w:szCs w:val="24"/>
                <w:highlight w:val="none"/>
                <w:u w:val="single"/>
              </w:rPr>
            </w:r>
            <w:r/>
          </w:p>
          <w:p>
            <w:pPr>
              <w:pStyle w:val="909"/>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开户银行：兴业银行股份有限公司常州分行</w:t>
            </w:r>
            <w:r>
              <w:rPr>
                <w:rFonts w:hint="eastAsia" w:ascii="宋体" w:hAnsi="宋体" w:eastAsia="宋体" w:cs="宋体"/>
                <w:color w:val="000000"/>
                <w:sz w:val="24"/>
                <w:szCs w:val="24"/>
                <w:highlight w:val="none"/>
                <w:u w:val="single"/>
              </w:rPr>
            </w:r>
            <w:r/>
          </w:p>
          <w:p>
            <w:pPr>
              <w:pStyle w:val="909"/>
              <w:jc w:val="left"/>
              <w:rPr>
                <w:rFonts w:hint="eastAsia" w:ascii="宋体" w:hAnsi="宋体" w:eastAsia="宋体" w:cs="宋体"/>
                <w:b/>
                <w:bCs/>
                <w:color w:val="000000"/>
                <w:sz w:val="24"/>
                <w:szCs w:val="24"/>
                <w:highlight w:val="none"/>
                <w:u w:val="none"/>
              </w:rPr>
              <w:outlineLvl w:val="9"/>
            </w:pPr>
            <w:r>
              <w:rPr>
                <w:rFonts w:hint="eastAsia" w:ascii="宋体" w:hAnsi="宋体" w:eastAsia="宋体" w:cs="宋体"/>
                <w:b/>
                <w:bCs/>
                <w:color w:val="000000"/>
                <w:sz w:val="24"/>
                <w:szCs w:val="24"/>
                <w:highlight w:val="none"/>
                <w:u w:val="none"/>
              </w:rPr>
              <w:t xml:space="preserve">代理服务费支付说明及原因：</w:t>
            </w:r>
            <w:r>
              <w:rPr>
                <w:rFonts w:hint="eastAsia" w:ascii="宋体" w:hAnsi="宋体" w:eastAsia="宋体" w:cs="宋体"/>
                <w:b/>
                <w:bCs/>
                <w:color w:val="000000"/>
                <w:sz w:val="24"/>
                <w:szCs w:val="24"/>
                <w:highlight w:val="none"/>
                <w:u w:val="none"/>
              </w:rPr>
            </w:r>
            <w:r/>
          </w:p>
          <w:p>
            <w:pPr>
              <w:pStyle w:val="909"/>
              <w:jc w:val="left"/>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u w:val="none"/>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rFonts w:hint="eastAsia" w:ascii="宋体" w:hAnsi="宋体" w:eastAsia="宋体" w:cs="宋体"/>
                <w:color w:val="000000"/>
                <w:sz w:val="24"/>
                <w:szCs w:val="24"/>
                <w:highlight w:val="none"/>
                <w:u w:val="none"/>
              </w:rPr>
            </w:r>
            <w:r/>
          </w:p>
          <w:p>
            <w:pPr>
              <w:pStyle w:val="909"/>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u w:val="none"/>
              </w:rPr>
              <w:t xml:space="preserve">采购代理机构与采购人根据市场化调节原则协商，确定代理费按照中标金额的0.8%收取。</w:t>
            </w:r>
            <w:r>
              <w:rPr>
                <w:rFonts w:hint="eastAsia" w:ascii="宋体" w:hAnsi="宋体" w:eastAsia="宋体" w:cs="宋体"/>
                <w:color w:val="000000"/>
                <w:sz w:val="24"/>
                <w:szCs w:val="24"/>
                <w:highlight w:val="none"/>
                <w:lang w:val="en-US" w:eastAsia="zh-CN" w:bidi="ar-SA"/>
              </w:rPr>
            </w:r>
            <w:r/>
          </w:p>
        </w:tc>
      </w:tr>
      <w:tr>
        <w:trPr>
          <w:trHeight w:val="20"/>
        </w:trPr>
        <w:tc>
          <w:tcPr>
            <w:tcW w:w="988" w:type="dxa"/>
            <w:vAlign w:val="center"/>
            <w:textDirection w:val="lrTb"/>
            <w:noWrap w:val="false"/>
          </w:tcPr>
          <w:p>
            <w:pPr>
              <w:pStyle w:val="948"/>
              <w:jc w:val="center"/>
              <w:rPr>
                <w:rFonts w:ascii="Times New Roman" w:hAnsi="Times New Roman" w:eastAsia="宋体"/>
                <w:color w:val="000000"/>
                <w:sz w:val="24"/>
                <w:szCs w:val="24"/>
                <w:highlight w:val="none"/>
                <w:lang w:val="en-US" w:eastAsia="zh-CN"/>
              </w:rPr>
              <w:outlineLvl w:val="9"/>
            </w:pPr>
            <w:r>
              <w:rPr>
                <w:rFonts w:hint="eastAsia" w:ascii="Times New Roman" w:hAnsi="Times New Roman"/>
                <w:color w:val="000000"/>
                <w:sz w:val="24"/>
                <w:szCs w:val="24"/>
                <w:highlight w:val="none"/>
                <w:lang w:val="en-US" w:eastAsia="zh-CN"/>
              </w:rPr>
              <w:t xml:space="preserve">28</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48"/>
              <w:jc w:val="center"/>
              <w:rPr>
                <w:rFonts w:hint="eastAsia" w:ascii="Times New Roman" w:hAnsi="Times New Roman" w:eastAsia="宋体"/>
                <w:color w:val="000000"/>
                <w:sz w:val="24"/>
                <w:szCs w:val="24"/>
                <w:highlight w:val="none"/>
                <w:lang w:val="en-US" w:eastAsia="zh-CN" w:bidi="ar-SA"/>
              </w:rPr>
            </w:pPr>
            <w:r>
              <w:rPr>
                <w:rFonts w:hint="eastAsia" w:ascii="Times New Roman" w:hAnsi="Times New Roman" w:eastAsia="宋体"/>
                <w:color w:val="000000"/>
                <w:sz w:val="24"/>
                <w:szCs w:val="24"/>
                <w:highlight w:val="none"/>
                <w:lang w:val="en-US" w:eastAsia="zh-CN"/>
              </w:rPr>
              <w:t xml:space="preserve">电子系统意外情况处理条款</w:t>
            </w:r>
            <w:r>
              <w:rPr>
                <w:rFonts w:hint="eastAsia" w:ascii="Times New Roman" w:hAnsi="Times New Roman" w:eastAsia="宋体"/>
                <w:color w:val="000000"/>
                <w:sz w:val="24"/>
                <w:szCs w:val="24"/>
                <w:highlight w:val="none"/>
                <w:lang w:val="en-US" w:eastAsia="zh-CN" w:bidi="ar-SA"/>
              </w:rPr>
            </w:r>
            <w:r/>
          </w:p>
        </w:tc>
        <w:tc>
          <w:tcPr>
            <w:tcW w:w="7540" w:type="dxa"/>
            <w:vAlign w:val="center"/>
            <w:textDirection w:val="lrTb"/>
            <w:noWrap w:val="false"/>
          </w:tcPr>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为确保本项目电子化采购活动顺利进行，防范化解采购风险，特制定相关情形处置举措。所有潜在投标人及参与各方均应知悉并遵守以下规定：</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2.开标前环节故障处置：在</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报名、投标文件上传、投标文件解密及唱标环节等开标活动开始前的任何环节出现系统无法访问的情形，采购代理机构将按照以下原则处置：</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（一）若故障可在短时间内排除，采购代理机构将等待系统修复后，继续开展采购活动。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（三）若因故障导致有效投标人不足法定家数或出现其他法定废标情形，采购代理机构将发布废标（终止）公告，重新开展采购活动。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特别说明：本项目投标文件递交方式以招标文件载明为准。在电子系统发生故障时，采购代理机构仅依据上述程序处理，不接受任何现场提交的纸质、U盘等非招标文件规定的投标文件。</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（一）立即暂停评审：采购代理机构将立即宣布暂停评审活动，并采取必要措施封存所有投标文件及评审记录。</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（二）处置方案：视故障排除情况，采购代理机构将选择：</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1.若故障可在短时间内排除，采购代理机构将等待系统修复后，由原评审委员会继续完成评审；</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2.若故障无法在当日排除，或故障导致评审无法公正进行，将发布废标（终止）公告，重新开展采购活动；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u w:val="none"/>
              </w:rPr>
            </w:r>
            <w:r/>
          </w:p>
          <w:p>
            <w:pPr>
              <w:pStyle w:val="909"/>
              <w:jc w:val="left"/>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应密切关注上述网站公告，公告内容对各方具有约束力。</w:t>
            </w:r>
            <w:r>
              <w:rPr>
                <w:rFonts w:hint="eastAsia" w:ascii="宋体" w:hAnsi="宋体" w:cs="宋体"/>
                <w:color w:val="000000"/>
                <w:sz w:val="24"/>
                <w:highlight w:val="none"/>
                <w:u w:val="none"/>
              </w:rPr>
            </w:r>
            <w:r/>
          </w:p>
          <w:p>
            <w:pPr>
              <w:pStyle w:val="909"/>
              <w:jc w:val="left"/>
              <w:rPr>
                <w:rFonts w:hint="eastAsia" w:ascii="宋体" w:hAnsi="宋体" w:cs="宋体"/>
                <w:color w:val="000000"/>
                <w:sz w:val="24"/>
                <w:szCs w:val="24"/>
                <w:highlight w:val="none"/>
                <w:u w:val="single"/>
                <w:lang w:val="en-US" w:eastAsia="zh-CN" w:bidi="ar-SA"/>
              </w:rPr>
            </w:pPr>
            <w:r>
              <w:rPr>
                <w:rFonts w:hint="eastAsia" w:ascii="宋体" w:hAnsi="宋体" w:cs="宋体"/>
                <w:color w:val="000000"/>
                <w:sz w:val="24"/>
                <w:highlight w:val="none"/>
                <w:u w:val="none"/>
              </w:rPr>
              <w:t xml:space="preserve">（四）</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责任：</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有责任确保自身网络环境、设备及数字证书（CA）的正常，并在招标文件规定的期限内完成文件上传、解密等操作。因</w:t>
            </w:r>
            <w:r>
              <w:rPr>
                <w:rFonts w:hint="eastAsia" w:ascii="宋体" w:hAnsi="宋体" w:cs="宋体"/>
                <w:color w:val="000000"/>
                <w:sz w:val="24"/>
                <w:highlight w:val="none"/>
                <w:u w:val="none"/>
                <w:lang w:val="en-US" w:eastAsia="zh-CN"/>
              </w:rPr>
              <w:t xml:space="preserve">投标人</w:t>
            </w:r>
            <w:r>
              <w:rPr>
                <w:rFonts w:hint="eastAsia" w:ascii="宋体" w:hAnsi="宋体" w:cs="宋体"/>
                <w:color w:val="000000"/>
                <w:sz w:val="24"/>
                <w:highlight w:val="none"/>
                <w:u w:val="none"/>
              </w:rPr>
              <w:t xml:space="preserve">自身原因导致的操作失败，不适用本意外情况处理条款。</w:t>
            </w:r>
            <w:r>
              <w:rPr>
                <w:rFonts w:hint="eastAsia" w:ascii="宋体" w:hAnsi="宋体" w:cs="宋体"/>
                <w:color w:val="000000"/>
                <w:sz w:val="24"/>
                <w:szCs w:val="24"/>
                <w:highlight w:val="none"/>
                <w:u w:val="single"/>
                <w:lang w:val="en-US" w:eastAsia="zh-CN" w:bidi="ar-SA"/>
              </w:rPr>
            </w:r>
            <w:r/>
          </w:p>
        </w:tc>
      </w:tr>
    </w:tbl>
    <w:p>
      <w:pPr>
        <w:pStyle w:val="909"/>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r>
      <w:r/>
    </w:p>
    <w:p>
      <w:pPr>
        <w:pStyle w:val="909"/>
        <w:jc w:val="center"/>
        <w:spacing w:before="240" w:after="240"/>
        <w:rPr>
          <w:b/>
          <w:color w:val="000000"/>
          <w:sz w:val="28"/>
          <w:szCs w:val="28"/>
          <w:highlight w:val="none"/>
        </w:rPr>
        <w:outlineLvl w:val="9"/>
      </w:pPr>
      <w:r/>
      <w:bookmarkStart w:id="68" w:name="_Toc150774722"/>
      <w:r/>
      <w:bookmarkStart w:id="69" w:name="_Toc226337213"/>
      <w:r/>
      <w:bookmarkStart w:id="70" w:name="_Toc195842882"/>
      <w:r/>
      <w:bookmarkStart w:id="71" w:name="_Toc264969207"/>
      <w:r/>
      <w:bookmarkStart w:id="72" w:name="_Toc265228355"/>
      <w:r/>
      <w:bookmarkStart w:id="73" w:name="_Toc353825542"/>
      <w:r/>
      <w:bookmarkStart w:id="74" w:name="_Toc150480755"/>
      <w:r/>
      <w:bookmarkStart w:id="75" w:name="_Toc353873932"/>
      <w:r/>
      <w:bookmarkStart w:id="76" w:name="_Toc305158859"/>
      <w:r/>
      <w:bookmarkStart w:id="77" w:name="_Toc305158785"/>
      <w:r/>
      <w:bookmarkStart w:id="78" w:name="_Toc127151517"/>
      <w:r/>
      <w:bookmarkStart w:id="79" w:name="_Toc142311019"/>
      <w:r/>
      <w:bookmarkStart w:id="80" w:name="_Toc226965790"/>
      <w:r/>
      <w:bookmarkStart w:id="81" w:name="_Toc353873662"/>
      <w:r>
        <w:rPr>
          <w:b/>
          <w:color w:val="000000"/>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82" w:name="_Toc150480756"/>
      <w:r/>
      <w:bookmarkStart w:id="83" w:name="_Toc151190145"/>
      <w:r/>
      <w:bookmarkStart w:id="84" w:name="_Toc226309762"/>
      <w:r/>
      <w:bookmarkStart w:id="85" w:name="_Toc305158786"/>
      <w:r/>
      <w:bookmarkStart w:id="86" w:name="_Toc127151518"/>
      <w:r/>
      <w:bookmarkStart w:id="87" w:name="_Toc151193760"/>
      <w:r/>
      <w:bookmarkStart w:id="88" w:name="_Toc151193906"/>
      <w:r/>
      <w:bookmarkStart w:id="89" w:name="_Toc265228356"/>
      <w:r/>
      <w:bookmarkStart w:id="90" w:name="_Toc226965791"/>
      <w:r/>
      <w:bookmarkStart w:id="91" w:name="_Toc264969208"/>
      <w:r/>
      <w:bookmarkStart w:id="92" w:name="_Toc150774618"/>
      <w:r/>
      <w:bookmarkStart w:id="93" w:name="_Toc226965708"/>
      <w:r/>
      <w:bookmarkStart w:id="94" w:name="_Toc305158860"/>
      <w:r/>
      <w:bookmarkStart w:id="95" w:name="_Toc150509269"/>
      <w:r/>
      <w:bookmarkStart w:id="96" w:name="_Toc150774723"/>
      <w:r/>
      <w:bookmarkStart w:id="97" w:name="_Toc151193616"/>
      <w:r/>
      <w:bookmarkStart w:id="98" w:name="_Toc195842883"/>
      <w:r/>
      <w:bookmarkStart w:id="99" w:name="_Toc520356143"/>
      <w:r/>
      <w:bookmarkStart w:id="100" w:name="_Toc226337214"/>
      <w:r/>
      <w:bookmarkStart w:id="101" w:name="_Toc151193832"/>
      <w:r/>
      <w:bookmarkStart w:id="102" w:name="_Toc142311020"/>
      <w:r/>
      <w:bookmarkStart w:id="103" w:name="_Toc151193688"/>
      <w:r>
        <w:rPr>
          <w:rFonts w:hint="eastAsia" w:ascii="宋体" w:hAnsi="宋体" w:eastAsia="宋体" w:cs="Times New Roman"/>
          <w:b/>
          <w:bCs/>
          <w:color w:val="000000"/>
          <w:sz w:val="28"/>
          <w:szCs w:val="28"/>
          <w:highlight w:val="none"/>
          <w:lang w:val="en-US" w:eastAsia="zh-CN"/>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4" w:name="_Toc265228357"/>
      <w:r/>
      <w:bookmarkStart w:id="105" w:name="_Toc305158787"/>
      <w:r/>
      <w:bookmarkStart w:id="106" w:name="_Toc264969209"/>
      <w:r/>
      <w:bookmarkStart w:id="107" w:name="_Toc305158861"/>
      <w:r>
        <w:rPr>
          <w:rFonts w:hint="eastAsia" w:ascii="宋体" w:hAnsi="宋体" w:eastAsia="宋体" w:cs="宋体"/>
          <w:color w:val="000000"/>
          <w:sz w:val="24"/>
          <w:szCs w:val="24"/>
          <w:highlight w:val="none"/>
        </w:rPr>
        <w:t xml:space="preserve">采购人、采购代理机构、投标人</w:t>
      </w:r>
      <w:bookmarkEnd w:id="104"/>
      <w:r/>
      <w:bookmarkEnd w:id="105"/>
      <w:r/>
      <w:bookmarkEnd w:id="106"/>
      <w:r/>
      <w:bookmarkEnd w:id="107"/>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投标人（也称“</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”、“申请人”）：指向采购人提供货物、工程或者服务的法人、其他组织或者自然人。</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的身份共同参加政府采购。</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8" w:name="_Toc127151721"/>
      <w:r/>
      <w:bookmarkStart w:id="109" w:name="_Toc151193690"/>
      <w:r/>
      <w:bookmarkStart w:id="110" w:name="_Toc164608634"/>
      <w:r/>
      <w:bookmarkStart w:id="111" w:name="_Toc151193834"/>
      <w:r/>
      <w:bookmarkStart w:id="112" w:name="_Toc150774620"/>
      <w:r/>
      <w:bookmarkStart w:id="113" w:name="_Toc164608789"/>
      <w:r/>
      <w:bookmarkStart w:id="114" w:name="_Toc150480758"/>
      <w:r/>
      <w:bookmarkStart w:id="115" w:name="_Toc164351614"/>
      <w:r/>
      <w:bookmarkStart w:id="116" w:name="_Toc150774725"/>
      <w:r/>
      <w:bookmarkStart w:id="117" w:name="_Toc151190147"/>
      <w:r/>
      <w:bookmarkStart w:id="118" w:name="_Toc151193762"/>
      <w:r/>
      <w:bookmarkStart w:id="119" w:name="_Toc265228358"/>
      <w:r/>
      <w:bookmarkStart w:id="120" w:name="_Toc305158862"/>
      <w:r/>
      <w:bookmarkStart w:id="121" w:name="_Toc151193618"/>
      <w:r/>
      <w:bookmarkStart w:id="122" w:name="_Toc164229361"/>
      <w:r/>
      <w:bookmarkStart w:id="123" w:name="_Toc226309764"/>
      <w:r/>
      <w:bookmarkStart w:id="124" w:name="_Toc127151520"/>
      <w:r/>
      <w:bookmarkStart w:id="125" w:name="_Toc127161434"/>
      <w:r/>
      <w:bookmarkStart w:id="126" w:name="_Toc149720813"/>
      <w:r/>
      <w:bookmarkStart w:id="127" w:name="_Toc264969210"/>
      <w:r/>
      <w:bookmarkStart w:id="128" w:name="_Toc226965793"/>
      <w:r/>
      <w:bookmarkStart w:id="129" w:name="_Toc151193908"/>
      <w:r/>
      <w:bookmarkStart w:id="130" w:name="_Toc226965710"/>
      <w:r/>
      <w:bookmarkStart w:id="131" w:name="_Toc164229215"/>
      <w:r/>
      <w:bookmarkStart w:id="132" w:name="_Toc195842885"/>
      <w:r/>
      <w:bookmarkStart w:id="133" w:name="_Toc142311022"/>
      <w:r/>
      <w:bookmarkStart w:id="134" w:name="_Toc150509271"/>
      <w:r/>
      <w:bookmarkStart w:id="135" w:name="_Toc226337216"/>
      <w:r/>
      <w:bookmarkStart w:id="136" w:name="_Toc305158788"/>
      <w:r>
        <w:rPr>
          <w:rFonts w:hint="eastAsia" w:ascii="宋体" w:hAnsi="宋体" w:eastAsia="宋体" w:cs="宋体"/>
          <w:color w:val="000000"/>
          <w:sz w:val="24"/>
          <w:szCs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color w:val="000000"/>
          <w:sz w:val="24"/>
          <w:szCs w:val="24"/>
          <w:highlight w:val="none"/>
        </w:rPr>
        <w:t xml:space="preserve">、项目属性、科研仪器设备采购、核心产品</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现场考察、开标前答疑会</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37" w:name="_Toc142311024"/>
      <w:r/>
      <w:bookmarkStart w:id="138" w:name="_Toc195842887"/>
      <w:r/>
      <w:bookmarkStart w:id="139" w:name="_Toc226337218"/>
      <w:r/>
      <w:bookmarkStart w:id="140" w:name="_Toc226309766"/>
      <w:r/>
      <w:bookmarkStart w:id="141" w:name="_Toc151193836"/>
      <w:r/>
      <w:bookmarkStart w:id="142" w:name="_Toc150774622"/>
      <w:r/>
      <w:bookmarkStart w:id="143" w:name="_Toc151193692"/>
      <w:r/>
      <w:bookmarkStart w:id="144" w:name="_Toc226965795"/>
      <w:r/>
      <w:bookmarkStart w:id="145" w:name="_Toc150480760"/>
      <w:r/>
      <w:bookmarkStart w:id="146" w:name="_Toc151193764"/>
      <w:r/>
      <w:bookmarkStart w:id="147" w:name="_Toc226965712"/>
      <w:r/>
      <w:bookmarkStart w:id="148" w:name="_Toc305158864"/>
      <w:r/>
      <w:bookmarkStart w:id="149" w:name="_Toc150774727"/>
      <w:r/>
      <w:bookmarkStart w:id="150" w:name="_Toc264969212"/>
      <w:r/>
      <w:bookmarkStart w:id="151" w:name="_Toc520356146"/>
      <w:r/>
      <w:bookmarkStart w:id="152" w:name="_Toc151193620"/>
      <w:r/>
      <w:bookmarkStart w:id="153" w:name="_Toc151193910"/>
      <w:r/>
      <w:bookmarkStart w:id="154" w:name="_Toc265228360"/>
      <w:r/>
      <w:bookmarkStart w:id="155" w:name="_Toc305158790"/>
      <w:r/>
      <w:bookmarkStart w:id="156" w:name="_Toc150509273"/>
      <w:r/>
      <w:bookmarkStart w:id="157" w:name="_Toc127151522"/>
      <w:r/>
      <w:bookmarkStart w:id="158" w:name="_Toc151190149"/>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政府采购中实施本国产品标准及相关政策</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本项目对采购本国产品给予政策支持，具体内容见采购文件“评标标准”。</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提供的货物、工程或者服务符合下列情形的，享受中小企业扶持政策：</w:t>
      </w:r>
      <w:r>
        <w:rPr>
          <w:rFonts w:hint="eastAsia" w:ascii="宋体" w:hAnsi="宋体" w:eastAsia="宋体" w:cs="宋体"/>
          <w:color w:val="000000"/>
          <w:sz w:val="24"/>
          <w:szCs w:val="24"/>
          <w:highlight w:val="none"/>
        </w:rPr>
      </w:r>
      <w:r/>
    </w:p>
    <w:p>
      <w:pPr>
        <w:pStyle w:val="909"/>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09"/>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909"/>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在货物采购项目中，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09"/>
        <w:numPr>
          <w:ilvl w:val="3"/>
          <w:numId w:val="8"/>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w:t>
      </w:r>
      <w:r>
        <w:rPr>
          <w:rFonts w:hint="eastAsia" w:ascii="宋体" w:hAnsi="宋体" w:eastAsia="宋体" w:cs="宋体"/>
          <w:color w:val="000000"/>
          <w:sz w:val="24"/>
          <w:szCs w:val="24"/>
          <w:highlight w:val="none"/>
          <w:lang w:eastAsia="zh-CN"/>
        </w:rPr>
        <w:t xml:space="preserve">、财政部 生态环境部 工业和信息化部关于印发《绿色数据中心政府采购需求标准（试行）》的通知 （财库〔2023〕7号）</w:t>
      </w:r>
      <w:r>
        <w:rPr>
          <w:rFonts w:hint="eastAsia" w:ascii="宋体" w:hAnsi="宋体" w:eastAsia="宋体" w:cs="宋体"/>
          <w:color w:val="000000"/>
          <w:sz w:val="24"/>
          <w:szCs w:val="24"/>
          <w:highlight w:val="none"/>
        </w:rPr>
        <w:t xml:space="preserve">文件精神，采购人在采购文件中明确政府采购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提供产品及相关快递服务的具体包装要求的，在政府采购合同中载明对政府采购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相应销售业绩，参加政府采购活动时业绩分值为满分。</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绿色数据中心政策 </w:t>
      </w:r>
      <w:r>
        <w:rPr>
          <w:rFonts w:hint="eastAsia" w:ascii="宋体" w:hAnsi="宋体" w:eastAsia="宋体" w:cs="宋体"/>
          <w:color w:val="000000"/>
          <w:sz w:val="24"/>
          <w:szCs w:val="24"/>
          <w:highlight w:val="none"/>
        </w:rPr>
      </w:r>
      <w:r/>
    </w:p>
    <w:p>
      <w:pPr>
        <w:pStyle w:val="909"/>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909"/>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909"/>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投标费用</w:t>
      </w:r>
      <w:r>
        <w:rPr>
          <w:rFonts w:hint="eastAsia" w:ascii="宋体" w:hAnsi="宋体" w:eastAsia="宋体" w:cs="宋体"/>
          <w:color w:val="000000"/>
          <w:sz w:val="24"/>
          <w:szCs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59" w:name="_1.8_计量单位"/>
      <w:r/>
      <w:bookmarkEnd w:id="159"/>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160" w:name="_Toc127151724"/>
      <w:r/>
      <w:bookmarkStart w:id="161" w:name="_Toc151193693"/>
      <w:r/>
      <w:bookmarkStart w:id="162" w:name="_Toc226337219"/>
      <w:r/>
      <w:bookmarkStart w:id="163" w:name="_Toc149720816"/>
      <w:r/>
      <w:bookmarkStart w:id="164" w:name="_Toc164608792"/>
      <w:r/>
      <w:bookmarkStart w:id="165" w:name="_Toc150774728"/>
      <w:r/>
      <w:bookmarkStart w:id="166" w:name="_Toc226965713"/>
      <w:r/>
      <w:bookmarkStart w:id="167" w:name="_Toc151193837"/>
      <w:r/>
      <w:bookmarkStart w:id="168" w:name="_Toc150509274"/>
      <w:r/>
      <w:bookmarkStart w:id="169" w:name="_Toc164608637"/>
      <w:r/>
      <w:bookmarkStart w:id="170" w:name="_Toc164229218"/>
      <w:r/>
      <w:bookmarkStart w:id="171" w:name="_Toc150774623"/>
      <w:r/>
      <w:bookmarkStart w:id="172" w:name="_Toc305158865"/>
      <w:r/>
      <w:bookmarkStart w:id="173" w:name="_Toc520356147"/>
      <w:r/>
      <w:bookmarkStart w:id="174" w:name="_Toc151193911"/>
      <w:r/>
      <w:bookmarkStart w:id="175" w:name="_Toc127161437"/>
      <w:r/>
      <w:bookmarkStart w:id="176" w:name="_Toc151193765"/>
      <w:r/>
      <w:bookmarkStart w:id="177" w:name="_Toc226309767"/>
      <w:r/>
      <w:bookmarkStart w:id="178" w:name="_Toc265228361"/>
      <w:r/>
      <w:bookmarkStart w:id="179" w:name="_Toc142311025"/>
      <w:r/>
      <w:bookmarkStart w:id="180" w:name="_Toc164229364"/>
      <w:r/>
      <w:bookmarkStart w:id="181" w:name="_Toc151193621"/>
      <w:r/>
      <w:bookmarkStart w:id="182" w:name="_Toc305158791"/>
      <w:r/>
      <w:bookmarkStart w:id="183" w:name="_Toc195842888"/>
      <w:r/>
      <w:bookmarkStart w:id="184" w:name="_Toc226965796"/>
      <w:r/>
      <w:bookmarkStart w:id="185" w:name="_Toc264969213"/>
      <w:r/>
      <w:bookmarkStart w:id="186" w:name="_Toc127151523"/>
      <w:r/>
      <w:bookmarkStart w:id="187" w:name="_Toc150480761"/>
      <w:r/>
      <w:bookmarkStart w:id="188" w:name="_Toc151190150"/>
      <w:r/>
      <w:bookmarkStart w:id="189" w:name="_Toc164351617"/>
      <w:r>
        <w:rPr>
          <w:rFonts w:hint="eastAsia" w:ascii="宋体" w:hAnsi="宋体" w:eastAsia="宋体" w:cs="宋体"/>
          <w:color w:val="000000"/>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color w:val="000000"/>
          <w:sz w:val="24"/>
          <w:highlight w:val="none"/>
        </w:rPr>
        <w:t xml:space="preserve">成</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招标文件包括以下部分：</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投标邀请</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投标人须知</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highlight w:val="none"/>
        </w:rPr>
      </w:r>
      <w:r/>
    </w:p>
    <w:p>
      <w:pPr>
        <w:pStyle w:val="909"/>
        <w:numPr>
          <w:ilvl w:val="0"/>
          <w:numId w:val="9"/>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投标文件格式</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对招标文件的澄清或修改</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90" w:name="_Toc264969216"/>
      <w:r/>
      <w:bookmarkStart w:id="191" w:name="_Toc305158794"/>
      <w:r/>
      <w:bookmarkStart w:id="192" w:name="_Toc151193914"/>
      <w:r/>
      <w:bookmarkStart w:id="193" w:name="_Toc151193768"/>
      <w:r/>
      <w:bookmarkStart w:id="194" w:name="_Toc151193696"/>
      <w:r/>
      <w:bookmarkStart w:id="195" w:name="_Toc226965716"/>
      <w:r/>
      <w:bookmarkStart w:id="196" w:name="_Toc265228364"/>
      <w:r/>
      <w:bookmarkStart w:id="197" w:name="_Toc127151526"/>
      <w:r/>
      <w:bookmarkStart w:id="198" w:name="_Toc142311028"/>
      <w:r/>
      <w:bookmarkStart w:id="199" w:name="_Toc151190153"/>
      <w:r/>
      <w:bookmarkStart w:id="200" w:name="_Toc151193840"/>
      <w:r/>
      <w:bookmarkStart w:id="201" w:name="_Toc195842891"/>
      <w:r/>
      <w:bookmarkStart w:id="202" w:name="_Toc226309770"/>
      <w:r/>
      <w:bookmarkStart w:id="203" w:name="_Toc516367020"/>
      <w:r/>
      <w:bookmarkStart w:id="204" w:name="_Toc150774731"/>
      <w:r/>
      <w:bookmarkStart w:id="205" w:name="_Toc226965799"/>
      <w:r/>
      <w:bookmarkStart w:id="206" w:name="_Toc150774626"/>
      <w:r/>
      <w:bookmarkStart w:id="207" w:name="_Toc226337222"/>
      <w:r/>
      <w:bookmarkStart w:id="208" w:name="_Toc305158868"/>
      <w:r/>
      <w:bookmarkStart w:id="209" w:name="_Toc520356150"/>
      <w:r/>
      <w:bookmarkStart w:id="210" w:name="_Toc150509277"/>
      <w:r/>
      <w:bookmarkStart w:id="211" w:name="_Toc151193624"/>
      <w:r/>
      <w:bookmarkStart w:id="212" w:name="_Toc150480764"/>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投标文件</w:t>
      </w:r>
      <w:bookmarkEnd w:id="203"/>
      <w:r>
        <w:rPr>
          <w:rFonts w:hint="eastAsia" w:ascii="宋体" w:hAnsi="宋体" w:eastAsia="宋体" w:cs="Times New Roman"/>
          <w:b/>
          <w:bCs/>
          <w:color w:val="000000"/>
          <w:sz w:val="28"/>
          <w:szCs w:val="28"/>
          <w:highlight w:val="none"/>
          <w:lang w:val="en-US" w:eastAsia="zh-CN"/>
        </w:rPr>
        <w:t xml:space="preserve">的编制</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13" w:name="_Toc151193625"/>
      <w:r/>
      <w:bookmarkStart w:id="214" w:name="_Toc150509278"/>
      <w:r/>
      <w:bookmarkStart w:id="215" w:name="_Toc127151728"/>
      <w:r/>
      <w:bookmarkStart w:id="216" w:name="_Toc195842892"/>
      <w:r/>
      <w:bookmarkStart w:id="217" w:name="_Toc127161441"/>
      <w:r/>
      <w:bookmarkStart w:id="218" w:name="_Toc150774627"/>
      <w:r/>
      <w:bookmarkStart w:id="219" w:name="_Toc164608641"/>
      <w:r/>
      <w:bookmarkStart w:id="220" w:name="_Toc226309771"/>
      <w:r/>
      <w:bookmarkStart w:id="221" w:name="_Toc305158795"/>
      <w:r/>
      <w:bookmarkStart w:id="222" w:name="_Toc164229368"/>
      <w:r/>
      <w:bookmarkStart w:id="223" w:name="_Toc516367021"/>
      <w:r/>
      <w:bookmarkStart w:id="224" w:name="_Toc127151527"/>
      <w:r/>
      <w:bookmarkStart w:id="225" w:name="_Toc151193915"/>
      <w:r/>
      <w:bookmarkStart w:id="226" w:name="_Toc164229222"/>
      <w:r/>
      <w:bookmarkStart w:id="227" w:name="_Toc142311029"/>
      <w:r/>
      <w:bookmarkStart w:id="228" w:name="_Toc150480765"/>
      <w:r/>
      <w:bookmarkStart w:id="229" w:name="_Toc151190154"/>
      <w:r/>
      <w:bookmarkStart w:id="230" w:name="_Toc151193841"/>
      <w:r/>
      <w:bookmarkStart w:id="231" w:name="_Toc164351621"/>
      <w:r/>
      <w:bookmarkStart w:id="232" w:name="_Toc226965717"/>
      <w:r/>
      <w:bookmarkStart w:id="233" w:name="_Toc226965800"/>
      <w:r/>
      <w:bookmarkStart w:id="234" w:name="_Toc264969217"/>
      <w:r/>
      <w:bookmarkStart w:id="235" w:name="_Toc226337223"/>
      <w:r/>
      <w:bookmarkStart w:id="236" w:name="_Toc265228365"/>
      <w:r/>
      <w:bookmarkStart w:id="237" w:name="_Toc150774732"/>
      <w:r/>
      <w:bookmarkStart w:id="238" w:name="_Toc305158869"/>
      <w:r/>
      <w:bookmarkStart w:id="239" w:name="_Toc149720820"/>
      <w:r/>
      <w:bookmarkStart w:id="240" w:name="_Toc520356151"/>
      <w:r/>
      <w:bookmarkStart w:id="241" w:name="_Toc151193697"/>
      <w:r/>
      <w:bookmarkStart w:id="242" w:name="_Toc151193769"/>
      <w:r/>
      <w:bookmarkStart w:id="243" w:name="_Toc164608796"/>
      <w:r>
        <w:rPr>
          <w:rFonts w:hint="eastAsia" w:ascii="宋体" w:hAnsi="宋体" w:eastAsia="宋体" w:cs="宋体"/>
          <w:color w:val="000000"/>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s="宋体"/>
          <w:color w:val="000000"/>
          <w:sz w:val="24"/>
          <w:highlight w:val="none"/>
        </w:rPr>
        <w:t xml:space="preserve">及投标语言</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highlight w:val="none"/>
        </w:rPr>
        <w:t xml:space="preserve">无效投标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44" w:name="_Toc226309772"/>
      <w:r/>
      <w:bookmarkStart w:id="245" w:name="_Toc164608642"/>
      <w:r/>
      <w:bookmarkStart w:id="246" w:name="_Toc151193916"/>
      <w:r/>
      <w:bookmarkStart w:id="247" w:name="_Toc226337224"/>
      <w:r/>
      <w:bookmarkStart w:id="248" w:name="_Toc265228366"/>
      <w:r/>
      <w:bookmarkStart w:id="249" w:name="_Toc305158796"/>
      <w:r/>
      <w:bookmarkStart w:id="250" w:name="_Toc520356152"/>
      <w:r/>
      <w:bookmarkStart w:id="251" w:name="_Ref467306676"/>
      <w:r/>
      <w:bookmarkStart w:id="252" w:name="_Ref467306195"/>
      <w:r/>
      <w:bookmarkStart w:id="253" w:name="_Toc516367022"/>
      <w:r/>
      <w:bookmarkStart w:id="254" w:name="_Toc164229369"/>
      <w:r/>
      <w:bookmarkStart w:id="255" w:name="_Toc164229223"/>
      <w:r/>
      <w:bookmarkStart w:id="256" w:name="_Toc150774628"/>
      <w:r/>
      <w:bookmarkStart w:id="257" w:name="_Toc142311030"/>
      <w:r/>
      <w:bookmarkStart w:id="258" w:name="_Toc150509279"/>
      <w:r/>
      <w:bookmarkStart w:id="259" w:name="_Toc150480766"/>
      <w:r/>
      <w:bookmarkStart w:id="260" w:name="_Toc127161442"/>
      <w:r/>
      <w:bookmarkStart w:id="261" w:name="_Toc127151729"/>
      <w:r/>
      <w:bookmarkStart w:id="262" w:name="_Toc151193842"/>
      <w:r/>
      <w:bookmarkStart w:id="263" w:name="_Toc164351622"/>
      <w:r/>
      <w:bookmarkStart w:id="264" w:name="_Toc149720821"/>
      <w:r/>
      <w:bookmarkStart w:id="265" w:name="_Toc226965801"/>
      <w:r/>
      <w:bookmarkStart w:id="266" w:name="_Toc151193626"/>
      <w:r/>
      <w:bookmarkStart w:id="267" w:name="_Toc151193770"/>
      <w:r/>
      <w:bookmarkStart w:id="268" w:name="_Toc226965718"/>
      <w:r/>
      <w:bookmarkStart w:id="269" w:name="_Toc305158870"/>
      <w:r/>
      <w:bookmarkStart w:id="270" w:name="_Toc264969218"/>
      <w:r/>
      <w:bookmarkStart w:id="271" w:name="_Toc164608797"/>
      <w:r/>
      <w:bookmarkStart w:id="272" w:name="_Toc151193698"/>
      <w:r/>
      <w:bookmarkStart w:id="273" w:name="_Toc151190155"/>
      <w:r/>
      <w:bookmarkStart w:id="274" w:name="_Toc150774733"/>
      <w:r/>
      <w:bookmarkStart w:id="275" w:name="_Toc195842893"/>
      <w:r/>
      <w:bookmarkStart w:id="276" w:name="_Toc127151528"/>
      <w:r>
        <w:rPr>
          <w:rFonts w:hint="eastAsia" w:ascii="宋体" w:hAnsi="宋体" w:eastAsia="宋体" w:cs="宋体"/>
          <w:color w:val="000000"/>
          <w:sz w:val="24"/>
          <w:highlight w:val="none"/>
        </w:rPr>
        <w:t xml:space="preserve">投标文件</w:t>
      </w:r>
      <w:bookmarkEnd w:id="251"/>
      <w:r/>
      <w:bookmarkEnd w:id="252"/>
      <w:r/>
      <w:bookmarkEnd w:id="253"/>
      <w:r>
        <w:rPr>
          <w:rFonts w:hint="eastAsia" w:ascii="宋体" w:hAnsi="宋体" w:eastAsia="宋体" w:cs="宋体"/>
          <w:color w:val="000000"/>
          <w:sz w:val="24"/>
          <w:highlight w:val="none"/>
        </w:rPr>
        <w:t xml:space="preserve">构成</w:t>
      </w:r>
      <w:bookmarkEnd w:id="244"/>
      <w:r/>
      <w:bookmarkEnd w:id="245"/>
      <w:r/>
      <w:bookmarkEnd w:id="246"/>
      <w:r/>
      <w:bookmarkEnd w:id="247"/>
      <w:r/>
      <w:bookmarkEnd w:id="248"/>
      <w:r/>
      <w:bookmarkEnd w:id="249"/>
      <w:r/>
      <w:bookmarkEnd w:id="250"/>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bookmarkStart w:id="277" w:name="_Ref467052588"/>
      <w:r>
        <w:rPr>
          <w:rFonts w:hint="eastAsia" w:ascii="宋体" w:hAnsi="宋体" w:eastAsia="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对于招标文件中标记了“实质性格式”文件的，</w:t>
      </w:r>
      <w:r>
        <w:rPr>
          <w:rFonts w:hint="eastAsia" w:ascii="宋体" w:hAnsi="宋体" w:eastAsia="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第四章《评标程序、评标方法和评标标准》中涉及的证明文件。</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投标人认为应附的其他材料。</w:t>
      </w:r>
      <w:bookmarkEnd w:id="277"/>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78" w:name="_Toc164351624"/>
      <w:r/>
      <w:bookmarkStart w:id="279" w:name="_Toc151190157"/>
      <w:r/>
      <w:bookmarkStart w:id="280" w:name="_Toc164229371"/>
      <w:r/>
      <w:bookmarkStart w:id="281" w:name="_Toc142311032"/>
      <w:r/>
      <w:bookmarkStart w:id="282" w:name="_Toc150774630"/>
      <w:r/>
      <w:bookmarkStart w:id="283" w:name="_Toc151193628"/>
      <w:r/>
      <w:bookmarkStart w:id="284" w:name="_Toc164229225"/>
      <w:r/>
      <w:bookmarkStart w:id="285" w:name="_Toc149720823"/>
      <w:r/>
      <w:bookmarkStart w:id="286" w:name="_Toc520356155"/>
      <w:r/>
      <w:bookmarkStart w:id="287" w:name="_Toc151193772"/>
      <w:r/>
      <w:bookmarkStart w:id="288" w:name="_Toc127161444"/>
      <w:r/>
      <w:bookmarkStart w:id="289" w:name="_Toc151193700"/>
      <w:r/>
      <w:bookmarkStart w:id="290" w:name="_Toc195842895"/>
      <w:r/>
      <w:bookmarkStart w:id="291" w:name="_Toc164608644"/>
      <w:r/>
      <w:bookmarkStart w:id="292" w:name="_Toc127151731"/>
      <w:r/>
      <w:bookmarkStart w:id="293" w:name="_Toc151193918"/>
      <w:r/>
      <w:bookmarkStart w:id="294" w:name="_Toc164608799"/>
      <w:r/>
      <w:bookmarkStart w:id="295" w:name="_Toc150480768"/>
      <w:r/>
      <w:bookmarkStart w:id="296" w:name="_Toc151193844"/>
      <w:r/>
      <w:bookmarkStart w:id="297" w:name="_Toc127151530"/>
      <w:r/>
      <w:bookmarkStart w:id="298" w:name="_Toc150774735"/>
      <w:r/>
      <w:bookmarkStart w:id="299" w:name="_Toc150509281"/>
      <w:r>
        <w:rPr>
          <w:rFonts w:hint="eastAsia" w:ascii="宋体" w:hAnsi="宋体" w:eastAsia="宋体" w:cs="宋体"/>
          <w:color w:val="000000"/>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所有投标均以人民币报价。</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投标人的报价应包括为完成本项目所发生的一切费用和税费，</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将不再支付报价以外的任何费用。投标人的报价应包括但不限于下列内容，《投标人须知资料表》中有特殊规定的，从其规定。</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投标货物及标准附件、备品备件、专用工具等的出厂价</w:t>
      </w:r>
      <w:r>
        <w:rPr>
          <w:rFonts w:hint="eastAsia" w:ascii="宋体" w:hAnsi="宋体" w:eastAsia="宋体" w:cs="宋体"/>
          <w:color w:val="000000"/>
          <w:sz w:val="24"/>
          <w:highlight w:val="none"/>
          <w:lang w:eastAsia="zh-CN"/>
        </w:rPr>
        <w:t xml:space="preserve">（包括已在中国国内的进口货物完税后的仓库交货价、展室交货价或货架交货价）</w:t>
      </w:r>
      <w:r>
        <w:rPr>
          <w:rFonts w:hint="eastAsia" w:ascii="宋体" w:hAnsi="宋体" w:eastAsia="宋体" w:cs="宋体"/>
          <w:color w:val="000000"/>
          <w:sz w:val="24"/>
          <w:highlight w:val="none"/>
        </w:rPr>
        <w:t xml:space="preserve">和运至最终目的地的运输费和保险费，检验、</w:t>
      </w:r>
      <w:r>
        <w:rPr>
          <w:rFonts w:hint="eastAsia" w:ascii="宋体" w:hAnsi="宋体" w:eastAsia="宋体" w:cs="宋体"/>
          <w:color w:val="000000"/>
          <w:sz w:val="24"/>
          <w:highlight w:val="none"/>
          <w:lang w:val="en-US" w:eastAsia="zh-CN"/>
        </w:rPr>
        <w:t xml:space="preserve">安装、调试、测试、</w:t>
      </w:r>
      <w:r>
        <w:rPr>
          <w:rFonts w:hint="eastAsia" w:ascii="宋体" w:hAnsi="宋体" w:eastAsia="宋体" w:cs="宋体"/>
          <w:color w:val="000000"/>
          <w:sz w:val="24"/>
          <w:highlight w:val="none"/>
        </w:rPr>
        <w:t xml:space="preserve">技术服务、培训、质量保证、售后服务、税费等按照招标文件要求完成本项目的全部相关费用；</w:t>
      </w:r>
      <w:r>
        <w:rPr>
          <w:rFonts w:hint="eastAsia" w:ascii="宋体" w:hAnsi="宋体" w:eastAsia="宋体" w:cs="宋体"/>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按照招标文件要求完成本项目的全部相关费用。 </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索要或者接受其给予的赠品、回扣或者与采购无关的其他商品、服务。</w:t>
      </w:r>
      <w:r>
        <w:rPr>
          <w:rFonts w:hint="eastAsia" w:ascii="宋体" w:hAnsi="宋体" w:eastAsia="宋体" w:cs="宋体"/>
          <w:color w:val="000000"/>
          <w:sz w:val="24"/>
          <w:highlight w:val="none"/>
        </w:rPr>
      </w:r>
      <w:r/>
    </w:p>
    <w:p>
      <w:pPr>
        <w:pStyle w:val="909"/>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投标人不能提供任何有选择性或可调整的报价，否则其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00" w:name="_Toc151193773"/>
      <w:r/>
      <w:bookmarkStart w:id="301" w:name="_Toc142311033"/>
      <w:r/>
      <w:bookmarkStart w:id="302" w:name="_Toc265228369"/>
      <w:r/>
      <w:bookmarkStart w:id="303" w:name="_Toc226337227"/>
      <w:r/>
      <w:bookmarkStart w:id="304" w:name="_Toc151193845"/>
      <w:r/>
      <w:bookmarkStart w:id="305" w:name="_Toc127151531"/>
      <w:r/>
      <w:bookmarkStart w:id="306" w:name="_Toc164229372"/>
      <w:r/>
      <w:bookmarkStart w:id="307" w:name="_Toc151190158"/>
      <w:r/>
      <w:bookmarkStart w:id="308" w:name="_Toc195842896"/>
      <w:r/>
      <w:bookmarkStart w:id="309" w:name="_Toc226965721"/>
      <w:r/>
      <w:bookmarkStart w:id="310" w:name="_Toc264969221"/>
      <w:r/>
      <w:bookmarkStart w:id="311" w:name="_Toc151193629"/>
      <w:r/>
      <w:bookmarkStart w:id="312" w:name="_Ref467306513"/>
      <w:r/>
      <w:bookmarkStart w:id="313" w:name="_Toc151193701"/>
      <w:r/>
      <w:bookmarkStart w:id="314" w:name="_Toc164229226"/>
      <w:r/>
      <w:bookmarkStart w:id="315" w:name="_Toc150509282"/>
      <w:r/>
      <w:bookmarkStart w:id="316" w:name="_Toc127161445"/>
      <w:r/>
      <w:bookmarkStart w:id="317" w:name="_Toc164351625"/>
      <w:r/>
      <w:bookmarkStart w:id="318" w:name="_Toc226965804"/>
      <w:r/>
      <w:bookmarkStart w:id="319" w:name="_Toc150774631"/>
      <w:r/>
      <w:bookmarkStart w:id="320" w:name="_Toc150480769"/>
      <w:r/>
      <w:bookmarkStart w:id="321" w:name="_Toc305158799"/>
      <w:r/>
      <w:bookmarkStart w:id="322" w:name="_Toc520356156"/>
      <w:r/>
      <w:bookmarkStart w:id="323" w:name="_Toc150774736"/>
      <w:r/>
      <w:bookmarkStart w:id="324" w:name="_Toc164608800"/>
      <w:r/>
      <w:bookmarkStart w:id="325" w:name="_Toc149720824"/>
      <w:r/>
      <w:bookmarkStart w:id="326" w:name="_Toc305158873"/>
      <w:r/>
      <w:bookmarkStart w:id="327" w:name="_Toc226309775"/>
      <w:r/>
      <w:bookmarkStart w:id="328" w:name="_Toc127151732"/>
      <w:r/>
      <w:bookmarkStart w:id="329" w:name="_Toc151193919"/>
      <w:r/>
      <w:bookmarkStart w:id="330" w:name="_Toc164608645"/>
      <w:r>
        <w:rPr>
          <w:rFonts w:hint="eastAsia" w:ascii="宋体" w:hAnsi="宋体" w:eastAsia="宋体" w:cs="宋体"/>
          <w:color w:val="000000"/>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eastAsia="宋体" w:cs="宋体"/>
          <w:color w:val="000000"/>
          <w:sz w:val="24"/>
          <w:highlight w:val="none"/>
        </w:rPr>
      </w:r>
      <w:r/>
    </w:p>
    <w:p>
      <w:pPr>
        <w:pStyle w:val="909"/>
        <w:ind w:left="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根据江苏省和常州市的相关文件规定，免收投标保证金。</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31" w:name="_Toc226309776"/>
      <w:r/>
      <w:bookmarkStart w:id="332" w:name="_Toc151193630"/>
      <w:r/>
      <w:bookmarkStart w:id="333" w:name="_Toc150509283"/>
      <w:r/>
      <w:bookmarkStart w:id="334" w:name="_Toc150774737"/>
      <w:r/>
      <w:bookmarkStart w:id="335" w:name="_Toc151193774"/>
      <w:r/>
      <w:bookmarkStart w:id="336" w:name="_Toc151193920"/>
      <w:r/>
      <w:bookmarkStart w:id="337" w:name="_Toc164351626"/>
      <w:r/>
      <w:bookmarkStart w:id="338" w:name="_Toc305158800"/>
      <w:r/>
      <w:bookmarkStart w:id="339" w:name="_Toc150774632"/>
      <w:r/>
      <w:bookmarkStart w:id="340" w:name="_Toc164229373"/>
      <w:r/>
      <w:bookmarkStart w:id="341" w:name="_Toc151193702"/>
      <w:r/>
      <w:bookmarkStart w:id="342" w:name="_Toc164608646"/>
      <w:r/>
      <w:bookmarkStart w:id="343" w:name="_Toc150480770"/>
      <w:r/>
      <w:bookmarkStart w:id="344" w:name="_Toc164608801"/>
      <w:r/>
      <w:bookmarkStart w:id="345" w:name="_Toc127151733"/>
      <w:r/>
      <w:bookmarkStart w:id="346" w:name="_Toc305158874"/>
      <w:r/>
      <w:bookmarkStart w:id="347" w:name="_Toc520356157"/>
      <w:r/>
      <w:bookmarkStart w:id="348" w:name="_Toc264969222"/>
      <w:r/>
      <w:bookmarkStart w:id="349" w:name="_Toc127161446"/>
      <w:r/>
      <w:bookmarkStart w:id="350" w:name="_Toc265228370"/>
      <w:r/>
      <w:bookmarkStart w:id="351" w:name="_Toc226965805"/>
      <w:r/>
      <w:bookmarkStart w:id="352" w:name="_Toc195842897"/>
      <w:r/>
      <w:bookmarkStart w:id="353" w:name="_Toc226337228"/>
      <w:r/>
      <w:bookmarkStart w:id="354" w:name="_Toc149720825"/>
      <w:r/>
      <w:bookmarkStart w:id="355" w:name="_Toc127151532"/>
      <w:r/>
      <w:bookmarkStart w:id="356" w:name="_Toc226965722"/>
      <w:r/>
      <w:bookmarkStart w:id="357" w:name="_Toc164229227"/>
      <w:r/>
      <w:bookmarkStart w:id="358" w:name="_Toc142311034"/>
      <w:r/>
      <w:bookmarkStart w:id="359" w:name="_Toc151193846"/>
      <w:r/>
      <w:bookmarkStart w:id="360" w:name="_Toc151190159"/>
      <w:r>
        <w:rPr>
          <w:rFonts w:hint="eastAsia" w:ascii="宋体" w:hAnsi="宋体" w:eastAsia="宋体" w:cs="宋体"/>
          <w:color w:val="000000"/>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投标文件的签署、加盖公章</w:t>
      </w:r>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361" w:name="_Toc151190161"/>
      <w:r/>
      <w:bookmarkStart w:id="362" w:name="_Toc151193848"/>
      <w:r/>
      <w:bookmarkStart w:id="363" w:name="_Toc264969224"/>
      <w:r/>
      <w:bookmarkStart w:id="364" w:name="_Toc150774739"/>
      <w:r/>
      <w:bookmarkStart w:id="365" w:name="_Toc226965807"/>
      <w:r/>
      <w:bookmarkStart w:id="366" w:name="_Toc226965724"/>
      <w:r/>
      <w:bookmarkStart w:id="367" w:name="_Toc150509285"/>
      <w:r/>
      <w:bookmarkStart w:id="368" w:name="_Toc265228372"/>
      <w:r/>
      <w:bookmarkStart w:id="369" w:name="_Toc151193776"/>
      <w:r/>
      <w:bookmarkStart w:id="370" w:name="_Toc150480772"/>
      <w:r/>
      <w:bookmarkStart w:id="371" w:name="_Toc305158802"/>
      <w:r/>
      <w:bookmarkStart w:id="372" w:name="_Toc151193922"/>
      <w:r/>
      <w:bookmarkStart w:id="373" w:name="_Toc151193704"/>
      <w:r/>
      <w:bookmarkStart w:id="374" w:name="_Toc151193632"/>
      <w:r/>
      <w:bookmarkStart w:id="375" w:name="_Toc305158876"/>
      <w:r/>
      <w:bookmarkStart w:id="376" w:name="_Toc195842899"/>
      <w:r/>
      <w:bookmarkStart w:id="377" w:name="_Toc226309778"/>
      <w:r/>
      <w:bookmarkStart w:id="378" w:name="_Toc150774634"/>
      <w:r/>
      <w:bookmarkStart w:id="379" w:name="_Toc520356159"/>
      <w:r/>
      <w:bookmarkStart w:id="380" w:name="_Toc142311036"/>
      <w:r/>
      <w:bookmarkStart w:id="381" w:name="_Toc127151534"/>
      <w:r/>
      <w:bookmarkStart w:id="382" w:name="_Toc226337230"/>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83" w:name="_Toc149720828"/>
      <w:r/>
      <w:bookmarkStart w:id="384" w:name="_Toc164608649"/>
      <w:r/>
      <w:bookmarkStart w:id="385" w:name="_Toc195842900"/>
      <w:r/>
      <w:bookmarkStart w:id="386" w:name="_Toc151193705"/>
      <w:r/>
      <w:bookmarkStart w:id="387" w:name="_Toc127151535"/>
      <w:r/>
      <w:bookmarkStart w:id="388" w:name="_Toc150480773"/>
      <w:r/>
      <w:bookmarkStart w:id="389" w:name="_Toc142311037"/>
      <w:r/>
      <w:bookmarkStart w:id="390" w:name="_Toc127161449"/>
      <w:r/>
      <w:bookmarkStart w:id="391" w:name="_Toc127151736"/>
      <w:r/>
      <w:bookmarkStart w:id="392" w:name="_Toc150774740"/>
      <w:r/>
      <w:bookmarkStart w:id="393" w:name="_Toc151193849"/>
      <w:r/>
      <w:bookmarkStart w:id="394" w:name="_Toc226965725"/>
      <w:r/>
      <w:bookmarkStart w:id="395" w:name="_Toc226965808"/>
      <w:r/>
      <w:bookmarkStart w:id="396" w:name="_Toc164351629"/>
      <w:r/>
      <w:bookmarkStart w:id="397" w:name="_Toc164608804"/>
      <w:r/>
      <w:bookmarkStart w:id="398" w:name="_Toc305158803"/>
      <w:r/>
      <w:bookmarkStart w:id="399" w:name="_Toc265228373"/>
      <w:r/>
      <w:bookmarkStart w:id="400" w:name="_Toc150509286"/>
      <w:r/>
      <w:bookmarkStart w:id="401" w:name="_Toc226309779"/>
      <w:r/>
      <w:bookmarkStart w:id="402" w:name="_Toc151190162"/>
      <w:r/>
      <w:bookmarkStart w:id="403" w:name="_Toc264969225"/>
      <w:r/>
      <w:bookmarkStart w:id="404" w:name="_Toc164229230"/>
      <w:r/>
      <w:bookmarkStart w:id="405" w:name="_Toc226337231"/>
      <w:r/>
      <w:bookmarkStart w:id="406" w:name="_Toc151193923"/>
      <w:r/>
      <w:bookmarkStart w:id="407" w:name="_Toc305158877"/>
      <w:r/>
      <w:bookmarkStart w:id="408" w:name="_Toc150774635"/>
      <w:r/>
      <w:bookmarkStart w:id="409" w:name="_Toc164229376"/>
      <w:r/>
      <w:bookmarkStart w:id="410" w:name="_Toc520356160"/>
      <w:r/>
      <w:bookmarkStart w:id="411" w:name="_Toc151193633"/>
      <w:r/>
      <w:bookmarkStart w:id="412" w:name="_Toc151193777"/>
      <w:r>
        <w:rPr>
          <w:rFonts w:hint="eastAsia" w:ascii="宋体" w:hAnsi="宋体" w:eastAsia="宋体" w:cs="宋体"/>
          <w:color w:val="000000"/>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color w:val="000000"/>
          <w:sz w:val="24"/>
          <w:highlight w:val="none"/>
        </w:rPr>
        <w:t xml:space="preserve">提交</w:t>
      </w:r>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413" w:name="_Toc164229231"/>
      <w:r/>
      <w:bookmarkStart w:id="414" w:name="_Toc150774741"/>
      <w:r/>
      <w:bookmarkStart w:id="415" w:name="_Toc305158878"/>
      <w:r/>
      <w:bookmarkStart w:id="416" w:name="_Toc226337232"/>
      <w:r/>
      <w:bookmarkStart w:id="417" w:name="_Toc149720829"/>
      <w:r/>
      <w:bookmarkStart w:id="418" w:name="_Toc305158804"/>
      <w:r/>
      <w:bookmarkStart w:id="419" w:name="_Toc265228374"/>
      <w:r/>
      <w:bookmarkStart w:id="420" w:name="_Toc520356161"/>
      <w:r/>
      <w:bookmarkStart w:id="421" w:name="_Toc151190163"/>
      <w:r/>
      <w:bookmarkStart w:id="422" w:name="_Toc150480774"/>
      <w:r/>
      <w:bookmarkStart w:id="423" w:name="_Toc127161450"/>
      <w:r/>
      <w:bookmarkStart w:id="424" w:name="_Toc226309780"/>
      <w:r/>
      <w:bookmarkStart w:id="425" w:name="_Toc151193850"/>
      <w:r/>
      <w:bookmarkStart w:id="426" w:name="_Toc195842901"/>
      <w:r/>
      <w:bookmarkStart w:id="427" w:name="_Toc226965726"/>
      <w:r/>
      <w:bookmarkStart w:id="428" w:name="_Toc164608650"/>
      <w:r/>
      <w:bookmarkStart w:id="429" w:name="_Toc164229377"/>
      <w:r/>
      <w:bookmarkStart w:id="430" w:name="_Toc164351630"/>
      <w:r/>
      <w:bookmarkStart w:id="431" w:name="_Toc226965809"/>
      <w:r/>
      <w:bookmarkStart w:id="432" w:name="_Toc150509287"/>
      <w:r/>
      <w:bookmarkStart w:id="433" w:name="_Toc164608805"/>
      <w:r/>
      <w:bookmarkStart w:id="434" w:name="_Toc127151737"/>
      <w:r/>
      <w:bookmarkStart w:id="435" w:name="_Toc151193634"/>
      <w:r/>
      <w:bookmarkStart w:id="436" w:name="_Toc142311038"/>
      <w:r/>
      <w:bookmarkStart w:id="437" w:name="_Toc151193778"/>
      <w:r/>
      <w:bookmarkStart w:id="438" w:name="_Toc151193924"/>
      <w:r/>
      <w:bookmarkStart w:id="439" w:name="_Toc264969226"/>
      <w:r/>
      <w:bookmarkStart w:id="440" w:name="_Toc127151536"/>
      <w:r/>
      <w:bookmarkStart w:id="441" w:name="_Toc151193706"/>
      <w:r/>
      <w:bookmarkStart w:id="442" w:name="_Toc150774636"/>
      <w:r>
        <w:rPr>
          <w:color w:val="000000"/>
          <w:sz w:val="24"/>
          <w:highlight w:val="none"/>
        </w:rPr>
        <w:t xml:space="preserve">本项目使用</w:t>
      </w:r>
      <w:r>
        <w:rPr>
          <w:rFonts w:hint="eastAsia"/>
          <w:color w:val="000000"/>
          <w:sz w:val="24"/>
          <w:highlight w:val="none"/>
          <w:lang w:eastAsia="zh-CN" w:bidi="ar"/>
        </w:rPr>
        <w:t xml:space="preserve">“苏采云”政府采购一体化平台</w:t>
      </w:r>
      <w:r>
        <w:rPr>
          <w:color w:val="000000"/>
          <w:sz w:val="24"/>
          <w:highlight w:val="none"/>
        </w:rPr>
        <w:t xml:space="preserve">。投标人根据招标文件及</w:t>
      </w:r>
      <w:r>
        <w:rPr>
          <w:rFonts w:hint="eastAsia"/>
          <w:color w:val="000000"/>
          <w:sz w:val="24"/>
          <w:highlight w:val="none"/>
          <w:lang w:eastAsia="zh-CN" w:bidi="ar"/>
        </w:rPr>
        <w:t xml:space="preserve">“苏采云”政府采购一体化平台</w:t>
      </w:r>
      <w:r>
        <w:rPr>
          <w:rFonts w:hint="eastAsia"/>
          <w:color w:val="000000"/>
          <w:sz w:val="24"/>
          <w:highlight w:val="none"/>
          <w:lang w:val="en-US" w:eastAsia="zh-CN"/>
        </w:rPr>
        <w:t xml:space="preserve">供应商</w:t>
      </w:r>
      <w:r>
        <w:rPr>
          <w:color w:val="000000"/>
          <w:sz w:val="24"/>
          <w:highlight w:val="none"/>
        </w:rPr>
        <w:t xml:space="preserve">操作手册要求编制、生成并提交电子投标文件。</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采购人及采购代理机构拒绝接受通过</w:t>
      </w:r>
      <w:r>
        <w:rPr>
          <w:rFonts w:hint="eastAsia"/>
          <w:color w:val="000000"/>
          <w:sz w:val="24"/>
          <w:highlight w:val="none"/>
          <w:lang w:eastAsia="zh-CN"/>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443" w:name="_Toc164608806"/>
      <w:r/>
      <w:bookmarkStart w:id="444" w:name="_Toc164351631"/>
      <w:r/>
      <w:bookmarkStart w:id="445" w:name="_Toc520356162"/>
      <w:r/>
      <w:bookmarkStart w:id="446" w:name="_Toc151193707"/>
      <w:r/>
      <w:bookmarkStart w:id="447" w:name="_Toc164229232"/>
      <w:r/>
      <w:bookmarkStart w:id="448" w:name="_Toc151193925"/>
      <w:r/>
      <w:bookmarkStart w:id="449" w:name="_Toc226965810"/>
      <w:r/>
      <w:bookmarkStart w:id="450" w:name="_Toc150480775"/>
      <w:r/>
      <w:bookmarkStart w:id="451" w:name="_Toc151193635"/>
      <w:r/>
      <w:bookmarkStart w:id="452" w:name="_Toc142311039"/>
      <w:r/>
      <w:bookmarkStart w:id="453" w:name="_Toc164229378"/>
      <w:r/>
      <w:bookmarkStart w:id="454" w:name="_Toc150774742"/>
      <w:r/>
      <w:bookmarkStart w:id="455" w:name="_Toc305158879"/>
      <w:r/>
      <w:bookmarkStart w:id="456" w:name="_Toc264969227"/>
      <w:r/>
      <w:bookmarkStart w:id="457" w:name="_Toc150509288"/>
      <w:r/>
      <w:bookmarkStart w:id="458" w:name="_Toc127151738"/>
      <w:r/>
      <w:bookmarkStart w:id="459" w:name="_Toc226337233"/>
      <w:r/>
      <w:bookmarkStart w:id="460" w:name="_Toc164608651"/>
      <w:r/>
      <w:bookmarkStart w:id="461" w:name="_Toc127151537"/>
      <w:r/>
      <w:bookmarkStart w:id="462" w:name="_Toc150774637"/>
      <w:r/>
      <w:bookmarkStart w:id="463" w:name="_Toc151193779"/>
      <w:r/>
      <w:bookmarkStart w:id="464" w:name="_Toc195842902"/>
      <w:r/>
      <w:bookmarkStart w:id="465" w:name="_Toc151190164"/>
      <w:r/>
      <w:bookmarkStart w:id="466" w:name="_Toc151193851"/>
      <w:r/>
      <w:bookmarkStart w:id="467" w:name="_Toc265228375"/>
      <w:r/>
      <w:bookmarkStart w:id="468" w:name="_Toc226965727"/>
      <w:r/>
      <w:bookmarkStart w:id="469" w:name="_Toc305158805"/>
      <w:r/>
      <w:bookmarkStart w:id="470" w:name="_Toc127161451"/>
      <w:r/>
      <w:bookmarkStart w:id="471" w:name="_Toc226309781"/>
      <w:r/>
      <w:bookmarkStart w:id="472" w:name="_Toc149720830"/>
      <w:r>
        <w:rPr>
          <w:color w:val="000000"/>
          <w:sz w:val="24"/>
          <w:highlight w:val="none"/>
        </w:rPr>
        <w:t xml:space="preserve">投标人应在招标文件要求提交投标文件截止时间前，将电子投标文件提交至</w:t>
      </w:r>
      <w:r>
        <w:rPr>
          <w:rFonts w:hint="eastAsia"/>
          <w:color w:val="000000"/>
          <w:sz w:val="24"/>
          <w:highlight w:val="none"/>
          <w:lang w:eastAsia="zh-CN"/>
        </w:rPr>
        <w:t xml:space="preserve">“苏采云”政府采购一体化平台</w:t>
      </w:r>
      <w:r>
        <w:rPr>
          <w:color w:val="000000"/>
          <w:sz w:val="24"/>
          <w:highlight w:val="none"/>
        </w:rPr>
        <w:t xml:space="preserve">。</w:t>
      </w:r>
      <w:r>
        <w:rPr>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投标截止时间前，投标人可以通过</w:t>
      </w:r>
      <w:r>
        <w:rPr>
          <w:rFonts w:hint="eastAsia"/>
          <w:color w:val="000000"/>
          <w:sz w:val="24"/>
          <w:highlight w:val="none"/>
          <w:lang w:eastAsia="zh-CN"/>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73" w:name="_Toc151193852"/>
      <w:r/>
      <w:bookmarkStart w:id="474" w:name="_Toc150774743"/>
      <w:r/>
      <w:bookmarkStart w:id="475" w:name="_Toc520356163"/>
      <w:r/>
      <w:bookmarkStart w:id="476" w:name="_Toc226337234"/>
      <w:r/>
      <w:bookmarkStart w:id="477" w:name="_Toc151193926"/>
      <w:r/>
      <w:bookmarkStart w:id="478" w:name="_Toc226965811"/>
      <w:r/>
      <w:bookmarkStart w:id="479" w:name="_Toc305158806"/>
      <w:r/>
      <w:bookmarkStart w:id="480" w:name="_Toc265228376"/>
      <w:r/>
      <w:bookmarkStart w:id="481" w:name="_Toc142311040"/>
      <w:r/>
      <w:bookmarkStart w:id="482" w:name="_Toc151193780"/>
      <w:r/>
      <w:bookmarkStart w:id="483" w:name="_Toc151193708"/>
      <w:r/>
      <w:bookmarkStart w:id="484" w:name="_Toc150480776"/>
      <w:r/>
      <w:bookmarkStart w:id="485" w:name="_Toc127151538"/>
      <w:r/>
      <w:bookmarkStart w:id="486" w:name="_Toc264969228"/>
      <w:r/>
      <w:bookmarkStart w:id="487" w:name="_Toc150509289"/>
      <w:r/>
      <w:bookmarkStart w:id="488" w:name="_Toc151193636"/>
      <w:r/>
      <w:bookmarkStart w:id="489" w:name="_Toc150774638"/>
      <w:r/>
      <w:bookmarkStart w:id="490" w:name="_Toc151190165"/>
      <w:r/>
      <w:bookmarkStart w:id="491" w:name="_Toc195842903"/>
      <w:r/>
      <w:bookmarkStart w:id="492" w:name="_Toc226309782"/>
      <w:r/>
      <w:bookmarkStart w:id="493" w:name="_Toc305158880"/>
      <w:r/>
      <w:bookmarkStart w:id="494" w:name="_Toc226965728"/>
      <w:r>
        <w:rPr>
          <w:rFonts w:hint="eastAsia" w:ascii="宋体" w:hAnsi="宋体" w:eastAsia="宋体" w:cs="Times New Roman"/>
          <w:b/>
          <w:bCs/>
          <w:color w:val="000000"/>
          <w:sz w:val="28"/>
          <w:szCs w:val="28"/>
          <w:highlight w:val="none"/>
          <w:lang w:val="en-US" w:eastAsia="zh-CN"/>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495" w:name="_Toc151193853"/>
      <w:r/>
      <w:bookmarkStart w:id="496" w:name="_Toc305158881"/>
      <w:r/>
      <w:bookmarkStart w:id="497" w:name="_Toc142311041"/>
      <w:r/>
      <w:bookmarkStart w:id="498" w:name="_Toc151193927"/>
      <w:r/>
      <w:bookmarkStart w:id="499" w:name="_Toc226965812"/>
      <w:r/>
      <w:bookmarkStart w:id="500" w:name="_Toc164351633"/>
      <w:r/>
      <w:bookmarkStart w:id="501" w:name="_Toc305158807"/>
      <w:r/>
      <w:bookmarkStart w:id="502" w:name="_Toc226309783"/>
      <w:r/>
      <w:bookmarkStart w:id="503" w:name="_Toc150480777"/>
      <w:r/>
      <w:bookmarkStart w:id="504" w:name="_Toc150774744"/>
      <w:r/>
      <w:bookmarkStart w:id="505" w:name="_Toc164608808"/>
      <w:r/>
      <w:bookmarkStart w:id="506" w:name="_Toc195842904"/>
      <w:r/>
      <w:bookmarkStart w:id="507" w:name="_Toc151193781"/>
      <w:r/>
      <w:bookmarkStart w:id="508" w:name="_Toc520356164"/>
      <w:r/>
      <w:bookmarkStart w:id="509" w:name="_Toc149720832"/>
      <w:r/>
      <w:bookmarkStart w:id="510" w:name="_Toc264969229"/>
      <w:r/>
      <w:bookmarkStart w:id="511" w:name="_Toc127151740"/>
      <w:r/>
      <w:bookmarkStart w:id="512" w:name="_Toc150774639"/>
      <w:r/>
      <w:bookmarkStart w:id="513" w:name="_Toc150509290"/>
      <w:r/>
      <w:bookmarkStart w:id="514" w:name="_Toc226337235"/>
      <w:r/>
      <w:bookmarkStart w:id="515" w:name="_Toc127151539"/>
      <w:r/>
      <w:bookmarkStart w:id="516" w:name="_Toc164229380"/>
      <w:r/>
      <w:bookmarkStart w:id="517" w:name="_Toc226965729"/>
      <w:r/>
      <w:bookmarkStart w:id="518" w:name="_Toc151193709"/>
      <w:r/>
      <w:bookmarkStart w:id="519" w:name="_Toc164608653"/>
      <w:r/>
      <w:bookmarkStart w:id="520" w:name="_Toc127161453"/>
      <w:r/>
      <w:bookmarkStart w:id="521" w:name="_Toc265228377"/>
      <w:r/>
      <w:bookmarkStart w:id="522" w:name="_Toc164229234"/>
      <w:r/>
      <w:bookmarkStart w:id="523" w:name="_Toc151190166"/>
      <w:r/>
      <w:bookmarkStart w:id="524" w:name="_Toc151193637"/>
      <w:r>
        <w:rPr>
          <w:rFonts w:hint="eastAsia" w:ascii="宋体" w:hAnsi="宋体" w:eastAsia="宋体" w:cs="宋体"/>
          <w:color w:val="000000"/>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eastAsia="宋体" w:cs="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bookmarkStart w:id="525" w:name="_Toc520356165"/>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开标过程将使用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outlineLvl w:val="9"/>
      </w:pPr>
      <w:r>
        <w:rPr>
          <w:color w:val="000000"/>
          <w:sz w:val="24"/>
          <w:highlight w:val="none"/>
        </w:rPr>
        <w:t xml:space="preserve">投标人不足3家的，不予开标。</w:t>
      </w:r>
      <w:r>
        <w:rPr>
          <w:rFonts w:hint="eastAsia"/>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outlineLvl w:val="9"/>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lang w:eastAsia="zh-CN"/>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09"/>
        <w:ind w:left="357" w:firstLine="840"/>
        <w:spacing w:line="360" w:lineRule="auto"/>
        <w:tabs>
          <w:tab w:val="left" w:pos="1080" w:leader="none"/>
          <w:tab w:val="left" w:pos="1589" w:leader="none"/>
          <w:tab w:val="left" w:pos="2014" w:leader="none"/>
        </w:tabs>
        <w:rPr>
          <w:rFonts w:hint="eastAsia"/>
          <w:color w:val="000000"/>
          <w:sz w:val="24"/>
          <w:highlight w:val="none"/>
        </w:rPr>
        <w:outlineLvl w:val="9"/>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09"/>
        <w:ind w:left="1134"/>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见第三章《资格审查》。</w:t>
      </w:r>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End w:id="525"/>
      <w:r/>
      <w:bookmarkStart w:id="526" w:name="_Toc151193782"/>
      <w:r/>
      <w:bookmarkStart w:id="527" w:name="_Toc305158882"/>
      <w:r/>
      <w:bookmarkStart w:id="528" w:name="_Toc150480778"/>
      <w:r/>
      <w:bookmarkStart w:id="529" w:name="_Toc164351634"/>
      <w:r/>
      <w:bookmarkStart w:id="530" w:name="_Toc151193928"/>
      <w:r/>
      <w:bookmarkStart w:id="531" w:name="_Toc150509291"/>
      <w:r/>
      <w:bookmarkStart w:id="532" w:name="_Toc142311042"/>
      <w:r/>
      <w:bookmarkStart w:id="533" w:name="_Toc265228378"/>
      <w:r/>
      <w:bookmarkStart w:id="534" w:name="_Toc151193854"/>
      <w:r/>
      <w:bookmarkStart w:id="535" w:name="_Toc164608654"/>
      <w:r/>
      <w:bookmarkStart w:id="536" w:name="_Toc127151540"/>
      <w:r/>
      <w:bookmarkStart w:id="537" w:name="_Toc164608809"/>
      <w:r/>
      <w:bookmarkStart w:id="538" w:name="_Toc164229235"/>
      <w:r/>
      <w:bookmarkStart w:id="539" w:name="_Toc226309784"/>
      <w:r/>
      <w:bookmarkStart w:id="540" w:name="_Toc264969230"/>
      <w:r/>
      <w:bookmarkStart w:id="541" w:name="_Toc151193710"/>
      <w:r/>
      <w:bookmarkStart w:id="542" w:name="_Toc151193638"/>
      <w:r/>
      <w:bookmarkStart w:id="543" w:name="_Toc149720833"/>
      <w:r/>
      <w:bookmarkStart w:id="544" w:name="_Toc226337236"/>
      <w:r/>
      <w:bookmarkStart w:id="545" w:name="_Toc305158808"/>
      <w:r/>
      <w:bookmarkStart w:id="546" w:name="_Toc127161454"/>
      <w:r/>
      <w:bookmarkStart w:id="547" w:name="_Toc151190167"/>
      <w:r/>
      <w:bookmarkStart w:id="548" w:name="_Toc226965730"/>
      <w:r/>
      <w:bookmarkStart w:id="549" w:name="_Toc150774745"/>
      <w:r/>
      <w:bookmarkStart w:id="550" w:name="_Toc150774640"/>
      <w:r/>
      <w:bookmarkStart w:id="551" w:name="_Toc195842905"/>
      <w:r/>
      <w:bookmarkStart w:id="552" w:name="_Toc127151741"/>
      <w:r/>
      <w:bookmarkStart w:id="553" w:name="_Toc164229381"/>
      <w:r/>
      <w:bookmarkStart w:id="554" w:name="_Toc226965813"/>
      <w:r>
        <w:rPr>
          <w:rFonts w:hint="eastAsia" w:ascii="宋体" w:hAnsi="宋体" w:eastAsia="宋体" w:cs="宋体"/>
          <w:color w:val="000000"/>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评标委员会根据政府采购有关规定和本次招标采购项目的特点进行组建，并负责具体评标事务，独立履行职责。</w:t>
      </w:r>
      <w:bookmarkStart w:id="555" w:name="_Toc520356166"/>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hint="eastAsia" w:ascii="宋体" w:hAnsi="宋体" w:eastAsia="宋体" w:cs="宋体"/>
          <w:color w:val="000000"/>
          <w:sz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rPr>
          <w:rFonts w:hint="eastAsia" w:ascii="宋体" w:hAnsi="宋体" w:eastAsia="宋体" w:cs="宋体"/>
          <w:color w:val="000000"/>
          <w:sz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见第四章《评标程序、评标方法和评标标准》。</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557" w:name="_Toc151193643"/>
      <w:r/>
      <w:bookmarkStart w:id="558" w:name="_Toc264969235"/>
      <w:r/>
      <w:bookmarkStart w:id="559" w:name="_Toc142311047"/>
      <w:r/>
      <w:bookmarkStart w:id="560" w:name="_Toc226337241"/>
      <w:r/>
      <w:bookmarkStart w:id="561" w:name="_Toc151190172"/>
      <w:r/>
      <w:bookmarkStart w:id="562" w:name="_Toc127151545"/>
      <w:r/>
      <w:bookmarkStart w:id="563" w:name="_Toc305158887"/>
      <w:r/>
      <w:bookmarkStart w:id="564" w:name="_Toc150774645"/>
      <w:r/>
      <w:bookmarkStart w:id="565" w:name="_Toc151193787"/>
      <w:r/>
      <w:bookmarkStart w:id="566" w:name="_Toc226309789"/>
      <w:r/>
      <w:bookmarkStart w:id="567" w:name="_Toc150509296"/>
      <w:r/>
      <w:bookmarkStart w:id="568" w:name="_Toc226965818"/>
      <w:r/>
      <w:bookmarkStart w:id="569" w:name="_Toc150774750"/>
      <w:r/>
      <w:bookmarkStart w:id="570" w:name="_Toc226965735"/>
      <w:r/>
      <w:bookmarkStart w:id="571" w:name="_Toc305158813"/>
      <w:r/>
      <w:bookmarkStart w:id="572" w:name="_Toc151193933"/>
      <w:r/>
      <w:bookmarkStart w:id="573" w:name="_Toc195842910"/>
      <w:r/>
      <w:bookmarkStart w:id="574" w:name="_Toc151193859"/>
      <w:r/>
      <w:bookmarkStart w:id="575" w:name="_Toc150480783"/>
      <w:r/>
      <w:bookmarkStart w:id="576" w:name="_Toc265228383"/>
      <w:r/>
      <w:bookmarkStart w:id="577" w:name="_Toc151193715"/>
      <w:r>
        <w:rPr>
          <w:rFonts w:hint="eastAsia" w:ascii="宋体" w:hAnsi="宋体" w:eastAsia="宋体" w:cs="Times New Roman"/>
          <w:b/>
          <w:bCs/>
          <w:color w:val="000000"/>
          <w:sz w:val="28"/>
          <w:szCs w:val="28"/>
          <w:highlight w:val="none"/>
          <w:lang w:val="en-US" w:eastAsia="zh-CN"/>
        </w:rPr>
        <w:t xml:space="preserve">六   </w:t>
      </w:r>
      <w:bookmarkEnd w:id="556"/>
      <w:r>
        <w:rPr>
          <w:rFonts w:hint="eastAsia" w:ascii="宋体" w:hAnsi="宋体" w:eastAsia="宋体" w:cs="Times New Roman"/>
          <w:b/>
          <w:bCs/>
          <w:color w:val="000000"/>
          <w:sz w:val="28"/>
          <w:szCs w:val="28"/>
          <w:highlight w:val="none"/>
          <w:lang w:val="en-US" w:eastAsia="zh-CN"/>
        </w:rPr>
        <w:t xml:space="preserve">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Start w:id="578" w:name="_Toc151193645"/>
      <w:r/>
      <w:bookmarkStart w:id="579" w:name="_Toc127151547"/>
      <w:r/>
      <w:bookmarkStart w:id="580" w:name="_Toc127151748"/>
      <w:r/>
      <w:bookmarkStart w:id="581" w:name="_Toc149720840"/>
      <w:r/>
      <w:bookmarkStart w:id="582" w:name="_Toc151193717"/>
      <w:r/>
      <w:bookmarkStart w:id="583" w:name="_Toc150480785"/>
      <w:r/>
      <w:bookmarkStart w:id="584" w:name="_Toc265228385"/>
      <w:r/>
      <w:bookmarkStart w:id="585" w:name="_Toc151193861"/>
      <w:r/>
      <w:bookmarkStart w:id="586" w:name="_Toc151190174"/>
      <w:r/>
      <w:bookmarkStart w:id="587" w:name="_Toc127161461"/>
      <w:r/>
      <w:bookmarkStart w:id="588" w:name="_Toc305158815"/>
      <w:r/>
      <w:bookmarkStart w:id="589" w:name="_Toc164229242"/>
      <w:r/>
      <w:bookmarkStart w:id="590" w:name="_Toc195842912"/>
      <w:r/>
      <w:bookmarkStart w:id="591" w:name="_Toc226309791"/>
      <w:r/>
      <w:bookmarkStart w:id="592" w:name="_Toc151193935"/>
      <w:r/>
      <w:bookmarkStart w:id="593" w:name="_Toc264969237"/>
      <w:r/>
      <w:bookmarkStart w:id="594" w:name="_Toc305158889"/>
      <w:r/>
      <w:bookmarkStart w:id="595" w:name="_Toc164351641"/>
      <w:r/>
      <w:bookmarkStart w:id="596" w:name="_Toc226965820"/>
      <w:r/>
      <w:bookmarkStart w:id="597" w:name="_Toc151193789"/>
      <w:r/>
      <w:bookmarkStart w:id="598" w:name="_Toc142311049"/>
      <w:r/>
      <w:bookmarkStart w:id="599" w:name="_Toc164608661"/>
      <w:r/>
      <w:bookmarkStart w:id="600" w:name="_Toc150509298"/>
      <w:r/>
      <w:bookmarkStart w:id="601" w:name="_Toc164608816"/>
      <w:r/>
      <w:bookmarkStart w:id="602" w:name="_Toc150774647"/>
      <w:r/>
      <w:bookmarkStart w:id="603" w:name="_Toc226337243"/>
      <w:r/>
      <w:bookmarkStart w:id="604" w:name="_Toc226965737"/>
      <w:r/>
      <w:bookmarkStart w:id="605" w:name="_Toc150774752"/>
      <w:r/>
      <w:bookmarkStart w:id="606" w:name="_Toc164229388"/>
      <w:r>
        <w:rPr>
          <w:rFonts w:hint="eastAsia" w:ascii="宋体" w:hAnsi="宋体" w:eastAsia="宋体" w:cs="Times New Roman"/>
          <w:b/>
          <w:bCs/>
          <w:color w:val="000000"/>
          <w:sz w:val="28"/>
          <w:szCs w:val="28"/>
          <w:highlight w:val="none"/>
          <w:lang w:val="en-US" w:eastAsia="zh-CN"/>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确定中标人</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607" w:name="_Toc226965822"/>
      <w:r/>
      <w:bookmarkStart w:id="608" w:name="_Toc164229244"/>
      <w:r/>
      <w:bookmarkStart w:id="609" w:name="_Toc151193863"/>
      <w:r/>
      <w:bookmarkStart w:id="610" w:name="_Toc305158891"/>
      <w:r/>
      <w:bookmarkStart w:id="611" w:name="_Toc151193647"/>
      <w:r/>
      <w:bookmarkStart w:id="612" w:name="_Toc150774649"/>
      <w:r/>
      <w:bookmarkStart w:id="613" w:name="_Toc164608818"/>
      <w:r/>
      <w:bookmarkStart w:id="614" w:name="_Toc151193937"/>
      <w:r/>
      <w:bookmarkStart w:id="615" w:name="_Toc520356176"/>
      <w:r/>
      <w:bookmarkStart w:id="616" w:name="_Ref467307090"/>
      <w:r/>
      <w:bookmarkStart w:id="617" w:name="_Ref467306425"/>
      <w:r/>
      <w:bookmarkStart w:id="618" w:name="_Toc142311051"/>
      <w:r/>
      <w:bookmarkStart w:id="619" w:name="_Toc150480787"/>
      <w:r/>
      <w:bookmarkStart w:id="620" w:name="_Toc164229390"/>
      <w:r/>
      <w:bookmarkStart w:id="621" w:name="_Toc264969239"/>
      <w:r/>
      <w:bookmarkStart w:id="622" w:name="_Toc226309793"/>
      <w:r/>
      <w:bookmarkStart w:id="623" w:name="_Toc265228387"/>
      <w:r/>
      <w:bookmarkStart w:id="624" w:name="_Toc305158817"/>
      <w:r/>
      <w:bookmarkStart w:id="625" w:name="_Toc164608663"/>
      <w:r/>
      <w:bookmarkStart w:id="626" w:name="_Toc164351643"/>
      <w:r/>
      <w:bookmarkStart w:id="627" w:name="_Toc127161463"/>
      <w:r/>
      <w:bookmarkStart w:id="628" w:name="_Toc151193719"/>
      <w:r/>
      <w:bookmarkStart w:id="629" w:name="_Toc127151750"/>
      <w:r/>
      <w:bookmarkStart w:id="630" w:name="_Toc151193791"/>
      <w:r/>
      <w:bookmarkStart w:id="631" w:name="_Toc150774754"/>
      <w:r/>
      <w:bookmarkStart w:id="632" w:name="_Toc127151549"/>
      <w:r/>
      <w:bookmarkStart w:id="633" w:name="_Toc149720842"/>
      <w:r/>
      <w:bookmarkStart w:id="634" w:name="_Toc226337245"/>
      <w:r/>
      <w:bookmarkStart w:id="635" w:name="_Toc151190176"/>
      <w:r/>
      <w:bookmarkStart w:id="636" w:name="_Toc226965739"/>
      <w:r/>
      <w:bookmarkStart w:id="637" w:name="_Toc195842914"/>
      <w:r/>
      <w:bookmarkStart w:id="638" w:name="_Toc150509300"/>
      <w:r>
        <w:rPr>
          <w:rFonts w:hint="eastAsia" w:ascii="宋体" w:hAnsi="宋体" w:eastAsia="宋体" w:cs="宋体"/>
          <w:color w:val="000000"/>
          <w:sz w:val="24"/>
          <w:szCs w:val="24"/>
          <w:highlight w:val="none"/>
        </w:rPr>
        <w:t xml:space="preserve">中标公告与中标通知书</w:t>
      </w:r>
      <w:bookmarkEnd w:id="610"/>
      <w:r/>
      <w:bookmarkEnd w:id="624"/>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采购人或采购代理机构自中标人确定之日起2个工作日内，</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rPr>
        <w:t xml:space="preserve">和江苏尚阳工程管理有限公司网</w:t>
      </w:r>
      <w:r>
        <w:rPr>
          <w:rFonts w:hint="eastAsia" w:ascii="宋体" w:hAnsi="宋体" w:eastAsia="宋体" w:cs="宋体"/>
          <w:color w:val="000000"/>
          <w:sz w:val="24"/>
          <w:szCs w:val="24"/>
          <w:highlight w:val="none"/>
        </w:rPr>
        <w:t xml:space="preserve">公告中标结果</w:t>
      </w:r>
      <w:r>
        <w:rPr>
          <w:rFonts w:hint="eastAsia" w:ascii="宋体" w:hAnsi="宋体" w:eastAsia="宋体" w:cs="宋体"/>
          <w:color w:val="000000"/>
          <w:sz w:val="24"/>
          <w:szCs w:val="24"/>
          <w:highlight w:val="none"/>
        </w:rPr>
        <w:t xml:space="preserve">，同时向中标人发出中标通知书，中标公告期限为1个工作日。</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中标通知书对采购人和中标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均具有法律效力。中标通知书发出后，采购人改变中标结果的，或者中标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放弃中标项目的，应当依法承担法律责任。</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符合专业条件的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或者对招标文件作实质响应的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不足三家的；</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909"/>
        <w:numPr>
          <w:ilvl w:val="2"/>
          <w:numId w:val="8"/>
        </w:numPr>
        <w:spacing w:line="360" w:lineRule="auto"/>
        <w:tabs>
          <w:tab w:val="left" w:pos="1980" w:leader="none"/>
        </w:tabs>
        <w:rPr>
          <w:color w:val="000000"/>
          <w:sz w:val="24"/>
          <w:highlight w:val="none"/>
        </w:rPr>
        <w:outlineLvl w:val="9"/>
      </w:pPr>
      <w:r>
        <w:rPr>
          <w:rFonts w:hint="eastAsia" w:ascii="宋体" w:hAnsi="宋体" w:eastAsia="宋体" w:cs="宋体"/>
          <w:color w:val="000000"/>
          <w:sz w:val="24"/>
          <w:szCs w:val="24"/>
          <w:highlight w:val="none"/>
        </w:rPr>
        <w:t xml:space="preserve">因重大变故，采购任务取消的。</w:t>
      </w:r>
      <w:r>
        <w:rPr>
          <w:color w:val="000000"/>
          <w:sz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07"/>
      <w:r/>
      <w:bookmarkEnd w:id="608"/>
      <w:r/>
      <w:bookmarkEnd w:id="609"/>
      <w:r/>
      <w:bookmarkEnd w:id="611"/>
      <w:r/>
      <w:bookmarkEnd w:id="612"/>
      <w:r/>
      <w:bookmarkEnd w:id="613"/>
      <w:r/>
      <w:bookmarkEnd w:id="614"/>
      <w:r/>
      <w:bookmarkEnd w:id="618"/>
      <w:r/>
      <w:bookmarkEnd w:id="619"/>
      <w:r/>
      <w:bookmarkEnd w:id="620"/>
      <w:r/>
      <w:bookmarkEnd w:id="621"/>
      <w:r/>
      <w:bookmarkEnd w:id="622"/>
      <w:r/>
      <w:bookmarkEnd w:id="623"/>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Start w:id="639" w:name="_Toc150774755"/>
      <w:r/>
      <w:bookmarkStart w:id="640" w:name="_Toc226965740"/>
      <w:r/>
      <w:bookmarkStart w:id="641" w:name="_Toc151190177"/>
      <w:r/>
      <w:bookmarkStart w:id="642" w:name="_Toc150480788"/>
      <w:r/>
      <w:bookmarkStart w:id="643" w:name="_Toc305158892"/>
      <w:r/>
      <w:bookmarkStart w:id="644" w:name="_Ref467307062"/>
      <w:r/>
      <w:bookmarkStart w:id="645" w:name="_Ref467307204"/>
      <w:r/>
      <w:bookmarkStart w:id="646" w:name="_Toc226965823"/>
      <w:r/>
      <w:bookmarkStart w:id="647" w:name="_Toc151193864"/>
      <w:r/>
      <w:bookmarkStart w:id="648" w:name="_Toc164351644"/>
      <w:r/>
      <w:bookmarkStart w:id="649" w:name="_Toc264969240"/>
      <w:r/>
      <w:bookmarkStart w:id="650" w:name="_Toc164229391"/>
      <w:r/>
      <w:bookmarkStart w:id="651" w:name="_Toc149720843"/>
      <w:r/>
      <w:bookmarkStart w:id="652" w:name="_Toc195842915"/>
      <w:r/>
      <w:bookmarkStart w:id="653" w:name="_Toc142311052"/>
      <w:r/>
      <w:bookmarkStart w:id="654" w:name="_Toc305158818"/>
      <w:r/>
      <w:bookmarkStart w:id="655" w:name="_Toc127161464"/>
      <w:r/>
      <w:bookmarkStart w:id="656" w:name="_Toc164608664"/>
      <w:r/>
      <w:bookmarkStart w:id="657" w:name="_Toc151193792"/>
      <w:r/>
      <w:bookmarkStart w:id="658" w:name="_Toc164229245"/>
      <w:r/>
      <w:bookmarkStart w:id="659" w:name="_Toc265228388"/>
      <w:r/>
      <w:bookmarkStart w:id="660" w:name="_Ref467306978"/>
      <w:r/>
      <w:bookmarkStart w:id="661" w:name="_Toc151193720"/>
      <w:r/>
      <w:bookmarkStart w:id="662" w:name="_Ref467306377"/>
      <w:r/>
      <w:bookmarkStart w:id="663" w:name="_Toc127151751"/>
      <w:r/>
      <w:bookmarkStart w:id="664" w:name="_Toc127151550"/>
      <w:r/>
      <w:bookmarkStart w:id="665" w:name="_Toc226309794"/>
      <w:r/>
      <w:bookmarkStart w:id="666" w:name="_Toc151193648"/>
      <w:r/>
      <w:bookmarkStart w:id="667" w:name="_Toc150509301"/>
      <w:r/>
      <w:bookmarkStart w:id="668" w:name="_Toc226337246"/>
      <w:r/>
      <w:bookmarkStart w:id="669" w:name="_Toc150774650"/>
      <w:r/>
      <w:bookmarkStart w:id="670" w:name="_Toc164608819"/>
      <w:r/>
      <w:bookmarkStart w:id="671" w:name="_Toc151193938"/>
      <w:r/>
      <w:bookmarkStart w:id="672" w:name="_Toc520356175"/>
      <w:r>
        <w:rPr>
          <w:rFonts w:hint="eastAsia" w:ascii="宋体" w:hAnsi="宋体" w:eastAsia="宋体" w:cs="宋体"/>
          <w:color w:val="000000"/>
          <w:sz w:val="24"/>
          <w:szCs w:val="24"/>
          <w:highlight w:val="none"/>
        </w:rPr>
        <w:t xml:space="preserve">签订合同</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投标文件作实质性修改。</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本项目的非主体、非关键性工作是否允许分包，见《投标人须知资料表》。</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15"/>
      <w:r/>
      <w:bookmarkEnd w:id="616"/>
      <w:r/>
      <w:bookmarkEnd w:id="617"/>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依法提出的询问，在3个工作日内作出答复，但答复的内容不得涉及商业秘密。</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985"/>
          <w:rFonts w:hint="eastAsia" w:ascii="宋体" w:hAnsi="宋体" w:eastAsia="宋体" w:cs="宋体"/>
          <w:color w:val="000000"/>
          <w:sz w:val="24"/>
          <w:szCs w:val="24"/>
          <w:highlight w:val="none"/>
        </w:rPr>
        <w:t xml:space="preserve">http://gk</w:t>
      </w:r>
      <w:bookmarkStart w:id="673" w:name="_Hlt100654014"/>
      <w:r>
        <w:rPr>
          <w:rStyle w:val="985"/>
          <w:rFonts w:hint="eastAsia" w:ascii="宋体" w:hAnsi="宋体" w:eastAsia="宋体" w:cs="宋体"/>
          <w:color w:val="000000"/>
          <w:sz w:val="24"/>
          <w:szCs w:val="24"/>
          <w:highlight w:val="none"/>
        </w:rPr>
        <w:t xml:space="preserve">s</w:t>
      </w:r>
      <w:bookmarkEnd w:id="673"/>
      <w:r>
        <w:rPr>
          <w:rStyle w:val="985"/>
          <w:rFonts w:hint="eastAsia" w:ascii="宋体" w:hAnsi="宋体" w:eastAsia="宋体" w:cs="宋体"/>
          <w:color w:val="000000"/>
          <w:sz w:val="24"/>
          <w:szCs w:val="24"/>
          <w:highlight w:val="none"/>
        </w:rPr>
        <w:t xml:space="preserve">.m</w:t>
      </w:r>
      <w:bookmarkStart w:id="674" w:name="_Hlt100653994"/>
      <w:r/>
      <w:bookmarkStart w:id="675" w:name="_Hlt100653993"/>
      <w:r>
        <w:rPr>
          <w:rStyle w:val="985"/>
          <w:rFonts w:hint="eastAsia" w:ascii="宋体" w:hAnsi="宋体" w:eastAsia="宋体" w:cs="宋体"/>
          <w:color w:val="000000"/>
          <w:sz w:val="24"/>
          <w:szCs w:val="24"/>
          <w:highlight w:val="none"/>
        </w:rPr>
        <w:t xml:space="preserve">o</w:t>
      </w:r>
      <w:bookmarkEnd w:id="674"/>
      <w:r/>
      <w:bookmarkEnd w:id="675"/>
      <w:r>
        <w:rPr>
          <w:rStyle w:val="985"/>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909"/>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909"/>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909"/>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909"/>
        <w:jc w:val="center"/>
        <w:spacing w:line="360" w:lineRule="auto"/>
        <w:rPr>
          <w:b/>
          <w:color w:val="000000"/>
          <w:sz w:val="36"/>
          <w:szCs w:val="36"/>
          <w:highlight w:val="none"/>
        </w:rPr>
        <w:outlineLvl w:val="0"/>
      </w:pPr>
      <w:r/>
      <w:bookmarkStart w:id="676" w:name="_Toc4348"/>
      <w:r/>
      <w:bookmarkStart w:id="677" w:name="_Toc142311056"/>
      <w:r/>
      <w:bookmarkStart w:id="678" w:name="_Toc353873664"/>
      <w:r/>
      <w:bookmarkStart w:id="679" w:name="_Toc353873934"/>
      <w:r/>
      <w:bookmarkStart w:id="680" w:name="_Toc353825544"/>
      <w:r/>
      <w:bookmarkStart w:id="681" w:name="_Toc305158896"/>
      <w:r/>
      <w:bookmarkStart w:id="682" w:name="_Toc226337250"/>
      <w:r/>
      <w:bookmarkStart w:id="683" w:name="_Toc264969244"/>
      <w:r/>
      <w:bookmarkStart w:id="684" w:name="_Toc265228392"/>
      <w:r/>
      <w:bookmarkStart w:id="685" w:name="_Toc150774759"/>
      <w:r/>
      <w:bookmarkStart w:id="686" w:name="_Toc127151554"/>
      <w:r/>
      <w:bookmarkStart w:id="687" w:name="_Toc150480792"/>
      <w:r/>
      <w:bookmarkStart w:id="688" w:name="_Toc226965827"/>
      <w:r/>
      <w:bookmarkStart w:id="689" w:name="_Toc305158822"/>
      <w:r>
        <w:rPr>
          <w:b/>
          <w:color w:val="000000"/>
          <w:sz w:val="36"/>
          <w:szCs w:val="36"/>
          <w:highlight w:val="none"/>
        </w:rPr>
        <w:t xml:space="preserve">第三章   </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b/>
          <w:color w:val="000000"/>
          <w:sz w:val="36"/>
          <w:szCs w:val="36"/>
          <w:highlight w:val="none"/>
        </w:rPr>
        <w:t xml:space="preserve">资格审查</w:t>
      </w:r>
      <w:bookmarkEnd w:id="676"/>
      <w:r/>
      <w:bookmarkStart w:id="690" w:name="_Toc487900382"/>
      <w:r>
        <w:rPr>
          <w:b/>
          <w:color w:val="000000"/>
          <w:sz w:val="36"/>
          <w:szCs w:val="36"/>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691" w:name="_Toc99301422"/>
      <w:r>
        <w:rPr>
          <w:rFonts w:hint="eastAsia" w:ascii="宋体" w:hAnsi="宋体" w:eastAsia="宋体" w:cs="Times New Roman"/>
          <w:b/>
          <w:bCs/>
          <w:color w:val="000000"/>
          <w:sz w:val="28"/>
          <w:szCs w:val="28"/>
          <w:highlight w:val="none"/>
          <w:lang w:val="en-US" w:eastAsia="zh-CN"/>
        </w:rPr>
        <w:t xml:space="preserve">一、资格审查程序</w:t>
      </w:r>
      <w:bookmarkEnd w:id="691"/>
      <w:r>
        <w:rPr>
          <w:rFonts w:hint="eastAsia" w:ascii="宋体" w:hAnsi="宋体" w:eastAsia="宋体" w:cs="Times New Roman"/>
          <w:b/>
          <w:bCs/>
          <w:color w:val="000000"/>
          <w:sz w:val="28"/>
          <w:szCs w:val="28"/>
          <w:highlight w:val="none"/>
          <w:lang w:val="en-US" w:eastAsia="zh-CN"/>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rPr>
          <w:rFonts w:hint="eastAsia" w:ascii="宋体" w:hAnsi="宋体" w:eastAsia="宋体" w:cs="宋体"/>
          <w:color w:val="000000"/>
          <w:sz w:val="24"/>
          <w:highlight w:val="none"/>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《资格审查要求》中对格式有要求的，除招标文件另有规定外，均为“实质性格式”文件。</w:t>
      </w:r>
      <w:r>
        <w:rPr>
          <w:rFonts w:hint="eastAsia" w:ascii="宋体" w:hAnsi="宋体" w:eastAsia="宋体" w:cs="宋体"/>
          <w:color w:val="000000"/>
          <w:sz w:val="24"/>
          <w:highlight w:val="none"/>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10"/>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资格审查合格的投标人不足3家的，不进行评标。</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二、资格审查要求</w:t>
      </w:r>
      <w:r>
        <w:rPr>
          <w:rFonts w:hint="eastAsia" w:ascii="宋体" w:hAnsi="宋体" w:eastAsia="宋体" w:cs="Times New Roman"/>
          <w:b/>
          <w:bCs/>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909"/>
              <w:jc w:val="center"/>
              <w:tabs>
                <w:tab w:val="left" w:pos="1080" w:leader="none"/>
              </w:tabs>
              <w:rPr>
                <w:b/>
                <w:color w:val="000000"/>
                <w:sz w:val="24"/>
                <w:highlight w:val="none"/>
              </w:rPr>
              <w:outlineLvl w:val="9"/>
            </w:pPr>
            <w:r/>
            <w:bookmarkStart w:id="692" w:name="_Hlt487972895"/>
            <w:r/>
            <w:bookmarkEnd w:id="692"/>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909"/>
              <w:jc w:val="center"/>
              <w:tabs>
                <w:tab w:val="left" w:pos="1080" w:leader="none"/>
              </w:tabs>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909"/>
              <w:jc w:val="center"/>
              <w:tabs>
                <w:tab w:val="left" w:pos="1080" w:leader="none"/>
              </w:tabs>
              <w:rPr>
                <w:b/>
                <w:color w:val="000000"/>
                <w:sz w:val="24"/>
                <w:highlight w:val="none"/>
              </w:rPr>
              <w:outlineLvl w:val="9"/>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909"/>
              <w:jc w:val="center"/>
              <w:tabs>
                <w:tab w:val="left" w:pos="1080" w:leader="none"/>
              </w:tabs>
              <w:rPr>
                <w:b/>
                <w:color w:val="000000"/>
                <w:sz w:val="24"/>
                <w:highlight w:val="none"/>
              </w:rPr>
              <w:outlineLvl w:val="9"/>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909"/>
              <w:jc w:val="center"/>
              <w:tabs>
                <w:tab w:val="left" w:pos="1080" w:leader="none"/>
              </w:tabs>
              <w:rPr>
                <w:color w:val="000000"/>
                <w:sz w:val="24"/>
                <w:highlight w:val="none"/>
              </w:rPr>
              <w:outlineLvl w:val="9"/>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r>
            <w:r/>
          </w:p>
        </w:tc>
      </w:tr>
      <w:tr>
        <w:trPr>
          <w:cantSplit/>
          <w:trHeight w:val="312"/>
        </w:trPr>
        <w:tc>
          <w:tcPr>
            <w:tcW w:w="846" w:type="dxa"/>
            <w:vAlign w:val="center"/>
            <w:textDirection w:val="lrTb"/>
            <w:noWrap w:val="false"/>
          </w:tcPr>
          <w:p>
            <w:pPr>
              <w:pStyle w:val="909"/>
              <w:jc w:val="center"/>
              <w:tabs>
                <w:tab w:val="left" w:pos="1080" w:leader="none"/>
              </w:tabs>
              <w:rPr>
                <w:color w:val="000000"/>
                <w:sz w:val="24"/>
                <w:highlight w:val="none"/>
              </w:rPr>
              <w:outlineLvl w:val="9"/>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909"/>
              <w:tabs>
                <w:tab w:val="left" w:pos="1080" w:leader="none"/>
              </w:tabs>
              <w:rPr>
                <w:color w:val="000000"/>
                <w:sz w:val="24"/>
                <w:highlight w:val="none"/>
              </w:rPr>
              <w:outlineLvl w:val="9"/>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909"/>
              <w:jc w:val="center"/>
              <w:tabs>
                <w:tab w:val="left" w:pos="1080" w:leader="none"/>
              </w:tabs>
              <w:rPr>
                <w:color w:val="000000"/>
                <w:sz w:val="24"/>
                <w:highlight w:val="none"/>
              </w:rPr>
              <w:outlineLvl w:val="9"/>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09"/>
              <w:tabs>
                <w:tab w:val="left" w:pos="900" w:leader="none"/>
                <w:tab w:val="left" w:pos="1980" w:leader="none"/>
              </w:tabs>
              <w:rPr>
                <w:color w:val="000000"/>
                <w:sz w:val="24"/>
                <w:highlight w:val="none"/>
              </w:rPr>
              <w:outlineLvl w:val="9"/>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09"/>
              <w:tabs>
                <w:tab w:val="left" w:pos="900" w:leader="none"/>
                <w:tab w:val="left" w:pos="1980" w:leader="none"/>
              </w:tabs>
              <w:rPr>
                <w:color w:val="000000"/>
                <w:sz w:val="24"/>
                <w:highlight w:val="none"/>
              </w:rPr>
              <w:outlineLvl w:val="9"/>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909"/>
              <w:tabs>
                <w:tab w:val="left" w:pos="1080" w:leader="none"/>
              </w:tabs>
              <w:rPr>
                <w:color w:val="000000"/>
                <w:sz w:val="24"/>
                <w:highlight w:val="none"/>
              </w:rPr>
              <w:outlineLvl w:val="9"/>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09"/>
              <w:tabs>
                <w:tab w:val="left" w:pos="1080" w:leader="none"/>
              </w:tabs>
              <w:rPr>
                <w:color w:val="000000"/>
                <w:sz w:val="24"/>
                <w:highlight w:val="none"/>
              </w:rPr>
              <w:outlineLvl w:val="9"/>
            </w:pPr>
            <w:r>
              <w:rPr>
                <w:color w:val="000000"/>
                <w:sz w:val="24"/>
                <w:highlight w:val="none"/>
              </w:rPr>
              <w:t xml:space="preserve">无须投标人提供，由采购人</w:t>
            </w:r>
            <w:r>
              <w:rPr>
                <w:rFonts w:hint="eastAsia" w:ascii="宋体" w:hAnsi="宋体" w:eastAsia="宋体" w:cs="宋体"/>
                <w:color w:val="000000"/>
                <w:sz w:val="24"/>
                <w:highlight w:val="none"/>
              </w:rPr>
              <w:t xml:space="preserve">查询。</w:t>
            </w:r>
            <w:r>
              <w:rPr>
                <w:color w:val="000000"/>
                <w:sz w:val="24"/>
                <w:highlight w:val="none"/>
              </w:rPr>
            </w:r>
            <w:r/>
          </w:p>
        </w:tc>
      </w:tr>
      <w:tr>
        <w:trPr>
          <w:cantSplit/>
          <w:trHeight w:val="468"/>
        </w:trPr>
        <w:tc>
          <w:tcPr>
            <w:tcW w:w="846" w:type="dxa"/>
            <w:vAlign w:val="center"/>
            <w:textDirection w:val="lrTb"/>
            <w:noWrap w:val="false"/>
          </w:tcPr>
          <w:p>
            <w:pPr>
              <w:pStyle w:val="909"/>
              <w:jc w:val="center"/>
              <w:tabs>
                <w:tab w:val="left" w:pos="1080" w:leader="none"/>
              </w:tabs>
              <w:rPr>
                <w:rFonts w:hint="eastAsia" w:eastAsia="宋体"/>
                <w:color w:val="000000"/>
                <w:sz w:val="24"/>
                <w:highlight w:val="none"/>
                <w:lang w:val="en-US" w:eastAsia="zh-CN"/>
              </w:rPr>
              <w:outlineLvl w:val="9"/>
            </w:pPr>
            <w:r/>
            <w:bookmarkStart w:id="693" w:name="_Toc353873940"/>
            <w:r/>
            <w:bookmarkStart w:id="694" w:name="_Toc226965858"/>
            <w:r/>
            <w:bookmarkStart w:id="695" w:name="_Toc353825550"/>
            <w:r/>
            <w:bookmarkStart w:id="696" w:name="_Toc127151779"/>
            <w:r/>
            <w:bookmarkStart w:id="697" w:name="_Toc127161490"/>
            <w:r>
              <w:rPr>
                <w:rFonts w:hint="eastAsia"/>
                <w:color w:val="000000"/>
                <w:sz w:val="24"/>
                <w:highlight w:val="none"/>
                <w:lang w:val="en-US" w:eastAsia="zh-CN"/>
              </w:rPr>
              <w:t xml:space="preserve">2</w:t>
            </w:r>
            <w:r>
              <w:rPr>
                <w:rFonts w:hint="eastAsia" w:eastAsia="宋体"/>
                <w:color w:val="000000"/>
                <w:sz w:val="24"/>
                <w:highlight w:val="none"/>
                <w:lang w:val="en-US" w:eastAsia="zh-CN"/>
              </w:rPr>
            </w:r>
            <w:r/>
          </w:p>
        </w:tc>
        <w:tc>
          <w:tcPr>
            <w:tcW w:w="1982" w:type="dxa"/>
            <w:vAlign w:val="center"/>
            <w:textDirection w:val="lrTb"/>
            <w:noWrap w:val="false"/>
          </w:tcPr>
          <w:p>
            <w:pPr>
              <w:pStyle w:val="909"/>
              <w:tabs>
                <w:tab w:val="left" w:pos="1080" w:leader="none"/>
              </w:tabs>
              <w:rPr>
                <w:rFonts w:hint="eastAsia" w:ascii="宋体" w:hAnsi="宋体" w:eastAsia="宋体" w:cs="宋体"/>
                <w:color w:val="000000"/>
                <w:sz w:val="24"/>
                <w:szCs w:val="24"/>
                <w:highlight w:val="none"/>
                <w:lang w:val="en-US" w:eastAsia="zh-CN" w:bidi="ar-SA"/>
              </w:rPr>
              <w:outlineLvl w:val="9"/>
            </w:pPr>
            <w:r>
              <w:rPr>
                <w:color w:val="000000"/>
                <w:sz w:val="24"/>
                <w:highlight w:val="none"/>
              </w:rPr>
              <w:t xml:space="preserve">本项目的特定资格要求</w:t>
            </w:r>
            <w:r>
              <w:rPr>
                <w:rFonts w:hint="eastAsia" w:ascii="宋体" w:hAnsi="宋体" w:eastAsia="宋体" w:cs="宋体"/>
                <w:color w:val="000000"/>
                <w:sz w:val="24"/>
                <w:szCs w:val="24"/>
                <w:highlight w:val="none"/>
                <w:lang w:val="en-US" w:eastAsia="zh-CN" w:bidi="ar-SA"/>
              </w:rPr>
            </w:r>
            <w:r/>
          </w:p>
        </w:tc>
        <w:tc>
          <w:tcPr>
            <w:tcW w:w="4822" w:type="dxa"/>
            <w:vAlign w:val="center"/>
            <w:textDirection w:val="lrTb"/>
            <w:noWrap w:val="false"/>
          </w:tcPr>
          <w:p>
            <w:pPr>
              <w:pStyle w:val="909"/>
              <w:tabs>
                <w:tab w:val="left" w:pos="1080" w:leader="none"/>
              </w:tabs>
              <w:rPr>
                <w:rFonts w:hint="eastAsia" w:ascii="宋体" w:hAnsi="宋体" w:eastAsia="宋体" w:cs="宋体"/>
                <w:color w:val="000000"/>
                <w:sz w:val="24"/>
                <w:szCs w:val="24"/>
                <w:highlight w:val="none"/>
                <w:lang w:val="en-US" w:eastAsia="zh-CN" w:bidi="ar-SA"/>
              </w:rPr>
              <w:outlineLvl w:val="9"/>
            </w:pPr>
            <w:r>
              <w:rPr>
                <w:color w:val="000000"/>
                <w:sz w:val="24"/>
                <w:highlight w:val="none"/>
              </w:rPr>
              <w:t xml:space="preserve">见第一章《投标邀请》</w:t>
            </w:r>
            <w:r>
              <w:rPr>
                <w:rFonts w:hint="eastAsia" w:ascii="宋体" w:hAnsi="宋体" w:eastAsia="宋体" w:cs="宋体"/>
                <w:color w:val="000000"/>
                <w:sz w:val="24"/>
                <w:szCs w:val="24"/>
                <w:highlight w:val="none"/>
                <w:lang w:val="en-US" w:eastAsia="zh-CN" w:bidi="ar-SA"/>
              </w:rPr>
            </w:r>
            <w:r/>
          </w:p>
        </w:tc>
        <w:tc>
          <w:tcPr>
            <w:tcW w:w="1638" w:type="dxa"/>
            <w:vAlign w:val="center"/>
            <w:textDirection w:val="lrTb"/>
            <w:noWrap w:val="false"/>
          </w:tcPr>
          <w:p>
            <w:pPr>
              <w:pStyle w:val="909"/>
              <w:tabs>
                <w:tab w:val="left" w:pos="108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r>
      <w:tr>
        <w:trPr>
          <w:cantSplit/>
          <w:trHeight w:val="468"/>
        </w:trPr>
        <w:tc>
          <w:tcPr>
            <w:tcW w:w="846" w:type="dxa"/>
            <w:vAlign w:val="center"/>
            <w:textDirection w:val="lrTb"/>
            <w:noWrap w:val="false"/>
          </w:tcPr>
          <w:p>
            <w:pPr>
              <w:pStyle w:val="909"/>
              <w:jc w:val="center"/>
              <w:tabs>
                <w:tab w:val="left" w:pos="1080" w:leader="none"/>
              </w:tabs>
              <w:rPr>
                <w:color w:val="000000"/>
                <w:sz w:val="24"/>
                <w:highlight w:val="none"/>
                <w:lang w:val="en-US" w:eastAsia="zh-CN"/>
              </w:rPr>
              <w:outlineLvl w:val="9"/>
            </w:pPr>
            <w:r>
              <w:rPr>
                <w:rFonts w:hint="eastAsia"/>
                <w:color w:val="000000"/>
                <w:sz w:val="24"/>
                <w:highlight w:val="none"/>
                <w:lang w:val="en-US" w:eastAsia="zh-CN"/>
              </w:rPr>
              <w:t xml:space="preserve">2-1</w:t>
            </w:r>
            <w:r>
              <w:rPr>
                <w:color w:val="000000"/>
                <w:sz w:val="24"/>
                <w:highlight w:val="none"/>
                <w:lang w:val="en-US" w:eastAsia="zh-CN"/>
              </w:rPr>
            </w:r>
            <w:r/>
          </w:p>
        </w:tc>
        <w:tc>
          <w:tcPr>
            <w:tcW w:w="1982" w:type="dxa"/>
            <w:vAlign w:val="center"/>
            <w:textDirection w:val="lrTb"/>
            <w:noWrap w:val="false"/>
          </w:tcPr>
          <w:p>
            <w:pPr>
              <w:pStyle w:val="909"/>
              <w:tabs>
                <w:tab w:val="left" w:pos="1080" w:leader="none"/>
              </w:tabs>
              <w:rPr>
                <w:color w:val="000000"/>
                <w:sz w:val="24"/>
                <w:szCs w:val="24"/>
                <w:highlight w:val="none"/>
                <w:lang w:val="en-US" w:eastAsia="zh-CN" w:bidi="ar-SA"/>
              </w:rPr>
              <w:outlineLvl w:val="9"/>
            </w:pPr>
            <w:r>
              <w:rPr>
                <w:color w:val="000000"/>
                <w:sz w:val="24"/>
                <w:highlight w:val="none"/>
              </w:rPr>
              <w:t xml:space="preserve">其他特定资格要求</w:t>
            </w:r>
            <w:r>
              <w:rPr>
                <w:color w:val="000000"/>
                <w:sz w:val="24"/>
                <w:szCs w:val="24"/>
                <w:highlight w:val="none"/>
                <w:lang w:val="en-US" w:eastAsia="zh-CN" w:bidi="ar-SA"/>
              </w:rPr>
            </w:r>
            <w:r/>
          </w:p>
        </w:tc>
        <w:tc>
          <w:tcPr>
            <w:tcW w:w="4822" w:type="dxa"/>
            <w:vAlign w:val="center"/>
            <w:textDirection w:val="lrTb"/>
            <w:noWrap w:val="false"/>
          </w:tcPr>
          <w:p>
            <w:pPr>
              <w:pStyle w:val="909"/>
              <w:tabs>
                <w:tab w:val="left" w:pos="1080" w:leader="none"/>
              </w:tabs>
              <w:rPr>
                <w:color w:val="000000"/>
                <w:sz w:val="24"/>
                <w:szCs w:val="24"/>
                <w:highlight w:val="none"/>
                <w:lang w:val="en-US" w:eastAsia="zh-CN" w:bidi="ar-SA"/>
              </w:rPr>
              <w:outlineLvl w:val="9"/>
            </w:pPr>
            <w:r>
              <w:rPr>
                <w:color w:val="000000"/>
                <w:sz w:val="24"/>
                <w:highlight w:val="none"/>
              </w:rPr>
              <w:t xml:space="preserve">见第一章《投标邀请》</w:t>
            </w:r>
            <w:r>
              <w:rPr>
                <w:color w:val="000000"/>
                <w:sz w:val="24"/>
                <w:szCs w:val="24"/>
                <w:highlight w:val="none"/>
                <w:lang w:val="en-US" w:eastAsia="zh-CN" w:bidi="ar-SA"/>
              </w:rPr>
            </w:r>
            <w:r/>
          </w:p>
        </w:tc>
        <w:tc>
          <w:tcPr>
            <w:tcW w:w="1638" w:type="dxa"/>
            <w:vAlign w:val="center"/>
            <w:textDirection w:val="lrTb"/>
            <w:noWrap w:val="false"/>
          </w:tcPr>
          <w:p>
            <w:pPr>
              <w:pStyle w:val="909"/>
              <w:tabs>
                <w:tab w:val="left" w:pos="1080" w:leader="none"/>
              </w:tabs>
              <w:rPr>
                <w:color w:val="000000"/>
                <w:sz w:val="24"/>
                <w:szCs w:val="24"/>
                <w:highlight w:val="none"/>
                <w:lang w:val="en-US" w:eastAsia="zh-CN" w:bidi="ar-SA"/>
              </w:rPr>
              <w:outlineLvl w:val="9"/>
            </w:pPr>
            <w:r>
              <w:rPr>
                <w:color w:val="000000"/>
                <w:sz w:val="24"/>
                <w:highlight w:val="none"/>
              </w:rPr>
              <w:t xml:space="preserve">提供</w:t>
            </w:r>
            <w:r>
              <w:rPr>
                <w:rFonts w:hint="eastAsia"/>
                <w:color w:val="000000"/>
                <w:sz w:val="24"/>
                <w:highlight w:val="none"/>
                <w:lang w:val="en-US" w:eastAsia="zh-CN"/>
              </w:rPr>
              <w:t xml:space="preserve">证书或</w:t>
            </w:r>
            <w:r>
              <w:rPr>
                <w:color w:val="000000"/>
                <w:sz w:val="24"/>
                <w:highlight w:val="none"/>
              </w:rPr>
              <w:t xml:space="preserve">证明文件的电子件或电子证照</w:t>
            </w:r>
            <w:r>
              <w:rPr>
                <w:color w:val="000000"/>
                <w:sz w:val="24"/>
                <w:szCs w:val="24"/>
                <w:highlight w:val="none"/>
                <w:lang w:val="en-US" w:eastAsia="zh-CN" w:bidi="ar-SA"/>
              </w:rPr>
            </w:r>
            <w:r/>
          </w:p>
        </w:tc>
      </w:tr>
    </w:tbl>
    <w:p>
      <w:pPr>
        <w:pStyle w:val="940"/>
        <w:tabs>
          <w:tab w:val="left" w:pos="567" w:leader="none"/>
        </w:tabs>
        <w:rPr>
          <w:rFonts w:hint="eastAsia"/>
          <w:color w:val="000000"/>
          <w:highlight w:val="none"/>
        </w:rPr>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90"/>
      <w:r>
        <w:rPr>
          <w:rFonts w:hint="eastAsia"/>
          <w:color w:val="000000"/>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widowControl/>
        <w:rPr>
          <w:b/>
          <w:color w:val="000000"/>
          <w:sz w:val="36"/>
          <w:szCs w:val="36"/>
          <w:highlight w:val="none"/>
        </w:rPr>
        <w:outlineLvl w:val="0"/>
      </w:pPr>
      <w:r/>
      <w:bookmarkStart w:id="698" w:name="_Toc3485"/>
      <w:r>
        <w:rPr>
          <w:b/>
          <w:color w:val="000000"/>
          <w:sz w:val="36"/>
          <w:szCs w:val="36"/>
          <w:highlight w:val="none"/>
        </w:rPr>
        <w:t xml:space="preserve">第四章   </w:t>
      </w:r>
      <w:bookmarkEnd w:id="693"/>
      <w:r/>
      <w:bookmarkEnd w:id="694"/>
      <w:r/>
      <w:bookmarkEnd w:id="695"/>
      <w:r/>
      <w:bookmarkEnd w:id="696"/>
      <w:r/>
      <w:bookmarkEnd w:id="697"/>
      <w:r/>
      <w:bookmarkStart w:id="699" w:name="_Hlt164229061"/>
      <w:r/>
      <w:bookmarkEnd w:id="699"/>
      <w:r>
        <w:rPr>
          <w:b/>
          <w:color w:val="000000"/>
          <w:sz w:val="36"/>
          <w:szCs w:val="36"/>
          <w:highlight w:val="none"/>
        </w:rPr>
        <w:t xml:space="preserve">评标程序、评标方法和评标标准</w:t>
      </w:r>
      <w:bookmarkEnd w:id="698"/>
      <w:r>
        <w:rPr>
          <w:b/>
          <w:color w:val="000000"/>
          <w:sz w:val="36"/>
          <w:szCs w:val="36"/>
          <w:highlight w:val="none"/>
        </w:rPr>
      </w:r>
      <w:r/>
    </w:p>
    <w:p>
      <w:pPr>
        <w:pStyle w:val="909"/>
        <w:jc w:val="center"/>
        <w:spacing w:line="360" w:lineRule="auto"/>
        <w:tabs>
          <w:tab w:val="left" w:pos="360" w:leader="none"/>
          <w:tab w:val="left" w:pos="900" w:leader="none"/>
        </w:tabs>
        <w:rPr>
          <w:b/>
          <w:color w:val="000000"/>
          <w:highlight w:val="none"/>
        </w:rPr>
        <w:outlineLvl w:val="9"/>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09"/>
        <w:numPr>
          <w:ilvl w:val="0"/>
          <w:numId w:val="11"/>
        </w:numPr>
        <w:spacing w:line="360" w:lineRule="auto"/>
        <w:tabs>
          <w:tab w:val="left" w:pos="360" w:leader="none"/>
          <w:tab w:val="left" w:pos="900" w:leader="none"/>
        </w:tabs>
        <w:rPr>
          <w:color w:val="000000"/>
          <w:sz w:val="24"/>
          <w:highlight w:val="none"/>
        </w:rPr>
        <w:outlineLvl w:val="9"/>
      </w:pPr>
      <w:r/>
      <w:bookmarkStart w:id="700" w:name="_Toc142311043"/>
      <w:r/>
      <w:bookmarkStart w:id="701" w:name="_Toc195842906"/>
      <w:r/>
      <w:bookmarkStart w:id="702" w:name="_Toc127151541"/>
      <w:r/>
      <w:bookmarkStart w:id="703" w:name="_Toc226965731"/>
      <w:r/>
      <w:bookmarkStart w:id="704" w:name="_Toc264969231"/>
      <w:r/>
      <w:bookmarkStart w:id="705" w:name="_Toc151193929"/>
      <w:r/>
      <w:bookmarkStart w:id="706" w:name="_Toc151193639"/>
      <w:r/>
      <w:bookmarkStart w:id="707" w:name="_Toc151193711"/>
      <w:r/>
      <w:bookmarkStart w:id="708" w:name="_Toc150774641"/>
      <w:r/>
      <w:bookmarkStart w:id="709" w:name="_Toc151193855"/>
      <w:r/>
      <w:bookmarkStart w:id="710" w:name="_Toc150480779"/>
      <w:r/>
      <w:bookmarkStart w:id="711" w:name="_Toc305158883"/>
      <w:r/>
      <w:bookmarkStart w:id="712" w:name="_Toc164229236"/>
      <w:r/>
      <w:bookmarkStart w:id="713" w:name="_Toc127161455"/>
      <w:r/>
      <w:bookmarkStart w:id="714" w:name="_Toc265228379"/>
      <w:r/>
      <w:bookmarkStart w:id="715" w:name="_Toc164608655"/>
      <w:r/>
      <w:bookmarkStart w:id="716" w:name="_Toc226965814"/>
      <w:r/>
      <w:bookmarkStart w:id="717" w:name="_Toc226309785"/>
      <w:r/>
      <w:bookmarkStart w:id="718" w:name="_Toc151193783"/>
      <w:r/>
      <w:bookmarkStart w:id="719" w:name="_Toc150774746"/>
      <w:r/>
      <w:bookmarkStart w:id="720" w:name="_Toc150509292"/>
      <w:r/>
      <w:bookmarkStart w:id="721" w:name="_Toc151190168"/>
      <w:r/>
      <w:bookmarkStart w:id="722" w:name="_Toc164351635"/>
      <w:r/>
      <w:bookmarkStart w:id="723" w:name="_Toc226337237"/>
      <w:r/>
      <w:bookmarkStart w:id="724" w:name="_Toc164229382"/>
      <w:r/>
      <w:bookmarkStart w:id="725" w:name="_Toc305158809"/>
      <w:r/>
      <w:bookmarkStart w:id="726" w:name="_Toc149720834"/>
      <w:r/>
      <w:bookmarkStart w:id="727" w:name="_Toc164608810"/>
      <w:r/>
      <w:bookmarkStart w:id="728" w:name="_Toc127151742"/>
      <w:r/>
      <w:bookmarkStart w:id="729" w:name="_Toc353873941"/>
      <w:r/>
      <w:bookmarkStart w:id="730" w:name="_Toc353825551"/>
      <w:r/>
      <w:bookmarkStart w:id="731" w:name="_Toc226337251"/>
      <w:r/>
      <w:bookmarkStart w:id="732" w:name="_Toc265228393"/>
      <w:r/>
      <w:bookmarkStart w:id="733" w:name="_Toc353825545"/>
      <w:r/>
      <w:bookmarkStart w:id="734" w:name="_Toc305158897"/>
      <w:r/>
      <w:bookmarkStart w:id="735" w:name="_Toc353873935"/>
      <w:r/>
      <w:bookmarkStart w:id="736" w:name="_Toc305158823"/>
      <w:r/>
      <w:bookmarkStart w:id="737" w:name="_Toc353873665"/>
      <w:r/>
      <w:bookmarkStart w:id="738" w:name="_Toc264969245"/>
      <w:r/>
      <w:bookmarkStart w:id="739" w:name="_Toc226965828"/>
      <w:r/>
      <w:bookmarkStart w:id="740" w:name="_Toc142311057"/>
      <w:r/>
      <w:bookmarkStart w:id="741" w:name="_Toc127151555"/>
      <w:r/>
      <w:bookmarkStart w:id="742" w:name="_Toc150480793"/>
      <w:r/>
      <w:bookmarkStart w:id="743" w:name="_Toc195842920"/>
      <w:r/>
      <w:bookmarkStart w:id="744" w:name="_Toc150774760"/>
      <w:r>
        <w:rPr>
          <w:color w:val="000000"/>
          <w:sz w:val="24"/>
          <w:highlight w:val="none"/>
        </w:rPr>
        <w:t xml:space="preserve">投标文件的符合性审查</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color w:val="000000"/>
          <w:sz w:val="24"/>
          <w:highlight w:val="none"/>
        </w:rPr>
      </w:r>
      <w:r/>
    </w:p>
    <w:p>
      <w:pPr>
        <w:pStyle w:val="909"/>
        <w:numPr>
          <w:ilvl w:val="1"/>
          <w:numId w:val="11"/>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评标委员会对资格审查合格的投标人的投标文件进行符合性审查，以确定其是否满足招标文件的实质性要求。</w:t>
      </w:r>
      <w:bookmarkStart w:id="745" w:name="_Toc520356167"/>
      <w:r>
        <w:rPr>
          <w:color w:val="000000"/>
          <w:sz w:val="24"/>
          <w:highlight w:val="none"/>
        </w:rPr>
      </w:r>
      <w:r/>
    </w:p>
    <w:p>
      <w:pPr>
        <w:pStyle w:val="909"/>
        <w:numPr>
          <w:ilvl w:val="1"/>
          <w:numId w:val="11"/>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4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09"/>
        <w:ind w:hanging="357"/>
        <w:jc w:val="center"/>
        <w:spacing w:line="360" w:lineRule="auto"/>
        <w:tabs>
          <w:tab w:val="left" w:pos="900" w:leader="none"/>
          <w:tab w:val="left" w:pos="1080" w:leader="none"/>
          <w:tab w:val="left" w:pos="1589" w:leader="none"/>
        </w:tabs>
        <w:rPr>
          <w:b/>
          <w:color w:val="000000"/>
          <w:sz w:val="24"/>
          <w:highlight w:val="none"/>
        </w:rPr>
        <w:outlineLvl w:val="9"/>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09"/>
              <w:jc w:val="center"/>
              <w:widowControl/>
              <w:rPr>
                <w:b/>
                <w:color w:val="000000"/>
                <w:sz w:val="24"/>
                <w:highlight w:val="none"/>
              </w:rPr>
              <w:outlineLvl w:val="9"/>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909"/>
              <w:jc w:val="center"/>
              <w:widowControl/>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909"/>
              <w:jc w:val="center"/>
              <w:widowControl/>
              <w:rPr>
                <w:b/>
                <w:color w:val="000000"/>
                <w:sz w:val="24"/>
                <w:highlight w:val="none"/>
              </w:rPr>
              <w:outlineLvl w:val="9"/>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投标函、</w:t>
            </w:r>
            <w:r>
              <w:rPr>
                <w:rFonts w:hint="eastAsia"/>
                <w:color w:val="000000"/>
                <w:sz w:val="24"/>
                <w:highlight w:val="none"/>
              </w:rPr>
              <w:t xml:space="preserve">法定代表人资格证明书和政府采购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未</w:t>
            </w:r>
            <w:r>
              <w:rPr>
                <w:color w:val="000000"/>
                <w:sz w:val="24"/>
                <w:highlight w:val="none"/>
              </w:rPr>
              <w:t xml:space="preserve">将一个</w:t>
            </w:r>
            <w:r>
              <w:rPr>
                <w:rFonts w:hint="eastAsia"/>
                <w:color w:val="000000"/>
                <w:sz w:val="24"/>
                <w:highlight w:val="none"/>
                <w:lang w:eastAsia="zh-CN"/>
              </w:rPr>
              <w:t xml:space="preserve">采购项目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超过招标文件中规定的项目预算金额或者项目最高限价</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highlight w:val="none"/>
              </w:rPr>
              <w:outlineLvl w:val="9"/>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9</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报价合理性</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rFonts w:hint="eastAsia"/>
                <w:color w:val="000000"/>
                <w:sz w:val="24"/>
                <w:szCs w:val="24"/>
                <w:highlight w:val="none"/>
                <w:lang w:val="en-US" w:eastAsia="zh-CN" w:bidi="ar-SA"/>
              </w:rPr>
              <w:outlineLvl w:val="9"/>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rFonts w:eastAsia="宋体"/>
                <w:color w:val="000000"/>
                <w:sz w:val="24"/>
                <w:szCs w:val="24"/>
                <w:highlight w:val="none"/>
                <w:lang w:val="en-US" w:eastAsia="zh-CN" w:bidi="ar-SA"/>
              </w:rPr>
              <w:outlineLvl w:val="9"/>
            </w:pPr>
            <w:r>
              <w:rPr>
                <w:rFonts w:hint="eastAsia"/>
                <w:color w:val="000000"/>
                <w:sz w:val="24"/>
                <w:highlight w:val="none"/>
                <w:lang w:val="en-US" w:eastAsia="zh-CN"/>
              </w:rPr>
              <w:t xml:space="preserve">10</w:t>
            </w:r>
            <w:r>
              <w:rPr>
                <w:rFonts w:eastAsia="宋体"/>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国家有关部门对投标人的投标产品有强制性规定或要求的</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highlight w:val="none"/>
              </w:rPr>
              <w:outlineLvl w:val="9"/>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w:t>
            </w:r>
            <w:r>
              <w:rPr>
                <w:rFonts w:hint="eastAsia"/>
                <w:color w:val="000000"/>
                <w:sz w:val="24"/>
                <w:highlight w:val="none"/>
                <w:lang w:eastAsia="zh-CN"/>
              </w:rPr>
              <w:t xml:space="preserve">提供证明文件</w:t>
            </w:r>
            <w:r>
              <w:rPr>
                <w:rFonts w:hint="eastAsia"/>
                <w:color w:val="000000"/>
                <w:sz w:val="24"/>
                <w:highlight w:val="none"/>
                <w:lang w:val="en-US" w:eastAsia="zh-CN"/>
              </w:rPr>
              <w:t xml:space="preserve">电子</w:t>
            </w:r>
            <w:r>
              <w:rPr>
                <w:rFonts w:hint="eastAsia"/>
                <w:color w:val="000000"/>
                <w:sz w:val="24"/>
                <w:highlight w:val="none"/>
                <w:lang w:eastAsia="zh-CN"/>
              </w:rPr>
              <w:t xml:space="preserve">件加盖投标人公章</w:t>
            </w:r>
            <w:r>
              <w:rPr>
                <w:rFonts w:hint="eastAsia"/>
                <w:color w:val="000000"/>
                <w:sz w:val="24"/>
                <w:highlight w:val="none"/>
              </w:rPr>
              <w:t xml:space="preserve">：</w:t>
            </w:r>
            <w:r>
              <w:rPr>
                <w:color w:val="000000"/>
                <w:sz w:val="24"/>
                <w:highlight w:val="none"/>
              </w:rPr>
            </w:r>
            <w:r/>
          </w:p>
          <w:p>
            <w:pPr>
              <w:pStyle w:val="909"/>
              <w:jc w:val="left"/>
              <w:widowControl/>
              <w:rPr>
                <w:color w:val="000000"/>
                <w:sz w:val="24"/>
                <w:highlight w:val="none"/>
              </w:rPr>
              <w:outlineLvl w:val="9"/>
            </w:pPr>
            <w:r>
              <w:rPr>
                <w:rFonts w:hint="eastAsia"/>
                <w:color w:val="000000"/>
                <w:sz w:val="24"/>
                <w:highlight w:val="none"/>
              </w:rPr>
              <w:t xml:space="preserve">1）</w:t>
            </w:r>
            <w:r>
              <w:rPr>
                <w:color w:val="000000"/>
                <w:sz w:val="24"/>
                <w:highlight w:val="none"/>
              </w:rPr>
              <w:t xml:space="preserve">采购的产品</w:t>
            </w:r>
            <w:r>
              <w:rPr>
                <w:b/>
                <w:bCs/>
                <w:color w:val="000000"/>
                <w:sz w:val="24"/>
                <w:highlight w:val="none"/>
              </w:rPr>
              <w:t xml:space="preserve">若属于</w:t>
            </w:r>
            <w:r>
              <w:rPr>
                <w:color w:val="000000"/>
                <w:sz w:val="24"/>
                <w:highlight w:val="none"/>
              </w:rPr>
              <w:t xml:space="preserve">《节能产品政府采购品目清单》范围中政府强制采购产品，则投标人所报产品必须获得国家确定的认证机构出具的、处于有效期之内的节能产品认证证书；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09"/>
              <w:jc w:val="left"/>
              <w:widowControl/>
              <w:rPr>
                <w:color w:val="000000"/>
                <w:sz w:val="24"/>
                <w:szCs w:val="24"/>
                <w:highlight w:val="none"/>
                <w:lang w:val="en-US" w:eastAsia="zh-CN" w:bidi="ar-SA"/>
              </w:rPr>
              <w:outlineLvl w:val="9"/>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国家有特殊信息安全要求的项目，采购产品</w:t>
            </w:r>
            <w:r>
              <w:rPr>
                <w:b/>
                <w:bCs/>
                <w:color w:val="000000"/>
                <w:sz w:val="24"/>
                <w:highlight w:val="none"/>
              </w:rPr>
              <w:t xml:space="preserve">涉及</w:t>
            </w:r>
            <w:r>
              <w:rPr>
                <w:color w:val="000000"/>
                <w:sz w:val="24"/>
                <w:highlight w:val="none"/>
              </w:rPr>
              <w:t xml:space="preserve">无线局域网产品和含有无线局域网功能的计算机、通信设备、打印机、复印机、投影仪等产品的，投标产品须为符合国家无线局域网安全标准并通过国家产品认证的产品；</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11</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公平竞争</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12</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串通投标</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color w:val="000000"/>
                <w:sz w:val="24"/>
                <w:szCs w:val="24"/>
                <w:highlight w:val="none"/>
                <w:lang w:val="en-US" w:eastAsia="zh-CN" w:bidi="ar-SA"/>
              </w:rPr>
              <w:outlineLvl w:val="9"/>
            </w:pPr>
            <w:r>
              <w:rPr>
                <w:color w:val="000000"/>
                <w:sz w:val="24"/>
                <w:highlight w:val="none"/>
              </w:rPr>
              <w:t xml:space="preserve">13</w:t>
            </w:r>
            <w:r>
              <w:rPr>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附加条件</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szCs w:val="24"/>
                <w:highlight w:val="none"/>
                <w:lang w:val="en-US" w:eastAsia="zh-CN" w:bidi="ar-SA"/>
              </w:rPr>
            </w:r>
            <w:r/>
          </w:p>
        </w:tc>
      </w:tr>
      <w:tr>
        <w:trPr>
          <w:trHeight w:val="685"/>
        </w:trPr>
        <w:tc>
          <w:tcPr>
            <w:tcW w:w="750" w:type="dxa"/>
            <w:vAlign w:val="center"/>
            <w:textDirection w:val="lrTb"/>
            <w:noWrap w:val="false"/>
          </w:tcPr>
          <w:p>
            <w:pPr>
              <w:pStyle w:val="909"/>
              <w:jc w:val="center"/>
              <w:widowControl/>
              <w:rPr>
                <w:rFonts w:hint="eastAsia" w:eastAsia="宋体"/>
                <w:color w:val="000000"/>
                <w:sz w:val="24"/>
                <w:szCs w:val="24"/>
                <w:highlight w:val="none"/>
                <w:lang w:val="en-US" w:eastAsia="zh-CN" w:bidi="ar-SA"/>
              </w:rPr>
              <w:outlineLvl w:val="9"/>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szCs w:val="24"/>
                <w:highlight w:val="none"/>
                <w:lang w:val="en-US" w:eastAsia="zh-CN" w:bidi="ar-SA"/>
              </w:rPr>
            </w:r>
            <w:r/>
          </w:p>
        </w:tc>
        <w:tc>
          <w:tcPr>
            <w:tcW w:w="1813"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其他无效情形</w:t>
            </w:r>
            <w:r>
              <w:rPr>
                <w:color w:val="000000"/>
                <w:sz w:val="24"/>
                <w:szCs w:val="24"/>
                <w:highlight w:val="none"/>
                <w:lang w:val="en-US" w:eastAsia="zh-CN" w:bidi="ar-SA"/>
              </w:rPr>
            </w:r>
            <w:r/>
          </w:p>
        </w:tc>
        <w:tc>
          <w:tcPr>
            <w:tcW w:w="6725" w:type="dxa"/>
            <w:vAlign w:val="center"/>
            <w:textDirection w:val="lrTb"/>
            <w:noWrap w:val="false"/>
          </w:tcPr>
          <w:p>
            <w:pPr>
              <w:pStyle w:val="909"/>
              <w:jc w:val="left"/>
              <w:widowControl/>
              <w:rPr>
                <w:color w:val="000000"/>
                <w:sz w:val="24"/>
                <w:szCs w:val="24"/>
                <w:highlight w:val="none"/>
                <w:lang w:val="en-US" w:eastAsia="zh-CN" w:bidi="ar-SA"/>
              </w:rPr>
              <w:outlineLvl w:val="9"/>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szCs w:val="24"/>
                <w:highlight w:val="none"/>
                <w:lang w:val="en-US" w:eastAsia="zh-CN" w:bidi="ar-SA"/>
              </w:rPr>
            </w:r>
            <w:r/>
          </w:p>
        </w:tc>
      </w:tr>
    </w:tbl>
    <w:p>
      <w:pPr>
        <w:pStyle w:val="909"/>
        <w:numPr>
          <w:ilvl w:val="0"/>
          <w:numId w:val="12"/>
        </w:numPr>
        <w:spacing w:line="360" w:lineRule="auto"/>
        <w:tabs>
          <w:tab w:val="left" w:pos="900" w:leader="none"/>
          <w:tab w:val="left" w:pos="1080" w:leader="none"/>
          <w:tab w:val="left" w:pos="1589"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投标文件有关事项的澄清或者说明</w:t>
      </w:r>
      <w:r>
        <w:rPr>
          <w:rFonts w:hint="eastAsia" w:ascii="宋体" w:hAnsi="宋体" w:eastAsia="宋体" w:cs="宋体"/>
          <w:color w:val="000000"/>
          <w:sz w:val="24"/>
          <w:highlight w:val="none"/>
        </w:rPr>
      </w:r>
      <w:r/>
    </w:p>
    <w:p>
      <w:pPr>
        <w:pStyle w:val="909"/>
        <w:numPr>
          <w:ilvl w:val="1"/>
          <w:numId w:val="11"/>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评标过程中，评标委员会将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实施政府采购异常低价审查的有关要求：具体按照财库〔2026〕2号《关于推动解决政府采购异常低价问题的通知》要求 ：</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（一）政府采购评审中出现下列情形之一的，评审委员会应当启动异常低价投标（响应）审查程序：</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909"/>
        <w:ind w:left="1985"/>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000000"/>
          <w:sz w:val="24"/>
          <w:highlight w:val="none"/>
          <w:lang w:eastAsia="zh-CN"/>
        </w:rPr>
        <w:t xml:space="preserve">采购项目</w:t>
      </w:r>
      <w:r>
        <w:rPr>
          <w:rFonts w:hint="eastAsia" w:ascii="宋体" w:hAnsi="宋体" w:eastAsia="宋体" w:cs="宋体"/>
          <w:color w:val="000000"/>
          <w:sz w:val="24"/>
          <w:highlight w:val="none"/>
        </w:rPr>
        <w:t xml:space="preserve">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909"/>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909"/>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对于未预留份额专门面向中小企业采购的采购项目，对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2采购本国产品的支持政策</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投标文件的比较和评价</w:t>
      </w:r>
      <w:bookmarkEnd w:id="729"/>
      <w:r/>
      <w:bookmarkEnd w:id="730"/>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909"/>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909"/>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909"/>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u w:val="singl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746" w:name="_Toc149720839"/>
      <w:r/>
      <w:bookmarkStart w:id="747" w:name="_Toc150774646"/>
      <w:r/>
      <w:bookmarkStart w:id="748" w:name="_Toc127151546"/>
      <w:r/>
      <w:bookmarkStart w:id="749" w:name="_Toc164608660"/>
      <w:r/>
      <w:bookmarkStart w:id="750" w:name="_Toc151193716"/>
      <w:r/>
      <w:bookmarkStart w:id="751" w:name="_Toc226965736"/>
      <w:r/>
      <w:bookmarkStart w:id="752" w:name="_Toc195842911"/>
      <w:r/>
      <w:bookmarkStart w:id="753" w:name="_Toc127161460"/>
      <w:r/>
      <w:bookmarkStart w:id="754" w:name="_Toc226965819"/>
      <w:r/>
      <w:bookmarkStart w:id="755" w:name="_Toc151193644"/>
      <w:r/>
      <w:bookmarkStart w:id="756" w:name="_Toc150480784"/>
      <w:r/>
      <w:bookmarkStart w:id="757" w:name="_Toc151193860"/>
      <w:r/>
      <w:bookmarkStart w:id="758" w:name="_Toc151190173"/>
      <w:r/>
      <w:bookmarkStart w:id="759" w:name="_Toc164229241"/>
      <w:r/>
      <w:bookmarkStart w:id="760" w:name="_Toc142311048"/>
      <w:r/>
      <w:bookmarkStart w:id="761" w:name="_Toc164351640"/>
      <w:r/>
      <w:bookmarkStart w:id="762" w:name="_Toc226309790"/>
      <w:r/>
      <w:bookmarkStart w:id="763" w:name="_Toc305158888"/>
      <w:r/>
      <w:bookmarkStart w:id="764" w:name="_Toc265228384"/>
      <w:r/>
      <w:bookmarkStart w:id="765" w:name="_Toc305158814"/>
      <w:r/>
      <w:bookmarkStart w:id="766" w:name="_Toc150774751"/>
      <w:r/>
      <w:bookmarkStart w:id="767" w:name="_Toc151193788"/>
      <w:r/>
      <w:bookmarkStart w:id="768" w:name="_Ref467307010"/>
      <w:r/>
      <w:bookmarkStart w:id="769" w:name="_Toc226337242"/>
      <w:r/>
      <w:bookmarkStart w:id="770" w:name="_Toc520356170"/>
      <w:r/>
      <w:bookmarkStart w:id="771" w:name="_Toc164229387"/>
      <w:r/>
      <w:bookmarkStart w:id="772" w:name="_Toc264969236"/>
      <w:r/>
      <w:bookmarkStart w:id="773" w:name="_Toc127151747"/>
      <w:r/>
      <w:bookmarkStart w:id="774" w:name="_Toc150509297"/>
      <w:r/>
      <w:bookmarkStart w:id="775" w:name="_Toc151193934"/>
      <w:r/>
      <w:bookmarkStart w:id="776" w:name="_Toc164608815"/>
      <w:r>
        <w:rPr>
          <w:rFonts w:hint="eastAsia" w:ascii="宋体" w:hAnsi="宋体" w:eastAsia="宋体" w:cs="宋体"/>
          <w:color w:val="000000"/>
          <w:sz w:val="24"/>
          <w:highlight w:val="none"/>
        </w:rPr>
        <w:t xml:space="preserve">中标候选人名单</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采用综合评分法时，提供相同品牌产品</w:t>
      </w:r>
      <w:r>
        <w:rPr>
          <w:rFonts w:hint="eastAsia" w:ascii="宋体" w:hAnsi="宋体" w:eastAsia="宋体" w:cs="宋体"/>
          <w:b/>
          <w:bCs/>
          <w:color w:val="000000"/>
          <w:sz w:val="24"/>
          <w:highlight w:val="none"/>
          <w:lang w:eastAsia="zh-CN"/>
        </w:rPr>
        <w:t xml:space="preserve">（单一产品品牌相同）</w:t>
      </w:r>
      <w:r>
        <w:rPr>
          <w:rFonts w:hint="eastAsia" w:ascii="宋体" w:hAnsi="宋体" w:eastAsia="宋体" w:cs="宋体"/>
          <w:b/>
          <w:bCs/>
          <w:color w:val="000000"/>
          <w:sz w:val="24"/>
          <w:highlight w:val="none"/>
        </w:rPr>
        <w:t xml:space="preserve">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b/>
          <w:bCs/>
          <w:color w:val="000000"/>
          <w:sz w:val="24"/>
          <w:highlight w:val="none"/>
        </w:rPr>
      </w:r>
      <w:r/>
    </w:p>
    <w:p>
      <w:pPr>
        <w:pStyle w:val="948"/>
        <w:ind w:left="993" w:firstLine="136"/>
        <w:keepLines w:val="0"/>
        <w:keepNext w:val="0"/>
        <w:pageBreakBefore w:val="0"/>
        <w:spacing w:line="360" w:lineRule="auto"/>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948"/>
        <w:ind w:left="993" w:firstLine="136"/>
        <w:keepLines w:val="0"/>
        <w:keepNext w:val="0"/>
        <w:pageBreakBefore w:val="0"/>
        <w:spacing w:line="360" w:lineRule="auto"/>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评标委员会要对评分汇总情况进行复核，特别是对排名第一的、报价最低的、投标文件被认定为无效的情形进行重点复核。</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eastAsia="宋体" w:cs="宋体"/>
          <w:color w:val="000000"/>
          <w:sz w:val="24"/>
          <w:highlight w:val="none"/>
        </w:rPr>
      </w:r>
      <w:r/>
    </w:p>
    <w:p>
      <w:pPr>
        <w:pStyle w:val="90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90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评标委员会在评标过程中发现投标人有行贿、提供虚假材料或者串通等违法行为时，有向</w:t>
      </w:r>
      <w:r>
        <w:rPr>
          <w:color w:val="000000"/>
          <w:sz w:val="24"/>
          <w:highlight w:val="none"/>
        </w:rPr>
        <w:t xml:space="preserve">采购人</w:t>
      </w:r>
      <w:r>
        <w:rPr>
          <w:rFonts w:hint="eastAsia" w:ascii="宋体" w:hAnsi="宋体" w:eastAsia="宋体" w:cs="宋体"/>
          <w:color w:val="000000"/>
          <w:sz w:val="24"/>
          <w:highlight w:val="none"/>
        </w:rPr>
        <w:t xml:space="preserve">、采购代理机构或者有关部门报告的职责。</w:t>
      </w:r>
      <w:r>
        <w:rPr>
          <w:rFonts w:hint="eastAsia" w:ascii="宋体" w:hAnsi="宋体" w:eastAsia="宋体" w:cs="宋体"/>
          <w:color w:val="000000"/>
          <w:sz w:val="24"/>
          <w:highlight w:val="none"/>
        </w:rPr>
      </w:r>
      <w:r/>
    </w:p>
    <w:p>
      <w:pPr>
        <w:pStyle w:val="909"/>
        <w:jc w:val="center"/>
        <w:keepLines w:val="0"/>
        <w:keepNext w:val="0"/>
        <w:pageBreakBefore w:val="0"/>
        <w:spacing w:line="360" w:lineRule="auto"/>
        <w:widowControl/>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b/>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二、评标标准</w:t>
      </w:r>
      <w:r>
        <w:rPr>
          <w:rFonts w:hint="eastAsia" w:ascii="宋体" w:hAnsi="宋体" w:eastAsia="宋体" w:cs="Times New Roman"/>
          <w:b/>
          <w:bCs/>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106"/>
        <w:gridCol w:w="6285"/>
        <w:gridCol w:w="538"/>
      </w:tblGrid>
      <w:tr>
        <w:trPr>
          <w:trHeight w:val="355"/>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285"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09"/>
              <w:jc w:val="both"/>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一、报价（</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1562"/>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widowControl w:val="off"/>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285" w:type="dxa"/>
            <w:vAlign w:val="center"/>
            <w:textDirection w:val="lrTb"/>
            <w:noWrap w:val="false"/>
          </w:tcPr>
          <w:p>
            <w:pPr>
              <w:pStyle w:val="909"/>
              <w:jc w:val="both"/>
              <w:keepLines w:val="0"/>
              <w:keepNext w:val="0"/>
              <w:pageBreakBefore w:val="0"/>
              <w:spacing w:line="24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注：此处投标报价指经过报价修正，及因落实政府采购政策进行价格调整后的报价。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09"/>
              <w:jc w:val="both"/>
              <w:keepLines w:val="0"/>
              <w:keepNext w:val="0"/>
              <w:pageBreakBefore w:val="0"/>
              <w:spacing w:line="360" w:lineRule="exact"/>
              <w:tabs>
                <w:tab w:val="left" w:pos="426" w:leader="none"/>
              </w:tabs>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主观分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28</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lang w:val="en-US" w:eastAsia="zh-CN" w:bidi="ar-SA"/>
              </w:rPr>
              <w:t xml:space="preserve">售后维保方案及售后服务方案</w:t>
            </w:r>
            <w:r>
              <w:rPr>
                <w:rFonts w:hint="eastAsia"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评标委员会根据投标人提供的投标产品</w:t>
            </w:r>
            <w:r>
              <w:rPr>
                <w:rFonts w:hint="eastAsia" w:ascii="宋体" w:hAnsi="宋体" w:eastAsia="宋体" w:cs="宋体"/>
                <w:color w:val="000000"/>
                <w:sz w:val="24"/>
                <w:szCs w:val="24"/>
                <w:highlight w:val="none"/>
                <w:lang w:val="en-US" w:eastAsia="zh-CN" w:bidi="ar-SA"/>
              </w:rPr>
              <w:t xml:space="preserve">售后维保方案及售后服务方案（包括：投标产品后期维保成本、维保方案、维保操作程序、项目售后服务响应时间、故障解决方案等）</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（1）投标人所提供的投标产品售后维保方案、维保成本、维保操作程序完整详细，有利于设备后期维护使用，项目售后服务响应时间、故障解决方案完整详细，能够完全满足实际需求的，得8分。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投标人所提供的投标产品售后维保方案简单，维保成本、维保操作程序不清晰，有瑕疵，项目售后服务响应时间、故障解决方案简单，能够基本满足实际需求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，得6分，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投标人所提供的投标产品售后维保方案简单，维保成本、维保操作程序不清晰，有瑕疵，项目售后服务响应时间、故障解决方案简单，有瑕疵，与实际需求有偏差的，得4分，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投标人未提供</w:t>
            </w:r>
            <w:r>
              <w:rPr>
                <w:rFonts w:hint="eastAsia" w:ascii="宋体" w:hAnsi="宋体" w:eastAsia="宋体" w:cs="宋体"/>
                <w:color w:val="000000"/>
                <w:sz w:val="24"/>
                <w:szCs w:val="24"/>
                <w:highlight w:val="none"/>
                <w:lang w:val="en-US" w:eastAsia="zh-CN" w:bidi="ar-SA"/>
              </w:rPr>
              <w:t xml:space="preserve">售后维保方案及售后服务方案</w:t>
            </w:r>
            <w:r>
              <w:rPr>
                <w:rFonts w:hint="eastAsia" w:ascii="宋体" w:hAnsi="宋体" w:eastAsia="宋体" w:cs="宋体"/>
                <w:color w:val="000000"/>
                <w:sz w:val="24"/>
                <w:szCs w:val="24"/>
                <w:highlight w:val="none"/>
                <w:lang w:val="en-US" w:eastAsia="zh-CN" w:bidi="ar-SA"/>
              </w:rPr>
              <w:t xml:space="preserve">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2</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执行承诺方案</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w:t>
            </w:r>
            <w:r>
              <w:rPr>
                <w:rFonts w:hint="eastAsia" w:ascii="宋体" w:hAnsi="宋体" w:eastAsia="宋体" w:cs="宋体"/>
                <w:color w:val="000000"/>
                <w:sz w:val="24"/>
                <w:szCs w:val="24"/>
                <w:highlight w:val="none"/>
                <w:lang w:val="en-US" w:eastAsia="zh-CN" w:bidi="ar-SA"/>
              </w:rPr>
              <w:t xml:space="preserve">执行承诺方案</w:t>
            </w:r>
            <w:r>
              <w:rPr>
                <w:rFonts w:hint="eastAsia" w:ascii="宋体" w:hAnsi="宋体" w:eastAsia="宋体" w:cs="宋体"/>
                <w:color w:val="000000"/>
                <w:sz w:val="24"/>
                <w:szCs w:val="24"/>
                <w:highlight w:val="none"/>
                <w:lang w:val="en-US" w:eastAsia="zh-CN" w:bidi="ar-SA"/>
              </w:rPr>
              <w:t xml:space="preserve">（包括：产品质量、产品安装安全措施、产品检验等）</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（1）投标人提供的执行承诺方案措施详细具体、针对性强，能够满足采购需求的，得5分；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投标人提供的执行承诺方案措施简单，基本满足采购需求的，得3分；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投标人提供的执行承诺方案措施不清晰、有瑕疵，不能够满足采购需求的，得1分；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投标人未提供执行承诺方案的不得分。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交货保证措施</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评标委员会根据投标人提供的交货保证措施（包括：时效保障、生产运输保障、应急保障等）进行综合评审。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（1）投标交货时间承诺符合招标文件要求，交货保证措施满足招标文件要求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，得5分；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投标交货时间承诺符合招标文件要求，交货保证措施基本满足招标文件要求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投标交货时间承诺符合招标文件要求，交货保证措施内容不清晰，有瑕疵</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，得1分；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（4）投标人未提供交货保证措施的不得分。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4</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培训计划方案</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评标委员会根据投标人提供的培训计划方案（包括：培训对象、培训安排、培训人员等）进行综合评审。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（1）投标人提供的培训计划详细，培训对象、培训安排、培训人员等内容齐全，能够完全满足采购实际需求的，得5分；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（2）投标人提供的培训计划简单，培训对象、培训安排、培训人员等内容有漏项，基本满足采购实际需求的，得3分；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（3）投标人提供的培训计划简单有瑕疵，培训对象、培训安排、培训人员等内容有漏项，不能满足采购实际需求的，得1分；</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（4）投标人未提供培训计划方案的不得分。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5</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投标设备整体配置比较</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评标委员会根据投标人的</w:t>
            </w:r>
            <w:r>
              <w:rPr>
                <w:rFonts w:hint="eastAsia" w:ascii="宋体" w:hAnsi="宋体" w:eastAsia="宋体" w:cs="宋体"/>
                <w:color w:val="000000"/>
                <w:sz w:val="24"/>
                <w:szCs w:val="24"/>
                <w:highlight w:val="none"/>
                <w:shd w:val="clear" w:color="auto" w:fill="auto"/>
                <w:lang w:val="zh-CN" w:eastAsia="zh-CN"/>
              </w:rPr>
              <w:t xml:space="preserve">投标设备整体配置情况</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投标设备整体配置选型情况综合</w:t>
            </w:r>
            <w:r>
              <w:rPr>
                <w:rFonts w:hint="eastAsia" w:ascii="宋体" w:hAnsi="宋体" w:eastAsia="宋体" w:cs="宋体"/>
                <w:color w:val="000000"/>
                <w:sz w:val="24"/>
                <w:szCs w:val="24"/>
                <w:highlight w:val="none"/>
                <w:lang w:val="en-US" w:eastAsia="zh-CN" w:bidi="ar-SA"/>
              </w:rPr>
              <w:t xml:space="preserve">评审</w:t>
            </w:r>
            <w:r>
              <w:rPr>
                <w:rFonts w:hint="eastAsia" w:ascii="宋体" w:hAnsi="宋体" w:eastAsia="宋体" w:cs="宋体"/>
                <w:color w:val="000000"/>
                <w:sz w:val="24"/>
                <w:szCs w:val="24"/>
                <w:highlight w:val="none"/>
                <w:lang w:val="zh-CN" w:eastAsia="zh-CN" w:bidi="ar-SA"/>
              </w:rPr>
              <w:t xml:space="preserve">，针对本项目的投标产品配置选型合理</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投标设备整体配置选型情况综合</w:t>
            </w:r>
            <w:r>
              <w:rPr>
                <w:rFonts w:hint="eastAsia" w:ascii="宋体" w:hAnsi="宋体" w:eastAsia="宋体" w:cs="宋体"/>
                <w:color w:val="000000"/>
                <w:sz w:val="24"/>
                <w:szCs w:val="24"/>
                <w:highlight w:val="none"/>
                <w:lang w:val="en-US" w:eastAsia="zh-CN" w:bidi="ar-SA"/>
              </w:rPr>
              <w:t xml:space="preserve">评审</w:t>
            </w:r>
            <w:r>
              <w:rPr>
                <w:rFonts w:hint="eastAsia" w:ascii="宋体" w:hAnsi="宋体" w:eastAsia="宋体" w:cs="宋体"/>
                <w:color w:val="000000"/>
                <w:sz w:val="24"/>
                <w:szCs w:val="24"/>
                <w:highlight w:val="none"/>
                <w:lang w:val="zh-CN" w:eastAsia="zh-CN" w:bidi="ar-SA"/>
              </w:rPr>
              <w:t xml:space="preserve">，针对本项目的投标产品配置选型</w:t>
            </w:r>
            <w:r>
              <w:rPr>
                <w:rFonts w:hint="eastAsia" w:ascii="宋体" w:hAnsi="宋体" w:eastAsia="宋体" w:cs="宋体"/>
                <w:color w:val="000000"/>
                <w:sz w:val="24"/>
                <w:szCs w:val="24"/>
                <w:highlight w:val="none"/>
                <w:lang w:val="en-US" w:eastAsia="zh-CN" w:bidi="ar-SA"/>
              </w:rPr>
              <w:t xml:space="preserve">较</w:t>
            </w:r>
            <w:r>
              <w:rPr>
                <w:rFonts w:hint="eastAsia" w:ascii="宋体" w:hAnsi="宋体" w:eastAsia="宋体" w:cs="宋体"/>
                <w:color w:val="000000"/>
                <w:sz w:val="24"/>
                <w:szCs w:val="24"/>
                <w:highlight w:val="none"/>
                <w:lang w:val="zh-CN" w:eastAsia="zh-CN" w:bidi="ar-SA"/>
              </w:rPr>
              <w:t xml:space="preserve">合理</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）针对本项目的投标产品配置选型一般</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，得3分；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针对本项目的投标产品配置选型差</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zh-CN" w:eastAsia="zh-CN"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zh-CN" w:eastAsia="zh-CN" w:bidi="ar-SA"/>
              </w:rPr>
            </w:r>
            <w:r/>
          </w:p>
          <w:p>
            <w:pPr>
              <w:pStyle w:val="1062"/>
              <w:keepLines w:val="0"/>
              <w:keepNext w:val="0"/>
              <w:pageBreakBefore w:val="0"/>
              <w:spacing w:line="360" w:lineRule="exact"/>
              <w:rPr>
                <w:rFonts w:hint="eastAsia" w:ascii="宋体" w:hAnsi="宋体" w:eastAsia="宋体" w:cs="宋体"/>
                <w:color w:val="000000"/>
                <w:sz w:val="24"/>
                <w:szCs w:val="24"/>
                <w:highlight w:val="none"/>
                <w:u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zh-CN" w:eastAsia="zh-CN" w:bidi="ar-SA"/>
              </w:rPr>
              <w:t xml:space="preserve">其余不得分。</w:t>
            </w:r>
            <w:r>
              <w:rPr>
                <w:rFonts w:hint="eastAsia" w:ascii="宋体" w:hAnsi="宋体" w:eastAsia="宋体" w:cs="宋体"/>
                <w:color w:val="000000"/>
                <w:sz w:val="24"/>
                <w:szCs w:val="24"/>
                <w:highlight w:val="none"/>
                <w:u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lang w:val="en-US" w:eastAsia="zh-CN" w:bidi="ar-SA"/>
              </w:rPr>
            </w:r>
            <w:r/>
          </w:p>
        </w:tc>
      </w:tr>
      <w:tr>
        <w:trPr>
          <w:trHeight w:val="283"/>
        </w:trPr>
        <w:tc>
          <w:tcPr>
            <w:gridSpan w:val="4"/>
            <w:tcMar>
              <w:left w:w="108" w:type="dxa"/>
              <w:top w:w="0" w:type="dxa"/>
              <w:right w:w="108" w:type="dxa"/>
              <w:bottom w:w="0" w:type="dxa"/>
            </w:tcMar>
            <w:tcW w:w="8522" w:type="dxa"/>
            <w:vAlign w:val="center"/>
            <w:textDirection w:val="lrTb"/>
            <w:noWrap w:val="false"/>
          </w:tcPr>
          <w:p>
            <w:pPr>
              <w:pStyle w:val="909"/>
              <w:jc w:val="both"/>
              <w:keepLines w:val="0"/>
              <w:keepNext w:val="0"/>
              <w:pageBreakBefore w:val="0"/>
              <w:spacing w:line="360" w:lineRule="exact"/>
              <w:tabs>
                <w:tab w:val="left" w:pos="426" w:leader="none"/>
              </w:tabs>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客观分</w:t>
            </w:r>
            <w:r>
              <w:rPr>
                <w:rFonts w:hint="eastAsia" w:ascii="宋体" w:hAnsi="宋体" w:eastAsia="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42</w:t>
            </w:r>
            <w:r>
              <w:rPr>
                <w:rFonts w:hint="eastAsia" w:ascii="宋体" w:hAnsi="宋体" w:eastAsia="宋体" w:cs="宋体"/>
                <w:b/>
                <w:color w:val="000000"/>
                <w:sz w:val="24"/>
                <w:szCs w:val="24"/>
                <w:highlight w:val="none"/>
                <w:lang w:val="en-US" w:eastAsia="zh-CN"/>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62"/>
              <w:keepLines w:val="0"/>
              <w:keepNext w:val="0"/>
              <w:pageBreakBefore w:val="0"/>
              <w:spacing w:line="36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投标人或所投产品制造商所投设备</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具有同品牌同型号（厂家或代理均可）的销售业绩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每提供一份有效合同</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最</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09"/>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投标文件</w:t>
            </w:r>
            <w:r>
              <w:rPr>
                <w:rFonts w:hint="eastAsia" w:ascii="宋体" w:hAnsi="宋体" w:eastAsia="宋体" w:cs="宋体"/>
                <w:b/>
                <w:bCs/>
                <w:color w:val="000000"/>
                <w:sz w:val="24"/>
                <w:szCs w:val="24"/>
                <w:highlight w:val="none"/>
              </w:rPr>
              <w:t xml:space="preserve">中提供合同并加盖</w:t>
            </w:r>
            <w:r>
              <w:rPr>
                <w:rFonts w:hint="eastAsia" w:ascii="宋体" w:hAnsi="宋体" w:cs="宋体"/>
                <w:b/>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质保</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285" w:type="dxa"/>
            <w:vAlign w:val="center"/>
            <w:textDirection w:val="lrTb"/>
            <w:noWrap w:val="false"/>
          </w:tcPr>
          <w:p>
            <w:pPr>
              <w:pStyle w:val="909"/>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所投产品免费质量保证期在满足招标文件要求（</w:t>
            </w:r>
            <w:r>
              <w:rPr>
                <w:rFonts w:hint="eastAsia" w:ascii="宋体" w:hAnsi="宋体" w:eastAsia="宋体" w:cs="宋体"/>
                <w:color w:val="000000"/>
                <w:sz w:val="24"/>
                <w:szCs w:val="24"/>
                <w:highlight w:val="none"/>
                <w:lang w:val="en-US" w:eastAsia="zh-CN"/>
              </w:rPr>
              <w:t xml:space="preserve">三年</w:t>
            </w:r>
            <w:r>
              <w:rPr>
                <w:rFonts w:hint="eastAsia" w:ascii="宋体" w:hAnsi="宋体" w:eastAsia="宋体" w:cs="宋体"/>
                <w:color w:val="000000"/>
                <w:sz w:val="24"/>
                <w:szCs w:val="24"/>
                <w:highlight w:val="none"/>
                <w:lang w:val="en-US" w:eastAsia="zh-CN"/>
              </w:rPr>
              <w:t xml:space="preserve">）的基础上，每增加一年质保得</w:t>
            </w:r>
            <w:r>
              <w:rPr>
                <w:rFonts w:hint="eastAsia" w:ascii="宋体" w:hAnsi="宋体" w:cs="宋体"/>
                <w:color w:val="ff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分，最高得</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val="en-US" w:eastAsia="zh-CN"/>
              </w:rPr>
              <w:t xml:space="preserve">投标文件</w:t>
            </w:r>
            <w:r>
              <w:rPr>
                <w:rFonts w:hint="eastAsia" w:ascii="宋体" w:hAnsi="宋体" w:eastAsia="宋体" w:cs="宋体"/>
                <w:b/>
                <w:bCs/>
                <w:color w:val="000000"/>
                <w:sz w:val="24"/>
                <w:szCs w:val="24"/>
                <w:highlight w:val="none"/>
                <w:lang w:val="en-US" w:eastAsia="zh-CN"/>
              </w:rPr>
              <w:t xml:space="preserve">中提供质保承诺书</w:t>
            </w:r>
            <w:r>
              <w:rPr>
                <w:rFonts w:hint="eastAsia" w:ascii="宋体" w:hAnsi="宋体" w:eastAsia="宋体" w:cs="宋体"/>
                <w:b/>
                <w:bCs/>
                <w:color w:val="000000"/>
                <w:sz w:val="24"/>
                <w:szCs w:val="24"/>
                <w:highlight w:val="none"/>
              </w:rPr>
              <w:t xml:space="preserve">并</w:t>
            </w:r>
            <w:r>
              <w:rPr>
                <w:rFonts w:hint="eastAsia" w:ascii="宋体" w:hAnsi="宋体" w:eastAsia="宋体" w:cs="宋体"/>
                <w:b/>
                <w:bCs/>
                <w:color w:val="000000"/>
                <w:sz w:val="24"/>
                <w:szCs w:val="24"/>
                <w:highlight w:val="none"/>
                <w:lang w:val="en-US" w:eastAsia="zh-CN"/>
              </w:rPr>
              <w:t xml:space="preserve">加盖</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val="en-US" w:eastAsia="zh-CN"/>
              </w:rPr>
              <w:t xml:space="preserve">公章，否则不得分。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ff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93" w:type="dxa"/>
            <w:vAlign w:val="center"/>
            <w:textDirection w:val="lrTb"/>
            <w:noWrap w:val="false"/>
          </w:tcPr>
          <w:p>
            <w:pPr>
              <w:pStyle w:val="909"/>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06" w:type="dxa"/>
            <w:vAlign w:val="center"/>
            <w:textDirection w:val="lrTb"/>
            <w:noWrap w:val="false"/>
          </w:tcPr>
          <w:p>
            <w:pPr>
              <w:pStyle w:val="909"/>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产品性能</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285" w:type="dxa"/>
            <w:vAlign w:val="center"/>
            <w:textDirection w:val="lrTb"/>
            <w:noWrap w:val="false"/>
          </w:tcPr>
          <w:p>
            <w:pPr>
              <w:pStyle w:val="909"/>
              <w:jc w:val="both"/>
              <w:keepLines w:val="0"/>
              <w:keepNext w:val="0"/>
              <w:pageBreakBefore w:val="0"/>
              <w:spacing w:line="360" w:lineRule="exact"/>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技术要求的符合性，即根据投标人所提供产品的综合性能、技术参数，产品的安全性、稳定性、操作性等方面进行评分。符合技术要求的得</w:t>
            </w:r>
            <w:r>
              <w:rPr>
                <w:rFonts w:hint="eastAsia" w:ascii="宋体" w:hAnsi="宋体" w:eastAsia="宋体" w:cs="宋体"/>
                <w:color w:val="ff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rPr>
              <w:t xml:space="preserve">分。标注“▲”有一项不满足扣</w:t>
            </w:r>
            <w:r>
              <w:rPr>
                <w:rFonts w:hint="eastAsia" w:ascii="宋体" w:hAnsi="宋体" w:eastAsia="宋体" w:cs="宋体"/>
                <w:color w:val="ff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分，未标注“▲”有一项不满足扣</w:t>
            </w:r>
            <w:r>
              <w:rPr>
                <w:rFonts w:hint="eastAsia" w:ascii="宋体" w:hAnsi="宋体" w:eastAsia="宋体" w:cs="宋体"/>
                <w:color w:val="ff0000"/>
                <w:sz w:val="24"/>
                <w:szCs w:val="24"/>
                <w:highlight w:val="none"/>
                <w:lang w:val="en-US" w:eastAsia="zh-CN"/>
              </w:rPr>
              <w:t xml:space="preserve">0.5</w:t>
            </w:r>
            <w:r>
              <w:rPr>
                <w:rFonts w:hint="eastAsia" w:ascii="宋体" w:hAnsi="宋体" w:eastAsia="宋体" w:cs="宋体"/>
                <w:color w:val="000000"/>
                <w:sz w:val="24"/>
                <w:szCs w:val="24"/>
                <w:highlight w:val="none"/>
                <w:lang w:val="en-US" w:eastAsia="zh-CN"/>
              </w:rPr>
              <w:t xml:space="preserve">分，扣完为止。</w:t>
            </w:r>
            <w:r>
              <w:rPr>
                <w:rFonts w:hint="eastAsia" w:ascii="宋体" w:hAnsi="宋体" w:eastAsia="宋体" w:cs="宋体"/>
                <w:color w:val="000000"/>
                <w:sz w:val="24"/>
                <w:szCs w:val="24"/>
                <w:highlight w:val="none"/>
                <w:lang w:val="en-US" w:eastAsia="zh-CN"/>
              </w:rPr>
            </w:r>
            <w:r/>
          </w:p>
          <w:p>
            <w:pPr>
              <w:pStyle w:val="909"/>
              <w:jc w:val="both"/>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标注</w:t>
            </w:r>
            <w:r>
              <w:rPr>
                <w:rFonts w:hint="eastAsia" w:ascii="宋体" w:hAnsi="宋体" w:eastAsia="宋体" w:cs="宋体"/>
                <w:b/>
                <w:bCs/>
                <w:color w:val="000000"/>
                <w:sz w:val="24"/>
                <w:szCs w:val="24"/>
                <w:highlight w:val="none"/>
                <w:lang w:val="en-US" w:eastAsia="zh-CN"/>
              </w:rPr>
              <w:t xml:space="preserve">“▲”参数应按照要求提供证明材料（不限于：国家认可的检测机构出具的产品检测报告或使用</w:t>
            </w:r>
            <w:r>
              <w:rPr>
                <w:rFonts w:hint="eastAsia" w:ascii="宋体" w:hAnsi="宋体" w:eastAsia="宋体" w:cs="宋体"/>
                <w:b/>
                <w:bCs/>
                <w:color w:val="000000"/>
                <w:sz w:val="24"/>
                <w:szCs w:val="24"/>
                <w:highlight w:val="none"/>
                <w:lang w:val="en-US" w:eastAsia="zh-CN"/>
              </w:rPr>
              <w:t xml:space="preserve">说明书或白皮书或宣传彩页</w:t>
            </w:r>
            <w:r>
              <w:rPr>
                <w:rFonts w:hint="eastAsia" w:ascii="宋体" w:hAnsi="宋体" w:eastAsia="宋体" w:cs="宋体"/>
                <w:b/>
                <w:bCs/>
                <w:color w:val="000000"/>
                <w:sz w:val="24"/>
                <w:szCs w:val="24"/>
                <w:highlight w:val="none"/>
                <w:lang w:val="en-US" w:eastAsia="zh-CN"/>
              </w:rPr>
              <w:t xml:space="preserve">或图册或功能截图等）加盖投标人公章。未标注“▲”参数有负偏离的应逐条列在《采购需求偏离表》中。</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38" w:type="dxa"/>
            <w:vAlign w:val="center"/>
            <w:textDirection w:val="lrTb"/>
            <w:noWrap w:val="false"/>
          </w:tcPr>
          <w:p>
            <w:pPr>
              <w:pStyle w:val="909"/>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cs="宋体"/>
                <w:color w:val="ff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r>
    </w:tbl>
    <w:p>
      <w:pPr>
        <w:pStyle w:val="940"/>
        <w:tabs>
          <w:tab w:val="left" w:pos="567" w:leader="none"/>
        </w:tabs>
        <w:rPr>
          <w:rFonts w:hint="eastAsia"/>
          <w:color w:val="000000"/>
          <w:highlight w:val="none"/>
        </w:rPr>
      </w:pPr>
      <w:r>
        <w:rPr>
          <w:rFonts w:hint="eastAsia"/>
          <w:color w:val="000000"/>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spacing w:line="360" w:lineRule="auto"/>
        <w:rPr>
          <w:b/>
          <w:color w:val="000000"/>
          <w:sz w:val="36"/>
          <w:szCs w:val="36"/>
          <w:highlight w:val="none"/>
        </w:rPr>
        <w:outlineLvl w:val="0"/>
      </w:pPr>
      <w:r/>
      <w:bookmarkStart w:id="777" w:name="_Toc30413"/>
      <w:r>
        <w:rPr>
          <w:b/>
          <w:color w:val="000000"/>
          <w:sz w:val="36"/>
          <w:szCs w:val="36"/>
          <w:highlight w:val="none"/>
        </w:rPr>
        <w:t xml:space="preserve">第五章   采购需求</w:t>
      </w:r>
      <w:bookmarkEnd w:id="777"/>
      <w:r>
        <w:rPr>
          <w:b/>
          <w:color w:val="000000"/>
          <w:sz w:val="36"/>
          <w:szCs w:val="36"/>
          <w:highlight w:val="none"/>
        </w:rPr>
      </w:r>
      <w:r/>
    </w:p>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一、采购标的</w:t>
      </w:r>
      <w:r>
        <w:rPr>
          <w:rFonts w:hint="eastAsia" w:ascii="宋体" w:hAnsi="宋体" w:eastAsia="宋体" w:cs="宋体"/>
          <w:b/>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本项目是</w:t>
      </w:r>
      <w:r>
        <w:rPr>
          <w:rFonts w:hint="eastAsia" w:ascii="宋体" w:hAnsi="宋体" w:eastAsia="宋体" w:cs="宋体"/>
          <w:bCs/>
          <w:color w:val="000000"/>
          <w:sz w:val="24"/>
          <w:szCs w:val="24"/>
          <w:highlight w:val="none"/>
          <w:lang w:eastAsia="zh-CN"/>
        </w:rPr>
        <w:t xml:space="preserve">常州市第一人民医院主动脉内球囊反搏仪采购项目</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eastAsia="zh-CN"/>
        </w:rPr>
        <w:t xml:space="preserve">主动脉内球囊反搏仪2套</w:t>
      </w:r>
      <w:r>
        <w:rPr>
          <w:rFonts w:hint="eastAsia" w:ascii="宋体" w:hAnsi="宋体" w:eastAsia="宋体" w:cs="宋体"/>
          <w:bCs/>
          <w:color w:val="000000"/>
          <w:sz w:val="24"/>
          <w:szCs w:val="24"/>
          <w:highlight w:val="none"/>
        </w:rPr>
        <w:t xml:space="preserve">，内容包括但不限于设备的制造（采购）、运输、装卸、安装、调试、测试、售后服务、技术培训等，直至通过相关部门的验收以及质量保修、免费维保等全部工作。</w:t>
      </w:r>
      <w:r>
        <w:rPr>
          <w:rFonts w:hint="eastAsia" w:ascii="宋体" w:hAnsi="宋体" w:eastAsia="宋体" w:cs="宋体"/>
          <w:bCs/>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886"/>
        <w:gridCol w:w="1544"/>
        <w:gridCol w:w="1545"/>
      </w:tblGrid>
      <w:tr>
        <w:trPr>
          <w:trHeight w:val="312"/>
        </w:trPr>
        <w:tc>
          <w:tcPr>
            <w:tcW w:w="906"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280"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标的名称</w:t>
            </w:r>
            <w:r>
              <w:rPr>
                <w:rFonts w:hint="eastAsia" w:ascii="宋体" w:hAnsi="宋体" w:eastAsia="宋体" w:cs="宋体"/>
                <w:b/>
                <w:bCs/>
                <w:i w:val="0"/>
                <w:iCs w:val="0"/>
                <w:color w:val="000000"/>
                <w:sz w:val="24"/>
                <w:szCs w:val="24"/>
                <w:highlight w:val="none"/>
                <w:u w:val="none"/>
              </w:rPr>
            </w:r>
            <w:r/>
          </w:p>
        </w:tc>
        <w:tc>
          <w:tcPr>
            <w:tcW w:w="906" w:type="dxa"/>
            <w:vAlign w:val="center"/>
            <w:textDirection w:val="lrTb"/>
            <w:noWrap w:val="false"/>
          </w:tcPr>
          <w:p>
            <w:pPr>
              <w:pStyle w:val="909"/>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ascii="宋体" w:hAnsi="宋体" w:eastAsia="宋体" w:cs="宋体"/>
                <w:b/>
                <w:bCs/>
                <w:i w:val="0"/>
                <w:iCs w:val="0"/>
                <w:color w:val="000000"/>
                <w:sz w:val="24"/>
                <w:szCs w:val="24"/>
                <w:highlight w:val="none"/>
                <w:u w:val="none"/>
                <w:lang w:val="en-US" w:eastAsia="zh-CN" w:bidi="ar"/>
              </w:rPr>
            </w:r>
            <w:r/>
          </w:p>
        </w:tc>
        <w:tc>
          <w:tcPr>
            <w:tcW w:w="906"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312"/>
        </w:trPr>
        <w:tc>
          <w:tcPr>
            <w:tcW w:w="906"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80"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bCs/>
                <w:color w:val="000000"/>
                <w:sz w:val="24"/>
                <w:szCs w:val="24"/>
                <w:highlight w:val="none"/>
                <w:lang w:eastAsia="zh-CN"/>
              </w:rPr>
              <w:t xml:space="preserve">主动脉内球囊反搏仪</w:t>
            </w:r>
            <w:r>
              <w:rPr>
                <w:rFonts w:hint="eastAsia" w:ascii="宋体" w:hAnsi="宋体" w:eastAsia="宋体" w:cs="宋体"/>
                <w:i w:val="0"/>
                <w:iCs w:val="0"/>
                <w:color w:val="000000"/>
                <w:sz w:val="24"/>
                <w:szCs w:val="24"/>
                <w:highlight w:val="none"/>
                <w:u w:val="none"/>
                <w:lang w:val="en-US" w:eastAsia="zh-CN"/>
              </w:rPr>
            </w:r>
            <w:r/>
          </w:p>
        </w:tc>
        <w:tc>
          <w:tcPr>
            <w:tcW w:w="906" w:type="dxa"/>
            <w:vAlign w:val="center"/>
            <w:textDirection w:val="lrTb"/>
            <w:noWrap w:val="false"/>
          </w:tcPr>
          <w:p>
            <w:pPr>
              <w:pStyle w:val="909"/>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ascii="宋体" w:hAnsi="宋体" w:eastAsia="宋体" w:cs="宋体"/>
                <w:i w:val="0"/>
                <w:iCs w:val="0"/>
                <w:color w:val="000000"/>
                <w:sz w:val="24"/>
                <w:szCs w:val="24"/>
                <w:highlight w:val="none"/>
                <w:u w:val="none"/>
                <w:lang w:val="en-US" w:eastAsia="zh-CN" w:bidi="ar"/>
              </w:rPr>
            </w:r>
            <w:r/>
          </w:p>
        </w:tc>
        <w:tc>
          <w:tcPr>
            <w:tcW w:w="906" w:type="dxa"/>
            <w:vAlign w:val="center"/>
            <w:textDirection w:val="lrTb"/>
            <w:noWrap w:val="false"/>
          </w:tcPr>
          <w:p>
            <w:pPr>
              <w:pStyle w:val="909"/>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rPr>
            </w:r>
            <w:r/>
          </w:p>
        </w:tc>
      </w:tr>
    </w:tbl>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二、商务要求</w:t>
      </w:r>
      <w:r>
        <w:rPr>
          <w:rFonts w:hint="eastAsia" w:ascii="宋体" w:hAnsi="宋体" w:eastAsia="宋体" w:cs="宋体"/>
          <w:b/>
          <w:bCs/>
          <w:color w:val="000000"/>
          <w:sz w:val="24"/>
          <w:szCs w:val="24"/>
          <w:highlight w:val="none"/>
          <w:lang w:val="en-US"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1.交付的时间和地点</w:t>
      </w:r>
      <w:r>
        <w:rPr>
          <w:rFonts w:hint="eastAsia" w:ascii="宋体" w:hAnsi="宋体" w:eastAsia="宋体" w:cs="宋体"/>
          <w:b/>
          <w:bCs w:val="0"/>
          <w:color w:val="000000"/>
          <w:sz w:val="24"/>
          <w:szCs w:val="24"/>
          <w:highlight w:val="none"/>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eastAsia="zh-CN"/>
        </w:rPr>
        <w:t xml:space="preserve">合同签订后60个工作日内完成合同范围内所有设备的供货、安装调试</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交货地点：中标人负责将货物运到</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指定地点并承担相关费用。</w:t>
      </w:r>
      <w:r>
        <w:rPr>
          <w:rFonts w:hint="eastAsia" w:ascii="宋体" w:hAnsi="宋体" w:eastAsia="宋体" w:cs="宋体"/>
          <w:bCs/>
          <w:color w:val="000000"/>
          <w:sz w:val="24"/>
          <w:szCs w:val="24"/>
          <w:highlight w:val="none"/>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rPr>
        <w:t xml:space="preserve">2.付款</w:t>
      </w:r>
      <w:r>
        <w:rPr>
          <w:rFonts w:hint="eastAsia" w:ascii="宋体" w:hAnsi="宋体" w:eastAsia="宋体" w:cs="宋体"/>
          <w:b/>
          <w:bCs w:val="0"/>
          <w:color w:val="000000"/>
          <w:sz w:val="24"/>
          <w:szCs w:val="24"/>
          <w:highlight w:val="none"/>
          <w:lang w:val="en-US" w:eastAsia="zh-CN"/>
        </w:rPr>
        <w:t xml:space="preserve">方式</w:t>
      </w:r>
      <w:r>
        <w:rPr>
          <w:rFonts w:hint="eastAsia" w:ascii="宋体" w:hAnsi="宋体" w:eastAsia="宋体" w:cs="宋体"/>
          <w:b/>
          <w:bCs w:val="0"/>
          <w:color w:val="000000"/>
          <w:sz w:val="24"/>
          <w:szCs w:val="24"/>
          <w:highlight w:val="none"/>
          <w:lang w:val="en-US" w:eastAsia="zh-CN"/>
        </w:rPr>
      </w:r>
      <w:r/>
    </w:p>
    <w:p>
      <w:pPr>
        <w:pStyle w:val="90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设备安装、调试、验收合格，并培训指导完成后，首付30%货款，正常使用6个月后再付70%货款，付款前中标人向采购人提供增值税发票，</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eastAsia="zh-CN"/>
        </w:rPr>
        <w:t xml:space="preserve">按医院签票流程走付款程序，具体到账时间以</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eastAsia="zh-CN"/>
        </w:rPr>
        <w:t xml:space="preserve">付款流程为准。</w:t>
      </w:r>
      <w:r>
        <w:rPr>
          <w:rFonts w:hint="eastAsia" w:ascii="宋体" w:hAnsi="宋体" w:eastAsia="宋体" w:cs="宋体"/>
          <w:bCs/>
          <w:color w:val="000000"/>
          <w:sz w:val="24"/>
          <w:szCs w:val="24"/>
          <w:highlight w:val="none"/>
          <w:lang w:val="en-US" w:eastAsia="zh-CN"/>
        </w:rPr>
      </w:r>
      <w:r/>
    </w:p>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三、技术要求</w:t>
      </w:r>
      <w:r>
        <w:rPr>
          <w:rFonts w:hint="eastAsia" w:ascii="宋体" w:hAnsi="宋体" w:eastAsia="宋体" w:cs="宋体"/>
          <w:b/>
          <w:bCs/>
          <w:color w:val="000000"/>
          <w:sz w:val="24"/>
          <w:szCs w:val="24"/>
          <w:highlight w:val="none"/>
          <w:lang w:val="en-US"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lang w:eastAsia="zh-CN"/>
        </w:rPr>
        <w:t xml:space="preserve">）技术参数要求</w:t>
      </w:r>
      <w:r>
        <w:rPr>
          <w:rFonts w:hint="eastAsia" w:ascii="宋体" w:hAnsi="宋体" w:eastAsia="宋体" w:cs="宋体"/>
          <w:b/>
          <w:bCs w:val="0"/>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1.工作模式：自动/手动模式，切换不中断反搏。</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▲2.触控屏显示，支持显示充气间隔、精确显示导管压力、导管充气量。</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3.操作方式：触摸操作、实体按键操作，按键可实现绝大多数功能。</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eastAsia="zh-CN"/>
        </w:rPr>
        <w:outlineLvl w:val="9"/>
      </w:pPr>
      <w:r>
        <w:rPr>
          <w:rFonts w:hint="eastAsia" w:ascii="宋体" w:hAnsi="宋体" w:eastAsia="宋体" w:cs="宋体"/>
          <w:bCs/>
          <w:color w:val="ff0000"/>
          <w:sz w:val="24"/>
          <w:szCs w:val="24"/>
          <w:highlight w:val="none"/>
          <w:lang w:eastAsia="zh-CN"/>
        </w:rPr>
        <w:t xml:space="preserve">▲4.操作显示区和实体按键区便于观察和操作。开机自检清单：具备启动检查列表，标识泵启动前需要完成的步骤和状态。</w:t>
      </w:r>
      <w:r>
        <w:rPr>
          <w:rFonts w:hint="eastAsia" w:ascii="宋体" w:hAnsi="宋体" w:eastAsia="宋体" w:cs="宋体"/>
          <w:bCs/>
          <w:color w:val="ff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eastAsia="zh-CN"/>
        </w:rPr>
        <w:outlineLvl w:val="9"/>
      </w:pPr>
      <w:r>
        <w:rPr>
          <w:rFonts w:hint="eastAsia" w:ascii="宋体" w:hAnsi="宋体" w:eastAsia="宋体" w:cs="宋体"/>
          <w:bCs/>
          <w:color w:val="ff0000"/>
          <w:sz w:val="24"/>
          <w:szCs w:val="24"/>
          <w:highlight w:val="none"/>
          <w:lang w:eastAsia="zh-CN"/>
        </w:rPr>
        <w:t xml:space="preserve">▲5.≥7种触发模式：包括但不限于Pattern／Peak/Aifb／起搏器V／起搏器A／AP／机内设置。</w:t>
      </w:r>
      <w:r>
        <w:rPr>
          <w:rFonts w:hint="eastAsia" w:ascii="宋体" w:hAnsi="宋体" w:eastAsia="宋体" w:cs="宋体"/>
          <w:bCs/>
          <w:color w:val="ff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▲6.具备除水功能，定时自动去除冷凝水至集液瓶。</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eastAsia="zh-CN"/>
        </w:rPr>
        <w:outlineLvl w:val="9"/>
      </w:pPr>
      <w:r>
        <w:rPr>
          <w:rFonts w:hint="eastAsia" w:ascii="宋体" w:hAnsi="宋体" w:eastAsia="宋体" w:cs="宋体"/>
          <w:bCs/>
          <w:color w:val="ff0000"/>
          <w:sz w:val="24"/>
          <w:szCs w:val="24"/>
          <w:highlight w:val="none"/>
          <w:lang w:eastAsia="zh-CN"/>
        </w:rPr>
        <w:t xml:space="preserve">▲7.辅助比率：不少于4种。</w:t>
      </w:r>
      <w:r>
        <w:rPr>
          <w:rFonts w:hint="eastAsia" w:ascii="宋体" w:hAnsi="宋体" w:eastAsia="宋体" w:cs="宋体"/>
          <w:bCs/>
          <w:color w:val="ff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8.心率适配范围：不窄于40-180 bpm。</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9.反搏容量：0-50cc，可精确调整，调整精度0.5cc。</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10.压力测量：0-250 mmHg。</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eastAsia="zh-CN"/>
        </w:rPr>
        <w:outlineLvl w:val="9"/>
      </w:pPr>
      <w:r>
        <w:rPr>
          <w:rFonts w:hint="eastAsia" w:ascii="宋体" w:hAnsi="宋体" w:eastAsia="宋体" w:cs="宋体"/>
          <w:bCs/>
          <w:color w:val="ff0000"/>
          <w:sz w:val="24"/>
          <w:szCs w:val="24"/>
          <w:highlight w:val="none"/>
          <w:lang w:eastAsia="zh-CN"/>
        </w:rPr>
        <w:t xml:space="preserve">11.支持生理数据显示：心率，被辅助收缩压／舒张压／平均压／反搏压，无辅助收缩压／舒张压／平均压。</w:t>
      </w:r>
      <w:r>
        <w:rPr>
          <w:rFonts w:hint="eastAsia" w:ascii="宋体" w:hAnsi="宋体" w:eastAsia="宋体" w:cs="宋体"/>
          <w:bCs/>
          <w:color w:val="ff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12.支持使用一次性氦气瓶或可重复充气氦气瓶，可以精确显示导管充气量。</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13.内置电池续航：≥90 min；</w:t>
      </w:r>
      <w:r>
        <w:rPr>
          <w:rFonts w:hint="eastAsia" w:ascii="宋体" w:hAnsi="宋体" w:eastAsia="宋体" w:cs="宋体"/>
          <w:bCs/>
          <w:color w:val="ff0000"/>
          <w:sz w:val="24"/>
          <w:szCs w:val="24"/>
          <w:highlight w:val="none"/>
          <w:lang w:eastAsia="zh-CN"/>
        </w:rPr>
        <w:t xml:space="preserve">具备无操作锁屏功能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.导联监测：自动检测导联故障，电极/导线连接不畅时提示。</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.血压传感器监测：自动检测动脉血压传感器及电缆连接故障。</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.自动记录操作日志及患者生理数据，支持查看并可以打印记录全部反搏相关的患者信息。</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lang w:eastAsia="zh-CN"/>
        </w:rPr>
        <w:t xml:space="preserve">.支持患者血液动力学趋势图显示。</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lang w:eastAsia="zh-CN"/>
        </w:rPr>
        <w:t xml:space="preserve">.具备声光报警功能；</w:t>
      </w:r>
      <w:r>
        <w:rPr>
          <w:rFonts w:hint="eastAsia" w:ascii="宋体" w:hAnsi="宋体" w:eastAsia="宋体" w:cs="宋体"/>
          <w:bCs/>
          <w:color w:val="ff0000"/>
          <w:sz w:val="24"/>
          <w:szCs w:val="24"/>
          <w:highlight w:val="none"/>
          <w:lang w:eastAsia="zh-CN"/>
        </w:rPr>
        <w:t xml:space="preserve">具备漏气检测报警功能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ff0000"/>
          <w:sz w:val="24"/>
          <w:szCs w:val="24"/>
          <w:highlight w:val="none"/>
          <w:lang w:eastAsia="zh-CN"/>
        </w:rPr>
        <w:outlineLvl w:val="9"/>
      </w:pPr>
      <w:r>
        <w:rPr>
          <w:rFonts w:hint="eastAsia" w:ascii="宋体" w:hAnsi="宋体" w:eastAsia="宋体" w:cs="宋体"/>
          <w:bCs/>
          <w:color w:val="ff0000"/>
          <w:sz w:val="24"/>
          <w:szCs w:val="24"/>
          <w:highlight w:val="none"/>
          <w:lang w:eastAsia="zh-CN"/>
        </w:rPr>
        <w:t xml:space="preserve">▲</w:t>
      </w:r>
      <w:r>
        <w:rPr>
          <w:rFonts w:hint="eastAsia" w:ascii="宋体" w:hAnsi="宋体" w:eastAsia="宋体" w:cs="宋体"/>
          <w:bCs/>
          <w:color w:val="ff0000"/>
          <w:sz w:val="24"/>
          <w:szCs w:val="24"/>
          <w:highlight w:val="none"/>
          <w:lang w:val="en-US" w:eastAsia="zh-CN"/>
        </w:rPr>
        <w:t xml:space="preserve">19</w:t>
      </w:r>
      <w:r>
        <w:rPr>
          <w:rFonts w:hint="eastAsia" w:ascii="宋体" w:hAnsi="宋体" w:eastAsia="宋体" w:cs="宋体"/>
          <w:bCs/>
          <w:color w:val="ff0000"/>
          <w:sz w:val="24"/>
          <w:szCs w:val="24"/>
          <w:highlight w:val="none"/>
          <w:lang w:eastAsia="zh-CN"/>
        </w:rPr>
        <w:t xml:space="preserve">.具备光纤功能：光纤信号可以在体外调零，具备光纤接口和光纤模块，可输入来自光纤传感器AP信号。</w:t>
      </w:r>
      <w:r>
        <w:rPr>
          <w:rFonts w:hint="eastAsia" w:ascii="宋体" w:hAnsi="宋体" w:eastAsia="宋体" w:cs="宋体"/>
          <w:bCs/>
          <w:color w:val="ff0000"/>
          <w:sz w:val="24"/>
          <w:szCs w:val="24"/>
          <w:highlight w:val="none"/>
          <w:lang w:eastAsia="zh-CN"/>
        </w:rPr>
      </w:r>
      <w:r/>
    </w:p>
    <w:p>
      <w:pPr>
        <w:pStyle w:val="909"/>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lang w:eastAsia="zh-CN"/>
        </w:rPr>
        <w:t xml:space="preserve">）主要配置清单</w:t>
      </w:r>
      <w:r>
        <w:rPr>
          <w:rFonts w:hint="eastAsia" w:ascii="宋体" w:hAnsi="宋体" w:eastAsia="宋体" w:cs="宋体"/>
          <w:b/>
          <w:bCs w:val="0"/>
          <w:color w:val="000000"/>
          <w:sz w:val="24"/>
          <w:szCs w:val="24"/>
          <w:highlight w:val="none"/>
          <w:lang w:eastAsia="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00"/>
        <w:gridCol w:w="4593"/>
        <w:gridCol w:w="2829"/>
      </w:tblGrid>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tc>
      </w:tr>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主动脉内球囊反搏仪</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i w:val="0"/>
                <w:iCs w:val="0"/>
                <w:color w:val="000000"/>
                <w:sz w:val="24"/>
                <w:szCs w:val="24"/>
                <w:highlight w:val="none"/>
                <w:u w:val="none"/>
                <w:lang w:val="en-US" w:eastAsia="zh-CN" w:bidi="ar"/>
              </w:rPr>
            </w:r>
            <w:r/>
          </w:p>
        </w:tc>
      </w:tr>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心电导联线</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i w:val="0"/>
                <w:iCs w:val="0"/>
                <w:color w:val="000000"/>
                <w:sz w:val="24"/>
                <w:szCs w:val="24"/>
                <w:highlight w:val="none"/>
                <w:u w:val="none"/>
                <w:lang w:val="en-US" w:eastAsia="zh-CN" w:bidi="ar"/>
              </w:rPr>
            </w:r>
            <w:r/>
          </w:p>
        </w:tc>
      </w:tr>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输液架</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i w:val="0"/>
                <w:iCs w:val="0"/>
                <w:color w:val="000000"/>
                <w:sz w:val="24"/>
                <w:szCs w:val="24"/>
                <w:highlight w:val="none"/>
                <w:u w:val="none"/>
                <w:lang w:val="en-US" w:eastAsia="zh-CN" w:bidi="ar"/>
              </w:rPr>
            </w:r>
            <w:r/>
          </w:p>
        </w:tc>
      </w:tr>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氦气罐</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rPr>
                <w:rFonts w:hint="eastAsia" w:ascii="宋体" w:hAnsi="宋体" w:eastAsia="宋体" w:cs="宋体"/>
                <w:i w:val="0"/>
                <w:iCs w:val="0"/>
                <w:color w:val="000000"/>
                <w:sz w:val="24"/>
                <w:szCs w:val="24"/>
                <w:highlight w:val="none"/>
                <w:u w:val="none"/>
                <w:lang w:val="en-US" w:eastAsia="zh-CN" w:bidi="ar"/>
              </w:rPr>
            </w:r>
            <w:r/>
          </w:p>
        </w:tc>
      </w:tr>
      <w:tr>
        <w:trPr>
          <w:trHeight w:val="17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有创血压电缆线</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val="false"/>
          </w:tcPr>
          <w:p>
            <w:pPr>
              <w:pStyle w:val="909"/>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i w:val="0"/>
                <w:iCs w:val="0"/>
                <w:color w:val="000000"/>
                <w:sz w:val="24"/>
                <w:szCs w:val="24"/>
                <w:highlight w:val="none"/>
                <w:u w:val="none"/>
                <w:lang w:val="en-US" w:eastAsia="zh-CN" w:bidi="ar"/>
              </w:rPr>
            </w:r>
            <w:r/>
          </w:p>
        </w:tc>
      </w:tr>
    </w:tbl>
    <w:p>
      <w:pPr>
        <w:pStyle w:val="909"/>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bookmarkStart w:id="778" w:name="_Toc16116"/>
      <w:r>
        <w:rPr>
          <w:rFonts w:hint="eastAsia" w:ascii="宋体" w:hAnsi="宋体" w:eastAsia="宋体" w:cs="宋体"/>
          <w:b/>
          <w:bCs w:val="0"/>
          <w:color w:val="000000"/>
          <w:sz w:val="24"/>
          <w:szCs w:val="24"/>
          <w:highlight w:val="none"/>
          <w:lang w:eastAsia="zh-CN"/>
        </w:rPr>
        <w:t xml:space="preserve">四、</w:t>
      </w:r>
      <w:r>
        <w:rPr>
          <w:rFonts w:hint="eastAsia" w:ascii="宋体" w:hAnsi="宋体" w:eastAsia="宋体" w:cs="宋体"/>
          <w:b/>
          <w:bCs w:val="0"/>
          <w:color w:val="000000"/>
          <w:sz w:val="24"/>
          <w:szCs w:val="24"/>
          <w:highlight w:val="none"/>
        </w:rPr>
        <w:t xml:space="preserve">验收标准</w:t>
      </w:r>
      <w:r>
        <w:rPr>
          <w:rFonts w:hint="eastAsia" w:ascii="宋体" w:hAnsi="宋体" w:eastAsia="宋体" w:cs="宋体"/>
          <w:b/>
          <w:bCs w:val="0"/>
          <w:color w:val="000000"/>
          <w:sz w:val="24"/>
          <w:szCs w:val="24"/>
          <w:highlight w:val="none"/>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货物到达交货地点后，双方共同验收产品数量、质量等状况，由中标人负责并承担相关费用。中标人进行安装调试并经过性能测试后，由验收小组验收。验收合格后，开始进入质保期，若检验不合格或不符合质量要求，中标人除无条件退货、返工外，还应承担采购人的一切损失。</w:t>
      </w:r>
      <w:r>
        <w:rPr>
          <w:rFonts w:hint="eastAsia" w:ascii="宋体" w:hAnsi="宋体" w:eastAsia="宋体" w:cs="宋体"/>
          <w:bCs/>
          <w:color w:val="000000"/>
          <w:sz w:val="24"/>
          <w:szCs w:val="24"/>
          <w:highlight w:val="none"/>
          <w:lang w:eastAsia="zh-CN"/>
        </w:rPr>
      </w:r>
      <w:r/>
    </w:p>
    <w:p>
      <w:pPr>
        <w:pStyle w:val="909"/>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五、质保期及售后服务</w:t>
      </w:r>
      <w:r>
        <w:rPr>
          <w:rFonts w:hint="eastAsia" w:ascii="宋体" w:hAnsi="宋体" w:eastAsia="宋体" w:cs="宋体"/>
          <w:b/>
          <w:bCs w:val="0"/>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1.质保期：免费质保期不少于三年</w:t>
      </w:r>
      <w:r>
        <w:rPr>
          <w:rFonts w:hint="eastAsia" w:ascii="宋体" w:hAnsi="宋体" w:eastAsia="宋体" w:cs="宋体"/>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售后服务：质保期内免费更换零配件（人为损坏除外）。中标人接到报修请求，维修应在2小时内响应，24小时内维修人员到达现场，排除故障，恢复设备正常使用。必要时应提供应急备用设备。质保期后，提供终生售后服务，保证零配件的供给，对于货物维修只收取基本材料备件费，不收取工时费。</w:t>
      </w:r>
      <w:r>
        <w:rPr>
          <w:rFonts w:hint="eastAsia" w:ascii="宋体" w:hAnsi="宋体" w:eastAsia="宋体" w:cs="宋体"/>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人员培训：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eastAsia="宋体" w:cs="宋体"/>
          <w:bCs/>
          <w:color w:val="000000"/>
          <w:sz w:val="24"/>
          <w:szCs w:val="24"/>
          <w:highlight w:val="none"/>
          <w:lang w:val="en-US" w:eastAsia="zh-CN"/>
        </w:rPr>
      </w:r>
      <w:r/>
    </w:p>
    <w:p>
      <w:pPr>
        <w:pStyle w:val="909"/>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六、其他要求</w:t>
      </w:r>
      <w:r>
        <w:rPr>
          <w:rFonts w:hint="eastAsia" w:ascii="宋体" w:hAnsi="宋体" w:eastAsia="宋体" w:cs="宋体"/>
          <w:b/>
          <w:bCs w:val="0"/>
          <w:color w:val="000000"/>
          <w:sz w:val="24"/>
          <w:szCs w:val="24"/>
          <w:highlight w:val="none"/>
          <w:lang w:val="en-US" w:eastAsia="zh-CN"/>
        </w:rPr>
      </w:r>
      <w:r/>
    </w:p>
    <w:p>
      <w:pPr>
        <w:pStyle w:val="909"/>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按照《政府采购促进中小企业发展管理办法》（财库〔2020〕46号）的相关要求，</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lang w:eastAsia="zh-CN"/>
        </w:rPr>
        <w:t xml:space="preserve">人</w:t>
      </w:r>
      <w:r>
        <w:rPr>
          <w:rFonts w:hint="eastAsia" w:ascii="宋体" w:hAnsi="宋体" w:eastAsia="宋体" w:cs="宋体"/>
          <w:bCs/>
          <w:color w:val="000000"/>
          <w:sz w:val="24"/>
          <w:szCs w:val="24"/>
          <w:highlight w:val="none"/>
        </w:rPr>
        <w:t xml:space="preserve">应当面向中小企业预留采购份额，本项目面向中小企业预留份额</w:t>
      </w:r>
      <w:r>
        <w:rPr>
          <w:rFonts w:hint="eastAsia" w:ascii="宋体" w:hAnsi="宋体" w:eastAsia="宋体" w:cs="宋体"/>
          <w:bCs/>
          <w:color w:val="000000"/>
          <w:sz w:val="24"/>
          <w:szCs w:val="24"/>
          <w:highlight w:val="none"/>
          <w:u w:val="single"/>
          <w:lang w:val="en-US" w:eastAsia="zh-CN"/>
        </w:rPr>
        <w:t xml:space="preserve"> 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09"/>
        <w:ind w:firstLine="482"/>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情况说明：</w:t>
      </w:r>
      <w:r>
        <w:rPr>
          <w:rFonts w:hint="eastAsia" w:ascii="宋体" w:hAnsi="宋体" w:eastAsia="宋体" w:cs="宋体"/>
          <w:color w:val="000000"/>
          <w:sz w:val="24"/>
          <w:szCs w:val="24"/>
          <w:highlight w:val="none"/>
          <w:lang w:val="en-US" w:eastAsia="zh-CN"/>
        </w:rPr>
        <w:t xml:space="preserve">预留采购份额无法确保充分供应、充分竞争，存在可能影响政府采购目标实现的情形。</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七、报价方式</w:t>
      </w:r>
      <w:r>
        <w:rPr>
          <w:rFonts w:hint="eastAsia" w:ascii="宋体" w:hAnsi="宋体" w:eastAsia="宋体" w:cs="宋体"/>
          <w:b/>
          <w:bCs/>
          <w:color w:val="000000"/>
          <w:sz w:val="24"/>
          <w:szCs w:val="24"/>
          <w:highlight w:val="none"/>
          <w:lang w:val="en-US" w:eastAsia="zh-CN"/>
        </w:rPr>
      </w:r>
      <w:r/>
    </w:p>
    <w:p>
      <w:pPr>
        <w:pStyle w:val="90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本项目投标报价为</w:t>
      </w:r>
      <w:r>
        <w:rPr>
          <w:rFonts w:hint="eastAsia" w:ascii="宋体" w:hAnsi="宋体" w:eastAsia="宋体" w:cs="宋体"/>
          <w:b/>
          <w:bCs w:val="0"/>
          <w:color w:val="000000"/>
          <w:sz w:val="24"/>
          <w:szCs w:val="24"/>
          <w:highlight w:val="none"/>
        </w:rPr>
        <w:t xml:space="preserve">固定</w:t>
      </w:r>
      <w:r>
        <w:rPr>
          <w:rFonts w:hint="eastAsia" w:ascii="宋体" w:hAnsi="宋体" w:eastAsia="宋体" w:cs="宋体"/>
          <w:b/>
          <w:bCs w:val="0"/>
          <w:color w:val="000000"/>
          <w:sz w:val="24"/>
          <w:szCs w:val="24"/>
          <w:highlight w:val="none"/>
          <w:lang w:val="en-US" w:eastAsia="zh-CN"/>
        </w:rPr>
        <w:t xml:space="preserve">单</w:t>
      </w:r>
      <w:r>
        <w:rPr>
          <w:rFonts w:hint="eastAsia" w:ascii="宋体" w:hAnsi="宋体" w:eastAsia="宋体" w:cs="宋体"/>
          <w:b/>
          <w:bCs w:val="0"/>
          <w:color w:val="000000"/>
          <w:sz w:val="24"/>
          <w:szCs w:val="24"/>
          <w:highlight w:val="none"/>
        </w:rPr>
        <w:t xml:space="preserve">价</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应包括招标文件所确定的招标范围相应货物和服务的供货、包装、运输、</w:t>
      </w:r>
      <w:r>
        <w:rPr>
          <w:rFonts w:hint="eastAsia" w:ascii="宋体" w:hAnsi="宋体" w:eastAsia="宋体" w:cs="宋体"/>
          <w:bCs/>
          <w:color w:val="000000"/>
          <w:sz w:val="24"/>
          <w:szCs w:val="24"/>
          <w:highlight w:val="none"/>
          <w:lang w:val="en-US" w:eastAsia="zh-CN"/>
        </w:rPr>
        <w:t xml:space="preserve">安装调试、</w:t>
      </w:r>
      <w:r>
        <w:rPr>
          <w:rFonts w:hint="eastAsia" w:ascii="宋体" w:hAnsi="宋体" w:eastAsia="宋体" w:cs="宋体"/>
          <w:bCs/>
          <w:color w:val="000000"/>
          <w:sz w:val="24"/>
          <w:szCs w:val="24"/>
          <w:highlight w:val="none"/>
        </w:rPr>
        <w:t xml:space="preserve">保险、管理、维护、劳务、培训、验收、办公设备、设备、工具、耗材、运送工具、</w:t>
      </w:r>
      <w:r>
        <w:rPr>
          <w:rFonts w:hint="eastAsia" w:ascii="宋体" w:hAnsi="宋体" w:eastAsia="宋体" w:cs="宋体"/>
          <w:bCs/>
          <w:color w:val="000000"/>
          <w:sz w:val="24"/>
          <w:szCs w:val="24"/>
          <w:highlight w:val="none"/>
          <w:lang w:val="en-US" w:eastAsia="zh-CN"/>
        </w:rPr>
        <w:t xml:space="preserve">备品备件</w:t>
      </w:r>
      <w:r>
        <w:rPr>
          <w:rFonts w:hint="eastAsia" w:ascii="宋体" w:hAnsi="宋体" w:eastAsia="宋体" w:cs="宋体"/>
          <w:bCs/>
          <w:color w:val="000000"/>
          <w:sz w:val="24"/>
          <w:szCs w:val="24"/>
          <w:highlight w:val="none"/>
        </w:rPr>
        <w:t xml:space="preserve">、利润、风险、税金及政策性文件规定等各项应有费用，以及为完成该项货物和服务项目所涉及到的一切相关费用，</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不再支付其他任何费用。</w:t>
      </w:r>
      <w:r>
        <w:rPr>
          <w:rFonts w:hint="eastAsia" w:ascii="宋体" w:hAnsi="宋体" w:eastAsia="宋体" w:cs="宋体"/>
          <w:bCs/>
          <w:color w:val="000000"/>
          <w:sz w:val="24"/>
          <w:szCs w:val="24"/>
          <w:highlight w:val="none"/>
        </w:rPr>
      </w:r>
      <w:r/>
    </w:p>
    <w:p>
      <w:pPr>
        <w:pStyle w:val="909"/>
        <w:contextualSpacing/>
        <w:ind w:firstLine="480"/>
        <w:keepLines w:val="0"/>
        <w:keepNext w:val="0"/>
        <w:pageBreakBefore w:val="0"/>
        <w:spacing w:line="360" w:lineRule="auto"/>
        <w:widowControl w:val="off"/>
        <w:rPr>
          <w:rFonts w:hint="eastAsia"/>
          <w:color w:val="000000"/>
          <w:highlight w:val="none"/>
        </w:rPr>
        <w:outlineLvl w:val="9"/>
      </w:pPr>
      <w:r>
        <w:rPr>
          <w:rFonts w:hint="eastAsia" w:ascii="宋体" w:hAnsi="宋体" w:eastAsia="宋体" w:cs="宋体"/>
          <w:bCs/>
          <w:color w:val="000000"/>
          <w:sz w:val="24"/>
          <w:szCs w:val="24"/>
          <w:highlight w:val="none"/>
        </w:rPr>
        <w:t xml:space="preserve">报价货币为人民币，评标时以人民币为准。</w:t>
      </w:r>
      <w:r>
        <w:rPr>
          <w:rFonts w:hint="eastAsia"/>
          <w:color w:val="000000"/>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第六章   拟签订的合同文本</w:t>
      </w:r>
      <w:bookmarkEnd w:id="778"/>
      <w:r>
        <w:rPr>
          <w:rFonts w:ascii="Times New Roman" w:hAnsi="Times New Roman" w:eastAsia="宋体" w:cs="Times New Roman"/>
          <w:b/>
          <w:color w:val="000000"/>
          <w:sz w:val="36"/>
          <w:szCs w:val="36"/>
          <w:highlight w:val="none"/>
        </w:rPr>
      </w:r>
      <w:r/>
    </w:p>
    <w:p>
      <w:pPr>
        <w:pStyle w:val="909"/>
        <w:jc w:val="center"/>
        <w:rPr>
          <w:rFonts w:hint="eastAsia"/>
          <w:b/>
          <w:color w:val="000000"/>
          <w:sz w:val="40"/>
          <w:highlight w:val="none"/>
        </w:rPr>
      </w:pPr>
      <w:r>
        <w:rPr>
          <w:rFonts w:hint="eastAsia"/>
          <w:b/>
          <w:color w:val="000000"/>
          <w:sz w:val="40"/>
          <w:highlight w:val="none"/>
        </w:rPr>
        <w:t xml:space="preserve">销   售  合  同</w:t>
      </w:r>
      <w:r>
        <w:rPr>
          <w:rFonts w:hint="eastAsia"/>
          <w:b/>
          <w:color w:val="000000"/>
          <w:sz w:val="40"/>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合同签订地点：</w:t>
      </w:r>
      <w:r>
        <w:rPr>
          <w:rFonts w:hint="eastAsia" w:ascii="宋体" w:hAnsi="宋体" w:eastAsia="宋体" w:cs="宋体"/>
          <w:color w:val="000000"/>
          <w:sz w:val="24"/>
          <w:szCs w:val="24"/>
          <w:highlight w:val="none"/>
        </w:rPr>
        <w:t xml:space="preserve">常州市第一人民医院               </w:t>
      </w:r>
      <w:r>
        <w:rPr>
          <w:rFonts w:hint="eastAsia" w:ascii="宋体" w:hAnsi="宋体" w:eastAsia="宋体" w:cs="宋体"/>
          <w:b/>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w:t>
      </w:r>
      <w:r>
        <w:rPr>
          <w:rFonts w:hint="eastAsia" w:ascii="宋体" w:hAnsi="宋体" w:eastAsia="宋体" w:cs="宋体"/>
          <w:color w:val="000000"/>
          <w:sz w:val="24"/>
          <w:szCs w:val="24"/>
          <w:highlight w:val="none"/>
        </w:rPr>
        <w:t xml:space="preserve">常州市第一人民医院                        </w:t>
      </w:r>
      <w:r>
        <w:rPr>
          <w:rFonts w:hint="eastAsia" w:ascii="宋体" w:hAnsi="宋体" w:eastAsia="宋体" w:cs="宋体"/>
          <w:b/>
          <w:color w:val="000000"/>
          <w:sz w:val="24"/>
          <w:szCs w:val="24"/>
          <w:highlight w:val="none"/>
        </w:rPr>
        <w:t xml:space="preserve">乙方：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法定代表人：</w:t>
      </w:r>
      <w:r>
        <w:rPr>
          <w:rFonts w:hint="eastAsia" w:ascii="宋体" w:hAnsi="宋体" w:eastAsia="宋体" w:cs="宋体"/>
          <w:bCs/>
          <w:color w:val="000000"/>
          <w:sz w:val="24"/>
          <w:szCs w:val="24"/>
          <w:highlight w:val="none"/>
        </w:rPr>
        <w:t xml:space="preserve">周军                                </w:t>
      </w:r>
      <w:r>
        <w:rPr>
          <w:rFonts w:hint="eastAsia" w:ascii="宋体" w:hAnsi="宋体" w:eastAsia="宋体" w:cs="宋体"/>
          <w:b/>
          <w:color w:val="000000"/>
          <w:sz w:val="24"/>
          <w:szCs w:val="24"/>
          <w:highlight w:val="none"/>
        </w:rPr>
        <w:t xml:space="preserve">法定代表人：</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t xml:space="preserve">江苏省常州市局前街185号                  </w:t>
      </w: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t xml:space="preserve">0519-68870000（医院）                     </w:t>
      </w: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/68870822（装备物资采管处）                          </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传真：</w:t>
      </w:r>
      <w:r>
        <w:rPr>
          <w:rFonts w:hint="eastAsia" w:ascii="宋体" w:hAnsi="宋体" w:eastAsia="宋体" w:cs="宋体"/>
          <w:color w:val="000000"/>
          <w:sz w:val="24"/>
          <w:szCs w:val="24"/>
          <w:highlight w:val="none"/>
        </w:rPr>
        <w:t xml:space="preserve">0519-86606207   </w:t>
      </w:r>
      <w:r>
        <w:rPr>
          <w:rFonts w:hint="eastAsia" w:ascii="宋体" w:hAnsi="宋体" w:eastAsia="宋体" w:cs="宋体"/>
          <w:b/>
          <w:color w:val="000000"/>
          <w:sz w:val="24"/>
          <w:szCs w:val="24"/>
          <w:highlight w:val="none"/>
        </w:rPr>
        <w:t xml:space="preserve">                          传真：</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邮编：</w:t>
      </w:r>
      <w:r>
        <w:rPr>
          <w:rFonts w:hint="eastAsia" w:ascii="宋体" w:hAnsi="宋体" w:eastAsia="宋体" w:cs="宋体"/>
          <w:color w:val="000000"/>
          <w:sz w:val="24"/>
          <w:szCs w:val="24"/>
          <w:highlight w:val="none"/>
        </w:rPr>
        <w:t xml:space="preserve">213003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                邮编：</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一、产品具体情况：</w:t>
      </w:r>
      <w:r>
        <w:rPr>
          <w:rFonts w:hint="eastAsia" w:ascii="宋体" w:hAnsi="宋体" w:eastAsia="宋体" w:cs="宋体"/>
          <w:b/>
          <w:color w:val="000000"/>
          <w:sz w:val="24"/>
          <w:szCs w:val="24"/>
          <w:highlight w:val="none"/>
          <w:lang w:bidi="he-IL"/>
        </w:rPr>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64"/>
        <w:gridCol w:w="984"/>
        <w:gridCol w:w="833"/>
        <w:gridCol w:w="747"/>
        <w:gridCol w:w="500"/>
        <w:gridCol w:w="464"/>
        <w:gridCol w:w="969"/>
        <w:gridCol w:w="983"/>
        <w:gridCol w:w="1267"/>
      </w:tblGrid>
      <w:tr>
        <w:trPr>
          <w:trHeight w:val="283"/>
        </w:trPr>
        <w:tc>
          <w:tcPr>
            <w:tcW w:w="94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商品名称</w:t>
            </w:r>
            <w:r>
              <w:rPr>
                <w:rFonts w:hint="eastAsia" w:ascii="宋体" w:hAnsi="宋体" w:eastAsia="宋体" w:cs="宋体"/>
                <w:b/>
                <w:color w:val="000000"/>
                <w:sz w:val="24"/>
                <w:szCs w:val="24"/>
                <w:highlight w:val="none"/>
                <w:lang w:bidi="he-IL"/>
              </w:rPr>
            </w:r>
            <w:r/>
          </w:p>
        </w:tc>
        <w:tc>
          <w:tcPr>
            <w:tcW w:w="592"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规格型号</w:t>
            </w:r>
            <w:r>
              <w:rPr>
                <w:rFonts w:hint="eastAsia" w:ascii="宋体" w:hAnsi="宋体" w:eastAsia="宋体" w:cs="宋体"/>
                <w:b/>
                <w:color w:val="000000"/>
                <w:sz w:val="24"/>
                <w:szCs w:val="24"/>
                <w:highlight w:val="none"/>
                <w:lang w:bidi="he-IL"/>
              </w:rPr>
            </w:r>
            <w:r/>
          </w:p>
        </w:tc>
        <w:tc>
          <w:tcPr>
            <w:tcW w:w="5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产地</w:t>
            </w:r>
            <w:r>
              <w:rPr>
                <w:rFonts w:hint="eastAsia" w:ascii="宋体" w:hAnsi="宋体" w:eastAsia="宋体" w:cs="宋体"/>
                <w:b/>
                <w:color w:val="000000"/>
                <w:sz w:val="24"/>
                <w:szCs w:val="24"/>
                <w:highlight w:val="none"/>
                <w:lang w:bidi="he-IL"/>
              </w:rPr>
            </w:r>
            <w:r/>
          </w:p>
        </w:tc>
        <w:tc>
          <w:tcPr>
            <w:tcW w:w="448"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品牌</w:t>
            </w:r>
            <w:r>
              <w:rPr>
                <w:rFonts w:hint="eastAsia" w:ascii="宋体" w:hAnsi="宋体" w:eastAsia="宋体" w:cs="宋体"/>
                <w:b/>
                <w:color w:val="000000"/>
                <w:sz w:val="24"/>
                <w:szCs w:val="24"/>
                <w:highlight w:val="none"/>
                <w:lang w:bidi="he-IL"/>
              </w:rPr>
            </w:r>
            <w:r/>
          </w:p>
        </w:tc>
        <w:tc>
          <w:tcPr>
            <w:tcW w:w="3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单位</w:t>
            </w:r>
            <w:r>
              <w:rPr>
                <w:rFonts w:hint="eastAsia" w:ascii="宋体" w:hAnsi="宋体" w:eastAsia="宋体" w:cs="宋体"/>
                <w:b/>
                <w:color w:val="000000"/>
                <w:sz w:val="24"/>
                <w:szCs w:val="24"/>
                <w:highlight w:val="none"/>
                <w:lang w:bidi="he-IL"/>
              </w:rPr>
            </w:r>
            <w:r/>
          </w:p>
        </w:tc>
        <w:tc>
          <w:tcPr>
            <w:tcW w:w="279"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数量</w:t>
            </w:r>
            <w:r>
              <w:rPr>
                <w:rFonts w:hint="eastAsia" w:ascii="宋体" w:hAnsi="宋体" w:eastAsia="宋体" w:cs="宋体"/>
                <w:b/>
                <w:color w:val="000000"/>
                <w:sz w:val="24"/>
                <w:szCs w:val="24"/>
                <w:highlight w:val="none"/>
                <w:lang w:bidi="he-IL"/>
              </w:rPr>
            </w:r>
            <w:r/>
          </w:p>
        </w:tc>
        <w:tc>
          <w:tcPr>
            <w:tcW w:w="583"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市场单价</w:t>
            </w:r>
            <w:r>
              <w:rPr>
                <w:rFonts w:hint="eastAsia" w:ascii="宋体" w:hAnsi="宋体" w:eastAsia="宋体" w:cs="宋体"/>
                <w:b/>
                <w:color w:val="000000"/>
                <w:sz w:val="24"/>
                <w:szCs w:val="24"/>
                <w:highlight w:val="none"/>
                <w:lang w:bidi="he-IL"/>
              </w:rPr>
            </w:r>
            <w:r/>
          </w:p>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（元）</w:t>
            </w:r>
            <w:r>
              <w:rPr>
                <w:rFonts w:hint="eastAsia" w:ascii="宋体" w:hAnsi="宋体" w:eastAsia="宋体" w:cs="宋体"/>
                <w:b/>
                <w:color w:val="000000"/>
                <w:sz w:val="24"/>
                <w:szCs w:val="24"/>
                <w:highlight w:val="none"/>
                <w:lang w:bidi="he-IL"/>
              </w:rPr>
            </w:r>
            <w:r/>
          </w:p>
        </w:tc>
        <w:tc>
          <w:tcPr>
            <w:tcW w:w="591" w:type="dxa"/>
            <w:vAlign w:val="center"/>
            <w:textDirection w:val="lrTb"/>
            <w:noWrap w:val="false"/>
          </w:tcPr>
          <w:p>
            <w:pPr>
              <w:pStyle w:val="1165"/>
              <w:ind w:right="28"/>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成交单价</w:t>
            </w:r>
            <w:r>
              <w:rPr>
                <w:rFonts w:hint="eastAsia" w:ascii="宋体" w:hAnsi="宋体" w:eastAsia="宋体" w:cs="宋体"/>
                <w:b/>
                <w:color w:val="000000"/>
                <w:sz w:val="24"/>
                <w:szCs w:val="24"/>
                <w:highlight w:val="none"/>
                <w:lang w:bidi="he-IL"/>
              </w:rPr>
            </w:r>
            <w:r/>
          </w:p>
          <w:p>
            <w:pPr>
              <w:pStyle w:val="1165"/>
              <w:ind w:right="28"/>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（元）</w:t>
            </w:r>
            <w:r>
              <w:rPr>
                <w:rFonts w:hint="eastAsia" w:ascii="宋体" w:hAnsi="宋体" w:eastAsia="宋体" w:cs="宋体"/>
                <w:b/>
                <w:color w:val="000000"/>
                <w:sz w:val="24"/>
                <w:szCs w:val="24"/>
                <w:highlight w:val="none"/>
                <w:lang w:bidi="he-IL"/>
              </w:rPr>
            </w:r>
            <w:r/>
          </w:p>
        </w:tc>
        <w:tc>
          <w:tcPr>
            <w:tcW w:w="760" w:type="dxa"/>
            <w:vAlign w:val="center"/>
            <w:textDirection w:val="lrTb"/>
            <w:noWrap w:val="false"/>
          </w:tcPr>
          <w:p>
            <w:pPr>
              <w:pStyle w:val="1165"/>
              <w:ind w:left="4"/>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成交总金额</w:t>
            </w:r>
            <w:r>
              <w:rPr>
                <w:rFonts w:hint="eastAsia" w:ascii="宋体" w:hAnsi="宋体" w:eastAsia="宋体" w:cs="宋体"/>
                <w:b/>
                <w:color w:val="000000"/>
                <w:sz w:val="24"/>
                <w:szCs w:val="24"/>
                <w:highlight w:val="none"/>
                <w:lang w:bidi="he-IL"/>
              </w:rPr>
            </w:r>
            <w:r/>
          </w:p>
          <w:p>
            <w:pPr>
              <w:pStyle w:val="1165"/>
              <w:ind w:left="4"/>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含税价(元)</w:t>
            </w:r>
            <w:r>
              <w:rPr>
                <w:rFonts w:hint="eastAsia" w:ascii="宋体" w:hAnsi="宋体" w:eastAsia="宋体" w:cs="宋体"/>
                <w:b/>
                <w:color w:val="000000"/>
                <w:sz w:val="24"/>
                <w:szCs w:val="24"/>
                <w:highlight w:val="none"/>
                <w:lang w:bidi="he-IL"/>
              </w:rPr>
            </w:r>
            <w:r/>
          </w:p>
        </w:tc>
      </w:tr>
      <w:tr>
        <w:trPr>
          <w:trHeight w:val="283"/>
        </w:trPr>
        <w:tc>
          <w:tcPr>
            <w:tcW w:w="94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92"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448"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3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279"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83"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91" w:type="dxa"/>
            <w:vAlign w:val="center"/>
            <w:textDirection w:val="lrTb"/>
            <w:noWrap w:val="false"/>
          </w:tcPr>
          <w:p>
            <w:pPr>
              <w:pStyle w:val="1165"/>
              <w:ind w:right="28"/>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760" w:type="dxa"/>
            <w:vAlign w:val="center"/>
            <w:textDirection w:val="lrTb"/>
            <w:noWrap w:val="false"/>
          </w:tcPr>
          <w:p>
            <w:pPr>
              <w:pStyle w:val="1165"/>
              <w:ind w:left="4"/>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r>
      <w:tr>
        <w:trPr>
          <w:trHeight w:val="283"/>
        </w:trPr>
        <w:tc>
          <w:tcPr>
            <w:tcW w:w="94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92"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5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448"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301" w:type="dxa"/>
            <w:vAlign w:val="center"/>
            <w:textDirection w:val="lrTb"/>
            <w:noWrap w:val="false"/>
          </w:tcPr>
          <w:p>
            <w:pPr>
              <w:pStyle w:val="1165"/>
              <w:ind w:right="19"/>
              <w:jc w:val="center"/>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r>
            <w:r/>
          </w:p>
        </w:tc>
        <w:tc>
          <w:tcPr>
            <w:tcW w:w="279"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83"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591"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c>
          <w:tcPr>
            <w:tcW w:w="760" w:type="dxa"/>
            <w:vAlign w:val="center"/>
            <w:textDirection w:val="lrTb"/>
            <w:noWrap w:val="false"/>
          </w:tcPr>
          <w:p>
            <w:pPr>
              <w:pStyle w:val="1165"/>
              <w:jc w:val="center"/>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r>
            <w:r/>
          </w:p>
        </w:tc>
      </w:tr>
      <w:tr>
        <w:trPr>
          <w:trHeight w:val="283"/>
        </w:trPr>
        <w:tc>
          <w:tcPr>
            <w:gridSpan w:val="4"/>
            <w:tcW w:w="4128" w:type="dxa"/>
            <w:vAlign w:val="center"/>
            <w:textDirection w:val="lrTb"/>
            <w:noWrap w:val="false"/>
          </w:tcPr>
          <w:p>
            <w:pPr>
              <w:pStyle w:val="1165"/>
              <w:jc w:val="both"/>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合计人民币金额(小</w:t>
            </w:r>
            <w:r>
              <w:rPr>
                <w:rFonts w:hint="eastAsia" w:ascii="宋体" w:hAnsi="宋体" w:eastAsia="宋体" w:cs="宋体"/>
                <w:bCs/>
                <w:color w:val="000000"/>
                <w:sz w:val="24"/>
                <w:szCs w:val="24"/>
                <w:highlight w:val="none"/>
                <w:cs/>
                <w:lang w:bidi="he-IL"/>
              </w:rPr>
              <w:t xml:space="preserve">写</w:t>
            </w:r>
            <w:r>
              <w:rPr>
                <w:rFonts w:hint="eastAsia" w:ascii="宋体" w:hAnsi="宋体" w:eastAsia="宋体" w:cs="宋体"/>
                <w:b/>
                <w:color w:val="000000"/>
                <w:sz w:val="24"/>
                <w:szCs w:val="24"/>
                <w:highlight w:val="none"/>
                <w:lang w:bidi="he-IL"/>
              </w:rPr>
              <w:t xml:space="preserve">)：¥</w:t>
            </w:r>
            <w:r>
              <w:rPr>
                <w:rFonts w:hint="eastAsia" w:ascii="宋体" w:hAnsi="宋体" w:eastAsia="宋体" w:cs="宋体"/>
                <w:b/>
                <w:color w:val="000000"/>
                <w:sz w:val="24"/>
                <w:szCs w:val="24"/>
                <w:highlight w:val="none"/>
                <w:lang w:bidi="he-IL"/>
              </w:rPr>
            </w:r>
            <w:r/>
          </w:p>
        </w:tc>
        <w:tc>
          <w:tcPr>
            <w:gridSpan w:val="5"/>
            <w:tcW w:w="4183" w:type="dxa"/>
            <w:vAlign w:val="center"/>
            <w:textDirection w:val="lrTb"/>
            <w:noWrap w:val="false"/>
          </w:tcPr>
          <w:p>
            <w:pPr>
              <w:pStyle w:val="1165"/>
              <w:jc w:val="both"/>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b/>
                <w:color w:val="000000"/>
                <w:sz w:val="24"/>
                <w:szCs w:val="24"/>
                <w:highlight w:val="none"/>
                <w:lang w:bidi="he-IL"/>
              </w:rPr>
              <w:t xml:space="preserve">合计人民币金额(</w:t>
            </w:r>
            <w:r>
              <w:rPr>
                <w:rFonts w:hint="eastAsia" w:ascii="宋体" w:hAnsi="宋体" w:eastAsia="宋体" w:cs="宋体"/>
                <w:bCs/>
                <w:color w:val="000000"/>
                <w:sz w:val="24"/>
                <w:szCs w:val="24"/>
                <w:highlight w:val="none"/>
                <w:cs/>
                <w:lang w:bidi="he-IL"/>
              </w:rPr>
              <w:t xml:space="preserve">大写</w:t>
            </w:r>
            <w:r>
              <w:rPr>
                <w:rFonts w:hint="eastAsia" w:ascii="宋体" w:hAnsi="宋体" w:eastAsia="宋体" w:cs="宋体"/>
                <w:b/>
                <w:color w:val="000000"/>
                <w:sz w:val="24"/>
                <w:szCs w:val="24"/>
                <w:highlight w:val="none"/>
                <w:lang w:bidi="he-IL"/>
              </w:rPr>
              <w:t xml:space="preserve">)：</w:t>
            </w:r>
            <w:r>
              <w:rPr>
                <w:rFonts w:hint="eastAsia" w:ascii="宋体" w:hAnsi="宋体" w:eastAsia="宋体" w:cs="宋体"/>
                <w:color w:val="000000"/>
                <w:sz w:val="24"/>
                <w:szCs w:val="24"/>
                <w:highlight w:val="none"/>
                <w:lang w:bidi="he-IL"/>
              </w:rPr>
            </w:r>
            <w:r/>
          </w:p>
        </w:tc>
      </w:tr>
    </w:tbl>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二、设备详细配置：</w:t>
      </w:r>
      <w:r>
        <w:rPr>
          <w:rFonts w:hint="eastAsia" w:ascii="宋体" w:hAnsi="宋体" w:eastAsia="宋体" w:cs="宋体"/>
          <w:b/>
          <w:color w:val="000000"/>
          <w:sz w:val="24"/>
          <w:szCs w:val="24"/>
          <w:highlight w:val="none"/>
          <w:lang w:bidi="he-IL"/>
        </w:rPr>
      </w:r>
      <w:r/>
    </w:p>
    <w:p>
      <w:pPr>
        <w:pStyle w:val="1165"/>
        <w:ind w:firstLine="710"/>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见附件1。</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三、售后服务和要求:</w:t>
      </w:r>
      <w:r>
        <w:rPr>
          <w:rFonts w:hint="eastAsia" w:ascii="宋体" w:hAnsi="宋体" w:eastAsia="宋体" w:cs="宋体"/>
          <w:b/>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he-IL"/>
        </w:rPr>
        <w:t xml:space="preserve">1.设备验收以甲方的验收报告为准，自双方约定的技术验收通过第二天起计算质保期，整机含配件免费原厂全保</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val="en-US" w:eastAsia="zh-CN" w:bidi="he-IL"/>
        </w:rPr>
        <w:t xml:space="preserve"> </w:t>
      </w:r>
      <w:r>
        <w:rPr>
          <w:rFonts w:hint="eastAsia" w:ascii="宋体" w:hAnsi="宋体" w:eastAsia="宋体" w:cs="宋体"/>
          <w:color w:val="000000"/>
          <w:sz w:val="24"/>
          <w:szCs w:val="24"/>
          <w:highlight w:val="none"/>
          <w:lang w:bidi="he-IL"/>
        </w:rPr>
        <w:t xml:space="preserve">年；质保期过后终身维修，</w:t>
      </w:r>
      <w:r>
        <w:rPr>
          <w:rFonts w:hint="eastAsia" w:ascii="宋体" w:hAnsi="宋体" w:eastAsia="宋体" w:cs="宋体"/>
          <w:color w:val="000000"/>
          <w:sz w:val="24"/>
          <w:szCs w:val="24"/>
          <w:highlight w:val="none"/>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eastAsia="宋体" w:cs="宋体"/>
          <w:color w:val="000000"/>
          <w:sz w:val="24"/>
          <w:szCs w:val="24"/>
          <w:highlight w:val="none"/>
          <w:lang w:bidi="he-IL"/>
        </w:rPr>
        <w:t xml:space="preserve">维保价格（全保）不高于</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val="en-US" w:eastAsia="zh-CN" w:bidi="he-IL"/>
        </w:rPr>
        <w:t xml:space="preserve"> </w:t>
      </w:r>
      <w:r>
        <w:rPr>
          <w:rFonts w:hint="eastAsia" w:ascii="宋体" w:hAnsi="宋体" w:eastAsia="宋体" w:cs="宋体"/>
          <w:color w:val="000000"/>
          <w:sz w:val="24"/>
          <w:szCs w:val="24"/>
          <w:highlight w:val="none"/>
          <w:lang w:bidi="he-IL"/>
        </w:rPr>
        <w:t xml:space="preserve">元/台/年</w:t>
      </w:r>
      <w:r>
        <w:rPr>
          <w:rFonts w:hint="eastAsia" w:ascii="宋体" w:hAnsi="宋体" w:eastAsia="宋体" w:cs="宋体"/>
          <w:color w:val="000000"/>
          <w:sz w:val="24"/>
          <w:szCs w:val="24"/>
          <w:highlight w:val="none"/>
        </w:rPr>
        <w:t xml:space="preserve">，维保期间乙方免费提供所有零配件及服务。</w:t>
      </w:r>
      <w:r>
        <w:rPr>
          <w:rFonts w:hint="eastAsia" w:ascii="宋体" w:hAnsi="宋体" w:eastAsia="宋体" w:cs="宋体"/>
          <w:color w:val="000000"/>
          <w:sz w:val="24"/>
          <w:szCs w:val="24"/>
          <w:highlight w:val="none"/>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2.</w:t>
      </w:r>
      <w:r>
        <w:rPr>
          <w:rFonts w:hint="eastAsia" w:ascii="宋体" w:hAnsi="宋体" w:eastAsia="宋体" w:cs="宋体"/>
          <w:color w:val="000000"/>
          <w:sz w:val="24"/>
          <w:szCs w:val="24"/>
          <w:highlight w:val="none"/>
        </w:rPr>
        <w:t xml:space="preserve">确保设备质保期内开机率为95%。如设备故障停机率超过5%（一年按365天计算，每年18天），每超过一天，质保期延长两周。</w:t>
      </w:r>
      <w:r>
        <w:rPr>
          <w:rFonts w:hint="eastAsia" w:ascii="宋体" w:hAnsi="宋体" w:eastAsia="宋体" w:cs="宋体"/>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3.</w:t>
      </w:r>
      <w:r>
        <w:rPr>
          <w:rFonts w:hint="eastAsia" w:ascii="宋体" w:hAnsi="宋体" w:eastAsia="宋体" w:cs="宋体"/>
          <w:color w:val="000000"/>
          <w:sz w:val="24"/>
          <w:szCs w:val="24"/>
          <w:highlight w:val="none"/>
        </w:rPr>
        <w:t xml:space="preserve">如设备发生故障，乙方在接到甲方质保电话2小时内予以响应，24小时内修复完成，如果不能修复完成</w:t>
      </w:r>
      <w:r>
        <w:rPr>
          <w:rFonts w:hint="eastAsia" w:ascii="宋体" w:hAnsi="宋体" w:eastAsia="宋体" w:cs="宋体"/>
          <w:color w:val="000000"/>
          <w:sz w:val="24"/>
          <w:szCs w:val="24"/>
          <w:highlight w:val="none"/>
          <w:lang w:bidi="he-IL"/>
        </w:rPr>
        <w:t xml:space="preserve">，公司提供样机确保甲方在质保期内工作正常进行；如不能提供样机，</w:t>
      </w:r>
      <w:r>
        <w:rPr>
          <w:rFonts w:hint="eastAsia" w:ascii="宋体" w:hAnsi="宋体" w:eastAsia="宋体" w:cs="宋体"/>
          <w:color w:val="000000"/>
          <w:sz w:val="24"/>
          <w:szCs w:val="24"/>
          <w:highlight w:val="none"/>
        </w:rPr>
        <w:t xml:space="preserve">当天不能修复完成</w:t>
      </w:r>
      <w:r>
        <w:rPr>
          <w:rFonts w:hint="eastAsia" w:ascii="宋体" w:hAnsi="宋体" w:eastAsia="宋体" w:cs="宋体"/>
          <w:color w:val="000000"/>
          <w:sz w:val="24"/>
          <w:szCs w:val="24"/>
          <w:highlight w:val="none"/>
          <w:lang w:bidi="he-IL"/>
        </w:rPr>
        <w:t xml:space="preserve">，应提前告知甲方，抓紧组织维修，超过一天，质保期延长两周。</w:t>
      </w:r>
      <w:r>
        <w:rPr>
          <w:rFonts w:hint="eastAsia" w:ascii="宋体" w:hAnsi="宋体" w:eastAsia="宋体" w:cs="宋体"/>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lang w:bidi="he-IL"/>
        </w:rPr>
      </w:pPr>
      <w:r>
        <w:rPr>
          <w:rFonts w:hint="eastAsia" w:ascii="宋体" w:hAnsi="宋体" w:eastAsia="宋体" w:cs="宋体"/>
          <w:color w:val="000000"/>
          <w:sz w:val="24"/>
          <w:szCs w:val="24"/>
          <w:highlight w:val="none"/>
          <w:lang w:bidi="he-IL"/>
        </w:rPr>
        <w:t xml:space="preserve">4.</w:t>
      </w:r>
      <w:r>
        <w:rPr>
          <w:rFonts w:hint="eastAsia" w:ascii="宋体" w:hAnsi="宋体" w:eastAsia="宋体" w:cs="宋体"/>
          <w:color w:val="000000"/>
          <w:sz w:val="24"/>
          <w:szCs w:val="24"/>
          <w:highlight w:val="none"/>
          <w:u w:val="single"/>
          <w:lang w:bidi="he-IL"/>
        </w:rPr>
        <w:t xml:space="preserve">与该设备相关的易损件、耗材、试剂分项报价和优惠承诺见：附件2。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eastAsia="宋体" w:cs="宋体"/>
          <w:color w:val="000000"/>
          <w:sz w:val="24"/>
          <w:szCs w:val="24"/>
          <w:highlight w:val="none"/>
          <w:lang w:bidi="he-IL"/>
        </w:rPr>
      </w:r>
      <w:r/>
    </w:p>
    <w:p>
      <w:pPr>
        <w:pStyle w:val="909"/>
        <w:ind w:left="780" w:hanging="360"/>
        <w:keepLines w:val="0"/>
        <w:keepNext w:val="0"/>
        <w:pageBreakBefore w:val="0"/>
        <w:spacing w:line="360" w:lineRule="auto"/>
        <w:widowControl w:val="off"/>
        <w:rPr>
          <w:rFonts w:hint="eastAsia" w:ascii="宋体" w:hAnsi="宋体" w:eastAsia="宋体" w:cs="宋体"/>
          <w:color w:val="000000"/>
          <w:sz w:val="24"/>
          <w:szCs w:val="24"/>
          <w:highlight w:val="none"/>
          <w:u w:val="single"/>
          <w:lang w:bidi="he-IL"/>
        </w:rPr>
      </w:pPr>
      <w:r>
        <w:rPr>
          <w:rFonts w:hint="eastAsia" w:ascii="宋体" w:hAnsi="宋体" w:eastAsia="宋体" w:cs="宋体"/>
          <w:color w:val="000000"/>
          <w:sz w:val="24"/>
          <w:szCs w:val="24"/>
          <w:highlight w:val="none"/>
          <w:lang w:bidi="he-IL"/>
        </w:rPr>
        <w:t xml:space="preserve">5.其他特别承诺的售后服务：</w:t>
      </w:r>
      <w:r>
        <w:rPr>
          <w:rFonts w:hint="eastAsia" w:ascii="宋体" w:hAnsi="宋体" w:eastAsia="宋体" w:cs="宋体"/>
          <w:color w:val="000000"/>
          <w:sz w:val="24"/>
          <w:szCs w:val="24"/>
          <w:highlight w:val="none"/>
          <w:u w:val="single"/>
          <w:lang w:bidi="he-IL"/>
        </w:rPr>
        <w:t xml:space="preserve">                                              </w:t>
      </w:r>
      <w:r>
        <w:rPr>
          <w:rFonts w:hint="eastAsia" w:ascii="宋体" w:hAnsi="宋体" w:eastAsia="宋体" w:cs="宋体"/>
          <w:color w:val="000000"/>
          <w:sz w:val="24"/>
          <w:szCs w:val="24"/>
          <w:highlight w:val="none"/>
          <w:u w:val="single"/>
          <w:lang w:bidi="he-IL"/>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四、到货时间：</w:t>
      </w:r>
      <w:r>
        <w:rPr>
          <w:rFonts w:hint="eastAsia" w:ascii="宋体" w:hAnsi="宋体" w:eastAsia="宋体" w:cs="宋体"/>
          <w:b/>
          <w:color w:val="000000"/>
          <w:sz w:val="24"/>
          <w:szCs w:val="24"/>
          <w:highlight w:val="none"/>
          <w:lang w:bidi="he-IL"/>
        </w:rPr>
      </w:r>
      <w:r/>
    </w:p>
    <w:p>
      <w:pPr>
        <w:pStyle w:val="1165"/>
        <w:ind w:left="630"/>
        <w:keepLines w:val="0"/>
        <w:keepNext w:val="0"/>
        <w:pageBreakBefore w:val="0"/>
        <w:spacing w:after="156" w:line="360" w:lineRule="auto"/>
        <w:widowControl w:val="off"/>
        <w:rPr>
          <w:rFonts w:hint="eastAsia" w:ascii="宋体" w:hAnsi="宋体" w:eastAsia="宋体" w:cs="宋体"/>
          <w:color w:val="000000"/>
          <w:sz w:val="24"/>
          <w:szCs w:val="24"/>
          <w:highlight w:val="none"/>
          <w:u w:val="single"/>
          <w:lang w:bidi="he-IL"/>
        </w:rPr>
      </w:pPr>
      <w:r>
        <w:rPr>
          <w:rFonts w:hint="eastAsia" w:ascii="宋体" w:hAnsi="宋体" w:eastAsia="宋体" w:cs="宋体"/>
          <w:color w:val="000000"/>
          <w:sz w:val="24"/>
          <w:szCs w:val="24"/>
          <w:highlight w:val="none"/>
          <w:u w:val="single"/>
          <w:lang w:bidi="he-IL"/>
        </w:rPr>
        <w:t xml:space="preserve">自合同签订之日起60个工作日内到货，如逾期到货，每日按该货款金额千分之五承担违约金，逾期60日仍不能到货的，甲方有权解除本合同，并由乙方承担该货款金额30%的违约金</w:t>
      </w:r>
      <w:r>
        <w:rPr>
          <w:rFonts w:hint="eastAsia" w:ascii="宋体" w:hAnsi="宋体" w:eastAsia="宋体" w:cs="宋体"/>
          <w:color w:val="000000"/>
          <w:sz w:val="24"/>
          <w:szCs w:val="24"/>
          <w:highlight w:val="none"/>
          <w:u w:val="single"/>
          <w:lang w:bidi="he-IL"/>
        </w:rPr>
        <w:t xml:space="preserve">。</w:t>
      </w:r>
      <w:r>
        <w:rPr>
          <w:rFonts w:hint="eastAsia" w:ascii="宋体" w:hAnsi="宋体" w:eastAsia="宋体" w:cs="宋体"/>
          <w:color w:val="000000"/>
          <w:sz w:val="24"/>
          <w:szCs w:val="24"/>
          <w:highlight w:val="none"/>
          <w:u w:val="single"/>
          <w:lang w:bidi="he-IL"/>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五、交货地点：</w:t>
      </w:r>
      <w:r>
        <w:rPr>
          <w:rFonts w:hint="eastAsia" w:ascii="宋体" w:hAnsi="宋体" w:eastAsia="宋体" w:cs="宋体"/>
          <w:b/>
          <w:color w:val="000000"/>
          <w:sz w:val="24"/>
          <w:szCs w:val="24"/>
          <w:highlight w:val="none"/>
          <w:lang w:bidi="he-IL"/>
        </w:rPr>
      </w:r>
      <w:r/>
    </w:p>
    <w:p>
      <w:pPr>
        <w:pStyle w:val="909"/>
        <w:ind w:left="537" w:hanging="117"/>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甲方指定地点，货损风险自验收合格交付甲方之日起转移。</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lang w:bidi="he-IL"/>
        </w:rPr>
      </w:pPr>
      <w:r>
        <w:rPr>
          <w:rFonts w:hint="eastAsia" w:ascii="宋体" w:hAnsi="宋体" w:eastAsia="宋体" w:cs="宋体"/>
          <w:b/>
          <w:color w:val="000000"/>
          <w:sz w:val="24"/>
          <w:szCs w:val="24"/>
          <w:highlight w:val="none"/>
          <w:lang w:bidi="he-IL"/>
        </w:rPr>
        <w:t xml:space="preserve">六、付款方式和要求：</w:t>
      </w:r>
      <w:r>
        <w:rPr>
          <w:rFonts w:hint="eastAsia" w:ascii="宋体" w:hAnsi="宋体" w:eastAsia="宋体" w:cs="宋体"/>
          <w:b/>
          <w:color w:val="000000"/>
          <w:sz w:val="24"/>
          <w:szCs w:val="24"/>
          <w:highlight w:val="none"/>
          <w:lang w:bidi="he-IL"/>
        </w:rPr>
      </w:r>
      <w:r/>
    </w:p>
    <w:p>
      <w:pPr>
        <w:pStyle w:val="909"/>
        <w:ind w:left="652" w:hanging="232"/>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lang w:bidi="he-IL"/>
        </w:rPr>
        <w:t xml:space="preserve">设备安装、调试、验收合格，并培训指导完成后，首付30%货款，正常使用</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u w:val="single"/>
          <w:lang w:bidi="he-IL"/>
        </w:rPr>
        <w:t xml:space="preserve">个月后再付70% 货款，付款前乙方向甲方提供增值税发票，甲方按医院签票流程走付款程序，具体到账时间以甲方付款流程为准。</w:t>
      </w:r>
      <w:r>
        <w:rPr>
          <w:rFonts w:hint="eastAsia" w:ascii="宋体" w:hAnsi="宋体" w:eastAsia="宋体" w:cs="宋体"/>
          <w:color w:val="000000"/>
          <w:sz w:val="24"/>
          <w:szCs w:val="24"/>
          <w:highlight w:val="none"/>
          <w:u w:val="singl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2.设备验收合格后，乙方所开发票，应确保发票上所列品名、型号、金额与合同所列完全一致。</w:t>
      </w:r>
      <w:r>
        <w:rPr>
          <w:rFonts w:hint="eastAsia" w:ascii="宋体" w:hAnsi="宋体" w:eastAsia="宋体" w:cs="宋体"/>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3.乙方收款信息如下，如有变更应当提前3日书面告知甲方，否则乙方自行承担不利后果：</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公司名称：</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909"/>
        <w:ind w:left="832"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七、资质、质量要求及技术标准：</w:t>
      </w:r>
      <w:r>
        <w:rPr>
          <w:rFonts w:hint="eastAsia" w:ascii="宋体" w:hAnsi="宋体" w:eastAsia="宋体" w:cs="宋体"/>
          <w:b/>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eastAsia="宋体" w:cs="宋体"/>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eastAsia="宋体" w:cs="宋体"/>
          <w:color w:val="000000"/>
          <w:sz w:val="24"/>
          <w:szCs w:val="24"/>
          <w:highlight w:val="none"/>
        </w:rPr>
      </w:r>
      <w:r/>
    </w:p>
    <w:p>
      <w:pPr>
        <w:pStyle w:val="936"/>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ascii="宋体" w:hAnsi="宋体" w:eastAsia="宋体" w:cs="宋体"/>
          <w:color w:val="000000"/>
          <w:sz w:val="24"/>
          <w:szCs w:val="24"/>
          <w:highlight w:val="none"/>
        </w:rPr>
      </w:r>
      <w:r/>
    </w:p>
    <w:p>
      <w:pPr>
        <w:pStyle w:val="936"/>
        <w:ind w:firstLine="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（1）拒收全部或部分设备，并要求乙方在【15】日内更换符合要求的设备；</w:t>
      </w:r>
      <w:r>
        <w:rPr>
          <w:rFonts w:hint="eastAsia" w:ascii="宋体" w:hAnsi="宋体" w:eastAsia="宋体" w:cs="宋体"/>
          <w:color w:val="000000"/>
          <w:sz w:val="24"/>
          <w:szCs w:val="24"/>
          <w:highlight w:val="none"/>
        </w:rPr>
      </w:r>
      <w:r/>
    </w:p>
    <w:p>
      <w:pPr>
        <w:pStyle w:val="936"/>
        <w:ind w:firstLine="9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（2）单方解除本合同；</w:t>
      </w:r>
      <w:r>
        <w:rPr>
          <w:rFonts w:hint="eastAsia" w:ascii="宋体" w:hAnsi="宋体" w:eastAsia="宋体" w:cs="宋体"/>
          <w:color w:val="000000"/>
          <w:sz w:val="24"/>
          <w:szCs w:val="24"/>
          <w:highlight w:val="none"/>
        </w:rPr>
      </w:r>
      <w:r/>
    </w:p>
    <w:p>
      <w:pPr>
        <w:pStyle w:val="909"/>
        <w:ind w:left="630"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（3）要求乙方赔偿因此遭受的全部损失，包括但不限于甲方因此产生的仓储费、检测费、向第三方重新采购的差价损失及工程延误损失等</w:t>
      </w:r>
      <w:r>
        <w:rPr>
          <w:rFonts w:hint="eastAsia" w:ascii="宋体" w:hAnsi="宋体" w:eastAsia="宋体" w:cs="宋体"/>
          <w:color w:val="000000"/>
          <w:sz w:val="24"/>
          <w:szCs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4.其他未提及事项必须符合国家药品监督管理局的相关规定。</w:t>
      </w:r>
      <w:r>
        <w:rPr>
          <w:rFonts w:hint="eastAsia" w:ascii="宋体" w:hAnsi="宋体" w:eastAsia="宋体" w:cs="宋体"/>
          <w:color w:val="000000"/>
          <w:sz w:val="24"/>
          <w:szCs w:val="24"/>
          <w:highlight w:val="none"/>
        </w:rPr>
      </w:r>
      <w:r/>
    </w:p>
    <w:p>
      <w:pPr>
        <w:pStyle w:val="909"/>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5.若该设备涉及网络问题，甲方只负责提供一个网络接口，设备内部的局域网建设由乙方负责提供，且乙方提供的设备均需满足国家网络信息安全要求。</w:t>
      </w:r>
      <w:r>
        <w:rPr>
          <w:rFonts w:hint="eastAsia" w:ascii="宋体" w:hAnsi="宋体" w:eastAsia="宋体" w:cs="宋体"/>
          <w:color w:val="000000"/>
          <w:sz w:val="24"/>
          <w:szCs w:val="24"/>
          <w:highlight w:val="none"/>
        </w:rPr>
      </w:r>
      <w:r/>
    </w:p>
    <w:p>
      <w:pPr>
        <w:pStyle w:val="909"/>
        <w:ind w:firstLine="840"/>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以上条款必须满足，否则由此引起的一切责任由乙方负责。</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八、设备到货、安装、验收和培训：</w:t>
      </w:r>
      <w:r>
        <w:rPr>
          <w:rFonts w:hint="eastAsia" w:ascii="宋体" w:hAnsi="宋体" w:eastAsia="宋体" w:cs="宋体"/>
          <w:b/>
          <w:color w:val="000000"/>
          <w:sz w:val="24"/>
          <w:szCs w:val="24"/>
          <w:highlight w:val="none"/>
        </w:rPr>
      </w:r>
      <w:r/>
    </w:p>
    <w:p>
      <w:pPr>
        <w:pStyle w:val="909"/>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1.乙方到货、安装和调试必须事先与甲方联系，必要时由甲方联系商检部门监督拆箱和验收货物。设备安装、调试结束后，乙方派工程师现场协助甲方对设备进行验收，填写验收报告。</w:t>
      </w:r>
      <w:r>
        <w:rPr>
          <w:rFonts w:hint="eastAsia" w:ascii="宋体" w:hAnsi="宋体" w:eastAsia="宋体" w:cs="宋体"/>
          <w:color w:val="000000"/>
          <w:sz w:val="24"/>
          <w:szCs w:val="24"/>
          <w:highlight w:val="none"/>
        </w:rPr>
      </w:r>
      <w:r/>
    </w:p>
    <w:p>
      <w:pPr>
        <w:pStyle w:val="909"/>
        <w:ind w:left="66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2.在安装过程中或安装结束后，乙方工程师负责对甲方进行操作、保养和维修的培训，必要时需按照事先约定跟台手术。</w:t>
      </w:r>
      <w:r>
        <w:rPr>
          <w:rFonts w:hint="eastAsia" w:ascii="宋体" w:hAnsi="宋体" w:eastAsia="宋体" w:cs="宋体"/>
          <w:color w:val="000000"/>
          <w:sz w:val="24"/>
          <w:szCs w:val="24"/>
          <w:highlight w:val="none"/>
        </w:rPr>
      </w:r>
      <w:r/>
    </w:p>
    <w:p>
      <w:pPr>
        <w:pStyle w:val="909"/>
        <w:ind w:left="660" w:hanging="240"/>
        <w:keepLines w:val="0"/>
        <w:keepNext w:val="0"/>
        <w:pageBreakBefore w:val="0"/>
        <w:spacing w:after="156"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乙方所供设备如验收不合格，根据甲方的要求，乙方必须无条件换货或退货，由此引起的一切损失由乙方承担。</w:t>
      </w:r>
      <w:r>
        <w:rPr>
          <w:rFonts w:hint="eastAsia" w:ascii="宋体" w:hAnsi="宋体" w:eastAsia="宋体" w:cs="宋体"/>
          <w:color w:val="000000"/>
          <w:sz w:val="24"/>
          <w:szCs w:val="24"/>
          <w:highlight w:val="none"/>
          <w:u w:val="singl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4.设备到货后，乙方应提供给甲方机电设备进口证明（如需要）、报关单、海关免税证明（如免税）、原产地证书、质量保证书、商检证书、安装图纸、全套随机技术资料等。</w:t>
      </w:r>
      <w:r>
        <w:rPr>
          <w:rFonts w:hint="eastAsia" w:ascii="宋体" w:hAnsi="宋体" w:eastAsia="宋体" w:cs="宋体"/>
          <w:color w:val="000000"/>
          <w:sz w:val="24"/>
          <w:szCs w:val="24"/>
          <w:highlight w:val="none"/>
        </w:rPr>
      </w:r>
      <w:r/>
    </w:p>
    <w:p>
      <w:pPr>
        <w:pStyle w:val="909"/>
        <w:ind w:left="772" w:hanging="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保险费等直接和间接损失），均由乙方承担。</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九、违约责任：</w:t>
      </w:r>
      <w:r>
        <w:rPr>
          <w:rFonts w:hint="eastAsia" w:ascii="宋体" w:hAnsi="宋体" w:eastAsia="宋体" w:cs="宋体"/>
          <w:color w:val="000000"/>
          <w:sz w:val="24"/>
          <w:szCs w:val="24"/>
          <w:highlight w:val="none"/>
        </w:rPr>
      </w:r>
      <w:r/>
    </w:p>
    <w:p>
      <w:pPr>
        <w:pStyle w:val="909"/>
        <w:ind w:left="424"/>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甲乙双方在执行合同时应依照《中华人民共和国民法典》执行。对于本合同未尽事宜，甲乙双方友好协商解决。若出现纠纷，协商不成时,任何一方均可向甲方所在地人民法院提起诉讼。</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AU"/>
        </w:rPr>
        <w:t xml:space="preserve">合同生效：</w:t>
      </w:r>
      <w:r>
        <w:rPr>
          <w:rFonts w:hint="eastAsia" w:ascii="宋体" w:hAnsi="宋体" w:eastAsia="宋体" w:cs="宋体"/>
          <w:b/>
          <w:color w:val="000000"/>
          <w:sz w:val="24"/>
          <w:szCs w:val="24"/>
          <w:highlight w:val="none"/>
        </w:rPr>
      </w:r>
      <w:r/>
    </w:p>
    <w:p>
      <w:pPr>
        <w:pStyle w:val="909"/>
        <w:ind w:firstLine="420"/>
        <w:keepLines w:val="0"/>
        <w:keepNext w:val="0"/>
        <w:pageBreakBefore w:val="0"/>
        <w:spacing w:line="360" w:lineRule="auto"/>
        <w:widowControl w:val="off"/>
        <w:rPr>
          <w:rFonts w:hint="eastAsia" w:ascii="宋体" w:hAnsi="宋体" w:eastAsia="宋体" w:cs="宋体"/>
          <w:bCs/>
          <w:color w:val="000000"/>
          <w:sz w:val="24"/>
          <w:szCs w:val="24"/>
          <w:highlight w:val="none"/>
          <w:lang w:val="en-AU"/>
        </w:rPr>
      </w:pPr>
      <w:r>
        <w:rPr>
          <w:rFonts w:hint="eastAsia" w:ascii="宋体" w:hAnsi="宋体" w:eastAsia="宋体" w:cs="宋体"/>
          <w:bCs/>
          <w:color w:val="000000"/>
          <w:sz w:val="24"/>
          <w:szCs w:val="24"/>
          <w:highlight w:val="none"/>
          <w:lang w:val="en-AU"/>
        </w:rPr>
        <w:t xml:space="preserve">本合同应经双方法定代表人或授权代表签字、双方盖章（包括骑缝章）后始生效。</w:t>
      </w:r>
      <w:r>
        <w:rPr>
          <w:rFonts w:hint="eastAsia" w:ascii="宋体" w:hAnsi="宋体" w:eastAsia="宋体" w:cs="宋体"/>
          <w:bCs/>
          <w:color w:val="000000"/>
          <w:sz w:val="24"/>
          <w:szCs w:val="24"/>
          <w:highlight w:val="none"/>
          <w:lang w:val="en-AU"/>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w:t>
      </w:r>
      <w:r>
        <w:rPr>
          <w:rFonts w:hint="eastAsia" w:ascii="宋体" w:hAnsi="宋体" w:eastAsia="宋体" w:cs="宋体"/>
          <w:color w:val="000000"/>
          <w:sz w:val="24"/>
          <w:szCs w:val="24"/>
          <w:highlight w:val="none"/>
          <w:lang w:bidi="he-IL"/>
        </w:rPr>
        <w:t xml:space="preserve">本合同一式陆份，甲方执肆份，乙方执壹份，代理机构持壹份，</w:t>
      </w:r>
      <w:r>
        <w:rPr>
          <w:rFonts w:hint="eastAsia" w:ascii="宋体" w:hAnsi="宋体" w:eastAsia="宋体" w:cs="宋体"/>
          <w:color w:val="000000"/>
          <w:sz w:val="24"/>
          <w:szCs w:val="24"/>
          <w:highlight w:val="none"/>
        </w:rPr>
        <w:t xml:space="preserve">每份具有同等法律效力。</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甲方（签章）：常州市第一人民医院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乙方（签章）：</w:t>
      </w:r>
      <w:r>
        <w:rPr>
          <w:rFonts w:hint="eastAsia" w:ascii="宋体" w:hAnsi="宋体" w:eastAsia="宋体" w:cs="宋体"/>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授权代表：                    </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    授权代表：</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日期：                </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 日期：</w:t>
      </w:r>
      <w:r>
        <w:rPr>
          <w:rFonts w:hint="eastAsia" w:ascii="宋体" w:hAnsi="宋体" w:eastAsia="宋体" w:cs="宋体"/>
          <w:b/>
          <w:color w:val="000000"/>
          <w:sz w:val="24"/>
          <w:szCs w:val="24"/>
          <w:highlight w:val="none"/>
        </w:rPr>
      </w:r>
      <w:r/>
    </w:p>
    <w:p>
      <w:pPr>
        <w:pStyle w:val="909"/>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（乙方授权代表联系方式：             ）</w:t>
      </w: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见证方： </w:t>
      </w: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代理机构（章）： </w:t>
      </w:r>
      <w:r>
        <w:rPr>
          <w:rFonts w:hint="eastAsia" w:ascii="宋体" w:hAnsi="宋体" w:eastAsia="宋体" w:cs="宋体"/>
          <w:b/>
          <w:color w:val="000000"/>
          <w:sz w:val="24"/>
          <w:szCs w:val="24"/>
          <w:highlight w:val="none"/>
        </w:rPr>
      </w:r>
      <w:r/>
    </w:p>
    <w:p>
      <w:pPr>
        <w:pStyle w:val="909"/>
        <w:keepLines w:val="0"/>
        <w:keepNext w:val="0"/>
        <w:pageBreakBefore w:val="0"/>
        <w:spacing w:after="156"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经办人：                     电话：</w:t>
      </w:r>
      <w:r>
        <w:rPr>
          <w:rFonts w:hint="eastAsia" w:ascii="宋体" w:hAnsi="宋体" w:eastAsia="宋体" w:cs="宋体"/>
          <w:b/>
          <w:color w:val="000000"/>
          <w:sz w:val="24"/>
          <w:szCs w:val="24"/>
          <w:highlight w:val="none"/>
        </w:rPr>
      </w:r>
      <w:r/>
    </w:p>
    <w:p>
      <w:pPr>
        <w:pStyle w:val="948"/>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spacing w:line="360" w:lineRule="auto"/>
        <w:rPr>
          <w:rFonts w:hint="eastAsia" w:ascii="宋体" w:hAnsi="宋体" w:eastAsia="宋体" w:cs="Times New Roman"/>
          <w:b/>
          <w:color w:val="000000"/>
          <w:sz w:val="24"/>
          <w:highlight w:val="none"/>
        </w:rPr>
      </w:pPr>
      <w:r/>
      <w:bookmarkStart w:id="779" w:name="_Toc14478"/>
      <w:r>
        <w:rPr>
          <w:rFonts w:hint="eastAsia" w:ascii="宋体" w:hAnsi="宋体" w:eastAsia="宋体" w:cs="Times New Roman"/>
          <w:b/>
          <w:color w:val="000000"/>
          <w:sz w:val="24"/>
          <w:highlight w:val="none"/>
        </w:rPr>
        <w:t xml:space="preserve">附件1：配置清单</w:t>
      </w:r>
      <w:r>
        <w:rPr>
          <w:rFonts w:hint="eastAsia" w:ascii="宋体" w:hAnsi="宋体" w:eastAsia="宋体" w:cs="Times New Roman"/>
          <w:b/>
          <w:color w:val="000000"/>
          <w:sz w:val="24"/>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09"/>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附件2：维修配件价格清单、易耗品价格清单、耗材价格清单等</w:t>
      </w:r>
      <w:r>
        <w:rPr>
          <w:rFonts w:hint="eastAsia" w:ascii="宋体" w:hAnsi="宋体" w:eastAsia="宋体" w:cs="Times New Roman"/>
          <w:b/>
          <w:color w:val="000000"/>
          <w:sz w:val="24"/>
          <w:highlight w:val="none"/>
        </w:rPr>
      </w:r>
      <w:r/>
    </w:p>
    <w:p>
      <w:pPr>
        <w:pStyle w:val="909"/>
        <w:jc w:val="center"/>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相关耗材价格清单</w:t>
      </w:r>
      <w:r>
        <w:rPr>
          <w:rFonts w:hint="eastAsia" w:ascii="宋体" w:hAnsi="宋体" w:eastAsia="宋体" w:cs="Times New Roman"/>
          <w:b/>
          <w:color w:val="000000"/>
          <w:sz w:val="24"/>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750"/>
        <w:gridCol w:w="701"/>
        <w:gridCol w:w="813"/>
        <w:gridCol w:w="501"/>
        <w:gridCol w:w="563"/>
        <w:gridCol w:w="789"/>
        <w:gridCol w:w="714"/>
        <w:gridCol w:w="914"/>
        <w:gridCol w:w="1115"/>
        <w:gridCol w:w="739"/>
      </w:tblGrid>
      <w:tr>
        <w:trPr>
          <w:trHeight w:val="1091"/>
        </w:trPr>
        <w:tc>
          <w:tcPr>
            <w:tcW w:w="536"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挂网</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产品</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名称</w:t>
            </w:r>
            <w:r>
              <w:rPr>
                <w:rFonts w:hint="eastAsia" w:ascii="宋体" w:hAnsi="宋体" w:eastAsia="宋体" w:cs="Times New Roman"/>
                <w:b/>
                <w:bCs/>
                <w:color w:val="000000"/>
                <w:highlight w:val="none"/>
                <w:lang w:val="en-US" w:eastAsia="zh-CN" w:bidi="he-IL"/>
              </w:rPr>
            </w:r>
            <w:r/>
          </w:p>
        </w:tc>
        <w:tc>
          <w:tcPr>
            <w:tcW w:w="440"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中标</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产品</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编码</w:t>
            </w:r>
            <w:r>
              <w:rPr>
                <w:rFonts w:hint="eastAsia" w:ascii="宋体" w:hAnsi="宋体" w:eastAsia="宋体" w:cs="Times New Roman"/>
                <w:b/>
                <w:bCs/>
                <w:color w:val="000000"/>
                <w:highlight w:val="none"/>
                <w:lang w:val="en-US" w:eastAsia="zh-CN" w:bidi="he-IL"/>
              </w:rPr>
            </w:r>
            <w:r/>
          </w:p>
        </w:tc>
        <w:tc>
          <w:tcPr>
            <w:tcW w:w="411"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品牌</w:t>
            </w:r>
            <w:r>
              <w:rPr>
                <w:rFonts w:hint="eastAsia" w:ascii="宋体" w:hAnsi="宋体" w:eastAsia="宋体" w:cs="Times New Roman"/>
                <w:b/>
                <w:bCs/>
                <w:color w:val="000000"/>
                <w:highlight w:val="none"/>
                <w:lang w:val="en-US" w:eastAsia="zh-CN" w:bidi="he-IL"/>
              </w:rPr>
            </w:r>
            <w:r/>
          </w:p>
        </w:tc>
        <w:tc>
          <w:tcPr>
            <w:tcW w:w="477"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规格</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型号</w:t>
            </w:r>
            <w:r>
              <w:rPr>
                <w:rFonts w:hint="eastAsia" w:ascii="宋体" w:hAnsi="宋体" w:eastAsia="宋体" w:cs="Times New Roman"/>
                <w:b/>
                <w:bCs/>
                <w:color w:val="000000"/>
                <w:highlight w:val="none"/>
                <w:lang w:val="en-US" w:eastAsia="zh-CN" w:bidi="he-IL"/>
              </w:rPr>
            </w:r>
            <w:r/>
          </w:p>
        </w:tc>
        <w:tc>
          <w:tcPr>
            <w:tcW w:w="294"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单位</w:t>
            </w:r>
            <w:r>
              <w:rPr>
                <w:rFonts w:hint="eastAsia" w:ascii="宋体" w:hAnsi="宋体" w:eastAsia="宋体" w:cs="Times New Roman"/>
                <w:b/>
                <w:bCs/>
                <w:color w:val="000000"/>
                <w:highlight w:val="none"/>
                <w:lang w:val="en-US" w:eastAsia="zh-CN" w:bidi="he-IL"/>
              </w:rPr>
            </w:r>
            <w:r/>
          </w:p>
        </w:tc>
        <w:tc>
          <w:tcPr>
            <w:tcW w:w="330"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数量</w:t>
            </w:r>
            <w:r>
              <w:rPr>
                <w:rFonts w:hint="eastAsia" w:ascii="宋体" w:hAnsi="宋体" w:eastAsia="宋体" w:cs="Times New Roman"/>
                <w:b/>
                <w:bCs/>
                <w:color w:val="000000"/>
                <w:highlight w:val="none"/>
                <w:lang w:val="en-US" w:eastAsia="zh-CN" w:bidi="he-IL"/>
              </w:rPr>
            </w:r>
            <w:r/>
          </w:p>
        </w:tc>
        <w:tc>
          <w:tcPr>
            <w:tcW w:w="463"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制造</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厂商</w:t>
            </w:r>
            <w:r>
              <w:rPr>
                <w:rFonts w:hint="eastAsia" w:ascii="宋体" w:hAnsi="宋体" w:eastAsia="宋体" w:cs="Times New Roman"/>
                <w:b/>
                <w:bCs/>
                <w:color w:val="000000"/>
                <w:highlight w:val="none"/>
                <w:lang w:val="en-US" w:eastAsia="zh-CN" w:bidi="he-IL"/>
              </w:rPr>
            </w:r>
            <w:r/>
          </w:p>
        </w:tc>
        <w:tc>
          <w:tcPr>
            <w:tcW w:w="419"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产地</w:t>
            </w:r>
            <w:r>
              <w:rPr>
                <w:rFonts w:hint="eastAsia" w:ascii="宋体" w:hAnsi="宋体" w:eastAsia="宋体" w:cs="Times New Roman"/>
                <w:b/>
                <w:bCs/>
                <w:color w:val="000000"/>
                <w:highlight w:val="none"/>
                <w:lang w:val="en-US" w:eastAsia="zh-CN" w:bidi="he-IL"/>
              </w:rPr>
            </w:r>
            <w:r/>
          </w:p>
        </w:tc>
        <w:tc>
          <w:tcPr>
            <w:tcW w:w="536"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收费</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编码</w:t>
            </w:r>
            <w:r>
              <w:rPr>
                <w:rFonts w:hint="eastAsia" w:ascii="宋体" w:hAnsi="宋体" w:eastAsia="宋体" w:cs="Times New Roman"/>
                <w:b/>
                <w:bCs/>
                <w:color w:val="000000"/>
                <w:highlight w:val="none"/>
                <w:lang w:val="en-US" w:eastAsia="zh-CN" w:bidi="he-IL"/>
              </w:rPr>
            </w:r>
            <w:r/>
          </w:p>
        </w:tc>
        <w:tc>
          <w:tcPr>
            <w:tcW w:w="654"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省平台</w:t>
            </w:r>
            <w:r>
              <w:rPr>
                <w:rFonts w:hint="eastAsia" w:ascii="宋体" w:hAnsi="宋体" w:eastAsia="宋体" w:cs="Times New Roman"/>
                <w:b/>
                <w:bCs/>
                <w:color w:val="000000"/>
                <w:highlight w:val="none"/>
                <w:lang w:val="en-US" w:eastAsia="zh-CN" w:bidi="he-IL"/>
              </w:rPr>
            </w:r>
            <w:r/>
          </w:p>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价格</w:t>
            </w:r>
            <w:r>
              <w:rPr>
                <w:rFonts w:hint="eastAsia" w:ascii="宋体" w:hAnsi="宋体" w:eastAsia="宋体" w:cs="Times New Roman"/>
                <w:b/>
                <w:bCs/>
                <w:color w:val="000000"/>
                <w:highlight w:val="none"/>
                <w:lang w:val="en-US" w:eastAsia="zh-CN" w:bidi="he-IL"/>
              </w:rPr>
            </w:r>
            <w:r/>
          </w:p>
        </w:tc>
        <w:tc>
          <w:tcPr>
            <w:tcW w:w="433" w:type="dxa"/>
            <w:vAlign w:val="center"/>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t xml:space="preserve">优惠价</w:t>
            </w:r>
            <w:r>
              <w:rPr>
                <w:rFonts w:hint="eastAsia" w:ascii="宋体" w:hAnsi="宋体" w:eastAsia="宋体" w:cs="Times New Roman"/>
                <w:b/>
                <w:bCs/>
                <w:color w:val="000000"/>
                <w:highlight w:val="none"/>
                <w:lang w:val="en-US" w:eastAsia="zh-CN" w:bidi="he-IL"/>
              </w:rPr>
            </w:r>
            <w:r/>
          </w:p>
        </w:tc>
      </w:tr>
      <w:tr>
        <w:trPr>
          <w:trHeight w:val="625"/>
        </w:trPr>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4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1"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77"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29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33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6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9"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65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3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r>
      <w:tr>
        <w:trPr>
          <w:trHeight w:val="590"/>
        </w:trPr>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4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1"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77"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29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330"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6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19"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536"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654"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c>
          <w:tcPr>
            <w:tcW w:w="433" w:type="dxa"/>
            <w:vAlign w:val="top"/>
            <w:textDirection w:val="lrTb"/>
            <w:noWrap w:val="false"/>
          </w:tcPr>
          <w:p>
            <w:pPr>
              <w:pStyle w:val="1165"/>
              <w:ind w:right="4"/>
              <w:jc w:val="center"/>
              <w:keepLines w:val="0"/>
              <w:keepNext w:val="0"/>
              <w:pageBreakBefore w:val="0"/>
              <w:spacing w:line="360" w:lineRule="auto"/>
              <w:widowControl w:val="off"/>
              <w:rPr>
                <w:rFonts w:hint="eastAsia" w:ascii="宋体" w:hAnsi="宋体" w:eastAsia="宋体" w:cs="Times New Roman"/>
                <w:b/>
                <w:bCs/>
                <w:color w:val="000000"/>
                <w:highlight w:val="none"/>
                <w:lang w:val="en-US" w:eastAsia="zh-CN" w:bidi="he-IL"/>
              </w:rPr>
            </w:pPr>
            <w:r>
              <w:rPr>
                <w:rFonts w:hint="eastAsia" w:ascii="宋体" w:hAnsi="宋体" w:eastAsia="宋体" w:cs="Times New Roman"/>
                <w:b/>
                <w:bCs/>
                <w:color w:val="000000"/>
                <w:highlight w:val="none"/>
                <w:lang w:val="en-US" w:eastAsia="zh-CN" w:bidi="he-IL"/>
              </w:rPr>
            </w:r>
            <w:r/>
          </w:p>
        </w:tc>
      </w:tr>
    </w:tbl>
    <w:p>
      <w:pPr>
        <w:pStyle w:val="909"/>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9"/>
        <w:rPr>
          <w:b/>
          <w:color w:val="000000"/>
          <w:szCs w:val="21"/>
          <w:highlight w:val="none"/>
          <w:lang w:val="en-US" w:eastAsia="zh-CN"/>
        </w:rPr>
      </w:pPr>
      <w:r>
        <w:rPr>
          <w:b/>
          <w:color w:val="000000"/>
          <w:szCs w:val="21"/>
          <w:highlight w:val="none"/>
          <w:lang w:val="en-US" w:eastAsia="zh-CN"/>
        </w:rPr>
      </w:r>
      <w:r/>
    </w:p>
    <w:p>
      <w:pPr>
        <w:pStyle w:val="909"/>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09"/>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909"/>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第七章   投标文件格式</w:t>
      </w:r>
      <w:bookmarkEnd w:id="779"/>
      <w:r>
        <w:rPr>
          <w:rFonts w:ascii="Times New Roman" w:hAnsi="Times New Roman" w:eastAsia="宋体" w:cs="Times New Roman"/>
          <w:b/>
          <w:color w:val="000000"/>
          <w:sz w:val="36"/>
          <w:szCs w:val="36"/>
          <w:highlight w:val="none"/>
        </w:rPr>
      </w:r>
      <w:r/>
    </w:p>
    <w:p>
      <w:pPr>
        <w:pStyle w:val="909"/>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909"/>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b/>
          <w:color w:val="000000"/>
          <w:sz w:val="24"/>
          <w:highlight w:val="none"/>
        </w:rPr>
        <w:t xml:space="preserve">投标人编制文件须知</w:t>
      </w:r>
      <w:r>
        <w:rPr>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09"/>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3、全部声明和问题的回答及所附材料必须是真实的、准确的和完整的。</w:t>
      </w:r>
      <w:r>
        <w:rPr>
          <w:color w:val="000000"/>
          <w:sz w:val="24"/>
          <w:highlight w:val="none"/>
        </w:rPr>
      </w:r>
      <w:r/>
    </w:p>
    <w:p>
      <w:pPr>
        <w:pStyle w:val="909"/>
        <w:ind w:left="142"/>
        <w:spacing w:line="360" w:lineRule="auto"/>
        <w:tabs>
          <w:tab w:val="left" w:pos="900" w:leader="none"/>
          <w:tab w:val="left" w:pos="1980" w:leader="none"/>
        </w:tabs>
        <w:rPr>
          <w:rFonts w:hint="eastAsia"/>
          <w:color w:val="000000"/>
          <w:sz w:val="24"/>
          <w:highlight w:val="none"/>
          <w:lang w:val="en-US" w:eastAsia="zh-CN"/>
        </w:rPr>
        <w:outlineLvl w:val="9"/>
      </w:pPr>
      <w:r>
        <w:rPr>
          <w:rFonts w:hint="eastAsia"/>
          <w:color w:val="000000"/>
          <w:sz w:val="24"/>
          <w:highlight w:val="none"/>
          <w:lang w:val="en-US" w:eastAsia="zh-CN"/>
        </w:rPr>
        <w:t xml:space="preserve">4、实行电子化不见面交易方式的，加盖公章、签名等均通过投标文件编制工具加盖电子公章、签字、签章或印鉴。</w:t>
      </w:r>
      <w:r>
        <w:rPr>
          <w:rFonts w:hint="eastAsia"/>
          <w:color w:val="000000"/>
          <w:sz w:val="24"/>
          <w:highlight w:val="none"/>
          <w:lang w:val="en-US" w:eastAsia="zh-CN"/>
        </w:rPr>
      </w:r>
      <w:r/>
    </w:p>
    <w:p>
      <w:pPr>
        <w:pStyle w:val="909"/>
        <w:ind w:left="142"/>
        <w:spacing w:line="360" w:lineRule="auto"/>
        <w:tabs>
          <w:tab w:val="left" w:pos="900" w:leader="none"/>
          <w:tab w:val="left" w:pos="1980" w:leader="none"/>
        </w:tabs>
        <w:rPr>
          <w:b/>
          <w:color w:val="000000"/>
          <w:sz w:val="30"/>
          <w:szCs w:val="20"/>
          <w:highlight w:val="none"/>
        </w:rPr>
        <w:outlineLvl w:val="9"/>
      </w:pPr>
      <w:r>
        <w:rPr>
          <w:color w:val="000000"/>
          <w:sz w:val="24"/>
          <w:highlight w:val="none"/>
        </w:rPr>
        <w:br w:type="page" w:clear="all"/>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b/>
          <w:color w:val="000000"/>
          <w:spacing w:val="20"/>
          <w:sz w:val="24"/>
          <w:highlight w:val="none"/>
        </w:rPr>
        <w:t xml:space="preserve">一、资格证明文件格式</w:t>
      </w:r>
      <w:r>
        <w:rPr>
          <w:b/>
          <w:color w:val="000000"/>
          <w:sz w:val="30"/>
          <w:szCs w:val="20"/>
          <w:highlight w:val="none"/>
        </w:rPr>
      </w:r>
      <w:r/>
    </w:p>
    <w:p>
      <w:pPr>
        <w:pStyle w:val="909"/>
        <w:rPr>
          <w:b/>
          <w:color w:val="000000"/>
          <w:spacing w:val="20"/>
          <w:szCs w:val="21"/>
          <w:highlight w:val="none"/>
        </w:rPr>
        <w:outlineLvl w:val="9"/>
      </w:pPr>
      <w:r>
        <w:rPr>
          <w:b/>
          <w:color w:val="000000"/>
          <w:spacing w:val="20"/>
          <w:szCs w:val="21"/>
          <w:highlight w:val="none"/>
        </w:rPr>
      </w:r>
      <w:r/>
    </w:p>
    <w:p>
      <w:pPr>
        <w:pStyle w:val="909"/>
        <w:rPr>
          <w:b/>
          <w:color w:val="000000"/>
          <w:sz w:val="24"/>
          <w:highlight w:val="none"/>
        </w:rPr>
        <w:outlineLvl w:val="9"/>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909"/>
        <w:jc w:val="center"/>
        <w:rPr>
          <w:color w:val="000000"/>
          <w:szCs w:val="21"/>
          <w:highlight w:val="none"/>
        </w:rPr>
        <w:outlineLvl w:val="9"/>
      </w:pPr>
      <w:r>
        <w:rPr>
          <w:color w:val="000000"/>
          <w:szCs w:val="21"/>
          <w:highlight w:val="none"/>
        </w:rPr>
      </w:r>
      <w:r/>
    </w:p>
    <w:p>
      <w:pPr>
        <w:pStyle w:val="909"/>
        <w:jc w:val="center"/>
        <w:rPr>
          <w:b/>
          <w:color w:val="000000"/>
          <w:spacing w:val="60"/>
          <w:sz w:val="84"/>
          <w:szCs w:val="84"/>
          <w:highlight w:val="none"/>
        </w:rPr>
        <w:outlineLvl w:val="9"/>
      </w:pPr>
      <w:r>
        <w:rPr>
          <w:b/>
          <w:color w:val="000000"/>
          <w:spacing w:val="60"/>
          <w:sz w:val="84"/>
          <w:szCs w:val="84"/>
          <w:highlight w:val="none"/>
        </w:rPr>
        <w:t xml:space="preserve">投 标 文 件</w:t>
      </w:r>
      <w:r>
        <w:rPr>
          <w:b/>
          <w:color w:val="000000"/>
          <w:spacing w:val="60"/>
          <w:sz w:val="84"/>
          <w:szCs w:val="84"/>
          <w:highlight w:val="none"/>
        </w:rPr>
      </w:r>
      <w:r/>
    </w:p>
    <w:p>
      <w:pPr>
        <w:pStyle w:val="909"/>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909"/>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909"/>
        <w:ind w:firstLine="542"/>
        <w:rPr>
          <w:b/>
          <w:color w:val="000000"/>
          <w:spacing w:val="20"/>
          <w:sz w:val="32"/>
          <w:szCs w:val="32"/>
          <w:highlight w:val="none"/>
        </w:rPr>
        <w:outlineLvl w:val="9"/>
      </w:pPr>
      <w:r>
        <w:rPr>
          <w:b/>
          <w:color w:val="000000"/>
          <w:spacing w:val="20"/>
          <w:sz w:val="32"/>
          <w:szCs w:val="32"/>
          <w:highlight w:val="none"/>
        </w:rPr>
      </w:r>
      <w:r/>
    </w:p>
    <w:p>
      <w:pPr>
        <w:pStyle w:val="909"/>
        <w:ind w:firstLine="542"/>
        <w:rPr>
          <w:b/>
          <w:color w:val="000000"/>
          <w:spacing w:val="20"/>
          <w:sz w:val="32"/>
          <w:szCs w:val="32"/>
          <w:highlight w:val="none"/>
        </w:rPr>
        <w:outlineLvl w:val="9"/>
      </w:pPr>
      <w:r>
        <w:rPr>
          <w:b/>
          <w:color w:val="000000"/>
          <w:spacing w:val="20"/>
          <w:sz w:val="32"/>
          <w:szCs w:val="32"/>
          <w:highlight w:val="none"/>
        </w:rPr>
      </w:r>
      <w:r/>
    </w:p>
    <w:p>
      <w:pPr>
        <w:pStyle w:val="909"/>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9"/>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9"/>
        <w:rPr>
          <w:rFonts w:ascii="宋体" w:hAnsi="宋体"/>
          <w:b/>
          <w:color w:val="000000"/>
          <w:sz w:val="36"/>
          <w:highlight w:val="none"/>
          <w:u w:val="single"/>
        </w:rPr>
        <w:outlineLvl w:val="9"/>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9"/>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9"/>
        <w:jc w:val="center"/>
        <w:rPr>
          <w:b/>
          <w:color w:val="000000"/>
          <w:sz w:val="32"/>
          <w:szCs w:val="32"/>
          <w:highlight w:val="none"/>
        </w:rPr>
        <w:outlineLvl w:val="9"/>
      </w:pPr>
      <w:r>
        <w:rPr>
          <w:b/>
          <w:color w:val="000000"/>
          <w:sz w:val="32"/>
          <w:szCs w:val="32"/>
          <w:highlight w:val="none"/>
        </w:rPr>
      </w:r>
      <w:r/>
    </w:p>
    <w:p>
      <w:pPr>
        <w:pStyle w:val="909"/>
        <w:jc w:val="center"/>
        <w:rPr>
          <w:rFonts w:ascii="宋体" w:hAnsi="宋体"/>
          <w:b/>
          <w:color w:val="000000"/>
          <w:sz w:val="32"/>
          <w:szCs w:val="32"/>
          <w:highlight w:val="none"/>
        </w:rPr>
        <w:outlineLvl w:val="9"/>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09"/>
        <w:rPr>
          <w:b/>
          <w:color w:val="000000"/>
          <w:highlight w:val="none"/>
        </w:rPr>
        <w:outlineLvl w:val="9"/>
      </w:pPr>
      <w:r>
        <w:rPr>
          <w:b/>
          <w:color w:val="000000"/>
          <w:highlight w:val="none"/>
        </w:rPr>
      </w:r>
      <w:r/>
    </w:p>
    <w:p>
      <w:pPr>
        <w:pStyle w:val="909"/>
        <w:spacing w:line="360" w:lineRule="auto"/>
        <w:rPr>
          <w:color w:val="000000"/>
          <w:sz w:val="24"/>
          <w:szCs w:val="20"/>
          <w:highlight w:val="none"/>
        </w:rPr>
        <w:outlineLvl w:val="9"/>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09"/>
        <w:rPr>
          <w:rFonts w:ascii="Times New Roman"/>
          <w:b/>
          <w:bCs/>
          <w:color w:val="000000"/>
          <w:highlight w:val="none"/>
          <w:u w:val="none"/>
        </w:rPr>
        <w:outlineLvl w:val="9"/>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投标人资格声明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rPr>
          <w:rFonts w:ascii="Times New Roman"/>
          <w:b/>
          <w:bCs/>
          <w:color w:val="000000"/>
          <w:highlight w:val="none"/>
          <w:u w:val="none"/>
        </w:rPr>
      </w:r>
      <w:r/>
    </w:p>
    <w:p>
      <w:pPr>
        <w:pStyle w:val="909"/>
        <w:jc w:val="center"/>
        <w:spacing w:before="120" w:line="360" w:lineRule="auto"/>
        <w:widowControl/>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r>
      <w:r/>
    </w:p>
    <w:p>
      <w:pPr>
        <w:pStyle w:val="909"/>
        <w:jc w:val="center"/>
        <w:spacing w:before="120" w:line="360" w:lineRule="auto"/>
        <w:widowControl/>
        <w:rPr>
          <w:rFonts w:ascii="宋体" w:hAnsi="宋体" w:cs="宋体"/>
          <w:color w:val="000000"/>
          <w:szCs w:val="21"/>
          <w:highlight w:val="none"/>
        </w:rPr>
        <w:outlineLvl w:val="9"/>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rFonts w:hint="eastAsia" w:eastAsia="宋体"/>
          <w:color w:val="000000"/>
          <w:highlight w:val="none"/>
          <w:lang w:eastAsia="zh-CN"/>
        </w:rPr>
        <w:outlineLvl w:val="9"/>
      </w:pPr>
      <w:r>
        <w:rPr>
          <w:rFonts w:hint="eastAsia"/>
          <w:color w:val="000000"/>
          <w:highlight w:val="none"/>
        </w:rPr>
        <w:t xml:space="preserve">致：</w:t>
      </w:r>
      <w:r>
        <w:rPr>
          <w:rFonts w:hint="eastAsia"/>
          <w:color w:val="000000"/>
          <w:highlight w:val="none"/>
          <w:lang w:eastAsia="zh-CN"/>
        </w:rPr>
        <w:t xml:space="preserve">江苏尚阳工程管理有限公司</w:t>
      </w:r>
      <w:r>
        <w:rPr>
          <w:rFonts w:hint="eastAsia" w:eastAsia="宋体"/>
          <w:color w:val="000000"/>
          <w:highlight w:val="none"/>
          <w:lang w:eastAsia="zh-CN"/>
        </w:rPr>
      </w:r>
      <w:r/>
    </w:p>
    <w:p>
      <w:pPr>
        <w:pStyle w:val="923"/>
        <w:ind w:firstLine="960"/>
        <w:spacing w:line="460" w:lineRule="exact"/>
        <w:rPr>
          <w:color w:val="000000"/>
          <w:highlight w:val="none"/>
          <w:u w:val="single"/>
        </w:rPr>
        <w:outlineLvl w:val="9"/>
      </w:pPr>
      <w:r>
        <w:rPr>
          <w:rFonts w:hint="eastAsia"/>
          <w:color w:val="000000"/>
          <w:highlight w:val="none"/>
          <w:u w:val="single"/>
        </w:rPr>
        <w:t xml:space="preserve">（</w:t>
      </w:r>
      <w:r>
        <w:rPr>
          <w:rFonts w:hint="eastAsia"/>
          <w:color w:val="000000"/>
          <w:highlight w:val="none"/>
          <w:u w:val="single"/>
          <w:lang w:val="en-US" w:eastAsia="zh-CN"/>
        </w:rPr>
        <w:t xml:space="preserve">采购人</w:t>
      </w:r>
      <w:r>
        <w:rPr>
          <w:rFonts w:hint="eastAsia"/>
          <w:color w:val="000000"/>
          <w:highlight w:val="none"/>
          <w:u w:val="single"/>
        </w:rPr>
        <w:t xml:space="preserve">名称）</w:t>
      </w:r>
      <w:r>
        <w:rPr>
          <w:color w:val="000000"/>
          <w:highlight w:val="none"/>
          <w:u w:val="singl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三、我单位依法进行纳税和社会保险申报并实际履行了义务。</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w:t>
      </w:r>
      <w:r>
        <w:rPr>
          <w:rFonts w:hint="eastAsia"/>
          <w:color w:val="000000"/>
          <w:highlight w:val="none"/>
          <w:lang w:eastAsia="zh-CN"/>
        </w:rPr>
        <w:t xml:space="preserve">具</w:t>
      </w:r>
      <w:r>
        <w:rPr>
          <w:rFonts w:hint="eastAsia"/>
          <w:color w:val="000000"/>
          <w:highlight w:val="none"/>
          <w:lang w:val="en-US" w:eastAsia="zh-CN"/>
        </w:rPr>
        <w:t xml:space="preserve">备</w:t>
      </w:r>
      <w:r>
        <w:rPr>
          <w:rFonts w:hint="eastAsia"/>
          <w:color w:val="000000"/>
          <w:highlight w:val="none"/>
        </w:rPr>
        <w:t xml:space="preserve">如下主要设备和主要专业技术能力:</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color w:val="000000"/>
          <w:highlight w:val="none"/>
          <w:lang w:eastAsia="zh-CN"/>
        </w:rPr>
        <w:t xml:space="preserve">投标人</w:t>
      </w:r>
      <w:r>
        <w:rPr>
          <w:rFonts w:hint="eastAsia"/>
          <w:color w:val="000000"/>
          <w:highlight w:val="none"/>
        </w:rPr>
        <w:t xml:space="preserve">如在参加政府采购活动前3年内因违法经营被禁止在一定期限内参加政府采购活动，期限届满的，可以参加政府采购活动。）</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六、我单位</w:t>
      </w:r>
      <w:r>
        <w:rPr>
          <w:rFonts w:hint="eastAsia"/>
          <w:color w:val="000000"/>
          <w:highlight w:val="none"/>
          <w:lang w:eastAsia="zh-CN"/>
        </w:rPr>
        <w:t xml:space="preserve">具</w:t>
      </w:r>
      <w:r>
        <w:rPr>
          <w:rFonts w:hint="eastAsia"/>
          <w:color w:val="000000"/>
          <w:highlight w:val="none"/>
          <w:lang w:val="en-US" w:eastAsia="zh-CN"/>
        </w:rPr>
        <w:t xml:space="preserve">备</w:t>
      </w:r>
      <w:r>
        <w:rPr>
          <w:rFonts w:hint="eastAsia"/>
          <w:color w:val="000000"/>
          <w:highlight w:val="none"/>
        </w:rPr>
        <w:t xml:space="preserve">法律、行政法规规定的其他条件。</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23"/>
        <w:ind w:firstLine="480"/>
        <w:spacing w:line="460" w:lineRule="exact"/>
        <w:rPr>
          <w:color w:val="000000"/>
          <w:highlight w:val="none"/>
        </w:rPr>
        <w:outlineLvl w:val="9"/>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23"/>
        <w:ind w:firstLine="480"/>
        <w:spacing w:line="460" w:lineRule="exact"/>
        <w:rPr>
          <w:color w:val="000000"/>
          <w:highlight w:val="none"/>
        </w:rPr>
        <w:outlineLvl w:val="9"/>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23"/>
        <w:ind w:firstLine="480"/>
        <w:spacing w:line="460" w:lineRule="exact"/>
        <w:rPr>
          <w:color w:val="000000"/>
          <w:highlight w:val="none"/>
        </w:rPr>
        <w:outlineLvl w:val="9"/>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                                            投标人：（加盖公章）</w:t>
      </w:r>
      <w:r>
        <w:rPr>
          <w:color w:val="000000"/>
          <w:highlight w:val="none"/>
        </w:rPr>
      </w:r>
      <w:r/>
    </w:p>
    <w:p>
      <w:pPr>
        <w:pStyle w:val="923"/>
        <w:ind w:firstLine="480"/>
        <w:spacing w:line="460" w:lineRule="exact"/>
        <w:rPr>
          <w:color w:val="000000"/>
          <w:highlight w:val="none"/>
        </w:rPr>
        <w:outlineLvl w:val="9"/>
      </w:pPr>
      <w:r>
        <w:rPr>
          <w:rFonts w:hint="eastAsia"/>
          <w:color w:val="000000"/>
          <w:highlight w:val="none"/>
        </w:rPr>
        <w:t xml:space="preserve">                                           法定代表人（或单位负责人）签字或盖章：</w:t>
      </w:r>
      <w:r>
        <w:rPr>
          <w:color w:val="000000"/>
          <w:highlight w:val="none"/>
        </w:rPr>
      </w:r>
      <w:r/>
    </w:p>
    <w:p>
      <w:pPr>
        <w:pStyle w:val="923"/>
        <w:ind w:firstLine="4920"/>
        <w:spacing w:line="460" w:lineRule="exact"/>
        <w:rPr>
          <w:rFonts w:hint="eastAsia"/>
          <w:color w:val="000000"/>
          <w:highlight w:val="none"/>
        </w:rPr>
        <w:outlineLvl w:val="9"/>
      </w:pPr>
      <w:r>
        <w:rPr>
          <w:rFonts w:hint="eastAsia"/>
          <w:color w:val="000000"/>
          <w:highlight w:val="none"/>
        </w:rPr>
        <w:t xml:space="preserve">日期：    年    月    日</w:t>
      </w:r>
      <w:r>
        <w:rPr>
          <w:rFonts w:hint="eastAsia"/>
          <w:color w:val="000000"/>
          <w:highlight w:val="none"/>
        </w:rPr>
      </w:r>
      <w:r/>
    </w:p>
    <w:p>
      <w:pPr>
        <w:pStyle w:val="909"/>
        <w:spacing w:line="360" w:lineRule="auto"/>
        <w:rPr>
          <w:rFonts w:hint="eastAsia"/>
          <w:color w:val="000000"/>
          <w:sz w:val="24"/>
          <w:highlight w:val="none"/>
        </w:rPr>
        <w:outlineLvl w:val="9"/>
      </w:pPr>
      <w:r>
        <w:rPr>
          <w:rFonts w:hint="eastAsia"/>
          <w:color w:val="000000"/>
          <w:sz w:val="24"/>
          <w:highlight w:val="none"/>
        </w:rPr>
      </w:r>
      <w:r/>
    </w:p>
    <w:p>
      <w:pPr>
        <w:pStyle w:val="909"/>
        <w:spacing w:line="360" w:lineRule="auto"/>
        <w:rPr>
          <w:rFonts w:hint="eastAsia"/>
          <w:color w:val="000000"/>
          <w:sz w:val="24"/>
          <w:highlight w:val="none"/>
        </w:rPr>
        <w:outlineLvl w:val="9"/>
      </w:pPr>
      <w:r>
        <w:rPr>
          <w:rFonts w:hint="eastAsia"/>
          <w:color w:val="000000"/>
          <w:sz w:val="24"/>
          <w:highlight w:val="none"/>
        </w:rPr>
      </w:r>
      <w:r/>
    </w:p>
    <w:p>
      <w:pPr>
        <w:pStyle w:val="909"/>
        <w:spacing w:line="360" w:lineRule="auto"/>
        <w:rPr>
          <w:rFonts w:hint="eastAsia"/>
          <w:color w:val="000000"/>
          <w:sz w:val="24"/>
          <w:highlight w:val="none"/>
        </w:rPr>
        <w:outlineLvl w:val="9"/>
      </w:pPr>
      <w:r>
        <w:rPr>
          <w:rFonts w:hint="eastAsia"/>
          <w:color w:val="000000"/>
          <w:sz w:val="24"/>
          <w:highlight w:val="none"/>
        </w:rPr>
      </w:r>
      <w:r/>
    </w:p>
    <w:p>
      <w:pPr>
        <w:pStyle w:val="909"/>
        <w:spacing w:line="360" w:lineRule="auto"/>
        <w:rPr>
          <w:color w:val="000000"/>
          <w:sz w:val="24"/>
          <w:highlight w:val="none"/>
        </w:rPr>
        <w:outlineLvl w:val="9"/>
      </w:pPr>
      <w:r>
        <w:rPr>
          <w:color w:val="000000"/>
          <w:sz w:val="24"/>
          <w:highlight w:val="none"/>
        </w:rPr>
        <w:t xml:space="preserve">说明：</w:t>
      </w:r>
      <w:r>
        <w:rPr>
          <w:rFonts w:hint="eastAsia"/>
          <w:color w:val="000000"/>
          <w:sz w:val="24"/>
          <w:highlight w:val="none"/>
          <w:lang w:eastAsia="zh-CN"/>
        </w:rPr>
        <w:t xml:space="preserve">投标人</w:t>
      </w:r>
      <w:r>
        <w:rPr>
          <w:rFonts w:hint="eastAsia"/>
          <w:color w:val="000000"/>
          <w:sz w:val="24"/>
          <w:highlight w:val="none"/>
        </w:rPr>
        <w:t xml:space="preserve">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09"/>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923"/>
        <w:ind w:left="0" w:firstLine="0"/>
        <w:spacing w:line="460" w:lineRule="exact"/>
        <w:rPr>
          <w:rFonts w:hint="eastAsia" w:ascii="宋体" w:hAnsi="Times New Roman" w:eastAsia="宋体" w:cs="Times New Roman"/>
          <w:color w:val="000000"/>
          <w:highlight w:val="none"/>
        </w:rPr>
        <w:outlineLvl w:val="9"/>
      </w:pPr>
      <w:r>
        <w:rPr>
          <w:rFonts w:hint="eastAsia" w:ascii="宋体" w:hAnsi="Times New Roman" w:eastAsia="宋体" w:cs="Times New Roman"/>
          <w:color w:val="000000"/>
          <w:highlight w:val="none"/>
          <w:lang w:val="en-US" w:eastAsia="zh-CN"/>
        </w:rPr>
        <w:t xml:space="preserve">2</w:t>
      </w:r>
      <w:r>
        <w:rPr>
          <w:rFonts w:hint="eastAsia" w:ascii="宋体" w:hAnsi="Times New Roman" w:eastAsia="宋体" w:cs="Times New Roman"/>
          <w:color w:val="000000"/>
          <w:highlight w:val="none"/>
        </w:rPr>
        <w:t xml:space="preserve">其他特定资格要求</w:t>
      </w:r>
      <w:r>
        <w:rPr>
          <w:rFonts w:hint="eastAsia" w:ascii="宋体" w:hAnsi="Times New Roman" w:eastAsia="宋体" w:cs="Times New Roman"/>
          <w:color w:val="000000"/>
          <w:highlight w:val="none"/>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2.1满足以下两项中任意一项要求：</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（1）投标人为所投产品制造商：具有有效期内的医疗器械生产许可证（或备案证）(如为进口产品，可不提供）；</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（2）投标人为所投产品经销商：具有有效期内的医疗器械经营许可证（或备案证）。</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2.2提供所投产品的有效医疗器械注册证；</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2.3本项目接受进口产品，如所投产品为进口产品的，投标人应提供以下之一的证明材料：</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（1）此设备的本区域的经销（代理）商，必须提供逐级经销（代理）商的证书及有效销售资质；</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eastAsia="宋体" w:cs="宋体"/>
          <w:color w:val="000000"/>
          <w:sz w:val="24"/>
          <w:szCs w:val="24"/>
          <w:highlight w:val="none"/>
          <w:lang w:val="en-US" w:eastAsia="zh-CN"/>
        </w:rPr>
      </w:r>
      <w:r/>
    </w:p>
    <w:p>
      <w:pPr>
        <w:pStyle w:val="909"/>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09"/>
        <w:spacing w:line="360" w:lineRule="auto"/>
        <w:rPr>
          <w:color w:val="000000"/>
          <w:sz w:val="24"/>
          <w:szCs w:val="20"/>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szCs w:val="20"/>
          <w:highlight w:val="none"/>
        </w:rPr>
      </w:r>
      <w:r/>
    </w:p>
    <w:p>
      <w:pPr>
        <w:pStyle w:val="909"/>
        <w:jc w:val="center"/>
        <w:widowControl/>
        <w:rPr>
          <w:rFonts w:hint="eastAsia" w:ascii="宋体" w:hAnsi="宋体"/>
          <w:b/>
          <w:color w:val="000000"/>
          <w:sz w:val="32"/>
          <w:szCs w:val="32"/>
          <w:highlight w:val="none"/>
        </w:rPr>
        <w:outlineLvl w:val="9"/>
      </w:pPr>
      <w:r>
        <w:rPr>
          <w:rFonts w:ascii="宋体" w:hAnsi="宋体"/>
          <w:b/>
          <w:color w:val="000000"/>
          <w:sz w:val="32"/>
          <w:szCs w:val="32"/>
          <w:highlight w:val="none"/>
        </w:rPr>
        <w:t xml:space="preserve">二、商务技术文件格式</w:t>
      </w:r>
      <w:bookmarkStart w:id="780" w:name="_Toc150480794"/>
      <w:r/>
      <w:bookmarkStart w:id="781" w:name="_Toc150774761"/>
      <w:r/>
      <w:bookmarkStart w:id="782" w:name="_Toc195842921"/>
      <w:r/>
      <w:bookmarkStart w:id="783" w:name="_Toc226965829"/>
      <w:r/>
      <w:bookmarkStart w:id="784" w:name="_Toc520356217"/>
      <w:r/>
      <w:bookmarkStart w:id="785" w:name="_Toc226337252"/>
      <w:r/>
      <w:bookmarkStart w:id="786" w:name="_Toc480942349"/>
      <w:r/>
      <w:bookmarkStart w:id="787" w:name="_Toc127151556"/>
      <w:r/>
      <w:bookmarkStart w:id="788" w:name="_Toc226309800"/>
      <w:r/>
      <w:bookmarkStart w:id="789" w:name="_Toc142311058"/>
      <w:r/>
      <w:bookmarkStart w:id="790" w:name="_Toc226965746"/>
      <w:r/>
      <w:bookmarkStart w:id="791" w:name="_Ref467988698"/>
      <w:r>
        <w:rPr>
          <w:rFonts w:hint="eastAsia" w:ascii="宋体" w:hAnsi="宋体"/>
          <w:b/>
          <w:color w:val="000000"/>
          <w:sz w:val="32"/>
          <w:szCs w:val="32"/>
          <w:highlight w:val="none"/>
        </w:rPr>
      </w:r>
      <w:r/>
    </w:p>
    <w:p>
      <w:pPr>
        <w:pStyle w:val="909"/>
        <w:jc w:val="center"/>
        <w:widowControl/>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09"/>
        <w:spacing w:line="360" w:lineRule="auto"/>
        <w:rPr>
          <w:color w:val="000000"/>
          <w:sz w:val="24"/>
          <w:szCs w:val="20"/>
          <w:highlight w:val="none"/>
        </w:rPr>
        <w:outlineLvl w:val="9"/>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09"/>
        <w:spacing w:line="360" w:lineRule="auto"/>
        <w:tabs>
          <w:tab w:val="left" w:pos="5580" w:leader="none"/>
        </w:tabs>
        <w:rPr>
          <w:color w:val="000000"/>
          <w:sz w:val="24"/>
          <w:highlight w:val="none"/>
        </w:rPr>
        <w:outlineLvl w:val="9"/>
      </w:pPr>
      <w:r>
        <w:rPr>
          <w:color w:val="000000"/>
          <w:sz w:val="24"/>
          <w:highlight w:val="none"/>
        </w:rPr>
      </w:r>
      <w:r/>
    </w:p>
    <w:p>
      <w:pPr>
        <w:pStyle w:val="909"/>
        <w:jc w:val="center"/>
        <w:spacing w:line="360" w:lineRule="auto"/>
        <w:rPr>
          <w:b/>
          <w:color w:val="000000"/>
          <w:sz w:val="36"/>
          <w:szCs w:val="36"/>
          <w:highlight w:val="none"/>
        </w:rPr>
        <w:outlineLvl w:val="9"/>
      </w:pPr>
      <w:r>
        <w:rPr>
          <w:rFonts w:hint="eastAsia"/>
          <w:b/>
          <w:color w:val="000000"/>
          <w:sz w:val="36"/>
          <w:szCs w:val="36"/>
          <w:highlight w:val="none"/>
        </w:rPr>
        <w:t xml:space="preserve">投标函</w:t>
      </w:r>
      <w:r>
        <w:rPr>
          <w:b/>
          <w:color w:val="000000"/>
          <w:sz w:val="36"/>
          <w:szCs w:val="36"/>
          <w:highlight w:val="none"/>
        </w:rPr>
      </w:r>
      <w:r/>
    </w:p>
    <w:p>
      <w:pPr>
        <w:pStyle w:val="909"/>
        <w:spacing w:line="360" w:lineRule="auto"/>
        <w:tabs>
          <w:tab w:val="left" w:pos="5580" w:leader="none"/>
        </w:tabs>
        <w:rPr>
          <w:color w:val="000000"/>
          <w:sz w:val="24"/>
          <w:highlight w:val="none"/>
        </w:rPr>
        <w:outlineLvl w:val="9"/>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lang w:val="en-US" w:eastAsia="zh-CN"/>
        </w:rPr>
        <w:t xml:space="preserve">采购人</w:t>
      </w:r>
      <w:r>
        <w:rPr>
          <w:color w:val="000000"/>
          <w:sz w:val="24"/>
          <w:highlight w:val="none"/>
          <w:u w:val="single"/>
        </w:rPr>
        <w:t xml:space="preserve">或采购代理机构）</w:t>
      </w:r>
      <w:r>
        <w:rPr>
          <w:color w:val="000000"/>
          <w:sz w:val="24"/>
          <w:highlight w:val="none"/>
        </w:rPr>
      </w:r>
      <w:r/>
    </w:p>
    <w:p>
      <w:pPr>
        <w:pStyle w:val="909"/>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09"/>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909"/>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09"/>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09"/>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09"/>
        <w:ind w:firstLine="420"/>
        <w:spacing w:line="360" w:lineRule="auto"/>
        <w:tabs>
          <w:tab w:val="left" w:pos="5580" w:leader="none"/>
        </w:tabs>
        <w:rPr>
          <w:color w:val="000000"/>
          <w:sz w:val="24"/>
          <w:szCs w:val="20"/>
          <w:highlight w:val="none"/>
        </w:rPr>
        <w:outlineLvl w:val="9"/>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09"/>
        <w:ind w:firstLine="420"/>
        <w:spacing w:line="360" w:lineRule="auto"/>
        <w:tabs>
          <w:tab w:val="left" w:pos="5580" w:leader="none"/>
        </w:tabs>
        <w:rPr>
          <w:color w:val="000000"/>
          <w:sz w:val="24"/>
          <w:highlight w:val="none"/>
        </w:rPr>
        <w:outlineLvl w:val="9"/>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09"/>
        <w:ind w:left="420"/>
        <w:spacing w:line="360" w:lineRule="auto"/>
        <w:rPr>
          <w:color w:val="000000"/>
          <w:sz w:val="24"/>
          <w:highlight w:val="none"/>
        </w:rPr>
        <w:outlineLvl w:val="9"/>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09"/>
        <w:ind w:firstLine="480"/>
        <w:spacing w:line="360" w:lineRule="auto"/>
        <w:rPr>
          <w:color w:val="000000"/>
          <w:sz w:val="24"/>
          <w:highlight w:val="none"/>
        </w:rPr>
        <w:outlineLvl w:val="9"/>
      </w:pPr>
      <w:r>
        <w:rPr>
          <w:color w:val="000000"/>
          <w:sz w:val="24"/>
          <w:highlight w:val="none"/>
        </w:rPr>
        <w:t xml:space="preserve">与本投标有关的一切正式往来信函请寄：</w:t>
      </w:r>
      <w:r>
        <w:rPr>
          <w:color w:val="000000"/>
          <w:sz w:val="24"/>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地址_________________________     传真____________________________</w:t>
      </w: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电话_________________________     电子函件________________________</w:t>
      </w: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投标人名称（加盖公章） ___________</w:t>
      </w:r>
      <w:r>
        <w:rPr>
          <w:color w:val="000000"/>
          <w:sz w:val="24"/>
          <w:szCs w:val="20"/>
          <w:highlight w:val="none"/>
        </w:rPr>
      </w:r>
      <w:r/>
    </w:p>
    <w:p>
      <w:pPr>
        <w:pStyle w:val="909"/>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日期：_____年______月______日    </w:t>
      </w:r>
      <w:r>
        <w:rPr>
          <w:color w:val="000000"/>
          <w:sz w:val="24"/>
          <w:szCs w:val="20"/>
          <w:highlight w:val="none"/>
        </w:rPr>
      </w:r>
      <w:r/>
    </w:p>
    <w:p>
      <w:pPr>
        <w:pStyle w:val="909"/>
        <w:ind w:left="420"/>
        <w:spacing w:line="360" w:lineRule="auto"/>
        <w:tabs>
          <w:tab w:val="left" w:pos="5580" w:leader="none"/>
        </w:tabs>
        <w:rPr>
          <w:color w:val="000000"/>
          <w:sz w:val="24"/>
          <w:szCs w:val="20"/>
          <w:highlight w:val="none"/>
          <w:u w:val="single"/>
        </w:rPr>
        <w:outlineLvl w:val="9"/>
      </w:pPr>
      <w:r>
        <w:rPr>
          <w:color w:val="000000"/>
          <w:sz w:val="24"/>
          <w:szCs w:val="20"/>
          <w:highlight w:val="none"/>
          <w:u w:val="single"/>
        </w:rPr>
      </w:r>
      <w:r/>
    </w:p>
    <w:p>
      <w:pPr>
        <w:pStyle w:val="909"/>
        <w:jc w:val="left"/>
        <w:widowControl/>
        <w:rPr>
          <w:rFonts w:hint="eastAsia"/>
          <w:color w:val="000000"/>
          <w:sz w:val="24"/>
          <w:highlight w:val="none"/>
        </w:rPr>
        <w:outlineLvl w:val="9"/>
      </w:pPr>
      <w:r/>
      <w:bookmarkStart w:id="792" w:name="_Hlt520356243"/>
      <w:r/>
      <w:bookmarkEnd w:id="792"/>
      <w:r/>
      <w:bookmarkStart w:id="793" w:name="_Hlt520355938"/>
      <w:r/>
      <w:bookmarkEnd w:id="793"/>
      <w:r>
        <w:rPr>
          <w:color w:val="000000"/>
          <w:sz w:val="24"/>
          <w:highlight w:val="none"/>
        </w:rPr>
        <w:br w:type="page" w:clear="all"/>
      </w:r>
      <w:r>
        <w:rPr>
          <w:rFonts w:hint="eastAsia"/>
          <w:color w:val="000000"/>
          <w:sz w:val="24"/>
          <w:highlight w:val="none"/>
          <w:lang w:val="en-US" w:eastAsia="zh-CN"/>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09"/>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09"/>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单位名称:</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地址:</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w:t>
      </w:r>
      <w:r>
        <w:rPr>
          <w:rFonts w:hint="eastAsia" w:ascii="宋体" w:hAnsi="宋体"/>
          <w:color w:val="000000"/>
          <w:sz w:val="24"/>
          <w:highlight w:val="none"/>
          <w:u w:val="single"/>
          <w:lang w:eastAsia="zh-CN"/>
        </w:rPr>
        <w:t xml:space="preserve">人</w:t>
      </w:r>
      <w:r>
        <w:rPr>
          <w:rFonts w:hint="eastAsia" w:ascii="宋体" w:hAnsi="宋体"/>
          <w:color w:val="000000"/>
          <w:sz w:val="24"/>
          <w:highlight w:val="none"/>
          <w:u w:val="single"/>
        </w:rPr>
        <w:t xml:space="preserve">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w:t>
      </w:r>
      <w:r>
        <w:rPr>
          <w:rFonts w:hint="eastAsia" w:ascii="宋体" w:hAnsi="宋体"/>
          <w:color w:val="000000"/>
          <w:sz w:val="24"/>
          <w:highlight w:val="none"/>
          <w:lang w:eastAsia="zh-CN"/>
        </w:rPr>
        <w:t xml:space="preserve">投标</w:t>
      </w:r>
      <w:r>
        <w:rPr>
          <w:rFonts w:hint="eastAsia" w:ascii="宋体" w:hAnsi="宋体"/>
          <w:color w:val="000000"/>
          <w:sz w:val="24"/>
          <w:highlight w:val="none"/>
        </w:rPr>
        <w:t xml:space="preserve">文件、进行合同</w:t>
      </w:r>
      <w:r>
        <w:rPr>
          <w:rFonts w:hint="eastAsia" w:ascii="宋体" w:hAnsi="宋体"/>
          <w:color w:val="000000"/>
          <w:sz w:val="24"/>
          <w:highlight w:val="none"/>
          <w:lang w:eastAsia="zh-CN"/>
        </w:rPr>
        <w:t xml:space="preserve">谈判</w:t>
      </w:r>
      <w:r>
        <w:rPr>
          <w:rFonts w:hint="eastAsia" w:ascii="宋体" w:hAnsi="宋体"/>
          <w:color w:val="000000"/>
          <w:sz w:val="24"/>
          <w:highlight w:val="none"/>
        </w:rPr>
        <w:t xml:space="preserve">、签署合同和处理与之有关的一切事务。</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特此证明。</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ascii="宋体" w:hAnsi="宋体"/>
          <w:color w:val="000000"/>
          <w:sz w:val="24"/>
          <w:highlight w:val="none"/>
        </w:rPr>
      </w:r>
      <w:r/>
    </w:p>
    <w:p>
      <w:pPr>
        <w:pStyle w:val="940"/>
        <w:ind w:right="-46"/>
        <w:spacing w:line="583" w:lineRule="auto"/>
        <w:tabs>
          <w:tab w:val="left" w:pos="567" w:leader="none"/>
        </w:tabs>
        <w:rPr>
          <w:color w:val="000000"/>
          <w:spacing w:val="-3"/>
          <w:highlight w:val="none"/>
        </w:rPr>
        <w:outlineLvl w:val="9"/>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lang w:val="en-US" w:eastAsia="zh-CN"/>
        </w:rPr>
        <w:t xml:space="preserve">电子件</w:t>
      </w:r>
      <w:r>
        <w:rPr>
          <w:rFonts w:hint="eastAsia"/>
          <w:color w:val="000000"/>
          <w:spacing w:val="-3"/>
          <w:highlight w:val="none"/>
        </w:rPr>
        <w:t xml:space="preserve">。</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c>
          <w:tcPr>
            <w:tcW w:w="4536" w:type="dxa"/>
            <w:vAlign w:val="top"/>
            <w:textDirection w:val="lrTb"/>
            <w:noWrap w:val="false"/>
          </w:tcPr>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r>
    </w:tbl>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：（加盖公章）</w:t>
      </w:r>
      <w:r>
        <w:rPr>
          <w:rFonts w:ascii="宋体" w:hAnsi="宋体"/>
          <w:color w:val="000000"/>
          <w:sz w:val="24"/>
          <w:highlight w:val="none"/>
        </w:rPr>
      </w:r>
      <w:r/>
    </w:p>
    <w:p>
      <w:pPr>
        <w:pStyle w:val="909"/>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lang w:val="en-US" w:eastAsia="zh-CN"/>
        </w:rPr>
        <w:t xml:space="preserve">或</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09"/>
        <w:ind w:firstLine="4320"/>
        <w:spacing w:line="560" w:lineRule="exact"/>
        <w:rPr>
          <w:rFonts w:ascii="宋体" w:hAnsi="宋体"/>
          <w:color w:val="000000"/>
          <w:sz w:val="24"/>
          <w:highlight w:val="none"/>
        </w:rPr>
        <w:outlineLvl w:val="9"/>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rPr>
          <w:rFonts w:hint="eastAsia"/>
          <w:color w:val="000000"/>
          <w:highlight w:val="none"/>
        </w:rPr>
        <w:outlineLvl w:val="9"/>
      </w:pPr>
      <w:r>
        <w:rPr>
          <w:rFonts w:hint="eastAsia"/>
          <w:color w:val="000000"/>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ascii="宋体" w:hAnsi="宋体" w:eastAsia="宋体" w:cs="Times New Roman"/>
          <w:color w:val="000000"/>
          <w:sz w:val="24"/>
          <w:szCs w:val="20"/>
          <w:highlight w:val="none"/>
        </w:rPr>
        <w:outlineLvl w:val="9"/>
      </w:pPr>
      <w:r>
        <w:rPr>
          <w:rFonts w:hint="eastAsia" w:ascii="宋体" w:hAnsi="宋体" w:eastAsia="宋体" w:cs="Times New Roman"/>
          <w:color w:val="000000"/>
          <w:sz w:val="24"/>
          <w:szCs w:val="20"/>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color w:val="000000"/>
          <w:sz w:val="24"/>
          <w:highlight w:val="none"/>
        </w:rPr>
        <w:outlineLvl w:val="9"/>
      </w:pPr>
      <w:r>
        <w:rPr>
          <w:rFonts w:hint="eastAsia"/>
          <w:color w:val="000000"/>
          <w:sz w:val="24"/>
          <w:highlight w:val="none"/>
        </w:rPr>
      </w:r>
      <w:r/>
    </w:p>
    <w:p>
      <w:pPr>
        <w:pStyle w:val="909"/>
        <w:jc w:val="left"/>
        <w:widowControl/>
        <w:rPr>
          <w:rFonts w:hint="eastAsia" w:ascii="Times New Roman" w:hAnsi="Times New Roman" w:eastAsia="宋体" w:cs="Times New Roman"/>
          <w:color w:val="000000"/>
          <w:sz w:val="24"/>
          <w:highlight w:val="none"/>
          <w:lang w:val="en-US" w:eastAsia="zh-CN"/>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rFonts w:hint="eastAsia" w:ascii="Times New Roman" w:hAnsi="Times New Roman" w:eastAsia="宋体" w:cs="Times New Roman"/>
          <w:color w:val="000000"/>
          <w:sz w:val="24"/>
          <w:highlight w:val="none"/>
          <w:lang w:val="en-US" w:eastAsia="zh-CN"/>
        </w:rPr>
      </w:r>
      <w:r/>
    </w:p>
    <w:p>
      <w:pPr>
        <w:pStyle w:val="909"/>
        <w:jc w:val="left"/>
        <w:widowControl/>
        <w:rPr>
          <w:rFonts w:hint="eastAsia"/>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  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szCs w:val="20"/>
          <w:highlight w:val="none"/>
        </w:rPr>
        <w:t xml:space="preserve">（实质性格式）</w:t>
      </w:r>
      <w:r>
        <w:rPr>
          <w:rFonts w:hint="eastAsia"/>
          <w:color w:val="000000"/>
          <w:sz w:val="24"/>
          <w:highlight w:val="none"/>
        </w:rPr>
      </w:r>
      <w:r/>
    </w:p>
    <w:p>
      <w:pPr>
        <w:pStyle w:val="909"/>
        <w:ind w:firstLine="321"/>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09"/>
        <w:ind w:firstLine="321"/>
        <w:jc w:val="center"/>
        <w:spacing w:line="560" w:lineRule="exact"/>
        <w:rPr>
          <w:rFonts w:ascii="黑体" w:hAnsi="黑体" w:eastAsia="黑体"/>
          <w:b/>
          <w:color w:val="000000"/>
          <w:sz w:val="32"/>
          <w:szCs w:val="32"/>
          <w:highlight w:val="none"/>
        </w:rPr>
        <w:outlineLvl w:val="9"/>
      </w:pPr>
      <w:r>
        <w:rPr>
          <w:rFonts w:hint="eastAsia" w:ascii="黑体" w:hAnsi="黑体" w:eastAsia="黑体"/>
          <w:b/>
          <w:color w:val="000000"/>
          <w:sz w:val="32"/>
          <w:szCs w:val="32"/>
          <w:highlight w:val="none"/>
        </w:rPr>
        <w:t xml:space="preserve">政府采购</w:t>
      </w:r>
      <w:r>
        <w:rPr>
          <w:rFonts w:hint="eastAsia" w:ascii="黑体" w:hAnsi="黑体" w:eastAsia="黑体"/>
          <w:b/>
          <w:color w:val="000000"/>
          <w:sz w:val="32"/>
          <w:szCs w:val="32"/>
          <w:highlight w:val="none"/>
          <w:lang w:val="en-US" w:eastAsia="zh-CN"/>
        </w:rPr>
        <w:t xml:space="preserve">供应商</w:t>
      </w:r>
      <w:r>
        <w:rPr>
          <w:rFonts w:hint="eastAsia" w:ascii="黑体" w:hAnsi="黑体" w:eastAsia="黑体"/>
          <w:b/>
          <w:color w:val="000000"/>
          <w:sz w:val="32"/>
          <w:szCs w:val="32"/>
          <w:highlight w:val="none"/>
        </w:rPr>
        <w:t xml:space="preserve">信用承诺书</w:t>
      </w:r>
      <w:r>
        <w:rPr>
          <w:rFonts w:ascii="黑体" w:hAnsi="黑体" w:eastAsia="黑体"/>
          <w:b/>
          <w:color w:val="000000"/>
          <w:sz w:val="32"/>
          <w:szCs w:val="32"/>
          <w:highlight w:val="none"/>
        </w:rPr>
      </w:r>
      <w:r/>
    </w:p>
    <w:p>
      <w:pPr>
        <w:pStyle w:val="909"/>
        <w:ind w:firstLine="640"/>
        <w:rPr>
          <w:color w:val="000000"/>
          <w:highlight w:val="none"/>
        </w:rPr>
        <w:outlineLvl w:val="9"/>
      </w:pPr>
      <w:r>
        <w:rPr>
          <w:color w:val="000000"/>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为维护公开、公平、公正的政府采购市场秩序，树立诚实守信的</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形象，本单位在参与政府采购活动中,自愿作出以下承诺：</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一、严格遵守国家法律、法规和规章，全面履行应尽的责任和义务，全面做到履约守信，</w:t>
      </w:r>
      <w:r>
        <w:rPr>
          <w:rFonts w:hint="eastAsia" w:ascii="宋体" w:hAnsi="宋体"/>
          <w:color w:val="000000"/>
          <w:sz w:val="24"/>
          <w:highlight w:val="none"/>
          <w:lang w:eastAsia="zh-CN"/>
        </w:rPr>
        <w:t xml:space="preserve">具</w:t>
      </w:r>
      <w:r>
        <w:rPr>
          <w:rFonts w:hint="eastAsia" w:ascii="宋体" w:hAnsi="宋体"/>
          <w:color w:val="000000"/>
          <w:sz w:val="24"/>
          <w:highlight w:val="none"/>
          <w:lang w:val="en-US" w:eastAsia="zh-CN"/>
        </w:rPr>
        <w:t xml:space="preserve">备</w:t>
      </w:r>
      <w:r>
        <w:rPr>
          <w:rFonts w:hint="eastAsia" w:ascii="宋体" w:hAnsi="宋体"/>
          <w:color w:val="000000"/>
          <w:sz w:val="24"/>
          <w:highlight w:val="none"/>
        </w:rPr>
        <w:t xml:space="preserve">《政府采购法》第二十二条第一款规定的条件。</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二、本单位已经阅读并充分理解《常州市政府采购</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信用管理暂行办法》，自愿按照《常州市政府采购</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信用管理暂行办法》规定，发生失信行为将记录并公开到“信用常州”、常州市政府采购网。</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olor w:val="000000"/>
          <w:sz w:val="24"/>
          <w:highlight w:val="none"/>
          <w:lang w:eastAsia="zh-CN"/>
        </w:rPr>
        <w:t xml:space="preserve">成分</w:t>
      </w:r>
      <w:r>
        <w:rPr>
          <w:rFonts w:hint="eastAsia" w:ascii="宋体" w:hAnsi="宋体"/>
          <w:color w:val="000000"/>
          <w:sz w:val="24"/>
          <w:highlight w:val="none"/>
        </w:rPr>
        <w:t xml:space="preserve">，并对所提供资料的真实性负责。</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998"/>
        <w:ind w:right="1050" w:firstLine="2880"/>
        <w:jc w:val="both"/>
        <w:spacing w:line="276" w:lineRule="auto"/>
        <w:rPr>
          <w:rFonts w:ascii="宋体" w:hAnsi="宋体" w:eastAsia="宋体"/>
          <w:color w:val="000000"/>
          <w:sz w:val="24"/>
          <w:szCs w:val="22"/>
          <w:highlight w:val="none"/>
        </w:rPr>
        <w:outlineLvl w:val="9"/>
      </w:pPr>
      <w:r>
        <w:rPr>
          <w:rFonts w:ascii="宋体" w:hAnsi="宋体" w:eastAsia="宋体"/>
          <w:color w:val="000000"/>
          <w:sz w:val="24"/>
          <w:szCs w:val="22"/>
          <w:highlight w:val="none"/>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jc w:val="left"/>
        <w:widowControl/>
        <w:rPr>
          <w:color w:val="000000"/>
          <w:sz w:val="24"/>
          <w:szCs w:val="20"/>
          <w:highlight w:val="none"/>
        </w:rPr>
        <w:outlineLvl w:val="9"/>
      </w:pPr>
      <w:r/>
      <w:bookmarkStart w:id="794" w:name="_Hlt520355504"/>
      <w:r/>
      <w:bookmarkEnd w:id="794"/>
      <w:r/>
      <w:bookmarkStart w:id="795" w:name="_Hlt520343000"/>
      <w:r/>
      <w:bookmarkEnd w:id="795"/>
      <w:r/>
      <w:bookmarkStart w:id="796" w:name="_Hlt520350918"/>
      <w:r/>
      <w:bookmarkEnd w:id="796"/>
      <w:r/>
      <w:bookmarkStart w:id="797" w:name="_Hlt520343392"/>
      <w:r/>
      <w:bookmarkEnd w:id="797"/>
      <w:r/>
      <w:bookmarkStart w:id="798" w:name="_Hlt520273711"/>
      <w:r/>
      <w:bookmarkEnd w:id="798"/>
      <w:r/>
      <w:bookmarkStart w:id="799" w:name="_Hlt520274393"/>
      <w:r/>
      <w:bookmarkEnd w:id="799"/>
      <w:r/>
      <w:bookmarkStart w:id="800" w:name="_Hlt520274121"/>
      <w:r/>
      <w:bookmarkEnd w:id="800"/>
      <w:r/>
      <w:bookmarkStart w:id="801" w:name="_Hlt520274065"/>
      <w:r/>
      <w:bookmarkEnd w:id="801"/>
      <w:r/>
      <w:bookmarkStart w:id="802" w:name="_Hlt520274407"/>
      <w:r/>
      <w:bookmarkEnd w:id="802"/>
      <w:r/>
      <w:bookmarkStart w:id="803" w:name="_Hlt520271212"/>
      <w:r/>
      <w:bookmarkEnd w:id="803"/>
      <w:r/>
      <w:bookmarkStart w:id="804" w:name="_Toc150774762"/>
      <w:r/>
      <w:bookmarkStart w:id="805" w:name="_Toc142311059"/>
      <w:r/>
      <w:bookmarkStart w:id="806" w:name="_Toc520356218"/>
      <w:r/>
      <w:bookmarkStart w:id="807" w:name="_Toc264969247"/>
      <w:r/>
      <w:bookmarkStart w:id="808" w:name="_Toc226965830"/>
      <w:r/>
      <w:bookmarkStart w:id="809" w:name="_Toc226337253"/>
      <w:r/>
      <w:bookmarkStart w:id="810" w:name="_Toc480942350"/>
      <w:r/>
      <w:bookmarkStart w:id="811" w:name="_Toc305158825"/>
      <w:r/>
      <w:bookmarkStart w:id="812" w:name="_Toc195842922"/>
      <w:r/>
      <w:bookmarkStart w:id="813" w:name="_Toc265228395"/>
      <w:r/>
      <w:bookmarkStart w:id="814" w:name="_Toc226965747"/>
      <w:r/>
      <w:bookmarkStart w:id="815" w:name="_Toc305158899"/>
      <w:r/>
      <w:bookmarkStart w:id="816" w:name="_Toc226309801"/>
      <w:r/>
      <w:bookmarkStart w:id="817" w:name="_Ref467988705"/>
      <w:r/>
      <w:bookmarkStart w:id="818" w:name="_Toc127151557"/>
      <w:r/>
      <w:bookmarkStart w:id="819" w:name="_Toc150480795"/>
      <w:r>
        <w:rPr>
          <w:color w:val="000000"/>
          <w:sz w:val="24"/>
          <w:szCs w:val="20"/>
          <w:highlight w:val="none"/>
        </w:rPr>
        <w:br w:type="page" w:clear="all"/>
      </w:r>
      <w:r>
        <w:rPr>
          <w:rFonts w:hint="eastAsia"/>
          <w:color w:val="000000"/>
          <w:sz w:val="24"/>
          <w:szCs w:val="20"/>
          <w:highlight w:val="none"/>
          <w:lang w:val="en-US" w:eastAsia="zh-CN"/>
        </w:rPr>
        <w:t xml:space="preserve">4</w:t>
      </w:r>
      <w:r>
        <w:rPr>
          <w:color w:val="000000"/>
          <w:sz w:val="24"/>
          <w:szCs w:val="20"/>
          <w:highlight w:val="none"/>
        </w:rPr>
        <w:t xml:space="preserve">  开标一览表</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Pr>
          <w:color w:val="000000"/>
          <w:sz w:val="24"/>
          <w:szCs w:val="20"/>
          <w:highlight w:val="none"/>
        </w:rPr>
      </w:r>
      <w:r/>
    </w:p>
    <w:p>
      <w:pPr>
        <w:pStyle w:val="909"/>
        <w:jc w:val="center"/>
        <w:spacing w:line="360" w:lineRule="auto"/>
        <w:tabs>
          <w:tab w:val="left" w:pos="2775" w:leader="none"/>
          <w:tab w:val="center" w:pos="4153" w:leader="none"/>
        </w:tabs>
        <w:rPr>
          <w:rFonts w:hint="eastAsia" w:eastAsia="宋体"/>
          <w:b/>
          <w:color w:val="000000"/>
          <w:sz w:val="36"/>
          <w:szCs w:val="36"/>
          <w:highlight w:val="none"/>
          <w:lang w:eastAsia="zh-CN"/>
        </w:rPr>
        <w:outlineLvl w:val="9"/>
      </w:pPr>
      <w:r/>
      <w:bookmarkStart w:id="820" w:name="_Toc195842923"/>
      <w:r/>
      <w:bookmarkStart w:id="821" w:name="_Toc305158900"/>
      <w:r/>
      <w:bookmarkStart w:id="822" w:name="_Toc164608827"/>
      <w:r/>
      <w:bookmarkStart w:id="823" w:name="_Toc226337254"/>
      <w:r/>
      <w:bookmarkStart w:id="824" w:name="_Toc305158826"/>
      <w:r/>
      <w:bookmarkStart w:id="825" w:name="_Toc226965748"/>
      <w:r/>
      <w:bookmarkStart w:id="826" w:name="_Toc164608672"/>
      <w:r/>
      <w:bookmarkStart w:id="827" w:name="_Toc265228396"/>
      <w:r/>
      <w:bookmarkStart w:id="828" w:name="_Toc226309802"/>
      <w:r/>
      <w:bookmarkStart w:id="829" w:name="_Toc264969248"/>
      <w:r/>
      <w:bookmarkStart w:id="830" w:name="_Toc226965831"/>
      <w:r>
        <w:rPr>
          <w:rFonts w:hint="eastAsia"/>
          <w:b/>
          <w:color w:val="000000"/>
          <w:sz w:val="36"/>
          <w:szCs w:val="36"/>
          <w:highlight w:val="none"/>
        </w:rPr>
        <w:t xml:space="preserve">开标一览表</w:t>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eastAsia="宋体"/>
          <w:b/>
          <w:color w:val="000000"/>
          <w:sz w:val="36"/>
          <w:szCs w:val="36"/>
          <w:highlight w:val="none"/>
          <w:lang w:eastAsia="zh-CN"/>
        </w:rPr>
      </w:r>
      <w:r/>
    </w:p>
    <w:p>
      <w:pPr>
        <w:pStyle w:val="909"/>
        <w:jc w:val="left"/>
        <w:spacing w:line="360" w:lineRule="auto"/>
        <w:tabs>
          <w:tab w:val="left" w:pos="1800" w:leader="none"/>
          <w:tab w:val="left" w:pos="5580" w:leader="none"/>
        </w:tabs>
        <w:rPr>
          <w:i/>
          <w:color w:val="000000"/>
          <w:sz w:val="24"/>
          <w:highlight w:val="none"/>
        </w:rPr>
        <w:outlineLvl w:val="9"/>
      </w:pPr>
      <w:r>
        <w:rPr>
          <w:i/>
          <w:color w:val="000000"/>
          <w:sz w:val="24"/>
          <w:highlight w:val="none"/>
        </w:rPr>
      </w:r>
      <w:r/>
    </w:p>
    <w:p>
      <w:pPr>
        <w:pStyle w:val="909"/>
        <w:ind w:firstLine="24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909"/>
              <w:jc w:val="center"/>
              <w:tabs>
                <w:tab w:val="left" w:pos="5580" w:leader="none"/>
              </w:tabs>
              <w:rPr>
                <w:rFonts w:hint="eastAsia" w:eastAsia="宋体"/>
                <w:b/>
                <w:color w:val="000000"/>
                <w:sz w:val="24"/>
                <w:highlight w:val="none"/>
                <w:lang w:eastAsia="zh-CN"/>
              </w:rPr>
              <w:outlineLvl w:val="9"/>
            </w:pPr>
            <w:r>
              <w:rPr>
                <w:b/>
                <w:color w:val="000000"/>
                <w:sz w:val="24"/>
                <w:highlight w:val="none"/>
              </w:rPr>
              <w:t xml:space="preserve">投标报价</w:t>
            </w:r>
            <w:r>
              <w:rPr>
                <w:rFonts w:hint="eastAsia"/>
                <w:b/>
                <w:color w:val="000000"/>
                <w:sz w:val="24"/>
                <w:highlight w:val="none"/>
                <w:lang w:eastAsia="zh-CN"/>
              </w:rPr>
              <w:t xml:space="preserve">（</w:t>
            </w:r>
            <w:r>
              <w:rPr>
                <w:rFonts w:hint="eastAsia"/>
                <w:b/>
                <w:color w:val="000000"/>
                <w:sz w:val="24"/>
                <w:highlight w:val="none"/>
                <w:lang w:val="en-US" w:eastAsia="zh-CN"/>
              </w:rPr>
              <w:t xml:space="preserve">人民币：元</w:t>
            </w:r>
            <w:r>
              <w:rPr>
                <w:rFonts w:hint="eastAsia"/>
                <w:b/>
                <w:color w:val="000000"/>
                <w:sz w:val="24"/>
                <w:highlight w:val="none"/>
                <w:lang w:eastAsia="zh-CN"/>
              </w:rPr>
              <w:t xml:space="preserve">）</w:t>
            </w:r>
            <w:r>
              <w:rPr>
                <w:rFonts w:hint="eastAsia" w:eastAsia="宋体"/>
                <w:b/>
                <w:color w:val="000000"/>
                <w:sz w:val="24"/>
                <w:highlight w:val="none"/>
                <w:lang w:eastAsia="zh-CN"/>
              </w:rPr>
            </w:r>
            <w:r/>
          </w:p>
        </w:tc>
      </w:tr>
      <w:tr>
        <w:trPr>
          <w:trHeight w:val="674"/>
        </w:trPr>
        <w:tc>
          <w:tcPr>
            <w:tcW w:w="690" w:type="dxa"/>
            <w:vAlign w:val="center"/>
            <w:vMerge w:val="continue"/>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3709" w:type="dxa"/>
            <w:vAlign w:val="center"/>
            <w:vMerge w:val="continue"/>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1989" w:type="dxa"/>
            <w:vAlign w:val="center"/>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大写</w:t>
            </w:r>
            <w:r>
              <w:rPr>
                <w:b/>
                <w:color w:val="000000"/>
                <w:sz w:val="24"/>
                <w:highlight w:val="none"/>
              </w:rPr>
            </w:r>
            <w:r/>
          </w:p>
        </w:tc>
        <w:tc>
          <w:tcPr>
            <w:tcW w:w="1984" w:type="dxa"/>
            <w:vAlign w:val="center"/>
            <w:textDirection w:val="lrTb"/>
            <w:noWrap w:val="false"/>
          </w:tcPr>
          <w:p>
            <w:pPr>
              <w:pStyle w:val="909"/>
              <w:jc w:val="center"/>
              <w:tabs>
                <w:tab w:val="left" w:pos="5580" w:leader="none"/>
              </w:tabs>
              <w:rPr>
                <w:b/>
                <w:color w:val="000000"/>
                <w:sz w:val="24"/>
                <w:highlight w:val="none"/>
              </w:rPr>
              <w:outlineLvl w:val="9"/>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3709"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1989"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c>
          <w:tcPr>
            <w:tcW w:w="1984" w:type="dxa"/>
            <w:vAlign w:val="center"/>
            <w:textDirection w:val="lrTb"/>
            <w:noWrap w:val="false"/>
          </w:tcPr>
          <w:p>
            <w:pPr>
              <w:pStyle w:val="909"/>
              <w:jc w:val="center"/>
              <w:tabs>
                <w:tab w:val="left" w:pos="5580" w:leader="none"/>
              </w:tabs>
              <w:rPr>
                <w:color w:val="000000"/>
                <w:sz w:val="24"/>
                <w:highlight w:val="none"/>
              </w:rPr>
              <w:outlineLvl w:val="9"/>
            </w:pPr>
            <w:r>
              <w:rPr>
                <w:color w:val="000000"/>
                <w:sz w:val="24"/>
                <w:highlight w:val="none"/>
              </w:rPr>
            </w:r>
            <w:r/>
          </w:p>
        </w:tc>
      </w:tr>
    </w:tbl>
    <w:p>
      <w:pPr>
        <w:pStyle w:val="909"/>
        <w:jc w:val="left"/>
        <w:rPr>
          <w:color w:val="000000"/>
          <w:sz w:val="24"/>
          <w:highlight w:val="none"/>
        </w:rPr>
        <w:outlineLvl w:val="9"/>
      </w:pPr>
      <w:r>
        <w:rPr>
          <w:color w:val="000000"/>
          <w:sz w:val="24"/>
          <w:highlight w:val="none"/>
        </w:rPr>
      </w:r>
      <w:r/>
    </w:p>
    <w:p>
      <w:pPr>
        <w:pStyle w:val="909"/>
        <w:jc w:val="left"/>
        <w:rPr>
          <w:color w:val="000000"/>
          <w:sz w:val="24"/>
          <w:szCs w:val="20"/>
          <w:highlight w:val="none"/>
        </w:rPr>
        <w:outlineLvl w:val="9"/>
      </w:pPr>
      <w:r>
        <w:rPr>
          <w:color w:val="000000"/>
          <w:sz w:val="24"/>
          <w:highlight w:val="none"/>
        </w:rPr>
        <w:t xml:space="preserve">注：</w:t>
      </w:r>
      <w:r>
        <w:rPr>
          <w:color w:val="000000"/>
          <w:sz w:val="24"/>
          <w:szCs w:val="20"/>
          <w:highlight w:val="none"/>
        </w:rPr>
        <w:t xml:space="preserve">此表的投标报价应和《投标分项报价表》中的总价相一致。</w:t>
      </w:r>
      <w:r>
        <w:rPr>
          <w:color w:val="000000"/>
          <w:sz w:val="24"/>
          <w:szCs w:val="20"/>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jc w:val="left"/>
        <w:widowControl/>
        <w:rPr>
          <w:color w:val="000000"/>
          <w:sz w:val="24"/>
          <w:szCs w:val="20"/>
          <w:highlight w:val="none"/>
        </w:rPr>
        <w:outlineLvl w:val="9"/>
      </w:pPr>
      <w:r/>
      <w:bookmarkStart w:id="831" w:name="_Toc127151558"/>
      <w:r/>
      <w:bookmarkStart w:id="832" w:name="_Toc195842924"/>
      <w:r/>
      <w:bookmarkStart w:id="833" w:name="_Toc305158901"/>
      <w:r/>
      <w:bookmarkStart w:id="834" w:name="_Toc150480796"/>
      <w:r/>
      <w:bookmarkStart w:id="835" w:name="_Toc265228397"/>
      <w:r/>
      <w:bookmarkStart w:id="836" w:name="_Toc226965832"/>
      <w:r/>
      <w:bookmarkStart w:id="837" w:name="_Toc264969249"/>
      <w:r/>
      <w:bookmarkStart w:id="838" w:name="_Toc142311060"/>
      <w:r/>
      <w:bookmarkStart w:id="839" w:name="_Toc226337255"/>
      <w:r/>
      <w:bookmarkStart w:id="840" w:name="_Toc150774763"/>
      <w:r/>
      <w:bookmarkStart w:id="841" w:name="_Toc226965749"/>
      <w:r/>
      <w:bookmarkStart w:id="842" w:name="_Toc226309803"/>
      <w:r/>
      <w:bookmarkStart w:id="843" w:name="_Toc305158827"/>
      <w:r>
        <w:rPr>
          <w:color w:val="000000"/>
          <w:sz w:val="24"/>
          <w:szCs w:val="20"/>
          <w:highlight w:val="none"/>
        </w:rPr>
        <w:br w:type="page" w:clear="all"/>
      </w:r>
      <w:r>
        <w:rPr>
          <w:rFonts w:hint="eastAsia"/>
          <w:color w:val="000000"/>
          <w:sz w:val="24"/>
          <w:szCs w:val="20"/>
          <w:highlight w:val="none"/>
          <w:lang w:val="en-US" w:eastAsia="zh-CN"/>
        </w:rPr>
        <w:t xml:space="preserve">5</w:t>
      </w:r>
      <w:r>
        <w:rPr>
          <w:color w:val="000000"/>
          <w:sz w:val="24"/>
          <w:szCs w:val="20"/>
          <w:highlight w:val="none"/>
        </w:rPr>
        <w:t xml:space="preserve">  投标分项报价表</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color w:val="000000"/>
          <w:sz w:val="24"/>
          <w:szCs w:val="20"/>
          <w:highlight w:val="none"/>
        </w:rPr>
        <w:t xml:space="preserve">（实质性格式）</w:t>
      </w:r>
      <w:r>
        <w:rPr>
          <w:color w:val="000000"/>
          <w:sz w:val="24"/>
          <w:szCs w:val="20"/>
          <w:highlight w:val="none"/>
        </w:rPr>
      </w:r>
      <w:r/>
    </w:p>
    <w:p>
      <w:pPr>
        <w:pStyle w:val="909"/>
        <w:jc w:val="center"/>
        <w:spacing w:line="360" w:lineRule="exact"/>
        <w:rPr>
          <w:color w:val="000000"/>
          <w:sz w:val="36"/>
          <w:szCs w:val="36"/>
          <w:highlight w:val="none"/>
        </w:rPr>
        <w:outlineLvl w:val="9"/>
      </w:pPr>
      <w:r>
        <w:rPr>
          <w:color w:val="000000"/>
          <w:sz w:val="36"/>
          <w:szCs w:val="36"/>
          <w:highlight w:val="none"/>
        </w:rPr>
      </w:r>
      <w:r/>
    </w:p>
    <w:p>
      <w:pPr>
        <w:pStyle w:val="909"/>
        <w:jc w:val="center"/>
        <w:spacing w:line="360" w:lineRule="auto"/>
        <w:tabs>
          <w:tab w:val="left" w:pos="2775" w:leader="none"/>
          <w:tab w:val="center" w:pos="4153" w:leader="none"/>
        </w:tabs>
        <w:rPr>
          <w:rFonts w:hint="eastAsia"/>
          <w:b/>
          <w:color w:val="000000"/>
          <w:sz w:val="36"/>
          <w:szCs w:val="36"/>
          <w:highlight w:val="none"/>
        </w:rPr>
        <w:outlineLvl w:val="9"/>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09"/>
        <w:jc w:val="center"/>
        <w:spacing w:line="260" w:lineRule="exact"/>
        <w:rPr>
          <w:color w:val="000000"/>
          <w:sz w:val="36"/>
          <w:szCs w:val="36"/>
          <w:highlight w:val="none"/>
        </w:rPr>
        <w:outlineLvl w:val="9"/>
      </w:pPr>
      <w:r>
        <w:rPr>
          <w:color w:val="000000"/>
          <w:sz w:val="36"/>
          <w:szCs w:val="36"/>
          <w:highlight w:val="none"/>
        </w:rPr>
      </w:r>
      <w:r/>
    </w:p>
    <w:p>
      <w:pPr>
        <w:pStyle w:val="909"/>
        <w:tabs>
          <w:tab w:val="left" w:pos="1800" w:leader="none"/>
          <w:tab w:val="left" w:pos="5580" w:leader="none"/>
        </w:tabs>
        <w:rPr>
          <w:color w:val="000000"/>
          <w:sz w:val="24"/>
          <w:highlight w:val="none"/>
        </w:rPr>
        <w:outlineLvl w:val="9"/>
      </w:pPr>
      <w:r>
        <w:rPr>
          <w:color w:val="000000"/>
          <w:sz w:val="24"/>
          <w:highlight w:val="none"/>
        </w:rPr>
      </w:r>
      <w:r/>
    </w:p>
    <w:p>
      <w:pPr>
        <w:pStyle w:val="909"/>
        <w:tabs>
          <w:tab w:val="left" w:pos="1800" w:leader="none"/>
          <w:tab w:val="left" w:pos="5580" w:leader="none"/>
        </w:tabs>
        <w:rPr>
          <w:color w:val="000000"/>
          <w:sz w:val="24"/>
          <w:highlight w:val="none"/>
        </w:rPr>
        <w:outlineLvl w:val="9"/>
      </w:pPr>
      <w:r>
        <w:rPr>
          <w:color w:val="000000"/>
          <w:sz w:val="24"/>
          <w:highlight w:val="none"/>
        </w:rPr>
        <w:t xml:space="preserve">项目编号：___________ 项目名称：__________报价单位：人民币元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881"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780"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vMerge w:val="continue"/>
            <w:textDirection w:val="lrTb"/>
            <w:noWrap w:val="false"/>
          </w:tcPr>
          <w:p>
            <w:pPr>
              <w:pStyle w:val="909"/>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909"/>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909"/>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bl>
    <w:p>
      <w:pPr>
        <w:pStyle w:val="909"/>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909"/>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注：</w:t>
      </w:r>
      <w:r>
        <w:rPr>
          <w:rFonts w:hint="eastAsia"/>
          <w:color w:val="000000"/>
          <w:sz w:val="24"/>
          <w:highlight w:val="none"/>
          <w:lang w:val="en-US" w:eastAsia="zh-CN"/>
        </w:rPr>
        <w:t xml:space="preserve">1</w:t>
      </w:r>
      <w:r>
        <w:rPr>
          <w:color w:val="000000"/>
          <w:sz w:val="24"/>
          <w:highlight w:val="none"/>
        </w:rPr>
        <w:t xml:space="preserve">.如果不提供分项报价将视为没有实质性响应招标文件。</w:t>
      </w:r>
      <w:r>
        <w:rPr>
          <w:color w:val="000000"/>
          <w:sz w:val="24"/>
          <w:highlight w:val="none"/>
        </w:rPr>
      </w:r>
      <w:r/>
    </w:p>
    <w:p>
      <w:pPr>
        <w:pStyle w:val="909"/>
        <w:ind w:firstLine="480"/>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lang w:val="en-US" w:eastAsia="zh-CN"/>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09"/>
        <w:ind w:firstLine="480"/>
        <w:jc w:val="left"/>
        <w:tabs>
          <w:tab w:val="left" w:pos="1800" w:leader="none"/>
          <w:tab w:val="left" w:pos="5580" w:leader="none"/>
        </w:tabs>
        <w:rPr>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09"/>
        <w:ind w:firstLine="480"/>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4.价格扣除优惠，仅适用于采购活动中实际存在非本国产品参与竞争的情形。如果所有有效投标人提供的产品均为本国产品（即不存在非本国产品竞争），则不执行本国产品的价格扣除政策。</w:t>
      </w:r>
      <w:r>
        <w:rPr>
          <w:color w:val="000000"/>
          <w:sz w:val="24"/>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jc w:val="left"/>
        <w:spacing w:before="240" w:after="240"/>
        <w:rPr>
          <w:rFonts w:hint="eastAsia"/>
          <w:b/>
          <w:i/>
          <w:color w:val="000000"/>
          <w:sz w:val="24"/>
          <w:highlight w:val="none"/>
        </w:rPr>
        <w:outlineLvl w:val="9"/>
      </w:pPr>
      <w:r>
        <w:rPr>
          <w:rFonts w:hint="eastAsia"/>
          <w:b/>
          <w:i/>
          <w:color w:val="000000"/>
          <w:sz w:val="24"/>
          <w:highlight w:val="none"/>
        </w:rPr>
      </w:r>
      <w:r/>
    </w:p>
    <w:p>
      <w:pPr>
        <w:pStyle w:val="909"/>
        <w:jc w:val="left"/>
        <w:spacing w:before="240" w:after="240"/>
        <w:rPr>
          <w:rFonts w:hint="eastAsia"/>
          <w:b/>
          <w:i/>
          <w:color w:val="000000"/>
          <w:sz w:val="24"/>
          <w:highlight w:val="none"/>
        </w:rPr>
        <w:outlineLvl w:val="9"/>
      </w:pPr>
      <w:r>
        <w:rPr>
          <w:rFonts w:hint="eastAsia"/>
          <w:b/>
          <w:i/>
          <w:color w:val="000000"/>
          <w:sz w:val="24"/>
          <w:highlight w:val="none"/>
        </w:rPr>
      </w:r>
      <w:r/>
    </w:p>
    <w:p>
      <w:pPr>
        <w:pStyle w:val="909"/>
        <w:spacing w:line="360" w:lineRule="auto"/>
        <w:rPr>
          <w:color w:val="000000"/>
          <w:sz w:val="24"/>
          <w:szCs w:val="20"/>
          <w:highlight w:val="none"/>
        </w:rPr>
        <w:outlineLvl w:val="9"/>
      </w:pPr>
      <w:r/>
      <w:bookmarkStart w:id="844" w:name="_Toc226309806"/>
      <w:r/>
      <w:bookmarkStart w:id="845" w:name="_Toc142311062"/>
      <w:r/>
      <w:bookmarkStart w:id="846" w:name="_Toc305158830"/>
      <w:r/>
      <w:bookmarkStart w:id="847" w:name="_Toc226965752"/>
      <w:r/>
      <w:bookmarkStart w:id="848" w:name="_Toc226337258"/>
      <w:r/>
      <w:bookmarkStart w:id="849" w:name="_Toc150480798"/>
      <w:r/>
      <w:bookmarkStart w:id="850" w:name="_Toc265228400"/>
      <w:r/>
      <w:bookmarkStart w:id="851" w:name="_Toc264969252"/>
      <w:r/>
      <w:bookmarkStart w:id="852" w:name="_Toc226965835"/>
      <w:r/>
      <w:bookmarkStart w:id="853" w:name="_Toc195842927"/>
      <w:r/>
      <w:bookmarkStart w:id="854" w:name="_Toc127151562"/>
      <w:r/>
      <w:bookmarkStart w:id="855" w:name="_Toc150774765"/>
      <w:r/>
      <w:bookmarkStart w:id="856" w:name="_Toc305158904"/>
      <w:r/>
      <w:bookmarkStart w:id="857" w:name="_Toc127151561"/>
      <w:r/>
      <w:bookmarkStart w:id="858" w:name="_Toc150774764"/>
      <w:r/>
      <w:bookmarkStart w:id="859" w:name="_Toc142311061"/>
      <w:r/>
      <w:bookmarkStart w:id="860" w:name="_Toc226309805"/>
      <w:r/>
      <w:bookmarkStart w:id="861" w:name="_Toc195842926"/>
      <w:r/>
      <w:bookmarkStart w:id="862" w:name="_Toc265228399"/>
      <w:r/>
      <w:bookmarkStart w:id="863" w:name="_Toc226337257"/>
      <w:r/>
      <w:bookmarkStart w:id="864" w:name="_Toc305158903"/>
      <w:r/>
      <w:bookmarkStart w:id="865" w:name="_Toc305158829"/>
      <w:r/>
      <w:bookmarkStart w:id="866" w:name="_Toc264969251"/>
      <w:r/>
      <w:bookmarkStart w:id="867" w:name="_Toc226965834"/>
      <w:r/>
      <w:bookmarkStart w:id="868" w:name="_Toc150480797"/>
      <w:r/>
      <w:bookmarkStart w:id="869" w:name="_Toc226965751"/>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highlight w:val="none"/>
        </w:rPr>
        <w:t xml:space="preserve">（实质性格式）</w:t>
      </w:r>
      <w:r>
        <w:rPr>
          <w:color w:val="000000"/>
          <w:sz w:val="24"/>
          <w:szCs w:val="20"/>
          <w:highlight w:val="none"/>
        </w:rPr>
      </w:r>
      <w:r/>
    </w:p>
    <w:p>
      <w:pPr>
        <w:pStyle w:val="909"/>
        <w:spacing w:line="360" w:lineRule="auto"/>
        <w:rPr>
          <w:color w:val="000000"/>
          <w:sz w:val="24"/>
          <w:szCs w:val="20"/>
          <w:highlight w:val="none"/>
        </w:rPr>
        <w:outlineLvl w:val="9"/>
      </w:pPr>
      <w:r>
        <w:rPr>
          <w:color w:val="000000"/>
          <w:sz w:val="24"/>
          <w:szCs w:val="20"/>
          <w:highlight w:val="none"/>
        </w:rPr>
      </w:r>
      <w:r/>
    </w:p>
    <w:p>
      <w:pPr>
        <w:pStyle w:val="909"/>
        <w:jc w:val="center"/>
        <w:spacing w:line="360" w:lineRule="auto"/>
        <w:tabs>
          <w:tab w:val="left" w:pos="2775" w:leader="none"/>
          <w:tab w:val="center" w:pos="4153" w:leader="none"/>
        </w:tabs>
        <w:rPr>
          <w:b/>
          <w:color w:val="000000"/>
          <w:sz w:val="36"/>
          <w:szCs w:val="36"/>
          <w:highlight w:val="none"/>
        </w:rPr>
        <w:outlineLvl w:val="9"/>
      </w:pPr>
      <w:r>
        <w:rPr>
          <w:rFonts w:hint="eastAsia"/>
          <w:b/>
          <w:color w:val="000000"/>
          <w:sz w:val="36"/>
          <w:szCs w:val="36"/>
          <w:highlight w:val="none"/>
        </w:rPr>
        <w:t xml:space="preserve">合同条款偏离表</w:t>
      </w:r>
      <w:r>
        <w:rPr>
          <w:b/>
          <w:color w:val="000000"/>
          <w:sz w:val="36"/>
          <w:szCs w:val="36"/>
          <w:highlight w:val="none"/>
        </w:rPr>
      </w:r>
      <w:r/>
    </w:p>
    <w:p>
      <w:pPr>
        <w:pStyle w:val="909"/>
        <w:spacing w:line="360" w:lineRule="auto"/>
        <w:rPr>
          <w:color w:val="000000"/>
          <w:sz w:val="24"/>
          <w:szCs w:val="20"/>
          <w:highlight w:val="none"/>
        </w:rPr>
        <w:outlineLvl w:val="9"/>
      </w:pPr>
      <w:r>
        <w:rPr>
          <w:color w:val="000000"/>
          <w:sz w:val="24"/>
          <w:szCs w:val="20"/>
          <w:highlight w:val="none"/>
        </w:rPr>
      </w:r>
      <w:r/>
    </w:p>
    <w:p>
      <w:pPr>
        <w:pStyle w:val="909"/>
        <w:ind w:firstLine="360"/>
        <w:jc w:val="left"/>
        <w:spacing w:line="360" w:lineRule="auto"/>
        <w:tabs>
          <w:tab w:val="left" w:pos="1800" w:leader="none"/>
          <w:tab w:val="left" w:pos="5580" w:leader="none"/>
        </w:tabs>
        <w:rPr>
          <w:color w:val="000000"/>
          <w:sz w:val="24"/>
          <w:highlight w:val="none"/>
        </w:rPr>
        <w:outlineLvl w:val="9"/>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09"/>
              <w:jc w:val="left"/>
              <w:rPr>
                <w:b/>
                <w:color w:val="000000"/>
                <w:sz w:val="24"/>
                <w:highlight w:val="none"/>
              </w:rPr>
              <w:outlineLvl w:val="9"/>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09"/>
              <w:jc w:val="left"/>
              <w:rPr>
                <w:b/>
                <w:color w:val="000000"/>
                <w:sz w:val="24"/>
                <w:highlight w:val="none"/>
              </w:rPr>
              <w:outlineLvl w:val="9"/>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09"/>
              <w:jc w:val="left"/>
              <w:rPr>
                <w:color w:val="000000"/>
                <w:sz w:val="24"/>
                <w:highlight w:val="none"/>
              </w:rPr>
              <w:outlineLvl w:val="9"/>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83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09"/>
              <w:jc w:val="center"/>
              <w:rPr>
                <w:color w:val="000000"/>
                <w:sz w:val="24"/>
                <w:highlight w:val="none"/>
              </w:rPr>
              <w:outlineLvl w:val="9"/>
            </w:pPr>
            <w:r>
              <w:rPr>
                <w:color w:val="000000"/>
                <w:sz w:val="24"/>
                <w:highlight w:val="none"/>
              </w:rPr>
            </w:r>
            <w:r/>
          </w:p>
        </w:tc>
      </w:tr>
    </w:tbl>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09"/>
        <w:spacing w:line="360" w:lineRule="auto"/>
        <w:rPr>
          <w:color w:val="000000"/>
          <w:sz w:val="24"/>
          <w:szCs w:val="20"/>
          <w:highlight w:val="none"/>
        </w:rPr>
        <w:outlineLvl w:val="9"/>
      </w:pPr>
      <w:r>
        <w:rPr>
          <w:color w:val="000000"/>
          <w:sz w:val="24"/>
          <w:szCs w:val="20"/>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color w:val="000000"/>
          <w:sz w:val="24"/>
          <w:szCs w:val="20"/>
          <w:highlight w:val="none"/>
        </w:rPr>
        <w:t xml:space="preserve">采购需求偏离表（实质性格式）</w:t>
      </w:r>
      <w:r>
        <w:rPr>
          <w:color w:val="000000"/>
          <w:sz w:val="24"/>
          <w:szCs w:val="20"/>
          <w:highlight w:val="none"/>
        </w:rPr>
      </w:r>
      <w:r/>
    </w:p>
    <w:p>
      <w:pPr>
        <w:pStyle w:val="909"/>
        <w:jc w:val="center"/>
        <w:spacing w:line="360" w:lineRule="auto"/>
        <w:rPr>
          <w:rFonts w:hint="eastAsia"/>
          <w:b/>
          <w:color w:val="000000"/>
          <w:sz w:val="36"/>
          <w:szCs w:val="36"/>
          <w:highlight w:val="none"/>
        </w:rPr>
        <w:outlineLvl w:val="9"/>
      </w:pPr>
      <w:r>
        <w:rPr>
          <w:rFonts w:hint="eastAsia"/>
          <w:b/>
          <w:color w:val="000000"/>
          <w:sz w:val="36"/>
          <w:szCs w:val="36"/>
          <w:highlight w:val="none"/>
        </w:rPr>
      </w:r>
      <w:r/>
    </w:p>
    <w:p>
      <w:pPr>
        <w:pStyle w:val="909"/>
        <w:jc w:val="center"/>
        <w:spacing w:line="360" w:lineRule="auto"/>
        <w:rPr>
          <w:b/>
          <w:color w:val="000000"/>
          <w:sz w:val="36"/>
          <w:szCs w:val="36"/>
          <w:highlight w:val="none"/>
        </w:rPr>
        <w:outlineLvl w:val="9"/>
      </w:pPr>
      <w:r>
        <w:rPr>
          <w:rFonts w:hint="eastAsia"/>
          <w:b/>
          <w:color w:val="000000"/>
          <w:sz w:val="36"/>
          <w:szCs w:val="36"/>
          <w:highlight w:val="none"/>
        </w:rPr>
        <w:t xml:space="preserve">采购需求偏离表</w:t>
      </w:r>
      <w:r>
        <w:rPr>
          <w:b/>
          <w:color w:val="000000"/>
          <w:sz w:val="36"/>
          <w:szCs w:val="36"/>
          <w:highlight w:val="none"/>
        </w:rPr>
      </w:r>
      <w:r/>
    </w:p>
    <w:p>
      <w:pPr>
        <w:pStyle w:val="909"/>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09"/>
              <w:jc w:val="center"/>
              <w:rPr>
                <w:color w:val="000000"/>
                <w:sz w:val="24"/>
                <w:highlight w:val="none"/>
              </w:rPr>
              <w:outlineLvl w:val="9"/>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09"/>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09"/>
              <w:jc w:val="center"/>
              <w:rPr>
                <w:color w:val="000000"/>
                <w:sz w:val="24"/>
                <w:highlight w:val="none"/>
              </w:rPr>
              <w:outlineLvl w:val="9"/>
            </w:pPr>
            <w:r>
              <w:rPr>
                <w:color w:val="000000"/>
                <w:sz w:val="24"/>
                <w:highlight w:val="none"/>
              </w:rPr>
            </w:r>
            <w:r/>
          </w:p>
        </w:tc>
      </w:tr>
    </w:tbl>
    <w:p>
      <w:pPr>
        <w:pStyle w:val="909"/>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填写“正偏离”或“负偏离”。若不存在偏离情况，只需在此表中填写“无偏离”。</w:t>
      </w: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jc w:val="left"/>
        <w:tabs>
          <w:tab w:val="left" w:pos="1800" w:leader="none"/>
          <w:tab w:val="left" w:pos="5580" w:leader="none"/>
        </w:tabs>
        <w:rPr>
          <w:color w:val="000000"/>
          <w:sz w:val="24"/>
          <w:highlight w:val="none"/>
        </w:rPr>
        <w:outlineLvl w:val="9"/>
      </w:pPr>
      <w:r>
        <w:rPr>
          <w:color w:val="000000"/>
          <w:sz w:val="24"/>
          <w:highlight w:val="none"/>
        </w:rPr>
      </w:r>
      <w:r/>
    </w:p>
    <w:p>
      <w:pPr>
        <w:pStyle w:val="909"/>
        <w:rPr>
          <w:color w:val="000000"/>
          <w:sz w:val="24"/>
          <w:szCs w:val="20"/>
          <w:highlight w:val="none"/>
        </w:rPr>
        <w:outlineLvl w:val="9"/>
      </w:pPr>
      <w:r>
        <w:rPr>
          <w:color w:val="000000"/>
          <w:sz w:val="24"/>
          <w:szCs w:val="20"/>
          <w:highlight w:val="none"/>
        </w:rPr>
      </w:r>
      <w:r/>
    </w:p>
    <w:p>
      <w:pPr>
        <w:pStyle w:val="909"/>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spacing w:line="360" w:lineRule="auto"/>
        <w:tabs>
          <w:tab w:val="left" w:pos="5580" w:leader="none"/>
        </w:tabs>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中小企业声明函</w:t>
      </w:r>
      <w:r>
        <w:rPr>
          <w:color w:val="000000"/>
          <w:sz w:val="24"/>
          <w:szCs w:val="20"/>
          <w:highlight w:val="none"/>
        </w:rPr>
      </w:r>
      <w:r/>
    </w:p>
    <w:p>
      <w:pPr>
        <w:pStyle w:val="909"/>
        <w:spacing w:line="360" w:lineRule="auto"/>
        <w:tabs>
          <w:tab w:val="left" w:pos="5580" w:leader="none"/>
        </w:tabs>
        <w:rPr>
          <w:color w:val="000000"/>
          <w:sz w:val="24"/>
          <w:highlight w:val="none"/>
        </w:rPr>
        <w:outlineLvl w:val="9"/>
      </w:pPr>
      <w:r>
        <w:rPr>
          <w:rFonts w:hint="eastAsia"/>
          <w:color w:val="000000"/>
          <w:sz w:val="24"/>
          <w:highlight w:val="none"/>
        </w:rPr>
        <w:t xml:space="preserve">说明：</w:t>
      </w:r>
      <w:r>
        <w:rPr>
          <w:color w:val="000000"/>
          <w:sz w:val="24"/>
          <w:highlight w:val="none"/>
        </w:rPr>
      </w:r>
      <w:r/>
    </w:p>
    <w:p>
      <w:pPr>
        <w:pStyle w:val="909"/>
        <w:spacing w:line="360" w:lineRule="auto"/>
        <w:tabs>
          <w:tab w:val="left" w:pos="5580" w:leader="none"/>
        </w:tabs>
        <w:rPr>
          <w:color w:val="000000"/>
          <w:sz w:val="24"/>
          <w:highlight w:val="none"/>
        </w:rPr>
        <w:outlineLvl w:val="9"/>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w:t>
      </w:r>
      <w:r>
        <w:rPr>
          <w:color w:val="000000"/>
          <w:sz w:val="24"/>
          <w:highlight w:val="none"/>
        </w:rPr>
      </w:r>
      <w:r/>
    </w:p>
    <w:p>
      <w:pPr>
        <w:pStyle w:val="909"/>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2）</w:t>
      </w:r>
      <w:r>
        <w:rPr>
          <w:rFonts w:hint="eastAsia"/>
          <w:color w:val="000000"/>
          <w:sz w:val="24"/>
          <w:highlight w:val="none"/>
        </w:rPr>
        <w:t xml:space="preserve">投标人应充分、准确地了解所投产品制造企业信息。对相关情况了解不清楚的，不建议填报本声明函。</w:t>
      </w:r>
      <w:r>
        <w:rPr>
          <w:rFonts w:hint="eastAsia"/>
          <w:color w:val="000000"/>
          <w:sz w:val="24"/>
          <w:highlight w:val="none"/>
        </w:rPr>
      </w:r>
      <w:r/>
    </w:p>
    <w:p>
      <w:pPr>
        <w:pStyle w:val="909"/>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中小企业认定标准以《关于印发中小企业划型标准规定的通知》（工信部联企业〔2011〕300号）文件规定为准。</w:t>
      </w:r>
      <w:r>
        <w:rPr>
          <w:rFonts w:hint="eastAsia"/>
          <w:color w:val="000000"/>
          <w:sz w:val="24"/>
          <w:highlight w:val="none"/>
        </w:rPr>
      </w:r>
      <w:r/>
    </w:p>
    <w:p>
      <w:pPr>
        <w:pStyle w:val="909"/>
        <w:spacing w:line="360" w:lineRule="auto"/>
        <w:tabs>
          <w:tab w:val="left" w:pos="5580" w:leader="none"/>
        </w:tabs>
        <w:rPr>
          <w:rFonts w:hint="eastAsia"/>
          <w:color w:val="000000"/>
          <w:sz w:val="24"/>
          <w:highlight w:val="none"/>
        </w:rPr>
        <w:outlineLvl w:val="9"/>
      </w:pPr>
      <w:r>
        <w:rPr>
          <w:rFonts w:hint="eastAsia"/>
          <w:color w:val="000000"/>
          <w:sz w:val="24"/>
          <w:highlight w:val="none"/>
          <w:lang w:val="en-US" w:eastAsia="zh-CN"/>
        </w:rPr>
        <w:t xml:space="preserve">4</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hint="eastAsia"/>
          <w:color w:val="000000"/>
          <w:sz w:val="24"/>
          <w:highlight w:val="none"/>
        </w:rPr>
      </w:r>
      <w:r/>
    </w:p>
    <w:p>
      <w:pPr>
        <w:pStyle w:val="909"/>
        <w:spacing w:line="360" w:lineRule="auto"/>
        <w:tabs>
          <w:tab w:val="left" w:pos="5580" w:leader="none"/>
        </w:tabs>
        <w:rPr>
          <w:rFonts w:hint="eastAsia" w:ascii="宋体" w:hAnsi="宋体"/>
          <w:b/>
          <w:color w:val="000000"/>
          <w:sz w:val="24"/>
          <w:highlight w:val="none"/>
        </w:rPr>
        <w:outlineLvl w:val="9"/>
      </w:pPr>
      <w:r>
        <w:rPr>
          <w:rFonts w:hint="eastAsia"/>
          <w:color w:val="000000"/>
          <w:sz w:val="24"/>
          <w:highlight w:val="none"/>
          <w:lang w:val="en-US" w:eastAsia="zh-CN"/>
        </w:rPr>
        <w:t xml:space="preserve">5</w:t>
      </w:r>
      <w:r>
        <w:rPr>
          <w:rFonts w:hint="eastAsia"/>
          <w:color w:val="000000"/>
          <w:sz w:val="24"/>
          <w:highlight w:val="none"/>
        </w:rPr>
        <w:t xml:space="preserve">）</w:t>
      </w:r>
      <w:r>
        <w:rPr>
          <w:rFonts w:ascii="宋体" w:hAnsi="宋体"/>
          <w:b/>
          <w:color w:val="000000"/>
          <w:sz w:val="24"/>
          <w:highlight w:val="none"/>
        </w:rPr>
        <w:t xml:space="preserve">在货物采购项目中，</w:t>
      </w:r>
      <w:r>
        <w:rPr>
          <w:rFonts w:hint="eastAsia" w:ascii="宋体" w:hAnsi="宋体"/>
          <w:b/>
          <w:color w:val="000000"/>
          <w:sz w:val="24"/>
          <w:highlight w:val="none"/>
          <w:lang w:eastAsia="zh-CN"/>
        </w:rPr>
        <w:t xml:space="preserve">投标人</w:t>
      </w:r>
      <w:r>
        <w:rPr>
          <w:rFonts w:ascii="宋体" w:hAnsi="宋体"/>
          <w:b/>
          <w:color w:val="000000"/>
          <w:sz w:val="24"/>
          <w:highlight w:val="none"/>
        </w:rPr>
        <w:t xml:space="preserve">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09"/>
        <w:spacing w:line="360" w:lineRule="auto"/>
        <w:tabs>
          <w:tab w:val="left" w:pos="5580" w:leader="none"/>
        </w:tabs>
        <w:rPr>
          <w:rFonts w:ascii="宋体" w:hAnsi="宋体"/>
          <w:b/>
          <w:color w:val="000000"/>
          <w:sz w:val="24"/>
          <w:highlight w:val="none"/>
        </w:rPr>
        <w:outlineLvl w:val="9"/>
      </w:pPr>
      <w:r>
        <w:rPr>
          <w:rFonts w:hint="eastAsia"/>
          <w:color w:val="000000"/>
          <w:sz w:val="24"/>
          <w:highlight w:val="none"/>
          <w:lang w:val="en-US" w:eastAsia="zh-CN"/>
        </w:rPr>
        <w:t xml:space="preserve">6</w:t>
      </w:r>
      <w:r>
        <w:rPr>
          <w:rFonts w:hint="eastAsia"/>
          <w:color w:val="000000"/>
          <w:sz w:val="24"/>
          <w:highlight w:val="none"/>
        </w:rPr>
        <w:t xml:space="preserve">）</w:t>
      </w:r>
      <w:r>
        <w:rPr>
          <w:rFonts w:hint="eastAsia" w:ascii="宋体" w:hAnsi="宋体"/>
          <w:b/>
          <w:color w:val="000000"/>
          <w:sz w:val="24"/>
          <w:highlight w:val="none"/>
        </w:rPr>
        <w:t xml:space="preserve">小微企业未提供声明函的，价格分评审将不予价格扣除。</w:t>
      </w:r>
      <w:r>
        <w:rPr>
          <w:rFonts w:ascii="宋体" w:hAnsi="宋体"/>
          <w:b/>
          <w:color w:val="000000"/>
          <w:sz w:val="24"/>
          <w:highlight w:val="none"/>
        </w:rPr>
      </w:r>
      <w:r/>
    </w:p>
    <w:p>
      <w:pPr>
        <w:pStyle w:val="909"/>
        <w:jc w:val="left"/>
        <w:widowControl/>
        <w:rPr>
          <w:b/>
          <w:bCs/>
          <w:color w:val="000000"/>
          <w:sz w:val="24"/>
          <w:highlight w:val="none"/>
        </w:rPr>
        <w:outlineLvl w:val="9"/>
      </w:pPr>
      <w:r>
        <w:rPr>
          <w:b/>
          <w:bCs/>
          <w:color w:val="000000"/>
          <w:sz w:val="24"/>
          <w:highlight w:val="none"/>
        </w:rPr>
        <w:br w:type="page" w:clear="all"/>
      </w:r>
      <w:r>
        <w:rPr>
          <w:b/>
          <w:bCs/>
          <w:color w:val="000000"/>
          <w:sz w:val="24"/>
          <w:highlight w:val="none"/>
        </w:rPr>
      </w:r>
      <w:r/>
    </w:p>
    <w:p>
      <w:pPr>
        <w:pStyle w:val="909"/>
        <w:jc w:val="center"/>
        <w:keepLines w:val="0"/>
        <w:keepNext w:val="0"/>
        <w:pageBreakBefore w:val="0"/>
        <w:spacing w:after="233"/>
        <w:widowControl/>
        <w:rPr>
          <w:rFonts w:hint="eastAsia" w:ascii="Times New Roman" w:hAnsi="Times New Roman" w:eastAsia="宋体" w:cs="Times New Roman"/>
          <w:b/>
          <w:bCs/>
          <w:color w:val="000000"/>
          <w:sz w:val="36"/>
          <w:szCs w:val="36"/>
          <w:highlight w:val="none"/>
        </w:rPr>
        <w:outlineLvl w:val="9"/>
      </w:pPr>
      <w:r>
        <w:rPr>
          <w:rFonts w:hint="eastAsia" w:ascii="Times New Roman" w:hAnsi="Times New Roman" w:eastAsia="宋体" w:cs="Times New Roman"/>
          <w:b/>
          <w:bCs/>
          <w:color w:val="000000"/>
          <w:sz w:val="36"/>
          <w:szCs w:val="36"/>
          <w:highlight w:val="none"/>
        </w:rPr>
        <w:t xml:space="preserve">中小企业声明函（货物类）</w:t>
      </w:r>
      <w:r>
        <w:rPr>
          <w:rFonts w:hint="eastAsia" w:ascii="Times New Roman" w:hAnsi="Times New Roman" w:eastAsia="宋体" w:cs="Times New Roman"/>
          <w:b/>
          <w:bCs/>
          <w:color w:val="000000"/>
          <w:sz w:val="36"/>
          <w:szCs w:val="36"/>
          <w:highlight w:val="none"/>
        </w:rPr>
      </w:r>
      <w:r/>
    </w:p>
    <w:p>
      <w:pPr>
        <w:pStyle w:val="909"/>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lang w:val="en-US" w:eastAsia="zh-CN"/>
        </w:rPr>
        <w:t xml:space="preserve">江苏尚阳工程管理有限公司</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909"/>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909"/>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09"/>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09"/>
        <w:ind w:right="72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ind w:right="82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909"/>
        <w:ind w:right="1120"/>
        <w:jc w:val="center"/>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909"/>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2.采购编号为②：填写本项目编号，如JSZC-3204XX-SYZB-</w:t>
      </w:r>
      <w:r>
        <w:rPr>
          <w:rFonts w:hint="eastAsia" w:ascii="宋体" w:hAnsi="宋体" w:eastAsia="宋体" w:cs="宋体"/>
          <w:color w:val="000000"/>
          <w:sz w:val="24"/>
          <w:szCs w:val="24"/>
          <w:highlight w:val="none"/>
        </w:rPr>
        <w:t xml:space="preserve">G</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主动脉内球囊反搏仪</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6.（采购文件中明确的所属行业⑥）：填写本项目采购标的所属行业。如：工业等。</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货物制造商的名称</w:t>
      </w:r>
      <w:r>
        <w:rPr>
          <w:rFonts w:hint="eastAsia" w:ascii="宋体" w:hAnsi="宋体" w:eastAsia="宋体" w:cs="宋体"/>
          <w:color w:val="000000"/>
          <w:sz w:val="24"/>
          <w:szCs w:val="24"/>
          <w:highlight w:val="none"/>
        </w:rPr>
        <w:t xml:space="preserve">，如XXX企业。</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）：须根据</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909"/>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是否属于中小微企业，并认真填写声明函，若有虚假将追究其责任。</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的信息。</w:t>
      </w:r>
      <w:r>
        <w:rPr>
          <w:rFonts w:hint="eastAsia" w:ascii="宋体" w:hAnsi="宋体" w:eastAsia="宋体" w:cs="宋体"/>
          <w:color w:val="000000"/>
          <w:sz w:val="24"/>
          <w:szCs w:val="24"/>
          <w:highlight w:val="none"/>
        </w:rPr>
      </w:r>
      <w:r/>
    </w:p>
    <w:p>
      <w:pPr>
        <w:pStyle w:val="116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164"/>
        <w:ind w:firstLine="480"/>
        <w:spacing w:line="570" w:lineRule="exact"/>
        <w:rPr>
          <w:rFonts w:hint="eastAsia" w:ascii="仿宋_GB2312" w:eastAsia="仿宋_GB2312"/>
          <w:color w:val="000000"/>
          <w:spacing w:val="-4"/>
          <w:sz w:val="32"/>
          <w:szCs w:val="32"/>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仿宋_GB2312" w:eastAsia="仿宋_GB2312"/>
          <w:color w:val="000000"/>
          <w:spacing w:val="-4"/>
          <w:sz w:val="32"/>
          <w:szCs w:val="32"/>
          <w:highlight w:val="none"/>
        </w:rPr>
      </w:r>
      <w:r/>
    </w:p>
    <w:p>
      <w:pPr>
        <w:pStyle w:val="909"/>
        <w:ind w:firstLine="420"/>
        <w:jc w:val="left"/>
        <w:rPr>
          <w:color w:val="000000"/>
          <w:sz w:val="24"/>
          <w:highlight w:val="none"/>
        </w:rPr>
        <w:outlineLvl w:val="9"/>
      </w:pPr>
      <w:r>
        <w:rPr>
          <w:color w:val="000000"/>
          <w:sz w:val="24"/>
          <w:highlight w:val="none"/>
        </w:rPr>
      </w:r>
      <w:r/>
    </w:p>
    <w:p>
      <w:pPr>
        <w:pStyle w:val="909"/>
        <w:spacing w:line="360" w:lineRule="auto"/>
        <w:rPr>
          <w:color w:val="000000"/>
          <w:sz w:val="24"/>
          <w:highlight w:val="none"/>
        </w:rPr>
        <w:outlineLvl w:val="9"/>
      </w:pPr>
      <w:r>
        <w:rPr>
          <w:color w:val="000000"/>
          <w:sz w:val="24"/>
          <w:highlight w:val="none"/>
        </w:rPr>
      </w:r>
      <w:r/>
    </w:p>
    <w:p>
      <w:pPr>
        <w:pStyle w:val="909"/>
        <w:spacing w:line="360" w:lineRule="auto"/>
        <w:rPr>
          <w:color w:val="000000"/>
          <w:sz w:val="24"/>
          <w:szCs w:val="20"/>
          <w:highlight w:val="none"/>
        </w:rPr>
        <w:outlineLvl w:val="9"/>
      </w:pPr>
      <w:r>
        <w:rPr>
          <w:color w:val="000000"/>
          <w:sz w:val="24"/>
          <w:highlight w:val="none"/>
        </w:rPr>
        <w:br w:type="page" w:clear="all"/>
      </w:r>
      <w:r>
        <w:rPr>
          <w:color w:val="000000"/>
          <w:sz w:val="24"/>
          <w:szCs w:val="20"/>
          <w:highlight w:val="none"/>
        </w:rPr>
      </w:r>
      <w:r/>
    </w:p>
    <w:p>
      <w:pPr>
        <w:pStyle w:val="909"/>
        <w:jc w:val="center"/>
        <w:spacing w:before="240" w:after="240" w:line="360" w:lineRule="auto"/>
        <w:rPr>
          <w:color w:val="000000"/>
          <w:sz w:val="36"/>
          <w:szCs w:val="36"/>
          <w:highlight w:val="none"/>
        </w:rPr>
        <w:outlineLvl w:val="9"/>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09"/>
        <w:ind w:firstLine="504"/>
        <w:spacing w:line="588" w:lineRule="exact"/>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09"/>
        <w:ind w:firstLine="482"/>
        <w:spacing w:line="588" w:lineRule="exact"/>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09"/>
        <w:ind w:firstLine="482"/>
        <w:spacing w:line="588" w:lineRule="exact"/>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rPr>
          <w:color w:val="000000"/>
          <w:spacing w:val="6"/>
          <w:sz w:val="24"/>
          <w:highlight w:val="none"/>
        </w:rPr>
      </w:r>
      <w:r/>
    </w:p>
    <w:p>
      <w:pPr>
        <w:pStyle w:val="909"/>
        <w:ind w:firstLine="506"/>
        <w:spacing w:line="588" w:lineRule="exact"/>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09"/>
        <w:ind w:firstLine="504"/>
        <w:spacing w:line="588" w:lineRule="exact"/>
        <w:rPr>
          <w:color w:val="000000"/>
          <w:spacing w:val="6"/>
          <w:sz w:val="24"/>
          <w:highlight w:val="none"/>
        </w:rPr>
        <w:outlineLvl w:val="9"/>
      </w:pPr>
      <w:r>
        <w:rPr>
          <w:color w:val="000000"/>
          <w:spacing w:val="6"/>
          <w:sz w:val="24"/>
          <w:highlight w:val="none"/>
        </w:rPr>
      </w:r>
      <w:r/>
    </w:p>
    <w:p>
      <w:pPr>
        <w:pStyle w:val="909"/>
        <w:ind w:firstLine="504"/>
        <w:spacing w:line="588" w:lineRule="exact"/>
        <w:rPr>
          <w:color w:val="000000"/>
          <w:spacing w:val="6"/>
          <w:sz w:val="24"/>
          <w:highlight w:val="none"/>
        </w:rPr>
        <w:outlineLvl w:val="9"/>
      </w:pPr>
      <w:r>
        <w:rPr>
          <w:color w:val="000000"/>
          <w:spacing w:val="6"/>
          <w:sz w:val="24"/>
          <w:highlight w:val="none"/>
        </w:rPr>
      </w:r>
      <w:r/>
    </w:p>
    <w:p>
      <w:pPr>
        <w:pStyle w:val="909"/>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单位名称（加盖公章）：</w:t>
      </w:r>
      <w:r>
        <w:rPr>
          <w:color w:val="000000"/>
          <w:spacing w:val="6"/>
          <w:sz w:val="24"/>
          <w:highlight w:val="none"/>
        </w:rPr>
      </w:r>
      <w:r/>
    </w:p>
    <w:p>
      <w:pPr>
        <w:pStyle w:val="909"/>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日  期：</w:t>
      </w:r>
      <w:r>
        <w:rPr>
          <w:color w:val="000000"/>
          <w:spacing w:val="6"/>
          <w:sz w:val="24"/>
          <w:highlight w:val="none"/>
        </w:rPr>
      </w:r>
      <w:r/>
    </w:p>
    <w:p>
      <w:pPr>
        <w:pStyle w:val="909"/>
        <w:spacing w:line="360" w:lineRule="auto"/>
        <w:rPr>
          <w:b/>
          <w:color w:val="000000"/>
          <w:sz w:val="24"/>
          <w:highlight w:val="none"/>
        </w:rPr>
        <w:outlineLvl w:val="9"/>
      </w:pPr>
      <w:r>
        <w:rPr>
          <w:b/>
          <w:color w:val="000000"/>
          <w:sz w:val="24"/>
          <w:highlight w:val="none"/>
        </w:rPr>
      </w:r>
      <w:r/>
    </w:p>
    <w:p>
      <w:pPr>
        <w:pStyle w:val="909"/>
        <w:rPr>
          <w:rFonts w:hint="eastAsia"/>
          <w:color w:val="000000"/>
          <w:sz w:val="24"/>
          <w:szCs w:val="20"/>
          <w:highlight w:val="none"/>
          <w:lang w:val="en-US" w:eastAsia="zh-CN"/>
        </w:rPr>
        <w:outlineLvl w:val="9"/>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（1）售后维保方案及售后服务方案；</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（2）执行承诺方案；</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（3）交货保证措施；</w:t>
      </w:r>
      <w:r>
        <w:rPr>
          <w:rFonts w:hint="eastAsia"/>
          <w:color w:val="000000"/>
          <w:sz w:val="24"/>
          <w:szCs w:val="20"/>
          <w:highlight w:val="none"/>
          <w:lang w:val="en-US" w:eastAsia="zh-CN"/>
        </w:rPr>
      </w:r>
      <w:r/>
    </w:p>
    <w:p>
      <w:pPr>
        <w:pStyle w:val="909"/>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（4）培训计划方案；</w:t>
      </w:r>
      <w:r>
        <w:rPr>
          <w:rFonts w:hint="eastAsia"/>
          <w:color w:val="000000"/>
          <w:sz w:val="24"/>
          <w:szCs w:val="20"/>
          <w:highlight w:val="none"/>
          <w:lang w:val="en-US" w:eastAsia="zh-CN"/>
        </w:rPr>
      </w:r>
      <w:r/>
    </w:p>
    <w:p>
      <w:pPr>
        <w:pStyle w:val="909"/>
        <w:jc w:val="left"/>
        <w:spacing w:line="560" w:lineRule="exact"/>
        <w:rPr>
          <w:rFonts w:hint="eastAsia" w:ascii="宋体" w:hAnsi="宋体" w:eastAsia="宋体" w:cs="宋体"/>
          <w:color w:val="000000"/>
          <w:sz w:val="24"/>
          <w:szCs w:val="24"/>
          <w:highlight w:val="none"/>
          <w:lang w:val="en-US" w:eastAsia="zh-CN" w:bidi="ar-SA"/>
        </w:rPr>
        <w:outlineLvl w:val="9"/>
      </w:pPr>
      <w:r>
        <w:rPr>
          <w:rFonts w:hint="eastAsia"/>
          <w:color w:val="000000"/>
          <w:sz w:val="24"/>
          <w:szCs w:val="20"/>
          <w:highlight w:val="none"/>
          <w:lang w:val="en-US" w:eastAsia="zh-CN"/>
        </w:rPr>
        <w:t xml:space="preserve">（5）</w:t>
      </w:r>
      <w:r>
        <w:rPr>
          <w:rFonts w:hint="eastAsia" w:ascii="宋体" w:hAnsi="宋体" w:eastAsia="宋体" w:cs="宋体"/>
          <w:color w:val="000000"/>
          <w:sz w:val="24"/>
          <w:szCs w:val="24"/>
          <w:highlight w:val="none"/>
          <w:lang w:val="en-US" w:eastAsia="zh-CN" w:bidi="ar-SA"/>
        </w:rPr>
        <w:t xml:space="preserve">投标设备整体配置比较；</w:t>
      </w:r>
      <w:r>
        <w:rPr>
          <w:rFonts w:hint="eastAsia" w:ascii="宋体" w:hAnsi="宋体" w:eastAsia="宋体" w:cs="宋体"/>
          <w:color w:val="000000"/>
          <w:sz w:val="24"/>
          <w:szCs w:val="24"/>
          <w:highlight w:val="none"/>
          <w:lang w:val="en-US" w:eastAsia="zh-CN" w:bidi="ar-SA"/>
        </w:rPr>
      </w:r>
      <w:r/>
    </w:p>
    <w:p>
      <w:pPr>
        <w:pStyle w:val="909"/>
        <w:jc w:val="left"/>
        <w:spacing w:line="560" w:lineRule="exact"/>
        <w:rPr>
          <w:rFonts w:hint="eastAsia" w:eastAsia="宋体"/>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6</w:t>
      </w:r>
      <w:r>
        <w:rPr>
          <w:rFonts w:hint="eastAsia"/>
          <w:color w:val="000000"/>
          <w:sz w:val="24"/>
          <w:szCs w:val="20"/>
          <w:highlight w:val="none"/>
          <w:lang w:eastAsia="zh-CN"/>
        </w:rPr>
        <w:t xml:space="preserve">）</w:t>
      </w:r>
      <w:r>
        <w:rPr>
          <w:rFonts w:hint="eastAsia"/>
          <w:color w:val="000000"/>
          <w:sz w:val="24"/>
          <w:szCs w:val="20"/>
          <w:highlight w:val="none"/>
        </w:rPr>
        <w:t xml:space="preserve">其他</w:t>
      </w:r>
      <w:r>
        <w:rPr>
          <w:rFonts w:hint="eastAsia"/>
          <w:color w:val="000000"/>
          <w:sz w:val="24"/>
          <w:szCs w:val="20"/>
          <w:highlight w:val="none"/>
          <w:lang w:eastAsia="zh-CN"/>
        </w:rPr>
        <w:t xml:space="preserve">。</w:t>
      </w:r>
      <w:r>
        <w:rPr>
          <w:rFonts w:hint="eastAsia" w:eastAsia="宋体"/>
          <w:color w:val="000000"/>
          <w:sz w:val="24"/>
          <w:szCs w:val="20"/>
          <w:highlight w:val="none"/>
          <w:lang w:eastAsia="zh-CN"/>
        </w:rPr>
      </w:r>
      <w:r/>
    </w:p>
    <w:p>
      <w:pPr>
        <w:pStyle w:val="909"/>
        <w:rPr>
          <w:color w:val="000000"/>
          <w:sz w:val="24"/>
          <w:szCs w:val="20"/>
          <w:highlight w:val="none"/>
        </w:rPr>
        <w:outlineLvl w:val="9"/>
      </w:pPr>
      <w:r>
        <w:rPr>
          <w:color w:val="000000"/>
          <w:sz w:val="22"/>
          <w:highlight w:val="none"/>
        </w:rPr>
        <w:br w:type="page" w:clear="all"/>
      </w:r>
      <w:r>
        <w:rPr>
          <w:rFonts w:hint="eastAsia"/>
          <w:color w:val="000000"/>
          <w:sz w:val="24"/>
          <w:szCs w:val="20"/>
          <w:highlight w:val="none"/>
          <w:lang w:val="en-US" w:eastAsia="zh-CN"/>
        </w:rPr>
        <w:t xml:space="preserve">10</w:t>
      </w:r>
      <w:r>
        <w:rPr>
          <w:rFonts w:hint="eastAsia"/>
          <w:color w:val="000000"/>
          <w:sz w:val="24"/>
          <w:szCs w:val="20"/>
          <w:highlight w:val="none"/>
        </w:rPr>
        <w:t xml:space="preserve"> 参加本项目人员一览表</w:t>
      </w:r>
      <w:r>
        <w:rPr>
          <w:color w:val="000000"/>
          <w:sz w:val="24"/>
          <w:szCs w:val="20"/>
          <w:highlight w:val="none"/>
        </w:rPr>
      </w:r>
      <w:r/>
    </w:p>
    <w:p>
      <w:pPr>
        <w:pStyle w:val="909"/>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09"/>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09"/>
        <w:spacing w:line="360" w:lineRule="auto"/>
        <w:rPr>
          <w:rFonts w:ascii="宋体" w:hAnsi="宋体"/>
          <w:color w:val="000000"/>
          <w:sz w:val="22"/>
          <w:highlight w:val="none"/>
        </w:rPr>
        <w:outlineLvl w:val="9"/>
      </w:pPr>
      <w:r>
        <w:rPr>
          <w:rFonts w:ascii="宋体" w:hAnsi="宋体"/>
          <w:color w:val="000000"/>
          <w:sz w:val="22"/>
          <w:highlight w:val="none"/>
        </w:rPr>
      </w:r>
      <w:r/>
    </w:p>
    <w:p>
      <w:pPr>
        <w:pStyle w:val="909"/>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09"/>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09"/>
        <w:tabs>
          <w:tab w:val="left" w:pos="9765" w:leader="none"/>
        </w:tabs>
        <w:rPr>
          <w:rFonts w:ascii="宋体" w:hAnsi="宋体" w:cs="宋体"/>
          <w:b/>
          <w:color w:val="000000"/>
          <w:sz w:val="24"/>
          <w:highlight w:val="none"/>
          <w:lang w:val="zh-CN"/>
        </w:rPr>
        <w:outlineLvl w:val="9"/>
      </w:pPr>
      <w:r>
        <w:rPr>
          <w:rFonts w:ascii="宋体" w:hAnsi="宋体" w:cs="宋体"/>
          <w:b/>
          <w:color w:val="000000"/>
          <w:sz w:val="24"/>
          <w:highlight w:val="none"/>
          <w:lang w:val="zh-CN"/>
        </w:rPr>
      </w:r>
      <w:r/>
    </w:p>
    <w:p>
      <w:pPr>
        <w:pStyle w:val="909"/>
        <w:spacing w:line="360" w:lineRule="auto"/>
        <w:tabs>
          <w:tab w:val="left" w:pos="9765" w:leader="none"/>
        </w:tabs>
        <w:rPr>
          <w:rFonts w:ascii="宋体" w:hAnsi="宋体" w:cs="宋体"/>
          <w:b/>
          <w:color w:val="000000"/>
          <w:sz w:val="24"/>
          <w:highlight w:val="none"/>
        </w:rPr>
        <w:outlineLvl w:val="9"/>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09"/>
        <w:spacing w:line="360" w:lineRule="auto"/>
        <w:rPr>
          <w:rFonts w:ascii="宋体" w:hAnsi="宋体"/>
          <w:color w:val="000000"/>
          <w:sz w:val="24"/>
          <w:highlight w:val="none"/>
        </w:rPr>
        <w:outlineLvl w:val="9"/>
      </w:pPr>
      <w:r>
        <w:rPr>
          <w:rFonts w:ascii="宋体" w:hAnsi="宋体"/>
          <w:color w:val="000000"/>
          <w:sz w:val="24"/>
          <w:highlight w:val="none"/>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rPr>
          <w:color w:val="000000"/>
          <w:sz w:val="24"/>
          <w:szCs w:val="20"/>
          <w:highlight w:val="none"/>
        </w:rPr>
        <w:outlineLvl w:val="9"/>
      </w:pPr>
      <w:r>
        <w:rPr>
          <w:color w:val="000000"/>
          <w:sz w:val="22"/>
          <w:highlight w:val="none"/>
        </w:rPr>
        <w:br w:type="page" w:clear="all"/>
      </w:r>
      <w:bookmarkStart w:id="870" w:name="_Toc288738839"/>
      <w:r/>
      <w:bookmarkStart w:id="871" w:name="_Toc288738397"/>
      <w:r>
        <w:rPr>
          <w:rFonts w:hint="eastAsia"/>
          <w:color w:val="000000"/>
          <w:sz w:val="24"/>
          <w:szCs w:val="20"/>
          <w:highlight w:val="none"/>
          <w:lang w:val="en-US" w:eastAsia="zh-CN"/>
        </w:rPr>
        <w:t xml:space="preserve">11</w:t>
      </w:r>
      <w:r>
        <w:rPr>
          <w:rFonts w:hint="eastAsia"/>
          <w:color w:val="000000"/>
          <w:sz w:val="24"/>
          <w:szCs w:val="20"/>
          <w:highlight w:val="none"/>
        </w:rPr>
        <w:t xml:space="preserve">  相关业绩案例一览表</w:t>
      </w:r>
      <w:r>
        <w:rPr>
          <w:color w:val="000000"/>
          <w:sz w:val="24"/>
          <w:szCs w:val="20"/>
          <w:highlight w:val="none"/>
        </w:rPr>
      </w:r>
      <w:r/>
    </w:p>
    <w:p>
      <w:pPr>
        <w:pStyle w:val="909"/>
        <w:rPr>
          <w:color w:val="000000"/>
          <w:sz w:val="24"/>
          <w:szCs w:val="20"/>
          <w:highlight w:val="none"/>
        </w:rPr>
        <w:outlineLvl w:val="9"/>
      </w:pPr>
      <w:r>
        <w:rPr>
          <w:color w:val="000000"/>
          <w:sz w:val="24"/>
          <w:szCs w:val="20"/>
          <w:highlight w:val="none"/>
        </w:rPr>
      </w:r>
      <w:r/>
    </w:p>
    <w:p>
      <w:pPr>
        <w:pStyle w:val="909"/>
        <w:jc w:val="center"/>
        <w:rPr>
          <w:rFonts w:ascii="宋体" w:hAnsi="宋体"/>
          <w:b/>
          <w:color w:val="000000"/>
          <w:sz w:val="32"/>
          <w:szCs w:val="32"/>
          <w:highlight w:val="none"/>
        </w:rPr>
        <w:outlineLvl w:val="9"/>
      </w:pPr>
      <w:r>
        <w:rPr>
          <w:rFonts w:hint="eastAsia" w:ascii="宋体" w:hAnsi="宋体"/>
          <w:b/>
          <w:color w:val="000000"/>
          <w:sz w:val="32"/>
          <w:szCs w:val="32"/>
          <w:highlight w:val="none"/>
        </w:rPr>
        <w:t xml:space="preserve">相关业绩案例一览表</w:t>
      </w:r>
      <w:bookmarkEnd w:id="870"/>
      <w:r/>
      <w:bookmarkEnd w:id="871"/>
      <w:r>
        <w:rPr>
          <w:rFonts w:ascii="宋体" w:hAnsi="宋体"/>
          <w:b/>
          <w:color w:val="000000"/>
          <w:sz w:val="32"/>
          <w:szCs w:val="32"/>
          <w:highlight w:val="none"/>
        </w:rPr>
      </w:r>
      <w:r/>
    </w:p>
    <w:p>
      <w:pPr>
        <w:pStyle w:val="909"/>
        <w:jc w:val="center"/>
        <w:spacing w:line="360" w:lineRule="auto"/>
        <w:rPr>
          <w:rFonts w:ascii="宋体" w:hAnsi="宋体"/>
          <w:b/>
          <w:color w:val="000000"/>
          <w:sz w:val="28"/>
          <w:szCs w:val="30"/>
          <w:highlight w:val="none"/>
        </w:rPr>
        <w:outlineLvl w:val="9"/>
      </w:pPr>
      <w:r>
        <w:rPr>
          <w:rFonts w:ascii="宋体" w:hAnsi="宋体"/>
          <w:b/>
          <w:color w:val="000000"/>
          <w:sz w:val="28"/>
          <w:szCs w:val="30"/>
          <w:highlight w:val="none"/>
        </w:rPr>
      </w:r>
      <w:r/>
    </w:p>
    <w:p>
      <w:pPr>
        <w:pStyle w:val="909"/>
        <w:ind w:firstLine="48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bl>
    <w:p>
      <w:pPr>
        <w:pStyle w:val="909"/>
        <w:tabs>
          <w:tab w:val="left" w:pos="9765" w:leader="none"/>
        </w:tabs>
        <w:rPr>
          <w:rFonts w:ascii="宋体" w:hAnsi="宋体" w:cs="宋体"/>
          <w:color w:val="000000"/>
          <w:sz w:val="24"/>
          <w:highlight w:val="none"/>
          <w:lang w:val="zh-CN"/>
        </w:rPr>
        <w:outlineLvl w:val="9"/>
      </w:pPr>
      <w:r>
        <w:rPr>
          <w:rFonts w:ascii="宋体" w:hAnsi="宋体" w:cs="宋体"/>
          <w:color w:val="000000"/>
          <w:sz w:val="24"/>
          <w:highlight w:val="none"/>
          <w:lang w:val="zh-CN"/>
        </w:rPr>
      </w:r>
      <w:r/>
    </w:p>
    <w:p>
      <w:pPr>
        <w:pStyle w:val="909"/>
        <w:spacing w:line="360" w:lineRule="auto"/>
        <w:rPr>
          <w:rFonts w:ascii="宋体" w:hAnsi="宋体" w:cs="宋体"/>
          <w:color w:val="000000"/>
          <w:sz w:val="24"/>
          <w:highlight w:val="none"/>
        </w:rPr>
        <w:outlineLvl w:val="9"/>
      </w:pPr>
      <w:r>
        <w:rPr>
          <w:rFonts w:ascii="宋体" w:hAnsi="宋体" w:cs="宋体"/>
          <w:color w:val="000000"/>
          <w:sz w:val="24"/>
          <w:highlight w:val="none"/>
        </w:rPr>
      </w:r>
      <w:r/>
    </w:p>
    <w:p>
      <w:pPr>
        <w:pStyle w:val="909"/>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9"/>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rPr>
          <w:color w:val="000000"/>
          <w:highlight w:val="none"/>
        </w:rPr>
        <w:outlineLvl w:val="9"/>
      </w:pPr>
      <w:r>
        <w:rPr>
          <w:color w:val="00000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rPr>
          <w:rFonts w:hint="eastAsia"/>
          <w:color w:val="000000"/>
          <w:sz w:val="24"/>
          <w:szCs w:val="20"/>
          <w:highlight w:val="none"/>
        </w:rPr>
        <w:outlineLvl w:val="9"/>
      </w:pPr>
      <w:r>
        <w:rPr>
          <w:rFonts w:hint="eastAsia"/>
          <w:color w:val="000000"/>
          <w:sz w:val="24"/>
          <w:szCs w:val="20"/>
          <w:highlight w:val="none"/>
        </w:rPr>
      </w:r>
      <w:r/>
    </w:p>
    <w:p>
      <w:pPr>
        <w:pStyle w:val="909"/>
        <w:spacing w:line="360" w:lineRule="auto"/>
        <w:shd w:val="clear" w:color="auto" w:fill="auto"/>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关于符合本国产品标准的声明函</w:t>
      </w:r>
      <w:r>
        <w:rPr>
          <w:color w:val="000000"/>
          <w:sz w:val="24"/>
          <w:szCs w:val="20"/>
          <w:highlight w:val="none"/>
        </w:rPr>
      </w:r>
      <w:r/>
    </w:p>
    <w:p>
      <w:pPr>
        <w:pStyle w:val="909"/>
        <w:jc w:val="center"/>
        <w:spacing w:line="360" w:lineRule="auto"/>
        <w:shd w:val="clear" w:color="auto" w:fill="auto"/>
        <w:rPr>
          <w:rFonts w:hint="eastAsia" w:ascii="方正魏碑_GBK" w:hAnsi="方正魏碑_GBK" w:eastAsia="方正魏碑_GBK" w:cs="方正魏碑_GBK"/>
          <w:color w:val="000000"/>
          <w:sz w:val="24"/>
          <w:szCs w:val="24"/>
          <w:highlight w:val="none"/>
          <w:lang w:val="en-US" w:eastAsia="zh-CN"/>
        </w:rPr>
      </w:pP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b/>
          <w:color w:val="000000"/>
          <w:sz w:val="24"/>
          <w:szCs w:val="24"/>
          <w:highlight w:val="none"/>
          <w:lang w:val="en-US" w:eastAsia="zh-CN"/>
        </w:rPr>
        <w:t xml:space="preserve"> </w:t>
      </w:r>
      <w:r>
        <w:rPr>
          <w:rFonts w:hint="eastAsia" w:ascii="方正魏碑_GBK" w:hAnsi="方正魏碑_GBK" w:eastAsia="方正魏碑_GBK" w:cs="方正魏碑_GBK"/>
          <w:color w:val="000000"/>
          <w:sz w:val="24"/>
          <w:szCs w:val="24"/>
          <w:highlight w:val="none"/>
          <w:lang w:val="en-US" w:eastAsia="zh-CN"/>
        </w:rPr>
      </w:r>
      <w:r/>
    </w:p>
    <w:p>
      <w:pPr>
        <w:pStyle w:val="1166"/>
        <w:ind w:firstLine="420"/>
        <w:spacing w:before="0" w:beforeAutospacing="0" w:after="0" w:afterAutospacing="0" w:line="360" w:lineRule="auto"/>
        <w:shd w:val="clear" w:color="auto" w:fill="auto"/>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166"/>
        <w:ind w:firstLine="420"/>
        <w:spacing w:before="0" w:beforeAutospacing="0" w:after="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sz w:val="24"/>
          <w:szCs w:val="24"/>
          <w:highlight w:val="none"/>
        </w:rPr>
      </w:r>
      <w:r/>
    </w:p>
    <w:p>
      <w:pPr>
        <w:pStyle w:val="116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1</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2</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u w:val="single"/>
          <w:shd w:val="clear" w:color="auto" w:fill="ffffff"/>
        </w:rPr>
        <w:t xml:space="preserve"> </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 </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167"/>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3</w:t>
      </w:r>
      <w:r>
        <w:rPr>
          <w:rFonts w:hint="eastAsia" w:ascii="方正魏碑_GBK" w:hAnsi="方正魏碑_GBK" w:eastAsia="方正魏碑_GBK" w:cs="方正魏碑_GBK"/>
          <w:color w:val="000000"/>
          <w:sz w:val="24"/>
          <w:szCs w:val="24"/>
          <w:highlight w:val="none"/>
          <w:shd w:val="clear" w:color="auto" w:fill="ffffff"/>
        </w:rPr>
        <w:t xml:space="preserve">。</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167"/>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4</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167"/>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Style w:val="1167"/>
          <w:rFonts w:hint="eastAsia" w:ascii="方正魏碑_GBK" w:hAnsi="方正魏碑_GBK" w:eastAsia="方正魏碑_GBK" w:cs="方正魏碑_GBK"/>
          <w:i w:val="0"/>
          <w:color w:val="000000"/>
          <w:sz w:val="24"/>
          <w:szCs w:val="24"/>
          <w:highlight w:val="none"/>
          <w:shd w:val="clear" w:color="auto" w:fill="ffffff"/>
          <w:vertAlign w:val="superscript"/>
        </w:rPr>
        <w:t xml:space="preserve">5</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16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rPr>
      </w:r>
      <w:r/>
    </w:p>
    <w:p>
      <w:pPr>
        <w:pStyle w:val="1166"/>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4"/>
          <w:szCs w:val="24"/>
          <w:highlight w:val="none"/>
        </w:rPr>
      </w:r>
      <w:r/>
    </w:p>
    <w:p>
      <w:pPr>
        <w:pStyle w:val="1166"/>
        <w:ind w:right="480" w:firstLine="37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公司（单位）名称（盖章）：　        </w:t>
      </w:r>
      <w:r>
        <w:rPr>
          <w:rFonts w:hint="eastAsia" w:ascii="方正魏碑_GBK" w:hAnsi="方正魏碑_GBK" w:eastAsia="方正魏碑_GBK" w:cs="方正魏碑_GBK"/>
          <w:color w:val="000000"/>
          <w:sz w:val="24"/>
          <w:szCs w:val="24"/>
          <w:highlight w:val="none"/>
        </w:rPr>
      </w:r>
      <w:r/>
    </w:p>
    <w:p>
      <w:pPr>
        <w:pStyle w:val="1166"/>
        <w:jc w:val="center"/>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                    </w:t>
      </w:r>
      <w:r>
        <w:rPr>
          <w:rFonts w:ascii="方正魏碑_GBK" w:hAnsi="方正魏碑_GBK" w:eastAsia="方正魏碑_GBK" w:cs="方正魏碑_GBK"/>
          <w:color w:val="000000"/>
          <w:sz w:val="24"/>
          <w:szCs w:val="24"/>
          <w:highlight w:val="none"/>
          <w:shd w:val="clear" w:color="auto" w:fill="ffffff"/>
        </w:rPr>
        <w:t xml:space="preserve">            </w:t>
      </w:r>
      <w:r>
        <w:rPr>
          <w:rFonts w:hint="eastAsia" w:ascii="方正魏碑_GBK" w:hAnsi="方正魏碑_GBK" w:eastAsia="方正魏碑_GBK" w:cs="方正魏碑_GBK"/>
          <w:color w:val="000000"/>
          <w:sz w:val="24"/>
          <w:szCs w:val="24"/>
          <w:highlight w:val="none"/>
          <w:shd w:val="clear" w:color="auto" w:fill="ffffff"/>
        </w:rPr>
        <w:t xml:space="preserve">日期：　   年　  月　  日         </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__________________</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4"/>
          <w:szCs w:val="24"/>
          <w:highlight w:val="none"/>
        </w:rPr>
      </w:r>
      <w:r/>
    </w:p>
    <w:p>
      <w:pPr>
        <w:pStyle w:val="1166"/>
        <w:spacing w:before="30" w:beforeAutospacing="0" w:after="30" w:afterAutospacing="0" w:line="360" w:lineRule="auto"/>
        <w:shd w:val="clear" w:color="auto" w:fill="auto"/>
        <w:rPr>
          <w:rFonts w:ascii="方正魏碑_GBK" w:hAnsi="方正魏碑_GBK" w:eastAsia="方正魏碑_GBK" w:cs="方正魏碑_GBK"/>
          <w:color w:val="000000"/>
          <w:sz w:val="24"/>
          <w:szCs w:val="24"/>
          <w:highlight w:val="none"/>
          <w:shd w:val="clear" w:color="auto" w:fill="ffffff"/>
        </w:rPr>
      </w:pPr>
      <w:r>
        <w:rPr>
          <w:rFonts w:hint="eastAsia" w:ascii="方正魏碑_GBK" w:hAnsi="方正魏碑_GBK" w:eastAsia="方正魏碑_GBK" w:cs="方正魏碑_GBK"/>
          <w:color w:val="000000"/>
          <w:sz w:val="24"/>
          <w:szCs w:val="24"/>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4"/>
          <w:szCs w:val="24"/>
          <w:highlight w:val="none"/>
          <w:shd w:val="clear" w:color="auto" w:fill="ffffff"/>
        </w:rPr>
      </w:r>
      <w:r/>
    </w:p>
    <w:p>
      <w:pPr>
        <w:pStyle w:val="1166"/>
        <w:spacing w:before="30" w:beforeAutospacing="0" w:after="30" w:afterAutospacing="0" w:line="360" w:lineRule="auto"/>
        <w:shd w:val="clear" w:color="auto" w:fill="auto"/>
        <w:rPr>
          <w:rFonts w:hint="eastAsia"/>
          <w:color w:val="000000"/>
          <w:sz w:val="24"/>
          <w:szCs w:val="20"/>
          <w:highlight w:val="none"/>
        </w:rPr>
      </w:pPr>
      <w:r>
        <w:rPr>
          <w:rFonts w:hint="eastAsia" w:ascii="方正魏碑_GBK" w:hAnsi="方正魏碑_GBK" w:eastAsia="方正魏碑_GBK" w:cs="方正魏碑_GBK"/>
          <w:color w:val="000000"/>
          <w:sz w:val="24"/>
          <w:szCs w:val="24"/>
          <w:highlight w:val="none"/>
          <w:shd w:val="clear" w:color="auto" w:fill="ffffff"/>
        </w:rPr>
        <w:t xml:space="preserve">6.用斜线划除的地方无需填写。</w:t>
      </w:r>
      <w:r>
        <w:rPr>
          <w:rFonts w:hint="eastAsia"/>
          <w:color w:val="000000"/>
          <w:sz w:val="24"/>
          <w:szCs w:val="20"/>
          <w:highlight w:val="none"/>
        </w:rPr>
      </w:r>
      <w:r/>
    </w:p>
    <w:p>
      <w:pPr>
        <w:pStyle w:val="909"/>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909"/>
        <w:spacing w:line="360" w:lineRule="auto"/>
        <w:rPr>
          <w:color w:val="000000"/>
          <w:sz w:val="24"/>
          <w:szCs w:val="20"/>
          <w:highlight w:val="none"/>
        </w:rPr>
        <w:outlineLvl w:val="9"/>
      </w:pPr>
      <w:r>
        <w:rPr>
          <w:rFonts w:hint="eastAsia"/>
          <w:color w:val="000000"/>
          <w:sz w:val="24"/>
          <w:szCs w:val="20"/>
          <w:highlight w:val="none"/>
          <w:lang w:val="en-US" w:eastAsia="zh-CN"/>
        </w:rPr>
        <w:t xml:space="preserve">13</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09"/>
        <w:jc w:val="left"/>
        <w:widowControl/>
        <w:rPr>
          <w:b/>
          <w:color w:val="000000"/>
          <w:sz w:val="36"/>
          <w:szCs w:val="36"/>
          <w:highlight w:val="none"/>
        </w:rPr>
        <w:outlineLvl w:val="9"/>
      </w:pPr>
      <w:r>
        <w:rPr>
          <w:b/>
          <w:color w:val="000000"/>
          <w:sz w:val="36"/>
          <w:szCs w:val="36"/>
          <w:highlight w:val="none"/>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v:textbox>
            </v:shape>
          </w:pict>
        </mc:Fallback>
      </mc:AlternateContent>
    </w:r>
    <w:r>
      <w:rPr>
        <w:rStyle w:val="982"/>
      </w:rPr>
    </w:r>
    <w:r/>
  </w:p>
  <w:p>
    <w:pPr>
      <w:pStyle w:val="957"/>
      <w:ind w:right="36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0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0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09"/>
                    </w:pPr>
                    <w:r/>
                    <w:r/>
                  </w:p>
                </w:txbxContent>
              </v:textbox>
            </v:shape>
          </w:pict>
        </mc:Fallback>
      </mc:AlternateContent>
    </w:r>
    <w:r>
      <w:rPr>
        <w:rStyle w:val="982"/>
      </w:rPr>
    </w:r>
    <w:r/>
  </w:p>
  <w:p>
    <w:pPr>
      <w:pStyle w:val="957"/>
      <w:ind w:right="36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framePr w:wrap="around" w:vAnchor="text" w:hAnchor="margin" w:xAlign="right" w:y="1"/>
    </w:pPr>
    <w:r>
      <w:rPr>
        <w:rStyle w:val="982"/>
      </w:rPr>
      <w:fldChar w:fldCharType="begin"/>
    </w:r>
    <w:r>
      <w:rPr>
        <w:rStyle w:val="982"/>
      </w:rPr>
      <w:instrText xml:space="preserve">PAGE  </w:instrText>
    </w:r>
    <w:r>
      <w:rPr>
        <w:rStyle w:val="982"/>
      </w:rPr>
      <w:fldChar w:fldCharType="end"/>
    </w:r>
    <w:r>
      <w:rPr>
        <w:rStyle w:val="982"/>
      </w:rPr>
    </w:r>
    <w:r/>
  </w:p>
  <w:p>
    <w:pPr>
      <w:pStyle w:val="957"/>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2"/>
      </w:rPr>
      <w:framePr w:wrap="around" w:vAnchor="text" w:hAnchor="margin" w:xAlign="right" w:y="1"/>
    </w:pPr>
    <w:r>
      <w:rPr>
        <w:rStyle w:val="982"/>
      </w:rPr>
      <w:fldChar w:fldCharType="begin"/>
    </w:r>
    <w:r>
      <w:rPr>
        <w:rStyle w:val="982"/>
      </w:rPr>
      <w:instrText xml:space="preserve">PAGE  </w:instrText>
    </w:r>
    <w:r>
      <w:rPr>
        <w:rStyle w:val="982"/>
      </w:rPr>
      <w:fldChar w:fldCharType="end"/>
    </w:r>
    <w:r>
      <w:rPr>
        <w:rStyle w:val="982"/>
      </w:rPr>
    </w:r>
    <w:r/>
  </w:p>
  <w:p>
    <w:pPr>
      <w:pStyle w:val="957"/>
      <w:ind w:right="360"/>
      <w:tabs>
        <w:tab w:val="center" w:pos="4153" w:leader="none"/>
        <w:tab w:val="right" w:pos="8306" w:leader="none"/>
      </w:tabs>
    </w:pPr>
    <w:r/>
    <w:r/>
  </w:p>
  <w:p>
    <w:pPr>
      <w:pStyle w:val="90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center" w:pos="4153" w:leader="none"/>
        <w:tab w:val="right" w:pos="8306" w:leader="none"/>
      </w:tabs>
      <w:rPr>
        <w:rFonts w:hint="eastAsia" w:eastAsia="宋体"/>
        <w:lang w:eastAsia="zh-CN"/>
      </w:rPr>
    </w:pPr>
    <w:r>
      <w:rPr>
        <w:rFonts w:hint="eastAsia"/>
        <w:lang w:eastAsia="zh-CN"/>
      </w:rPr>
      <w:t xml:space="preserve">常州市第一人民医院主动脉内球囊反搏仪采购项目</w:t>
    </w:r>
    <w:r>
      <w:rPr>
        <w:rFonts w:hint="eastAsia"/>
      </w:rPr>
      <w:t xml:space="preserve">公开招标文件</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center" w:pos="4153" w:leader="none"/>
        <w:tab w:val="right" w:pos="8306" w:leader="none"/>
      </w:tabs>
      <w:rPr>
        <w:rFonts w:hint="eastAsia" w:eastAsia="宋体"/>
        <w:lang w:eastAsia="zh-CN"/>
      </w:rPr>
    </w:pPr>
    <w:r>
      <w:rPr>
        <w:rFonts w:hint="eastAsia"/>
        <w:lang w:eastAsia="zh-CN"/>
      </w:rPr>
      <w:t xml:space="preserve">常州市第一人民医院主动脉内球囊反搏仪采购项目</w:t>
    </w:r>
    <w:r>
      <w:rPr>
        <w:rFonts w:hint="eastAsia"/>
      </w:rPr>
      <w:t xml:space="preserve">公开招标文件</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p>
    <w:pPr>
      <w:pStyle w:val="90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09"/>
        <w:ind w:left="4941" w:hanging="1140"/>
        <w:tabs>
          <w:tab w:val="num" w:pos="4941" w:leader="none"/>
        </w:tabs>
      </w:pPr>
      <w:rPr>
        <w:rFonts w:hint="eastAsia"/>
      </w:rPr>
    </w:lvl>
    <w:lvl w:ilvl="1">
      <w:start w:val="1"/>
      <w:numFmt w:val="lowerLetter"/>
      <w:isLgl w:val="false"/>
      <w:suff w:val="tab"/>
      <w:lvlText w:val="%2)"/>
      <w:lvlJc w:val="left"/>
      <w:pPr>
        <w:pStyle w:val="909"/>
        <w:ind w:left="4641" w:hanging="420"/>
        <w:tabs>
          <w:tab w:val="num" w:pos="4641" w:leader="none"/>
        </w:tabs>
      </w:pPr>
    </w:lvl>
    <w:lvl w:ilvl="2">
      <w:start w:val="1"/>
      <w:numFmt w:val="lowerRoman"/>
      <w:isLgl w:val="false"/>
      <w:suff w:val="tab"/>
      <w:lvlText w:val="%3."/>
      <w:lvlJc w:val="right"/>
      <w:pPr>
        <w:pStyle w:val="909"/>
        <w:ind w:left="5061" w:hanging="420"/>
        <w:tabs>
          <w:tab w:val="num" w:pos="5061" w:leader="none"/>
        </w:tabs>
      </w:pPr>
    </w:lvl>
    <w:lvl w:ilvl="3">
      <w:start w:val="1"/>
      <w:numFmt w:val="decimal"/>
      <w:isLgl w:val="false"/>
      <w:suff w:val="tab"/>
      <w:lvlText w:val="%4."/>
      <w:lvlJc w:val="left"/>
      <w:pPr>
        <w:pStyle w:val="909"/>
        <w:ind w:left="5481" w:hanging="420"/>
        <w:tabs>
          <w:tab w:val="num" w:pos="5481" w:leader="none"/>
        </w:tabs>
      </w:pPr>
    </w:lvl>
    <w:lvl w:ilvl="4">
      <w:start w:val="1"/>
      <w:numFmt w:val="lowerLetter"/>
      <w:isLgl w:val="false"/>
      <w:suff w:val="tab"/>
      <w:lvlText w:val="%5)"/>
      <w:lvlJc w:val="left"/>
      <w:pPr>
        <w:pStyle w:val="909"/>
        <w:ind w:left="5901" w:hanging="420"/>
        <w:tabs>
          <w:tab w:val="num" w:pos="5901" w:leader="none"/>
        </w:tabs>
      </w:pPr>
    </w:lvl>
    <w:lvl w:ilvl="5">
      <w:start w:val="1"/>
      <w:numFmt w:val="lowerRoman"/>
      <w:isLgl w:val="false"/>
      <w:suff w:val="tab"/>
      <w:lvlText w:val="%6."/>
      <w:lvlJc w:val="right"/>
      <w:pPr>
        <w:pStyle w:val="909"/>
        <w:ind w:left="6321" w:hanging="420"/>
        <w:tabs>
          <w:tab w:val="num" w:pos="6321" w:leader="none"/>
        </w:tabs>
      </w:pPr>
    </w:lvl>
    <w:lvl w:ilvl="6">
      <w:start w:val="1"/>
      <w:numFmt w:val="decimal"/>
      <w:isLgl w:val="false"/>
      <w:suff w:val="tab"/>
      <w:lvlText w:val="%7."/>
      <w:lvlJc w:val="left"/>
      <w:pPr>
        <w:pStyle w:val="909"/>
        <w:ind w:left="6741" w:hanging="420"/>
        <w:tabs>
          <w:tab w:val="num" w:pos="6741" w:leader="none"/>
        </w:tabs>
      </w:pPr>
    </w:lvl>
    <w:lvl w:ilvl="7">
      <w:start w:val="1"/>
      <w:numFmt w:val="lowerLetter"/>
      <w:isLgl w:val="false"/>
      <w:suff w:val="tab"/>
      <w:lvlText w:val="%8)"/>
      <w:lvlJc w:val="left"/>
      <w:pPr>
        <w:pStyle w:val="909"/>
        <w:ind w:left="7161" w:hanging="420"/>
        <w:tabs>
          <w:tab w:val="num" w:pos="7161" w:leader="none"/>
        </w:tabs>
      </w:pPr>
    </w:lvl>
    <w:lvl w:ilvl="8">
      <w:start w:val="1"/>
      <w:numFmt w:val="lowerRoman"/>
      <w:isLgl w:val="false"/>
      <w:suff w:val="tab"/>
      <w:lvlText w:val="%9."/>
      <w:lvlJc w:val="right"/>
      <w:pPr>
        <w:pStyle w:val="909"/>
        <w:ind w:left="7581" w:hanging="420"/>
        <w:tabs>
          <w:tab w:val="num" w:pos="7581" w:leader="none"/>
        </w:tabs>
      </w:pPr>
    </w:lvl>
  </w:abstractNum>
  <w:abstractNum w:abstractNumId="1">
    <w:multiLevelType w:val="hybridMultilevel"/>
    <w:lvl w:ilvl="0">
      <w:start w:val="1"/>
      <w:numFmt w:val="decimal"/>
      <w:pStyle w:val="1106"/>
      <w:isLgl w:val="false"/>
      <w:suff w:val="tab"/>
      <w:lvlText w:val="%1."/>
      <w:lvlJc w:val="left"/>
      <w:pPr>
        <w:pStyle w:val="909"/>
        <w:ind w:left="420" w:hanging="420"/>
      </w:pPr>
    </w:lvl>
    <w:lvl w:ilvl="1">
      <w:start w:val="1"/>
      <w:numFmt w:val="decimal"/>
      <w:isLgl w:val="false"/>
      <w:suff w:val="tab"/>
      <w:lvlText w:val="（%2）"/>
      <w:lvlJc w:val="left"/>
      <w:pPr>
        <w:pStyle w:val="909"/>
        <w:ind w:left="1140" w:hanging="720"/>
        <w:tabs>
          <w:tab w:val="num" w:pos="1140" w:leader="none"/>
        </w:tabs>
      </w:pPr>
      <w:rPr>
        <w:rFonts w:hint="eastAsia"/>
      </w:r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2">
    <w:multiLevelType w:val="hybridMultilevel"/>
    <w:lvl w:ilvl="0">
      <w:start w:val="1"/>
      <w:numFmt w:val="lowerLetter"/>
      <w:pStyle w:val="1090"/>
      <w:isLgl w:val="false"/>
      <w:suff w:val="tab"/>
      <w:lvlText w:val="%1)"/>
      <w:lvlJc w:val="left"/>
      <w:pPr>
        <w:pStyle w:val="909"/>
        <w:ind w:left="902" w:hanging="420"/>
      </w:pPr>
      <w:rPr>
        <w:color w:val="000000"/>
      </w:rPr>
    </w:lvl>
    <w:lvl w:ilvl="1">
      <w:start w:val="1"/>
      <w:numFmt w:val="lowerLetter"/>
      <w:isLgl w:val="false"/>
      <w:suff w:val="tab"/>
      <w:lvlText w:val="%2)"/>
      <w:lvlJc w:val="left"/>
      <w:pPr>
        <w:pStyle w:val="909"/>
        <w:ind w:left="1322" w:hanging="420"/>
      </w:pPr>
    </w:lvl>
    <w:lvl w:ilvl="2">
      <w:start w:val="1"/>
      <w:numFmt w:val="lowerRoman"/>
      <w:isLgl w:val="false"/>
      <w:suff w:val="tab"/>
      <w:lvlText w:val="%3."/>
      <w:lvlJc w:val="right"/>
      <w:pPr>
        <w:pStyle w:val="909"/>
        <w:ind w:left="1742" w:hanging="420"/>
      </w:pPr>
    </w:lvl>
    <w:lvl w:ilvl="3">
      <w:start w:val="1"/>
      <w:numFmt w:val="decimal"/>
      <w:isLgl w:val="false"/>
      <w:suff w:val="tab"/>
      <w:lvlText w:val="%4."/>
      <w:lvlJc w:val="left"/>
      <w:pPr>
        <w:pStyle w:val="909"/>
        <w:ind w:left="2162" w:hanging="420"/>
      </w:pPr>
    </w:lvl>
    <w:lvl w:ilvl="4">
      <w:start w:val="1"/>
      <w:numFmt w:val="lowerLetter"/>
      <w:isLgl w:val="false"/>
      <w:suff w:val="tab"/>
      <w:lvlText w:val="%5)"/>
      <w:lvlJc w:val="left"/>
      <w:pPr>
        <w:pStyle w:val="909"/>
        <w:ind w:left="2582" w:hanging="420"/>
      </w:pPr>
    </w:lvl>
    <w:lvl w:ilvl="5">
      <w:start w:val="1"/>
      <w:numFmt w:val="lowerRoman"/>
      <w:isLgl w:val="false"/>
      <w:suff w:val="tab"/>
      <w:lvlText w:val="%6."/>
      <w:lvlJc w:val="right"/>
      <w:pPr>
        <w:pStyle w:val="909"/>
        <w:ind w:left="3002" w:hanging="420"/>
      </w:pPr>
    </w:lvl>
    <w:lvl w:ilvl="6">
      <w:start w:val="1"/>
      <w:numFmt w:val="decimal"/>
      <w:isLgl w:val="false"/>
      <w:suff w:val="tab"/>
      <w:lvlText w:val="%7."/>
      <w:lvlJc w:val="left"/>
      <w:pPr>
        <w:pStyle w:val="909"/>
        <w:ind w:left="3422" w:hanging="420"/>
      </w:pPr>
    </w:lvl>
    <w:lvl w:ilvl="7">
      <w:start w:val="1"/>
      <w:numFmt w:val="lowerLetter"/>
      <w:isLgl w:val="false"/>
      <w:suff w:val="tab"/>
      <w:lvlText w:val="%8)"/>
      <w:lvlJc w:val="left"/>
      <w:pPr>
        <w:pStyle w:val="909"/>
        <w:ind w:left="3842" w:hanging="420"/>
      </w:pPr>
    </w:lvl>
    <w:lvl w:ilvl="8">
      <w:start w:val="1"/>
      <w:numFmt w:val="lowerRoman"/>
      <w:isLgl w:val="false"/>
      <w:suff w:val="tab"/>
      <w:lvlText w:val="%9."/>
      <w:lvlJc w:val="right"/>
      <w:pPr>
        <w:pStyle w:val="909"/>
        <w:ind w:left="4262" w:hanging="420"/>
      </w:pPr>
    </w:lvl>
  </w:abstractNum>
  <w:abstractNum w:abstractNumId="3">
    <w:multiLevelType w:val="hybridMultilevel"/>
    <w:lvl w:ilvl="0">
      <w:start w:val="1"/>
      <w:numFmt w:val="decimal"/>
      <w:pStyle w:val="1156"/>
      <w:isLgl w:val="false"/>
      <w:suff w:val="tab"/>
      <w:lvlText w:val="%1."/>
      <w:lvlJc w:val="left"/>
      <w:pPr>
        <w:pStyle w:val="9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3"/>
      <w:isLgl w:val="false"/>
      <w:suff w:val="nothing"/>
      <w:lvlText w:val="%1　"/>
      <w:lvlJc w:val="left"/>
      <w:pPr>
        <w:pStyle w:val="9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9"/>
        <w:ind w:left="-25" w:firstLine="0"/>
      </w:pPr>
      <w:rPr>
        <w:rFonts w:ascii="Times New Roman" w:hAnsi="Times New Roman" w:eastAsia="黑体"/>
        <w:b/>
        <w:i w:val="0"/>
        <w:sz w:val="28"/>
      </w:rPr>
    </w:lvl>
    <w:lvl w:ilvl="3">
      <w:start w:val="1"/>
      <w:numFmt w:val="decimal"/>
      <w:pStyle w:val="1058"/>
      <w:isLgl w:val="false"/>
      <w:suff w:val="nothing"/>
      <w:lvlText w:val="%1.%2.%3.%4　"/>
      <w:lvlJc w:val="left"/>
      <w:pPr>
        <w:pStyle w:val="9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9"/>
        <w:ind w:left="-25" w:firstLine="0"/>
      </w:pPr>
      <w:rPr>
        <w:rFonts w:ascii="Times New Roman" w:hAnsi="Times New Roman" w:eastAsia="宋体"/>
        <w:b/>
        <w:i w:val="0"/>
        <w:sz w:val="28"/>
      </w:rPr>
    </w:lvl>
    <w:lvl w:ilvl="6">
      <w:start w:val="1"/>
      <w:numFmt w:val="lowerLetter"/>
      <w:pStyle w:val="1127"/>
      <w:isLgl w:val="false"/>
      <w:suff w:val="tab"/>
      <w:lvlText w:val="%7) "/>
      <w:lvlJc w:val="left"/>
      <w:pPr>
        <w:pStyle w:val="909"/>
        <w:ind w:left="-125" w:firstLine="400"/>
        <w:tabs>
          <w:tab w:val="num" w:pos="635" w:leader="none"/>
        </w:tabs>
      </w:pPr>
      <w:rPr>
        <w:rFonts w:ascii="Times New Roman" w:hAnsi="Times New Roman" w:eastAsia="宋体"/>
        <w:b/>
        <w:i w:val="0"/>
        <w:color w:val="000000"/>
        <w:sz w:val="28"/>
        <w:u w:val="none"/>
      </w:rPr>
    </w:lvl>
    <w:lvl w:ilvl="7">
      <w:start w:val="1"/>
      <w:numFmt w:val="decimal"/>
      <w:pStyle w:val="1047"/>
      <w:isLgl w:val="false"/>
      <w:suff w:val="tab"/>
      <w:lvlText w:val="%8) "/>
      <w:lvlJc w:val="left"/>
      <w:pPr>
        <w:pStyle w:val="9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09"/>
        <w:ind w:left="768" w:hanging="360"/>
        <w:tabs>
          <w:tab w:val="num" w:pos="768" w:leader="none"/>
        </w:tabs>
      </w:pPr>
      <w:rPr>
        <w:rFonts w:hint="eastAsia"/>
      </w:rPr>
    </w:lvl>
    <w:lvl w:ilvl="1">
      <w:start w:val="1"/>
      <w:numFmt w:val="decimal"/>
      <w:pStyle w:val="1133"/>
      <w:isLgl w:val="false"/>
      <w:suff w:val="tab"/>
      <w:lvlText w:val="%2、"/>
      <w:lvlJc w:val="left"/>
      <w:pPr>
        <w:pStyle w:val="909"/>
        <w:ind w:left="1188" w:hanging="360"/>
        <w:tabs>
          <w:tab w:val="num" w:pos="1188" w:leader="none"/>
        </w:tabs>
      </w:pPr>
      <w:rPr>
        <w:rFonts w:hint="eastAsia"/>
      </w:rPr>
    </w:lvl>
    <w:lvl w:ilvl="2">
      <w:start w:val="1"/>
      <w:numFmt w:val="decimal"/>
      <w:isLgl w:val="false"/>
      <w:suff w:val="tab"/>
      <w:lvlText w:val="（%3）"/>
      <w:lvlJc w:val="left"/>
      <w:pPr>
        <w:pStyle w:val="909"/>
        <w:ind w:left="1968" w:hanging="720"/>
        <w:tabs>
          <w:tab w:val="num" w:pos="1968" w:leader="none"/>
        </w:tabs>
      </w:pPr>
      <w:rPr>
        <w:rFonts w:hint="eastAsia"/>
        <w:u w:val="none"/>
      </w:rPr>
    </w:lvl>
    <w:lvl w:ilvl="3">
      <w:start w:val="1"/>
      <w:numFmt w:val="decimal"/>
      <w:isLgl w:val="false"/>
      <w:suff w:val="tab"/>
      <w:lvlText w:val="%4."/>
      <w:lvlJc w:val="left"/>
      <w:pPr>
        <w:pStyle w:val="909"/>
        <w:ind w:left="2088" w:hanging="420"/>
        <w:tabs>
          <w:tab w:val="num" w:pos="2088" w:leader="none"/>
        </w:tabs>
      </w:pPr>
    </w:lvl>
    <w:lvl w:ilvl="4">
      <w:start w:val="1"/>
      <w:numFmt w:val="lowerLetter"/>
      <w:isLgl w:val="false"/>
      <w:suff w:val="tab"/>
      <w:lvlText w:val="%5)"/>
      <w:lvlJc w:val="left"/>
      <w:pPr>
        <w:pStyle w:val="909"/>
        <w:ind w:left="2508" w:hanging="420"/>
        <w:tabs>
          <w:tab w:val="num" w:pos="2508" w:leader="none"/>
        </w:tabs>
      </w:pPr>
    </w:lvl>
    <w:lvl w:ilvl="5">
      <w:start w:val="1"/>
      <w:numFmt w:val="lowerRoman"/>
      <w:isLgl w:val="false"/>
      <w:suff w:val="tab"/>
      <w:lvlText w:val="%6."/>
      <w:lvlJc w:val="right"/>
      <w:pPr>
        <w:pStyle w:val="909"/>
        <w:ind w:left="2928" w:hanging="420"/>
        <w:tabs>
          <w:tab w:val="num" w:pos="2928" w:leader="none"/>
        </w:tabs>
      </w:pPr>
    </w:lvl>
    <w:lvl w:ilvl="6">
      <w:start w:val="1"/>
      <w:numFmt w:val="decimal"/>
      <w:isLgl w:val="false"/>
      <w:suff w:val="tab"/>
      <w:lvlText w:val="%7."/>
      <w:lvlJc w:val="left"/>
      <w:pPr>
        <w:pStyle w:val="909"/>
        <w:ind w:left="3348" w:hanging="420"/>
        <w:tabs>
          <w:tab w:val="num" w:pos="3348" w:leader="none"/>
        </w:tabs>
      </w:pPr>
    </w:lvl>
    <w:lvl w:ilvl="7">
      <w:start w:val="1"/>
      <w:numFmt w:val="lowerLetter"/>
      <w:isLgl w:val="false"/>
      <w:suff w:val="tab"/>
      <w:lvlText w:val="%8)"/>
      <w:lvlJc w:val="left"/>
      <w:pPr>
        <w:pStyle w:val="909"/>
        <w:ind w:left="3768" w:hanging="420"/>
        <w:tabs>
          <w:tab w:val="num" w:pos="3768" w:leader="none"/>
        </w:tabs>
      </w:pPr>
    </w:lvl>
    <w:lvl w:ilvl="8">
      <w:start w:val="1"/>
      <w:numFmt w:val="lowerRoman"/>
      <w:isLgl w:val="false"/>
      <w:suff w:val="tab"/>
      <w:lvlText w:val="%9."/>
      <w:lvlJc w:val="right"/>
      <w:pPr>
        <w:pStyle w:val="90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7">
    <w:multiLevelType w:val="hybridMultilevel"/>
    <w:lvl w:ilvl="0">
      <w:start w:val="1"/>
      <w:numFmt w:val="decimal"/>
      <w:pStyle w:val="1132"/>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8">
    <w:multiLevelType w:val="hybridMultilevel"/>
    <w:lvl w:ilvl="0">
      <w:start w:val="1"/>
      <w:numFmt w:val="decimal"/>
      <w:pStyle w:val="1108"/>
      <w:isLgl w:val="false"/>
      <w:suff w:val="tab"/>
      <w:lvlText w:val="%1"/>
      <w:lvlJc w:val="left"/>
      <w:pPr>
        <w:pStyle w:val="909"/>
        <w:ind w:left="680" w:hanging="680"/>
      </w:pPr>
      <w:rPr>
        <w:rFonts w:hint="eastAsia" w:ascii="宋体" w:hAnsi="宋体" w:eastAsia="宋体"/>
      </w:rPr>
    </w:lvl>
    <w:lvl w:ilvl="1">
      <w:start w:val="1"/>
      <w:numFmt w:val="decimal"/>
      <w:pStyle w:val="1101"/>
      <w:isLgl w:val="false"/>
      <w:suff w:val="tab"/>
      <w:lvlText w:val="%1.%2"/>
      <w:lvlJc w:val="left"/>
      <w:pPr>
        <w:pStyle w:val="909"/>
        <w:ind w:left="851" w:hanging="851"/>
      </w:pPr>
      <w:rPr>
        <w:rFonts w:hint="eastAsia" w:ascii="宋体" w:hAnsi="宋体" w:eastAsia="宋体"/>
        <w:color w:val="000000"/>
      </w:rPr>
    </w:lvl>
    <w:lvl w:ilvl="2">
      <w:start w:val="1"/>
      <w:numFmt w:val="decimal"/>
      <w:pStyle w:val="1119"/>
      <w:isLgl w:val="false"/>
      <w:suff w:val="tab"/>
      <w:lvlText w:val="%1.%2.%3"/>
      <w:lvlJc w:val="left"/>
      <w:pPr>
        <w:pStyle w:val="909"/>
        <w:ind w:left="851" w:hanging="851"/>
      </w:pPr>
      <w:rPr>
        <w:rFonts w:hint="eastAsia"/>
      </w:rPr>
    </w:lvl>
    <w:lvl w:ilvl="3">
      <w:start w:val="1"/>
      <w:numFmt w:val="decimal"/>
      <w:isLgl w:val="false"/>
      <w:suff w:val="tab"/>
      <w:lvlText w:val="%1.%2.%3.%4"/>
      <w:lvlJc w:val="left"/>
      <w:pPr>
        <w:pStyle w:val="909"/>
        <w:ind w:left="680" w:hanging="680"/>
      </w:pPr>
      <w:rPr>
        <w:rFonts w:hint="eastAsia"/>
      </w:rPr>
    </w:lvl>
    <w:lvl w:ilvl="4">
      <w:start w:val="1"/>
      <w:numFmt w:val="decimal"/>
      <w:isLgl w:val="false"/>
      <w:suff w:val="tab"/>
      <w:lvlText w:val="%1.%2.%3.%4.%5"/>
      <w:lvlJc w:val="left"/>
      <w:pPr>
        <w:pStyle w:val="909"/>
        <w:ind w:left="680" w:hanging="680"/>
      </w:pPr>
      <w:rPr>
        <w:rFonts w:hint="eastAsia"/>
      </w:rPr>
    </w:lvl>
    <w:lvl w:ilvl="5">
      <w:start w:val="1"/>
      <w:numFmt w:val="decimal"/>
      <w:isLgl w:val="false"/>
      <w:suff w:val="tab"/>
      <w:lvlText w:val="%1.%2.%3.%4.%5.%6"/>
      <w:lvlJc w:val="left"/>
      <w:pPr>
        <w:pStyle w:val="909"/>
        <w:ind w:left="680" w:hanging="680"/>
      </w:pPr>
      <w:rPr>
        <w:rFonts w:hint="eastAsia"/>
      </w:rPr>
    </w:lvl>
    <w:lvl w:ilvl="6">
      <w:start w:val="1"/>
      <w:numFmt w:val="decimal"/>
      <w:isLgl w:val="false"/>
      <w:suff w:val="tab"/>
      <w:lvlText w:val="%1.%2.%3.%4.%5.%6.%7"/>
      <w:lvlJc w:val="left"/>
      <w:pPr>
        <w:pStyle w:val="909"/>
        <w:ind w:left="680" w:hanging="680"/>
      </w:pPr>
      <w:rPr>
        <w:rFonts w:hint="eastAsia"/>
      </w:rPr>
    </w:lvl>
    <w:lvl w:ilvl="7">
      <w:start w:val="1"/>
      <w:numFmt w:val="decimal"/>
      <w:isLgl w:val="false"/>
      <w:suff w:val="tab"/>
      <w:lvlText w:val="%1.%2.%3.%4.%5.%6.%7.%8"/>
      <w:lvlJc w:val="left"/>
      <w:pPr>
        <w:pStyle w:val="909"/>
        <w:ind w:left="680" w:hanging="680"/>
      </w:pPr>
      <w:rPr>
        <w:rFonts w:hint="eastAsia"/>
      </w:rPr>
    </w:lvl>
    <w:lvl w:ilvl="8">
      <w:start w:val="1"/>
      <w:numFmt w:val="decimal"/>
      <w:isLgl w:val="false"/>
      <w:suff w:val="tab"/>
      <w:lvlText w:val="%1.%2.%3.%4.%5.%6.%7.%8.%9"/>
      <w:lvlJc w:val="left"/>
      <w:pPr>
        <w:pStyle w:val="909"/>
        <w:ind w:left="680" w:hanging="680"/>
      </w:pPr>
      <w:rPr>
        <w:rFonts w:hint="eastAsia"/>
      </w:rPr>
    </w:lvl>
  </w:abstractNum>
  <w:abstractNum w:abstractNumId="9">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num w:numId="1">
    <w:abstractNumId w:val="4"/>
  </w:num>
  <w:num w:numId="2">
    <w:abstractNumId w:val="2"/>
  </w:num>
  <w:num w:numId="3">
    <w:abstractNumId w:val="8"/>
  </w:num>
  <w:num w:numId="4">
    <w:abstractNumId w:val="1"/>
  </w:num>
  <w:num w:numId="5">
    <w:abstractNumId w:val="7"/>
  </w:num>
  <w:num w:numId="6">
    <w:abstractNumId w:val="5"/>
  </w:num>
  <w:num w:numId="7">
    <w:abstractNumId w:val="3"/>
  </w:num>
  <w:num w:numId="8">
    <w:abstractNumId w:val="6"/>
  </w:num>
  <w:num w:numId="9">
    <w:abstractNumId w:val="0"/>
  </w:num>
  <w:num w:numId="10">
    <w:abstractNumId w:val="1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9"/>
    <w:next w:val="9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9"/>
    <w:next w:val="9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9"/>
    <w:next w:val="9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9"/>
    <w:next w:val="9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9"/>
    <w:next w:val="9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9"/>
    <w:next w:val="9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9"/>
    <w:next w:val="9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9"/>
    <w:next w:val="9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9"/>
    <w:next w:val="9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9"/>
    <w:next w:val="9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9"/>
    <w:next w:val="9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9"/>
    <w:next w:val="909"/>
    <w:link w:val="38"/>
    <w:uiPriority w:val="29"/>
    <w:qFormat/>
    <w:pPr>
      <w:ind w:left="720" w:right="720"/>
    </w:pPr>
    <w:rPr>
      <w:i/>
    </w:rPr>
  </w:style>
  <w:style w:type="character" w:styleId="38">
    <w:name w:val="Quote Char"/>
    <w:link w:val="37"/>
    <w:uiPriority w:val="29"/>
    <w:rPr>
      <w:i/>
    </w:rPr>
  </w:style>
  <w:style w:type="paragraph" w:styleId="39">
    <w:name w:val="Intense Quote"/>
    <w:basedOn w:val="909"/>
    <w:next w:val="9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9"/>
    <w:next w:val="9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9"/>
    <w:next w:val="909"/>
    <w:uiPriority w:val="39"/>
    <w:unhideWhenUsed/>
    <w:pPr>
      <w:ind w:left="0" w:right="0" w:firstLine="0"/>
      <w:spacing w:after="57"/>
    </w:pPr>
  </w:style>
  <w:style w:type="paragraph" w:styleId="181">
    <w:name w:val="toc 2"/>
    <w:basedOn w:val="909"/>
    <w:next w:val="909"/>
    <w:uiPriority w:val="39"/>
    <w:unhideWhenUsed/>
    <w:pPr>
      <w:ind w:left="283" w:right="0" w:firstLine="0"/>
      <w:spacing w:after="57"/>
    </w:pPr>
  </w:style>
  <w:style w:type="paragraph" w:styleId="182">
    <w:name w:val="toc 3"/>
    <w:basedOn w:val="909"/>
    <w:next w:val="909"/>
    <w:uiPriority w:val="39"/>
    <w:unhideWhenUsed/>
    <w:pPr>
      <w:ind w:left="567" w:right="0" w:firstLine="0"/>
      <w:spacing w:after="57"/>
    </w:pPr>
  </w:style>
  <w:style w:type="paragraph" w:styleId="183">
    <w:name w:val="toc 4"/>
    <w:basedOn w:val="909"/>
    <w:next w:val="909"/>
    <w:uiPriority w:val="39"/>
    <w:unhideWhenUsed/>
    <w:pPr>
      <w:ind w:left="850" w:right="0" w:firstLine="0"/>
      <w:spacing w:after="57"/>
    </w:pPr>
  </w:style>
  <w:style w:type="paragraph" w:styleId="184">
    <w:name w:val="toc 5"/>
    <w:basedOn w:val="909"/>
    <w:next w:val="909"/>
    <w:uiPriority w:val="39"/>
    <w:unhideWhenUsed/>
    <w:pPr>
      <w:ind w:left="1134" w:right="0" w:firstLine="0"/>
      <w:spacing w:after="57"/>
    </w:pPr>
  </w:style>
  <w:style w:type="paragraph" w:styleId="185">
    <w:name w:val="toc 6"/>
    <w:basedOn w:val="909"/>
    <w:next w:val="909"/>
    <w:uiPriority w:val="39"/>
    <w:unhideWhenUsed/>
    <w:pPr>
      <w:ind w:left="1417" w:right="0" w:firstLine="0"/>
      <w:spacing w:after="57"/>
    </w:pPr>
  </w:style>
  <w:style w:type="paragraph" w:styleId="186">
    <w:name w:val="toc 7"/>
    <w:basedOn w:val="909"/>
    <w:next w:val="909"/>
    <w:uiPriority w:val="39"/>
    <w:unhideWhenUsed/>
    <w:pPr>
      <w:ind w:left="1701" w:right="0" w:firstLine="0"/>
      <w:spacing w:after="57"/>
    </w:pPr>
  </w:style>
  <w:style w:type="paragraph" w:styleId="187">
    <w:name w:val="toc 8"/>
    <w:basedOn w:val="909"/>
    <w:next w:val="909"/>
    <w:uiPriority w:val="39"/>
    <w:unhideWhenUsed/>
    <w:pPr>
      <w:ind w:left="1984" w:right="0" w:firstLine="0"/>
      <w:spacing w:after="57"/>
    </w:pPr>
  </w:style>
  <w:style w:type="paragraph" w:styleId="188">
    <w:name w:val="toc 9"/>
    <w:basedOn w:val="909"/>
    <w:next w:val="9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4"/>
      <w:lang w:val="en-US" w:eastAsia="zh-CN" w:bidi="ar-SA"/>
    </w:rPr>
  </w:style>
  <w:style w:type="paragraph" w:styleId="910">
    <w:name w:val="标题 1"/>
    <w:basedOn w:val="909"/>
    <w:next w:val="909"/>
    <w:link w:val="921"/>
    <w:qFormat/>
    <w:pPr>
      <w:jc w:val="center"/>
      <w:keepLines/>
      <w:keepNext/>
      <w:spacing w:before="240" w:after="120" w:line="300" w:lineRule="auto"/>
      <w:outlineLvl w:val="0"/>
    </w:pPr>
    <w:rPr>
      <w:rFonts w:ascii="宋体"/>
      <w:b/>
      <w:sz w:val="32"/>
      <w:szCs w:val="20"/>
    </w:rPr>
  </w:style>
  <w:style w:type="paragraph" w:styleId="911">
    <w:name w:val="标题 2"/>
    <w:basedOn w:val="909"/>
    <w:next w:val="923"/>
    <w:link w:val="922"/>
    <w:qFormat/>
    <w:pPr>
      <w:jc w:val="center"/>
      <w:keepLines/>
      <w:keepNext/>
      <w:spacing w:before="120" w:line="300" w:lineRule="auto"/>
      <w:outlineLvl w:val="1"/>
    </w:pPr>
    <w:rPr>
      <w:rFonts w:ascii="Arial" w:hAnsi="Arial" w:eastAsia="黑体"/>
      <w:b/>
      <w:sz w:val="30"/>
      <w:szCs w:val="20"/>
    </w:rPr>
  </w:style>
  <w:style w:type="paragraph" w:styleId="912">
    <w:name w:val="标题 3"/>
    <w:basedOn w:val="909"/>
    <w:next w:val="909"/>
    <w:link w:val="925"/>
    <w:qFormat/>
    <w:pPr>
      <w:jc w:val="left"/>
      <w:keepLines/>
      <w:keepNext/>
      <w:spacing w:before="360" w:after="120"/>
      <w:outlineLvl w:val="2"/>
    </w:pPr>
    <w:rPr>
      <w:rFonts w:ascii="宋体"/>
      <w:b/>
      <w:sz w:val="24"/>
      <w:szCs w:val="20"/>
      <w:u w:val="single"/>
    </w:rPr>
  </w:style>
  <w:style w:type="paragraph" w:styleId="913">
    <w:name w:val="标题 4"/>
    <w:basedOn w:val="909"/>
    <w:next w:val="923"/>
    <w:link w:val="926"/>
    <w:qFormat/>
    <w:pPr>
      <w:keepLines/>
      <w:keepNext/>
      <w:spacing w:before="280" w:after="290" w:line="376" w:lineRule="atLeast"/>
      <w:outlineLvl w:val="3"/>
    </w:pPr>
    <w:rPr>
      <w:rFonts w:ascii="Arial" w:hAnsi="Arial" w:eastAsia="黑体"/>
      <w:b/>
      <w:sz w:val="28"/>
      <w:szCs w:val="20"/>
    </w:rPr>
  </w:style>
  <w:style w:type="paragraph" w:styleId="914">
    <w:name w:val="标题 5"/>
    <w:basedOn w:val="909"/>
    <w:next w:val="909"/>
    <w:link w:val="927"/>
    <w:qFormat/>
    <w:pPr>
      <w:keepLines/>
      <w:keepNext/>
      <w:spacing w:before="280" w:after="290" w:line="376" w:lineRule="atLeast"/>
      <w:outlineLvl w:val="4"/>
    </w:pPr>
    <w:rPr>
      <w:b/>
      <w:sz w:val="28"/>
      <w:szCs w:val="20"/>
    </w:rPr>
  </w:style>
  <w:style w:type="paragraph" w:styleId="915">
    <w:name w:val="标题 6"/>
    <w:basedOn w:val="909"/>
    <w:next w:val="909"/>
    <w:link w:val="928"/>
    <w:qFormat/>
    <w:pPr>
      <w:keepLines/>
      <w:keepNext/>
      <w:spacing w:before="240" w:after="64" w:line="320" w:lineRule="atLeast"/>
      <w:outlineLvl w:val="5"/>
    </w:pPr>
    <w:rPr>
      <w:rFonts w:ascii="Arial" w:hAnsi="Arial" w:eastAsia="黑体"/>
      <w:b/>
      <w:sz w:val="24"/>
      <w:szCs w:val="20"/>
    </w:rPr>
  </w:style>
  <w:style w:type="paragraph" w:styleId="916">
    <w:name w:val="标题 7"/>
    <w:basedOn w:val="909"/>
    <w:next w:val="909"/>
    <w:link w:val="929"/>
    <w:qFormat/>
    <w:pPr>
      <w:keepLines/>
      <w:keepNext/>
      <w:spacing w:before="240" w:after="64" w:line="320" w:lineRule="atLeast"/>
      <w:outlineLvl w:val="6"/>
    </w:pPr>
    <w:rPr>
      <w:b/>
      <w:sz w:val="24"/>
      <w:szCs w:val="20"/>
    </w:rPr>
  </w:style>
  <w:style w:type="paragraph" w:styleId="917">
    <w:name w:val="标题 8"/>
    <w:basedOn w:val="909"/>
    <w:next w:val="909"/>
    <w:link w:val="930"/>
    <w:qFormat/>
    <w:pPr>
      <w:keepLines/>
      <w:keepNext/>
      <w:spacing w:before="240" w:after="64" w:line="320" w:lineRule="atLeast"/>
      <w:outlineLvl w:val="7"/>
    </w:pPr>
    <w:rPr>
      <w:rFonts w:ascii="Arial" w:hAnsi="Arial" w:eastAsia="黑体"/>
      <w:sz w:val="24"/>
      <w:szCs w:val="20"/>
    </w:rPr>
  </w:style>
  <w:style w:type="paragraph" w:styleId="918">
    <w:name w:val="标题 9"/>
    <w:basedOn w:val="909"/>
    <w:next w:val="909"/>
    <w:link w:val="931"/>
    <w:qFormat/>
    <w:pPr>
      <w:keepLines/>
      <w:keepNext/>
      <w:spacing w:before="240" w:after="64" w:line="320" w:lineRule="atLeast"/>
      <w:outlineLvl w:val="8"/>
    </w:pPr>
    <w:rPr>
      <w:rFonts w:ascii="Arial" w:hAnsi="Arial" w:eastAsia="黑体"/>
      <w:szCs w:val="20"/>
    </w:rPr>
  </w:style>
  <w:style w:type="character" w:styleId="919">
    <w:name w:val="默认段落字体"/>
    <w:next w:val="919"/>
    <w:link w:val="909"/>
    <w:uiPriority w:val="1"/>
    <w:unhideWhenUsed/>
    <w:qFormat/>
  </w:style>
  <w:style w:type="table" w:styleId="920">
    <w:name w:val="普通表格"/>
    <w:next w:val="920"/>
    <w:link w:val="909"/>
    <w:uiPriority w:val="99"/>
    <w:unhideWhenUsed/>
    <w:qFormat/>
    <w:tblPr/>
  </w:style>
  <w:style w:type="character" w:styleId="921">
    <w:name w:val="标题 1 Char"/>
    <w:basedOn w:val="919"/>
    <w:next w:val="921"/>
    <w:link w:val="910"/>
    <w:qFormat/>
    <w:rPr>
      <w:rFonts w:ascii="宋体"/>
      <w:b/>
      <w:sz w:val="32"/>
    </w:rPr>
  </w:style>
  <w:style w:type="character" w:styleId="922">
    <w:name w:val="标题 2 Char1"/>
    <w:next w:val="922"/>
    <w:link w:val="911"/>
    <w:qFormat/>
    <w:rPr>
      <w:rFonts w:ascii="Arial" w:hAnsi="Arial" w:eastAsia="黑体"/>
      <w:b/>
      <w:sz w:val="30"/>
      <w:lang w:val="en-US" w:eastAsia="zh-CN" w:bidi="ar-SA"/>
    </w:rPr>
  </w:style>
  <w:style w:type="paragraph" w:styleId="923">
    <w:name w:val="正文缩进"/>
    <w:basedOn w:val="909"/>
    <w:next w:val="909"/>
    <w:link w:val="924"/>
    <w:qFormat/>
    <w:pPr>
      <w:ind w:firstLine="420"/>
      <w:jc w:val="left"/>
    </w:pPr>
    <w:rPr>
      <w:rFonts w:ascii="宋体"/>
      <w:sz w:val="24"/>
    </w:rPr>
  </w:style>
  <w:style w:type="character" w:styleId="924">
    <w:name w:val="正文缩进 Char1"/>
    <w:next w:val="924"/>
    <w:link w:val="923"/>
    <w:qFormat/>
    <w:rPr>
      <w:rFonts w:ascii="宋体" w:eastAsia="宋体"/>
      <w:sz w:val="24"/>
      <w:szCs w:val="24"/>
      <w:lang w:val="en-US" w:eastAsia="zh-CN" w:bidi="ar-SA"/>
    </w:rPr>
  </w:style>
  <w:style w:type="character" w:styleId="925">
    <w:name w:val="标题 3 Char1"/>
    <w:next w:val="925"/>
    <w:link w:val="912"/>
    <w:qFormat/>
    <w:rPr>
      <w:rFonts w:ascii="宋体" w:eastAsia="宋体"/>
      <w:b/>
      <w:sz w:val="24"/>
      <w:u w:val="single"/>
      <w:lang w:val="en-US" w:eastAsia="zh-CN" w:bidi="ar-SA"/>
    </w:rPr>
  </w:style>
  <w:style w:type="character" w:styleId="926">
    <w:name w:val="标题 4 Char"/>
    <w:basedOn w:val="919"/>
    <w:next w:val="926"/>
    <w:link w:val="913"/>
    <w:qFormat/>
    <w:rPr>
      <w:rFonts w:ascii="Arial" w:hAnsi="Arial" w:eastAsia="黑体"/>
      <w:b/>
      <w:sz w:val="28"/>
    </w:rPr>
  </w:style>
  <w:style w:type="character" w:styleId="927">
    <w:name w:val="标题 5 Char"/>
    <w:basedOn w:val="919"/>
    <w:next w:val="927"/>
    <w:link w:val="914"/>
    <w:qFormat/>
    <w:rPr>
      <w:b/>
      <w:sz w:val="28"/>
    </w:rPr>
  </w:style>
  <w:style w:type="character" w:styleId="928">
    <w:name w:val="标题 6 Char"/>
    <w:basedOn w:val="919"/>
    <w:next w:val="928"/>
    <w:link w:val="915"/>
    <w:qFormat/>
    <w:rPr>
      <w:rFonts w:ascii="Arial" w:hAnsi="Arial" w:eastAsia="黑体"/>
      <w:b/>
      <w:sz w:val="24"/>
    </w:rPr>
  </w:style>
  <w:style w:type="character" w:styleId="929">
    <w:name w:val="标题 7 Char"/>
    <w:basedOn w:val="919"/>
    <w:next w:val="929"/>
    <w:link w:val="916"/>
    <w:qFormat/>
    <w:rPr>
      <w:b/>
      <w:sz w:val="24"/>
    </w:rPr>
  </w:style>
  <w:style w:type="character" w:styleId="930">
    <w:name w:val="标题 8 Char"/>
    <w:basedOn w:val="919"/>
    <w:next w:val="930"/>
    <w:link w:val="917"/>
    <w:qFormat/>
    <w:rPr>
      <w:rFonts w:ascii="Arial" w:hAnsi="Arial" w:eastAsia="黑体"/>
      <w:sz w:val="24"/>
    </w:rPr>
  </w:style>
  <w:style w:type="character" w:styleId="931">
    <w:name w:val="标题 9 Char"/>
    <w:basedOn w:val="919"/>
    <w:next w:val="931"/>
    <w:link w:val="918"/>
    <w:qFormat/>
    <w:rPr>
      <w:rFonts w:ascii="Arial" w:hAnsi="Arial" w:eastAsia="黑体"/>
      <w:sz w:val="21"/>
    </w:rPr>
  </w:style>
  <w:style w:type="paragraph" w:styleId="932">
    <w:name w:val="目录 7"/>
    <w:basedOn w:val="909"/>
    <w:next w:val="909"/>
    <w:link w:val="909"/>
    <w:qFormat/>
    <w:pPr>
      <w:ind w:left="2520"/>
    </w:pPr>
  </w:style>
  <w:style w:type="paragraph" w:styleId="933">
    <w:name w:val="题注"/>
    <w:basedOn w:val="909"/>
    <w:next w:val="909"/>
    <w:link w:val="909"/>
    <w:qFormat/>
    <w:pPr>
      <w:spacing w:line="480" w:lineRule="auto"/>
    </w:pPr>
    <w:rPr>
      <w:rFonts w:ascii="华文中宋" w:hAnsi="华文中宋" w:eastAsia="华文中宋"/>
      <w:sz w:val="36"/>
      <w:szCs w:val="20"/>
    </w:rPr>
  </w:style>
  <w:style w:type="paragraph" w:styleId="934">
    <w:name w:val="文档结构图"/>
    <w:basedOn w:val="909"/>
    <w:next w:val="934"/>
    <w:link w:val="935"/>
    <w:qFormat/>
    <w:pPr>
      <w:shd w:val="clear" w:color="auto" w:fill="000080"/>
    </w:pPr>
  </w:style>
  <w:style w:type="character" w:styleId="935">
    <w:name w:val="文档结构图 Char"/>
    <w:basedOn w:val="919"/>
    <w:next w:val="935"/>
    <w:link w:val="934"/>
    <w:qFormat/>
    <w:rPr>
      <w:sz w:val="21"/>
      <w:szCs w:val="24"/>
      <w:shd w:val="clear" w:color="auto" w:fill="000080"/>
    </w:rPr>
  </w:style>
  <w:style w:type="paragraph" w:styleId="936">
    <w:name w:val="批注文字"/>
    <w:basedOn w:val="909"/>
    <w:next w:val="936"/>
    <w:link w:val="937"/>
    <w:uiPriority w:val="99"/>
    <w:qFormat/>
    <w:pPr>
      <w:jc w:val="left"/>
    </w:pPr>
  </w:style>
  <w:style w:type="character" w:styleId="937">
    <w:name w:val="批注文字 Char1"/>
    <w:next w:val="937"/>
    <w:link w:val="936"/>
    <w:uiPriority w:val="99"/>
    <w:qFormat/>
    <w:rPr>
      <w:sz w:val="21"/>
      <w:szCs w:val="24"/>
    </w:rPr>
  </w:style>
  <w:style w:type="paragraph" w:styleId="938">
    <w:name w:val="正文文本 3"/>
    <w:basedOn w:val="909"/>
    <w:next w:val="938"/>
    <w:link w:val="939"/>
    <w:qFormat/>
    <w:pPr>
      <w:spacing w:after="120"/>
    </w:pPr>
    <w:rPr>
      <w:sz w:val="16"/>
      <w:szCs w:val="16"/>
    </w:rPr>
  </w:style>
  <w:style w:type="character" w:styleId="939">
    <w:name w:val="正文文本 3 Char"/>
    <w:basedOn w:val="919"/>
    <w:next w:val="939"/>
    <w:link w:val="938"/>
    <w:qFormat/>
    <w:rPr>
      <w:sz w:val="16"/>
      <w:szCs w:val="16"/>
    </w:rPr>
  </w:style>
  <w:style w:type="paragraph" w:styleId="940">
    <w:name w:val="正文文本"/>
    <w:basedOn w:val="909"/>
    <w:next w:val="909"/>
    <w:link w:val="941"/>
    <w:qFormat/>
    <w:pPr>
      <w:spacing w:before="120" w:line="22" w:lineRule="atLeast"/>
      <w:tabs>
        <w:tab w:val="left" w:pos="567" w:leader="none"/>
      </w:tabs>
    </w:pPr>
    <w:rPr>
      <w:rFonts w:ascii="宋体" w:hAnsi="宋体"/>
      <w:sz w:val="24"/>
    </w:rPr>
  </w:style>
  <w:style w:type="character" w:styleId="941">
    <w:name w:val="正文文本 Char"/>
    <w:basedOn w:val="919"/>
    <w:next w:val="941"/>
    <w:link w:val="940"/>
    <w:qFormat/>
    <w:rPr>
      <w:rFonts w:ascii="宋体" w:hAnsi="宋体"/>
      <w:sz w:val="24"/>
      <w:szCs w:val="24"/>
    </w:rPr>
  </w:style>
  <w:style w:type="paragraph" w:styleId="942">
    <w:name w:val="正文文本缩进"/>
    <w:basedOn w:val="909"/>
    <w:next w:val="942"/>
    <w:link w:val="943"/>
    <w:qFormat/>
    <w:pPr>
      <w:ind w:firstLine="570"/>
      <w:spacing w:line="360" w:lineRule="auto"/>
    </w:pPr>
    <w:rPr>
      <w:sz w:val="24"/>
    </w:rPr>
  </w:style>
  <w:style w:type="character" w:styleId="943">
    <w:name w:val="正文文本缩进 Char2"/>
    <w:next w:val="943"/>
    <w:link w:val="942"/>
    <w:qFormat/>
    <w:rPr>
      <w:rFonts w:eastAsia="宋体"/>
      <w:sz w:val="24"/>
      <w:szCs w:val="24"/>
      <w:lang w:val="en-US" w:eastAsia="zh-CN" w:bidi="ar-SA"/>
    </w:rPr>
  </w:style>
  <w:style w:type="paragraph" w:styleId="944">
    <w:name w:val="列表 2"/>
    <w:basedOn w:val="909"/>
    <w:next w:val="944"/>
    <w:link w:val="909"/>
    <w:qFormat/>
    <w:pPr>
      <w:ind w:left="100" w:hanging="200"/>
    </w:pPr>
  </w:style>
  <w:style w:type="paragraph" w:styleId="945">
    <w:name w:val="文本块"/>
    <w:basedOn w:val="909"/>
    <w:next w:val="945"/>
    <w:link w:val="909"/>
    <w:qFormat/>
    <w:pPr>
      <w:ind w:left="480" w:right="-341" w:firstLine="513"/>
      <w:widowControl/>
    </w:pPr>
    <w:rPr>
      <w:sz w:val="24"/>
      <w:szCs w:val="20"/>
    </w:rPr>
  </w:style>
  <w:style w:type="paragraph" w:styleId="946">
    <w:name w:val="目录 5"/>
    <w:basedOn w:val="909"/>
    <w:next w:val="909"/>
    <w:link w:val="909"/>
    <w:qFormat/>
    <w:pPr>
      <w:ind w:left="1680"/>
    </w:pPr>
  </w:style>
  <w:style w:type="paragraph" w:styleId="947">
    <w:name w:val="目录 3"/>
    <w:basedOn w:val="909"/>
    <w:next w:val="909"/>
    <w:link w:val="909"/>
    <w:uiPriority w:val="39"/>
    <w:qFormat/>
    <w:pPr>
      <w:ind w:left="840"/>
    </w:pPr>
  </w:style>
  <w:style w:type="paragraph" w:styleId="948">
    <w:name w:val="纯文本"/>
    <w:basedOn w:val="909"/>
    <w:next w:val="923"/>
    <w:link w:val="949"/>
    <w:qFormat/>
    <w:rPr>
      <w:rFonts w:hint="eastAsia" w:ascii="宋体" w:hAnsi="Courier New"/>
      <w:szCs w:val="20"/>
    </w:rPr>
  </w:style>
  <w:style w:type="character" w:styleId="949">
    <w:name w:val="纯文本 Char"/>
    <w:basedOn w:val="919"/>
    <w:next w:val="949"/>
    <w:link w:val="948"/>
    <w:qFormat/>
    <w:rPr>
      <w:rFonts w:hint="eastAsia" w:ascii="宋体" w:hAnsi="Courier New" w:eastAsia="宋体" w:cs="宋体"/>
      <w:sz w:val="21"/>
    </w:rPr>
  </w:style>
  <w:style w:type="paragraph" w:styleId="950">
    <w:name w:val="目录 8"/>
    <w:basedOn w:val="909"/>
    <w:next w:val="909"/>
    <w:link w:val="909"/>
    <w:qFormat/>
    <w:pPr>
      <w:ind w:left="2940"/>
    </w:pPr>
  </w:style>
  <w:style w:type="paragraph" w:styleId="951">
    <w:name w:val="日期"/>
    <w:basedOn w:val="909"/>
    <w:next w:val="909"/>
    <w:link w:val="952"/>
    <w:qFormat/>
    <w:pPr>
      <w:ind w:left="100"/>
    </w:pPr>
    <w:rPr>
      <w:rFonts w:ascii="仿宋_GB2312" w:hAnsi="宋体" w:eastAsia="仿宋_GB2312"/>
      <w:color w:val="000000"/>
      <w:sz w:val="24"/>
    </w:rPr>
  </w:style>
  <w:style w:type="character" w:styleId="952">
    <w:name w:val="日期 Char"/>
    <w:basedOn w:val="919"/>
    <w:next w:val="952"/>
    <w:link w:val="951"/>
    <w:qFormat/>
    <w:rPr>
      <w:rFonts w:ascii="仿宋_GB2312" w:hAnsi="宋体" w:eastAsia="仿宋_GB2312"/>
      <w:color w:val="000000"/>
      <w:sz w:val="24"/>
      <w:szCs w:val="24"/>
    </w:rPr>
  </w:style>
  <w:style w:type="paragraph" w:styleId="953">
    <w:name w:val="正文文本缩进 2"/>
    <w:basedOn w:val="909"/>
    <w:next w:val="953"/>
    <w:link w:val="954"/>
    <w:qFormat/>
    <w:pPr>
      <w:ind w:firstLine="480"/>
    </w:pPr>
    <w:rPr>
      <w:rFonts w:ascii="仿宋_GB2312" w:eastAsia="仿宋_GB2312"/>
      <w:sz w:val="24"/>
    </w:rPr>
  </w:style>
  <w:style w:type="character" w:styleId="954">
    <w:name w:val="正文文本缩进 2 Char"/>
    <w:basedOn w:val="919"/>
    <w:next w:val="954"/>
    <w:link w:val="953"/>
    <w:qFormat/>
    <w:rPr>
      <w:rFonts w:ascii="仿宋_GB2312" w:eastAsia="仿宋_GB2312"/>
      <w:sz w:val="24"/>
      <w:szCs w:val="24"/>
    </w:rPr>
  </w:style>
  <w:style w:type="paragraph" w:styleId="955">
    <w:name w:val="批注框文本"/>
    <w:basedOn w:val="909"/>
    <w:next w:val="955"/>
    <w:link w:val="956"/>
    <w:qFormat/>
    <w:rPr>
      <w:sz w:val="18"/>
      <w:szCs w:val="18"/>
    </w:rPr>
  </w:style>
  <w:style w:type="character" w:styleId="956">
    <w:name w:val="批注框文本 Char"/>
    <w:basedOn w:val="919"/>
    <w:next w:val="956"/>
    <w:link w:val="955"/>
    <w:qFormat/>
    <w:rPr>
      <w:sz w:val="18"/>
      <w:szCs w:val="18"/>
    </w:rPr>
  </w:style>
  <w:style w:type="paragraph" w:styleId="957">
    <w:name w:val="页脚"/>
    <w:basedOn w:val="909"/>
    <w:next w:val="957"/>
    <w:link w:val="958"/>
    <w:uiPriority w:val="99"/>
    <w:qFormat/>
    <w:pPr>
      <w:jc w:val="left"/>
      <w:tabs>
        <w:tab w:val="center" w:pos="4153" w:leader="none"/>
        <w:tab w:val="right" w:pos="8306" w:leader="none"/>
      </w:tabs>
    </w:pPr>
    <w:rPr>
      <w:rFonts w:ascii="宋体"/>
      <w:sz w:val="18"/>
      <w:szCs w:val="20"/>
    </w:rPr>
  </w:style>
  <w:style w:type="character" w:styleId="958">
    <w:name w:val="页脚 Char1"/>
    <w:next w:val="958"/>
    <w:link w:val="957"/>
    <w:uiPriority w:val="99"/>
    <w:qFormat/>
    <w:rPr>
      <w:rFonts w:ascii="宋体" w:eastAsia="宋体"/>
      <w:sz w:val="18"/>
      <w:lang w:val="en-US" w:eastAsia="zh-CN" w:bidi="ar-SA"/>
    </w:rPr>
  </w:style>
  <w:style w:type="paragraph" w:styleId="959">
    <w:name w:val="页眉"/>
    <w:basedOn w:val="909"/>
    <w:next w:val="959"/>
    <w:link w:val="960"/>
    <w:qFormat/>
    <w:pPr>
      <w:jc w:val="center"/>
      <w:tabs>
        <w:tab w:val="center" w:pos="4153" w:leader="none"/>
        <w:tab w:val="right" w:pos="8306" w:leader="none"/>
      </w:tabs>
      <w:pBdr>
        <w:bottom w:val="single" w:color="000000" w:sz="6" w:space="1"/>
      </w:pBdr>
    </w:pPr>
    <w:rPr>
      <w:sz w:val="18"/>
      <w:szCs w:val="18"/>
    </w:rPr>
  </w:style>
  <w:style w:type="character" w:styleId="960">
    <w:name w:val="页眉 Char1"/>
    <w:next w:val="960"/>
    <w:link w:val="959"/>
    <w:qFormat/>
    <w:rPr>
      <w:rFonts w:eastAsia="宋体"/>
      <w:sz w:val="18"/>
      <w:szCs w:val="18"/>
      <w:lang w:val="en-US" w:eastAsia="zh-CN" w:bidi="ar-SA"/>
    </w:rPr>
  </w:style>
  <w:style w:type="paragraph" w:styleId="961">
    <w:name w:val="目录 1"/>
    <w:basedOn w:val="909"/>
    <w:next w:val="909"/>
    <w:link w:val="909"/>
    <w:uiPriority w:val="39"/>
    <w:qFormat/>
    <w:pPr>
      <w:spacing w:line="300" w:lineRule="auto"/>
      <w:tabs>
        <w:tab w:val="left" w:pos="1050" w:leader="none"/>
        <w:tab w:val="right" w:pos="8937" w:leader="dot"/>
      </w:tabs>
    </w:pPr>
    <w:rPr>
      <w:rFonts w:ascii="宋体" w:hAnsi="宋体"/>
      <w:b/>
      <w:sz w:val="24"/>
    </w:rPr>
  </w:style>
  <w:style w:type="paragraph" w:styleId="962">
    <w:name w:val="目录 4"/>
    <w:basedOn w:val="909"/>
    <w:next w:val="909"/>
    <w:link w:val="909"/>
    <w:qFormat/>
    <w:pPr>
      <w:ind w:left="1260"/>
    </w:pPr>
  </w:style>
  <w:style w:type="paragraph" w:styleId="963">
    <w:name w:val="目录 6"/>
    <w:basedOn w:val="909"/>
    <w:next w:val="909"/>
    <w:link w:val="909"/>
    <w:qFormat/>
    <w:pPr>
      <w:ind w:left="2100"/>
    </w:pPr>
  </w:style>
  <w:style w:type="paragraph" w:styleId="964">
    <w:name w:val="正文文本缩进 3"/>
    <w:basedOn w:val="909"/>
    <w:next w:val="964"/>
    <w:link w:val="965"/>
    <w:qFormat/>
    <w:pPr>
      <w:ind w:left="720" w:firstLine="480"/>
      <w:jc w:val="left"/>
      <w:spacing w:before="120" w:line="22" w:lineRule="atLeast"/>
    </w:pPr>
    <w:rPr>
      <w:rFonts w:ascii="宋体"/>
      <w:sz w:val="24"/>
      <w:szCs w:val="20"/>
    </w:rPr>
  </w:style>
  <w:style w:type="character" w:styleId="965">
    <w:name w:val="正文文本缩进 3 Char"/>
    <w:basedOn w:val="919"/>
    <w:next w:val="965"/>
    <w:link w:val="964"/>
    <w:qFormat/>
    <w:rPr>
      <w:rFonts w:ascii="宋体"/>
      <w:sz w:val="24"/>
    </w:rPr>
  </w:style>
  <w:style w:type="paragraph" w:styleId="966">
    <w:name w:val="目录 2"/>
    <w:basedOn w:val="909"/>
    <w:next w:val="909"/>
    <w:link w:val="909"/>
    <w:uiPriority w:val="39"/>
    <w:qFormat/>
    <w:pPr>
      <w:ind w:left="420"/>
      <w:spacing w:line="312" w:lineRule="auto"/>
      <w:tabs>
        <w:tab w:val="right" w:pos="8937" w:leader="dot"/>
      </w:tabs>
    </w:pPr>
  </w:style>
  <w:style w:type="paragraph" w:styleId="967">
    <w:name w:val="目录 9"/>
    <w:basedOn w:val="909"/>
    <w:next w:val="909"/>
    <w:link w:val="909"/>
    <w:qFormat/>
    <w:pPr>
      <w:ind w:left="3360"/>
    </w:pPr>
  </w:style>
  <w:style w:type="paragraph" w:styleId="968">
    <w:name w:val="HTML 预设格式"/>
    <w:basedOn w:val="909"/>
    <w:next w:val="968"/>
    <w:link w:val="9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9">
    <w:name w:val="HTML 预设格式 Char"/>
    <w:basedOn w:val="919"/>
    <w:next w:val="969"/>
    <w:link w:val="968"/>
    <w:qFormat/>
    <w:rPr>
      <w:rFonts w:ascii="宋体" w:hAnsi="宋体" w:cs="宋体"/>
      <w:sz w:val="24"/>
      <w:szCs w:val="24"/>
    </w:rPr>
  </w:style>
  <w:style w:type="paragraph" w:styleId="970">
    <w:name w:val="普通(网站)"/>
    <w:basedOn w:val="909"/>
    <w:next w:val="970"/>
    <w:link w:val="909"/>
    <w:uiPriority w:val="99"/>
    <w:unhideWhenUsed/>
    <w:qFormat/>
    <w:pPr>
      <w:jc w:val="left"/>
      <w:spacing w:before="100" w:beforeAutospacing="1" w:after="100" w:afterAutospacing="1"/>
      <w:widowControl/>
    </w:pPr>
    <w:rPr>
      <w:rFonts w:ascii="宋体" w:hAnsi="宋体" w:cs="宋体"/>
      <w:sz w:val="24"/>
    </w:rPr>
  </w:style>
  <w:style w:type="paragraph" w:styleId="971">
    <w:name w:val="索引 1"/>
    <w:basedOn w:val="909"/>
    <w:next w:val="909"/>
    <w:link w:val="909"/>
    <w:qFormat/>
    <w:rPr>
      <w:szCs w:val="20"/>
    </w:rPr>
  </w:style>
  <w:style w:type="paragraph" w:styleId="972">
    <w:name w:val="标题"/>
    <w:basedOn w:val="909"/>
    <w:next w:val="972"/>
    <w:link w:val="973"/>
    <w:qFormat/>
    <w:pPr>
      <w:jc w:val="center"/>
      <w:outlineLvl w:val="0"/>
    </w:pPr>
    <w:rPr>
      <w:b/>
      <w:sz w:val="32"/>
      <w:szCs w:val="20"/>
    </w:rPr>
  </w:style>
  <w:style w:type="character" w:styleId="973">
    <w:name w:val="标题 Char1"/>
    <w:next w:val="973"/>
    <w:link w:val="972"/>
    <w:qFormat/>
    <w:rPr>
      <w:b/>
      <w:sz w:val="32"/>
    </w:rPr>
  </w:style>
  <w:style w:type="paragraph" w:styleId="974">
    <w:name w:val="批注主题"/>
    <w:basedOn w:val="936"/>
    <w:next w:val="936"/>
    <w:link w:val="975"/>
    <w:qFormat/>
    <w:rPr>
      <w:b/>
      <w:bCs/>
    </w:rPr>
  </w:style>
  <w:style w:type="character" w:styleId="975">
    <w:name w:val="批注主题 Char"/>
    <w:basedOn w:val="976"/>
    <w:next w:val="975"/>
    <w:link w:val="974"/>
    <w:qFormat/>
    <w:rPr>
      <w:rFonts w:ascii="Times New Roman" w:hAnsi="Times New Roman" w:eastAsia="宋体" w:cs="Times New Roman"/>
      <w:b/>
      <w:bCs/>
      <w:sz w:val="21"/>
      <w:szCs w:val="24"/>
      <w:lang w:val="en-US" w:eastAsia="zh-CN" w:bidi="ar-SA"/>
    </w:rPr>
  </w:style>
  <w:style w:type="character" w:styleId="976">
    <w:name w:val="批注文字 字符"/>
    <w:next w:val="976"/>
    <w:link w:val="909"/>
    <w:uiPriority w:val="99"/>
    <w:qFormat/>
    <w:rPr>
      <w:rFonts w:ascii="Times New Roman" w:hAnsi="Times New Roman" w:eastAsia="宋体" w:cs="Times New Roman"/>
      <w:sz w:val="24"/>
      <w:lang w:val="en-US" w:eastAsia="zh-CN" w:bidi="ar-SA"/>
    </w:rPr>
  </w:style>
  <w:style w:type="paragraph" w:styleId="977">
    <w:name w:val="正文首行缩进 2"/>
    <w:basedOn w:val="942"/>
    <w:next w:val="977"/>
    <w:link w:val="978"/>
    <w:qFormat/>
    <w:pPr>
      <w:ind w:left="420" w:firstLine="420"/>
      <w:spacing w:after="120" w:line="480" w:lineRule="exact"/>
    </w:pPr>
    <w:rPr>
      <w:szCs w:val="20"/>
    </w:rPr>
  </w:style>
  <w:style w:type="character" w:styleId="978">
    <w:name w:val="正文首行缩进 2 Char"/>
    <w:basedOn w:val="943"/>
    <w:next w:val="978"/>
    <w:link w:val="977"/>
    <w:qFormat/>
    <w:rPr>
      <w:rFonts w:eastAsia="宋体"/>
      <w:sz w:val="24"/>
      <w:szCs w:val="24"/>
      <w:lang w:val="en-US" w:eastAsia="zh-CN" w:bidi="ar-SA"/>
    </w:rPr>
  </w:style>
  <w:style w:type="table" w:styleId="979">
    <w:name w:val="网格型"/>
    <w:basedOn w:val="920"/>
    <w:next w:val="979"/>
    <w:link w:val="909"/>
    <w:uiPriority w:val="39"/>
    <w:qFormat/>
    <w:tblPr/>
  </w:style>
  <w:style w:type="table" w:styleId="980">
    <w:name w:val="中等深浅网格 1 - 强调文字颜色 2"/>
    <w:basedOn w:val="920"/>
    <w:next w:val="980"/>
    <w:link w:val="909"/>
    <w:qFormat/>
    <w:rPr>
      <w:sz w:val="21"/>
      <w:szCs w:val="24"/>
    </w:rPr>
    <w:tblPr/>
  </w:style>
  <w:style w:type="character" w:styleId="981">
    <w:name w:val="要点"/>
    <w:next w:val="981"/>
    <w:link w:val="909"/>
    <w:qFormat/>
    <w:rPr>
      <w:b/>
      <w:bCs/>
    </w:rPr>
  </w:style>
  <w:style w:type="character" w:styleId="982">
    <w:name w:val="页码"/>
    <w:basedOn w:val="919"/>
    <w:next w:val="982"/>
    <w:link w:val="909"/>
    <w:qFormat/>
  </w:style>
  <w:style w:type="character" w:styleId="983">
    <w:name w:val="已访问的超链接"/>
    <w:next w:val="983"/>
    <w:link w:val="909"/>
    <w:qFormat/>
    <w:rPr>
      <w:color w:val="800080"/>
      <w:u w:val="single"/>
    </w:rPr>
  </w:style>
  <w:style w:type="character" w:styleId="984">
    <w:name w:val="强调"/>
    <w:next w:val="984"/>
    <w:link w:val="909"/>
    <w:qFormat/>
    <w:rPr>
      <w:color w:val="cc0033"/>
    </w:rPr>
  </w:style>
  <w:style w:type="character" w:styleId="985">
    <w:name w:val="超链接"/>
    <w:next w:val="985"/>
    <w:link w:val="909"/>
    <w:uiPriority w:val="99"/>
    <w:qFormat/>
    <w:rPr>
      <w:color w:val="0000ff"/>
      <w:u w:val="single"/>
    </w:rPr>
  </w:style>
  <w:style w:type="character" w:styleId="986">
    <w:name w:val="批注引用"/>
    <w:next w:val="986"/>
    <w:link w:val="909"/>
    <w:uiPriority w:val="99"/>
    <w:qFormat/>
    <w:rPr>
      <w:sz w:val="21"/>
      <w:szCs w:val="21"/>
    </w:rPr>
  </w:style>
  <w:style w:type="character" w:styleId="987">
    <w:name w:val="HTML 引文"/>
    <w:next w:val="987"/>
    <w:link w:val="909"/>
    <w:qFormat/>
    <w:rPr>
      <w:i/>
      <w:iCs/>
    </w:rPr>
  </w:style>
  <w:style w:type="character" w:styleId="988">
    <w:name w:val="中等深浅网格 1 - 强调文字颜色 2 Char"/>
    <w:next w:val="988"/>
    <w:link w:val="989"/>
    <w:qFormat/>
    <w:rPr>
      <w:sz w:val="21"/>
      <w:szCs w:val="24"/>
      <w:lang w:val="zh-CN" w:eastAsia="zh-CN" w:bidi="ar-SA"/>
    </w:rPr>
  </w:style>
  <w:style w:type="paragraph" w:styleId="989">
    <w:name w:val="1"/>
    <w:next w:val="989"/>
    <w:link w:val="988"/>
    <w:qFormat/>
    <w:rPr>
      <w:sz w:val="21"/>
      <w:szCs w:val="24"/>
      <w:lang w:val="zh-CN" w:eastAsia="zh-CN" w:bidi="ar-SA"/>
    </w:rPr>
  </w:style>
  <w:style w:type="character" w:styleId="990">
    <w:name w:val="正文文本缩进 Char1"/>
    <w:next w:val="990"/>
    <w:link w:val="991"/>
    <w:qFormat/>
    <w:rPr>
      <w:rFonts w:ascii="宋体" w:hAnsi="宋体" w:eastAsia="宋体"/>
      <w:sz w:val="24"/>
      <w:szCs w:val="24"/>
      <w:lang w:bidi="ar-SA"/>
    </w:rPr>
  </w:style>
  <w:style w:type="paragraph" w:styleId="991">
    <w:name w:val="正文文本缩进1"/>
    <w:basedOn w:val="909"/>
    <w:next w:val="991"/>
    <w:link w:val="990"/>
    <w:qFormat/>
    <w:pPr>
      <w:ind w:firstLine="480"/>
      <w:spacing w:line="480" w:lineRule="exact"/>
    </w:pPr>
    <w:rPr>
      <w:rFonts w:ascii="宋体" w:hAnsi="宋体"/>
      <w:sz w:val="24"/>
    </w:rPr>
  </w:style>
  <w:style w:type="character" w:styleId="992">
    <w:name w:val="chanpin拷贝"/>
    <w:basedOn w:val="919"/>
    <w:next w:val="992"/>
    <w:link w:val="909"/>
    <w:qFormat/>
  </w:style>
  <w:style w:type="character" w:styleId="993">
    <w:name w:val="纯文本 字符1"/>
    <w:next w:val="993"/>
    <w:link w:val="909"/>
    <w:qFormat/>
    <w:rPr>
      <w:rFonts w:ascii="宋体" w:hAnsi="Courier New"/>
    </w:rPr>
  </w:style>
  <w:style w:type="character" w:styleId="994">
    <w:name w:val="street-address"/>
    <w:basedOn w:val="919"/>
    <w:next w:val="994"/>
    <w:link w:val="909"/>
    <w:qFormat/>
  </w:style>
  <w:style w:type="character" w:styleId="995">
    <w:name w:val="正文格式 Char"/>
    <w:next w:val="995"/>
    <w:link w:val="996"/>
    <w:qFormat/>
    <w:rPr>
      <w:rFonts w:ascii="宋体" w:hAnsi="宋体"/>
      <w:sz w:val="24"/>
      <w:szCs w:val="24"/>
      <w:lang w:val="en-GB"/>
    </w:rPr>
  </w:style>
  <w:style w:type="paragraph" w:styleId="996">
    <w:name w:val="正文格式"/>
    <w:basedOn w:val="909"/>
    <w:next w:val="996"/>
    <w:link w:val="995"/>
    <w:qFormat/>
    <w:pPr>
      <w:ind w:firstLine="480"/>
      <w:spacing w:line="360" w:lineRule="auto"/>
    </w:pPr>
    <w:rPr>
      <w:rFonts w:ascii="宋体" w:hAnsi="宋体"/>
      <w:sz w:val="24"/>
      <w:lang w:val="en-GB"/>
    </w:rPr>
  </w:style>
  <w:style w:type="character" w:styleId="997">
    <w:name w:val="成文日期 Char"/>
    <w:next w:val="997"/>
    <w:link w:val="998"/>
    <w:rPr>
      <w:rFonts w:ascii="仿宋_GB2312" w:eastAsia="仿宋_GB2312"/>
      <w:sz w:val="32"/>
    </w:rPr>
  </w:style>
  <w:style w:type="paragraph" w:styleId="998">
    <w:name w:val="成文日期"/>
    <w:basedOn w:val="909"/>
    <w:next w:val="998"/>
    <w:link w:val="997"/>
    <w:qFormat/>
    <w:pPr>
      <w:ind w:right="400" w:firstLine="200"/>
      <w:jc w:val="right"/>
      <w:spacing w:line="570" w:lineRule="exact"/>
    </w:pPr>
    <w:rPr>
      <w:rFonts w:ascii="仿宋_GB2312" w:eastAsia="仿宋_GB2312"/>
      <w:sz w:val="32"/>
      <w:szCs w:val="20"/>
    </w:rPr>
  </w:style>
  <w:style w:type="character" w:styleId="999">
    <w:name w:val="正文表格 Char"/>
    <w:next w:val="999"/>
    <w:link w:val="1000"/>
    <w:qFormat/>
    <w:rPr>
      <w:rFonts w:ascii="宋体" w:hAnsi="宋体"/>
      <w:color w:val="000000"/>
      <w:sz w:val="21"/>
      <w:szCs w:val="21"/>
    </w:rPr>
  </w:style>
  <w:style w:type="paragraph" w:styleId="1000">
    <w:name w:val="正文表格"/>
    <w:basedOn w:val="909"/>
    <w:next w:val="1000"/>
    <w:link w:val="999"/>
    <w:qFormat/>
    <w:pPr>
      <w:jc w:val="left"/>
    </w:pPr>
    <w:rPr>
      <w:rFonts w:ascii="宋体" w:hAnsi="宋体"/>
      <w:color w:val="000000"/>
      <w:szCs w:val="21"/>
    </w:rPr>
  </w:style>
  <w:style w:type="character" w:styleId="1001">
    <w:name w:val="正文大标题 Char"/>
    <w:next w:val="1001"/>
    <w:link w:val="1002"/>
    <w:qFormat/>
    <w:rPr>
      <w:rFonts w:ascii="宋体" w:hAnsi="宋体"/>
      <w:b/>
      <w:color w:val="000000"/>
      <w:sz w:val="28"/>
      <w:szCs w:val="21"/>
    </w:rPr>
  </w:style>
  <w:style w:type="paragraph" w:styleId="1002">
    <w:name w:val="正文大标题"/>
    <w:basedOn w:val="1003"/>
    <w:next w:val="923"/>
    <w:link w:val="1001"/>
    <w:qFormat/>
    <w:pPr>
      <w:jc w:val="center"/>
    </w:pPr>
    <w:rPr>
      <w:i w:val="0"/>
      <w:color w:val="000000"/>
      <w:sz w:val="28"/>
      <w:szCs w:val="21"/>
    </w:rPr>
  </w:style>
  <w:style w:type="paragraph" w:styleId="1003">
    <w:name w:val="正文小标题"/>
    <w:basedOn w:val="909"/>
    <w:next w:val="923"/>
    <w:link w:val="1004"/>
    <w:qFormat/>
    <w:pPr>
      <w:ind w:firstLine="482"/>
      <w:jc w:val="left"/>
      <w:spacing w:before="312" w:after="312"/>
    </w:pPr>
    <w:rPr>
      <w:rFonts w:ascii="宋体" w:hAnsi="宋体"/>
      <w:b/>
      <w:i/>
      <w:color w:val="ff0000"/>
      <w:sz w:val="24"/>
      <w:szCs w:val="20"/>
    </w:rPr>
  </w:style>
  <w:style w:type="character" w:styleId="1004">
    <w:name w:val="正文小标题 Char"/>
    <w:next w:val="1004"/>
    <w:link w:val="1003"/>
    <w:qFormat/>
    <w:rPr>
      <w:rFonts w:ascii="宋体" w:hAnsi="宋体"/>
      <w:b/>
      <w:i/>
      <w:color w:val="ff0000"/>
      <w:sz w:val="24"/>
    </w:rPr>
  </w:style>
  <w:style w:type="character" w:styleId="1005">
    <w:name w:val="bjh-p"/>
    <w:next w:val="1005"/>
    <w:link w:val="909"/>
    <w:qFormat/>
  </w:style>
  <w:style w:type="character" w:styleId="1006">
    <w:name w:val="正文缩进 Char Char"/>
    <w:next w:val="1006"/>
    <w:link w:val="1007"/>
    <w:qFormat/>
    <w:rPr>
      <w:rFonts w:ascii="宋体" w:eastAsia="宋体"/>
      <w:color w:val="000000"/>
      <w:sz w:val="28"/>
      <w:lang w:bidi="ar-SA"/>
    </w:rPr>
  </w:style>
  <w:style w:type="paragraph" w:styleId="1007">
    <w:name w:val="正文缩进1"/>
    <w:basedOn w:val="909"/>
    <w:next w:val="1007"/>
    <w:link w:val="1006"/>
    <w:qFormat/>
    <w:pPr>
      <w:ind w:firstLine="567"/>
      <w:spacing w:line="480" w:lineRule="exact"/>
      <w:widowControl/>
    </w:pPr>
    <w:rPr>
      <w:rFonts w:ascii="宋体"/>
      <w:color w:val="000000"/>
      <w:sz w:val="28"/>
      <w:szCs w:val="20"/>
    </w:rPr>
  </w:style>
  <w:style w:type="character" w:styleId="1008">
    <w:name w:val="标题 Char"/>
    <w:next w:val="1008"/>
    <w:link w:val="909"/>
    <w:qFormat/>
    <w:rPr>
      <w:b/>
      <w:sz w:val="32"/>
    </w:rPr>
  </w:style>
  <w:style w:type="character" w:styleId="1009">
    <w:name w:val="列出段落 Char"/>
    <w:next w:val="1009"/>
    <w:link w:val="909"/>
    <w:qFormat/>
    <w:rPr>
      <w:rFonts w:ascii="Calibri" w:hAnsi="Calibri" w:eastAsia="宋体"/>
      <w:sz w:val="21"/>
      <w:szCs w:val="22"/>
      <w:lang w:val="en-US" w:eastAsia="zh-CN" w:bidi="ar-SA"/>
    </w:rPr>
  </w:style>
  <w:style w:type="character" w:styleId="1010">
    <w:name w:val="Char Char111"/>
    <w:next w:val="1010"/>
    <w:link w:val="909"/>
    <w:qFormat/>
    <w:rPr>
      <w:rFonts w:ascii="宋体" w:eastAsia="宋体"/>
      <w:b/>
      <w:sz w:val="24"/>
      <w:u w:val="single"/>
      <w:lang w:val="en-US" w:eastAsia="zh-CN" w:bidi="ar-SA"/>
    </w:rPr>
  </w:style>
  <w:style w:type="character" w:styleId="1011">
    <w:name w:val="列出段落 Char1"/>
    <w:next w:val="1011"/>
    <w:link w:val="1012"/>
    <w:uiPriority w:val="34"/>
    <w:qFormat/>
    <w:rPr>
      <w:rFonts w:ascii="Calibri" w:hAnsi="Calibri" w:eastAsia="宋体"/>
      <w:sz w:val="21"/>
      <w:szCs w:val="22"/>
      <w:lang w:val="en-US" w:eastAsia="zh-CN" w:bidi="ar-SA"/>
    </w:rPr>
  </w:style>
  <w:style w:type="paragraph" w:styleId="1012">
    <w:name w:val="列出段落"/>
    <w:basedOn w:val="909"/>
    <w:next w:val="1012"/>
    <w:link w:val="1011"/>
    <w:uiPriority w:val="34"/>
    <w:qFormat/>
    <w:pPr>
      <w:ind w:firstLine="420"/>
    </w:pPr>
    <w:rPr>
      <w:rFonts w:ascii="Calibri" w:hAnsi="Calibri"/>
      <w:szCs w:val="22"/>
    </w:rPr>
  </w:style>
  <w:style w:type="character" w:styleId="1013">
    <w:name w:val="注释 Char"/>
    <w:next w:val="1013"/>
    <w:link w:val="1014"/>
    <w:qFormat/>
    <w:rPr>
      <w:rFonts w:ascii="宋体" w:hAnsi="宋体"/>
      <w:sz w:val="21"/>
      <w:szCs w:val="21"/>
    </w:rPr>
  </w:style>
  <w:style w:type="paragraph" w:styleId="1014">
    <w:name w:val="注释"/>
    <w:basedOn w:val="909"/>
    <w:next w:val="1014"/>
    <w:link w:val="1013"/>
    <w:qFormat/>
    <w:pPr>
      <w:ind w:left="420" w:hanging="420"/>
      <w:jc w:val="left"/>
    </w:pPr>
    <w:rPr>
      <w:rFonts w:ascii="宋体" w:hAnsi="宋体"/>
      <w:szCs w:val="21"/>
    </w:rPr>
  </w:style>
  <w:style w:type="character" w:styleId="1015">
    <w:name w:val="txt"/>
    <w:basedOn w:val="919"/>
    <w:next w:val="1015"/>
    <w:link w:val="909"/>
    <w:qFormat/>
  </w:style>
  <w:style w:type="character" w:styleId="1016">
    <w:name w:val="标题 2 Char Char"/>
    <w:next w:val="1016"/>
    <w:link w:val="909"/>
    <w:qFormat/>
    <w:rPr>
      <w:rFonts w:ascii="Arial" w:hAnsi="Arial" w:eastAsia="黑体"/>
      <w:b/>
      <w:bCs/>
      <w:sz w:val="32"/>
      <w:szCs w:val="32"/>
      <w:lang w:val="en-US" w:eastAsia="zh-CN" w:bidi="ar-SA"/>
    </w:rPr>
  </w:style>
  <w:style w:type="character" w:styleId="1017">
    <w:name w:val="纯文本 Char1"/>
    <w:next w:val="1017"/>
    <w:link w:val="909"/>
    <w:qFormat/>
    <w:rPr>
      <w:rFonts w:ascii="宋体" w:hAnsi="Courier New" w:eastAsia="宋体"/>
      <w:sz w:val="21"/>
      <w:lang w:val="en-US" w:eastAsia="zh-CN" w:bidi="ar-SA"/>
    </w:rPr>
  </w:style>
  <w:style w:type="character" w:styleId="1018">
    <w:name w:val="c21"/>
    <w:next w:val="1018"/>
    <w:link w:val="909"/>
    <w:qFormat/>
    <w:rPr>
      <w:rFonts w:ascii="ˎ̥" w:hAnsi="ˎ̥"/>
      <w:color w:val="000000"/>
      <w:sz w:val="20"/>
      <w:szCs w:val="20"/>
      <w:u w:val="none"/>
    </w:rPr>
  </w:style>
  <w:style w:type="character" w:styleId="1019">
    <w:name w:val="title4"/>
    <w:next w:val="1019"/>
    <w:link w:val="909"/>
    <w:qFormat/>
    <w:rPr>
      <w:b/>
      <w:bCs/>
      <w:color w:val="1d87b3"/>
      <w:sz w:val="15"/>
      <w:szCs w:val="15"/>
    </w:rPr>
  </w:style>
  <w:style w:type="character" w:styleId="1020">
    <w:name w:val="页脚 Char"/>
    <w:next w:val="1020"/>
    <w:link w:val="909"/>
    <w:qFormat/>
    <w:rPr>
      <w:rFonts w:ascii="宋体" w:eastAsia="宋体"/>
      <w:sz w:val="18"/>
      <w:lang w:val="en-US" w:eastAsia="zh-CN" w:bidi="ar-SA"/>
    </w:rPr>
  </w:style>
  <w:style w:type="character" w:styleId="1021">
    <w:name w:val="locality"/>
    <w:basedOn w:val="919"/>
    <w:next w:val="1021"/>
    <w:link w:val="909"/>
    <w:qFormat/>
  </w:style>
  <w:style w:type="character" w:styleId="1022">
    <w:name w:val="black1"/>
    <w:next w:val="1022"/>
    <w:link w:val="909"/>
    <w:qFormat/>
    <w:rPr>
      <w:color w:val="000000"/>
    </w:rPr>
  </w:style>
  <w:style w:type="character" w:styleId="1023">
    <w:name w:val="chanpin1"/>
    <w:next w:val="1023"/>
    <w:link w:val="909"/>
    <w:qFormat/>
    <w:rPr>
      <w:rFonts w:ascii="ˎ̥" w:hAnsi="ˎ̥"/>
      <w:color w:val="000000"/>
      <w:sz w:val="20"/>
      <w:szCs w:val="20"/>
      <w:u w:val="none"/>
    </w:rPr>
  </w:style>
  <w:style w:type="character" w:styleId="1024">
    <w:name w:val="段1 Char"/>
    <w:next w:val="1024"/>
    <w:link w:val="909"/>
    <w:qFormat/>
    <w:rPr>
      <w:rFonts w:ascii="宋体" w:eastAsia="宋体"/>
      <w:sz w:val="24"/>
      <w:lang w:val="en-US" w:eastAsia="zh-CN" w:bidi="ar-SA"/>
    </w:rPr>
  </w:style>
  <w:style w:type="character" w:styleId="1025">
    <w:name w:val="标题 3 Char"/>
    <w:next w:val="1025"/>
    <w:link w:val="909"/>
    <w:qFormat/>
    <w:rPr>
      <w:rFonts w:ascii="宋体" w:eastAsia="宋体"/>
      <w:b/>
      <w:sz w:val="24"/>
      <w:u w:val="single"/>
      <w:lang w:val="en-US" w:eastAsia="zh-CN" w:bidi="ar-SA"/>
    </w:rPr>
  </w:style>
  <w:style w:type="character" w:styleId="1026">
    <w:name w:val="标题 2 Char"/>
    <w:next w:val="1026"/>
    <w:link w:val="909"/>
    <w:qFormat/>
    <w:rPr>
      <w:rFonts w:ascii="Arial" w:hAnsi="Arial" w:eastAsia="黑体"/>
      <w:b/>
      <w:sz w:val="30"/>
      <w:lang w:val="en-US" w:eastAsia="zh-CN" w:bidi="ar-SA"/>
    </w:rPr>
  </w:style>
  <w:style w:type="character" w:styleId="1027">
    <w:name w:val="正文文本缩进 Char"/>
    <w:next w:val="1027"/>
    <w:link w:val="909"/>
    <w:qFormat/>
    <w:rPr>
      <w:rFonts w:eastAsia="宋体"/>
      <w:sz w:val="24"/>
      <w:szCs w:val="24"/>
      <w:lang w:val="en-US" w:eastAsia="zh-CN" w:bidi="ar-SA"/>
    </w:rPr>
  </w:style>
  <w:style w:type="character" w:styleId="1028">
    <w:name w:val="Char Char11"/>
    <w:next w:val="1028"/>
    <w:link w:val="909"/>
    <w:qFormat/>
    <w:rPr>
      <w:rFonts w:ascii="宋体" w:eastAsia="宋体"/>
      <w:b/>
      <w:sz w:val="24"/>
      <w:u w:val="single"/>
      <w:lang w:val="en-US" w:eastAsia="zh-CN" w:bidi="ar-SA"/>
    </w:rPr>
  </w:style>
  <w:style w:type="character" w:styleId="1029">
    <w:name w:val="页眉 Char"/>
    <w:next w:val="1029"/>
    <w:link w:val="909"/>
    <w:qFormat/>
    <w:rPr>
      <w:rFonts w:eastAsia="宋体"/>
      <w:sz w:val="18"/>
      <w:szCs w:val="18"/>
      <w:lang w:val="en-US" w:eastAsia="zh-CN" w:bidi="ar-SA"/>
    </w:rPr>
  </w:style>
  <w:style w:type="character" w:styleId="1030">
    <w:name w:val="纯文本 字符"/>
    <w:next w:val="1030"/>
    <w:link w:val="909"/>
    <w:uiPriority w:val="99"/>
    <w:qFormat/>
    <w:rPr>
      <w:rFonts w:ascii="宋体" w:hAnsi="Courier New" w:eastAsia="宋体" w:cs="Times New Roman"/>
      <w:sz w:val="21"/>
      <w:szCs w:val="21"/>
      <w:lang w:val="en-US" w:eastAsia="zh-CN" w:bidi="ar-SA"/>
    </w:rPr>
  </w:style>
  <w:style w:type="character" w:styleId="1031">
    <w:name w:val="正文重点 Char"/>
    <w:next w:val="1031"/>
    <w:link w:val="1032"/>
    <w:qFormat/>
    <w:rPr>
      <w:b/>
      <w:sz w:val="24"/>
    </w:rPr>
  </w:style>
  <w:style w:type="paragraph" w:styleId="1032">
    <w:name w:val="正文重点"/>
    <w:basedOn w:val="909"/>
    <w:next w:val="1032"/>
    <w:link w:val="1031"/>
    <w:qFormat/>
    <w:pPr>
      <w:ind w:firstLine="482"/>
      <w:jc w:val="left"/>
      <w:spacing w:line="360" w:lineRule="auto"/>
    </w:pPr>
    <w:rPr>
      <w:b/>
      <w:sz w:val="24"/>
      <w:szCs w:val="20"/>
    </w:rPr>
  </w:style>
  <w:style w:type="character" w:styleId="1033">
    <w:name w:val="正文缩进 Char"/>
    <w:next w:val="1033"/>
    <w:link w:val="909"/>
    <w:qFormat/>
    <w:rPr>
      <w:rFonts w:ascii="宋体" w:eastAsia="宋体"/>
      <w:sz w:val="24"/>
      <w:szCs w:val="24"/>
      <w:lang w:val="en-US" w:eastAsia="zh-CN" w:bidi="ar-SA"/>
    </w:rPr>
  </w:style>
  <w:style w:type="character" w:styleId="1034">
    <w:name w:val="普通文字1 Char1"/>
    <w:next w:val="1034"/>
    <w:link w:val="909"/>
    <w:qFormat/>
    <w:rPr>
      <w:rFonts w:ascii="宋体" w:hAnsi="Courier New" w:eastAsia="宋体"/>
      <w:sz w:val="21"/>
      <w:lang w:val="en-US" w:eastAsia="zh-CN" w:bidi="ar-SA"/>
    </w:rPr>
  </w:style>
  <w:style w:type="character" w:styleId="1035">
    <w:name w:val="批注文字 Char"/>
    <w:next w:val="1035"/>
    <w:link w:val="909"/>
    <w:uiPriority w:val="99"/>
    <w:qFormat/>
    <w:rPr>
      <w:sz w:val="21"/>
      <w:szCs w:val="24"/>
    </w:rPr>
  </w:style>
  <w:style w:type="character" w:styleId="1036">
    <w:name w:val="apple-style-span"/>
    <w:next w:val="1036"/>
    <w:link w:val="909"/>
    <w:qFormat/>
    <w:rPr>
      <w:rFonts w:cs="Times New Roman"/>
    </w:rPr>
  </w:style>
  <w:style w:type="character" w:styleId="1037">
    <w:name w:val="标题 3 Char Char"/>
    <w:next w:val="1037"/>
    <w:link w:val="909"/>
    <w:qFormat/>
    <w:rPr>
      <w:rFonts w:eastAsia="宋体"/>
      <w:b/>
      <w:bCs/>
      <w:sz w:val="32"/>
      <w:szCs w:val="32"/>
      <w:lang w:val="en-US" w:eastAsia="zh-CN" w:bidi="ar-SA"/>
    </w:rPr>
  </w:style>
  <w:style w:type="paragraph" w:styleId="1038">
    <w:name w:val="无间隔"/>
    <w:next w:val="1038"/>
    <w:link w:val="909"/>
    <w:qFormat/>
    <w:pPr>
      <w:jc w:val="both"/>
      <w:widowControl w:val="off"/>
    </w:pPr>
    <w:rPr>
      <w:sz w:val="21"/>
      <w:szCs w:val="24"/>
      <w:lang w:val="en-US" w:eastAsia="zh-CN" w:bidi="ar-SA"/>
    </w:rPr>
  </w:style>
  <w:style w:type="paragraph" w:styleId="1039">
    <w:name w:val="xl38"/>
    <w:basedOn w:val="909"/>
    <w:next w:val="1039"/>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0">
    <w:name w:val="Char"/>
    <w:basedOn w:val="909"/>
    <w:next w:val="1040"/>
    <w:link w:val="909"/>
    <w:qFormat/>
    <w:pPr>
      <w:tabs>
        <w:tab w:val="left" w:pos="360" w:leader="none"/>
      </w:tabs>
    </w:pPr>
    <w:rPr>
      <w:sz w:val="24"/>
    </w:rPr>
  </w:style>
  <w:style w:type="paragraph" w:styleId="1041">
    <w:name w:val="xl25"/>
    <w:basedOn w:val="909"/>
    <w:next w:val="1041"/>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name w:val="xl45"/>
    <w:basedOn w:val="909"/>
    <w:next w:val="1042"/>
    <w:link w:val="9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3">
    <w:name w:val="列出段落1"/>
    <w:basedOn w:val="909"/>
    <w:next w:val="1043"/>
    <w:link w:val="909"/>
    <w:qFormat/>
    <w:pPr>
      <w:ind w:firstLine="420"/>
    </w:pPr>
    <w:rPr>
      <w:rFonts w:ascii="Calibri" w:hAnsi="Calibri"/>
      <w:szCs w:val="22"/>
    </w:rPr>
  </w:style>
  <w:style w:type="paragraph" w:styleId="1044">
    <w:name w:val="Char Char Char Char Char Char Char Char Char Char"/>
    <w:basedOn w:val="909"/>
    <w:next w:val="1044"/>
    <w:link w:val="909"/>
    <w:qFormat/>
  </w:style>
  <w:style w:type="paragraph" w:styleId="1045">
    <w:name w:val="xl40"/>
    <w:basedOn w:val="909"/>
    <w:next w:val="1045"/>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Char3 Char Char Char1"/>
    <w:basedOn w:val="909"/>
    <w:next w:val="1046"/>
    <w:link w:val="909"/>
    <w:qFormat/>
    <w:rPr>
      <w:rFonts w:ascii="Tahoma" w:hAnsi="Tahoma"/>
      <w:sz w:val="24"/>
      <w:szCs w:val="20"/>
    </w:rPr>
  </w:style>
  <w:style w:type="paragraph" w:styleId="1047">
    <w:name w:val="正文列项_数字"/>
    <w:basedOn w:val="909"/>
    <w:next w:val="1047"/>
    <w:link w:val="909"/>
    <w:qFormat/>
    <w:pPr>
      <w:numPr>
        <w:ilvl w:val="7"/>
        <w:numId w:val="1"/>
      </w:numPr>
      <w:ind w:left="680" w:hanging="150"/>
      <w:spacing w:line="460" w:lineRule="exact"/>
      <w:tabs>
        <w:tab w:val="clear" w:pos="860" w:leader="none"/>
      </w:tabs>
      <w:outlineLvl w:val="7"/>
    </w:pPr>
    <w:rPr>
      <w:rFonts w:ascii="宋体"/>
      <w:sz w:val="28"/>
      <w:szCs w:val="20"/>
    </w:rPr>
  </w:style>
  <w:style w:type="paragraph" w:styleId="1048">
    <w:name w:val="Char1 Char Char Char1"/>
    <w:basedOn w:val="909"/>
    <w:next w:val="1048"/>
    <w:link w:val="909"/>
    <w:qFormat/>
    <w:rPr>
      <w:rFonts w:ascii="Tahoma" w:hAnsi="Tahoma" w:cs="仿宋_GB2312"/>
      <w:sz w:val="24"/>
      <w:szCs w:val="28"/>
    </w:rPr>
  </w:style>
  <w:style w:type="paragraph" w:styleId="1049">
    <w:name w:val="正文缩进2"/>
    <w:basedOn w:val="909"/>
    <w:next w:val="1049"/>
    <w:link w:val="909"/>
    <w:qFormat/>
    <w:pPr>
      <w:ind w:firstLine="567"/>
      <w:spacing w:line="480" w:lineRule="exact"/>
      <w:widowControl/>
    </w:pPr>
    <w:rPr>
      <w:rFonts w:ascii="宋体"/>
      <w:color w:val="000000"/>
      <w:sz w:val="28"/>
      <w:szCs w:val="20"/>
      <w:lang w:val="zh-CN" w:eastAsia="zh-CN"/>
    </w:rPr>
  </w:style>
  <w:style w:type="paragraph" w:styleId="1050">
    <w:name w:val="xl33"/>
    <w:basedOn w:val="909"/>
    <w:next w:val="1050"/>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name w:val="项目符号1"/>
    <w:basedOn w:val="1052"/>
    <w:next w:val="1051"/>
    <w:link w:val="909"/>
    <w:qFormat/>
    <w:pPr>
      <w:ind w:left="-25" w:firstLine="0"/>
    </w:pPr>
  </w:style>
  <w:style w:type="paragraph" w:styleId="1052">
    <w:name w:val="正文文本样式"/>
    <w:basedOn w:val="909"/>
    <w:next w:val="1052"/>
    <w:link w:val="909"/>
    <w:qFormat/>
    <w:pPr>
      <w:ind w:firstLine="482"/>
      <w:spacing w:line="360" w:lineRule="auto"/>
    </w:pPr>
    <w:rPr>
      <w:rFonts w:cs="宋体"/>
      <w:sz w:val="24"/>
      <w:szCs w:val="20"/>
    </w:rPr>
  </w:style>
  <w:style w:type="paragraph" w:styleId="1053">
    <w:name w:val="章标题"/>
    <w:next w:val="909"/>
    <w:link w:val="90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4">
    <w:name w:val="xl46"/>
    <w:basedOn w:val="909"/>
    <w:next w:val="1054"/>
    <w:link w:val="9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默认段落字体 Para Char Char Char Char"/>
    <w:basedOn w:val="909"/>
    <w:next w:val="1055"/>
    <w:link w:val="909"/>
    <w:qFormat/>
    <w:rPr>
      <w:rFonts w:ascii="Arial" w:hAnsi="Arial" w:cs="Arial"/>
      <w:szCs w:val="21"/>
    </w:rPr>
  </w:style>
  <w:style w:type="paragraph" w:styleId="1056">
    <w:name w:val="图中文字"/>
    <w:basedOn w:val="909"/>
    <w:next w:val="1056"/>
    <w:link w:val="909"/>
    <w:qFormat/>
    <w:pPr>
      <w:jc w:val="center"/>
      <w:spacing w:line="0" w:lineRule="atLeast"/>
    </w:pPr>
    <w:rPr>
      <w:sz w:val="24"/>
      <w:szCs w:val="20"/>
    </w:rPr>
  </w:style>
  <w:style w:type="paragraph" w:styleId="1057">
    <w:name w:val="Char Char Char Char Char Char Char Char Char Char2"/>
    <w:basedOn w:val="909"/>
    <w:next w:val="1057"/>
    <w:link w:val="909"/>
    <w:qFormat/>
    <w:rPr>
      <w:rFonts w:ascii="宋体" w:hAnsi="宋体" w:cs="Courier New"/>
      <w:sz w:val="32"/>
      <w:szCs w:val="32"/>
    </w:rPr>
  </w:style>
  <w:style w:type="paragraph" w:styleId="1058">
    <w:name w:val="三级条标题"/>
    <w:basedOn w:val="1059"/>
    <w:next w:val="909"/>
    <w:link w:val="909"/>
    <w:qFormat/>
    <w:pPr>
      <w:numPr>
        <w:ilvl w:val="3"/>
        <w:numId w:val="1"/>
      </w:numPr>
      <w:ind w:left="0" w:hanging="840"/>
      <w:tabs>
        <w:tab w:val="left" w:pos="360" w:leader="none"/>
        <w:tab w:val="left" w:pos="840" w:leader="none"/>
      </w:tabs>
      <w:outlineLvl w:val="3"/>
    </w:pPr>
  </w:style>
  <w:style w:type="paragraph" w:styleId="1059">
    <w:name w:val="二级条标题"/>
    <w:basedOn w:val="1060"/>
    <w:next w:val="909"/>
    <w:link w:val="909"/>
    <w:qFormat/>
    <w:pPr>
      <w:numPr>
        <w:ilvl w:val="0"/>
        <w:numId w:val="0"/>
      </w:numPr>
      <w:ind w:hanging="840"/>
      <w:tabs>
        <w:tab w:val="left" w:pos="360" w:leader="none"/>
        <w:tab w:val="left" w:pos="840" w:leader="none"/>
      </w:tabs>
      <w:outlineLvl w:val="2"/>
    </w:pPr>
    <w:rPr>
      <w:rFonts w:ascii="宋体" w:eastAsia="宋体"/>
      <w:b w:val="0"/>
    </w:rPr>
  </w:style>
  <w:style w:type="paragraph" w:styleId="1060">
    <w:name w:val="一级条标题"/>
    <w:basedOn w:val="1053"/>
    <w:next w:val="909"/>
    <w:link w:val="909"/>
    <w:qFormat/>
    <w:pPr>
      <w:numPr>
        <w:ilvl w:val="1"/>
      </w:numPr>
      <w:ind w:left="0" w:hanging="840"/>
      <w:tabs>
        <w:tab w:val="left" w:pos="360" w:leader="none"/>
        <w:tab w:val="left" w:pos="840" w:leader="none"/>
      </w:tabs>
      <w:outlineLvl w:val="1"/>
    </w:pPr>
  </w:style>
  <w:style w:type="paragraph" w:styleId="1061">
    <w:name w:val="Char Char41"/>
    <w:basedOn w:val="909"/>
    <w:next w:val="1061"/>
    <w:link w:val="909"/>
    <w:qFormat/>
    <w:pPr>
      <w:jc w:val="center"/>
      <w:spacing w:line="400" w:lineRule="exact"/>
      <w:widowControl/>
    </w:pPr>
  </w:style>
  <w:style w:type="paragraph" w:styleId="1062">
    <w:name w:val="正文 A"/>
    <w:next w:val="1062"/>
    <w:link w:val="909"/>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063">
    <w:name w:val="Char Char Char Char Char Char Char2"/>
    <w:basedOn w:val="909"/>
    <w:next w:val="1063"/>
    <w:link w:val="909"/>
    <w:qFormat/>
    <w:pPr>
      <w:ind w:firstLine="200"/>
      <w:spacing w:line="360" w:lineRule="auto"/>
    </w:pPr>
    <w:rPr>
      <w:rFonts w:eastAsia="仿宋_GB2312"/>
      <w:sz w:val="24"/>
    </w:rPr>
  </w:style>
  <w:style w:type="paragraph" w:styleId="1064">
    <w:name w:val="xl35"/>
    <w:basedOn w:val="909"/>
    <w:next w:val="1064"/>
    <w:link w:val="9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name w:val="Char Char Char2"/>
    <w:basedOn w:val="909"/>
    <w:next w:val="1065"/>
    <w:link w:val="909"/>
    <w:qFormat/>
    <w:rPr>
      <w:rFonts w:ascii="Tahoma" w:hAnsi="Tahoma"/>
      <w:sz w:val="24"/>
      <w:szCs w:val="20"/>
    </w:rPr>
  </w:style>
  <w:style w:type="paragraph" w:styleId="1066">
    <w:name w:val="Char2 Char Char Char Char Char Char1"/>
    <w:basedOn w:val="909"/>
    <w:next w:val="1066"/>
    <w:link w:val="909"/>
    <w:qFormat/>
    <w:pPr>
      <w:jc w:val="center"/>
      <w:spacing w:line="400" w:lineRule="exact"/>
      <w:widowControl/>
    </w:pPr>
  </w:style>
  <w:style w:type="paragraph" w:styleId="1067">
    <w:name w:val="缺省文本"/>
    <w:basedOn w:val="909"/>
    <w:next w:val="1067"/>
    <w:link w:val="909"/>
    <w:qFormat/>
    <w:pPr>
      <w:jc w:val="left"/>
    </w:pPr>
    <w:rPr>
      <w:sz w:val="24"/>
    </w:rPr>
  </w:style>
  <w:style w:type="paragraph" w:styleId="1068">
    <w:name w:val="Char1"/>
    <w:basedOn w:val="909"/>
    <w:next w:val="1068"/>
    <w:link w:val="909"/>
    <w:qFormat/>
    <w:pPr>
      <w:tabs>
        <w:tab w:val="left" w:pos="360" w:leader="none"/>
      </w:tabs>
    </w:pPr>
    <w:rPr>
      <w:sz w:val="24"/>
    </w:rPr>
  </w:style>
  <w:style w:type="paragraph" w:styleId="1069">
    <w:name w:val="Char Char Char Char Char Char Char"/>
    <w:basedOn w:val="909"/>
    <w:next w:val="1069"/>
    <w:link w:val="909"/>
    <w:qFormat/>
    <w:pPr>
      <w:ind w:firstLine="200"/>
      <w:spacing w:line="360" w:lineRule="auto"/>
    </w:pPr>
    <w:rPr>
      <w:rFonts w:eastAsia="仿宋_GB2312"/>
      <w:sz w:val="24"/>
    </w:rPr>
  </w:style>
  <w:style w:type="paragraph" w:styleId="1070">
    <w:name w:val="字元 字元2"/>
    <w:basedOn w:val="909"/>
    <w:next w:val="1070"/>
    <w:link w:val="909"/>
    <w:qFormat/>
    <w:rPr>
      <w:rFonts w:ascii="Tahoma" w:hAnsi="Tahoma"/>
      <w:sz w:val="24"/>
      <w:szCs w:val="20"/>
    </w:rPr>
  </w:style>
  <w:style w:type="paragraph" w:styleId="1071">
    <w:name w:val="Char Char Char Char Char Char Char1"/>
    <w:basedOn w:val="909"/>
    <w:next w:val="1071"/>
    <w:link w:val="909"/>
    <w:qFormat/>
    <w:pPr>
      <w:ind w:firstLine="200"/>
      <w:spacing w:line="360" w:lineRule="auto"/>
    </w:pPr>
    <w:rPr>
      <w:rFonts w:eastAsia="仿宋_GB2312"/>
      <w:sz w:val="24"/>
    </w:rPr>
  </w:style>
  <w:style w:type="paragraph" w:styleId="1072">
    <w:name w:val="xl41"/>
    <w:basedOn w:val="909"/>
    <w:next w:val="1072"/>
    <w:link w:val="9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3">
    <w:name w:val="Char2"/>
    <w:basedOn w:val="909"/>
    <w:next w:val="1073"/>
    <w:link w:val="909"/>
    <w:qFormat/>
    <w:rPr>
      <w:rFonts w:ascii="Tahoma" w:hAnsi="Tahoma"/>
      <w:sz w:val="24"/>
      <w:szCs w:val="20"/>
    </w:rPr>
  </w:style>
  <w:style w:type="paragraph" w:styleId="1074">
    <w:name w:val="xl52"/>
    <w:basedOn w:val="909"/>
    <w:next w:val="1074"/>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5">
    <w:name w:val="字元 字元"/>
    <w:basedOn w:val="909"/>
    <w:next w:val="1075"/>
    <w:link w:val="909"/>
    <w:qFormat/>
    <w:rPr>
      <w:rFonts w:ascii="Tahoma" w:hAnsi="Tahoma"/>
      <w:sz w:val="24"/>
      <w:szCs w:val="20"/>
    </w:rPr>
  </w:style>
  <w:style w:type="paragraph" w:styleId="1076">
    <w:name w:val="Revision"/>
    <w:next w:val="1076"/>
    <w:link w:val="909"/>
    <w:qFormat/>
    <w:rPr>
      <w:sz w:val="21"/>
      <w:szCs w:val="24"/>
      <w:lang w:val="en-US" w:eastAsia="zh-CN" w:bidi="ar-SA"/>
    </w:rPr>
  </w:style>
  <w:style w:type="paragraph" w:styleId="1077">
    <w:name w:val="font8"/>
    <w:basedOn w:val="909"/>
    <w:next w:val="1077"/>
    <w:link w:val="909"/>
    <w:qFormat/>
    <w:pPr>
      <w:jc w:val="left"/>
      <w:spacing w:before="100" w:beforeAutospacing="1" w:after="100" w:afterAutospacing="1"/>
      <w:widowControl/>
    </w:pPr>
    <w:rPr>
      <w:sz w:val="36"/>
      <w:szCs w:val="36"/>
    </w:rPr>
  </w:style>
  <w:style w:type="paragraph" w:styleId="1078">
    <w:name w:val="font5"/>
    <w:basedOn w:val="909"/>
    <w:next w:val="1078"/>
    <w:link w:val="909"/>
    <w:qFormat/>
    <w:pPr>
      <w:jc w:val="left"/>
      <w:spacing w:before="100" w:beforeAutospacing="1" w:after="100" w:afterAutospacing="1"/>
      <w:widowControl/>
    </w:pPr>
    <w:rPr>
      <w:rFonts w:ascii="宋体" w:hAnsi="宋体" w:cs="宋体"/>
      <w:sz w:val="18"/>
      <w:szCs w:val="18"/>
    </w:rPr>
  </w:style>
  <w:style w:type="paragraph" w:styleId="1079">
    <w:name w:val="xl49"/>
    <w:basedOn w:val="909"/>
    <w:next w:val="1079"/>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0">
    <w:name w:val="Char Char4"/>
    <w:basedOn w:val="909"/>
    <w:next w:val="1080"/>
    <w:link w:val="909"/>
    <w:qFormat/>
    <w:pPr>
      <w:jc w:val="center"/>
      <w:spacing w:line="400" w:lineRule="exact"/>
      <w:widowControl/>
    </w:pPr>
  </w:style>
  <w:style w:type="paragraph" w:styleId="1081">
    <w:name w:val="xl28"/>
    <w:basedOn w:val="909"/>
    <w:next w:val="1081"/>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2">
    <w:name w:val="xl53"/>
    <w:basedOn w:val="909"/>
    <w:next w:val="1082"/>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name w:val="xl47"/>
    <w:basedOn w:val="909"/>
    <w:next w:val="1083"/>
    <w:link w:val="9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xl31"/>
    <w:basedOn w:val="909"/>
    <w:next w:val="1084"/>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name w:val="Char Char Char1 Char1"/>
    <w:basedOn w:val="909"/>
    <w:next w:val="1085"/>
    <w:link w:val="909"/>
    <w:qFormat/>
    <w:rPr>
      <w:rFonts w:ascii="Tahoma" w:hAnsi="Tahoma"/>
      <w:sz w:val="24"/>
      <w:szCs w:val="20"/>
    </w:rPr>
  </w:style>
  <w:style w:type="paragraph" w:styleId="1086">
    <w:name w:val="Char Char Char1"/>
    <w:basedOn w:val="909"/>
    <w:next w:val="1086"/>
    <w:link w:val="909"/>
    <w:qFormat/>
    <w:rPr>
      <w:rFonts w:ascii="Tahoma" w:hAnsi="Tahoma"/>
      <w:sz w:val="24"/>
      <w:szCs w:val="20"/>
    </w:rPr>
  </w:style>
  <w:style w:type="paragraph" w:styleId="1087">
    <w:name w:val="xl42"/>
    <w:basedOn w:val="909"/>
    <w:next w:val="1087"/>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8">
    <w:name w:val="无标题条"/>
    <w:next w:val="909"/>
    <w:link w:val="909"/>
    <w:qFormat/>
    <w:pPr>
      <w:jc w:val="both"/>
    </w:pPr>
    <w:rPr>
      <w:sz w:val="21"/>
      <w:lang w:val="en-US" w:eastAsia="zh-CN" w:bidi="ar-SA"/>
    </w:rPr>
  </w:style>
  <w:style w:type="paragraph" w:styleId="1089">
    <w:name w:val="Char Char1 Char Char Char Char Char Char Char Char"/>
    <w:basedOn w:val="909"/>
    <w:next w:val="1089"/>
    <w:link w:val="909"/>
    <w:qFormat/>
    <w:pPr>
      <w:jc w:val="left"/>
      <w:spacing w:after="160" w:line="240" w:lineRule="exact"/>
      <w:widowControl/>
    </w:pPr>
    <w:rPr>
      <w:rFonts w:ascii="Verdana" w:hAnsi="Verdana"/>
      <w:sz w:val="20"/>
      <w:szCs w:val="20"/>
      <w:lang w:eastAsia="en-US"/>
    </w:rPr>
  </w:style>
  <w:style w:type="paragraph" w:styleId="1090">
    <w:name w:val="项目编号3"/>
    <w:basedOn w:val="1052"/>
    <w:next w:val="1090"/>
    <w:link w:val="909"/>
    <w:qFormat/>
    <w:pPr>
      <w:numPr>
        <w:ilvl w:val="0"/>
        <w:numId w:val="2"/>
      </w:numPr>
    </w:pPr>
  </w:style>
  <w:style w:type="paragraph" w:styleId="1091">
    <w:name w:val="字元 字元1"/>
    <w:basedOn w:val="909"/>
    <w:next w:val="1091"/>
    <w:link w:val="909"/>
    <w:qFormat/>
    <w:rPr>
      <w:rFonts w:ascii="Tahoma" w:hAnsi="Tahoma"/>
      <w:sz w:val="24"/>
      <w:szCs w:val="20"/>
    </w:rPr>
  </w:style>
  <w:style w:type="paragraph" w:styleId="1092">
    <w:name w:val="xl23"/>
    <w:basedOn w:val="909"/>
    <w:next w:val="1092"/>
    <w:link w:val="909"/>
    <w:qFormat/>
    <w:pPr>
      <w:spacing w:before="100" w:beforeAutospacing="1" w:after="100" w:afterAutospacing="1" w:line="360" w:lineRule="auto"/>
      <w:widowControl/>
    </w:pPr>
    <w:rPr>
      <w:sz w:val="24"/>
      <w:szCs w:val="20"/>
    </w:rPr>
  </w:style>
  <w:style w:type="paragraph" w:styleId="1093">
    <w:name w:val="xl34"/>
    <w:basedOn w:val="909"/>
    <w:next w:val="1093"/>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4">
    <w:name w:val="Char Char Char Char Char Char Char Char Char Char1"/>
    <w:basedOn w:val="909"/>
    <w:next w:val="1094"/>
    <w:link w:val="909"/>
    <w:qFormat/>
    <w:rPr>
      <w:rFonts w:ascii="宋体" w:hAnsi="宋体" w:cs="Courier New"/>
      <w:sz w:val="32"/>
      <w:szCs w:val="32"/>
    </w:rPr>
  </w:style>
  <w:style w:type="paragraph" w:styleId="1095">
    <w:name w:val="Char2 Char Char Char Char Char Char"/>
    <w:basedOn w:val="909"/>
    <w:next w:val="1095"/>
    <w:link w:val="909"/>
    <w:qFormat/>
    <w:pPr>
      <w:jc w:val="center"/>
      <w:spacing w:line="400" w:lineRule="exact"/>
      <w:widowControl/>
    </w:pPr>
  </w:style>
  <w:style w:type="paragraph" w:styleId="1096">
    <w:name w:val="五级条标题"/>
    <w:basedOn w:val="1097"/>
    <w:next w:val="909"/>
    <w:link w:val="909"/>
    <w:qFormat/>
    <w:pPr>
      <w:numPr>
        <w:ilvl w:val="5"/>
      </w:numPr>
      <w:ind w:left="0" w:hanging="840"/>
      <w:tabs>
        <w:tab w:val="left" w:pos="360" w:leader="none"/>
        <w:tab w:val="left" w:pos="840" w:leader="none"/>
      </w:tabs>
      <w:outlineLvl w:val="5"/>
    </w:pPr>
  </w:style>
  <w:style w:type="paragraph" w:styleId="1097">
    <w:name w:val="四级条标题"/>
    <w:basedOn w:val="1058"/>
    <w:next w:val="909"/>
    <w:link w:val="909"/>
    <w:qFormat/>
    <w:pPr>
      <w:numPr>
        <w:ilvl w:val="4"/>
      </w:numPr>
      <w:ind w:left="0" w:hanging="840"/>
      <w:tabs>
        <w:tab w:val="left" w:pos="360" w:leader="none"/>
        <w:tab w:val="left" w:pos="840" w:leader="none"/>
      </w:tabs>
      <w:outlineLvl w:val="4"/>
    </w:pPr>
  </w:style>
  <w:style w:type="paragraph" w:styleId="1098">
    <w:name w:val="xl50"/>
    <w:basedOn w:val="909"/>
    <w:next w:val="1098"/>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9">
    <w:name w:val="Char Char Char1 Char2"/>
    <w:basedOn w:val="909"/>
    <w:next w:val="1099"/>
    <w:link w:val="909"/>
    <w:qFormat/>
    <w:rPr>
      <w:rFonts w:ascii="Tahoma" w:hAnsi="Tahoma"/>
      <w:sz w:val="24"/>
      <w:szCs w:val="20"/>
    </w:rPr>
  </w:style>
  <w:style w:type="paragraph" w:styleId="1100">
    <w:name w:val="xl29"/>
    <w:basedOn w:val="909"/>
    <w:next w:val="1100"/>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1">
    <w:name w:val="正文须知-2级"/>
    <w:basedOn w:val="909"/>
    <w:next w:val="1101"/>
    <w:link w:val="909"/>
    <w:qFormat/>
    <w:pPr>
      <w:numPr>
        <w:ilvl w:val="1"/>
        <w:numId w:val="3"/>
      </w:numPr>
      <w:spacing w:line="300" w:lineRule="auto"/>
    </w:pPr>
    <w:rPr>
      <w:rFonts w:ascii="宋体" w:hAnsi="Calibri"/>
      <w:sz w:val="24"/>
      <w:szCs w:val="21"/>
    </w:rPr>
  </w:style>
  <w:style w:type="paragraph" w:styleId="1102">
    <w:name w:val="Table Paragraph"/>
    <w:basedOn w:val="909"/>
    <w:next w:val="1102"/>
    <w:link w:val="909"/>
    <w:uiPriority w:val="1"/>
    <w:qFormat/>
    <w:pPr>
      <w:jc w:val="left"/>
    </w:pPr>
    <w:rPr>
      <w:rFonts w:ascii="宋体" w:hAnsi="宋体" w:cs="宋体"/>
      <w:sz w:val="22"/>
      <w:szCs w:val="22"/>
      <w:lang w:eastAsia="en-US"/>
    </w:rPr>
  </w:style>
  <w:style w:type="paragraph" w:styleId="1103">
    <w:name w:val="xl24"/>
    <w:basedOn w:val="909"/>
    <w:next w:val="1103"/>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Default"/>
    <w:next w:val="1104"/>
    <w:link w:val="909"/>
    <w:qFormat/>
    <w:pPr>
      <w:widowControl w:val="off"/>
    </w:pPr>
    <w:rPr>
      <w:rFonts w:ascii="Symbol" w:hAnsi="Symbol" w:cs="Symbol"/>
      <w:color w:val="000000"/>
      <w:sz w:val="24"/>
      <w:szCs w:val="24"/>
      <w:lang w:val="en-US" w:eastAsia="zh-CN" w:bidi="ar-SA"/>
    </w:rPr>
  </w:style>
  <w:style w:type="paragraph" w:styleId="1105">
    <w:name w:val="22222222222222"/>
    <w:basedOn w:val="909"/>
    <w:next w:val="1105"/>
    <w:link w:val="909"/>
    <w:qFormat/>
    <w:pPr>
      <w:ind w:firstLine="480"/>
      <w:jc w:val="left"/>
      <w:spacing w:line="360" w:lineRule="auto"/>
      <w:widowControl/>
    </w:pPr>
    <w:rPr>
      <w:color w:val="ff0000"/>
      <w:sz w:val="24"/>
      <w:szCs w:val="20"/>
    </w:rPr>
  </w:style>
  <w:style w:type="paragraph" w:styleId="1106">
    <w:name w:val="项目编号1"/>
    <w:basedOn w:val="909"/>
    <w:next w:val="1106"/>
    <w:link w:val="909"/>
    <w:qFormat/>
    <w:pPr>
      <w:numPr>
        <w:ilvl w:val="0"/>
        <w:numId w:val="4"/>
      </w:numPr>
      <w:spacing w:before="100" w:beforeAutospacing="1" w:after="100" w:afterAutospacing="1" w:line="360" w:lineRule="auto"/>
    </w:pPr>
    <w:rPr>
      <w:sz w:val="24"/>
    </w:rPr>
  </w:style>
  <w:style w:type="paragraph" w:styleId="1107">
    <w:name w:val="正文 + 楷体_GB2312"/>
    <w:basedOn w:val="909"/>
    <w:next w:val="1107"/>
    <w:link w:val="909"/>
    <w:qFormat/>
    <w:pPr>
      <w:jc w:val="left"/>
      <w:widowControl/>
    </w:pPr>
    <w:rPr>
      <w:rFonts w:ascii="楷体_GB2312" w:eastAsia="楷体_GB2312" w:cs="Arial"/>
      <w:sz w:val="24"/>
    </w:rPr>
  </w:style>
  <w:style w:type="paragraph" w:styleId="1108">
    <w:name w:val="正文须知-1级"/>
    <w:basedOn w:val="909"/>
    <w:next w:val="909"/>
    <w:link w:val="909"/>
    <w:qFormat/>
    <w:pPr>
      <w:numPr>
        <w:ilvl w:val="0"/>
        <w:numId w:val="3"/>
      </w:numPr>
      <w:spacing w:line="300" w:lineRule="auto"/>
    </w:pPr>
    <w:rPr>
      <w:rFonts w:ascii="宋体" w:hAnsi="Calibri"/>
      <w:sz w:val="24"/>
      <w:szCs w:val="21"/>
    </w:rPr>
  </w:style>
  <w:style w:type="paragraph" w:styleId="1109">
    <w:name w:val="Char Char1 Char Char Char Char Char Char"/>
    <w:basedOn w:val="909"/>
    <w:next w:val="1109"/>
    <w:link w:val="909"/>
    <w:qFormat/>
    <w:pPr>
      <w:jc w:val="left"/>
      <w:spacing w:after="160" w:line="240" w:lineRule="exact"/>
      <w:widowControl/>
    </w:pPr>
    <w:rPr>
      <w:rFonts w:ascii="Verdana" w:hAnsi="Verdana" w:eastAsia="仿宋_GB2312"/>
      <w:sz w:val="24"/>
      <w:szCs w:val="20"/>
      <w:lang w:eastAsia="en-US"/>
    </w:rPr>
  </w:style>
  <w:style w:type="paragraph" w:styleId="1110">
    <w:name w:val="表格文字"/>
    <w:basedOn w:val="942"/>
    <w:next w:val="1110"/>
    <w:link w:val="909"/>
    <w:qFormat/>
    <w:pPr>
      <w:ind w:firstLine="0"/>
      <w:spacing w:before="20" w:after="20" w:line="240" w:lineRule="auto"/>
    </w:pPr>
    <w:rPr>
      <w:rFonts w:ascii="Century Gothic" w:hAnsi="Century Gothic"/>
      <w:sz w:val="20"/>
      <w:szCs w:val="20"/>
    </w:rPr>
  </w:style>
  <w:style w:type="paragraph" w:styleId="1111">
    <w:name w:val="xl30"/>
    <w:basedOn w:val="909"/>
    <w:next w:val="1111"/>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表格1"/>
    <w:basedOn w:val="909"/>
    <w:next w:val="1112"/>
    <w:link w:val="909"/>
    <w:qFormat/>
    <w:pPr>
      <w:ind w:firstLine="480"/>
      <w:jc w:val="center"/>
    </w:pPr>
    <w:rPr>
      <w:sz w:val="24"/>
      <w:szCs w:val="20"/>
    </w:rPr>
  </w:style>
  <w:style w:type="paragraph" w:styleId="1113">
    <w:name w:val="background1"/>
    <w:basedOn w:val="909"/>
    <w:next w:val="1113"/>
    <w:link w:val="909"/>
    <w:qFormat/>
    <w:pPr>
      <w:jc w:val="left"/>
      <w:spacing w:before="100" w:beforeAutospacing="1" w:after="100" w:afterAutospacing="1"/>
      <w:widowControl/>
    </w:pPr>
    <w:rPr>
      <w:rFonts w:ascii="宋体" w:hAnsi="宋体" w:cs="宋体"/>
      <w:sz w:val="24"/>
    </w:rPr>
  </w:style>
  <w:style w:type="paragraph" w:styleId="1114">
    <w:name w:val="纯文本1"/>
    <w:next w:val="962"/>
    <w:link w:val="909"/>
    <w:qFormat/>
    <w:pPr>
      <w:jc w:val="both"/>
      <w:widowControl w:val="off"/>
    </w:pPr>
    <w:rPr>
      <w:rFonts w:ascii="宋体" w:hAnsi="宋体" w:eastAsia="宋体" w:cs="Times New Roman"/>
      <w:sz w:val="26"/>
      <w:lang w:val="en-US" w:eastAsia="zh-CN" w:bidi="ar-SA"/>
    </w:rPr>
  </w:style>
  <w:style w:type="paragraph" w:styleId="1115">
    <w:name w:val="Char Char Char1 Char"/>
    <w:basedOn w:val="909"/>
    <w:next w:val="1115"/>
    <w:link w:val="909"/>
    <w:qFormat/>
    <w:rPr>
      <w:rFonts w:ascii="Tahoma" w:hAnsi="Tahoma"/>
      <w:sz w:val="24"/>
      <w:szCs w:val="20"/>
    </w:rPr>
  </w:style>
  <w:style w:type="paragraph" w:styleId="1116">
    <w:name w:val="font9"/>
    <w:basedOn w:val="909"/>
    <w:next w:val="1116"/>
    <w:link w:val="909"/>
    <w:qFormat/>
    <w:pPr>
      <w:jc w:val="left"/>
      <w:spacing w:before="100" w:beforeAutospacing="1" w:after="100" w:afterAutospacing="1"/>
      <w:widowControl/>
    </w:pPr>
    <w:rPr>
      <w:rFonts w:hint="eastAsia" w:ascii="宋体" w:hAnsi="宋体" w:cs="Arial Unicode MS"/>
      <w:color w:val="000000"/>
      <w:sz w:val="20"/>
      <w:szCs w:val="20"/>
    </w:rPr>
  </w:style>
  <w:style w:type="paragraph" w:styleId="1117">
    <w:name w:val="正文文本缩进2"/>
    <w:basedOn w:val="909"/>
    <w:next w:val="1117"/>
    <w:link w:val="909"/>
    <w:qFormat/>
    <w:pPr>
      <w:ind w:firstLine="480"/>
      <w:spacing w:line="480" w:lineRule="exact"/>
    </w:pPr>
    <w:rPr>
      <w:rFonts w:ascii="宋体" w:hAnsi="宋体"/>
      <w:sz w:val="24"/>
      <w:lang w:val="zh-CN" w:eastAsia="zh-CN"/>
    </w:rPr>
  </w:style>
  <w:style w:type="paragraph" w:styleId="1118">
    <w:name w:val="正文文本样式 加粗"/>
    <w:basedOn w:val="1052"/>
    <w:next w:val="1118"/>
    <w:link w:val="909"/>
    <w:qFormat/>
    <w:rPr>
      <w:b/>
    </w:rPr>
  </w:style>
  <w:style w:type="paragraph" w:styleId="1119">
    <w:name w:val="正文须知-3级"/>
    <w:basedOn w:val="909"/>
    <w:next w:val="1119"/>
    <w:link w:val="909"/>
    <w:qFormat/>
    <w:pPr>
      <w:numPr>
        <w:ilvl w:val="2"/>
        <w:numId w:val="3"/>
      </w:numPr>
      <w:ind w:hanging="355"/>
      <w:spacing w:line="300" w:lineRule="auto"/>
    </w:pPr>
    <w:rPr>
      <w:rFonts w:ascii="宋体" w:hAnsi="Calibri"/>
      <w:sz w:val="24"/>
      <w:szCs w:val="21"/>
    </w:rPr>
  </w:style>
  <w:style w:type="paragraph" w:styleId="1120">
    <w:name w:val="Char3 Char Char Char"/>
    <w:basedOn w:val="909"/>
    <w:next w:val="1120"/>
    <w:link w:val="909"/>
    <w:qFormat/>
    <w:rPr>
      <w:rFonts w:ascii="Tahoma" w:hAnsi="Tahoma"/>
      <w:sz w:val="24"/>
      <w:szCs w:val="20"/>
    </w:rPr>
  </w:style>
  <w:style w:type="paragraph" w:styleId="1121">
    <w:name w:val="Char Char Char Char Char Char Char Char Char Char Char Char Char Char Char Char"/>
    <w:basedOn w:val="909"/>
    <w:next w:val="1121"/>
    <w:link w:val="909"/>
    <w:qFormat/>
    <w:pPr>
      <w:jc w:val="center"/>
      <w:spacing w:after="160" w:line="240" w:lineRule="exact"/>
      <w:widowControl/>
    </w:pPr>
    <w:rPr>
      <w:rFonts w:ascii="宋体" w:hAnsi="宋体"/>
      <w:b/>
      <w:sz w:val="30"/>
      <w:szCs w:val="30"/>
      <w:lang w:eastAsia="en-US"/>
    </w:rPr>
  </w:style>
  <w:style w:type="paragraph" w:styleId="1122">
    <w:name w:val="Char Char Char"/>
    <w:basedOn w:val="909"/>
    <w:next w:val="1122"/>
    <w:link w:val="909"/>
    <w:qFormat/>
    <w:rPr>
      <w:rFonts w:ascii="Tahoma" w:hAnsi="Tahoma"/>
      <w:sz w:val="24"/>
      <w:szCs w:val="20"/>
    </w:rPr>
  </w:style>
  <w:style w:type="paragraph" w:styleId="1123">
    <w:name w:val="_Style 160"/>
    <w:next w:val="1123"/>
    <w:link w:val="909"/>
    <w:qFormat/>
    <w:rPr>
      <w:sz w:val="21"/>
      <w:szCs w:val="24"/>
      <w:lang w:val="en-US" w:eastAsia="zh-CN" w:bidi="ar-SA"/>
    </w:rPr>
  </w:style>
  <w:style w:type="paragraph" w:styleId="1124">
    <w:name w:val="xl36"/>
    <w:basedOn w:val="909"/>
    <w:next w:val="1124"/>
    <w:link w:val="90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name w:val="修订"/>
    <w:next w:val="1125"/>
    <w:link w:val="909"/>
    <w:uiPriority w:val="99"/>
    <w:unhideWhenUsed/>
    <w:rPr>
      <w:sz w:val="21"/>
      <w:szCs w:val="24"/>
      <w:lang w:val="en-US" w:eastAsia="zh-CN" w:bidi="ar-SA"/>
    </w:rPr>
  </w:style>
  <w:style w:type="paragraph" w:styleId="1126">
    <w:name w:val="Char Char1"/>
    <w:basedOn w:val="934"/>
    <w:next w:val="1126"/>
    <w:link w:val="909"/>
    <w:qFormat/>
    <w:rPr>
      <w:rFonts w:ascii="Tahoma" w:hAnsi="Tahoma"/>
      <w:sz w:val="24"/>
    </w:rPr>
  </w:style>
  <w:style w:type="paragraph" w:styleId="1127">
    <w:name w:val="正文列项_字母"/>
    <w:basedOn w:val="909"/>
    <w:next w:val="1127"/>
    <w:link w:val="909"/>
    <w:qFormat/>
    <w:pPr>
      <w:numPr>
        <w:ilvl w:val="6"/>
        <w:numId w:val="1"/>
      </w:numPr>
      <w:ind w:left="480" w:hanging="180"/>
      <w:spacing w:line="460" w:lineRule="exact"/>
      <w:tabs>
        <w:tab w:val="clear" w:pos="635" w:leader="none"/>
      </w:tabs>
      <w:outlineLvl w:val="6"/>
    </w:pPr>
    <w:rPr>
      <w:rFonts w:ascii="宋体"/>
      <w:sz w:val="28"/>
      <w:szCs w:val="20"/>
    </w:rPr>
  </w:style>
  <w:style w:type="paragraph" w:styleId="1128">
    <w:name w:val="图例"/>
    <w:basedOn w:val="909"/>
    <w:next w:val="1128"/>
    <w:link w:val="909"/>
    <w:qFormat/>
    <w:pPr>
      <w:jc w:val="center"/>
      <w:spacing w:before="120" w:after="120" w:line="360" w:lineRule="auto"/>
    </w:pPr>
    <w:rPr>
      <w:rFonts w:eastAsia="仿宋_GB2312"/>
      <w:b/>
      <w:sz w:val="24"/>
      <w:szCs w:val="20"/>
    </w:rPr>
  </w:style>
  <w:style w:type="paragraph" w:styleId="1129">
    <w:name w:val="xl39"/>
    <w:basedOn w:val="909"/>
    <w:next w:val="1129"/>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name w:val="xl37"/>
    <w:basedOn w:val="909"/>
    <w:next w:val="1130"/>
    <w:link w:val="9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xl48"/>
    <w:basedOn w:val="909"/>
    <w:next w:val="1131"/>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2">
    <w:name w:val="项目编号2"/>
    <w:basedOn w:val="1106"/>
    <w:next w:val="1132"/>
    <w:link w:val="909"/>
    <w:qFormat/>
    <w:pPr>
      <w:numPr>
        <w:numId w:val="5"/>
      </w:numPr>
    </w:pPr>
  </w:style>
  <w:style w:type="paragraph" w:styleId="1133">
    <w:name w:val="样式 标题 2 + 宋体 五号 行距: 单倍行距"/>
    <w:basedOn w:val="911"/>
    <w:next w:val="1133"/>
    <w:link w:val="909"/>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34">
    <w:name w:val="??"/>
    <w:next w:val="1134"/>
    <w:link w:val="909"/>
    <w:qFormat/>
    <w:pPr>
      <w:jc w:val="both"/>
      <w:widowControl w:val="off"/>
    </w:pPr>
    <w:rPr>
      <w:sz w:val="21"/>
      <w:lang w:val="en-US" w:eastAsia="en-US" w:bidi="ar-SA"/>
    </w:rPr>
  </w:style>
  <w:style w:type="paragraph" w:styleId="1135">
    <w:name w:val="xl44"/>
    <w:basedOn w:val="909"/>
    <w:next w:val="1135"/>
    <w:link w:val="9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6">
    <w:name w:val="样式2"/>
    <w:basedOn w:val="971"/>
    <w:next w:val="1136"/>
    <w:link w:val="909"/>
    <w:qFormat/>
    <w:pPr>
      <w:jc w:val="center"/>
      <w:spacing w:line="360" w:lineRule="auto"/>
    </w:pPr>
    <w:rPr>
      <w:sz w:val="24"/>
    </w:rPr>
  </w:style>
  <w:style w:type="paragraph" w:styleId="1137">
    <w:name w:val="xl51"/>
    <w:basedOn w:val="909"/>
    <w:next w:val="1137"/>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图文"/>
    <w:basedOn w:val="909"/>
    <w:next w:val="1138"/>
    <w:link w:val="909"/>
    <w:qFormat/>
    <w:pPr>
      <w:spacing w:after="50" w:line="360" w:lineRule="auto"/>
    </w:pPr>
    <w:rPr>
      <w:sz w:val="24"/>
    </w:rPr>
  </w:style>
  <w:style w:type="paragraph" w:styleId="1139">
    <w:name w:val="Char Char Char Char Char Char Char Char Char Char Char Char Char Char Char Char1"/>
    <w:basedOn w:val="909"/>
    <w:next w:val="1139"/>
    <w:link w:val="909"/>
    <w:qFormat/>
    <w:pPr>
      <w:jc w:val="center"/>
      <w:spacing w:after="160" w:line="240" w:lineRule="exact"/>
      <w:widowControl/>
    </w:pPr>
    <w:rPr>
      <w:rFonts w:ascii="宋体" w:hAnsi="宋体"/>
      <w:b/>
      <w:sz w:val="30"/>
      <w:szCs w:val="30"/>
      <w:lang w:eastAsia="en-US"/>
    </w:rPr>
  </w:style>
  <w:style w:type="paragraph" w:styleId="1140">
    <w:name w:val="正文 + 宋体"/>
    <w:basedOn w:val="909"/>
    <w:next w:val="1140"/>
    <w:link w:val="909"/>
    <w:qFormat/>
    <w:pPr>
      <w:ind w:left="360" w:hanging="360"/>
      <w:jc w:val="left"/>
      <w:widowControl/>
    </w:pPr>
    <w:rPr>
      <w:rFonts w:ascii="宋体" w:hAnsi="宋体" w:cs="宋体"/>
      <w:b/>
      <w:bCs/>
      <w:color w:val="000000"/>
      <w:sz w:val="18"/>
      <w:szCs w:val="18"/>
    </w:rPr>
  </w:style>
  <w:style w:type="paragraph" w:styleId="1141">
    <w:name w:val="Char3 Char Char Char2"/>
    <w:basedOn w:val="909"/>
    <w:next w:val="1141"/>
    <w:link w:val="909"/>
    <w:qFormat/>
    <w:rPr>
      <w:rFonts w:ascii="Tahoma" w:hAnsi="Tahoma"/>
      <w:sz w:val="24"/>
      <w:szCs w:val="20"/>
    </w:rPr>
  </w:style>
  <w:style w:type="paragraph" w:styleId="1142">
    <w:name w:val="xl27"/>
    <w:basedOn w:val="909"/>
    <w:next w:val="1142"/>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3">
    <w:name w:val="Char Char1 Char Char Char Char Char Char1"/>
    <w:basedOn w:val="909"/>
    <w:next w:val="1143"/>
    <w:link w:val="909"/>
    <w:qFormat/>
    <w:pPr>
      <w:jc w:val="left"/>
      <w:spacing w:after="160" w:line="240" w:lineRule="exact"/>
      <w:widowControl/>
    </w:pPr>
    <w:rPr>
      <w:rFonts w:ascii="Verdana" w:hAnsi="Verdana" w:eastAsia="仿宋_GB2312"/>
      <w:sz w:val="24"/>
      <w:szCs w:val="20"/>
      <w:lang w:eastAsia="en-US"/>
    </w:rPr>
  </w:style>
  <w:style w:type="paragraph" w:styleId="1144">
    <w:name w:val="1 Char Char Char Char"/>
    <w:basedOn w:val="909"/>
    <w:next w:val="1144"/>
    <w:link w:val="909"/>
    <w:qFormat/>
    <w:rPr>
      <w:rFonts w:ascii="Tahoma" w:hAnsi="Tahoma"/>
      <w:sz w:val="24"/>
      <w:szCs w:val="20"/>
    </w:rPr>
  </w:style>
  <w:style w:type="paragraph" w:styleId="1145">
    <w:name w:val="List Paragraph1"/>
    <w:basedOn w:val="909"/>
    <w:next w:val="1145"/>
    <w:link w:val="909"/>
    <w:qFormat/>
    <w:pPr>
      <w:ind w:firstLine="420"/>
    </w:pPr>
    <w:rPr>
      <w:rFonts w:ascii="Calibri" w:hAnsi="Calibri"/>
      <w:szCs w:val="22"/>
    </w:rPr>
  </w:style>
  <w:style w:type="paragraph" w:styleId="1146">
    <w:name w:val="文档正文"/>
    <w:basedOn w:val="909"/>
    <w:next w:val="1146"/>
    <w:link w:val="909"/>
    <w:qFormat/>
    <w:pPr>
      <w:spacing w:before="120" w:after="120" w:line="180" w:lineRule="auto"/>
    </w:pPr>
    <w:rPr>
      <w:rFonts w:ascii="Arial" w:hAnsi="Arial"/>
      <w:szCs w:val="20"/>
    </w:rPr>
  </w:style>
  <w:style w:type="paragraph" w:styleId="1147">
    <w:name w:val="xl32"/>
    <w:basedOn w:val="909"/>
    <w:next w:val="1147"/>
    <w:link w:val="9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列出段落2"/>
    <w:basedOn w:val="909"/>
    <w:next w:val="1148"/>
    <w:link w:val="909"/>
    <w:qFormat/>
    <w:pPr>
      <w:ind w:firstLine="420"/>
    </w:pPr>
    <w:rPr>
      <w:rFonts w:ascii="Calibri" w:hAnsi="Calibri"/>
      <w:szCs w:val="22"/>
    </w:rPr>
  </w:style>
  <w:style w:type="paragraph" w:styleId="1149">
    <w:name w:val="font6"/>
    <w:basedOn w:val="909"/>
    <w:next w:val="1149"/>
    <w:link w:val="909"/>
    <w:qFormat/>
    <w:pPr>
      <w:jc w:val="left"/>
      <w:spacing w:before="100" w:beforeAutospacing="1" w:after="100" w:afterAutospacing="1"/>
      <w:widowControl/>
    </w:pPr>
    <w:rPr>
      <w:rFonts w:ascii="宋体" w:hAnsi="宋体" w:cs="宋体"/>
      <w:sz w:val="20"/>
      <w:szCs w:val="20"/>
    </w:rPr>
  </w:style>
  <w:style w:type="paragraph" w:styleId="1150">
    <w:name w:val="xl43"/>
    <w:basedOn w:val="909"/>
    <w:next w:val="1150"/>
    <w:link w:val="9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Char3"/>
    <w:basedOn w:val="909"/>
    <w:next w:val="1151"/>
    <w:link w:val="909"/>
    <w:qFormat/>
    <w:pPr>
      <w:tabs>
        <w:tab w:val="left" w:pos="360" w:leader="none"/>
      </w:tabs>
    </w:pPr>
    <w:rPr>
      <w:sz w:val="24"/>
    </w:rPr>
  </w:style>
  <w:style w:type="paragraph" w:styleId="1152">
    <w:name w:val="样式 宋体 五号 行距: 单倍行距"/>
    <w:basedOn w:val="909"/>
    <w:next w:val="1152"/>
    <w:link w:val="909"/>
    <w:qFormat/>
    <w:pPr>
      <w:jc w:val="left"/>
    </w:pPr>
    <w:rPr>
      <w:rFonts w:ascii="宋体" w:hAnsi="宋体"/>
      <w:szCs w:val="20"/>
    </w:rPr>
  </w:style>
  <w:style w:type="paragraph" w:styleId="1153">
    <w:name w:val="标题1-附件"/>
    <w:basedOn w:val="910"/>
    <w:next w:val="1153"/>
    <w:link w:val="909"/>
    <w:qFormat/>
    <w:pPr>
      <w:jc w:val="left"/>
    </w:pPr>
    <w:rPr>
      <w:sz w:val="24"/>
      <w:szCs w:val="24"/>
    </w:rPr>
  </w:style>
  <w:style w:type="paragraph" w:styleId="1154">
    <w:name w:val="default"/>
    <w:basedOn w:val="909"/>
    <w:next w:val="1154"/>
    <w:link w:val="909"/>
    <w:qFormat/>
    <w:pPr>
      <w:jc w:val="left"/>
      <w:spacing w:before="100" w:beforeAutospacing="1" w:after="100" w:afterAutospacing="1"/>
      <w:widowControl/>
    </w:pPr>
    <w:rPr>
      <w:rFonts w:ascii="宋体" w:hAnsi="宋体" w:cs="宋体"/>
      <w:sz w:val="24"/>
    </w:rPr>
  </w:style>
  <w:style w:type="paragraph" w:styleId="1155">
    <w:name w:val="font7"/>
    <w:basedOn w:val="909"/>
    <w:next w:val="1155"/>
    <w:link w:val="909"/>
    <w:qFormat/>
    <w:pPr>
      <w:jc w:val="left"/>
      <w:spacing w:before="100" w:beforeAutospacing="1" w:after="100" w:afterAutospacing="1"/>
      <w:widowControl/>
    </w:pPr>
    <w:rPr>
      <w:rFonts w:eastAsia="Arial Unicode MS"/>
      <w:b/>
      <w:bCs/>
      <w:color w:val="000000"/>
      <w:sz w:val="20"/>
      <w:szCs w:val="20"/>
    </w:rPr>
  </w:style>
  <w:style w:type="paragraph" w:styleId="1156">
    <w:name w:val="1名"/>
    <w:basedOn w:val="909"/>
    <w:next w:val="1156"/>
    <w:link w:val="909"/>
    <w:qFormat/>
    <w:pPr>
      <w:numPr>
        <w:ilvl w:val="0"/>
        <w:numId w:val="7"/>
      </w:numPr>
      <w:spacing w:before="120"/>
      <w:tabs>
        <w:tab w:val="left" w:pos="360" w:leader="none"/>
      </w:tabs>
    </w:pPr>
    <w:rPr>
      <w:rFonts w:ascii="宋体"/>
      <w:sz w:val="28"/>
      <w:szCs w:val="20"/>
    </w:rPr>
  </w:style>
  <w:style w:type="paragraph" w:styleId="1157">
    <w:name w:val="Char21"/>
    <w:basedOn w:val="909"/>
    <w:next w:val="1157"/>
    <w:link w:val="909"/>
    <w:qFormat/>
    <w:rPr>
      <w:rFonts w:ascii="Tahoma" w:hAnsi="Tahoma"/>
      <w:sz w:val="24"/>
      <w:szCs w:val="20"/>
    </w:rPr>
  </w:style>
  <w:style w:type="paragraph" w:styleId="1158">
    <w:name w:val="Char22"/>
    <w:basedOn w:val="909"/>
    <w:next w:val="1158"/>
    <w:link w:val="909"/>
    <w:qFormat/>
    <w:rPr>
      <w:rFonts w:ascii="Tahoma" w:hAnsi="Tahoma"/>
      <w:sz w:val="24"/>
      <w:szCs w:val="20"/>
    </w:rPr>
  </w:style>
  <w:style w:type="paragraph" w:styleId="1159">
    <w:name w:val="xl26"/>
    <w:basedOn w:val="909"/>
    <w:next w:val="1159"/>
    <w:link w:val="9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160">
    <w:name w:val="Table Normal"/>
    <w:next w:val="1160"/>
    <w:link w:val="909"/>
    <w:uiPriority w:val="2"/>
    <w:unhideWhenUsed/>
    <w:qFormat/>
    <w:pPr>
      <w:widowControl w:val="off"/>
    </w:pPr>
    <w:rPr>
      <w:rFonts w:ascii="Calibri" w:hAnsi="Calibri"/>
      <w:sz w:val="22"/>
      <w:szCs w:val="22"/>
      <w:lang w:val="en-US" w:eastAsia="en-US" w:bidi="ar-SA"/>
    </w:rPr>
    <w:tblPr/>
  </w:style>
  <w:style w:type="character" w:styleId="1161">
    <w:name w:val="font21"/>
    <w:basedOn w:val="919"/>
    <w:next w:val="1161"/>
    <w:link w:val="909"/>
    <w:rPr>
      <w:rFonts w:hint="eastAsia" w:ascii="宋体" w:hAnsi="宋体" w:eastAsia="宋体" w:cs="宋体"/>
      <w:i w:val="0"/>
      <w:iCs w:val="0"/>
      <w:color w:val="000000"/>
      <w:sz w:val="24"/>
      <w:szCs w:val="24"/>
      <w:u w:val="none"/>
    </w:rPr>
  </w:style>
  <w:style w:type="character" w:styleId="1162">
    <w:name w:val="font41"/>
    <w:basedOn w:val="919"/>
    <w:next w:val="1162"/>
    <w:link w:val="909"/>
    <w:rPr>
      <w:rFonts w:hint="eastAsia" w:ascii="宋体" w:hAnsi="宋体" w:eastAsia="宋体" w:cs="宋体"/>
      <w:i w:val="0"/>
      <w:iCs w:val="0"/>
      <w:color w:val="000000"/>
      <w:sz w:val="24"/>
      <w:szCs w:val="24"/>
      <w:u w:val="none"/>
      <w:vertAlign w:val="subscript"/>
    </w:rPr>
  </w:style>
  <w:style w:type="character" w:styleId="1163">
    <w:name w:val="font11"/>
    <w:basedOn w:val="919"/>
    <w:next w:val="1163"/>
    <w:link w:val="909"/>
    <w:rPr>
      <w:rFonts w:hint="eastAsia" w:ascii="宋体" w:hAnsi="宋体" w:eastAsia="宋体" w:cs="宋体"/>
      <w:i w:val="0"/>
      <w:iCs w:val="0"/>
      <w:color w:val="000000"/>
      <w:sz w:val="22"/>
      <w:szCs w:val="22"/>
      <w:u w:val="none"/>
    </w:rPr>
  </w:style>
  <w:style w:type="paragraph" w:styleId="1164">
    <w:name w:val="null3"/>
    <w:next w:val="1164"/>
    <w:link w:val="909"/>
    <w:qFormat/>
    <w:rPr>
      <w:rFonts w:hint="eastAsia" w:ascii="Calibri" w:hAnsi="Calibri" w:eastAsia="宋体" w:cs="Times New Roman"/>
      <w:lang w:val="en-US" w:eastAsia="zh-CN" w:bidi="ar-SA"/>
    </w:rPr>
  </w:style>
  <w:style w:type="paragraph" w:styleId="1165">
    <w:name w:val="样式"/>
    <w:next w:val="1165"/>
    <w:link w:val="909"/>
    <w:qFormat/>
    <w:pPr>
      <w:widowControl w:val="off"/>
    </w:pPr>
    <w:rPr>
      <w:rFonts w:ascii="Calibri" w:hAnsi="Calibri" w:eastAsia="宋体" w:cs="Times New Roman"/>
      <w:sz w:val="24"/>
      <w:szCs w:val="24"/>
      <w:lang w:val="en-US" w:eastAsia="zh-CN" w:bidi="ar-SA"/>
    </w:rPr>
  </w:style>
  <w:style w:type="paragraph" w:styleId="1166">
    <w:name w:val="普通(网站)1"/>
    <w:basedOn w:val="909"/>
    <w:next w:val="1166"/>
    <w:link w:val="909"/>
    <w:uiPriority w:val="99"/>
    <w:unhideWhenUsed/>
    <w:qFormat/>
    <w:pPr>
      <w:jc w:val="left"/>
      <w:spacing w:before="100" w:beforeAutospacing="1" w:after="100" w:afterAutospacing="1"/>
      <w:widowControl/>
    </w:pPr>
    <w:rPr>
      <w:rFonts w:ascii="宋体" w:hAnsi="宋体" w:cs="宋体"/>
      <w:sz w:val="24"/>
    </w:rPr>
  </w:style>
  <w:style w:type="character" w:styleId="1167">
    <w:name w:val="强调1"/>
    <w:next w:val="1167"/>
    <w:link w:val="909"/>
    <w:qFormat/>
    <w:rPr>
      <w:sz w:val="21"/>
      <w:szCs w:val="24"/>
      <w:lang w:val="en-US" w:eastAsia="zh-CN" w:bidi="ar-SA"/>
    </w:rPr>
  </w:style>
  <w:style w:type="character" w:styleId="15875" w:default="1">
    <w:name w:val="Default Paragraph Font"/>
    <w:uiPriority w:val="1"/>
    <w:semiHidden/>
    <w:unhideWhenUsed/>
  </w:style>
  <w:style w:type="numbering" w:styleId="15876" w:default="1">
    <w:name w:val="No List"/>
    <w:uiPriority w:val="99"/>
    <w:semiHidden/>
    <w:unhideWhenUsed/>
  </w:style>
  <w:style w:type="table" w:styleId="158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嵇玲</cp:lastModifiedBy>
  <cp:revision>5</cp:revision>
  <dcterms:created xsi:type="dcterms:W3CDTF">2022-05-30T08:08:00Z</dcterms:created>
  <dcterms:modified xsi:type="dcterms:W3CDTF">2026-07-31T01:59:35Z</dcterms:modified>
</cp:coreProperties>
</file>