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145"/>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2025年度东海县部级小麦绿色高产高效行动项目</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项目编号：JSZC-320722-DHHY-C2026-0009</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pStyle w:val="1023"/>
        <w:rPr>
          <w:rFonts w:hint="eastAsia"/>
          <w:lang w:val="en-US" w:eastAsia="zh-CN"/>
        </w:rPr>
      </w:pPr>
      <w:r>
        <w:rPr>
          <w:rFonts w:hint="eastAsia"/>
          <w:lang w:val="en-US" w:eastAsia="zh-CN"/>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东海县农业技术推广中心</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二零二六年六月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_Toc16299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目     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_Toc16299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6</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1</w:t>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合同专用条款</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_Toc15100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评审方法及评审标准</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7</w:t>
      </w:r>
      <w:r/>
    </w:p>
    <w:p>
      <w:pPr>
        <w:ind w:firstLine="482"/>
        <w:jc w:val="left"/>
        <w:spacing w:before="120" w:line="360" w:lineRule="auto"/>
        <w:widowControl w:val="off"/>
        <w:tabs>
          <w:tab w:val="right" w:pos="9638" w:leader="dot"/>
        </w:tabs>
        <w:rPr>
          <w:rFonts w:hint="default"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4</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bookmarkStart w:id="2" w:name="_Toc139967210"/>
      <w:r/>
      <w:bookmarkStart w:id="3" w:name="_Toc139966426"/>
      <w:r>
        <w:rPr>
          <w:rFonts w:hint="eastAsia" w:ascii="宋体" w:hAnsi="宋体" w:eastAsia="宋体" w:cs="宋体"/>
          <w:color w:val="000000"/>
          <w:sz w:val="36"/>
          <w:szCs w:val="20"/>
        </w:rPr>
        <w:br w:type="page" w:clear="all"/>
      </w:r>
      <w:bookmarkStart w:id="4" w:name="_Toc12726"/>
      <w:r>
        <w:rPr>
          <w:rFonts w:hint="eastAsia" w:ascii="宋体" w:hAnsi="宋体" w:eastAsia="宋体" w:cs="宋体"/>
          <w:b/>
          <w:bCs/>
          <w:color w:val="000000"/>
          <w:sz w:val="36"/>
          <w:szCs w:val="20"/>
          <w:lang w:eastAsia="zh-CN"/>
        </w:rPr>
        <w:t xml:space="preserve">招标公告</w:t>
      </w:r>
      <w:bookmarkEnd w:id="4"/>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eastAsia" w:ascii="宋体"/>
          <w:sz w:val="24"/>
          <w:lang w:eastAsia="zh-CN"/>
        </w:rPr>
        <w:t xml:space="preserve">东海县农业技术推广中心</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Times New Roman"/>
          <w:color w:val="000000"/>
          <w:sz w:val="24"/>
        </w:rPr>
        <w:t xml:space="preserve">】进行公开招标采购，欢迎符合条件的投标人投标。</w:t>
      </w:r>
      <w:r/>
    </w:p>
    <w:tbl>
      <w:tblPr>
        <w:tblStyle w:val="102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2026年07月06日9点00分00秒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一、项目基本情况</w:t>
      </w:r>
      <w:r/>
    </w:p>
    <w:p>
      <w:pPr>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i w:val="0"/>
          <w:iCs w:val="0"/>
          <w:color w:val="000000"/>
          <w:sz w:val="24"/>
          <w:szCs w:val="24"/>
          <w:highlight w:val="none"/>
          <w:u w:val="none"/>
          <w:lang w:eastAsia="zh-CN"/>
        </w:rPr>
        <w:t xml:space="preserve">：JSZC-320722-DHHY-G2026-0009；</w:t>
      </w:r>
      <w:r/>
    </w:p>
    <w:p>
      <w:pPr>
        <w:ind w:firstLine="480"/>
        <w:spacing w:line="360" w:lineRule="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eastAsia="zh-CN"/>
        </w:rPr>
        <w:t xml:space="preserve">2025年度东海县部级小麦绿色高产高效行动项目；</w:t>
      </w:r>
      <w:r/>
    </w:p>
    <w:p>
      <w:pPr>
        <w:ind w:firstLine="480"/>
        <w:spacing w:line="360" w:lineRule="auto"/>
        <w:rPr>
          <w:rFonts w:hint="default" w:ascii="宋体" w:hAnsi="宋体" w:eastAsia="宋体" w:cs="宋体"/>
          <w:i w:val="0"/>
          <w:iCs w:val="0"/>
          <w:color w:val="000000"/>
          <w:sz w:val="24"/>
          <w:szCs w:val="24"/>
          <w:highlight w:val="yellow"/>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u w:val="none"/>
          <w:lang w:val="en-US"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b w:val="0"/>
          <w:bCs w:val="0"/>
          <w:i w:val="0"/>
          <w:iCs w:val="0"/>
          <w:color w:val="auto"/>
          <w:sz w:val="24"/>
          <w:szCs w:val="24"/>
          <w:u w:val="none"/>
          <w:lang w:val="en-US" w:eastAsia="zh-CN"/>
        </w:rPr>
        <w:t xml:space="preserve">260</w:t>
      </w:r>
      <w:r>
        <w:rPr>
          <w:rFonts w:hint="eastAsia" w:ascii="宋体" w:hAnsi="宋体" w:eastAsia="宋体" w:cs="宋体"/>
          <w:b w:val="0"/>
          <w:bCs w:val="0"/>
          <w:i w:val="0"/>
          <w:iCs w:val="0"/>
          <w:color w:val="auto"/>
          <w:sz w:val="24"/>
          <w:szCs w:val="24"/>
          <w:u w:val="none"/>
          <w:lang w:eastAsia="zh-CN"/>
        </w:rPr>
        <w:t xml:space="preserve">万元</w:t>
      </w:r>
      <w:r>
        <w:rPr>
          <w:rFonts w:hint="eastAsia" w:ascii="宋体" w:hAnsi="宋体" w:cs="宋体"/>
          <w:sz w:val="24"/>
        </w:rPr>
        <w:t xml:space="preserve">。</w:t>
      </w:r>
      <w:r/>
    </w:p>
    <w:p>
      <w:pPr>
        <w:ind w:firstLine="480"/>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5、采购需求及最高限价：</w:t>
      </w:r>
      <w:r/>
    </w:p>
    <w:tbl>
      <w:tblPr>
        <w:tblStyle w:val="1035"/>
        <w:tblW w:w="8417" w:type="dxa"/>
        <w:jc w:val="center"/>
        <w:tblLayout w:type="fixed"/>
        <w:tblCellMar>
          <w:left w:w="0" w:type="dxa"/>
          <w:top w:w="21" w:type="dxa"/>
          <w:right w:w="2" w:type="dxa"/>
          <w:bottom w:w="0" w:type="dxa"/>
        </w:tblCellMar>
        <w:tblLook w:val="04A0" w:firstRow="1" w:lastRow="0" w:firstColumn="1" w:lastColumn="0" w:noHBand="0" w:noVBand="1"/>
      </w:tblPr>
      <w:tblGrid>
        <w:gridCol w:w="693"/>
        <w:gridCol w:w="2342"/>
        <w:gridCol w:w="1208"/>
        <w:gridCol w:w="1704"/>
        <w:gridCol w:w="1155"/>
        <w:gridCol w:w="1315"/>
      </w:tblGrid>
      <w:tr>
        <w:trPr>
          <w:jc w:val="center"/>
          <w:trHeight w:val="923" w:hRule="exact"/>
        </w:trPr>
        <w:tc>
          <w:tcPr>
            <w:tcBorders>
              <w:top w:val="single" w:color="000000" w:sz="2" w:space="0"/>
              <w:left w:val="single" w:color="000000" w:sz="2" w:space="0"/>
              <w:bottom w:val="single" w:color="000000" w:sz="2" w:space="0"/>
              <w:right w:val="single" w:color="000000" w:sz="2" w:space="0"/>
            </w:tcBorders>
            <w:tcW w:w="69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34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r>
      <w:tr>
        <w:trPr>
          <w:jc w:val="center"/>
          <w:trHeight w:val="1422" w:hRule="exact"/>
        </w:trPr>
        <w:tc>
          <w:tcPr>
            <w:tcBorders>
              <w:top w:val="single" w:color="000000" w:sz="2" w:space="0"/>
              <w:left w:val="single" w:color="000000" w:sz="2" w:space="0"/>
              <w:bottom w:val="single" w:color="auto" w:sz="4" w:space="0"/>
              <w:right w:val="single" w:color="000000" w:sz="2" w:space="0"/>
            </w:tcBorders>
            <w:tcW w:w="69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2342" w:type="dxa"/>
            <w:vAlign w:val="center"/>
            <w:textDirection w:val="lrTb"/>
            <w:noWrap w:val="false"/>
          </w:tcPr>
          <w:p>
            <w:pPr>
              <w:jc w:val="left"/>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有机无机复混肥料，总养分（N+P₂O₅+K₂O）≥30%；N≥15%；有机质≥10%。</w:t>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803.125</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2570000</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right="28"/>
              <w:jc w:val="center"/>
              <w:spacing w:after="0"/>
              <w:rPr>
                <w:rFonts w:hint="default" w:ascii="Calibri" w:hAnsi="Calibri" w:eastAsia="宋体" w:cs="Times New Roman"/>
                <w:b/>
                <w:bCs/>
                <w:szCs w:val="20"/>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r>
    </w:tbl>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本项目实行足额采购模式，最高投标限价总价为2570000.00元（257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rPr>
          <w:rFonts w:ascii="宋体" w:hAnsi="宋体" w:eastAsia="宋体" w:cs="宋体"/>
          <w:b/>
          <w:bCs/>
          <w:sz w:val="24"/>
          <w:szCs w:val="24"/>
          <w:highlight w:val="none"/>
          <w:lang w:val="en-US"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对项目采购需求部分的询问、质疑请与采购人联系，由采购人负责答复</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6、投标报价包含但不限于产品价格、供货、运输（含装卸）、验收、售后服务及其它相关服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firstLine="48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auto"/>
          <w:sz w:val="24"/>
          <w:szCs w:val="24"/>
          <w:highlight w:val="none"/>
          <w:u w:val="single"/>
          <w:lang w:eastAsia="zh-CN"/>
        </w:rPr>
        <w:t xml:space="preserve">接到采购人通知起</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u w:val="single"/>
          <w:lang w:eastAsia="zh-CN"/>
        </w:rPr>
        <w:t xml:space="preserve">日内交货</w:t>
      </w:r>
      <w:r>
        <w:rPr>
          <w:rFonts w:hint="eastAsia" w:ascii="宋体" w:hAnsi="宋体" w:eastAsia="宋体" w:cs="宋体"/>
          <w:b w:val="0"/>
          <w:bCs w:val="0"/>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sz w:val="24"/>
          <w:szCs w:val="24"/>
          <w:highlight w:val="none"/>
        </w:rPr>
        <w:t xml:space="preserve">具备履行合同所必需的设备和专业技术能力的声明及证明材料</w:t>
      </w:r>
      <w:r>
        <w:rPr>
          <w:rFonts w:hint="eastAsia" w:ascii="宋体" w:hAnsi="宋体" w:eastAsia="宋体" w:cs="宋体"/>
          <w:color w:val="auto"/>
          <w:sz w:val="24"/>
          <w:szCs w:val="24"/>
          <w:lang w:val="en-US" w:eastAsia="zh-CN"/>
        </w:rPr>
        <w:t xml:space="preserve">（见格式）；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（5）参加政府采购活动前三年内在经营活动中没有重大违法记录的书面声明（见格式）；</w:t>
      </w:r>
      <w:r/>
    </w:p>
    <w:p>
      <w:pPr>
        <w:ind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2.落实政府采购需满足的资格要求：</w:t>
      </w:r>
      <w:r>
        <w:rPr>
          <w:rFonts w:hint="eastAsia" w:ascii="宋体" w:hAnsi="宋体" w:eastAsia="宋体" w:cs="宋体"/>
          <w:color w:val="auto"/>
          <w:sz w:val="24"/>
          <w:szCs w:val="24"/>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提供《中小企业声明函》或《残疾人福利性单位声明函》或属于监狱企业的证明文件，否则按无效响应处理。</w:t>
      </w:r>
      <w:r/>
    </w:p>
    <w:p>
      <w:pPr>
        <w:ind w:firstLine="480"/>
        <w:jc w:val="left"/>
        <w:pageBreakBefore w:val="0"/>
        <w:spacing w:line="360" w:lineRule="auto"/>
        <w:widowControl w:val="off"/>
        <w:rPr>
          <w:rFonts w:hint="eastAsia"/>
          <w:lang w:val="en-US" w:eastAsia="zh-CN"/>
        </w:rPr>
      </w:pPr>
      <w:r>
        <w:rPr>
          <w:rFonts w:hint="eastAsia" w:ascii="宋体" w:hAnsi="宋体" w:eastAsia="宋体" w:cs="宋体"/>
          <w:b/>
          <w:bCs/>
          <w:color w:val="auto"/>
          <w:sz w:val="24"/>
          <w:highlight w:val="none"/>
          <w:u w:val="single"/>
          <w:lang w:val="en-US" w:eastAsia="zh-CN"/>
        </w:rPr>
        <w:t xml:space="preserve">备注：本项目专门面向中小企业，不享受价格扣除优惠政策</w:t>
      </w:r>
      <w:r>
        <w:rPr>
          <w:rFonts w:hint="eastAsia" w:cs="宋体"/>
          <w:b/>
          <w:sz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投标人须提供所投产品具有农业农村部颁发的不低于采购需求技术指标的《肥料登记证》，且在有效期内。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4.本项目的其他资格</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（2）本项目不接受进口产品（进口产品是指通过中国海关报关验放进入中国境内且产自关境外的产品），中标后不允许分包或转包。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12 </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59</w:t>
      </w:r>
      <w:r>
        <w:rPr>
          <w:rFonts w:hint="eastAsia" w:ascii="宋体" w:hAnsi="宋体" w:eastAsia="宋体" w:cs="宋体"/>
          <w:b/>
          <w:bCs/>
          <w:sz w:val="24"/>
          <w:szCs w:val="24"/>
          <w:highlight w:val="none"/>
        </w:rPr>
        <w:t xml:space="preserve">:00止（北京时间）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07</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07</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六、其他补充事宜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keepLines w:val="0"/>
        <w:keepNext w:val="0"/>
        <w:pageBreakBefore w:val="0"/>
        <w:spacing w:line="500" w:lineRule="exact"/>
        <w:widowControl w:val="off"/>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keepLines w:val="0"/>
        <w:keepNext w:val="0"/>
        <w:pageBreakBefore w:val="0"/>
        <w:spacing w:line="500" w:lineRule="exact"/>
        <w:widowControl w:val="off"/>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东海县农业技术推广中心</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东海县牛山街道府苑路26号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13851214627</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 招标代理信息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bookmarkStart w:id="5" w:name="_Toc35393639"/>
      <w:r/>
      <w:bookmarkStart w:id="6" w:name="_Toc28359021"/>
      <w:r/>
      <w:bookmarkStart w:id="7" w:name="_Toc28359098"/>
      <w:r/>
      <w:bookmarkStart w:id="8" w:name="_Toc35393808"/>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3.项目联系方式</w:t>
      </w:r>
      <w:bookmarkEnd w:id="5"/>
      <w:r/>
      <w:bookmarkEnd w:id="6"/>
      <w:r/>
      <w:bookmarkEnd w:id="7"/>
      <w:r/>
      <w:bookmarkEnd w:id="8"/>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13851214627</w:t>
      </w:r>
      <w:r/>
    </w:p>
    <w:p>
      <w:pPr>
        <w:keepLines w:val="0"/>
        <w:keepNext/>
        <w:pageBreakBefore w:val="0"/>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2"/>
      <w:r/>
      <w:bookmarkEnd w:id="3"/>
      <w:r/>
      <w:bookmarkStart w:id="9" w:name="_Toc513622227"/>
      <w:r/>
      <w:bookmarkStart w:id="10" w:name="_Toc10641"/>
      <w:r/>
      <w:bookmarkStart w:id="11" w:name="_Toc139966427"/>
      <w:r/>
      <w:bookmarkStart w:id="12" w:name="_Toc139967211"/>
      <w:r/>
      <w:bookmarkStart w:id="13" w:name="_Toc513622228"/>
      <w:r>
        <w:rPr>
          <w:rFonts w:hint="eastAsia" w:ascii="宋体" w:hAnsi="宋体" w:eastAsia="宋体" w:cs="宋体"/>
          <w:b/>
          <w:bCs/>
          <w:color w:val="000000"/>
          <w:sz w:val="36"/>
          <w:szCs w:val="20"/>
          <w:lang w:eastAsia="zh-CN"/>
        </w:rPr>
        <w:t xml:space="preserve">第二章  投标人须知</w:t>
      </w:r>
      <w:bookmarkEnd w:id="9"/>
      <w:r/>
      <w:bookmarkEnd w:id="10"/>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一、总则</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3、适用法律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4.2本次招标采购代理服务费用按“</w:t>
      </w:r>
      <w:r>
        <w:rPr>
          <w:rFonts w:hint="eastAsia" w:ascii="宋体" w:hAnsi="宋体" w:eastAsia="宋体" w:cs="宋体"/>
          <w:b/>
          <w:bCs/>
          <w:color w:val="000000"/>
          <w:sz w:val="24"/>
          <w:szCs w:val="24"/>
        </w:rPr>
        <w:t xml:space="preserve">苏招协[2022]002 号文关于印发《江苏省招标代理服务收费的指导意见》的通知”收费标准</w:t>
      </w:r>
      <w:r>
        <w:rPr>
          <w:rFonts w:hint="eastAsia" w:ascii="宋体" w:hAnsi="宋体" w:eastAsia="宋体" w:cs="宋体"/>
          <w:b/>
          <w:bCs/>
          <w:color w:val="000000"/>
          <w:sz w:val="24"/>
          <w:szCs w:val="24"/>
          <w:lang w:val="en-US" w:eastAsia="zh-CN"/>
        </w:rPr>
        <w:t xml:space="preserve">70%</w:t>
      </w:r>
      <w:r>
        <w:rPr>
          <w:rFonts w:hint="eastAsia" w:ascii="宋体" w:hAnsi="宋体" w:eastAsia="宋体" w:cs="宋体"/>
          <w:b/>
          <w:bCs/>
          <w:color w:val="000000"/>
          <w:sz w:val="24"/>
          <w:szCs w:val="24"/>
        </w:rPr>
        <w:t xml:space="preserve">计取；</w:t>
      </w:r>
      <w:r>
        <w:rPr>
          <w:rFonts w:hint="eastAsia" w:ascii="宋体" w:hAnsi="宋体" w:eastAsia="宋体" w:cs="宋体"/>
          <w:b/>
          <w:bCs/>
          <w:color w:val="000000"/>
          <w:sz w:val="24"/>
          <w:szCs w:val="24"/>
          <w:lang w:val="en-US" w:eastAsia="zh-CN"/>
        </w:rPr>
        <w:t xml:space="preserve">实际按28000元收取，由采购人支付</w:t>
      </w:r>
      <w:r>
        <w:rPr>
          <w:rFonts w:hint="eastAsia" w:ascii="宋体" w:hAnsi="宋体" w:eastAsia="宋体" w:cs="宋体"/>
          <w:b/>
          <w:bCs/>
          <w:color w:val="000000"/>
          <w:sz w:val="24"/>
          <w:szCs w:val="24"/>
        </w:rPr>
        <w:t xml:space="preserve">。 </w:t>
      </w:r>
      <w:r/>
    </w:p>
    <w:p>
      <w:pPr>
        <w:ind w:firstLine="480"/>
        <w:jc w:val="left"/>
        <w:keepLines w:val="0"/>
        <w:keepNext w:val="0"/>
        <w:pageBreakBefore w:val="0"/>
        <w:spacing w:line="360" w:lineRule="auto"/>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4.3评审费用按实际发生支付，</w:t>
      </w:r>
      <w:r>
        <w:rPr>
          <w:rFonts w:hint="eastAsia" w:ascii="宋体" w:hAnsi="宋体" w:eastAsia="宋体" w:cs="宋体"/>
          <w:b w:val="0"/>
          <w:bCs w:val="0"/>
          <w:color w:val="000000"/>
          <w:sz w:val="24"/>
          <w:szCs w:val="24"/>
          <w:lang w:val="en-US" w:eastAsia="zh-CN"/>
        </w:rPr>
        <w:t xml:space="preserve">由采购人支付</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bidi="ar"/>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二、招标文件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bCs/>
          <w:sz w:val="28"/>
          <w:szCs w:val="28"/>
          <w:lang w:val="en-US" w:eastAsia="zh-CN" w:bidi="ar-SA"/>
        </w:rPr>
        <w:t xml:space="preserve">13、投标分项报价表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4"/>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4"/>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六、定标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七、授予合同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8"/>
          <w:szCs w:val="28"/>
          <w:lang w:val="en-US" w:eastAsia="zh-CN" w:bidi="ar-SA"/>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九、政府采购政策功能</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37、促进中小企业发展</w:t>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sz w:val="24"/>
          <w:szCs w:val="24"/>
          <w:lang w:val="en-US" w:eastAsia="zh-CN"/>
        </w:rPr>
        <w:t xml:space="preserve">本项目</w:t>
      </w:r>
      <w:r>
        <w:rPr>
          <w:rFonts w:hint="eastAsia" w:ascii="宋体" w:hAnsi="宋体"/>
          <w:sz w:val="24"/>
        </w:rPr>
        <w:t xml:space="preserve">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38. 支持绿色发展</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39、政府采购需求标准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zh-CN" w:eastAsia="zh-CN" w:bidi="ar-SA"/>
        </w:rPr>
        <w:outlineLvl w:val="1"/>
      </w:pPr>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ageBreakBefore w:val="0"/>
        <w:spacing w:line="360" w:lineRule="auto"/>
        <w:rPr>
          <w:rFonts w:hint="eastAsia" w:ascii="宋体" w:hAnsi="宋体" w:eastAsia="宋体" w:cs="宋体"/>
          <w:b/>
          <w:bCs/>
          <w:color w:val="000000"/>
          <w:sz w:val="36"/>
          <w:szCs w:val="20"/>
        </w:rPr>
      </w:pPr>
      <w:r>
        <w:rPr>
          <w:rFonts w:hint="eastAsia" w:ascii="宋体" w:hAnsi="宋体" w:eastAsia="宋体" w:cs="宋体"/>
          <w:b/>
          <w:bCs/>
          <w:color w:val="000000"/>
          <w:sz w:val="36"/>
          <w:szCs w:val="20"/>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第三章  政府采购合同格式</w:t>
      </w:r>
      <w:bookmarkEnd w:id="11"/>
      <w:r/>
      <w:bookmarkEnd w:id="12"/>
      <w:r/>
      <w:bookmarkEnd w:id="13"/>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0"/>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1021"/>
      </w:pPr>
      <w:r/>
      <w:r/>
    </w:p>
    <w:p>
      <w:pPr>
        <w:jc w:val="center"/>
        <w:spacing w:line="560" w:lineRule="exact"/>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东海县农业技术推广中心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0"/>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七、质保期和质保金</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7.1 质保期</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壹</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年（自交货验收合格之日起计）。</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7.2 质保金</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spacing w:line="360" w:lineRule="auto"/>
        <w:rPr>
          <w:rFonts w:hint="eastAsia" w:ascii="宋体" w:hAnsi="宋体" w:eastAsia="宋体" w:cs="宋体"/>
          <w:b/>
          <w:bCs/>
          <w:color w:val="000000"/>
          <w:sz w:val="24"/>
          <w:szCs w:val="24"/>
          <w:highlight w:val="white"/>
        </w:rPr>
        <w:outlineLvl w:val="0"/>
      </w:pPr>
      <w:r>
        <w:rPr>
          <w:rFonts w:hint="eastAsia" w:ascii="宋体" w:hAnsi="宋体" w:eastAsia="宋体" w:cs="宋体"/>
          <w:b/>
          <w:bCs/>
          <w:color w:val="000000"/>
          <w:sz w:val="24"/>
          <w:szCs w:val="24"/>
          <w:highlight w:val="white"/>
        </w:rPr>
        <w:t xml:space="preserve">八、交货期、交货方式及交货地点</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8.1 交货期：</w:t>
      </w:r>
      <w:r>
        <w:rPr>
          <w:rFonts w:hint="eastAsia" w:ascii="宋体" w:hAnsi="宋体" w:eastAsia="宋体" w:cs="宋体"/>
          <w:bCs/>
          <w:color w:val="auto"/>
          <w:sz w:val="24"/>
          <w:szCs w:val="24"/>
          <w:highlight w:val="white"/>
          <w:u w:val="single"/>
          <w:lang w:eastAsia="zh-CN"/>
        </w:rPr>
        <w:t xml:space="preserve">接到采购人通知起10日内交货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8.2 交货方式：</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现场验收</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ind w:firstLine="480"/>
        <w:spacing w:line="360" w:lineRule="auto"/>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8.3 交货地点：</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甲方指定地点</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lang w:eastAsia="zh-CN"/>
        </w:rPr>
        <w:t xml:space="preserve">货到验收合格后，中标单位提供相应发票，</w:t>
      </w:r>
      <w:r>
        <w:rPr>
          <w:rFonts w:hint="eastAsia" w:ascii="宋体" w:hAnsi="宋体" w:eastAsia="宋体" w:cs="宋体"/>
          <w:color w:val="000000"/>
          <w:sz w:val="24"/>
          <w:szCs w:val="24"/>
          <w:u w:val="single"/>
          <w:lang w:val="en-US" w:eastAsia="zh-CN"/>
        </w:rPr>
        <w:t xml:space="preserve">待财政资金到账后</w:t>
      </w:r>
      <w:r>
        <w:rPr>
          <w:rFonts w:hint="eastAsia" w:ascii="宋体" w:hAnsi="宋体" w:eastAsia="宋体" w:cs="宋体"/>
          <w:color w:val="000000"/>
          <w:sz w:val="24"/>
          <w:szCs w:val="24"/>
          <w:u w:val="single"/>
          <w:lang w:eastAsia="zh-CN"/>
        </w:rPr>
        <w:t xml:space="preserve">甲方一次性付清款项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2"/>
        <w:spacing w:line="360" w:lineRule="auto"/>
        <w:rPr>
          <w:rFonts w:ascii="宋体" w:hAnsi="宋体" w:eastAsia="宋体" w:cs="宋体"/>
          <w:sz w:val="24"/>
          <w:szCs w:val="24"/>
          <w:highlight w:val="white"/>
        </w:rPr>
      </w:pPr>
      <w:r>
        <w:rPr>
          <w:rFonts w:hint="eastAsia" w:ascii="宋体" w:hAnsi="宋体" w:eastAsia="宋体" w:cs="宋体"/>
          <w:b/>
          <w:bCs/>
          <w:color w:val="000000"/>
          <w:sz w:val="24"/>
          <w:szCs w:val="24"/>
          <w:highlight w:val="yellow"/>
        </w:rPr>
        <w:t xml:space="preserve">1</w:t>
      </w:r>
      <w:r>
        <w:rPr>
          <w:rFonts w:hint="eastAsia" w:ascii="宋体" w:hAnsi="宋体" w:eastAsia="宋体" w:cs="宋体"/>
          <w:b/>
          <w:bCs/>
          <w:color w:val="000000"/>
          <w:sz w:val="24"/>
          <w:szCs w:val="24"/>
          <w:highlight w:val="white"/>
        </w:rPr>
        <w:t xml:space="preserve">0.3 测试要求：</w:t>
      </w:r>
      <w:r>
        <w:rPr>
          <w:rFonts w:ascii="宋体" w:hAnsi="宋体" w:eastAsia="宋体" w:cs="宋体"/>
          <w:b/>
          <w:bCs/>
          <w:sz w:val="24"/>
          <w:szCs w:val="24"/>
          <w:highlight w:val="white"/>
        </w:rPr>
        <w:t xml:space="preserve">产品验收检测依据国家相关标准及采购技术要求执行，不合格产品不予验收</w:t>
      </w:r>
      <w:r>
        <w:rPr>
          <w:rFonts w:ascii="宋体" w:hAnsi="宋体" w:eastAsia="宋体" w:cs="宋体"/>
          <w:sz w:val="24"/>
          <w:szCs w:val="24"/>
          <w:highlight w:val="white"/>
        </w:rPr>
        <w:t xml:space="preserve">。</w:t>
      </w:r>
      <w:r>
        <w:rPr>
          <w:highlight w:val="white"/>
        </w:rPr>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10.4甲方收货后，随机抽取样品，委托有资质的第三方进行质量检测，质量以第三方检测报告为准。检测费用由乙方支付。。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11.5 对技术复杂的项目，甲方可组织有关部门和专家进行验收，并出具验收报告，相关费用由甲乙双方协商解决。</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14" w:name="_Toc513622229"/>
      <w:r/>
      <w:bookmarkStart w:id="15" w:name="_Toc15100"/>
      <w:r/>
      <w:bookmarkStart w:id="16" w:name="_Toc139967212"/>
      <w:r/>
      <w:bookmarkStart w:id="17" w:name="_Toc139966428"/>
      <w:r/>
      <w:r/>
    </w:p>
    <w:p>
      <w:pPr>
        <w:pStyle w:val="1040"/>
        <w:numPr>
          <w:ilvl w:val="0"/>
          <w:numId w:val="0"/>
        </w:numPr>
        <w:ind w:left="0" w:firstLine="0"/>
        <w:rPr>
          <w:rFonts w:hint="eastAsia"/>
          <w:color w:val="000000"/>
        </w:rPr>
        <w:outlineLvl w:val="9"/>
      </w:pPr>
      <w:r/>
      <w:bookmarkStart w:id="18" w:name="_Toc18720"/>
      <w:r/>
      <w:bookmarkStart w:id="19" w:name="_Toc15027"/>
      <w:r/>
      <w:bookmarkStart w:id="20" w:name="_Toc16137"/>
      <w:r/>
      <w:bookmarkStart w:id="21" w:name="_Toc17010"/>
      <w:r/>
      <w:r/>
    </w:p>
    <w:p>
      <w:pPr>
        <w:pStyle w:val="1040"/>
        <w:numPr>
          <w:ilvl w:val="0"/>
          <w:numId w:val="0"/>
        </w:numPr>
        <w:ind w:left="0" w:firstLine="0"/>
        <w:rPr>
          <w:rFonts w:hint="eastAsia"/>
          <w:color w:val="000000"/>
        </w:rPr>
        <w:outlineLvl w:val="9"/>
      </w:pPr>
      <w:r>
        <w:rPr>
          <w:rFonts w:hint="eastAsia"/>
          <w:color w:val="000000"/>
        </w:rPr>
      </w:r>
      <w:r/>
    </w:p>
    <w:p>
      <w:pPr>
        <w:pStyle w:val="1040"/>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pStyle w:val="1040"/>
        <w:numPr>
          <w:ilvl w:val="0"/>
          <w:numId w:val="0"/>
        </w:numPr>
        <w:ind w:left="0" w:firstLine="0"/>
        <w:rPr>
          <w:rFonts w:hint="eastAsia"/>
          <w:color w:val="000000"/>
        </w:rPr>
        <w:outlineLvl w:val="9"/>
      </w:pPr>
      <w:r>
        <w:rPr>
          <w:rFonts w:hint="eastAsia"/>
          <w:color w:val="000000"/>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第四章  合同专用条款表</w:t>
      </w:r>
      <w:bookmarkEnd w:id="18"/>
      <w:r/>
      <w:bookmarkEnd w:id="19"/>
      <w:r/>
      <w:bookmarkEnd w:id="20"/>
      <w:r/>
      <w:bookmarkEnd w:id="21"/>
      <w:r/>
      <w:r/>
    </w:p>
    <w:p>
      <w:pPr>
        <w:pStyle w:val="1039"/>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102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672"/>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7</w:t>
            </w:r>
            <w:r/>
          </w:p>
        </w:tc>
        <w:tc>
          <w:tcPr>
            <w:tcW w:w="8476" w:type="dxa"/>
            <w:vAlign w:val="center"/>
            <w:textDirection w:val="lrTb"/>
            <w:noWrap w:val="false"/>
          </w:tcPr>
          <w:p>
            <w:pPr>
              <w:spacing w:line="360" w:lineRule="auto"/>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。质保期间，中标人免费</w:t>
            </w:r>
            <w:r>
              <w:rPr>
                <w:rFonts w:hint="eastAsia" w:ascii="宋体" w:hAnsi="宋体" w:eastAsia="宋体" w:cs="宋体"/>
                <w:color w:val="auto"/>
                <w:sz w:val="24"/>
                <w:szCs w:val="24"/>
                <w:highlight w:val="none"/>
                <w:lang w:val="en-US" w:eastAsia="zh-CN"/>
              </w:rPr>
              <w:t xml:space="preserve">提供质保</w:t>
            </w:r>
            <w:r>
              <w:rPr>
                <w:rFonts w:hint="eastAsia" w:ascii="宋体" w:hAnsi="宋体" w:eastAsia="宋体" w:cs="宋体"/>
                <w:color w:val="auto"/>
                <w:sz w:val="24"/>
                <w:szCs w:val="24"/>
                <w:highlight w:val="none"/>
              </w:rPr>
              <w:t xml:space="preserve">、调换。</w:t>
            </w:r>
            <w:r/>
          </w:p>
        </w:tc>
      </w:tr>
      <w:tr>
        <w:trPr>
          <w:trHeight w:val="514"/>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rPr>
              <w:t xml:space="preserve">8</w:t>
            </w:r>
            <w:r/>
          </w:p>
        </w:tc>
        <w:tc>
          <w:tcPr>
            <w:tcW w:w="847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bCs/>
                <w:color w:val="auto"/>
                <w:sz w:val="24"/>
                <w:szCs w:val="24"/>
                <w:highlight w:val="none"/>
                <w:lang w:eastAsia="zh-CN"/>
              </w:rPr>
              <w:t xml:space="preserve">接到采购人通知起10日内交货</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交货方式：现场验收。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交货地点：采购人指定。</w:t>
            </w:r>
            <w:r/>
          </w:p>
          <w:p>
            <w:pPr>
              <w:spacing w:line="360" w:lineRule="auto"/>
              <w:rPr>
                <w:rFonts w:ascii="宋体" w:hAnsi="宋体"/>
                <w:sz w:val="24"/>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lang w:eastAsia="zh-CN"/>
              </w:rPr>
              <w:t xml:space="preserve">甲方收货后，随机抽取样品，委托有资质的第三方进行质量检测，质量以第三方检测报告为准。检测费用由</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lang w:eastAsia="zh-CN"/>
              </w:rPr>
              <w:t xml:space="preserve">方支付。</w:t>
            </w: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spacing w:line="360" w:lineRule="auto"/>
              <w:rPr>
                <w:rFonts w:ascii="宋体" w:hAnsi="宋体"/>
                <w:sz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u w:val="none"/>
                <w:lang w:eastAsia="zh-CN"/>
              </w:rPr>
              <w:t xml:space="preserve">货到验收合格后，中标单位提供相应发票，</w:t>
            </w:r>
            <w:r>
              <w:rPr>
                <w:rFonts w:hint="eastAsia" w:ascii="宋体" w:hAnsi="宋体" w:eastAsia="宋体" w:cs="宋体"/>
                <w:b/>
                <w:bCs/>
                <w:color w:val="000000"/>
                <w:sz w:val="24"/>
                <w:szCs w:val="24"/>
                <w:highlight w:val="none"/>
                <w:u w:val="none"/>
                <w:lang w:val="en-US" w:eastAsia="zh-CN"/>
              </w:rPr>
              <w:t xml:space="preserve">待财政资金到账后</w:t>
            </w:r>
            <w:r>
              <w:rPr>
                <w:rFonts w:hint="eastAsia" w:ascii="宋体" w:hAnsi="宋体" w:eastAsia="宋体" w:cs="宋体"/>
                <w:b/>
                <w:bCs/>
                <w:color w:val="000000"/>
                <w:sz w:val="24"/>
                <w:szCs w:val="24"/>
                <w:highlight w:val="none"/>
                <w:u w:val="none"/>
                <w:lang w:eastAsia="zh-CN"/>
              </w:rPr>
              <w:t xml:space="preserve">甲方一次性付清款项。</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1039"/>
        <w:ind w:firstLine="480"/>
        <w:jc w:val="left"/>
        <w:rPr>
          <w:rFonts w:hAnsi="宋体"/>
          <w:sz w:val="24"/>
          <w:szCs w:val="24"/>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titlePg/>
        </w:sectPr>
      </w:pPr>
      <w:r>
        <w:rPr>
          <w:rFonts w:hint="eastAsia" w:hAnsi="宋体"/>
          <w:sz w:val="24"/>
          <w:szCs w:val="24"/>
        </w:rPr>
        <w:t xml:space="preserve"> </w:t>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22" w:name="_Toc16577"/>
      <w:r/>
      <w:bookmarkStart w:id="23" w:name="_Toc513622230"/>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五</w:t>
      </w:r>
      <w:r>
        <w:rPr>
          <w:rFonts w:hint="eastAsia" w:ascii="宋体" w:hAnsi="宋体" w:eastAsia="宋体" w:cs="宋体"/>
          <w:b/>
          <w:bCs/>
          <w:color w:val="000000"/>
          <w:sz w:val="36"/>
          <w:szCs w:val="20"/>
          <w:lang w:eastAsia="zh-CN"/>
        </w:rPr>
        <w:t xml:space="preserve">章  项目需求</w:t>
      </w:r>
      <w:bookmarkEnd w:id="22"/>
      <w:r/>
      <w:bookmarkEnd w:id="23"/>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说明：本项目属性为</w:t>
      </w:r>
      <w:r>
        <w:rPr>
          <w:rFonts w:hint="eastAsia" w:ascii="新宋体" w:hAnsi="新宋体" w:eastAsia="新宋体" w:cs="新宋体"/>
          <w:b/>
          <w:sz w:val="24"/>
          <w:szCs w:val="24"/>
          <w:highlight w:val="none"/>
          <w:u w:val="single"/>
        </w:rPr>
        <w:t xml:space="preserve">货物</w:t>
      </w:r>
      <w:r>
        <w:rPr>
          <w:rFonts w:hint="eastAsia" w:ascii="新宋体" w:hAnsi="新宋体" w:eastAsia="新宋体" w:cs="新宋体"/>
          <w:sz w:val="24"/>
          <w:szCs w:val="24"/>
          <w:highlight w:val="none"/>
        </w:rPr>
        <w:t xml:space="preserve">，采购标的对应的中小企业划分标准所属行业详见货物（标的）采购清单。</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u w:val="single"/>
          <w:lang w:val="en-US" w:eastAsia="zh-CN"/>
        </w:rPr>
        <w:t xml:space="preserve">工业（</w:t>
      </w:r>
      <w:r>
        <w:rPr>
          <w:rFonts w:ascii="宋体" w:hAnsi="宋体" w:eastAsia="宋体" w:cs="宋体"/>
          <w:sz w:val="24"/>
          <w:szCs w:val="24"/>
          <w:u w:val="single"/>
        </w:rPr>
        <w:t xml:space="preserve">制造业</w:t>
      </w:r>
      <w:r>
        <w:rPr>
          <w:rFonts w:hint="eastAsia" w:ascii="新宋体" w:hAnsi="新宋体" w:eastAsia="新宋体" w:cs="新宋体"/>
          <w:color w:val="000000"/>
          <w:sz w:val="24"/>
          <w:szCs w:val="24"/>
          <w:highlight w:val="none"/>
          <w:u w:val="single"/>
          <w:lang w:val="en-US" w:eastAsia="zh-CN"/>
        </w:rPr>
        <w:t xml:space="preserve">）</w:t>
      </w:r>
      <w:r>
        <w:rPr>
          <w:rFonts w:hint="eastAsia" w:ascii="新宋体" w:hAnsi="新宋体" w:eastAsia="新宋体" w:cs="新宋体"/>
          <w:color w:val="000000"/>
          <w:sz w:val="24"/>
          <w:szCs w:val="24"/>
          <w:highlight w:val="none"/>
        </w:rPr>
        <w:t xml:space="preserve">行业划型标准：</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0"/>
      </w:pPr>
      <w:r>
        <w:rPr>
          <w:rFonts w:hint="eastAsia" w:ascii="新宋体" w:hAnsi="新宋体" w:eastAsia="新宋体" w:cs="新宋体"/>
          <w:sz w:val="24"/>
          <w:szCs w:val="24"/>
          <w:highlight w:val="none"/>
        </w:rPr>
        <w:t xml:space="preserve">1、根据《政府采购需求管理办法》等有关规定，采购人确定采购需求。</w:t>
      </w:r>
      <w:r/>
    </w:p>
    <w:p>
      <w:pPr>
        <w:pStyle w:val="1042"/>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2.1本项目</w:t>
      </w: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bCs/>
          <w:sz w:val="24"/>
          <w:szCs w:val="24"/>
          <w:highlight w:val="none"/>
          <w:lang w:val="en-US" w:eastAsia="zh-CN" w:bidi="ar-SA"/>
        </w:rPr>
        <w:t xml:space="preserve">，具体内容见招标文件“第二章 九、政府采购政策功能”。</w:t>
      </w:r>
      <w:r/>
    </w:p>
    <w:p>
      <w:pPr>
        <w:pStyle w:val="1042"/>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2"/>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根</w:t>
      </w:r>
      <w:r>
        <w:rPr>
          <w:rFonts w:hint="eastAsia" w:ascii="新宋体" w:hAnsi="新宋体" w:eastAsia="新宋体" w:cs="新宋体"/>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lang w:val="en-US" w:eastAsia="zh-CN"/>
        </w:rPr>
        <w:t xml:space="preserve">4、</w:t>
      </w:r>
      <w:r>
        <w:rPr>
          <w:rFonts w:hint="eastAsia" w:ascii="新宋体" w:hAnsi="新宋体" w:eastAsia="新宋体" w:cs="新宋体"/>
          <w:b/>
          <w:sz w:val="24"/>
          <w:szCs w:val="24"/>
          <w:highlight w:val="none"/>
        </w:rPr>
        <w:t xml:space="preserve">本招标文件</w:t>
      </w:r>
      <w:r>
        <w:rPr>
          <w:rFonts w:hint="eastAsia" w:ascii="宋体" w:hAnsi="宋体" w:eastAsia="宋体" w:cs="宋体"/>
          <w:b/>
          <w:bCs/>
          <w:color w:val="000000"/>
          <w:sz w:val="24"/>
          <w:szCs w:val="24"/>
        </w:rPr>
        <w:t xml:space="preserve">中标注★号的部分为实质性要求和条件，投标人必须作出满足或者优于原要求和条件的响应，否则投标无效。</w:t>
      </w:r>
      <w:r/>
    </w:p>
    <w:tbl>
      <w:tblPr>
        <w:tblStyle w:val="1031"/>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9581"/>
      </w:tblGrid>
      <w:tr>
        <w:trPr>
          <w:jc w:val="center"/>
        </w:trPr>
        <w:tc>
          <w:tcPr>
            <w:gridSpan w:val="2"/>
            <w:tcBorders>
              <w:top w:val="none" w:color="000000" w:sz="4" w:space="0"/>
              <w:left w:val="none" w:color="000000" w:sz="4" w:space="0"/>
              <w:bottom w:val="single" w:color="auto" w:sz="4" w:space="0"/>
              <w:right w:val="none" w:color="000000" w:sz="4" w:space="0"/>
            </w:tcBorders>
            <w:tcW w:w="10327" w:type="dxa"/>
            <w:vAlign w:val="center"/>
            <w:textDirection w:val="lrTb"/>
            <w:noWrap w:val="false"/>
          </w:tcPr>
          <w:p>
            <w:pPr>
              <w:jc w:val="center"/>
              <w:spacing w:line="500" w:lineRule="exact"/>
              <w:rPr>
                <w:rFonts w:ascii="黑体" w:hAnsi="黑体" w:eastAsia="黑体" w:cs="黑体"/>
                <w:sz w:val="44"/>
                <w:szCs w:val="44"/>
              </w:rPr>
            </w:pPr>
            <w:r>
              <w:rPr>
                <w:rFonts w:hint="eastAsia" w:ascii="黑体" w:hAnsi="黑体" w:eastAsia="黑体" w:cs="黑体"/>
                <w:sz w:val="44"/>
                <w:szCs w:val="44"/>
              </w:rPr>
              <w:t xml:space="preserve">采购需求中须满足的实质性要求和条件</w:t>
            </w:r>
            <w:r/>
          </w:p>
          <w:p>
            <w:pPr>
              <w:ind w:firstLine="0"/>
              <w:jc w:val="left"/>
              <w:spacing w:line="500" w:lineRule="exact"/>
              <w:rPr>
                <w:rFonts w:ascii="黑体" w:hAnsi="黑体" w:eastAsia="黑体"/>
                <w:sz w:val="24"/>
              </w:rPr>
            </w:pPr>
            <w:r>
              <w:rPr>
                <w:rFonts w:hint="eastAsia" w:ascii="黑体" w:hAnsi="黑体" w:eastAsia="黑体" w:cs="黑体"/>
                <w:sz w:val="24"/>
                <w:lang w:val="en-US" w:eastAsia="zh-CN"/>
              </w:rPr>
              <w:t xml:space="preserve">本项目</w:t>
            </w:r>
            <w:r>
              <w:rPr>
                <w:rFonts w:hint="eastAsia" w:ascii="黑体" w:hAnsi="黑体" w:eastAsia="黑体" w:cs="黑体"/>
                <w:sz w:val="24"/>
              </w:rPr>
              <w:t xml:space="preserve">实质性要求和条件</w:t>
            </w:r>
            <w:r/>
          </w:p>
        </w:tc>
      </w:tr>
      <w:tr>
        <w:trPr>
          <w:jc w:val="center"/>
          <w:trHeight w:val="709"/>
        </w:trPr>
        <w:tc>
          <w:tcPr>
            <w:tcBorders>
              <w:top w:val="single" w:color="auto" w:sz="4" w:space="0"/>
            </w:tcBorders>
            <w:tcW w:w="746" w:type="dxa"/>
            <w:vAlign w:val="center"/>
            <w:textDirection w:val="lrTb"/>
            <w:noWrap w:val="false"/>
          </w:tcPr>
          <w:p>
            <w:pPr>
              <w:pStyle w:val="1022"/>
              <w:ind w:firstLine="0"/>
              <w:jc w:val="center"/>
              <w:spacing w:line="46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tcBorders>
            <w:tcW w:w="9581" w:type="dxa"/>
            <w:vAlign w:val="center"/>
            <w:textDirection w:val="lrTb"/>
            <w:noWrap w:val="false"/>
          </w:tcPr>
          <w:p>
            <w:pPr>
              <w:pStyle w:val="1022"/>
              <w:ind w:firstLine="0"/>
              <w:jc w:val="center"/>
              <w:spacing w:line="460" w:lineRule="exact"/>
              <w:widowControl/>
              <w:rPr>
                <w:rFonts w:ascii="宋体" w:hAnsi="宋体" w:cs="宋体"/>
                <w:b/>
                <w:bCs/>
                <w:sz w:val="24"/>
              </w:rPr>
            </w:pPr>
            <w:r>
              <w:rPr>
                <w:rFonts w:hint="eastAsia" w:ascii="宋体" w:hAnsi="宋体" w:cs="宋体"/>
                <w:b/>
                <w:bCs/>
                <w:sz w:val="24"/>
              </w:rPr>
              <w:t xml:space="preserve">实质性要求和条件</w:t>
            </w:r>
            <w:r/>
          </w:p>
        </w:tc>
      </w:tr>
      <w:tr>
        <w:trPr>
          <w:jc w:val="center"/>
          <w:trHeight w:val="3808"/>
        </w:trPr>
        <w:tc>
          <w:tcPr>
            <w:tcW w:w="746" w:type="dxa"/>
            <w:vAlign w:val="center"/>
            <w:textDirection w:val="lrTb"/>
            <w:noWrap w:val="false"/>
          </w:tcPr>
          <w:p>
            <w:pPr>
              <w:pStyle w:val="1022"/>
              <w:ind w:firstLine="0"/>
              <w:jc w:val="center"/>
              <w:spacing w:line="460" w:lineRule="exact"/>
              <w:widowControl/>
              <w:rPr>
                <w:rFonts w:hint="eastAsia" w:ascii="宋体" w:hAnsi="宋体" w:cs="宋体" w:eastAsiaTheme="minorEastAsia"/>
                <w:sz w:val="24"/>
                <w:lang w:val="en-US" w:eastAsia="zh-CN"/>
              </w:rPr>
            </w:pPr>
            <w:r>
              <w:rPr>
                <w:rFonts w:hint="eastAsia" w:ascii="宋体" w:hAnsi="宋体" w:cs="宋体"/>
                <w:sz w:val="24"/>
                <w:lang w:val="en-US" w:eastAsia="zh-CN"/>
              </w:rPr>
              <w:t xml:space="preserve">1</w:t>
            </w:r>
            <w:r/>
          </w:p>
        </w:tc>
        <w:tc>
          <w:tcPr>
            <w:tcW w:w="9581" w:type="dxa"/>
            <w:vAlign w:val="center"/>
            <w:textDirection w:val="lrTb"/>
            <w:noWrap w:val="false"/>
          </w:tcPr>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1035"/>
              <w:tblW w:w="8792" w:type="dxa"/>
              <w:jc w:val="center"/>
              <w:tblLayout w:type="fixed"/>
              <w:tblCellMar>
                <w:left w:w="0" w:type="dxa"/>
                <w:top w:w="21" w:type="dxa"/>
                <w:right w:w="2" w:type="dxa"/>
                <w:bottom w:w="0" w:type="dxa"/>
              </w:tblCellMar>
              <w:tblLook w:val="04A0" w:firstRow="1" w:lastRow="0" w:firstColumn="1" w:lastColumn="0" w:noHBand="0" w:noVBand="1"/>
            </w:tblPr>
            <w:tblGrid>
              <w:gridCol w:w="943"/>
              <w:gridCol w:w="1927"/>
              <w:gridCol w:w="1095"/>
              <w:gridCol w:w="1197"/>
              <w:gridCol w:w="1074"/>
              <w:gridCol w:w="1221"/>
              <w:gridCol w:w="1335"/>
            </w:tblGrid>
            <w:tr>
              <w:trPr>
                <w:jc w:val="center"/>
                <w:trHeight w:val="959" w:hRule="exact"/>
              </w:trPr>
              <w:tc>
                <w:tcPr>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192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999" w:hRule="exact"/>
              </w:trPr>
              <w:tc>
                <w:tcPr>
                  <w:tcBorders>
                    <w:top w:val="single" w:color="000000" w:sz="2" w:space="0"/>
                    <w:left w:val="single" w:color="000000" w:sz="2" w:space="0"/>
                    <w:bottom w:val="single" w:color="auto" w:sz="4" w:space="0"/>
                    <w:right w:val="single" w:color="000000" w:sz="2" w:space="0"/>
                  </w:tcBorders>
                  <w:tcW w:w="94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1927" w:type="dxa"/>
                  <w:vAlign w:val="center"/>
                  <w:textDirection w:val="lrTb"/>
                  <w:noWrap w:val="false"/>
                </w:tcPr>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sz w:val="24"/>
                      <w:szCs w:val="24"/>
                      <w:lang w:val="en-US" w:eastAsia="zh-CN"/>
                    </w:rPr>
                    <w:t xml:space="preserve">有机无机复混肥料，总养分（N+P₂O₅+K₂O）≥30%；N≥15%；有机质≥10%。</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803.125</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2570000.00</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50公斤/袋</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spacing w:line="360" w:lineRule="auto"/>
                    <w:rPr>
                      <w:rFonts w:hint="eastAsia" w:ascii="宋体" w:hAnsi="宋体" w:eastAsia="宋体" w:cs="Helvetica"/>
                      <w:b/>
                      <w:bCs/>
                      <w:color w:val="000000" w:themeColor="text1"/>
                      <w:sz w:val="24"/>
                      <w:szCs w:val="24"/>
                      <w:lang w:val="en-US" w:eastAsia="zh-CN"/>
                      <w14:textFill>
                        <w14:solidFill>
                          <w14:schemeClr w14:val="tx1"/>
                        </w14:solidFill>
                      </w14:textFill>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工业</w:t>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rPr>
                      <w:rFonts w:ascii="宋体" w:hAnsi="宋体" w:eastAsia="宋体" w:cs="宋体"/>
                      <w:b/>
                      <w:bCs/>
                      <w:sz w:val="24"/>
                      <w:szCs w:val="24"/>
                    </w:rPr>
                    <w:t xml:space="preserve">制造业</w:t>
                  </w: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p>
              </w:tc>
            </w:tr>
          </w:tbl>
          <w:p>
            <w:pPr>
              <w:ind w:firstLine="482"/>
              <w:spacing w:line="360" w:lineRule="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sz w:val="24"/>
                <w:szCs w:val="24"/>
                <w:highlight w:val="none"/>
                <w:lang w:val="en-US" w:eastAsia="zh-CN"/>
              </w:rPr>
              <w:t xml:space="preserve">注：本项目实行足额采购模式，最高投标限价总价为2570000.00 元（257</w:t>
            </w:r>
            <w:bookmarkStart w:id="30" w:name="_GoBack"/>
            <w:r/>
            <w:bookmarkEnd w:id="30"/>
            <w:r>
              <w:rPr>
                <w:rFonts w:hint="eastAsia" w:ascii="宋体" w:hAnsi="宋体" w:eastAsia="宋体" w:cs="宋体"/>
                <w:b/>
                <w:bCs/>
                <w:sz w:val="24"/>
                <w:szCs w:val="24"/>
                <w:highlight w:val="none"/>
                <w:lang w:val="en-US" w:eastAsia="zh-CN"/>
              </w:rPr>
              <w:t xml:space="preserve">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p>
        </w:tc>
      </w:tr>
      <w:tr>
        <w:trPr>
          <w:jc w:val="center"/>
          <w:trHeight w:val="627"/>
        </w:trPr>
        <w:tc>
          <w:tcPr>
            <w:tcW w:w="746" w:type="dxa"/>
            <w:vAlign w:val="center"/>
            <w:textDirection w:val="lrTb"/>
            <w:noWrap w:val="false"/>
          </w:tcPr>
          <w:p>
            <w:pPr>
              <w:pStyle w:val="1022"/>
              <w:ind w:firstLine="0"/>
              <w:jc w:val="center"/>
              <w:spacing w:line="460" w:lineRule="exact"/>
              <w:widowControl/>
              <w:rPr>
                <w:rFonts w:ascii="宋体" w:hAnsi="宋体" w:cs="宋体"/>
                <w:sz w:val="24"/>
              </w:rPr>
            </w:pPr>
            <w:r>
              <w:rPr>
                <w:rFonts w:hint="eastAsia" w:ascii="宋体" w:hAnsi="宋体" w:cs="宋体"/>
                <w:sz w:val="24"/>
              </w:rPr>
              <w:t xml:space="preserve">2</w:t>
            </w:r>
            <w:r/>
          </w:p>
        </w:tc>
        <w:tc>
          <w:tcPr>
            <w:tcW w:w="9581" w:type="dxa"/>
            <w:vAlign w:val="center"/>
            <w:textDirection w:val="lrTb"/>
            <w:noWrap w:val="false"/>
          </w:tcPr>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9"/>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）投标人须提供所投产品生产厂家服务机构情况，包括地址、联系方式及技术人员数量等。</w:t>
            </w:r>
            <w:r/>
          </w:p>
          <w:p>
            <w:pPr>
              <w:ind w:firstLine="480"/>
              <w:spacing w:line="360" w:lineRule="auto"/>
              <w:rPr>
                <w:rFonts w:ascii="宋体" w:hAnsi="宋体" w:eastAsia="宋体" w:cs="宋体"/>
                <w:b/>
                <w:bCs/>
                <w:sz w:val="24"/>
                <w:szCs w:val="24"/>
                <w:highlight w:val="yellow"/>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tc>
      </w:tr>
    </w:tbl>
    <w:p>
      <w:p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rPr>
      </w:r>
      <w:r/>
    </w:p>
    <w:p>
      <w:pPr>
        <w:ind w:left="0" w:firstLine="0"/>
        <w:keepLines w:val="0"/>
        <w:keepNext w:val="0"/>
        <w:pageBreakBefore w:val="0"/>
        <w:spacing w:line="360" w:lineRule="auto"/>
        <w:widowControl w:val="off"/>
        <w:rPr>
          <w:rFonts w:ascii="宋体" w:hAnsi="宋体" w:cs="宋体"/>
          <w:b/>
          <w:color w:val="000000"/>
          <w:sz w:val="28"/>
          <w:szCs w:val="28"/>
        </w:rPr>
        <w:outlineLvl w:val="0"/>
      </w:pPr>
      <w:r>
        <w:rPr>
          <w:rFonts w:hint="eastAsia" w:ascii="宋体" w:hAnsi="宋体" w:cs="宋体"/>
          <w:b/>
          <w:color w:val="000000"/>
          <w:sz w:val="28"/>
          <w:szCs w:val="28"/>
        </w:rPr>
        <w:t xml:space="preserve">一、项目概况</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根据2025年度东海县部级小麦绿色高产高效行动项目要求，在项目区开展物化补助。东海县农业技术推广中心需采购一批有机无机复混肥料，现进行公开招标。</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rPr>
      </w:pPr>
      <w:r>
        <w:rPr>
          <w:rFonts w:hint="eastAsia" w:ascii="宋体" w:cs="Arial"/>
          <w:b/>
          <w:sz w:val="24"/>
          <w:szCs w:val="22"/>
          <w:lang w:val="en-US" w:eastAsia="zh-CN"/>
        </w:rPr>
        <w:t xml:space="preserve">本</w:t>
      </w:r>
      <w:r>
        <w:rPr>
          <w:rFonts w:hint="eastAsia" w:ascii="宋体" w:cs="Arial"/>
          <w:b/>
          <w:sz w:val="24"/>
          <w:szCs w:val="22"/>
        </w:rPr>
        <w:t xml:space="preserve">项目分为</w:t>
      </w:r>
      <w:r>
        <w:rPr>
          <w:rFonts w:hint="eastAsia" w:ascii="宋体" w:cs="Arial"/>
          <w:b/>
          <w:sz w:val="24"/>
          <w:szCs w:val="22"/>
          <w:lang w:val="en-US" w:eastAsia="zh-CN"/>
        </w:rPr>
        <w:t xml:space="preserve">一</w:t>
      </w:r>
      <w:r>
        <w:rPr>
          <w:rFonts w:hint="eastAsia" w:ascii="宋体" w:cs="Arial"/>
          <w:b/>
          <w:sz w:val="24"/>
          <w:szCs w:val="22"/>
        </w:rPr>
        <w:t xml:space="preserve">个</w:t>
      </w:r>
      <w:r>
        <w:rPr>
          <w:rFonts w:hint="eastAsia" w:ascii="宋体" w:cs="Arial"/>
          <w:b/>
          <w:sz w:val="24"/>
          <w:szCs w:val="22"/>
          <w:lang w:val="en-US" w:eastAsia="zh-CN"/>
        </w:rPr>
        <w:t xml:space="preserve">采购包</w:t>
      </w:r>
      <w:r>
        <w:rPr>
          <w:rFonts w:hint="eastAsia" w:ascii="宋体" w:cs="Arial"/>
          <w:b/>
          <w:sz w:val="24"/>
          <w:szCs w:val="22"/>
        </w:rPr>
        <w:t xml:space="preserve">：</w:t>
      </w:r>
      <w:r/>
    </w:p>
    <w:p>
      <w:pPr>
        <w:ind w:firstLine="480"/>
        <w:keepLines w:val="0"/>
        <w:keepNext w:val="0"/>
        <w:pageBreakBefore w:val="0"/>
        <w:spacing w:line="360" w:lineRule="auto"/>
        <w:widowControl w:val="off"/>
        <w:rPr>
          <w:rFonts w:hint="default"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-000</w:t>
      </w:r>
      <w:r>
        <w:rPr>
          <w:rFonts w:hint="eastAsia" w:ascii="宋体" w:hAnsi="宋体"/>
          <w:color w:val="000000"/>
          <w:sz w:val="24"/>
          <w:highlight w:val="none"/>
          <w:lang w:val="en-US" w:eastAsia="zh-CN"/>
        </w:rPr>
        <w:t xml:space="preserve">7</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ascii="宋体" w:hAnsi="宋体" w:eastAsia="宋体" w:cs="宋体"/>
          <w:sz w:val="24"/>
          <w:szCs w:val="24"/>
        </w:rPr>
        <w:t xml:space="preserve">2025 年度东海县部级小麦绿色高产高效行动项目</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预算金额：</w:t>
      </w:r>
      <w:r>
        <w:rPr>
          <w:rFonts w:hint="eastAsia" w:ascii="宋体" w:hAnsi="宋体"/>
          <w:sz w:val="24"/>
        </w:rPr>
        <w:t xml:space="preserve">人民币</w:t>
      </w:r>
      <w:r>
        <w:rPr>
          <w:rFonts w:hint="eastAsia" w:ascii="宋体" w:hAnsi="宋体"/>
          <w:sz w:val="24"/>
          <w:u w:val="single"/>
          <w:lang w:val="en-US" w:eastAsia="zh-CN"/>
        </w:rPr>
        <w:t xml:space="preserve">260 </w:t>
      </w:r>
      <w:r>
        <w:rPr>
          <w:rFonts w:hint="eastAsia" w:ascii="宋体" w:hAnsi="宋体" w:cs="宋体"/>
          <w:sz w:val="24"/>
        </w:rPr>
        <w:t xml:space="preserve">万元</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最高单价限价为：</w:t>
      </w:r>
      <w:r>
        <w:rPr>
          <w:rFonts w:hint="eastAsia" w:ascii="宋体" w:hAnsi="宋体" w:cs="宋体"/>
          <w:sz w:val="24"/>
          <w:u w:val="single"/>
          <w:lang w:val="en-US" w:eastAsia="zh-CN"/>
        </w:rPr>
        <w:t xml:space="preserve">0.32</w:t>
      </w:r>
      <w:r>
        <w:rPr>
          <w:rFonts w:hint="eastAsia" w:ascii="宋体" w:hAnsi="宋体" w:cs="宋体"/>
          <w:sz w:val="24"/>
          <w:lang w:val="en-US" w:eastAsia="zh-CN"/>
        </w:rPr>
        <w:t xml:space="preserve">万元/吨。最高投标限价为：</w:t>
      </w:r>
      <w:r>
        <w:rPr>
          <w:rFonts w:hint="eastAsia" w:ascii="宋体" w:hAnsi="宋体" w:cs="宋体"/>
          <w:sz w:val="24"/>
          <w:u w:val="single"/>
          <w:lang w:val="en-US" w:eastAsia="zh-CN"/>
        </w:rPr>
        <w:t xml:space="preserve">257</w:t>
      </w:r>
      <w:r>
        <w:rPr>
          <w:rFonts w:hint="eastAsia" w:ascii="宋体" w:hAnsi="宋体" w:cs="宋体"/>
          <w:sz w:val="24"/>
          <w:lang w:val="en-US" w:eastAsia="zh-CN"/>
        </w:rPr>
        <w:t xml:space="preserve">万元，</w:t>
      </w:r>
      <w:r>
        <w:rPr>
          <w:rFonts w:hint="eastAsia" w:ascii="宋体" w:hAnsi="宋体" w:cs="宋体"/>
          <w:sz w:val="24"/>
        </w:rPr>
        <w:t xml:space="preserve">投标报价超过</w:t>
      </w:r>
      <w:r>
        <w:rPr>
          <w:rFonts w:hint="eastAsia" w:ascii="宋体" w:hAnsi="宋体" w:cs="宋体"/>
          <w:sz w:val="24"/>
          <w:lang w:val="en-US" w:eastAsia="zh-CN"/>
        </w:rPr>
        <w:t xml:space="preserve">最高单价限价及最高投标限价</w:t>
      </w:r>
      <w:r>
        <w:rPr>
          <w:rFonts w:hint="eastAsia" w:ascii="宋体" w:hAnsi="宋体" w:cs="宋体"/>
          <w:sz w:val="24"/>
        </w:rPr>
        <w:t xml:space="preserve">的投标无效。</w:t>
      </w:r>
      <w:r/>
    </w:p>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1035"/>
        <w:tblW w:w="9479" w:type="dxa"/>
        <w:jc w:val="center"/>
        <w:tblLayout w:type="fixed"/>
        <w:tblCellMar>
          <w:left w:w="0" w:type="dxa"/>
          <w:top w:w="21" w:type="dxa"/>
          <w:right w:w="2" w:type="dxa"/>
          <w:bottom w:w="0" w:type="dxa"/>
        </w:tblCellMar>
        <w:tblLook w:val="04A0" w:firstRow="1" w:lastRow="0" w:firstColumn="1" w:lastColumn="0" w:noHBand="0" w:noVBand="1"/>
      </w:tblPr>
      <w:tblGrid>
        <w:gridCol w:w="650"/>
        <w:gridCol w:w="2194"/>
        <w:gridCol w:w="1131"/>
        <w:gridCol w:w="1597"/>
        <w:gridCol w:w="1326"/>
        <w:gridCol w:w="1314"/>
        <w:gridCol w:w="1267"/>
      </w:tblGrid>
      <w:tr>
        <w:trPr>
          <w:jc w:val="center"/>
          <w:trHeight w:val="948" w:hRule="exact"/>
        </w:trPr>
        <w:tc>
          <w:tcPr>
            <w:tcBorders>
              <w:top w:val="single" w:color="000000" w:sz="2" w:space="0"/>
              <w:left w:val="single" w:color="000000" w:sz="2" w:space="0"/>
              <w:bottom w:val="single" w:color="000000" w:sz="2" w:space="0"/>
              <w:right w:val="single" w:color="000000" w:sz="2" w:space="0"/>
            </w:tcBorders>
            <w:tcW w:w="65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19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452" w:hRule="exact"/>
        </w:trPr>
        <w:tc>
          <w:tcPr>
            <w:tcBorders>
              <w:top w:val="single" w:color="000000" w:sz="2" w:space="0"/>
              <w:left w:val="single" w:color="000000" w:sz="2" w:space="0"/>
              <w:bottom w:val="single" w:color="auto" w:sz="4" w:space="0"/>
              <w:right w:val="single" w:color="000000" w:sz="2"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tcBorders>
              <w:top w:val="single" w:color="000000" w:sz="2" w:space="0"/>
              <w:left w:val="single" w:color="000000" w:sz="2" w:space="0"/>
              <w:bottom w:val="single" w:color="auto" w:sz="4" w:space="0"/>
              <w:right w:val="single" w:color="000000" w:sz="2" w:space="0"/>
            </w:tcBorders>
            <w:tcW w:w="2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有机无机复混肥料，总养分（N+P₂O₅+K₂O）≥30%；N≥15%；有机质≥10%。</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default"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803.125</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3200</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2570000.00</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工业</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（制造业）</w:t>
            </w:r>
            <w:r/>
          </w:p>
        </w:tc>
      </w:tr>
    </w:tbl>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本项目实行足额采购模式，最高投标限价总价为2570000.00元（257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p>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）投标人须提供所投产品生产厂家服务机构情况，包括地址、联系方式及技术人员数量等。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p>
      <w:pPr>
        <w:numPr>
          <w:ilvl w:val="0"/>
          <w:numId w:val="6"/>
        </w:numPr>
        <w:ind w:left="0" w:firstLine="0"/>
        <w:rPr>
          <w:rFonts w:hint="eastAsia"/>
          <w:b/>
          <w:color w:val="000000"/>
          <w:sz w:val="28"/>
          <w:szCs w:val="28"/>
          <w:lang w:val="en-US" w:eastAsia="zh-CN"/>
        </w:rPr>
        <w:outlineLvl w:val="0"/>
      </w:pPr>
      <w:r>
        <w:rPr>
          <w:rFonts w:hint="eastAsia"/>
          <w:b/>
          <w:color w:val="000000"/>
          <w:sz w:val="28"/>
          <w:szCs w:val="28"/>
          <w:lang w:val="en-US" w:eastAsia="zh-CN"/>
        </w:rPr>
        <w:t xml:space="preserve">其他要求</w:t>
      </w:r>
      <w:r/>
    </w:p>
    <w:p>
      <w:pPr>
        <w:contextualSpacing/>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投标报价要求</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w:t>
      </w:r>
      <w:r>
        <w:rPr>
          <w:rFonts w:hint="eastAsia" w:ascii="宋体" w:hAnsi="宋体" w:eastAsia="宋体" w:cs="宋体"/>
          <w:color w:val="000000"/>
          <w:sz w:val="24"/>
          <w:szCs w:val="24"/>
          <w:highlight w:val="none"/>
        </w:rPr>
        <w:t xml:space="preserve">所提供产品须按相应的国家标准和产品的特殊要求包装，</w:t>
      </w:r>
      <w:r>
        <w:rPr>
          <w:rFonts w:ascii="宋体" w:hAnsi="宋体" w:eastAsia="宋体" w:cs="宋体"/>
          <w:sz w:val="24"/>
          <w:szCs w:val="24"/>
        </w:rPr>
        <w:t xml:space="preserve">均应有良好的防湿、防锈、防雨、防腐及防碰撞措施</w:t>
      </w:r>
      <w:r>
        <w:rPr>
          <w:rFonts w:hint="eastAsia" w:ascii="宋体" w:hAnsi="宋体" w:eastAsia="宋体" w:cs="宋体"/>
          <w:color w:val="000000"/>
          <w:sz w:val="24"/>
          <w:szCs w:val="24"/>
          <w:highlight w:val="none"/>
        </w:rPr>
        <w:t xml:space="preserve">。凡由于包装不良造成的损失和由此产生的费用均由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承担。内外包装的标志编号清晰，标签内容完整（包括产品名称、批准文号、生产批号、生产日期、有效期、使用说明、商标、注意事项、生产企业名称、电话等）。包装质量要求不得低于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时提交包装质量标准。包装规格与成交时包装规格一致，不得更改</w:t>
      </w:r>
      <w:r>
        <w:rPr>
          <w:rFonts w:hint="eastAsia" w:ascii="宋体" w:hAnsi="宋体" w:eastAsia="宋体" w:cs="宋体"/>
          <w:color w:val="000000"/>
          <w:sz w:val="24"/>
          <w:szCs w:val="24"/>
          <w:highlight w:val="none"/>
          <w:lang w:eastAsia="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验收标准及要求</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eastAsia="宋体" w:cs="宋体"/>
          <w:sz w:val="24"/>
          <w:szCs w:val="24"/>
        </w:rPr>
        <w:t xml:space="preserve">本验收标准严格遵循国家相关产品标准及本项目招标文件要求；未明确之处，按 GB/T 18877-2020《有机无机复混肥料》（含2023年第1号修改单）、GB 38400-2019《肥料中有毒有害物质的限量要求》等国家强制性标准及本行业最新发布的相关标准执行。</w:t>
      </w:r>
      <w:r>
        <w:rPr>
          <w:rFonts w:hint="eastAsia" w:ascii="宋体" w:hAnsi="宋体" w:eastAsia="宋体" w:cs="宋体"/>
          <w:bCs/>
          <w:color w:val="000000"/>
          <w:sz w:val="24"/>
          <w:szCs w:val="24"/>
          <w:highlight w:val="none"/>
        </w:rPr>
        <w:t xml:space="preserve">若验收过程中发现产品指标不达标、资料不全或产品存在质量问题，投标人需在规定时间内更换合格产品，否则视为违约。</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工作由采购人组织，中标供应商配合。采购人将根据中标人的供货及实际使用情况，随时抽查，同时将中标产品送至权威检测部门，若送检产品达不到现行国家和行业的相关质量标准的要求（包括出现送检产品的各项指标低于合同要求的），视作假冒伪劣产品，所有检测费用及造成的相关后果均由中标人一并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验收时间：供货完毕后由采购单位组织审计、验收等。如项目区用户使用过程中提出异议或举报有质量问题应重新验收，包括产品质量抽检。采购人可请国家认可的专业检测机构出具质量检测报告，检测费用由中标人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售后服务：</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提供的货物在保质期内因货物本身出现质量问题，根据实际情况，经双方协商，可按以下办法处理：</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（1）更换：由供应商承担所发生的全部费用。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（2）退货处理：无条件退货，并退还用户支付的合同款，同时应承担该货物的直接费用（运输、保险、检验、货款利息及银行手续费等）。用户和采购人不承担发生的任何费用。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（3）如在使用过程中发生质量问题，供应商接到用户或采购人通知后在 24小时内到达现场处理，并承担相应责任。</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、在质保期内，</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应对货物出现的质量及安全问题负责处理解决并承担一切费用。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、供货期间，</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要积极配合采购人及其委托机构、各镇（街道）农业工作局组织的核查。其供货质量存在问题，将中止本次合同。若供货吨位不足，存在弄虚作假，第一次发现按供货所缺吨位占核查吨位的相关比例，财政结报时扣除已供货的货款；第二次发现则终止合同，企业列入本区同类项目招标黑名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rPr>
          <w:rFonts w:hint="eastAsia" w:eastAsiaTheme="minorEastAsia"/>
          <w:lang w:eastAsia="zh-CN"/>
        </w:rPr>
      </w:pPr>
      <w:r/>
      <w:bookmarkStart w:id="24" w:name="_Toc29138"/>
      <w:r/>
      <w:bookmarkStart w:id="25" w:name="_Toc32531"/>
      <w:r/>
      <w:bookmarkStart w:id="26" w:name="_Toc19186"/>
      <w:r/>
      <w:bookmarkStart w:id="27" w:name="_Toc31979"/>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pStyle w:val="1034"/>
        <w:rPr>
          <w:rFonts w:hint="eastAsia"/>
          <w:lang w:eastAsia="zh-CN"/>
        </w:rPr>
      </w:pPr>
      <w:r>
        <w:rPr>
          <w:rFonts w:hint="eastAsia"/>
          <w:lang w:eastAsia="zh-CN"/>
        </w:rPr>
      </w:r>
      <w:r/>
    </w:p>
    <w:p>
      <w:pPr>
        <w:pStyle w:val="1034"/>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第六章  评审方法与评审标准</w:t>
      </w:r>
      <w:bookmarkEnd w:id="24"/>
      <w:r/>
      <w:bookmarkEnd w:id="25"/>
      <w:r/>
      <w:bookmarkEnd w:id="26"/>
      <w:r/>
      <w:bookmarkEnd w:id="27"/>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一、评标方法：综合评分法</w:t>
      </w:r>
      <w:r/>
    </w:p>
    <w:p>
      <w:pPr>
        <w:ind w:firstLine="482"/>
        <w:keepLines w:val="0"/>
        <w:keepNext w:val="0"/>
        <w:pageBreakBefore w:val="0"/>
        <w:spacing w:line="360" w:lineRule="auto"/>
        <w:widowControl/>
        <w:rPr>
          <w:sz w:val="24"/>
        </w:rPr>
      </w:pPr>
      <w:r>
        <w:rPr>
          <w:rFonts w:hint="eastAsia"/>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二、评标委员会构成：</w:t>
      </w:r>
      <w:r/>
    </w:p>
    <w:p>
      <w:pPr>
        <w:ind w:firstLine="480"/>
        <w:keepLines w:val="0"/>
        <w:keepNext w:val="0"/>
        <w:pageBreakBefore w:val="0"/>
        <w:spacing w:line="360" w:lineRule="auto"/>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 xml:space="preserve">最高分、最低分</w:t>
      </w:r>
      <w:r>
        <w:rPr>
          <w:rFonts w:hint="eastAsia"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482"/>
        <w:keepLines w:val="0"/>
        <w:keepNext w:val="0"/>
        <w:pageBreakBefore w:val="0"/>
        <w:spacing w:line="360" w:lineRule="auto"/>
        <w:rPr>
          <w:rFonts w:ascii="宋体" w:hAnsi="宋体"/>
          <w:b/>
          <w:bCs/>
          <w:color w:val="000000"/>
          <w:sz w:val="24"/>
        </w:rPr>
        <w:outlineLvl w:val="0"/>
      </w:pPr>
      <w:r>
        <w:rPr>
          <w:rFonts w:hint="eastAsia" w:ascii="宋体" w:hAnsi="宋体"/>
          <w:b/>
          <w:bCs/>
          <w:color w:val="000000"/>
          <w:sz w:val="24"/>
        </w:rPr>
        <w:t xml:space="preserve">五、中标标准：</w:t>
      </w:r>
      <w:r/>
    </w:p>
    <w:p>
      <w:pPr>
        <w:ind w:firstLine="480"/>
        <w:keepLines w:val="0"/>
        <w:keepNext w:val="0"/>
        <w:pageBreakBefore w:val="0"/>
        <w:spacing w:line="360" w:lineRule="auto"/>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ascii="宋体" w:hAnsi="宋体" w:cs="宋体"/>
          <w:b/>
          <w:bCs/>
          <w:color w:val="000000"/>
          <w:sz w:val="32"/>
          <w:highlight w:val="none"/>
        </w:rPr>
        <w:outlineLvl w:val="0"/>
      </w:pPr>
      <w:r>
        <w:rPr>
          <w:rFonts w:hint="eastAsia" w:ascii="宋体" w:hAnsi="宋体" w:cs="宋体"/>
          <w:b/>
          <w:bCs/>
          <w:color w:val="000000"/>
          <w:sz w:val="32"/>
          <w:highlight w:val="none"/>
        </w:rPr>
        <w:t xml:space="preserve">综合评分法</w:t>
      </w:r>
      <w:r/>
    </w:p>
    <w:p>
      <w:pPr>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1.价格分（</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采用低价优先法计算，即满足招标文件要求且</w:t>
      </w:r>
      <w:r>
        <w:rPr>
          <w:rFonts w:hint="eastAsia" w:ascii="宋体" w:hAnsi="宋体" w:eastAsia="宋体" w:cs="宋体"/>
          <w:b/>
          <w:bCs/>
          <w:color w:val="000000"/>
          <w:sz w:val="24"/>
          <w:szCs w:val="32"/>
          <w:highlight w:val="none"/>
        </w:rPr>
        <w:t xml:space="preserve">投标</w:t>
      </w:r>
      <w:r>
        <w:rPr>
          <w:rFonts w:hint="eastAsia" w:ascii="宋体" w:hAnsi="宋体" w:eastAsia="宋体" w:cs="宋体"/>
          <w:b/>
          <w:bCs/>
          <w:color w:val="000000"/>
          <w:sz w:val="24"/>
          <w:szCs w:val="32"/>
          <w:highlight w:val="none"/>
          <w:lang w:val="en-US" w:eastAsia="zh-CN"/>
        </w:rPr>
        <w:t xml:space="preserve">单价</w:t>
      </w:r>
      <w:r>
        <w:rPr>
          <w:rFonts w:hint="eastAsia" w:ascii="宋体" w:hAnsi="宋体" w:eastAsia="宋体" w:cs="宋体"/>
          <w:b/>
          <w:bCs/>
          <w:color w:val="000000"/>
          <w:sz w:val="24"/>
          <w:szCs w:val="32"/>
          <w:highlight w:val="none"/>
        </w:rPr>
        <w:t xml:space="preserve">最低</w:t>
      </w:r>
      <w:r>
        <w:rPr>
          <w:rFonts w:hint="eastAsia" w:ascii="宋体" w:hAnsi="宋体" w:eastAsia="宋体" w:cs="宋体"/>
          <w:color w:val="000000"/>
          <w:sz w:val="24"/>
          <w:szCs w:val="32"/>
          <w:highlight w:val="none"/>
        </w:rPr>
        <w:t xml:space="preserve">的投标报价为评标基准价，其价格分为满分。其他投标人的价格分统一按照下列公式计算：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highlight w:val="none"/>
        </w:rPr>
      </w:pPr>
      <w:r>
        <w:rPr>
          <w:rFonts w:hint="eastAsia" w:ascii="宋体" w:hAnsi="宋体" w:eastAsia="宋体" w:cs="宋体"/>
          <w:color w:val="000000"/>
          <w:sz w:val="24"/>
          <w:szCs w:val="32"/>
          <w:highlight w:val="none"/>
        </w:rPr>
        <w:t xml:space="preserve">投标报价得分= （评标基准价/投标报价</w:t>
      </w:r>
      <w:r>
        <w:rPr>
          <w:rFonts w:hint="eastAsia" w:ascii="宋体" w:hAnsi="宋体" w:eastAsia="宋体" w:cs="宋体"/>
          <w:color w:val="000000"/>
          <w:sz w:val="24"/>
          <w:szCs w:val="32"/>
          <w:highlight w:val="none"/>
          <w:lang w:val="en-US" w:eastAsia="zh-CN"/>
        </w:rPr>
        <w:t xml:space="preserve">单价</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lang w:val="en-US" w:eastAsia="zh-CN"/>
        </w:rPr>
        <w:t xml:space="preserve">30</w:t>
      </w:r>
      <w:r>
        <w:rPr>
          <w:rFonts w:hint="eastAsia" w:ascii="宋体" w:hAnsi="宋体" w:eastAsia="宋体" w:cs="宋体"/>
          <w:color w:val="000000"/>
          <w:sz w:val="24"/>
          <w:szCs w:val="32"/>
          <w:highlight w:val="none"/>
        </w:rPr>
        <w:t xml:space="preserve">分。</w:t>
      </w:r>
      <w:r/>
    </w:p>
    <w:p>
      <w:pPr>
        <w:ind w:firstLine="480"/>
        <w:jc w:val="left"/>
        <w:pageBreakBefore w:val="0"/>
        <w:spacing w:line="360" w:lineRule="auto"/>
        <w:widowControl w:val="off"/>
        <w:rPr>
          <w:rFonts w:hint="default" w:ascii="宋体" w:hAnsi="宋体" w:eastAsia="宋体" w:cs="Times New Roman"/>
          <w:color w:val="auto"/>
          <w:sz w:val="24"/>
          <w:highlight w:val="none"/>
        </w:rPr>
      </w:pPr>
      <w:r>
        <w:rPr>
          <w:rFonts w:hint="eastAsia" w:ascii="宋体" w:hAnsi="Times New Roman" w:eastAsia="宋体" w:cs="Times New Roman"/>
          <w:color w:val="c00000"/>
          <w:sz w:val="24"/>
          <w:highlight w:val="none"/>
          <w:lang w:val="en-US" w:eastAsia="zh-CN"/>
        </w:rPr>
        <w:t xml:space="preserve">注：</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auto"/>
          <w:sz w:val="24"/>
          <w:highlight w:val="none"/>
        </w:rPr>
        <w:t xml:space="preserve">落实政府采购政策进行价格评审调整的，以调整后的价格计算投标基准价和投标报价，小数点后保留两位。</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政府采购政策功能落实</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采购本国产品的支持政策</w:t>
      </w:r>
      <w:r/>
    </w:p>
    <w:p>
      <w:pPr>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依据《国务院办公厅关于在政府采购中实施本国产品标准及相关政策的通知》（国办发〔2025〕34 号），本项目</w:t>
      </w:r>
      <w:r>
        <w:rPr>
          <w:rStyle w:val="1032"/>
          <w:rFonts w:ascii="宋体" w:hAnsi="宋体" w:eastAsia="宋体" w:cs="宋体"/>
          <w:b/>
          <w:bCs/>
          <w:color w:val="1f2329"/>
          <w:sz w:val="24"/>
          <w:szCs w:val="24"/>
        </w:rPr>
        <w:t xml:space="preserve">专门面向本国产品采购，不接受非本国产品（进口产品）投标</w:t>
      </w:r>
      <w:r>
        <w:rPr>
          <w:rFonts w:ascii="宋体" w:hAnsi="宋体" w:eastAsia="宋体" w:cs="宋体"/>
          <w:sz w:val="24"/>
          <w:szCs w:val="24"/>
        </w:rPr>
        <w:t xml:space="preserve">。投标人须提供《关于符合本国产品标准的声明函》，未按要求提供或内容不符合规定的，其投标无效。</w:t>
      </w:r>
      <w:r/>
    </w:p>
    <w:p>
      <w:pPr>
        <w:ind w:firstLine="480"/>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w:t>
      </w:r>
      <w:r/>
    </w:p>
    <w:p>
      <w:pPr>
        <w:ind w:firstLine="482"/>
        <w:keepLines w:val="0"/>
        <w:keepNext w:val="0"/>
        <w:pageBreakBefore w:val="0"/>
        <w:spacing w:line="360" w:lineRule="auto"/>
        <w:widowControl w:val="off"/>
        <w:rPr>
          <w:rFonts w:hint="eastAsia" w:ascii="宋体" w:hAnsi="宋体" w:eastAsia="宋体" w:cs="宋体"/>
          <w:color w:val="000000"/>
          <w:sz w:val="24"/>
          <w:szCs w:val="32"/>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both"/>
        <w:spacing w:after="120"/>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注：1、投标报价得分是以投标单价计算投标报价得分。</w:t>
      </w:r>
      <w:r/>
    </w:p>
    <w:p>
      <w:pPr>
        <w:ind w:firstLine="964"/>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2、</w:t>
      </w:r>
      <w:r>
        <w:rPr>
          <w:rFonts w:hint="eastAsia" w:ascii="宋体" w:hAnsi="宋体" w:eastAsia="宋体" w:cs="宋体"/>
          <w:b/>
          <w:bCs/>
          <w:color w:val="000000"/>
          <w:sz w:val="24"/>
          <w:szCs w:val="32"/>
          <w:highlight w:val="none"/>
        </w:rPr>
        <w:t xml:space="preserve">评标过程中，不得去掉报价中的最高报价和最低报价。</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2.商务</w:t>
      </w:r>
      <w:r>
        <w:rPr>
          <w:rFonts w:hint="eastAsia" w:ascii="宋体" w:hAnsi="宋体" w:eastAsia="宋体" w:cs="宋体"/>
          <w:b/>
          <w:color w:val="000000"/>
          <w:sz w:val="24"/>
          <w:szCs w:val="32"/>
          <w:lang w:val="en-US" w:eastAsia="zh-CN"/>
        </w:rPr>
        <w:t xml:space="preserve">技术</w:t>
      </w:r>
      <w:r>
        <w:rPr>
          <w:rFonts w:hint="eastAsia" w:ascii="宋体" w:hAnsi="宋体" w:eastAsia="宋体" w:cs="宋体"/>
          <w:b/>
          <w:color w:val="000000"/>
          <w:sz w:val="24"/>
          <w:szCs w:val="32"/>
        </w:rPr>
        <w:t xml:space="preserve">分（</w:t>
      </w:r>
      <w:r>
        <w:rPr>
          <w:rFonts w:hint="eastAsia" w:ascii="宋体" w:hAnsi="宋体" w:eastAsia="宋体" w:cs="宋体"/>
          <w:b/>
          <w:color w:val="000000"/>
          <w:sz w:val="24"/>
          <w:szCs w:val="32"/>
          <w:lang w:val="en-US" w:eastAsia="zh-CN"/>
        </w:rPr>
        <w:t xml:space="preserve">70</w:t>
      </w:r>
      <w:r>
        <w:rPr>
          <w:rFonts w:hint="eastAsia" w:ascii="宋体" w:hAnsi="宋体" w:eastAsia="宋体" w:cs="宋体"/>
          <w:b/>
          <w:color w:val="000000"/>
          <w:sz w:val="24"/>
          <w:szCs w:val="32"/>
        </w:rPr>
        <w:t xml:space="preserve">分）</w:t>
      </w:r>
      <w:r/>
    </w:p>
    <w:tbl>
      <w:tblPr>
        <w:tblStyle w:val="102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7883"/>
      </w:tblGrid>
      <w:tr>
        <w:trPr>
          <w:jc w:val="center"/>
          <w:trHeight w:val="90"/>
        </w:trPr>
        <w:tc>
          <w:tcPr>
            <w:tcW w:w="1427"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7883"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90"/>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 xml:space="preserve">商务部分（30分）</w:t>
            </w:r>
            <w:r/>
          </w:p>
        </w:tc>
      </w:tr>
      <w:tr>
        <w:trPr>
          <w:jc w:val="center"/>
          <w:trHeight w:val="80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32"/>
                <w:lang w:val="en-US" w:eastAsia="zh-CN" w:bidi="ar-SA"/>
              </w:rPr>
            </w:pPr>
            <w:r>
              <w:rPr>
                <w:rFonts w:hint="eastAsia" w:ascii="宋体" w:hAnsi="宋体" w:eastAsia="宋体" w:cs="宋体"/>
                <w:b w:val="0"/>
                <w:bCs/>
                <w:color w:val="auto"/>
                <w:sz w:val="24"/>
                <w:szCs w:val="32"/>
                <w:lang w:val="en-US" w:eastAsia="zh-CN" w:bidi="ar-SA"/>
              </w:rPr>
              <w:t xml:space="preserve">（6分）</w:t>
            </w:r>
            <w:r/>
          </w:p>
        </w:tc>
        <w:tc>
          <w:tcPr>
            <w:tcW w:w="7883" w:type="dxa"/>
            <w:textDirection w:val="lrTb"/>
            <w:noWrap w:val="false"/>
          </w:tcPr>
          <w:p>
            <w:pPr>
              <w:ind w:left="0" w:right="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1f2329"/>
                <w:sz w:val="24"/>
                <w:szCs w:val="24"/>
                <w:lang w:val="en-US" w:eastAsia="zh-CN" w:bidi="ar"/>
              </w:rPr>
              <w:t xml:space="preserve">投标人须提供</w:t>
            </w:r>
            <w:r>
              <w:rPr>
                <w:rStyle w:val="1032"/>
                <w:rFonts w:ascii="宋体" w:hAnsi="宋体" w:eastAsia="宋体" w:cs="宋体"/>
                <w:b/>
                <w:bCs/>
                <w:color w:val="1f2329"/>
                <w:sz w:val="24"/>
                <w:szCs w:val="24"/>
                <w:lang w:val="en-US" w:eastAsia="zh-CN" w:bidi="ar"/>
              </w:rPr>
              <w:t xml:space="preserve">2023年1月1日至今</w:t>
            </w:r>
            <w:r>
              <w:rPr>
                <w:rFonts w:ascii="宋体" w:hAnsi="宋体" w:eastAsia="宋体" w:cs="宋体"/>
                <w:color w:val="1f2329"/>
                <w:sz w:val="24"/>
                <w:szCs w:val="24"/>
                <w:lang w:val="en-US" w:eastAsia="zh-CN" w:bidi="ar"/>
              </w:rPr>
              <w:t xml:space="preserve">（以合同签订时间为准）与本项目类似的业绩证明材料，所有材料须完整清晰，</w:t>
            </w:r>
            <w:r>
              <w:rPr>
                <w:rStyle w:val="1032"/>
                <w:rFonts w:ascii="宋体" w:hAnsi="宋体" w:eastAsia="宋体" w:cs="宋体"/>
                <w:b/>
                <w:bCs/>
                <w:color w:val="1f2329"/>
                <w:sz w:val="24"/>
                <w:szCs w:val="24"/>
                <w:lang w:val="en-US" w:eastAsia="zh-CN" w:bidi="ar"/>
              </w:rPr>
              <w:t xml:space="preserve">不得遮挡、涂改，否则不予加分</w:t>
            </w:r>
            <w:r>
              <w:rPr>
                <w:rFonts w:ascii="宋体" w:hAnsi="宋体" w:eastAsia="宋体" w:cs="宋体"/>
                <w:color w:val="1f2329"/>
                <w:sz w:val="24"/>
                <w:szCs w:val="24"/>
                <w:lang w:val="en-US" w:eastAsia="zh-CN" w:bidi="ar"/>
              </w:rPr>
              <w:t xml:space="preserve">。业绩需</w:t>
            </w:r>
            <w:r>
              <w:rPr>
                <w:rStyle w:val="1032"/>
                <w:rFonts w:ascii="宋体" w:hAnsi="宋体" w:eastAsia="宋体" w:cs="宋体"/>
                <w:b/>
                <w:bCs/>
                <w:color w:val="1f2329"/>
                <w:sz w:val="24"/>
                <w:szCs w:val="24"/>
                <w:lang w:val="en-US" w:eastAsia="zh-CN" w:bidi="ar"/>
              </w:rPr>
              <w:t xml:space="preserve">同时提供以下两项材料，缺一不可</w:t>
            </w:r>
            <w:r>
              <w:rPr>
                <w:rFonts w:ascii="宋体" w:hAnsi="宋体" w:eastAsia="宋体" w:cs="宋体"/>
                <w:color w:val="1f2329"/>
                <w:sz w:val="24"/>
                <w:szCs w:val="24"/>
                <w:lang w:val="en-US" w:eastAsia="zh-CN" w:bidi="ar"/>
              </w:rPr>
              <w:t xml:space="preserve">：</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1、</w:t>
            </w:r>
            <w:r>
              <w:rPr>
                <w:color w:val="1f2329"/>
                <w:sz w:val="24"/>
                <w:szCs w:val="24"/>
              </w:rPr>
              <w:t xml:space="preserve">完整合同扫描件（含合同金额、双方名称、盖章页及合同清单）；</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2、</w:t>
            </w:r>
            <w:r>
              <w:rPr>
                <w:color w:val="1f2329"/>
                <w:sz w:val="24"/>
                <w:szCs w:val="24"/>
              </w:rPr>
              <w:t xml:space="preserve">该项目</w:t>
            </w:r>
            <w:r>
              <w:rPr>
                <w:rStyle w:val="1032"/>
                <w:b/>
                <w:bCs/>
                <w:color w:val="1f2329"/>
                <w:sz w:val="24"/>
                <w:szCs w:val="24"/>
              </w:rPr>
              <w:t xml:space="preserve">最终使用单位（采购人 / 业主）</w:t>
            </w:r>
            <w:r>
              <w:rPr>
                <w:color w:val="1f2329"/>
                <w:sz w:val="24"/>
                <w:szCs w:val="24"/>
              </w:rPr>
              <w:t xml:space="preserve"> 加盖公章的履约证明。</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1f2329"/>
                <w:sz w:val="24"/>
                <w:szCs w:val="24"/>
                <w:lang w:val="en-US" w:eastAsia="zh-CN" w:bidi="ar"/>
              </w:rPr>
              <w:t xml:space="preserve">注：</w:t>
            </w:r>
            <w:r>
              <w:rPr>
                <w:rFonts w:ascii="宋体" w:hAnsi="宋体" w:eastAsia="宋体" w:cs="宋体"/>
                <w:b/>
                <w:bCs/>
                <w:color w:val="1f2329"/>
                <w:sz w:val="24"/>
                <w:szCs w:val="24"/>
                <w:lang w:val="en-US" w:eastAsia="zh-CN" w:bidi="ar"/>
              </w:rPr>
              <w:t xml:space="preserve">每提供1个符合要求的类似业绩得2分，本项满分6分。未提供业绩或证明材料不全、不符合要求的，不得分。</w:t>
            </w:r>
            <w:r/>
          </w:p>
        </w:tc>
      </w:tr>
      <w:tr>
        <w:trPr>
          <w:jc w:val="center"/>
          <w:trHeight w:val="800"/>
        </w:trPr>
        <w:tc>
          <w:tcPr>
            <w:tcW w:w="1427"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人员配置</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32"/>
                <w:highlight w:val="none"/>
                <w:lang w:val="en-US" w:eastAsia="zh-CN" w:bidi="ar-SA"/>
              </w:rPr>
            </w:pPr>
            <w:r>
              <w:rPr>
                <w:rFonts w:hint="eastAsia" w:ascii="宋体" w:hAnsi="宋体" w:eastAsia="宋体" w:cs="宋体"/>
                <w:color w:val="000000"/>
                <w:spacing w:val="-2"/>
                <w:sz w:val="22"/>
                <w:highlight w:val="none"/>
                <w:lang w:eastAsia="zh-CN"/>
              </w:rPr>
              <w:t xml:space="preserve">（</w:t>
            </w:r>
            <w:r>
              <w:rPr>
                <w:rFonts w:hint="eastAsia" w:ascii="宋体" w:hAnsi="宋体" w:eastAsia="宋体" w:cs="宋体"/>
                <w:color w:val="000000"/>
                <w:spacing w:val="-2"/>
                <w:sz w:val="22"/>
                <w:highlight w:val="none"/>
                <w:lang w:val="en-US" w:eastAsia="zh-CN"/>
              </w:rPr>
              <w:t xml:space="preserve">7分</w:t>
            </w:r>
            <w:r>
              <w:rPr>
                <w:rFonts w:hint="eastAsia" w:ascii="宋体" w:hAnsi="宋体" w:eastAsia="宋体" w:cs="宋体"/>
                <w:color w:val="000000"/>
                <w:spacing w:val="-2"/>
                <w:sz w:val="22"/>
                <w:highlight w:val="none"/>
                <w:lang w:eastAsia="zh-CN"/>
              </w:rPr>
              <w:t xml:space="preserve">）</w:t>
            </w:r>
            <w:r/>
          </w:p>
        </w:tc>
        <w:tc>
          <w:tcPr>
            <w:tcW w:w="7883" w:type="dxa"/>
            <w:vAlign w:val="center"/>
            <w:textDirection w:val="lrTb"/>
            <w:noWrap w:val="false"/>
          </w:tcPr>
          <w:p>
            <w:pPr>
              <w:numPr>
                <w:ilvl w:val="0"/>
                <w:numId w:val="8"/>
              </w:numPr>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投标人须满足以下两项要求，全部满足得4分，有一项不满足不得分：</w:t>
            </w:r>
            <w:r>
              <w:rPr>
                <w:rFonts w:hint="eastAsia" w:ascii="宋体" w:hAnsi="宋体" w:eastAsia="宋体" w:cs="宋体"/>
                <w:b w:val="0"/>
                <w:bCs w:val="0"/>
                <w:sz w:val="24"/>
                <w:szCs w:val="24"/>
                <w:highlight w:val="none"/>
                <w:lang w:val="en-US" w:eastAsia="zh-CN" w:bidi="ar"/>
              </w:rPr>
              <w:t xml:space="preserve">     </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① 配备至少2名本项目专属售后技术工作人员，负责本项目供货台账建立、货物卸货及分发相关工作；</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② 配备1辆送货车辆（自有、租赁均可）。</w:t>
            </w:r>
            <w:r/>
          </w:p>
          <w:p>
            <w:pPr>
              <w:numPr>
                <w:ilvl w:val="0"/>
                <w:numId w:val="0"/>
              </w:numPr>
              <w:jc w:val="left"/>
              <w:keepLines w:val="0"/>
              <w:keepNext w:val="0"/>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注：1）投标人</w:t>
            </w:r>
            <w:r>
              <w:rPr>
                <w:rFonts w:ascii="宋体" w:hAnsi="宋体" w:eastAsia="宋体" w:cs="宋体"/>
                <w:b/>
                <w:bCs/>
                <w:sz w:val="24"/>
                <w:szCs w:val="24"/>
                <w:highlight w:val="none"/>
                <w:lang w:val="en-US" w:eastAsia="zh-CN" w:bidi="ar"/>
              </w:rPr>
              <w:t xml:space="preserve">须提供加盖投标人公章的《承诺函》</w:t>
            </w:r>
            <w:r>
              <w:rPr>
                <w:rFonts w:hint="eastAsia" w:ascii="宋体" w:hAnsi="宋体" w:eastAsia="宋体" w:cs="宋体"/>
                <w:b/>
                <w:bCs/>
                <w:sz w:val="24"/>
                <w:szCs w:val="24"/>
                <w:highlight w:val="none"/>
                <w:lang w:val="en-US" w:eastAsia="zh-CN" w:bidi="ar"/>
              </w:rPr>
              <w:t xml:space="preserve">同时提供2名工作人员有</w:t>
            </w:r>
            <w:r>
              <w:rPr>
                <w:rFonts w:ascii="宋体" w:hAnsi="宋体" w:eastAsia="宋体" w:cs="宋体"/>
                <w:b/>
                <w:bCs/>
                <w:sz w:val="24"/>
                <w:szCs w:val="24"/>
                <w:highlight w:val="none"/>
                <w:lang w:val="en-US" w:eastAsia="zh-CN" w:bidi="ar"/>
              </w:rPr>
              <w:t xml:space="preserve">效的劳动合同或聘用证书，</w:t>
            </w:r>
            <w:r>
              <w:rPr>
                <w:rFonts w:hint="eastAsia" w:ascii="宋体" w:hAnsi="宋体" w:eastAsia="宋体" w:cs="宋体"/>
                <w:b/>
                <w:bCs/>
                <w:sz w:val="24"/>
                <w:szCs w:val="24"/>
                <w:highlight w:val="none"/>
                <w:lang w:val="en-US" w:eastAsia="zh-CN" w:bidi="ar"/>
              </w:rPr>
              <w:t xml:space="preserve">并</w:t>
            </w:r>
            <w:r>
              <w:rPr>
                <w:rFonts w:ascii="宋体" w:hAnsi="宋体" w:eastAsia="宋体" w:cs="宋体"/>
                <w:b/>
                <w:bCs/>
                <w:sz w:val="24"/>
                <w:szCs w:val="24"/>
                <w:highlight w:val="none"/>
                <w:lang w:val="en-US" w:eastAsia="zh-CN" w:bidi="ar"/>
              </w:rPr>
              <w:t xml:space="preserve">承诺上述工作人员将按要求履行职责，未提供《承诺函》或承诺内容不完整的</w:t>
            </w:r>
            <w:r>
              <w:rPr>
                <w:rFonts w:hint="eastAsia" w:ascii="宋体" w:hAnsi="宋体" w:eastAsia="宋体" w:cs="宋体"/>
                <w:b/>
                <w:bCs/>
                <w:sz w:val="24"/>
                <w:szCs w:val="24"/>
                <w:highlight w:val="none"/>
                <w:lang w:val="en-US" w:eastAsia="zh-CN" w:bidi="ar"/>
              </w:rPr>
              <w:t xml:space="preserve">或未提供有</w:t>
            </w:r>
            <w:r>
              <w:rPr>
                <w:rFonts w:ascii="宋体" w:hAnsi="宋体" w:eastAsia="宋体" w:cs="宋体"/>
                <w:b/>
                <w:bCs/>
                <w:sz w:val="24"/>
                <w:szCs w:val="24"/>
                <w:highlight w:val="none"/>
                <w:lang w:val="en-US" w:eastAsia="zh-CN" w:bidi="ar"/>
              </w:rPr>
              <w:t xml:space="preserve">效的劳动合同或聘用证书，</w:t>
            </w:r>
            <w:r>
              <w:rPr>
                <w:rFonts w:hint="eastAsia" w:ascii="宋体" w:hAnsi="宋体" w:eastAsia="宋体" w:cs="宋体"/>
                <w:b/>
                <w:bCs/>
                <w:sz w:val="24"/>
                <w:szCs w:val="24"/>
                <w:highlight w:val="none"/>
                <w:lang w:val="en-US" w:eastAsia="zh-CN" w:bidi="ar"/>
              </w:rPr>
              <w:t xml:space="preserve">均</w:t>
            </w:r>
            <w:r>
              <w:rPr>
                <w:rFonts w:ascii="宋体" w:hAnsi="宋体" w:eastAsia="宋体" w:cs="宋体"/>
                <w:b/>
                <w:bCs/>
                <w:sz w:val="24"/>
                <w:szCs w:val="24"/>
                <w:highlight w:val="none"/>
                <w:lang w:val="en-US" w:eastAsia="zh-CN" w:bidi="ar"/>
              </w:rPr>
              <w:t xml:space="preserve">视为不满足本项要求</w:t>
            </w:r>
            <w:r>
              <w:rPr>
                <w:rFonts w:hint="eastAsia" w:ascii="宋体" w:hAnsi="宋体" w:eastAsia="宋体" w:cs="宋体"/>
                <w:b/>
                <w:bCs/>
                <w:sz w:val="24"/>
                <w:szCs w:val="24"/>
                <w:highlight w:val="none"/>
                <w:lang w:val="en-US" w:eastAsia="zh-CN" w:bidi="ar"/>
              </w:rPr>
              <w:t xml:space="preserve">；</w:t>
            </w:r>
            <w:r/>
          </w:p>
          <w:p>
            <w:pPr>
              <w:numPr>
                <w:ilvl w:val="0"/>
                <w:numId w:val="0"/>
              </w:num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）配备</w:t>
            </w:r>
            <w:r>
              <w:rPr>
                <w:rFonts w:ascii="宋体" w:hAnsi="宋体" w:eastAsia="宋体" w:cs="宋体"/>
                <w:b/>
                <w:bCs/>
                <w:sz w:val="24"/>
                <w:szCs w:val="24"/>
                <w:highlight w:val="none"/>
                <w:lang w:val="en-US" w:eastAsia="zh-CN" w:bidi="ar"/>
              </w:rPr>
              <w:t xml:space="preserve">车辆</w:t>
            </w:r>
            <w:r>
              <w:rPr>
                <w:rFonts w:hint="eastAsia" w:ascii="宋体" w:hAnsi="宋体" w:eastAsia="宋体" w:cs="宋体"/>
                <w:b/>
                <w:bCs/>
                <w:sz w:val="24"/>
                <w:szCs w:val="24"/>
                <w:highlight w:val="none"/>
                <w:lang w:val="en-US" w:eastAsia="zh-CN" w:bidi="ar"/>
              </w:rPr>
              <w:t xml:space="preserve">评审资料</w:t>
            </w:r>
            <w:r>
              <w:rPr>
                <w:rFonts w:ascii="宋体" w:hAnsi="宋体" w:eastAsia="宋体" w:cs="宋体"/>
                <w:b/>
                <w:bCs/>
                <w:sz w:val="24"/>
                <w:szCs w:val="24"/>
                <w:highlight w:val="none"/>
                <w:lang w:val="en-US" w:eastAsia="zh-CN" w:bidi="ar"/>
              </w:rPr>
              <w:t xml:space="preserve">要求：自有车辆须提供机动车登记证（登记所有人须与投标人名称一致），租赁车辆须提供有效租赁合同（租赁期限须完整覆盖本次采购供货期），未按要求提供</w:t>
            </w:r>
            <w:r>
              <w:rPr>
                <w:rFonts w:hint="eastAsia" w:ascii="宋体" w:hAnsi="宋体" w:eastAsia="宋体" w:cs="宋体"/>
                <w:b/>
                <w:bCs/>
                <w:sz w:val="24"/>
                <w:szCs w:val="24"/>
                <w:highlight w:val="none"/>
                <w:lang w:val="en-US" w:eastAsia="zh-CN" w:bidi="ar"/>
              </w:rPr>
              <w:t xml:space="preserve">证明</w:t>
            </w:r>
            <w:r>
              <w:rPr>
                <w:rFonts w:ascii="宋体" w:hAnsi="宋体" w:eastAsia="宋体" w:cs="宋体"/>
                <w:b/>
                <w:bCs/>
                <w:sz w:val="24"/>
                <w:szCs w:val="24"/>
                <w:highlight w:val="none"/>
                <w:lang w:val="en-US" w:eastAsia="zh-CN" w:bidi="ar"/>
              </w:rPr>
              <w:t xml:space="preserve">材料的，车辆配备要求不予认可。</w:t>
            </w:r>
            <w:r/>
          </w:p>
          <w:p>
            <w:pPr>
              <w:jc w:val="left"/>
              <w:keepLines w:val="0"/>
              <w:keepNext w:val="0"/>
              <w:widowControl/>
              <w:rPr>
                <w:b w:val="0"/>
                <w:bCs w:val="0"/>
                <w:highlight w:val="none"/>
              </w:rPr>
              <w:suppressLineNumbers w:val="0"/>
            </w:pPr>
            <w:r>
              <w:rPr>
                <w:rFonts w:ascii="宋体" w:hAnsi="宋体" w:eastAsia="宋体" w:cs="宋体"/>
                <w:b w:val="0"/>
                <w:bCs w:val="0"/>
                <w:sz w:val="24"/>
                <w:szCs w:val="24"/>
                <w:highlight w:val="none"/>
                <w:lang w:val="en-US" w:eastAsia="zh-CN" w:bidi="ar"/>
              </w:rPr>
              <w:t xml:space="preserve">2. 上述第1条所述的2名专属售后技术工作人员中，有人员持有农业技术中级及以上职称证书的，得3分；无相关职称证书的，不得分。</w:t>
            </w:r>
            <w:r/>
          </w:p>
          <w:p>
            <w:pPr>
              <w:jc w:val="left"/>
              <w:keepLines w:val="0"/>
              <w:keepNext w:val="0"/>
              <w:widowControl/>
              <w:rPr>
                <w:rFonts w:hint="eastAsia" w:ascii="宋体" w:hAnsi="宋体" w:eastAsia="宋体" w:cs="宋体"/>
                <w:color w:val="auto"/>
                <w:sz w:val="24"/>
                <w:szCs w:val="28"/>
                <w:highlight w:val="none"/>
              </w:rPr>
              <w:suppressLineNumbers w:val="0"/>
            </w:pPr>
            <w:r>
              <w:rPr>
                <w:rFonts w:ascii="宋体" w:hAnsi="宋体" w:eastAsia="宋体" w:cs="宋体"/>
                <w:b/>
                <w:bCs/>
                <w:sz w:val="24"/>
                <w:szCs w:val="24"/>
                <w:highlight w:val="none"/>
                <w:lang w:val="en-US" w:eastAsia="zh-CN" w:bidi="ar"/>
              </w:rPr>
              <w:t xml:space="preserve">注：</w:t>
            </w:r>
            <w:r>
              <w:rPr>
                <w:rFonts w:hint="eastAsia" w:ascii="宋体" w:hAnsi="宋体" w:eastAsia="宋体" w:cs="宋体"/>
                <w:b/>
                <w:bCs/>
                <w:sz w:val="24"/>
                <w:szCs w:val="24"/>
                <w:highlight w:val="none"/>
                <w:lang w:val="en-US" w:eastAsia="zh-CN" w:bidi="ar"/>
              </w:rPr>
              <w:t xml:space="preserve">提供相关证明材料</w:t>
            </w:r>
            <w:r>
              <w:rPr>
                <w:rFonts w:ascii="宋体" w:hAnsi="宋体" w:eastAsia="宋体" w:cs="宋体"/>
                <w:b/>
                <w:bCs/>
                <w:sz w:val="24"/>
                <w:szCs w:val="24"/>
                <w:highlight w:val="none"/>
                <w:lang w:val="en-US" w:eastAsia="zh-CN" w:bidi="ar"/>
              </w:rPr>
              <w:t xml:space="preserve">，否则</w:t>
            </w:r>
            <w:r>
              <w:rPr>
                <w:rFonts w:hint="eastAsia" w:ascii="宋体" w:hAnsi="宋体" w:eastAsia="宋体" w:cs="宋体"/>
                <w:b/>
                <w:bCs/>
                <w:sz w:val="24"/>
                <w:szCs w:val="24"/>
                <w:highlight w:val="none"/>
                <w:lang w:val="en-US" w:eastAsia="zh-CN" w:bidi="ar"/>
              </w:rPr>
              <w:t xml:space="preserve">不得分</w:t>
            </w:r>
            <w:r>
              <w:rPr>
                <w:rFonts w:ascii="宋体" w:hAnsi="宋体" w:eastAsia="宋体" w:cs="宋体"/>
                <w:b/>
                <w:bCs/>
                <w:sz w:val="24"/>
                <w:szCs w:val="24"/>
                <w:highlight w:val="none"/>
                <w:lang w:val="en-US" w:eastAsia="zh-CN" w:bidi="ar"/>
              </w:rPr>
              <w:t xml:space="preserve">；</w:t>
            </w:r>
            <w:r/>
          </w:p>
        </w:tc>
      </w:tr>
      <w:tr>
        <w:trPr>
          <w:jc w:val="center"/>
          <w:trHeight w:val="800"/>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szCs w:val="28"/>
                <w:highlight w:val="none"/>
                <w:lang w:val="zh-CN" w:eastAsia="zh-CN"/>
              </w:rPr>
              <w:t xml:space="preserve">产品包装及使用说明</w:t>
            </w:r>
            <w:r/>
          </w:p>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（6分）</w:t>
            </w:r>
            <w:r/>
          </w:p>
        </w:tc>
        <w:tc>
          <w:tcPr>
            <w:tcW w:w="7883" w:type="dxa"/>
            <w:vAlign w:val="top"/>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1、</w:t>
            </w:r>
            <w:r>
              <w:rPr>
                <w:rFonts w:hint="default" w:ascii="宋体" w:hAnsi="宋体" w:eastAsia="宋体" w:cs="宋体"/>
                <w:b w:val="0"/>
                <w:bCs w:val="0"/>
                <w:color w:val="auto"/>
                <w:sz w:val="24"/>
                <w:szCs w:val="28"/>
                <w:highlight w:val="none"/>
                <w:lang w:val="en-US" w:eastAsia="zh-CN"/>
              </w:rPr>
              <w:t xml:space="preserve">提供产品包装袋。包装袋上产品信息、规格、生产日期、产地、保质期</w:t>
            </w:r>
            <w:r>
              <w:rPr>
                <w:rFonts w:hint="default" w:ascii="宋体" w:hAnsi="宋体" w:eastAsia="宋体" w:cs="宋体"/>
                <w:b w:val="0"/>
                <w:bCs w:val="0"/>
                <w:color w:val="auto"/>
                <w:sz w:val="24"/>
                <w:szCs w:val="28"/>
                <w:highlight w:val="none"/>
                <w:lang w:val="zh-CN" w:eastAsia="zh-CN"/>
              </w:rPr>
              <w:t xml:space="preserve">、联系电话齐全</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 ，信息不全或未提供</w:t>
            </w:r>
            <w:r>
              <w:rPr>
                <w:rFonts w:hint="default" w:ascii="宋体" w:hAnsi="宋体" w:eastAsia="宋体" w:cs="宋体"/>
                <w:b w:val="0"/>
                <w:bCs w:val="0"/>
                <w:color w:val="auto"/>
                <w:sz w:val="24"/>
                <w:szCs w:val="28"/>
                <w:highlight w:val="none"/>
                <w:lang w:val="zh-CN" w:eastAsia="zh-CN"/>
              </w:rPr>
              <w:t xml:space="preserve">不得分；</w:t>
            </w:r>
            <w:r/>
          </w:p>
          <w:p>
            <w:pPr>
              <w:ind w:left="0" w:right="0" w:firstLine="0"/>
              <w:keepLines w:val="0"/>
              <w:keepNext w:val="0"/>
              <w:pageBreakBefore w:val="0"/>
              <w:spacing w:after="0" w:line="24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2、</w:t>
            </w:r>
            <w:r>
              <w:rPr>
                <w:rFonts w:hint="default" w:ascii="宋体" w:hAnsi="宋体" w:eastAsia="宋体" w:cs="宋体"/>
                <w:b w:val="0"/>
                <w:bCs w:val="0"/>
                <w:color w:val="auto"/>
                <w:sz w:val="24"/>
                <w:szCs w:val="28"/>
                <w:highlight w:val="none"/>
                <w:lang w:val="zh-CN" w:eastAsia="zh-CN"/>
              </w:rPr>
              <w:t xml:space="preserve">提供产品使用说明书。说明书有亩用量、用法、使用条件齐全，</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信息不全或未提供</w:t>
            </w:r>
            <w:r>
              <w:rPr>
                <w:rFonts w:hint="default" w:ascii="宋体" w:hAnsi="宋体" w:eastAsia="宋体" w:cs="宋体"/>
                <w:b w:val="0"/>
                <w:bCs w:val="0"/>
                <w:color w:val="auto"/>
                <w:sz w:val="24"/>
                <w:szCs w:val="28"/>
                <w:highlight w:val="none"/>
                <w:lang w:val="zh-CN" w:eastAsia="zh-CN"/>
              </w:rPr>
              <w:t xml:space="preserve">不得分。</w:t>
            </w:r>
            <w:r/>
          </w:p>
        </w:tc>
      </w:tr>
      <w:tr>
        <w:trPr>
          <w:jc w:val="center"/>
          <w:trHeight w:val="90"/>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eastAsia"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综合实力</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lang w:val="zh-CN" w:eastAsia="zh-CN"/>
              </w:rPr>
              <w:t xml:space="preserve">）</w:t>
            </w:r>
            <w:r/>
          </w:p>
        </w:tc>
        <w:tc>
          <w:tcPr>
            <w:tcW w:w="7883" w:type="dxa"/>
            <w:textDirection w:val="lrTb"/>
            <w:noWrap w:val="false"/>
          </w:tcPr>
          <w:p>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1、投标人或所投产品</w:t>
            </w:r>
            <w:r>
              <w:rPr>
                <w:rFonts w:hint="eastAsia" w:ascii="宋体" w:hAnsi="宋体" w:eastAsia="宋体" w:cs="宋体"/>
                <w:b w:val="0"/>
                <w:bCs w:val="0"/>
                <w:color w:val="000000"/>
                <w:sz w:val="24"/>
                <w:szCs w:val="24"/>
                <w:lang w:val="en-US" w:eastAsia="zh-CN"/>
              </w:rPr>
              <w:t xml:space="preserve">生产厂商具备质量管理体系认证、环境管理体系认证、职业健康安全管理体系认证</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提供证书复印件加盖公章；</w:t>
            </w:r>
            <w:r>
              <w:rPr>
                <w:rFonts w:hint="eastAsia" w:ascii="宋体" w:hAnsi="宋体" w:eastAsia="宋体" w:cs="宋体"/>
                <w:b/>
                <w:bCs/>
                <w:color w:val="auto"/>
                <w:sz w:val="24"/>
                <w:szCs w:val="28"/>
                <w:highlight w:val="none"/>
                <w:lang w:val="en-US" w:eastAsia="zh-CN"/>
              </w:rPr>
              <w:t xml:space="preserve">提供1个得2分，满分6</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不提供不得分。</w:t>
            </w:r>
            <w:r/>
          </w:p>
        </w:tc>
      </w:tr>
      <w:tr>
        <w:trPr>
          <w:jc w:val="center"/>
          <w:trHeight w:val="9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检测报告</w:t>
            </w:r>
            <w:r/>
          </w:p>
          <w:p>
            <w:pPr>
              <w:pStyle w:val="1034"/>
              <w:rPr>
                <w:rFonts w:hint="eastAsia"/>
                <w:highlight w:val="none"/>
              </w:rPr>
            </w:pPr>
            <w:r>
              <w:rPr>
                <w:rFonts w:hint="eastAsia" w:ascii="宋体" w:hAnsi="宋体" w:cs="宋体"/>
                <w:color w:val="auto"/>
                <w:sz w:val="24"/>
                <w:szCs w:val="28"/>
                <w:highlight w:val="none"/>
                <w:lang w:val="en-US" w:eastAsia="zh-CN"/>
              </w:rPr>
              <w:t xml:space="preserve">（5分）</w:t>
            </w:r>
            <w:r/>
          </w:p>
        </w:tc>
        <w:tc>
          <w:tcPr>
            <w:tcW w:w="7883" w:type="dxa"/>
            <w:textDirection w:val="lrTb"/>
            <w:noWrap w:val="false"/>
          </w:tcPr>
          <w:p>
            <w:pPr>
              <w:spacing w:line="100" w:lineRule="atLeast"/>
              <w:rPr>
                <w:rFonts w:ascii="宋体" w:hAnsi="宋体" w:eastAsia="宋体" w:cs="宋体"/>
                <w:sz w:val="24"/>
                <w:szCs w:val="24"/>
                <w:highlight w:val="none"/>
              </w:rPr>
            </w:pPr>
            <w:r>
              <w:rPr>
                <w:rFonts w:ascii="宋体" w:hAnsi="宋体" w:eastAsia="宋体" w:cs="宋体"/>
                <w:sz w:val="24"/>
                <w:szCs w:val="24"/>
                <w:highlight w:val="none"/>
              </w:rPr>
              <w:t xml:space="preserve">投标人须提供自投标截止之日起倒算近</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年内，由具备</w:t>
            </w:r>
            <w:r>
              <w:rPr>
                <w:rStyle w:val="1032"/>
                <w:rFonts w:ascii="宋体" w:hAnsi="宋体" w:eastAsia="宋体" w:cs="宋体"/>
                <w:b/>
                <w:bCs/>
                <w:color w:val="1f2329"/>
                <w:sz w:val="24"/>
                <w:szCs w:val="24"/>
                <w:highlight w:val="none"/>
              </w:rPr>
              <w:t xml:space="preserve">相应检测资质</w:t>
            </w:r>
            <w:r>
              <w:rPr>
                <w:rFonts w:ascii="宋体" w:hAnsi="宋体" w:eastAsia="宋体" w:cs="宋体"/>
                <w:sz w:val="24"/>
                <w:szCs w:val="24"/>
                <w:highlight w:val="none"/>
              </w:rPr>
              <w:t xml:space="preserve">的第三方检测机构出具的</w:t>
            </w:r>
            <w:r>
              <w:rPr>
                <w:rStyle w:val="1032"/>
                <w:rFonts w:ascii="宋体" w:hAnsi="宋体" w:eastAsia="宋体" w:cs="宋体"/>
                <w:b/>
                <w:bCs/>
                <w:color w:val="1f2329"/>
                <w:sz w:val="24"/>
                <w:szCs w:val="24"/>
                <w:highlight w:val="none"/>
              </w:rPr>
              <w:t xml:space="preserve">本次</w:t>
            </w:r>
            <w:r>
              <w:rPr>
                <w:rStyle w:val="1032"/>
                <w:rFonts w:hint="eastAsia" w:ascii="宋体" w:hAnsi="宋体" w:eastAsia="宋体" w:cs="宋体"/>
                <w:b/>
                <w:bCs/>
                <w:color w:val="1f2329"/>
                <w:sz w:val="24"/>
                <w:szCs w:val="24"/>
                <w:highlight w:val="none"/>
                <w:lang w:val="en-US" w:eastAsia="zh-CN"/>
              </w:rPr>
              <w:t xml:space="preserve">所投</w:t>
            </w:r>
            <w:r>
              <w:rPr>
                <w:rStyle w:val="1032"/>
                <w:rFonts w:ascii="宋体" w:hAnsi="宋体" w:eastAsia="宋体" w:cs="宋体"/>
                <w:b/>
                <w:bCs/>
                <w:color w:val="1f2329"/>
                <w:sz w:val="24"/>
                <w:szCs w:val="24"/>
                <w:highlight w:val="none"/>
              </w:rPr>
              <w:t xml:space="preserve">产品</w:t>
            </w:r>
            <w:r>
              <w:rPr>
                <w:rFonts w:ascii="宋体" w:hAnsi="宋体" w:eastAsia="宋体" w:cs="宋体"/>
                <w:sz w:val="24"/>
                <w:szCs w:val="24"/>
                <w:highlight w:val="none"/>
              </w:rPr>
              <w:t xml:space="preserve">检测合格报告。</w:t>
            </w:r>
            <w:r/>
          </w:p>
          <w:p>
            <w:pPr>
              <w:ind w:left="0" w:right="0"/>
              <w:jc w:val="left"/>
              <w:keepLines w:val="0"/>
              <w:keepNext w:val="0"/>
              <w:spacing w:before="0" w:beforeAutospacing="0" w:after="0" w:afterAutospacing="0" w:line="360" w:lineRule="atLeast"/>
              <w:widowControl/>
              <w:rPr>
                <w:rFonts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sz w:val="24"/>
                <w:szCs w:val="24"/>
                <w:highlight w:val="none"/>
              </w:rPr>
              <w:t xml:space="preserve">检测品目必须包含：外观、总养分（N+P₂O₅+K₂O）、总氮（N）、有效五氧化二磷（P₂O₅）、氧化钾（K₂O）、有机质、氯离子、水分、粒度、蛔虫卵死亡率（≥95%）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粪大肠菌群数（≤100个/g）</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砷（As）、镉（Cd）、铅（Pb）、铬（Cr）、汞（Hg）。</w:t>
            </w:r>
            <w:r/>
          </w:p>
          <w:p>
            <w:pPr>
              <w:spacing w:line="100" w:lineRule="atLeast"/>
              <w:rPr>
                <w:rFonts w:ascii="宋体" w:hAnsi="宋体" w:eastAsia="宋体" w:cs="宋体"/>
                <w:b/>
                <w:bCs/>
                <w:sz w:val="24"/>
                <w:szCs w:val="24"/>
                <w:highlight w:val="none"/>
              </w:rPr>
            </w:pPr>
            <w:r>
              <w:rPr>
                <w:rFonts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标准</w:t>
            </w:r>
            <w:r>
              <w:rPr>
                <w:rFonts w:ascii="宋体" w:hAnsi="宋体" w:eastAsia="宋体" w:cs="宋体"/>
                <w:b/>
                <w:bCs/>
                <w:sz w:val="24"/>
                <w:szCs w:val="24"/>
                <w:highlight w:val="none"/>
              </w:rPr>
              <w:t xml:space="preserve">：全部提供并合格得5分；每缺失1项或1项不合格扣</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分；缺失或不合格≥3项得0分；扣至0分为止。</w:t>
            </w:r>
            <w:r/>
          </w:p>
          <w:p>
            <w:pPr>
              <w:spacing w:line="100" w:lineRule="atLeast"/>
              <w:rPr>
                <w:rFonts w:hint="default" w:ascii="宋体" w:hAnsi="宋体" w:eastAsia="宋体" w:cs="宋体"/>
                <w:b/>
                <w:bCs/>
                <w:color w:val="auto"/>
                <w:sz w:val="24"/>
                <w:szCs w:val="24"/>
                <w:highlight w:val="none"/>
                <w:lang w:val="en-US" w:eastAsia="zh-CN"/>
              </w:rP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提供检测报告复印件并加盖公章，</w:t>
            </w:r>
            <w:r>
              <w:rPr>
                <w:rFonts w:ascii="宋体" w:hAnsi="宋体" w:eastAsia="宋体" w:cs="宋体"/>
                <w:b/>
                <w:bCs/>
                <w:sz w:val="24"/>
                <w:szCs w:val="24"/>
                <w:highlight w:val="none"/>
              </w:rPr>
              <w:t xml:space="preserve">检测报告须加盖检测机构公章或检验检测专用章，产品名称须与投标产品一致，所有检测项目结论</w:t>
            </w:r>
            <w:r>
              <w:rPr>
                <w:rFonts w:hint="eastAsia" w:ascii="宋体" w:hAnsi="宋体" w:eastAsia="宋体" w:cs="宋体"/>
                <w:b/>
                <w:bCs/>
                <w:sz w:val="24"/>
                <w:szCs w:val="24"/>
                <w:highlight w:val="none"/>
                <w:lang w:val="en-US" w:eastAsia="zh-CN"/>
              </w:rPr>
              <w:t xml:space="preserve">均</w:t>
            </w:r>
            <w:r>
              <w:rPr>
                <w:rFonts w:ascii="宋体" w:hAnsi="宋体" w:eastAsia="宋体" w:cs="宋体"/>
                <w:b/>
                <w:bCs/>
                <w:sz w:val="24"/>
                <w:szCs w:val="24"/>
                <w:highlight w:val="none"/>
              </w:rPr>
              <w:t xml:space="preserve">为合格。</w:t>
            </w:r>
            <w:r/>
          </w:p>
        </w:tc>
      </w:tr>
      <w:tr>
        <w:trPr>
          <w:jc w:val="center"/>
          <w:trHeight w:val="643"/>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 xml:space="preserve">技术部分（40分）</w:t>
            </w:r>
            <w:r/>
          </w:p>
        </w:tc>
      </w:tr>
      <w:tr>
        <w:trPr>
          <w:jc w:val="center"/>
          <w:trHeight w:val="2320"/>
        </w:trPr>
        <w:tc>
          <w:tcPr>
            <w:tcW w:w="1427" w:type="dxa"/>
            <w:vAlign w:val="center"/>
            <w:textDirection w:val="lrTb"/>
            <w:noWrap w:val="false"/>
          </w:tcPr>
          <w:p>
            <w:pPr>
              <w:jc w:val="center"/>
              <w:spacing w:line="100" w:lineRule="atLeast"/>
              <w:rPr>
                <w:rFonts w:hint="eastAsia" w:ascii="宋体" w:hAnsi="宋体" w:eastAsia="宋体" w:cs="宋体"/>
                <w:color w:val="auto"/>
                <w:sz w:val="24"/>
                <w:szCs w:val="32"/>
              </w:rPr>
            </w:pPr>
            <w:r>
              <w:rPr>
                <w:rFonts w:hint="eastAsia" w:ascii="宋体" w:hAnsi="宋体" w:eastAsia="宋体" w:cs="宋体"/>
                <w:color w:val="000000"/>
                <w:sz w:val="24"/>
                <w:szCs w:val="24"/>
                <w:lang w:val="en-US" w:eastAsia="zh-CN"/>
              </w:rPr>
              <w:t xml:space="preserve">生产能力评价（10分）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所投产品的生产设备齐全且与生产能力匹配，生产工艺先进合理；投标人须提供所投产品生产企业的生产场地、关键设备实景照片（照片需清晰可辨，标注设备名称、生产场地地址，可体现生产规模，严禁PS、造假，一经查实按无效投标处理）。</w:t>
            </w:r>
            <w:r/>
          </w:p>
          <w:p>
            <w:pPr>
              <w:jc w:val="left"/>
              <w:keepLines w:val="0"/>
              <w:keepNext w:val="0"/>
              <w:widowControl/>
              <w:suppressLineNumbers w:val="0"/>
            </w:pP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生产设备齐全（含粉碎、造粒、干燥、包装等全套核心设备），符合相关生产标准，产能匹配项目需求，工艺先进，照片清晰完整</w:t>
            </w:r>
            <w:r>
              <w:rPr>
                <w:rFonts w:hint="eastAsia" w:ascii="宋体" w:hAnsi="宋体" w:eastAsia="宋体" w:cs="宋体"/>
                <w:sz w:val="24"/>
                <w:szCs w:val="24"/>
                <w:lang w:val="en-US" w:eastAsia="zh-CN" w:bidi="ar"/>
              </w:rPr>
              <w:t xml:space="preserve">的，得</w:t>
            </w:r>
            <w:r>
              <w:rPr>
                <w:rStyle w:val="1032"/>
                <w:rFonts w:ascii="宋体" w:hAnsi="宋体" w:eastAsia="宋体" w:cs="宋体"/>
                <w:sz w:val="24"/>
                <w:szCs w:val="24"/>
                <w:lang w:val="en-US" w:eastAsia="zh-CN" w:bidi="ar"/>
              </w:rPr>
              <w:t xml:space="preserve">8</w:t>
            </w:r>
            <w:r>
              <w:rPr>
                <w:rStyle w:val="1032"/>
                <w:rFonts w:hint="eastAsia" w:ascii="宋体" w:hAnsi="宋体" w:eastAsia="宋体" w:cs="宋体"/>
                <w:sz w:val="24"/>
                <w:szCs w:val="24"/>
                <w:lang w:val="en-US" w:eastAsia="zh-CN" w:bidi="ar"/>
              </w:rPr>
              <w:t xml:space="preserve">.1</w:t>
            </w:r>
            <w:r>
              <w:rPr>
                <w:rStyle w:val="1032"/>
                <w:rFonts w:ascii="宋体" w:hAnsi="宋体" w:eastAsia="宋体" w:cs="宋体"/>
                <w:sz w:val="24"/>
                <w:szCs w:val="24"/>
                <w:lang w:val="en-US" w:eastAsia="zh-CN" w:bidi="ar"/>
              </w:rPr>
              <w:t xml:space="preserve">-10分</w:t>
            </w:r>
            <w:r>
              <w:rPr>
                <w:rStyle w:val="1032"/>
                <w:rFonts w:hint="eastAsia" w:ascii="宋体" w:hAnsi="宋体" w:eastAsia="宋体" w:cs="宋体"/>
                <w:sz w:val="24"/>
                <w:szCs w:val="24"/>
                <w:lang w:val="en-US" w:eastAsia="zh-CN" w:bidi="ar"/>
              </w:rPr>
              <w:t xml:space="preserve">；</w:t>
            </w:r>
            <w:r/>
          </w:p>
          <w:p>
            <w:pPr>
              <w:jc w:val="left"/>
              <w:keepLines w:val="0"/>
              <w:keepNext w:val="0"/>
              <w:widowControl/>
              <w:suppressLineNumbers w:val="0"/>
            </w:pP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生产设备齐全，符合基本生产要求，产能、工艺满足项目需求，照片清晰可辨</w:t>
            </w:r>
            <w:r>
              <w:rPr>
                <w:rFonts w:hint="eastAsia" w:ascii="宋体" w:hAnsi="宋体" w:eastAsia="宋体" w:cs="宋体"/>
                <w:sz w:val="24"/>
                <w:szCs w:val="24"/>
                <w:lang w:val="en-US" w:eastAsia="zh-CN" w:bidi="ar"/>
              </w:rPr>
              <w:t xml:space="preserve">的，得</w:t>
            </w:r>
            <w:r>
              <w:rPr>
                <w:rStyle w:val="1032"/>
                <w:rFonts w:ascii="宋体" w:hAnsi="宋体" w:eastAsia="宋体" w:cs="宋体"/>
                <w:sz w:val="24"/>
                <w:szCs w:val="24"/>
                <w:lang w:val="en-US" w:eastAsia="zh-CN" w:bidi="ar"/>
              </w:rPr>
              <w:t xml:space="preserve">5</w:t>
            </w:r>
            <w:r>
              <w:rPr>
                <w:rStyle w:val="1032"/>
                <w:rFonts w:hint="eastAsia" w:ascii="宋体" w:hAnsi="宋体" w:eastAsia="宋体" w:cs="宋体"/>
                <w:sz w:val="24"/>
                <w:szCs w:val="24"/>
                <w:lang w:val="en-US" w:eastAsia="zh-CN" w:bidi="ar"/>
              </w:rPr>
              <w:t xml:space="preserve">.1</w:t>
            </w:r>
            <w:r>
              <w:rPr>
                <w:rStyle w:val="1032"/>
                <w:rFonts w:ascii="宋体" w:hAnsi="宋体" w:eastAsia="宋体" w:cs="宋体"/>
                <w:sz w:val="24"/>
                <w:szCs w:val="24"/>
                <w:lang w:val="en-US" w:eastAsia="zh-CN" w:bidi="ar"/>
              </w:rPr>
              <w:t xml:space="preserve">-</w:t>
            </w:r>
            <w:r>
              <w:rPr>
                <w:rStyle w:val="1032"/>
                <w:rFonts w:hint="eastAsia" w:ascii="宋体" w:hAnsi="宋体" w:eastAsia="宋体" w:cs="宋体"/>
                <w:sz w:val="24"/>
                <w:szCs w:val="24"/>
                <w:lang w:val="en-US" w:eastAsia="zh-CN" w:bidi="ar"/>
              </w:rPr>
              <w:t xml:space="preserve">8</w:t>
            </w:r>
            <w:r>
              <w:rPr>
                <w:rStyle w:val="1032"/>
                <w:rFonts w:ascii="宋体" w:hAnsi="宋体" w:eastAsia="宋体" w:cs="宋体"/>
                <w:sz w:val="24"/>
                <w:szCs w:val="24"/>
                <w:lang w:val="en-US" w:eastAsia="zh-CN" w:bidi="ar"/>
              </w:rPr>
              <w:t xml:space="preserve">分</w:t>
            </w:r>
            <w:r>
              <w:rPr>
                <w:rStyle w:val="1032"/>
                <w:rFonts w:hint="eastAsia" w:ascii="宋体" w:hAnsi="宋体" w:eastAsia="宋体" w:cs="宋体"/>
                <w:sz w:val="24"/>
                <w:szCs w:val="24"/>
                <w:lang w:val="en-US" w:eastAsia="zh-CN" w:bidi="ar"/>
              </w:rPr>
              <w:t xml:space="preserve">；</w:t>
            </w:r>
            <w:r/>
          </w:p>
          <w:p>
            <w:pPr>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生产设备基本齐全，产能、工艺基本满足项目需求，照片辨识度一般</w:t>
            </w:r>
            <w:r>
              <w:rPr>
                <w:rFonts w:hint="eastAsia" w:ascii="宋体" w:hAnsi="宋体" w:eastAsia="宋体" w:cs="宋体"/>
                <w:sz w:val="24"/>
                <w:szCs w:val="24"/>
                <w:lang w:val="en-US" w:eastAsia="zh-CN" w:bidi="ar"/>
              </w:rPr>
              <w:t xml:space="preserve">的，得</w:t>
            </w:r>
            <w:r>
              <w:rPr>
                <w:rStyle w:val="1032"/>
                <w:rFonts w:ascii="宋体" w:hAnsi="宋体" w:eastAsia="宋体" w:cs="宋体"/>
                <w:sz w:val="24"/>
                <w:szCs w:val="24"/>
                <w:lang w:val="en-US" w:eastAsia="zh-CN" w:bidi="ar"/>
              </w:rPr>
              <w:t xml:space="preserve">1-</w:t>
            </w:r>
            <w:r>
              <w:rPr>
                <w:rStyle w:val="1032"/>
                <w:rFonts w:hint="eastAsia" w:ascii="宋体" w:hAnsi="宋体" w:eastAsia="宋体" w:cs="宋体"/>
                <w:sz w:val="24"/>
                <w:szCs w:val="24"/>
                <w:lang w:val="en-US" w:eastAsia="zh-CN" w:bidi="ar"/>
              </w:rPr>
              <w:t xml:space="preserve">5</w:t>
            </w:r>
            <w:r>
              <w:rPr>
                <w:rStyle w:val="1032"/>
                <w:rFonts w:ascii="宋体" w:hAnsi="宋体" w:eastAsia="宋体" w:cs="宋体"/>
                <w:sz w:val="24"/>
                <w:szCs w:val="24"/>
                <w:lang w:val="en-US" w:eastAsia="zh-CN" w:bidi="ar"/>
              </w:rPr>
              <w:t xml:space="preserve">分</w:t>
            </w:r>
            <w:r>
              <w:rPr>
                <w:rFonts w:ascii="宋体" w:hAnsi="宋体" w:eastAsia="宋体" w:cs="宋体"/>
                <w:sz w:val="24"/>
                <w:szCs w:val="24"/>
                <w:lang w:val="en-US" w:eastAsia="zh-CN" w:bidi="ar"/>
              </w:rPr>
              <w:t xml:space="preserve">。</w:t>
            </w:r>
            <w:r/>
          </w:p>
          <w:p>
            <w:pPr>
              <w:jc w:val="left"/>
              <w:keepLines w:val="0"/>
              <w:keepNext w:val="0"/>
              <w:widowControl/>
              <w:rPr>
                <w:rFonts w:hint="eastAsia" w:ascii="宋体" w:hAnsi="宋体" w:eastAsia="宋体" w:cs="宋体"/>
                <w:b w:val="0"/>
                <w:bCs w:val="0"/>
                <w:color w:val="auto"/>
                <w:sz w:val="24"/>
                <w:szCs w:val="28"/>
                <w:lang w:val="en-US" w:eastAsia="zh-CN"/>
              </w:rPr>
              <w:suppressLineNumbers w:val="0"/>
            </w:pPr>
            <w:r>
              <w:rPr>
                <w:rFonts w:hint="eastAsia" w:ascii="宋体" w:hAnsi="宋体" w:eastAsia="宋体" w:cs="宋体"/>
                <w:color w:val="000000"/>
                <w:sz w:val="24"/>
                <w:szCs w:val="24"/>
                <w:lang w:val="en-US" w:eastAsia="zh-CN" w:bidi="ar"/>
              </w:rPr>
              <w:t xml:space="preserve">（4）未提供0分。</w:t>
            </w:r>
            <w:r/>
          </w:p>
        </w:tc>
      </w:tr>
      <w:tr>
        <w:trPr>
          <w:jc w:val="center"/>
          <w:trHeight w:val="218"/>
        </w:trPr>
        <w:tc>
          <w:tcPr>
            <w:tcW w:w="1427" w:type="dxa"/>
            <w:vAlign w:val="center"/>
            <w:textDirection w:val="lrTb"/>
            <w:noWrap w:val="false"/>
          </w:tcPr>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质量保障措施（</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据投标人投标文件中提供的质量保障措施方案进行评分，具体标准如下：</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质量保证措施阐述科学、合理、切实可行，能全面覆盖本项目所投货物（有机无机复混肥料）的生产、检验、包装、运输等全流程质量控制，对不可避免的质量问题有明确、有效的应对处置方案，保障力度强的，得5.1-7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（2）质量保证措施阐述科学、合理、切实可行，能覆盖本项目所投货物的核心质量控制环节，对货物质量控制有较好的保障，应对措施基本完善的，得3.1-5分；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（3）质量保证措施阐述简单，内容笼统，未能结合本项目所投货物特点，无法充分体现对本项目货物的质量保障作用的，得1-3分；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（4）未提供质量保障措施方案的，不得分。</w:t>
            </w:r>
            <w:r/>
          </w:p>
        </w:tc>
      </w:tr>
      <w:tr>
        <w:trPr>
          <w:jc w:val="center"/>
          <w:trHeight w:val="887"/>
        </w:trPr>
        <w:tc>
          <w:tcPr>
            <w:tcW w:w="1427"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自检能力评价（7分）</w:t>
            </w:r>
            <w:r/>
          </w:p>
        </w:tc>
        <w:tc>
          <w:tcPr>
            <w:tcW w:w="7883"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rPr>
              <w:suppressLineNumbers w:val="0"/>
            </w:pPr>
            <w:r>
              <w:rPr>
                <w:rFonts w:ascii="宋体" w:hAnsi="宋体" w:eastAsia="宋体" w:cs="宋体"/>
                <w:sz w:val="24"/>
                <w:szCs w:val="24"/>
                <w:lang w:val="en-US" w:eastAsia="zh-CN" w:bidi="ar"/>
              </w:rPr>
              <w:t xml:space="preserve">根据投标文件中投标人提供的自检能力方案进行评分，具体标准如下：</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自检能力方案阐述科学、合理、切实可行，能全面覆盖本项目所投货物（有机无机复混肥料）的自检方法、自检流程、自检标准及人员配备，对货物自检方法及过程有较强的保障，可有效确保产品质量达标的，得5.1-7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（2）自检能力方案阐述科学、合理、切实可行，明确本项目所投货物的核心自检方法及过程，对货物的自检方法及过程有较好的保障，自检流程基本完善的，得3.1-5分；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（3）自检能力方案阐述简单，内容笼统，未能结合本项目所投货物特点，无法充分体现对本项目货物自检方法及过程的保障作用的，得1-3分；</w:t>
            </w:r>
            <w:r/>
          </w:p>
          <w:p>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val="en-US" w:eastAsia="zh-CN"/>
              </w:rPr>
              <w:t xml:space="preserve">（4）未提供自检能力方案的，不得分。</w:t>
            </w:r>
            <w:r/>
          </w:p>
        </w:tc>
      </w:tr>
      <w:tr>
        <w:trPr>
          <w:jc w:val="center"/>
          <w:trHeight w:val="323"/>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方案（5分）</w:t>
            </w:r>
            <w:r/>
          </w:p>
        </w:tc>
        <w:tc>
          <w:tcPr>
            <w:tcW w:w="7883" w:type="dxa"/>
            <w:vAlign w:val="center"/>
            <w:textDirection w:val="lrTb"/>
            <w:noWrap w:val="false"/>
          </w:tcPr>
          <w:p>
            <w:pPr>
              <w:numPr>
                <w:ilvl w:val="0"/>
                <w:numId w:val="0"/>
              </w:numPr>
              <w:ind w:firstLine="48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投标人需结合本项目实际，重点从以下方面编制运输服务方案：货物装卸、运输路线规划、运输车辆配置、肥料防潮防破损防护措施、途中质量保障、售后配送协调、突发运输异常处置等内容进行阐述：</w:t>
            </w:r>
            <w:r/>
          </w:p>
          <w:p>
            <w:pPr>
              <w:numPr>
                <w:ilvl w:val="0"/>
                <w:numId w:val="9"/>
              </w:num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运输服务方案阐述科学、合理、切实可行，对货物配送有较强保障，得3.1-5分；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运输服务方案阐述科学、合理、切实可行，对货物配送有较好保障，得2.1-3分；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运输服务方案阐述简单，未能体现本项目货物配送保障，得 1-2分；</w:t>
            </w:r>
            <w:r/>
          </w:p>
          <w:p>
            <w:pPr>
              <w:numPr>
                <w:ilvl w:val="0"/>
                <w:numId w:val="9"/>
              </w:numPr>
              <w:ind w:left="0" w:firstLine="0"/>
              <w:spacing w:line="100" w:lineRule="atLeast"/>
              <w:rPr>
                <w:rFonts w:hint="eastAsia" w:ascii="宋体" w:hAnsi="宋体" w:eastAsia="宋体" w:cs="宋体"/>
                <w:color w:val="auto"/>
                <w:sz w:val="24"/>
                <w:szCs w:val="28"/>
                <w:lang w:eastAsia="zh-CN"/>
              </w:rPr>
            </w:pPr>
            <w:r>
              <w:rPr>
                <w:rFonts w:hint="eastAsia" w:ascii="宋体" w:hAnsi="宋体" w:eastAsia="宋体" w:cs="宋体"/>
                <w:color w:val="000000"/>
                <w:sz w:val="24"/>
                <w:szCs w:val="24"/>
                <w:lang w:val="en-US" w:eastAsia="zh-CN"/>
              </w:rPr>
              <w:t xml:space="preserve">未提供的不得分</w:t>
            </w:r>
            <w:r/>
          </w:p>
        </w:tc>
      </w:tr>
      <w:tr>
        <w:trPr>
          <w:jc w:val="center"/>
          <w:trHeight w:val="1422"/>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评价（5分）</w:t>
            </w:r>
            <w:r/>
          </w:p>
        </w:tc>
        <w:tc>
          <w:tcPr>
            <w:tcW w:w="7883" w:type="dxa"/>
            <w:vAlign w:val="center"/>
            <w:textDirection w:val="lrTb"/>
            <w:noWrap w:val="false"/>
          </w:tcPr>
          <w:p>
            <w:pPr>
              <w:numPr>
                <w:ilvl w:val="0"/>
                <w:numId w:val="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投标人需结合本项目实施实际，针对以下应急场景进行阐述：肥料仓库储存、防潮、防火、破损、霉变应急；肥料集中发放现场秩序、人流管控、物资突发短缺、错发漏发应急</w:t>
            </w:r>
            <w:r>
              <w:rPr>
                <w:rFonts w:hint="eastAsia" w:ascii="宋体" w:hAnsi="宋体" w:eastAsia="宋体" w:cs="宋体"/>
                <w:sz w:val="24"/>
                <w:szCs w:val="24"/>
                <w:lang w:val="en-US" w:eastAsia="zh-CN"/>
              </w:rPr>
              <w:t xml:space="preserve">等方面</w:t>
            </w:r>
            <w:r>
              <w:rPr>
                <w:rFonts w:ascii="宋体" w:hAnsi="宋体" w:eastAsia="宋体" w:cs="宋体"/>
                <w:sz w:val="24"/>
                <w:szCs w:val="24"/>
              </w:rPr>
              <w:t xml:space="preserve">。具体评分标准如下：</w:t>
            </w:r>
            <w:r/>
          </w:p>
          <w:p>
            <w:pPr>
              <w:numPr>
                <w:ilvl w:val="0"/>
                <w:numId w:val="1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各项应急预案科学合理、实用可行，针对性强、保障充分，得 4.1～5.0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各项应急预案较为合理，具备基本可行性，能满足项目应急需求，得 2.1～4.0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各项应急预案内容简单，可行性较差，保障措施不明显，得 0～2.0 分；</w:t>
            </w:r>
            <w:r/>
          </w:p>
          <w:p>
            <w:pPr>
              <w:numPr>
                <w:ilvl w:val="0"/>
                <w:numId w:val="0"/>
              </w:numPr>
              <w:jc w:val="left"/>
              <w:keepLines w:val="0"/>
              <w:keepNext w:val="0"/>
              <w:widowControl/>
              <w:rPr>
                <w:rFonts w:hint="eastAsia" w:ascii="宋体" w:hAnsi="宋体" w:eastAsia="宋体" w:cs="宋体"/>
                <w:color w:val="auto"/>
                <w:sz w:val="24"/>
                <w:szCs w:val="28"/>
                <w:lang w:eastAsia="zh-CN"/>
              </w:rPr>
              <w:suppressLineNumbers w:val="0"/>
            </w:pPr>
            <w:r>
              <w:rPr>
                <w:rFonts w:ascii="宋体" w:hAnsi="宋体" w:eastAsia="宋体" w:cs="宋体"/>
                <w:sz w:val="24"/>
                <w:szCs w:val="24"/>
              </w:rPr>
              <w:t xml:space="preserve">（4）未提供应急预案的，本项不得分。</w:t>
            </w:r>
            <w:r/>
          </w:p>
        </w:tc>
      </w:tr>
      <w:tr>
        <w:trPr>
          <w:jc w:val="center"/>
          <w:trHeight w:val="1294"/>
        </w:trPr>
        <w:tc>
          <w:tcPr>
            <w:tcW w:w="1427"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 xml:space="preserve">售后服务</w:t>
            </w:r>
            <w:r>
              <w:rPr>
                <w:rFonts w:hint="eastAsia" w:eastAsiaTheme="minorEastAsia"/>
                <w:color w:val="000000" w:themeColor="text1"/>
                <w:sz w:val="24"/>
                <w:szCs w:val="24"/>
                <w:lang w:eastAsia="zh-CN"/>
                <w14:textFill>
                  <w14:solidFill>
                    <w14:schemeClr w14:val="tx1"/>
                  </w14:solidFill>
                </w14:textFill>
              </w:rPr>
              <w:t xml:space="preserve">方案</w:t>
            </w:r>
            <w:r>
              <w:rPr>
                <w:rFonts w:hint="eastAsia"/>
                <w:color w:val="000000" w:themeColor="text1"/>
                <w:sz w:val="24"/>
                <w:szCs w:val="24"/>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7883"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能提供详细的供货到点、分发到户及售后服务方案（明确、量化的服务承诺及对用户的技术要求等）。能够承诺对用户反映的问题在1个工作日内予以及时、妥善处置。</w:t>
            </w:r>
            <w:r/>
          </w:p>
          <w:p>
            <w:pPr>
              <w:numPr>
                <w:ilvl w:val="0"/>
                <w:numId w:val="11"/>
              </w:numPr>
              <w:rPr>
                <w:rFonts w:ascii="宋体" w:hAnsi="宋体" w:eastAsia="宋体" w:cs="宋体"/>
                <w:sz w:val="24"/>
                <w:szCs w:val="24"/>
              </w:rPr>
            </w:pPr>
            <w:r>
              <w:rPr>
                <w:rFonts w:ascii="宋体" w:hAnsi="宋体" w:eastAsia="宋体" w:cs="宋体"/>
                <w:sz w:val="24"/>
                <w:szCs w:val="24"/>
              </w:rPr>
              <w:t xml:space="preserve">能提供详细的供货到点、分发到户及售后服务方案，服务承诺明确量化，对用户技术指导清晰，可在 1 个工作日内妥善处置用户问题，方案完善且高于招标文件要求，得</w:t>
            </w:r>
            <w:r>
              <w:rPr>
                <w:rStyle w:val="1032"/>
                <w:rFonts w:ascii="宋体" w:hAnsi="宋体" w:eastAsia="宋体" w:cs="宋体"/>
                <w:b/>
                <w:bCs/>
                <w:color w:val="1f2329"/>
                <w:sz w:val="24"/>
                <w:szCs w:val="24"/>
              </w:rPr>
              <w:t xml:space="preserve">5</w:t>
            </w:r>
            <w:r>
              <w:rPr>
                <w:rStyle w:val="1032"/>
                <w:rFonts w:hint="eastAsia" w:ascii="宋体" w:hAnsi="宋体" w:eastAsia="宋体" w:cs="宋体"/>
                <w:b/>
                <w:bCs/>
                <w:color w:val="1f2329"/>
                <w:sz w:val="24"/>
                <w:szCs w:val="24"/>
                <w:lang w:val="en-US" w:eastAsia="zh-CN"/>
              </w:rPr>
              <w:t xml:space="preserve">.1</w:t>
            </w:r>
            <w:r>
              <w:rPr>
                <w:rStyle w:val="1032"/>
                <w:rFonts w:ascii="宋体" w:hAnsi="宋体" w:eastAsia="宋体" w:cs="宋体"/>
                <w:b/>
                <w:bCs/>
                <w:color w:val="1f2329"/>
                <w:sz w:val="24"/>
                <w:szCs w:val="24"/>
              </w:rPr>
              <w:t xml:space="preserve">-6分</w:t>
            </w:r>
            <w:r>
              <w:rPr>
                <w:rFonts w:ascii="宋体" w:hAnsi="宋体" w:eastAsia="宋体" w:cs="宋体"/>
                <w:sz w:val="24"/>
                <w:szCs w:val="24"/>
              </w:rPr>
              <w:t xml:space="preserve">；</w:t>
            </w:r>
            <w:r/>
          </w:p>
          <w:p>
            <w:pPr>
              <w:numPr>
                <w:ilvl w:val="0"/>
                <w:numId w:val="11"/>
              </w:numPr>
              <w:ind w:left="0" w:firstLine="0"/>
              <w:rPr>
                <w:rFonts w:ascii="宋体" w:hAnsi="宋体" w:eastAsia="宋体" w:cs="宋体"/>
                <w:sz w:val="24"/>
                <w:szCs w:val="24"/>
              </w:rPr>
            </w:pPr>
            <w:r>
              <w:rPr>
                <w:rFonts w:ascii="宋体" w:hAnsi="宋体" w:eastAsia="宋体" w:cs="宋体"/>
                <w:sz w:val="24"/>
                <w:szCs w:val="24"/>
              </w:rPr>
              <w:t xml:space="preserve">能提供供货到点、分发到户及售后服务方案，服务承诺基本明确，可按要求在1个工作日内处置用户问题，满足招标文件要求，得</w:t>
            </w:r>
            <w:r>
              <w:rPr>
                <w:rStyle w:val="1032"/>
                <w:rFonts w:ascii="宋体" w:hAnsi="宋体" w:eastAsia="宋体" w:cs="宋体"/>
                <w:b/>
                <w:bCs/>
                <w:color w:val="1f2329"/>
                <w:sz w:val="24"/>
                <w:szCs w:val="24"/>
              </w:rPr>
              <w:t xml:space="preserve">3</w:t>
            </w:r>
            <w:r>
              <w:rPr>
                <w:rStyle w:val="1032"/>
                <w:rFonts w:hint="eastAsia" w:ascii="宋体" w:hAnsi="宋体" w:eastAsia="宋体" w:cs="宋体"/>
                <w:b/>
                <w:bCs/>
                <w:color w:val="1f2329"/>
                <w:sz w:val="24"/>
                <w:szCs w:val="24"/>
                <w:lang w:val="en-US" w:eastAsia="zh-CN"/>
              </w:rPr>
              <w:t xml:space="preserve">.1</w:t>
            </w:r>
            <w:r>
              <w:rPr>
                <w:rStyle w:val="1032"/>
                <w:rFonts w:ascii="宋体" w:hAnsi="宋体" w:eastAsia="宋体" w:cs="宋体"/>
                <w:b/>
                <w:bCs/>
                <w:color w:val="1f2329"/>
                <w:sz w:val="24"/>
                <w:szCs w:val="24"/>
              </w:rPr>
              <w:t xml:space="preserve">-</w:t>
            </w:r>
            <w:r>
              <w:rPr>
                <w:rStyle w:val="1032"/>
                <w:rFonts w:hint="eastAsia" w:ascii="宋体" w:hAnsi="宋体" w:eastAsia="宋体" w:cs="宋体"/>
                <w:b/>
                <w:bCs/>
                <w:color w:val="1f2329"/>
                <w:sz w:val="24"/>
                <w:szCs w:val="24"/>
                <w:lang w:val="en-US" w:eastAsia="zh-CN"/>
              </w:rPr>
              <w:t xml:space="preserve">5</w:t>
            </w:r>
            <w:r>
              <w:rPr>
                <w:rStyle w:val="1032"/>
                <w:rFonts w:ascii="宋体" w:hAnsi="宋体" w:eastAsia="宋体" w:cs="宋体"/>
                <w:b/>
                <w:bCs/>
                <w:color w:val="1f2329"/>
                <w:sz w:val="24"/>
                <w:szCs w:val="24"/>
              </w:rPr>
              <w:t xml:space="preserve">分</w:t>
            </w:r>
            <w:r>
              <w:rPr>
                <w:rFonts w:ascii="宋体" w:hAnsi="宋体" w:eastAsia="宋体" w:cs="宋体"/>
                <w:sz w:val="24"/>
                <w:szCs w:val="24"/>
              </w:rPr>
              <w:t xml:space="preserve">；（3）供货、分发及售后服务方案内容简单，服务承诺不够具体，部分满足招标文件要求，得</w:t>
            </w:r>
            <w:r>
              <w:rPr>
                <w:rStyle w:val="1032"/>
                <w:rFonts w:ascii="宋体" w:hAnsi="宋体" w:eastAsia="宋体" w:cs="宋体"/>
                <w:b/>
                <w:bCs/>
                <w:color w:val="1f2329"/>
                <w:sz w:val="24"/>
                <w:szCs w:val="24"/>
              </w:rPr>
              <w:t xml:space="preserve">1-</w:t>
            </w:r>
            <w:r>
              <w:rPr>
                <w:rStyle w:val="1032"/>
                <w:rFonts w:hint="eastAsia" w:ascii="宋体" w:hAnsi="宋体" w:eastAsia="宋体" w:cs="宋体"/>
                <w:b/>
                <w:bCs/>
                <w:color w:val="1f2329"/>
                <w:sz w:val="24"/>
                <w:szCs w:val="24"/>
                <w:lang w:val="en-US" w:eastAsia="zh-CN"/>
              </w:rPr>
              <w:t xml:space="preserve">3</w:t>
            </w:r>
            <w:r>
              <w:rPr>
                <w:rStyle w:val="1032"/>
                <w:rFonts w:ascii="宋体" w:hAnsi="宋体" w:eastAsia="宋体" w:cs="宋体"/>
                <w:b/>
                <w:bCs/>
                <w:color w:val="1f2329"/>
                <w:sz w:val="24"/>
                <w:szCs w:val="24"/>
              </w:rPr>
              <w:t xml:space="preserve">分</w:t>
            </w:r>
            <w:r>
              <w:rPr>
                <w:rFonts w:ascii="宋体" w:hAnsi="宋体" w:eastAsia="宋体" w:cs="宋体"/>
                <w:sz w:val="24"/>
                <w:szCs w:val="24"/>
              </w:rPr>
              <w:t xml:space="preserve">；</w:t>
            </w:r>
            <w:r/>
          </w:p>
          <w:p>
            <w:pPr>
              <w:numPr>
                <w:ilvl w:val="0"/>
                <w:numId w:val="0"/>
              </w:numPr>
              <w:rPr>
                <w:rFonts w:hint="eastAsia" w:ascii="宋体" w:hAnsi="宋体" w:eastAsia="宋体" w:cs="宋体"/>
                <w:color w:val="auto"/>
                <w:sz w:val="24"/>
                <w:szCs w:val="28"/>
                <w:lang w:val="en-US" w:eastAsia="zh-CN"/>
              </w:rPr>
            </w:pPr>
            <w:r>
              <w:rPr>
                <w:rFonts w:ascii="宋体" w:hAnsi="宋体" w:eastAsia="宋体" w:cs="宋体"/>
                <w:sz w:val="24"/>
                <w:szCs w:val="24"/>
              </w:rPr>
              <w:t xml:space="preserve">（4）未提供相关方案的不得分。</w:t>
            </w:r>
            <w:r/>
          </w:p>
        </w:tc>
      </w:tr>
    </w:tbl>
    <w:p>
      <w:r/>
      <w:r/>
    </w:p>
    <w:p>
      <w:pPr>
        <w:ind w:firstLine="0"/>
        <w:spacing w:line="400" w:lineRule="exact"/>
        <w:rPr>
          <w:rFonts w:hint="eastAsia"/>
          <w:sz w:val="24"/>
          <w:szCs w:val="24"/>
          <w:highlight w:val="none"/>
        </w:rPr>
      </w:pPr>
      <w:r>
        <w:rPr>
          <w:rFonts w:hint="eastAsia"/>
          <w:sz w:val="24"/>
          <w:szCs w:val="24"/>
          <w:highlight w:val="none"/>
        </w:rPr>
        <w:t xml:space="preserve">说明：</w:t>
      </w:r>
      <w:r/>
    </w:p>
    <w:p>
      <w:pPr>
        <w:pStyle w:val="1045"/>
        <w:rPr>
          <w:rFonts w:ascii="宋体" w:hAnsi="宋体" w:eastAsia="宋体" w:cs="宋体"/>
          <w:b/>
          <w:bCs/>
          <w:sz w:val="24"/>
          <w:szCs w:val="24"/>
        </w:rPr>
      </w:pPr>
      <w:r>
        <w:rPr>
          <w:rFonts w:ascii="宋体" w:hAnsi="宋体" w:eastAsia="宋体" w:cs="宋体"/>
          <w:b/>
          <w:bCs/>
          <w:sz w:val="24"/>
          <w:szCs w:val="24"/>
        </w:rPr>
        <w:t xml:space="preserve">①同一评审指标不得重复计分；</w:t>
      </w:r>
      <w:r>
        <w:rPr>
          <w:rFonts w:hint="eastAsia" w:ascii="宋体" w:hAnsi="宋体" w:eastAsia="宋体" w:cs="宋体"/>
          <w:b/>
          <w:bCs/>
          <w:color w:val="000000"/>
          <w:sz w:val="24"/>
          <w:szCs w:val="24"/>
        </w:rPr>
        <w:t xml:space="preserve">招标文件中</w:t>
      </w:r>
      <w:r>
        <w:rPr>
          <w:rFonts w:ascii="宋体" w:hAnsi="宋体" w:eastAsia="宋体" w:cs="宋体"/>
          <w:b/>
          <w:bCs/>
          <w:sz w:val="24"/>
          <w:szCs w:val="24"/>
        </w:rPr>
        <w:t xml:space="preserve">标注★为实质性关键指标，投标人不满足该项要求的，作无效投标处理，投标被否决。</w:t>
      </w:r>
      <w:r/>
    </w:p>
    <w:p>
      <w:pPr>
        <w:pStyle w:val="1045"/>
        <w:rPr>
          <w:rFonts w:hAnsi="宋体"/>
          <w:b/>
          <w:bCs/>
          <w:color w:val="000000"/>
        </w:rPr>
      </w:pPr>
      <w:r>
        <w:rPr>
          <w:rFonts w:ascii="宋体" w:hAnsi="宋体" w:eastAsia="宋体" w:cs="宋体"/>
          <w:b/>
          <w:bCs/>
          <w:sz w:val="24"/>
          <w:szCs w:val="24"/>
        </w:rPr>
        <w:t xml:space="preserve">②投标人须将评审所需全部证明资料，按要求上传至响应文件制作工具对应位置；因资料漏传、错传、上传位置错误，导致评标委员会无法正常评审查阅的，产生一切后果由供应商自行承担。</w:t>
      </w:r>
      <w:r/>
    </w:p>
    <w:p>
      <w:pPr>
        <w:pStyle w:val="1046"/>
        <w:rPr>
          <w:rFonts w:hAnsi="宋体"/>
          <w:b/>
          <w:color w:val="000000"/>
        </w:rPr>
      </w:pPr>
      <w:r>
        <w:rPr>
          <w:rFonts w:hAnsi="宋体"/>
          <w:b/>
          <w:color w:val="000000"/>
        </w:rPr>
      </w:r>
      <w:r/>
    </w:p>
    <w:p>
      <w:pPr>
        <w:pStyle w:val="1046"/>
        <w:rPr>
          <w:rFonts w:hAnsi="宋体"/>
          <w:b/>
          <w:color w:val="000000"/>
        </w:rPr>
      </w:pPr>
      <w:r>
        <w:rPr>
          <w:rFonts w:hAnsi="宋体"/>
          <w:b/>
          <w:color w:val="000000"/>
        </w:rPr>
      </w:r>
      <w:r/>
    </w:p>
    <w:p>
      <w:pPr>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14"/>
      <w:r/>
      <w:bookmarkEnd w:id="15"/>
      <w:r/>
      <w:bookmarkEnd w:id="16"/>
      <w:r/>
      <w:bookmarkEnd w:id="17"/>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28" w:name="_Toc139967215"/>
      <w:r/>
      <w:bookmarkStart w:id="29" w:name="_Toc139966431"/>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1021"/>
      </w:pPr>
      <w:r/>
      <w:r/>
    </w:p>
    <w:p>
      <w:pPr>
        <w:pStyle w:val="1021"/>
      </w:pPr>
      <w:r/>
      <w:r/>
    </w:p>
    <w:p>
      <w:pPr>
        <w:pStyle w:val="1028"/>
      </w:pPr>
      <w:r/>
      <w:r/>
    </w:p>
    <w:p>
      <w:r/>
      <w:r/>
    </w:p>
    <w:p>
      <w:pPr>
        <w:pStyle w:val="1021"/>
      </w:pPr>
      <w:r/>
      <w:r/>
    </w:p>
    <w:p>
      <w:pPr>
        <w:pStyle w:val="1021"/>
      </w:pPr>
      <w:r/>
      <w:r/>
    </w:p>
    <w:p>
      <w:pPr>
        <w:ind w:firstLine="1084"/>
        <w:rPr>
          <w:rFonts w:ascii="宋体" w:hAnsi="宋体"/>
          <w:b/>
          <w:color w:val="000000"/>
          <w:sz w:val="36"/>
          <w:szCs w:val="21"/>
        </w:rPr>
      </w:pPr>
      <w:r>
        <w:rPr>
          <w:rFonts w:ascii="宋体" w:hAnsi="宋体"/>
          <w:b/>
          <w:color w:val="000000"/>
          <w:sz w:val="36"/>
          <w:szCs w:val="21"/>
        </w:rPr>
      </w:r>
      <w:r/>
    </w:p>
    <w:p>
      <w:pPr>
        <w:pStyle w:val="1029"/>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1029"/>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1029"/>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东海县农业技术推广中心</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2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单价</w:t>
            </w:r>
            <w:r>
              <w:rPr>
                <w:rFonts w:hint="eastAsia" w:ascii="宋体" w:hAnsi="宋体" w:eastAsia="宋体" w:cs="宋体"/>
                <w:b/>
                <w:bCs w:val="0"/>
                <w:color w:val="000000"/>
                <w:sz w:val="28"/>
                <w:szCs w:val="28"/>
                <w:lang w:eastAsia="zh-CN"/>
              </w:rPr>
              <w:t xml:space="preserve">）</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元/吨</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c00000"/>
          <w:sz w:val="24"/>
          <w:highlight w:val="none"/>
        </w:rPr>
      </w:pPr>
      <w:r>
        <w:rPr>
          <w:rFonts w:hint="eastAsia" w:ascii="宋体" w:hAnsi="Times New Roman" w:eastAsia="宋体" w:cs="Times New Roman"/>
          <w:color w:val="c00000"/>
          <w:sz w:val="24"/>
          <w:highlight w:val="none"/>
          <w:lang w:val="en-US" w:eastAsia="zh-CN"/>
        </w:rPr>
        <w:t xml:space="preserve">注：1.</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c00000"/>
          <w:sz w:val="24"/>
          <w:highlight w:val="none"/>
        </w:rPr>
        <w:t xml:space="preserve">落实政府采购政策进行价格评审调整的，以调整后的价格计算投标基准价和投标报价，小数点后保留两位。</w:t>
      </w:r>
      <w:r/>
    </w:p>
    <w:p>
      <w:pPr>
        <w:ind w:firstLine="482"/>
        <w:jc w:val="left"/>
        <w:pageBreakBefore w:val="0"/>
        <w:spacing w:line="360" w:lineRule="auto"/>
        <w:widowControl w:val="off"/>
        <w:rPr>
          <w:rFonts w:hint="eastAsia" w:ascii="宋体" w:hAnsi="宋体" w:eastAsia="宋体" w:cs="仿宋_GB2312"/>
          <w:b/>
          <w:bCs/>
          <w:color w:val="c00000"/>
          <w:sz w:val="24"/>
          <w:szCs w:val="28"/>
          <w:highlight w:val="none"/>
          <w:lang w:val="en-US" w:eastAsia="zh-CN"/>
        </w:rPr>
      </w:pPr>
      <w:r>
        <w:rPr>
          <w:rFonts w:hint="eastAsia" w:ascii="宋体" w:hAnsi="宋体" w:eastAsia="宋体" w:cs="仿宋_GB2312"/>
          <w:b/>
          <w:bCs/>
          <w:color w:val="c00000"/>
          <w:sz w:val="24"/>
          <w:szCs w:val="28"/>
          <w:highlight w:val="none"/>
          <w:lang w:val="en-US" w:eastAsia="zh-CN"/>
        </w:rPr>
        <w:t xml:space="preserve">2“苏采云”制作工具中“开标一览表”格式无法修改，请各投标人按照苏采云提供格式进行填写所填写的单价单位默认“元/吨”。</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1039"/>
        <w:ind w:firstLine="0"/>
        <w:jc w:val="right"/>
        <w:rPr>
          <w:rFonts w:hAnsi="宋体"/>
          <w:color w:val="000000"/>
          <w:szCs w:val="24"/>
        </w:rPr>
      </w:pPr>
      <w:r>
        <w:rPr>
          <w:rFonts w:hint="eastAsia" w:hAnsi="宋体"/>
          <w:color w:val="000000"/>
          <w:szCs w:val="24"/>
        </w:rPr>
        <w:t xml:space="preserve">单位：元</w:t>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本项目专门面向本国产品采购</w:t>
            </w:r>
            <w:r>
              <w:rPr>
                <w:rFonts w:hint="eastAsia" w:ascii="Times New Roman" w:hAnsi="Times New Roman" w:eastAsia="宋体" w:cs="Times New Roman"/>
                <w:color w:val="ff0000"/>
                <w:szCs w:val="24"/>
                <w:highlight w:val="none"/>
                <w:lang w:val="en-US" w:eastAsia="zh-CN"/>
              </w:rPr>
              <w:t xml:space="preserve">,</w:t>
            </w: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100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1039"/>
        <w:ind w:firstLine="420"/>
        <w:rPr>
          <w:rFonts w:hint="eastAsia" w:hAnsi="宋体"/>
          <w:color w:val="000000"/>
          <w:szCs w:val="24"/>
        </w:rPr>
      </w:pPr>
      <w:r>
        <w:rPr>
          <w:rFonts w:hint="eastAsia" w:hAnsi="宋体"/>
          <w:color w:val="000000"/>
          <w:szCs w:val="24"/>
        </w:rPr>
        <w:t xml:space="preserve">填报说明：</w:t>
      </w:r>
      <w:r/>
    </w:p>
    <w:p>
      <w:pPr>
        <w:pStyle w:val="1039"/>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1039"/>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1039"/>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1039"/>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ind w:firstLine="420"/>
        <w:jc w:val="both"/>
        <w:spacing w:line="360" w:lineRule="auto"/>
        <w:widowControl w:val="off"/>
        <w:rPr>
          <w:rFonts w:hint="eastAsia" w:ascii="Times New Roman" w:hAnsi="Times New Roman" w:eastAsia="宋体" w:cs="Times New Roman"/>
          <w:b/>
          <w:bCs/>
          <w:color w:val="ff0000"/>
          <w:sz w:val="18"/>
          <w:szCs w:val="18"/>
          <w:highlight w:val="none"/>
          <w:lang w:val="en-US" w:eastAsia="zh-CN" w:bidi="ar-SA"/>
        </w:rPr>
      </w:pPr>
      <w:r>
        <w:rPr>
          <w:rFonts w:hint="eastAsia" w:ascii="Times New Roman" w:hAnsi="Times New Roman" w:eastAsia="宋体" w:cs="Times New Roman"/>
          <w:b/>
          <w:bCs/>
          <w:color w:val="ff0000"/>
          <w:sz w:val="18"/>
          <w:szCs w:val="18"/>
          <w:highlight w:val="none"/>
          <w:lang w:val="en-US" w:eastAsia="zh-CN" w:bidi="ar-SA"/>
        </w:rPr>
        <w:t xml:space="preserve">6、本项目以有机无机复混肥料单价报价作为价格分计算依据。</w:t>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8"/>
          <w:szCs w:val="20"/>
        </w:rPr>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1029"/>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102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2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2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0"/>
      </w:pPr>
      <w:r>
        <w:rPr>
          <w:rFonts w:hint="eastAsia" w:ascii="宋体" w:hAnsi="宋体" w:eastAsia="宋体" w:cs="宋体"/>
          <w:b/>
          <w:bCs/>
          <w:color w:val="000000"/>
          <w:sz w:val="24"/>
          <w:szCs w:val="24"/>
        </w:rPr>
        <w:t xml:space="preserve">格式5、残疾人福利性企业声明函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1021"/>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0"/>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ind w:right="480" w:firstLine="420"/>
        <w:spacing w:line="360" w:lineRule="auto"/>
      </w:pPr>
      <w:r/>
      <w:r/>
    </w:p>
    <w:p>
      <w:pPr>
        <w:keepNex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102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103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103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103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1029"/>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102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102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10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、具备履行合同所必需的设备和专业技术能力的声明及证明材料</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1021"/>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日期：    年     月     日</w:t>
      </w:r>
      <w:r/>
    </w:p>
    <w:p>
      <w:pPr>
        <w:pStyle w:val="1021"/>
      </w:p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w:t>
      </w:r>
      <w:r>
        <w:rPr>
          <w:rFonts w:hint="eastAsia" w:ascii="Times New Roman" w:hAnsi="Times New Roman" w:eastAsia="宋体" w:cs="Times New Roman"/>
          <w:b/>
          <w:bCs/>
          <w:color w:val="000000"/>
          <w:sz w:val="24"/>
          <w:szCs w:val="24"/>
          <w:lang w:val="en-US" w:eastAsia="zh-CN"/>
        </w:rPr>
        <w:t xml:space="preserve">相关</w:t>
      </w:r>
      <w:r>
        <w:rPr>
          <w:rFonts w:hint="eastAsia"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w:t>
      </w:r>
      <w:r>
        <w:rPr>
          <w:rFonts w:hint="eastAsia" w:ascii="Times New Roman" w:hAnsi="Times New Roman" w:eastAsia="宋体" w:cs="Times New Roman"/>
          <w:b/>
          <w:bCs/>
          <w:color w:val="000000"/>
          <w:sz w:val="24"/>
          <w:szCs w:val="24"/>
          <w:lang w:val="en-US" w:eastAsia="zh-CN"/>
        </w:rPr>
        <w:t xml:space="preserve">证明</w:t>
      </w:r>
      <w:r>
        <w:rPr>
          <w:rFonts w:hint="eastAsia" w:ascii="Times New Roman" w:hAnsi="Times New Roman" w:eastAsia="宋体" w:cs="Times New Roman"/>
          <w:b/>
          <w:bCs/>
          <w:color w:val="000000"/>
          <w:sz w:val="24"/>
          <w:szCs w:val="24"/>
        </w:rPr>
        <w:t xml:space="preserve">材料的资格审查不予通过，后果由</w:t>
      </w:r>
      <w:r>
        <w:rPr>
          <w:rFonts w:hint="eastAsia" w:ascii="Times New Roman" w:hAnsi="Times New Roman" w:eastAsia="宋体" w:cs="Times New Roman"/>
          <w:b/>
          <w:bCs/>
          <w:color w:val="000000"/>
          <w:sz w:val="24"/>
          <w:szCs w:val="24"/>
          <w:lang w:val="en-US" w:eastAsia="zh-CN"/>
        </w:rPr>
        <w:t xml:space="preserve">投标人</w:t>
      </w:r>
      <w:r>
        <w:rPr>
          <w:rFonts w:hint="eastAsia" w:ascii="Times New Roman" w:hAnsi="Times New Roman" w:eastAsia="宋体" w:cs="Times New Roman"/>
          <w:b/>
          <w:bCs/>
          <w:color w:val="000000"/>
          <w:sz w:val="24"/>
          <w:szCs w:val="24"/>
        </w:rPr>
        <w:t xml:space="preserve">自行承担。</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1047"/>
        <w:numPr>
          <w:ilvl w:val="0"/>
          <w:numId w:val="0"/>
        </w:numPr>
        <w:ind w:left="0" w:firstLine="0"/>
        <w:rPr>
          <w:color w:val="000000"/>
        </w:rPr>
        <w:outlineLvl w:val="9"/>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1021"/>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23"/>
        <w:rPr>
          <w:rFonts w:hint="eastAsia"/>
        </w:rPr>
      </w:pPr>
      <w:r>
        <w:rPr>
          <w:rFonts w:hint="eastAsia"/>
        </w:rPr>
      </w:r>
      <w:r/>
    </w:p>
    <w:p>
      <w:pPr>
        <w:pStyle w:val="1047"/>
        <w:numPr>
          <w:ilvl w:val="0"/>
          <w:numId w:val="0"/>
        </w:numPr>
        <w:ind w:left="0" w:firstLine="0"/>
        <w:rPr>
          <w:rFonts w:eastAsia="宋体"/>
        </w:rPr>
        <w:outlineLvl w:val="0"/>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10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10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10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1020"/>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17"/>
        <w:gridCol w:w="1531"/>
        <w:gridCol w:w="1682"/>
        <w:gridCol w:w="1719"/>
        <w:gridCol w:w="1569"/>
      </w:tblGrid>
      <w:tr>
        <w:trPr>
          <w:jc w:val="center"/>
          <w:trHeight w:val="961"/>
        </w:trPr>
        <w:tc>
          <w:tcPr>
            <w:tcW w:w="901"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017"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1047"/>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1020"/>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1023"/>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1047"/>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1042"/>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102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1047"/>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47"/>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7"/>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39"/>
        <w:ind w:firstLine="480"/>
        <w:rPr>
          <w:color w:val="000000"/>
          <w:sz w:val="24"/>
          <w:szCs w:val="24"/>
        </w:rPr>
        <w:sectPr>
          <w:footnotePr/>
          <w:endnotePr/>
          <w:type w:val="nextPage"/>
          <w:pgSz w:w="11906" w:h="16838" w:orient="portrait"/>
          <w:pgMar w:top="1406" w:right="1406" w:bottom="1406"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723"/>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36"/>
          <w:szCs w:val="20"/>
        </w:rPr>
        <w:br w:type="page" w:clear="all"/>
      </w:r>
      <w:bookmarkEnd w:id="28"/>
      <w:r/>
      <w:bookmarkEnd w:id="29"/>
      <w:r/>
      <w:r/>
    </w:p>
    <w:p>
      <w:pPr>
        <w:jc w:val="left"/>
        <w:rPr>
          <w:rFonts w:hint="eastAsia" w:ascii="宋体" w:hAnsi="宋体" w:eastAsia="宋体" w:cs="宋体"/>
          <w:color w:val="000000"/>
          <w:szCs w:val="24"/>
        </w:rPr>
      </w:pPr>
      <w:r>
        <w:rPr>
          <w:rFonts w:hint="eastAsia" w:ascii="宋体" w:hAnsi="宋体" w:eastAsia="宋体" w:cs="宋体"/>
          <w:color w:val="000000"/>
          <w:szCs w:val="24"/>
        </w:rPr>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libri">
    <w:panose1 w:val="020F050202020403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44"/>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0"/>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47"/>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6"/>
  </w:num>
  <w:num w:numId="4">
    <w:abstractNumId w:val="7"/>
  </w:num>
  <w:num w:numId="5">
    <w:abstractNumId w:val="4"/>
  </w:num>
  <w:num w:numId="6">
    <w:abstractNumId w:val="2"/>
  </w:num>
  <w:num w:numId="7">
    <w:abstractNumId w:val="1"/>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16"/>
    <w:next w:val="1016"/>
    <w:link w:val="845"/>
    <w:uiPriority w:val="9"/>
    <w:qFormat/>
    <w:pPr>
      <w:keepLines/>
      <w:keepNext/>
      <w:spacing w:before="480" w:after="200"/>
      <w:outlineLvl w:val="0"/>
    </w:pPr>
    <w:rPr>
      <w:rFonts w:ascii="Arial" w:hAnsi="Arial" w:eastAsia="Arial" w:cs="Arial"/>
      <w:sz w:val="40"/>
      <w:szCs w:val="40"/>
    </w:rPr>
  </w:style>
  <w:style w:type="character" w:styleId="845">
    <w:name w:val="Heading 1 Char"/>
    <w:basedOn w:val="1019"/>
    <w:link w:val="844"/>
    <w:uiPriority w:val="9"/>
    <w:rPr>
      <w:rFonts w:ascii="Arial" w:hAnsi="Arial" w:eastAsia="Arial" w:cs="Arial"/>
      <w:sz w:val="40"/>
      <w:szCs w:val="40"/>
    </w:rPr>
  </w:style>
  <w:style w:type="character" w:styleId="846">
    <w:name w:val="Heading 2 Char"/>
    <w:basedOn w:val="1019"/>
    <w:link w:val="1017"/>
    <w:uiPriority w:val="9"/>
    <w:rPr>
      <w:rFonts w:ascii="Arial" w:hAnsi="Arial" w:eastAsia="Arial" w:cs="Arial"/>
      <w:sz w:val="34"/>
    </w:rPr>
  </w:style>
  <w:style w:type="character" w:styleId="847">
    <w:name w:val="Heading 3 Char"/>
    <w:basedOn w:val="1019"/>
    <w:link w:val="1018"/>
    <w:uiPriority w:val="9"/>
    <w:rPr>
      <w:rFonts w:ascii="Arial" w:hAnsi="Arial" w:eastAsia="Arial" w:cs="Arial"/>
      <w:sz w:val="30"/>
      <w:szCs w:val="30"/>
    </w:rPr>
  </w:style>
  <w:style w:type="paragraph" w:styleId="848">
    <w:name w:val="Heading 4"/>
    <w:basedOn w:val="1016"/>
    <w:next w:val="1016"/>
    <w:link w:val="849"/>
    <w:uiPriority w:val="9"/>
    <w:unhideWhenUsed/>
    <w:qFormat/>
    <w:pPr>
      <w:keepLines/>
      <w:keepNext/>
      <w:spacing w:before="320" w:after="200"/>
      <w:outlineLvl w:val="3"/>
    </w:pPr>
    <w:rPr>
      <w:rFonts w:ascii="Arial" w:hAnsi="Arial" w:eastAsia="Arial" w:cs="Arial"/>
      <w:b/>
      <w:bCs/>
      <w:sz w:val="26"/>
      <w:szCs w:val="26"/>
    </w:rPr>
  </w:style>
  <w:style w:type="character" w:styleId="849">
    <w:name w:val="Heading 4 Char"/>
    <w:basedOn w:val="1019"/>
    <w:link w:val="848"/>
    <w:uiPriority w:val="9"/>
    <w:rPr>
      <w:rFonts w:ascii="Arial" w:hAnsi="Arial" w:eastAsia="Arial" w:cs="Arial"/>
      <w:b/>
      <w:bCs/>
      <w:sz w:val="26"/>
      <w:szCs w:val="26"/>
    </w:rPr>
  </w:style>
  <w:style w:type="paragraph" w:styleId="850">
    <w:name w:val="Heading 5"/>
    <w:basedOn w:val="1016"/>
    <w:next w:val="1016"/>
    <w:link w:val="851"/>
    <w:uiPriority w:val="9"/>
    <w:unhideWhenUsed/>
    <w:qFormat/>
    <w:pPr>
      <w:keepLines/>
      <w:keepNext/>
      <w:spacing w:before="320" w:after="200"/>
      <w:outlineLvl w:val="4"/>
    </w:pPr>
    <w:rPr>
      <w:rFonts w:ascii="Arial" w:hAnsi="Arial" w:eastAsia="Arial" w:cs="Arial"/>
      <w:b/>
      <w:bCs/>
      <w:sz w:val="24"/>
      <w:szCs w:val="24"/>
    </w:rPr>
  </w:style>
  <w:style w:type="character" w:styleId="851">
    <w:name w:val="Heading 5 Char"/>
    <w:basedOn w:val="1019"/>
    <w:link w:val="850"/>
    <w:uiPriority w:val="9"/>
    <w:rPr>
      <w:rFonts w:ascii="Arial" w:hAnsi="Arial" w:eastAsia="Arial" w:cs="Arial"/>
      <w:b/>
      <w:bCs/>
      <w:sz w:val="24"/>
      <w:szCs w:val="24"/>
    </w:rPr>
  </w:style>
  <w:style w:type="paragraph" w:styleId="852">
    <w:name w:val="Heading 6"/>
    <w:basedOn w:val="1016"/>
    <w:next w:val="1016"/>
    <w:link w:val="853"/>
    <w:uiPriority w:val="9"/>
    <w:unhideWhenUsed/>
    <w:qFormat/>
    <w:pPr>
      <w:keepLines/>
      <w:keepNext/>
      <w:spacing w:before="320" w:after="200"/>
      <w:outlineLvl w:val="5"/>
    </w:pPr>
    <w:rPr>
      <w:rFonts w:ascii="Arial" w:hAnsi="Arial" w:eastAsia="Arial" w:cs="Arial"/>
      <w:b/>
      <w:bCs/>
      <w:sz w:val="22"/>
      <w:szCs w:val="22"/>
    </w:rPr>
  </w:style>
  <w:style w:type="character" w:styleId="853">
    <w:name w:val="Heading 6 Char"/>
    <w:basedOn w:val="1019"/>
    <w:link w:val="852"/>
    <w:uiPriority w:val="9"/>
    <w:rPr>
      <w:rFonts w:ascii="Arial" w:hAnsi="Arial" w:eastAsia="Arial" w:cs="Arial"/>
      <w:b/>
      <w:bCs/>
      <w:sz w:val="22"/>
      <w:szCs w:val="22"/>
    </w:rPr>
  </w:style>
  <w:style w:type="paragraph" w:styleId="854">
    <w:name w:val="Heading 7"/>
    <w:basedOn w:val="1016"/>
    <w:next w:val="1016"/>
    <w:link w:val="855"/>
    <w:uiPriority w:val="9"/>
    <w:unhideWhenUsed/>
    <w:qFormat/>
    <w:pPr>
      <w:keepLines/>
      <w:keepNext/>
      <w:spacing w:before="320" w:after="200"/>
      <w:outlineLvl w:val="6"/>
    </w:pPr>
    <w:rPr>
      <w:rFonts w:ascii="Arial" w:hAnsi="Arial" w:eastAsia="Arial" w:cs="Arial"/>
      <w:b/>
      <w:bCs/>
      <w:i/>
      <w:iCs/>
      <w:sz w:val="22"/>
      <w:szCs w:val="22"/>
    </w:rPr>
  </w:style>
  <w:style w:type="character" w:styleId="855">
    <w:name w:val="Heading 7 Char"/>
    <w:basedOn w:val="1019"/>
    <w:link w:val="854"/>
    <w:uiPriority w:val="9"/>
    <w:rPr>
      <w:rFonts w:ascii="Arial" w:hAnsi="Arial" w:eastAsia="Arial" w:cs="Arial"/>
      <w:b/>
      <w:bCs/>
      <w:i/>
      <w:iCs/>
      <w:sz w:val="22"/>
      <w:szCs w:val="22"/>
    </w:rPr>
  </w:style>
  <w:style w:type="paragraph" w:styleId="856">
    <w:name w:val="Heading 8"/>
    <w:basedOn w:val="1016"/>
    <w:next w:val="1016"/>
    <w:link w:val="857"/>
    <w:uiPriority w:val="9"/>
    <w:unhideWhenUsed/>
    <w:qFormat/>
    <w:pPr>
      <w:keepLines/>
      <w:keepNext/>
      <w:spacing w:before="320" w:after="200"/>
      <w:outlineLvl w:val="7"/>
    </w:pPr>
    <w:rPr>
      <w:rFonts w:ascii="Arial" w:hAnsi="Arial" w:eastAsia="Arial" w:cs="Arial"/>
      <w:i/>
      <w:iCs/>
      <w:sz w:val="22"/>
      <w:szCs w:val="22"/>
    </w:rPr>
  </w:style>
  <w:style w:type="character" w:styleId="857">
    <w:name w:val="Heading 8 Char"/>
    <w:basedOn w:val="1019"/>
    <w:link w:val="856"/>
    <w:uiPriority w:val="9"/>
    <w:rPr>
      <w:rFonts w:ascii="Arial" w:hAnsi="Arial" w:eastAsia="Arial" w:cs="Arial"/>
      <w:i/>
      <w:iCs/>
      <w:sz w:val="22"/>
      <w:szCs w:val="22"/>
    </w:rPr>
  </w:style>
  <w:style w:type="paragraph" w:styleId="858">
    <w:name w:val="Heading 9"/>
    <w:basedOn w:val="1016"/>
    <w:next w:val="1016"/>
    <w:link w:val="859"/>
    <w:uiPriority w:val="9"/>
    <w:unhideWhenUsed/>
    <w:qFormat/>
    <w:pPr>
      <w:keepLines/>
      <w:keepNext/>
      <w:spacing w:before="320" w:after="200"/>
      <w:outlineLvl w:val="8"/>
    </w:pPr>
    <w:rPr>
      <w:rFonts w:ascii="Arial" w:hAnsi="Arial" w:eastAsia="Arial" w:cs="Arial"/>
      <w:i/>
      <w:iCs/>
      <w:sz w:val="21"/>
      <w:szCs w:val="21"/>
    </w:rPr>
  </w:style>
  <w:style w:type="character" w:styleId="859">
    <w:name w:val="Heading 9 Char"/>
    <w:basedOn w:val="1019"/>
    <w:link w:val="858"/>
    <w:uiPriority w:val="9"/>
    <w:rPr>
      <w:rFonts w:ascii="Arial" w:hAnsi="Arial" w:eastAsia="Arial" w:cs="Arial"/>
      <w:i/>
      <w:iCs/>
      <w:sz w:val="21"/>
      <w:szCs w:val="21"/>
    </w:rPr>
  </w:style>
  <w:style w:type="paragraph" w:styleId="860">
    <w:name w:val="List Paragraph"/>
    <w:basedOn w:val="1016"/>
    <w:uiPriority w:val="34"/>
    <w:qFormat/>
    <w:pPr>
      <w:contextualSpacing/>
      <w:ind w:left="720"/>
    </w:pPr>
  </w:style>
  <w:style w:type="paragraph" w:styleId="861">
    <w:name w:val="No Spacing"/>
    <w:uiPriority w:val="1"/>
    <w:qFormat/>
    <w:pPr>
      <w:spacing w:before="0" w:after="0" w:line="240" w:lineRule="auto"/>
    </w:pPr>
  </w:style>
  <w:style w:type="paragraph" w:styleId="862">
    <w:name w:val="Title"/>
    <w:basedOn w:val="1016"/>
    <w:next w:val="1016"/>
    <w:link w:val="863"/>
    <w:uiPriority w:val="10"/>
    <w:qFormat/>
    <w:pPr>
      <w:contextualSpacing/>
      <w:spacing w:before="300" w:after="200"/>
    </w:pPr>
    <w:rPr>
      <w:sz w:val="48"/>
      <w:szCs w:val="48"/>
    </w:rPr>
  </w:style>
  <w:style w:type="character" w:styleId="863">
    <w:name w:val="Title Char"/>
    <w:basedOn w:val="1019"/>
    <w:link w:val="862"/>
    <w:uiPriority w:val="10"/>
    <w:rPr>
      <w:sz w:val="48"/>
      <w:szCs w:val="48"/>
    </w:rPr>
  </w:style>
  <w:style w:type="paragraph" w:styleId="864">
    <w:name w:val="Subtitle"/>
    <w:basedOn w:val="1016"/>
    <w:next w:val="1016"/>
    <w:link w:val="865"/>
    <w:uiPriority w:val="11"/>
    <w:qFormat/>
    <w:pPr>
      <w:spacing w:before="200" w:after="200"/>
    </w:pPr>
    <w:rPr>
      <w:sz w:val="24"/>
      <w:szCs w:val="24"/>
    </w:rPr>
  </w:style>
  <w:style w:type="character" w:styleId="865">
    <w:name w:val="Subtitle Char"/>
    <w:basedOn w:val="1019"/>
    <w:link w:val="864"/>
    <w:uiPriority w:val="11"/>
    <w:rPr>
      <w:sz w:val="24"/>
      <w:szCs w:val="24"/>
    </w:rPr>
  </w:style>
  <w:style w:type="paragraph" w:styleId="866">
    <w:name w:val="Quote"/>
    <w:basedOn w:val="1016"/>
    <w:next w:val="1016"/>
    <w:link w:val="867"/>
    <w:uiPriority w:val="29"/>
    <w:qFormat/>
    <w:pPr>
      <w:ind w:left="720" w:right="720"/>
    </w:pPr>
    <w:rPr>
      <w:i/>
    </w:rPr>
  </w:style>
  <w:style w:type="character" w:styleId="867">
    <w:name w:val="Quote Char"/>
    <w:link w:val="866"/>
    <w:uiPriority w:val="29"/>
    <w:rPr>
      <w:i/>
    </w:rPr>
  </w:style>
  <w:style w:type="paragraph" w:styleId="868">
    <w:name w:val="Intense Quote"/>
    <w:basedOn w:val="1016"/>
    <w:next w:val="101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19"/>
    <w:link w:val="1027"/>
    <w:uiPriority w:val="99"/>
  </w:style>
  <w:style w:type="character" w:styleId="871">
    <w:name w:val="Footer Char"/>
    <w:basedOn w:val="1019"/>
    <w:link w:val="1026"/>
    <w:uiPriority w:val="99"/>
  </w:style>
  <w:style w:type="paragraph" w:styleId="872">
    <w:name w:val="Caption"/>
    <w:basedOn w:val="1016"/>
    <w:next w:val="1016"/>
    <w:uiPriority w:val="35"/>
    <w:semiHidden/>
    <w:unhideWhenUsed/>
    <w:qFormat/>
    <w:pPr>
      <w:spacing w:line="276" w:lineRule="auto"/>
    </w:pPr>
    <w:rPr>
      <w:b/>
      <w:bCs/>
      <w:color w:val="4f81bd" w:themeColor="accent1"/>
      <w:sz w:val="18"/>
      <w:szCs w:val="18"/>
    </w:rPr>
  </w:style>
  <w:style w:type="character" w:styleId="873">
    <w:name w:val="Caption Char"/>
    <w:basedOn w:val="872"/>
    <w:link w:val="1026"/>
    <w:uiPriority w:val="99"/>
  </w:style>
  <w:style w:type="table" w:styleId="874">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16"/>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19"/>
    <w:uiPriority w:val="99"/>
    <w:unhideWhenUsed/>
    <w:rPr>
      <w:vertAlign w:val="superscript"/>
    </w:rPr>
  </w:style>
  <w:style w:type="paragraph" w:styleId="1003">
    <w:name w:val="endnote text"/>
    <w:basedOn w:val="1016"/>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19"/>
    <w:uiPriority w:val="99"/>
    <w:semiHidden/>
    <w:unhideWhenUsed/>
    <w:rPr>
      <w:vertAlign w:val="superscript"/>
    </w:rPr>
  </w:style>
  <w:style w:type="paragraph" w:styleId="1006">
    <w:name w:val="toc 1"/>
    <w:basedOn w:val="1016"/>
    <w:next w:val="1016"/>
    <w:uiPriority w:val="39"/>
    <w:unhideWhenUsed/>
    <w:pPr>
      <w:ind w:left="0" w:right="0" w:firstLine="0"/>
      <w:spacing w:after="57"/>
    </w:pPr>
  </w:style>
  <w:style w:type="paragraph" w:styleId="1007">
    <w:name w:val="toc 2"/>
    <w:basedOn w:val="1016"/>
    <w:next w:val="1016"/>
    <w:uiPriority w:val="39"/>
    <w:unhideWhenUsed/>
    <w:pPr>
      <w:ind w:left="283" w:right="0" w:firstLine="0"/>
      <w:spacing w:after="57"/>
    </w:pPr>
  </w:style>
  <w:style w:type="paragraph" w:styleId="1008">
    <w:name w:val="toc 3"/>
    <w:basedOn w:val="1016"/>
    <w:next w:val="1016"/>
    <w:uiPriority w:val="39"/>
    <w:unhideWhenUsed/>
    <w:pPr>
      <w:ind w:left="567" w:right="0" w:firstLine="0"/>
      <w:spacing w:after="57"/>
    </w:pPr>
  </w:style>
  <w:style w:type="paragraph" w:styleId="1009">
    <w:name w:val="toc 4"/>
    <w:basedOn w:val="1016"/>
    <w:next w:val="1016"/>
    <w:uiPriority w:val="39"/>
    <w:unhideWhenUsed/>
    <w:pPr>
      <w:ind w:left="850" w:right="0" w:firstLine="0"/>
      <w:spacing w:after="57"/>
    </w:pPr>
  </w:style>
  <w:style w:type="paragraph" w:styleId="1010">
    <w:name w:val="toc 5"/>
    <w:basedOn w:val="1016"/>
    <w:next w:val="1016"/>
    <w:uiPriority w:val="39"/>
    <w:unhideWhenUsed/>
    <w:pPr>
      <w:ind w:left="1134" w:right="0" w:firstLine="0"/>
      <w:spacing w:after="57"/>
    </w:pPr>
  </w:style>
  <w:style w:type="paragraph" w:styleId="1011">
    <w:name w:val="toc 6"/>
    <w:basedOn w:val="1016"/>
    <w:next w:val="1016"/>
    <w:uiPriority w:val="39"/>
    <w:unhideWhenUsed/>
    <w:pPr>
      <w:ind w:left="1417" w:right="0" w:firstLine="0"/>
      <w:spacing w:after="57"/>
    </w:pPr>
  </w:style>
  <w:style w:type="paragraph" w:styleId="1012">
    <w:name w:val="toc 7"/>
    <w:basedOn w:val="1016"/>
    <w:next w:val="1016"/>
    <w:uiPriority w:val="39"/>
    <w:unhideWhenUsed/>
    <w:pPr>
      <w:ind w:left="1701" w:right="0" w:firstLine="0"/>
      <w:spacing w:after="57"/>
    </w:pPr>
  </w:style>
  <w:style w:type="paragraph" w:styleId="1013">
    <w:name w:val="toc 8"/>
    <w:basedOn w:val="1016"/>
    <w:next w:val="1016"/>
    <w:uiPriority w:val="39"/>
    <w:unhideWhenUsed/>
    <w:pPr>
      <w:ind w:left="1984" w:right="0" w:firstLine="0"/>
      <w:spacing w:after="57"/>
    </w:pPr>
  </w:style>
  <w:style w:type="paragraph" w:styleId="1014">
    <w:name w:val="toc 9"/>
    <w:basedOn w:val="1016"/>
    <w:next w:val="1016"/>
    <w:uiPriority w:val="39"/>
    <w:unhideWhenUsed/>
    <w:pPr>
      <w:ind w:left="2268" w:right="0" w:firstLine="0"/>
      <w:spacing w:after="57"/>
    </w:pPr>
  </w:style>
  <w:style w:type="paragraph" w:styleId="1015">
    <w:name w:val="TOC Heading"/>
    <w:uiPriority w:val="39"/>
    <w:unhideWhenUsed/>
  </w:style>
  <w:style w:type="paragraph" w:styleId="1016" w:default="1">
    <w:name w:val="Normal"/>
    <w:next w:val="102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17">
    <w:name w:val="Heading 2"/>
    <w:basedOn w:val="1016"/>
    <w:next w:val="101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018">
    <w:name w:val="Heading 3"/>
    <w:basedOn w:val="1016"/>
    <w:next w:val="1016"/>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019" w:default="1">
    <w:name w:val="Default Paragraph Font"/>
    <w:uiPriority w:val="0"/>
    <w:semiHidden/>
    <w:qFormat/>
  </w:style>
  <w:style w:type="table" w:styleId="1020" w:default="1">
    <w:name w:val="Normal Table"/>
    <w:uiPriority w:val="0"/>
    <w:semiHidden/>
    <w:qFormat/>
    <w:tblPr>
      <w:tblCellMar>
        <w:left w:w="108" w:type="dxa"/>
        <w:top w:w="0" w:type="dxa"/>
        <w:right w:w="108" w:type="dxa"/>
        <w:bottom w:w="0" w:type="dxa"/>
      </w:tblCellMar>
    </w:tblPr>
  </w:style>
  <w:style w:type="paragraph" w:styleId="1021"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1022">
    <w:name w:val="annotation text"/>
    <w:basedOn w:val="1016"/>
    <w:uiPriority w:val="0"/>
    <w:semiHidden/>
    <w:unhideWhenUsed/>
    <w:qFormat/>
    <w:pPr>
      <w:jc w:val="left"/>
    </w:pPr>
  </w:style>
  <w:style w:type="paragraph" w:styleId="1023">
    <w:name w:val="Body Text"/>
    <w:basedOn w:val="1016"/>
    <w:uiPriority w:val="0"/>
    <w:unhideWhenUsed/>
    <w:qFormat/>
    <w:pPr>
      <w:spacing w:after="120"/>
    </w:pPr>
    <w:rPr>
      <w:rFonts w:ascii="Calibri" w:hAnsi="Calibri" w:eastAsia="宋体" w:cs="Times New Roman"/>
    </w:rPr>
  </w:style>
  <w:style w:type="paragraph" w:styleId="1024">
    <w:name w:val="Body Text Indent"/>
    <w:basedOn w:val="1016"/>
    <w:next w:val="1025"/>
    <w:uiPriority w:val="0"/>
    <w:unhideWhenUsed/>
    <w:qFormat/>
    <w:pPr>
      <w:ind w:left="420"/>
      <w:spacing w:after="120"/>
    </w:pPr>
  </w:style>
  <w:style w:type="paragraph" w:styleId="1025">
    <w:name w:val="envelope return"/>
    <w:basedOn w:val="1016"/>
    <w:uiPriority w:val="0"/>
    <w:qFormat/>
    <w:rPr>
      <w:rFonts w:ascii="Arial" w:hAnsi="Arial" w:eastAsia="宋体" w:cs="宋体"/>
    </w:rPr>
  </w:style>
  <w:style w:type="paragraph" w:styleId="1026">
    <w:name w:val="Footer"/>
    <w:basedOn w:val="1016"/>
    <w:uiPriority w:val="99"/>
    <w:unhideWhenUsed/>
    <w:qFormat/>
    <w:pPr>
      <w:spacing w:line="240" w:lineRule="auto"/>
      <w:tabs>
        <w:tab w:val="center" w:pos="7143" w:leader="none"/>
        <w:tab w:val="right" w:pos="14287" w:leader="none"/>
      </w:tabs>
    </w:pPr>
  </w:style>
  <w:style w:type="paragraph" w:styleId="1027">
    <w:name w:val="Header"/>
    <w:basedOn w:val="10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28">
    <w:name w:val="table of figures"/>
    <w:basedOn w:val="1016"/>
    <w:next w:val="1016"/>
    <w:uiPriority w:val="99"/>
    <w:unhideWhenUsed/>
    <w:qFormat/>
  </w:style>
  <w:style w:type="paragraph" w:styleId="1029">
    <w:name w:val="Normal (Web)"/>
    <w:basedOn w:val="1016"/>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1030">
    <w:name w:val="Body Text First Indent 2"/>
    <w:basedOn w:val="1024"/>
    <w:next w:val="1016"/>
    <w:uiPriority w:val="0"/>
    <w:qFormat/>
    <w:pPr>
      <w:ind w:left="0" w:firstLine="420"/>
      <w:spacing w:after="0" w:line="360" w:lineRule="auto"/>
    </w:pPr>
    <w:rPr>
      <w:rFonts w:ascii="宋体" w:hAnsi="宋体" w:eastAsia="宋体" w:cs="Times New Roman"/>
      <w:szCs w:val="20"/>
    </w:rPr>
  </w:style>
  <w:style w:type="table" w:styleId="10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2">
    <w:name w:val="Strong"/>
    <w:basedOn w:val="1019"/>
    <w:uiPriority w:val="0"/>
    <w:qFormat/>
    <w:rPr>
      <w:b/>
    </w:rPr>
  </w:style>
  <w:style w:type="character" w:styleId="1033">
    <w:name w:val="Emphasis"/>
    <w:uiPriority w:val="0"/>
    <w:qFormat/>
    <w:rPr>
      <w:i/>
    </w:rPr>
  </w:style>
  <w:style w:type="paragraph" w:styleId="1034"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1035" w:customStyle="1">
    <w:name w:val="Table Grid"/>
    <w:uiPriority w:val="0"/>
    <w:qFormat/>
    <w:rPr>
      <w:sz w:val="20"/>
      <w:szCs w:val="20"/>
    </w:rPr>
    <w:tblPr>
      <w:tblCellMar>
        <w:left w:w="0" w:type="dxa"/>
        <w:top w:w="0" w:type="dxa"/>
        <w:right w:w="0" w:type="dxa"/>
        <w:bottom w:w="0" w:type="dxa"/>
      </w:tblCellMar>
    </w:tblPr>
  </w:style>
  <w:style w:type="character" w:styleId="1036" w:customStyle="1">
    <w:name w:val="font31"/>
    <w:basedOn w:val="1019"/>
    <w:uiPriority w:val="0"/>
    <w:qFormat/>
    <w:rPr>
      <w:rFonts w:hint="default" w:ascii="Times New Roman" w:hAnsi="Times New Roman" w:cs="Times New Roman"/>
      <w:color w:val="000000"/>
      <w:sz w:val="20"/>
      <w:szCs w:val="20"/>
      <w:u w:val="none"/>
    </w:rPr>
  </w:style>
  <w:style w:type="character" w:styleId="1037" w:customStyle="1">
    <w:name w:val="font11"/>
    <w:basedOn w:val="1019"/>
    <w:uiPriority w:val="0"/>
    <w:qFormat/>
    <w:rPr>
      <w:rFonts w:hint="default" w:ascii="方正仿宋_GBK" w:hAnsi="方正仿宋_GBK" w:eastAsia="方正仿宋_GBK" w:cs="方正仿宋_GBK"/>
      <w:color w:val="000000"/>
      <w:sz w:val="20"/>
      <w:szCs w:val="20"/>
      <w:u w:val="none"/>
    </w:rPr>
  </w:style>
  <w:style w:type="table" w:styleId="1038" w:customStyle="1">
    <w:name w:val="Table Normal"/>
    <w:uiPriority w:val="0"/>
    <w:qFormat/>
    <w:tblPr>
      <w:tblCellMar>
        <w:left w:w="0" w:type="dxa"/>
        <w:top w:w="0" w:type="dxa"/>
        <w:right w:w="0" w:type="dxa"/>
        <w:bottom w:w="0" w:type="dxa"/>
      </w:tblCellMar>
    </w:tblPr>
  </w:style>
  <w:style w:type="paragraph" w:styleId="1039"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1040" w:customStyle="1">
    <w:name w:val="标题 11"/>
    <w:basedOn w:val="1016"/>
    <w:next w:val="1016"/>
    <w:uiPriority w:val="0"/>
    <w:qFormat/>
    <w:pPr>
      <w:numPr>
        <w:ilvl w:val="0"/>
        <w:numId w:val="1"/>
      </w:numPr>
      <w:jc w:val="center"/>
      <w:keepLines/>
      <w:keepNext/>
      <w:outlineLvl w:val="0"/>
    </w:pPr>
    <w:rPr>
      <w:rFonts w:eastAsia="黑体"/>
      <w:b/>
      <w:sz w:val="36"/>
      <w:szCs w:val="20"/>
    </w:rPr>
  </w:style>
  <w:style w:type="paragraph" w:styleId="1041" w:customStyle="1">
    <w:name w:val="页脚1"/>
    <w:basedOn w:val="1016"/>
    <w:uiPriority w:val="99"/>
    <w:qFormat/>
    <w:pPr>
      <w:jc w:val="left"/>
      <w:tabs>
        <w:tab w:val="center" w:pos="4153" w:leader="none"/>
        <w:tab w:val="right" w:pos="8306" w:leader="none"/>
      </w:tabs>
    </w:pPr>
    <w:rPr>
      <w:rFonts w:ascii="宋体" w:hAnsi="Courier New"/>
      <w:sz w:val="18"/>
      <w:szCs w:val="20"/>
    </w:rPr>
  </w:style>
  <w:style w:type="paragraph" w:styleId="1042" w:customStyle="1">
    <w:name w:val="正文首行缩进11"/>
    <w:basedOn w:val="1043"/>
    <w:uiPriority w:val="0"/>
    <w:qFormat/>
    <w:pPr>
      <w:ind w:firstLine="200"/>
      <w:spacing w:line="360" w:lineRule="auto"/>
    </w:pPr>
    <w:rPr>
      <w:rFonts w:ascii="仿宋_GB2312" w:hAnsi="Times New Roman" w:eastAsia="仿宋_GB2312"/>
      <w:sz w:val="30"/>
      <w:szCs w:val="30"/>
    </w:rPr>
  </w:style>
  <w:style w:type="paragraph" w:styleId="1043" w:customStyle="1">
    <w:name w:val="正文文本11"/>
    <w:basedOn w:val="1016"/>
    <w:next w:val="1016"/>
    <w:uiPriority w:val="0"/>
    <w:qFormat/>
    <w:rPr>
      <w:rFonts w:ascii="楷体_GB2312" w:hAnsi="Arial" w:eastAsia="楷体_GB2312"/>
      <w:sz w:val="28"/>
      <w:szCs w:val="28"/>
      <w:lang w:eastAsia="en-US"/>
    </w:rPr>
  </w:style>
  <w:style w:type="paragraph" w:styleId="1044" w:customStyle="1">
    <w:name w:val="标题 211"/>
    <w:basedOn w:val="1016"/>
    <w:next w:val="1016"/>
    <w:uiPriority w:val="0"/>
    <w:qFormat/>
    <w:pPr>
      <w:numPr>
        <w:ilvl w:val="1"/>
        <w:numId w:val="2"/>
      </w:numPr>
      <w:keepNext/>
      <w:outlineLvl w:val="1"/>
    </w:pPr>
    <w:rPr>
      <w:rFonts w:eastAsia="黑体"/>
      <w:b/>
      <w:sz w:val="28"/>
      <w:szCs w:val="20"/>
    </w:rPr>
  </w:style>
  <w:style w:type="paragraph" w:styleId="1045" w:customStyle="1">
    <w:name w:val="_Style 3"/>
    <w:next w:val="1046"/>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正文文本缩进 31"/>
    <w:basedOn w:val="1016"/>
    <w:uiPriority w:val="0"/>
    <w:qFormat/>
    <w:pPr>
      <w:ind w:left="360"/>
      <w:spacing w:line="400" w:lineRule="exact"/>
    </w:pPr>
    <w:rPr>
      <w:sz w:val="24"/>
    </w:rPr>
  </w:style>
  <w:style w:type="paragraph" w:styleId="1047" w:customStyle="1">
    <w:name w:val="标题 21"/>
    <w:basedOn w:val="1016"/>
    <w:next w:val="1016"/>
    <w:uiPriority w:val="0"/>
    <w:qFormat/>
    <w:pPr>
      <w:numPr>
        <w:ilvl w:val="1"/>
        <w:numId w:val="1"/>
      </w:numPr>
      <w:keepNext/>
      <w:outlineLvl w:val="1"/>
    </w:pPr>
    <w:rPr>
      <w:rFonts w:eastAsia="黑体"/>
      <w:b/>
      <w:sz w:val="28"/>
      <w:szCs w:val="20"/>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3</cp:revision>
  <dcterms:created xsi:type="dcterms:W3CDTF">2026-03-26T06:06:00Z</dcterms:created>
  <dcterms:modified xsi:type="dcterms:W3CDTF">2026-06-15T06:40:02Z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4D62A4C7F47645EFBCEF755D6E02C903_13</vt:lpwstr>
  </property>
  <property fmtid="{D5CDD505-2E9C-101B-9397-08002B2CF9AE}" pid="4" name="KSOTemplateDocerSaveRecord">
    <vt:lpwstr>eyJoZGlkIjoiNGMyZTAxYjFiMzQyMGM3ZDRhNThhNjRlZjU1ZTkxNTQiLCJ1c2VySWQiOiIyNTE2ODA5NDIifQ==</vt:lpwstr>
  </property>
</Properties>
</file>