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61"/>
        <w:spacing w:line="360" w:lineRule="auto"/>
        <w:rPr>
          <w:b/>
          <w:bCs/>
          <w:sz w:val="72"/>
          <w:szCs w:val="72"/>
        </w:rPr>
      </w:pPr>
      <w:r>
        <w:rPr>
          <w:b/>
          <w:bCs/>
          <w:sz w:val="72"/>
          <w:szCs w:val="72"/>
        </w:rPr>
      </w:r>
      <w:r/>
    </w:p>
    <w:p>
      <w:pPr>
        <w:pStyle w:val="1561"/>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561"/>
        <w:jc w:val="center"/>
        <w:spacing w:line="360" w:lineRule="auto"/>
        <w:rPr>
          <w:rFonts w:hint="eastAsia" w:eastAsia="华文中宋"/>
          <w:b/>
          <w:sz w:val="52"/>
          <w:szCs w:val="52"/>
          <w:lang w:eastAsia="zh-CN"/>
        </w:rPr>
      </w:pPr>
      <w:r>
        <w:rPr>
          <w:rFonts w:hint="eastAsia" w:eastAsia="华文中宋"/>
          <w:b/>
          <w:sz w:val="52"/>
          <w:szCs w:val="52"/>
          <w:lang w:eastAsia="zh-CN"/>
        </w:rPr>
        <w:t xml:space="preserve">江苏省环境监测中心</w:t>
      </w:r>
      <w:r>
        <w:rPr>
          <w:rFonts w:hint="eastAsia" w:eastAsia="华文中宋"/>
          <w:b/>
          <w:sz w:val="52"/>
          <w:szCs w:val="52"/>
          <w:lang w:eastAsia="zh-CN"/>
        </w:rPr>
      </w:r>
      <w:r/>
    </w:p>
    <w:p>
      <w:pPr>
        <w:pStyle w:val="1561"/>
        <w:jc w:val="center"/>
        <w:spacing w:line="360" w:lineRule="auto"/>
        <w:rPr>
          <w:rFonts w:hint="eastAsia" w:eastAsia="华文中宋"/>
          <w:b/>
          <w:sz w:val="52"/>
          <w:szCs w:val="52"/>
        </w:rPr>
      </w:pPr>
      <w:r>
        <w:rPr>
          <w:rFonts w:hint="eastAsia" w:eastAsia="华文中宋"/>
          <w:b/>
          <w:sz w:val="52"/>
          <w:szCs w:val="52"/>
        </w:rPr>
      </w:r>
      <w:r/>
    </w:p>
    <w:p>
      <w:pPr>
        <w:pStyle w:val="1561"/>
        <w:jc w:val="center"/>
        <w:spacing w:line="360" w:lineRule="auto"/>
        <w:rPr>
          <w:rFonts w:hint="eastAsia" w:eastAsia="华文中宋"/>
          <w:bCs/>
          <w:sz w:val="56"/>
          <w:szCs w:val="16"/>
          <w:lang w:eastAsia="zh-CN"/>
        </w:rPr>
      </w:pPr>
      <w:r>
        <w:rPr>
          <w:rFonts w:hint="eastAsia" w:eastAsia="华文中宋"/>
          <w:b/>
          <w:sz w:val="44"/>
          <w:szCs w:val="44"/>
          <w:lang w:eastAsia="zh-CN"/>
        </w:rPr>
        <w:t xml:space="preserve">2026年度江苏省新生产销售机动</w:t>
      </w:r>
      <w:r>
        <w:rPr>
          <w:rFonts w:hint="eastAsia" w:eastAsia="华文中宋"/>
          <w:b/>
          <w:sz w:val="44"/>
          <w:szCs w:val="44"/>
          <w:lang w:val="en-US" w:eastAsia="zh-CN"/>
        </w:rPr>
        <w:t xml:space="preserve">车</w:t>
      </w:r>
      <w:r>
        <w:rPr>
          <w:rFonts w:hint="eastAsia" w:eastAsia="华文中宋"/>
          <w:b/>
          <w:sz w:val="44"/>
          <w:szCs w:val="44"/>
          <w:lang w:eastAsia="zh-CN"/>
        </w:rPr>
        <w:t xml:space="preserve">和非道路移动机械环保达标抽查核验项目</w:t>
      </w:r>
      <w:r>
        <w:rPr>
          <w:rFonts w:hint="eastAsia" w:eastAsia="华文中宋"/>
          <w:bCs/>
          <w:sz w:val="56"/>
          <w:szCs w:val="16"/>
          <w:lang w:eastAsia="zh-CN"/>
        </w:rPr>
      </w:r>
      <w:r/>
    </w:p>
    <w:p>
      <w:pPr>
        <w:pStyle w:val="1561"/>
        <w:jc w:val="center"/>
        <w:spacing w:line="360" w:lineRule="auto"/>
        <w:rPr>
          <w:b/>
          <w:sz w:val="72"/>
          <w:szCs w:val="72"/>
        </w:rPr>
      </w:pPr>
      <w:r>
        <w:rPr>
          <w:b/>
          <w:sz w:val="72"/>
          <w:szCs w:val="72"/>
        </w:rPr>
      </w:r>
      <w:r/>
    </w:p>
    <w:p>
      <w:pPr>
        <w:pStyle w:val="1561"/>
        <w:jc w:val="center"/>
        <w:spacing w:line="360" w:lineRule="auto"/>
        <w:rPr>
          <w:b/>
          <w:sz w:val="84"/>
          <w:szCs w:val="84"/>
        </w:rPr>
      </w:pPr>
      <w:r>
        <w:rPr>
          <w:b/>
          <w:sz w:val="84"/>
          <w:szCs w:val="84"/>
        </w:rPr>
        <w:t xml:space="preserve">招标文件</w:t>
      </w:r>
      <w:r>
        <w:rPr>
          <w:b/>
          <w:sz w:val="84"/>
          <w:szCs w:val="84"/>
        </w:rPr>
      </w:r>
      <w:r/>
    </w:p>
    <w:p>
      <w:pPr>
        <w:pStyle w:val="1561"/>
        <w:jc w:val="center"/>
        <w:spacing w:line="360" w:lineRule="auto"/>
        <w:rPr>
          <w:bCs/>
          <w:sz w:val="36"/>
        </w:rPr>
      </w:pPr>
      <w:r>
        <w:rPr>
          <w:bCs/>
          <w:sz w:val="36"/>
        </w:rPr>
      </w:r>
      <w:r/>
    </w:p>
    <w:p>
      <w:pPr>
        <w:pStyle w:val="1561"/>
        <w:jc w:val="center"/>
        <w:spacing w:line="440" w:lineRule="exact"/>
        <w:rPr>
          <w:bCs/>
          <w:sz w:val="36"/>
        </w:rPr>
      </w:pPr>
      <w:r>
        <w:rPr>
          <w:bCs/>
          <w:sz w:val="36"/>
        </w:rPr>
      </w:r>
      <w:r/>
    </w:p>
    <w:p>
      <w:pPr>
        <w:pStyle w:val="1630"/>
        <w:ind w:firstLine="0"/>
      </w:pPr>
      <w:r/>
      <w:r/>
    </w:p>
    <w:p>
      <w:pPr>
        <w:pStyle w:val="1561"/>
        <w:ind w:left="1277" w:firstLine="0"/>
        <w:rPr>
          <w:b/>
          <w:sz w:val="32"/>
          <w:szCs w:val="32"/>
          <w:highlight w:val="none"/>
        </w:rPr>
      </w:pPr>
      <w:r>
        <w:rPr>
          <w:b/>
          <w:sz w:val="32"/>
          <w:szCs w:val="32"/>
        </w:rPr>
        <w:t xml:space="preserve">项</w:t>
      </w:r>
      <w:r>
        <w:rPr>
          <w:b/>
          <w:sz w:val="32"/>
          <w:szCs w:val="32"/>
          <w:highlight w:val="none"/>
        </w:rPr>
        <w:t xml:space="preserve">目编号：</w:t>
      </w:r>
      <w:r>
        <w:rPr>
          <w:rFonts w:hint="eastAsia"/>
          <w:b/>
          <w:sz w:val="32"/>
          <w:szCs w:val="32"/>
          <w:highlight w:val="none"/>
          <w:lang w:eastAsia="zh-CN"/>
        </w:rPr>
        <w:t xml:space="preserve">JSZC-320000-SMDY-G2026-0052</w:t>
      </w:r>
      <w:r>
        <w:rPr>
          <w:b/>
          <w:sz w:val="32"/>
          <w:szCs w:val="32"/>
          <w:highlight w:val="none"/>
        </w:rPr>
        <w:t xml:space="preserve">（</w:t>
      </w:r>
      <w:r>
        <w:rPr>
          <w:rFonts w:hint="eastAsia"/>
          <w:b/>
          <w:sz w:val="32"/>
          <w:szCs w:val="32"/>
          <w:highlight w:val="none"/>
          <w:lang w:eastAsia="zh-CN"/>
        </w:rPr>
        <w:t xml:space="preserve">2640SUMEC/ZWGG2088</w:t>
      </w:r>
      <w:r>
        <w:rPr>
          <w:b/>
          <w:sz w:val="32"/>
          <w:szCs w:val="32"/>
          <w:highlight w:val="none"/>
        </w:rPr>
        <w:t xml:space="preserve">）</w:t>
      </w:r>
      <w:r>
        <w:rPr>
          <w:b/>
          <w:sz w:val="32"/>
          <w:szCs w:val="32"/>
          <w:highlight w:val="none"/>
        </w:rPr>
      </w:r>
      <w:r/>
    </w:p>
    <w:p>
      <w:pPr>
        <w:pStyle w:val="1561"/>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江苏省环境监测中心</w:t>
      </w:r>
      <w:r>
        <w:rPr>
          <w:rFonts w:hint="eastAsia" w:eastAsia="宋体"/>
          <w:b/>
          <w:sz w:val="32"/>
          <w:szCs w:val="32"/>
          <w:lang w:eastAsia="zh-CN"/>
        </w:rPr>
      </w:r>
      <w:r/>
    </w:p>
    <w:p>
      <w:pPr>
        <w:pStyle w:val="1561"/>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630"/>
        <w:ind w:firstLine="0"/>
      </w:pPr>
      <w:r/>
      <w:r/>
    </w:p>
    <w:p>
      <w:pPr>
        <w:pStyle w:val="1561"/>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6</w:t>
      </w:r>
      <w:r>
        <w:rPr>
          <w:b/>
          <w:sz w:val="36"/>
          <w:szCs w:val="36"/>
        </w:rPr>
        <w:t xml:space="preserve">月</w:t>
      </w:r>
      <w:r>
        <w:rPr>
          <w:b/>
          <w:sz w:val="36"/>
          <w:szCs w:val="36"/>
        </w:rPr>
      </w:r>
      <w:r/>
    </w:p>
    <w:p>
      <w:pPr>
        <w:pStyle w:val="1561"/>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561"/>
        <w:jc w:val="center"/>
        <w:spacing w:line="440" w:lineRule="exact"/>
        <w:rPr>
          <w:b/>
          <w:sz w:val="32"/>
        </w:rPr>
      </w:pPr>
      <w:r>
        <w:rPr>
          <w:b/>
          <w:sz w:val="32"/>
        </w:rPr>
        <w:t xml:space="preserve">目   录</w:t>
      </w:r>
      <w:r>
        <w:rPr>
          <w:b/>
          <w:sz w:val="32"/>
        </w:rPr>
      </w:r>
      <w:r/>
    </w:p>
    <w:p>
      <w:pPr>
        <w:pStyle w:val="1614"/>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_Toc19798 </w:instrText>
      </w:r>
      <w:r>
        <w:rPr>
          <w:bCs/>
        </w:rPr>
        <w:fldChar w:fldCharType="separate"/>
      </w:r>
      <w:r>
        <w:rPr>
          <w:szCs w:val="28"/>
        </w:rPr>
        <w:t xml:space="preserve">第一章 投标邀请（招标公告）</w:t>
      </w:r>
      <w:r>
        <w:tab/>
      </w:r>
      <w:r>
        <w:fldChar w:fldCharType="begin"/>
      </w:r>
      <w:r>
        <w:instrText xml:space="preserve"> PAGEREF _Toc19798 \h </w:instrText>
      </w:r>
      <w:r>
        <w:fldChar w:fldCharType="separate"/>
      </w:r>
      <w:r>
        <w:t xml:space="preserve">1</w:t>
      </w:r>
      <w:r>
        <w:fldChar w:fldCharType="end"/>
      </w:r>
      <w:r>
        <w:rPr>
          <w:bCs/>
        </w:rPr>
        <w:fldChar w:fldCharType="end"/>
      </w:r>
      <w:r/>
    </w:p>
    <w:p>
      <w:pPr>
        <w:pStyle w:val="1614"/>
        <w:tabs>
          <w:tab w:val="right" w:pos="9638" w:leader="dot"/>
        </w:tabs>
      </w:pPr>
      <w:r>
        <w:rPr>
          <w:bCs/>
        </w:rPr>
        <w:fldChar w:fldCharType="begin"/>
      </w:r>
      <w:r>
        <w:rPr>
          <w:bCs/>
        </w:rPr>
        <w:instrText xml:space="preserve"> HYPERLINK \l _Toc13918 </w:instrText>
      </w:r>
      <w:r>
        <w:rPr>
          <w:bCs/>
        </w:rPr>
        <w:fldChar w:fldCharType="separate"/>
      </w:r>
      <w:r>
        <w:rPr>
          <w:szCs w:val="28"/>
        </w:rPr>
        <w:t xml:space="preserve">第二章 投标人须知</w:t>
      </w:r>
      <w:r>
        <w:tab/>
      </w:r>
      <w:r>
        <w:fldChar w:fldCharType="begin"/>
      </w:r>
      <w:r>
        <w:instrText xml:space="preserve"> PAGEREF _Toc13918 \h </w:instrText>
      </w:r>
      <w:r>
        <w:fldChar w:fldCharType="separate"/>
      </w:r>
      <w:r>
        <w:t xml:space="preserve">5</w:t>
      </w:r>
      <w:r>
        <w:fldChar w:fldCharType="end"/>
      </w:r>
      <w:r>
        <w:rPr>
          <w:bCs/>
        </w:rPr>
        <w:fldChar w:fldCharType="end"/>
      </w:r>
      <w:r/>
    </w:p>
    <w:p>
      <w:pPr>
        <w:pStyle w:val="1621"/>
        <w:tabs>
          <w:tab w:val="right" w:pos="9638" w:leader="dot"/>
        </w:tabs>
      </w:pPr>
      <w:r>
        <w:rPr>
          <w:bCs/>
        </w:rPr>
        <w:fldChar w:fldCharType="begin"/>
      </w:r>
      <w:r>
        <w:rPr>
          <w:bCs/>
        </w:rPr>
        <w:instrText xml:space="preserve"> HYPERLINK \l _Toc15003 </w:instrText>
      </w:r>
      <w:r>
        <w:rPr>
          <w:bCs/>
        </w:rPr>
        <w:fldChar w:fldCharType="separate"/>
      </w:r>
      <w:r>
        <w:rPr>
          <w:bCs/>
          <w:szCs w:val="21"/>
        </w:rPr>
        <w:t xml:space="preserve">一、总则</w:t>
      </w:r>
      <w:r>
        <w:tab/>
      </w:r>
      <w:r>
        <w:fldChar w:fldCharType="begin"/>
      </w:r>
      <w:r>
        <w:instrText xml:space="preserve"> PAGEREF _Toc15003 \h </w:instrText>
      </w:r>
      <w:r>
        <w:fldChar w:fldCharType="separate"/>
      </w:r>
      <w:r>
        <w:t xml:space="preserve">7</w:t>
      </w:r>
      <w:r>
        <w:fldChar w:fldCharType="end"/>
      </w:r>
      <w:r>
        <w:rPr>
          <w:bCs/>
        </w:rPr>
        <w:fldChar w:fldCharType="end"/>
      </w:r>
      <w:r/>
    </w:p>
    <w:p>
      <w:pPr>
        <w:pStyle w:val="1599"/>
        <w:tabs>
          <w:tab w:val="right" w:pos="9638" w:leader="dot"/>
        </w:tabs>
      </w:pPr>
      <w:r>
        <w:rPr>
          <w:bCs/>
        </w:rPr>
        <w:fldChar w:fldCharType="begin"/>
      </w:r>
      <w:r>
        <w:rPr>
          <w:bCs/>
        </w:rPr>
        <w:instrText xml:space="preserve"> HYPERLINK \l _Toc13014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_Toc13014 \h </w:instrText>
      </w:r>
      <w:r>
        <w:fldChar w:fldCharType="separate"/>
      </w:r>
      <w:r>
        <w:t xml:space="preserve">7</w:t>
      </w:r>
      <w:r>
        <w:fldChar w:fldCharType="end"/>
      </w:r>
      <w:r>
        <w:rPr>
          <w:bCs/>
        </w:rPr>
        <w:fldChar w:fldCharType="end"/>
      </w:r>
      <w:r/>
    </w:p>
    <w:p>
      <w:pPr>
        <w:pStyle w:val="1599"/>
        <w:tabs>
          <w:tab w:val="right" w:pos="9638" w:leader="dot"/>
        </w:tabs>
      </w:pPr>
      <w:r>
        <w:rPr>
          <w:bCs/>
        </w:rPr>
        <w:fldChar w:fldCharType="begin"/>
      </w:r>
      <w:r>
        <w:rPr>
          <w:bCs/>
        </w:rPr>
        <w:instrText xml:space="preserve"> HYPERLINK \l _Toc12922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_Toc12922 \h </w:instrText>
      </w:r>
      <w:r>
        <w:fldChar w:fldCharType="separate"/>
      </w:r>
      <w:r>
        <w:t xml:space="preserve">7</w:t>
      </w:r>
      <w:r>
        <w:fldChar w:fldCharType="end"/>
      </w:r>
      <w:r>
        <w:rPr>
          <w:bCs/>
        </w:rPr>
        <w:fldChar w:fldCharType="end"/>
      </w:r>
      <w:r/>
    </w:p>
    <w:p>
      <w:pPr>
        <w:pStyle w:val="1599"/>
        <w:tabs>
          <w:tab w:val="right" w:pos="9638" w:leader="dot"/>
        </w:tabs>
      </w:pPr>
      <w:r>
        <w:rPr>
          <w:bCs/>
        </w:rPr>
        <w:fldChar w:fldCharType="begin"/>
      </w:r>
      <w:r>
        <w:rPr>
          <w:bCs/>
        </w:rPr>
        <w:instrText xml:space="preserve"> HYPERLINK \l _Toc21765 </w:instrText>
      </w:r>
      <w:r>
        <w:rPr>
          <w:bCs/>
        </w:rPr>
        <w:fldChar w:fldCharType="separate"/>
      </w:r>
      <w:r>
        <w:rPr>
          <w:szCs w:val="21"/>
        </w:rPr>
        <w:t xml:space="preserve">3.政策功能</w:t>
      </w:r>
      <w:r>
        <w:tab/>
      </w:r>
      <w:r>
        <w:fldChar w:fldCharType="begin"/>
      </w:r>
      <w:r>
        <w:instrText xml:space="preserve"> PAGEREF _Toc21765 \h </w:instrText>
      </w:r>
      <w:r>
        <w:fldChar w:fldCharType="separate"/>
      </w:r>
      <w:r>
        <w:t xml:space="preserve">7</w:t>
      </w:r>
      <w:r>
        <w:fldChar w:fldCharType="end"/>
      </w:r>
      <w:r>
        <w:rPr>
          <w:bCs/>
        </w:rPr>
        <w:fldChar w:fldCharType="end"/>
      </w:r>
      <w:r/>
    </w:p>
    <w:p>
      <w:pPr>
        <w:pStyle w:val="1599"/>
        <w:tabs>
          <w:tab w:val="right" w:pos="9638" w:leader="dot"/>
        </w:tabs>
      </w:pPr>
      <w:r>
        <w:rPr>
          <w:bCs/>
        </w:rPr>
        <w:fldChar w:fldCharType="begin"/>
      </w:r>
      <w:r>
        <w:rPr>
          <w:bCs/>
        </w:rPr>
        <w:instrText xml:space="preserve"> HYPERLINK \l _Toc14774 </w:instrText>
      </w:r>
      <w:r>
        <w:rPr>
          <w:bCs/>
        </w:rPr>
        <w:fldChar w:fldCharType="separate"/>
      </w:r>
      <w:r>
        <w:rPr>
          <w:rFonts w:ascii="Times New Roman" w:hAnsi="Times New Roman" w:cs="Times New Roman"/>
          <w:szCs w:val="21"/>
          <w:lang w:val="zh-CN"/>
        </w:rPr>
        <w:t xml:space="preserve">具体内容详见第三章 评标标准。</w:t>
      </w:r>
      <w:r>
        <w:tab/>
      </w:r>
      <w:r>
        <w:fldChar w:fldCharType="begin"/>
      </w:r>
      <w:r>
        <w:instrText xml:space="preserve"> PAGEREF _Toc14774 \h </w:instrText>
      </w:r>
      <w:r>
        <w:fldChar w:fldCharType="separate"/>
      </w:r>
      <w:r>
        <w:t xml:space="preserve">9</w:t>
      </w:r>
      <w:r>
        <w:fldChar w:fldCharType="end"/>
      </w:r>
      <w:r>
        <w:rPr>
          <w:bCs/>
        </w:rPr>
        <w:fldChar w:fldCharType="end"/>
      </w:r>
      <w:r/>
    </w:p>
    <w:p>
      <w:pPr>
        <w:pStyle w:val="1599"/>
        <w:tabs>
          <w:tab w:val="right" w:pos="9638" w:leader="dot"/>
        </w:tabs>
      </w:pPr>
      <w:r>
        <w:rPr>
          <w:bCs/>
        </w:rPr>
        <w:fldChar w:fldCharType="begin"/>
      </w:r>
      <w:r>
        <w:rPr>
          <w:bCs/>
        </w:rPr>
        <w:instrText xml:space="preserve"> HYPERLINK \l _Toc21658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_Toc21658 \h </w:instrText>
      </w:r>
      <w:r>
        <w:fldChar w:fldCharType="separate"/>
      </w:r>
      <w:r>
        <w:t xml:space="preserve">9</w:t>
      </w:r>
      <w:r>
        <w:fldChar w:fldCharType="end"/>
      </w:r>
      <w:r>
        <w:rPr>
          <w:bCs/>
        </w:rPr>
        <w:fldChar w:fldCharType="end"/>
      </w:r>
      <w:r/>
    </w:p>
    <w:p>
      <w:pPr>
        <w:pStyle w:val="1599"/>
        <w:tabs>
          <w:tab w:val="right" w:pos="9638" w:leader="dot"/>
        </w:tabs>
      </w:pPr>
      <w:r>
        <w:rPr>
          <w:bCs/>
        </w:rPr>
        <w:fldChar w:fldCharType="begin"/>
      </w:r>
      <w:r>
        <w:rPr>
          <w:bCs/>
        </w:rPr>
        <w:instrText xml:space="preserve"> HYPERLINK \l _Toc24375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_Toc24375 \h </w:instrText>
      </w:r>
      <w:r>
        <w:fldChar w:fldCharType="separate"/>
      </w:r>
      <w:r>
        <w:t xml:space="preserve">9</w:t>
      </w:r>
      <w:r>
        <w:fldChar w:fldCharType="end"/>
      </w:r>
      <w:r>
        <w:rPr>
          <w:bCs/>
        </w:rPr>
        <w:fldChar w:fldCharType="end"/>
      </w:r>
      <w:r/>
    </w:p>
    <w:p>
      <w:pPr>
        <w:pStyle w:val="1621"/>
        <w:tabs>
          <w:tab w:val="right" w:pos="9638" w:leader="dot"/>
        </w:tabs>
      </w:pPr>
      <w:r>
        <w:rPr>
          <w:bCs/>
        </w:rPr>
        <w:fldChar w:fldCharType="begin"/>
      </w:r>
      <w:r>
        <w:rPr>
          <w:bCs/>
        </w:rPr>
        <w:instrText xml:space="preserve"> HYPERLINK \l _Toc19188 </w:instrText>
      </w:r>
      <w:r>
        <w:rPr>
          <w:bCs/>
        </w:rPr>
        <w:fldChar w:fldCharType="separate"/>
      </w:r>
      <w:r>
        <w:rPr>
          <w:bCs/>
          <w:szCs w:val="21"/>
        </w:rPr>
        <w:t xml:space="preserve">二、招标文件</w:t>
      </w:r>
      <w:r>
        <w:tab/>
      </w:r>
      <w:r>
        <w:fldChar w:fldCharType="begin"/>
      </w:r>
      <w:r>
        <w:instrText xml:space="preserve"> PAGEREF _Toc19188 \h </w:instrText>
      </w:r>
      <w:r>
        <w:fldChar w:fldCharType="separate"/>
      </w:r>
      <w:r>
        <w:t xml:space="preserve">9</w:t>
      </w:r>
      <w:r>
        <w:fldChar w:fldCharType="end"/>
      </w:r>
      <w:r>
        <w:rPr>
          <w:bCs/>
        </w:rPr>
        <w:fldChar w:fldCharType="end"/>
      </w:r>
      <w:r/>
    </w:p>
    <w:p>
      <w:pPr>
        <w:pStyle w:val="1599"/>
        <w:tabs>
          <w:tab w:val="right" w:pos="9638" w:leader="dot"/>
        </w:tabs>
      </w:pPr>
      <w:r>
        <w:rPr>
          <w:bCs/>
        </w:rPr>
        <w:fldChar w:fldCharType="begin"/>
      </w:r>
      <w:r>
        <w:rPr>
          <w:bCs/>
        </w:rPr>
        <w:instrText xml:space="preserve"> HYPERLINK \l _Toc19627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_Toc19627 \h </w:instrText>
      </w:r>
      <w:r>
        <w:fldChar w:fldCharType="separate"/>
      </w:r>
      <w:r>
        <w:t xml:space="preserve">9</w:t>
      </w:r>
      <w:r>
        <w:fldChar w:fldCharType="end"/>
      </w:r>
      <w:r>
        <w:rPr>
          <w:bCs/>
        </w:rPr>
        <w:fldChar w:fldCharType="end"/>
      </w:r>
      <w:r/>
    </w:p>
    <w:p>
      <w:pPr>
        <w:pStyle w:val="1599"/>
        <w:tabs>
          <w:tab w:val="right" w:pos="9638" w:leader="dot"/>
        </w:tabs>
      </w:pPr>
      <w:r>
        <w:rPr>
          <w:bCs/>
        </w:rPr>
        <w:fldChar w:fldCharType="begin"/>
      </w:r>
      <w:r>
        <w:rPr>
          <w:bCs/>
        </w:rPr>
        <w:instrText xml:space="preserve"> HYPERLINK \l _Toc431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_Toc431 \h </w:instrText>
      </w:r>
      <w:r>
        <w:fldChar w:fldCharType="separate"/>
      </w:r>
      <w:r>
        <w:t xml:space="preserve">10</w:t>
      </w:r>
      <w:r>
        <w:fldChar w:fldCharType="end"/>
      </w:r>
      <w:r>
        <w:rPr>
          <w:bCs/>
        </w:rPr>
        <w:fldChar w:fldCharType="end"/>
      </w:r>
      <w:r/>
    </w:p>
    <w:p>
      <w:pPr>
        <w:pStyle w:val="1621"/>
        <w:tabs>
          <w:tab w:val="right" w:pos="9638" w:leader="dot"/>
        </w:tabs>
      </w:pPr>
      <w:r>
        <w:rPr>
          <w:bCs/>
        </w:rPr>
        <w:fldChar w:fldCharType="begin"/>
      </w:r>
      <w:r>
        <w:rPr>
          <w:bCs/>
        </w:rPr>
        <w:instrText xml:space="preserve"> HYPERLINK \l _Toc22876 </w:instrText>
      </w:r>
      <w:r>
        <w:rPr>
          <w:bCs/>
        </w:rPr>
        <w:fldChar w:fldCharType="separate"/>
      </w:r>
      <w:r>
        <w:rPr>
          <w:bCs/>
          <w:szCs w:val="21"/>
        </w:rPr>
        <w:t xml:space="preserve">三、投标文件的编制</w:t>
      </w:r>
      <w:r>
        <w:tab/>
      </w:r>
      <w:r>
        <w:fldChar w:fldCharType="begin"/>
      </w:r>
      <w:r>
        <w:instrText xml:space="preserve"> PAGEREF _Toc22876 \h </w:instrText>
      </w:r>
      <w:r>
        <w:fldChar w:fldCharType="separate"/>
      </w:r>
      <w:r>
        <w:t xml:space="preserve">10</w:t>
      </w:r>
      <w:r>
        <w:fldChar w:fldCharType="end"/>
      </w:r>
      <w:r>
        <w:rPr>
          <w:bCs/>
        </w:rPr>
        <w:fldChar w:fldCharType="end"/>
      </w:r>
      <w:r/>
    </w:p>
    <w:p>
      <w:pPr>
        <w:pStyle w:val="1599"/>
        <w:tabs>
          <w:tab w:val="right" w:pos="9638" w:leader="dot"/>
        </w:tabs>
      </w:pPr>
      <w:r>
        <w:rPr>
          <w:bCs/>
        </w:rPr>
        <w:fldChar w:fldCharType="begin"/>
      </w:r>
      <w:r>
        <w:rPr>
          <w:bCs/>
        </w:rPr>
        <w:instrText xml:space="preserve"> HYPERLINK \l _Toc16026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_Toc16026 \h </w:instrText>
      </w:r>
      <w:r>
        <w:fldChar w:fldCharType="separate"/>
      </w:r>
      <w:r>
        <w:t xml:space="preserve">10</w:t>
      </w:r>
      <w:r>
        <w:fldChar w:fldCharType="end"/>
      </w:r>
      <w:r>
        <w:rPr>
          <w:bCs/>
        </w:rPr>
        <w:fldChar w:fldCharType="end"/>
      </w:r>
      <w:r/>
    </w:p>
    <w:p>
      <w:pPr>
        <w:pStyle w:val="1599"/>
        <w:tabs>
          <w:tab w:val="right" w:pos="9638" w:leader="dot"/>
        </w:tabs>
      </w:pPr>
      <w:r>
        <w:rPr>
          <w:bCs/>
        </w:rPr>
        <w:fldChar w:fldCharType="begin"/>
      </w:r>
      <w:r>
        <w:rPr>
          <w:bCs/>
        </w:rPr>
        <w:instrText xml:space="preserve"> HYPERLINK \l _Toc6339 </w:instrText>
      </w:r>
      <w:r>
        <w:rPr>
          <w:bCs/>
        </w:rPr>
        <w:fldChar w:fldCharType="separate"/>
      </w:r>
      <w:r>
        <w:rPr>
          <w:bCs/>
          <w:szCs w:val="21"/>
        </w:rPr>
        <w:t xml:space="preserve">9.</w:t>
      </w:r>
      <w:r>
        <w:rPr>
          <w:szCs w:val="21"/>
          <w:lang w:val="zh-CN"/>
        </w:rPr>
        <w:t xml:space="preserve">联合体（</w:t>
      </w:r>
      <w:r>
        <w:rPr>
          <w:rFonts w:hint="eastAsia" w:ascii="宋体" w:hAnsi="宋体" w:cs="宋体"/>
          <w:bCs/>
          <w:szCs w:val="21"/>
        </w:rPr>
        <w:t xml:space="preserve">本项目</w:t>
      </w:r>
      <w:r>
        <w:rPr>
          <w:rFonts w:hint="eastAsia" w:ascii="宋体" w:hAnsi="宋体" w:cs="宋体"/>
          <w:bCs/>
          <w:szCs w:val="21"/>
          <w:lang w:val="en-US" w:eastAsia="zh-CN"/>
        </w:rPr>
        <w:t xml:space="preserve">不</w:t>
      </w:r>
      <w:r>
        <w:rPr>
          <w:rFonts w:hint="eastAsia" w:ascii="宋体" w:hAnsi="宋体" w:cs="宋体"/>
          <w:bCs/>
          <w:szCs w:val="21"/>
        </w:rPr>
        <w:t xml:space="preserve">接受联合体投标</w:t>
      </w:r>
      <w:r>
        <w:rPr>
          <w:szCs w:val="21"/>
          <w:lang w:val="zh-CN"/>
        </w:rPr>
        <w:t xml:space="preserve">）</w:t>
      </w:r>
      <w:r>
        <w:tab/>
      </w:r>
      <w:r>
        <w:fldChar w:fldCharType="begin"/>
      </w:r>
      <w:r>
        <w:instrText xml:space="preserve"> PAGEREF _Toc6339 \h </w:instrText>
      </w:r>
      <w:r>
        <w:fldChar w:fldCharType="separate"/>
      </w:r>
      <w:r>
        <w:t xml:space="preserve">11</w:t>
      </w:r>
      <w:r>
        <w:fldChar w:fldCharType="end"/>
      </w:r>
      <w:r>
        <w:rPr>
          <w:bCs/>
        </w:rPr>
        <w:fldChar w:fldCharType="end"/>
      </w:r>
      <w:r/>
    </w:p>
    <w:p>
      <w:pPr>
        <w:pStyle w:val="1599"/>
        <w:tabs>
          <w:tab w:val="right" w:pos="9638" w:leader="dot"/>
        </w:tabs>
      </w:pPr>
      <w:r>
        <w:rPr>
          <w:bCs/>
        </w:rPr>
        <w:fldChar w:fldCharType="begin"/>
      </w:r>
      <w:r>
        <w:rPr>
          <w:bCs/>
        </w:rPr>
        <w:instrText xml:space="preserve"> HYPERLINK \l _Toc16523 </w:instrText>
      </w:r>
      <w:r>
        <w:rPr>
          <w:bCs/>
        </w:rPr>
        <w:fldChar w:fldCharType="separate"/>
      </w:r>
      <w:r>
        <w:rPr>
          <w:rFonts w:ascii="Times New Roman" w:eastAsia="宋体"/>
          <w:bCs/>
          <w:szCs w:val="21"/>
        </w:rPr>
        <w:t xml:space="preserve">10.投标文件的组成</w:t>
      </w:r>
      <w:r>
        <w:tab/>
      </w:r>
      <w:r>
        <w:fldChar w:fldCharType="begin"/>
      </w:r>
      <w:r>
        <w:instrText xml:space="preserve"> PAGEREF _Toc16523 \h </w:instrText>
      </w:r>
      <w:r>
        <w:fldChar w:fldCharType="separate"/>
      </w:r>
      <w:r>
        <w:t xml:space="preserve">11</w:t>
      </w:r>
      <w:r>
        <w:fldChar w:fldCharType="end"/>
      </w:r>
      <w:r>
        <w:rPr>
          <w:bCs/>
        </w:rPr>
        <w:fldChar w:fldCharType="end"/>
      </w:r>
      <w:r/>
    </w:p>
    <w:p>
      <w:pPr>
        <w:pStyle w:val="1599"/>
        <w:tabs>
          <w:tab w:val="right" w:pos="9638" w:leader="dot"/>
        </w:tabs>
      </w:pPr>
      <w:r>
        <w:rPr>
          <w:bCs/>
        </w:rPr>
        <w:fldChar w:fldCharType="begin"/>
      </w:r>
      <w:r>
        <w:rPr>
          <w:bCs/>
        </w:rPr>
        <w:instrText xml:space="preserve"> HYPERLINK \l _Toc27290 </w:instrText>
      </w:r>
      <w:r>
        <w:rPr>
          <w:bCs/>
        </w:rPr>
        <w:fldChar w:fldCharType="separate"/>
      </w:r>
      <w:r>
        <w:rPr>
          <w:rFonts w:ascii="Times New Roman" w:eastAsia="宋体"/>
          <w:bCs/>
          <w:szCs w:val="21"/>
        </w:rPr>
        <w:t xml:space="preserve">11.投标保证金</w:t>
      </w:r>
      <w:r>
        <w:rPr>
          <w:rFonts w:hint="eastAsia" w:ascii="Times New Roman" w:eastAsia="宋体"/>
          <w:bCs/>
          <w:szCs w:val="21"/>
          <w:lang w:eastAsia="zh-CN"/>
        </w:rPr>
        <w:t xml:space="preserve">（</w:t>
      </w:r>
      <w:r>
        <w:rPr>
          <w:rFonts w:hint="eastAsia" w:ascii="Times New Roman" w:eastAsia="宋体"/>
          <w:bCs/>
          <w:szCs w:val="21"/>
          <w:lang w:val="en-US" w:eastAsia="zh-CN"/>
        </w:rPr>
        <w:t xml:space="preserve">如有</w:t>
      </w:r>
      <w:r>
        <w:rPr>
          <w:rFonts w:hint="eastAsia" w:ascii="Times New Roman" w:eastAsia="宋体"/>
          <w:bCs/>
          <w:szCs w:val="21"/>
          <w:lang w:eastAsia="zh-CN"/>
        </w:rPr>
        <w:t xml:space="preserve">）</w:t>
      </w:r>
      <w:r>
        <w:tab/>
      </w:r>
      <w:r>
        <w:fldChar w:fldCharType="begin"/>
      </w:r>
      <w:r>
        <w:instrText xml:space="preserve"> PAGEREF _Toc27290 \h </w:instrText>
      </w:r>
      <w:r>
        <w:fldChar w:fldCharType="separate"/>
      </w:r>
      <w:r>
        <w:t xml:space="preserve">12</w:t>
      </w:r>
      <w:r>
        <w:fldChar w:fldCharType="end"/>
      </w:r>
      <w:r>
        <w:rPr>
          <w:bCs/>
        </w:rPr>
        <w:fldChar w:fldCharType="end"/>
      </w:r>
      <w:r/>
    </w:p>
    <w:p>
      <w:pPr>
        <w:pStyle w:val="1599"/>
        <w:tabs>
          <w:tab w:val="right" w:pos="9638" w:leader="dot"/>
        </w:tabs>
      </w:pPr>
      <w:r>
        <w:rPr>
          <w:bCs/>
        </w:rPr>
        <w:fldChar w:fldCharType="begin"/>
      </w:r>
      <w:r>
        <w:rPr>
          <w:bCs/>
        </w:rPr>
        <w:instrText xml:space="preserve"> HYPERLINK \l _Toc31657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_Toc31657 \h </w:instrText>
      </w:r>
      <w:r>
        <w:fldChar w:fldCharType="separate"/>
      </w:r>
      <w:r>
        <w:t xml:space="preserve">13</w:t>
      </w:r>
      <w:r>
        <w:fldChar w:fldCharType="end"/>
      </w:r>
      <w:r>
        <w:rPr>
          <w:bCs/>
        </w:rPr>
        <w:fldChar w:fldCharType="end"/>
      </w:r>
      <w:r/>
    </w:p>
    <w:p>
      <w:pPr>
        <w:pStyle w:val="1599"/>
        <w:tabs>
          <w:tab w:val="right" w:pos="9638" w:leader="dot"/>
        </w:tabs>
      </w:pPr>
      <w:r>
        <w:rPr>
          <w:bCs/>
        </w:rPr>
        <w:fldChar w:fldCharType="begin"/>
      </w:r>
      <w:r>
        <w:rPr>
          <w:bCs/>
        </w:rPr>
        <w:instrText xml:space="preserve"> HYPERLINK \l _Toc115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_Toc115 \h </w:instrText>
      </w:r>
      <w:r>
        <w:fldChar w:fldCharType="separate"/>
      </w:r>
      <w:r>
        <w:t xml:space="preserve">13</w:t>
      </w:r>
      <w:r>
        <w:fldChar w:fldCharType="end"/>
      </w:r>
      <w:r>
        <w:rPr>
          <w:bCs/>
        </w:rPr>
        <w:fldChar w:fldCharType="end"/>
      </w:r>
      <w:r/>
    </w:p>
    <w:p>
      <w:pPr>
        <w:pStyle w:val="1621"/>
        <w:tabs>
          <w:tab w:val="right" w:pos="9638" w:leader="dot"/>
        </w:tabs>
      </w:pPr>
      <w:r>
        <w:rPr>
          <w:bCs/>
        </w:rPr>
        <w:fldChar w:fldCharType="begin"/>
      </w:r>
      <w:r>
        <w:rPr>
          <w:bCs/>
        </w:rPr>
        <w:instrText xml:space="preserve"> HYPERLINK \l _Toc22818 </w:instrText>
      </w:r>
      <w:r>
        <w:rPr>
          <w:bCs/>
        </w:rPr>
        <w:fldChar w:fldCharType="separate"/>
      </w:r>
      <w:r>
        <w:rPr>
          <w:bCs/>
          <w:szCs w:val="21"/>
        </w:rPr>
        <w:t xml:space="preserve">四、投标文件的递交</w:t>
      </w:r>
      <w:r>
        <w:tab/>
      </w:r>
      <w:r>
        <w:fldChar w:fldCharType="begin"/>
      </w:r>
      <w:r>
        <w:instrText xml:space="preserve"> PAGEREF _Toc22818 \h </w:instrText>
      </w:r>
      <w:r>
        <w:fldChar w:fldCharType="separate"/>
      </w:r>
      <w:r>
        <w:t xml:space="preserve">13</w:t>
      </w:r>
      <w:r>
        <w:fldChar w:fldCharType="end"/>
      </w:r>
      <w:r>
        <w:rPr>
          <w:bCs/>
        </w:rPr>
        <w:fldChar w:fldCharType="end"/>
      </w:r>
      <w:r/>
    </w:p>
    <w:p>
      <w:pPr>
        <w:pStyle w:val="1599"/>
        <w:tabs>
          <w:tab w:val="right" w:pos="9638" w:leader="dot"/>
        </w:tabs>
      </w:pPr>
      <w:r>
        <w:rPr>
          <w:bCs/>
        </w:rPr>
        <w:fldChar w:fldCharType="begin"/>
      </w:r>
      <w:r>
        <w:rPr>
          <w:bCs/>
        </w:rPr>
        <w:instrText xml:space="preserve"> HYPERLINK \l _Toc11555 </w:instrText>
      </w:r>
      <w:r>
        <w:rPr>
          <w:bCs/>
        </w:rPr>
        <w:fldChar w:fldCharType="separate"/>
      </w:r>
      <w:r>
        <w:rPr>
          <w:rFonts w:ascii="Times New Roman" w:eastAsia="宋体"/>
          <w:bCs/>
          <w:szCs w:val="21"/>
        </w:rPr>
        <w:t xml:space="preserve">14.</w:t>
      </w:r>
      <w:r>
        <w:rPr>
          <w:rFonts w:hint="eastAsia" w:ascii="Times New Roman" w:eastAsia="宋体"/>
          <w:bCs/>
          <w:szCs w:val="21"/>
        </w:rPr>
        <w:t xml:space="preserve">投标文件的递交</w:t>
      </w:r>
      <w:r>
        <w:tab/>
      </w:r>
      <w:r>
        <w:fldChar w:fldCharType="begin"/>
      </w:r>
      <w:r>
        <w:instrText xml:space="preserve"> PAGEREF _Toc11555 \h </w:instrText>
      </w:r>
      <w:r>
        <w:fldChar w:fldCharType="separate"/>
      </w:r>
      <w:r>
        <w:t xml:space="preserve">13</w:t>
      </w:r>
      <w:r>
        <w:fldChar w:fldCharType="end"/>
      </w:r>
      <w:r>
        <w:rPr>
          <w:bCs/>
        </w:rPr>
        <w:fldChar w:fldCharType="end"/>
      </w:r>
      <w:r/>
    </w:p>
    <w:p>
      <w:pPr>
        <w:pStyle w:val="1599"/>
        <w:tabs>
          <w:tab w:val="right" w:pos="9638" w:leader="dot"/>
        </w:tabs>
      </w:pPr>
      <w:r>
        <w:rPr>
          <w:bCs/>
        </w:rPr>
        <w:fldChar w:fldCharType="begin"/>
      </w:r>
      <w:r>
        <w:rPr>
          <w:bCs/>
        </w:rPr>
        <w:instrText xml:space="preserve"> HYPERLINK \l _Toc7522 </w:instrText>
      </w:r>
      <w:r>
        <w:rPr>
          <w:bCs/>
        </w:rPr>
        <w:fldChar w:fldCharType="separate"/>
      </w:r>
      <w:r>
        <w:rPr>
          <w:rFonts w:ascii="Times New Roman" w:eastAsia="宋体"/>
          <w:bCs/>
          <w:szCs w:val="21"/>
        </w:rPr>
        <w:t xml:space="preserve">15.投标的截止日期</w:t>
      </w:r>
      <w:r>
        <w:tab/>
      </w:r>
      <w:r>
        <w:fldChar w:fldCharType="begin"/>
      </w:r>
      <w:r>
        <w:instrText xml:space="preserve"> PAGEREF _Toc7522 \h </w:instrText>
      </w:r>
      <w:r>
        <w:fldChar w:fldCharType="separate"/>
      </w:r>
      <w:r>
        <w:t xml:space="preserve">13</w:t>
      </w:r>
      <w:r>
        <w:fldChar w:fldCharType="end"/>
      </w:r>
      <w:r>
        <w:rPr>
          <w:bCs/>
        </w:rPr>
        <w:fldChar w:fldCharType="end"/>
      </w:r>
      <w:r/>
    </w:p>
    <w:p>
      <w:pPr>
        <w:pStyle w:val="1599"/>
        <w:tabs>
          <w:tab w:val="right" w:pos="9638" w:leader="dot"/>
        </w:tabs>
      </w:pPr>
      <w:r>
        <w:rPr>
          <w:bCs/>
        </w:rPr>
        <w:fldChar w:fldCharType="begin"/>
      </w:r>
      <w:r>
        <w:rPr>
          <w:bCs/>
        </w:rPr>
        <w:instrText xml:space="preserve"> HYPERLINK \l _Toc13451 </w:instrText>
      </w:r>
      <w:r>
        <w:rPr>
          <w:bCs/>
        </w:rPr>
        <w:fldChar w:fldCharType="separate"/>
      </w:r>
      <w:r>
        <w:rPr>
          <w:rFonts w:ascii="Times New Roman" w:eastAsia="宋体"/>
          <w:bCs/>
          <w:szCs w:val="21"/>
        </w:rPr>
        <w:t xml:space="preserve">16.迟交的投标文件</w:t>
      </w:r>
      <w:r>
        <w:tab/>
      </w:r>
      <w:r>
        <w:fldChar w:fldCharType="begin"/>
      </w:r>
      <w:r>
        <w:instrText xml:space="preserve"> PAGEREF _Toc13451 \h </w:instrText>
      </w:r>
      <w:r>
        <w:fldChar w:fldCharType="separate"/>
      </w:r>
      <w:r>
        <w:t xml:space="preserve">14</w:t>
      </w:r>
      <w:r>
        <w:fldChar w:fldCharType="end"/>
      </w:r>
      <w:r>
        <w:rPr>
          <w:bCs/>
        </w:rPr>
        <w:fldChar w:fldCharType="end"/>
      </w:r>
      <w:r/>
    </w:p>
    <w:p>
      <w:pPr>
        <w:pStyle w:val="1599"/>
        <w:tabs>
          <w:tab w:val="right" w:pos="9638" w:leader="dot"/>
        </w:tabs>
      </w:pPr>
      <w:r>
        <w:rPr>
          <w:bCs/>
        </w:rPr>
        <w:fldChar w:fldCharType="begin"/>
      </w:r>
      <w:r>
        <w:rPr>
          <w:bCs/>
        </w:rPr>
        <w:instrText xml:space="preserve"> HYPERLINK \l _Toc29007 </w:instrText>
      </w:r>
      <w:r>
        <w:rPr>
          <w:bCs/>
        </w:rPr>
        <w:fldChar w:fldCharType="separate"/>
      </w:r>
      <w:r>
        <w:rPr>
          <w:rFonts w:ascii="Times New Roman" w:eastAsia="宋体"/>
          <w:bCs/>
          <w:szCs w:val="21"/>
        </w:rPr>
        <w:t xml:space="preserve">17.投标文件的修改或撤回</w:t>
      </w:r>
      <w:r>
        <w:tab/>
      </w:r>
      <w:r>
        <w:fldChar w:fldCharType="begin"/>
      </w:r>
      <w:r>
        <w:instrText xml:space="preserve"> PAGEREF _Toc29007 \h </w:instrText>
      </w:r>
      <w:r>
        <w:fldChar w:fldCharType="separate"/>
      </w:r>
      <w:r>
        <w:t xml:space="preserve">14</w:t>
      </w:r>
      <w:r>
        <w:fldChar w:fldCharType="end"/>
      </w:r>
      <w:r>
        <w:rPr>
          <w:bCs/>
        </w:rPr>
        <w:fldChar w:fldCharType="end"/>
      </w:r>
      <w:r/>
    </w:p>
    <w:p>
      <w:pPr>
        <w:pStyle w:val="1621"/>
        <w:tabs>
          <w:tab w:val="right" w:pos="9638" w:leader="dot"/>
        </w:tabs>
      </w:pPr>
      <w:r>
        <w:rPr>
          <w:bCs/>
        </w:rPr>
        <w:fldChar w:fldCharType="begin"/>
      </w:r>
      <w:r>
        <w:rPr>
          <w:bCs/>
        </w:rPr>
        <w:instrText xml:space="preserve"> HYPERLINK \l _Toc18040 </w:instrText>
      </w:r>
      <w:r>
        <w:rPr>
          <w:bCs/>
        </w:rPr>
        <w:fldChar w:fldCharType="separate"/>
      </w:r>
      <w:r>
        <w:rPr>
          <w:bCs/>
          <w:szCs w:val="21"/>
        </w:rPr>
        <w:t xml:space="preserve">五、开标与评标</w:t>
      </w:r>
      <w:r>
        <w:tab/>
      </w:r>
      <w:r>
        <w:fldChar w:fldCharType="begin"/>
      </w:r>
      <w:r>
        <w:instrText xml:space="preserve"> PAGEREF _Toc18040 \h </w:instrText>
      </w:r>
      <w:r>
        <w:fldChar w:fldCharType="separate"/>
      </w:r>
      <w:r>
        <w:t xml:space="preserve">14</w:t>
      </w:r>
      <w:r>
        <w:fldChar w:fldCharType="end"/>
      </w:r>
      <w:r>
        <w:rPr>
          <w:bCs/>
        </w:rPr>
        <w:fldChar w:fldCharType="end"/>
      </w:r>
      <w:r/>
    </w:p>
    <w:p>
      <w:pPr>
        <w:pStyle w:val="1599"/>
        <w:tabs>
          <w:tab w:val="right" w:pos="9638" w:leader="dot"/>
        </w:tabs>
      </w:pPr>
      <w:r>
        <w:rPr>
          <w:bCs/>
        </w:rPr>
        <w:fldChar w:fldCharType="begin"/>
      </w:r>
      <w:r>
        <w:rPr>
          <w:bCs/>
        </w:rPr>
        <w:instrText xml:space="preserve"> HYPERLINK \l _Toc11795 </w:instrText>
      </w:r>
      <w:r>
        <w:rPr>
          <w:bCs/>
        </w:rPr>
        <w:fldChar w:fldCharType="separate"/>
      </w:r>
      <w:r>
        <w:rPr>
          <w:rFonts w:ascii="Times New Roman" w:eastAsia="宋体"/>
          <w:bCs/>
          <w:szCs w:val="21"/>
        </w:rPr>
        <w:t xml:space="preserve">18.开标</w:t>
      </w:r>
      <w:r>
        <w:tab/>
      </w:r>
      <w:r>
        <w:fldChar w:fldCharType="begin"/>
      </w:r>
      <w:r>
        <w:instrText xml:space="preserve"> PAGEREF _Toc11795 \h </w:instrText>
      </w:r>
      <w:r>
        <w:fldChar w:fldCharType="separate"/>
      </w:r>
      <w:r>
        <w:t xml:space="preserve">14</w:t>
      </w:r>
      <w:r>
        <w:fldChar w:fldCharType="end"/>
      </w:r>
      <w:r>
        <w:rPr>
          <w:bCs/>
        </w:rPr>
        <w:fldChar w:fldCharType="end"/>
      </w:r>
      <w:r/>
    </w:p>
    <w:p>
      <w:pPr>
        <w:pStyle w:val="1599"/>
        <w:tabs>
          <w:tab w:val="right" w:pos="9638" w:leader="dot"/>
        </w:tabs>
      </w:pPr>
      <w:r>
        <w:rPr>
          <w:bCs/>
        </w:rPr>
        <w:fldChar w:fldCharType="begin"/>
      </w:r>
      <w:r>
        <w:rPr>
          <w:bCs/>
        </w:rPr>
        <w:instrText xml:space="preserve"> HYPERLINK \l _Toc26033 </w:instrText>
      </w:r>
      <w:r>
        <w:rPr>
          <w:bCs/>
        </w:rPr>
        <w:fldChar w:fldCharType="separate"/>
      </w:r>
      <w:r>
        <w:rPr>
          <w:rFonts w:ascii="Times New Roman" w:eastAsia="宋体"/>
          <w:bCs/>
          <w:szCs w:val="21"/>
        </w:rPr>
        <w:t xml:space="preserve">19.评标组织</w:t>
      </w:r>
      <w:r>
        <w:tab/>
      </w:r>
      <w:r>
        <w:fldChar w:fldCharType="begin"/>
      </w:r>
      <w:r>
        <w:instrText xml:space="preserve"> PAGEREF _Toc26033 \h </w:instrText>
      </w:r>
      <w:r>
        <w:fldChar w:fldCharType="separate"/>
      </w:r>
      <w:r>
        <w:t xml:space="preserve">14</w:t>
      </w:r>
      <w:r>
        <w:fldChar w:fldCharType="end"/>
      </w:r>
      <w:r>
        <w:rPr>
          <w:bCs/>
        </w:rPr>
        <w:fldChar w:fldCharType="end"/>
      </w:r>
      <w:r/>
    </w:p>
    <w:p>
      <w:pPr>
        <w:pStyle w:val="1599"/>
        <w:tabs>
          <w:tab w:val="right" w:pos="9638" w:leader="dot"/>
        </w:tabs>
      </w:pPr>
      <w:r>
        <w:rPr>
          <w:bCs/>
        </w:rPr>
        <w:fldChar w:fldCharType="begin"/>
      </w:r>
      <w:r>
        <w:rPr>
          <w:bCs/>
        </w:rPr>
        <w:instrText xml:space="preserve"> HYPERLINK \l _Toc18550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_Toc18550 \h </w:instrText>
      </w:r>
      <w:r>
        <w:fldChar w:fldCharType="separate"/>
      </w:r>
      <w:r>
        <w:t xml:space="preserve">15</w:t>
      </w:r>
      <w:r>
        <w:fldChar w:fldCharType="end"/>
      </w:r>
      <w:r>
        <w:rPr>
          <w:bCs/>
        </w:rPr>
        <w:fldChar w:fldCharType="end"/>
      </w:r>
      <w:r/>
    </w:p>
    <w:p>
      <w:pPr>
        <w:pStyle w:val="1599"/>
        <w:tabs>
          <w:tab w:val="right" w:pos="9638" w:leader="dot"/>
        </w:tabs>
      </w:pPr>
      <w:r>
        <w:rPr>
          <w:bCs/>
        </w:rPr>
        <w:fldChar w:fldCharType="begin"/>
      </w:r>
      <w:r>
        <w:rPr>
          <w:bCs/>
        </w:rPr>
        <w:instrText xml:space="preserve"> HYPERLINK \l _Toc17531 </w:instrText>
      </w:r>
      <w:r>
        <w:rPr>
          <w:bCs/>
        </w:rPr>
        <w:fldChar w:fldCharType="separate"/>
      </w:r>
      <w:r>
        <w:rPr>
          <w:rFonts w:ascii="Times New Roman" w:eastAsia="宋体"/>
          <w:bCs/>
          <w:szCs w:val="21"/>
        </w:rPr>
        <w:t xml:space="preserve">21.投标文件的澄清</w:t>
      </w:r>
      <w:r>
        <w:tab/>
      </w:r>
      <w:r>
        <w:fldChar w:fldCharType="begin"/>
      </w:r>
      <w:r>
        <w:instrText xml:space="preserve"> PAGEREF _Toc17531 \h </w:instrText>
      </w:r>
      <w:r>
        <w:fldChar w:fldCharType="separate"/>
      </w:r>
      <w:r>
        <w:t xml:space="preserve">16</w:t>
      </w:r>
      <w:r>
        <w:fldChar w:fldCharType="end"/>
      </w:r>
      <w:r>
        <w:rPr>
          <w:bCs/>
        </w:rPr>
        <w:fldChar w:fldCharType="end"/>
      </w:r>
      <w:r/>
    </w:p>
    <w:p>
      <w:pPr>
        <w:pStyle w:val="1599"/>
        <w:tabs>
          <w:tab w:val="right" w:pos="9638" w:leader="dot"/>
        </w:tabs>
      </w:pPr>
      <w:r>
        <w:rPr>
          <w:bCs/>
        </w:rPr>
        <w:fldChar w:fldCharType="begin"/>
      </w:r>
      <w:r>
        <w:rPr>
          <w:bCs/>
        </w:rPr>
        <w:instrText xml:space="preserve"> HYPERLINK \l _Toc24542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_Toc24542 \h </w:instrText>
      </w:r>
      <w:r>
        <w:fldChar w:fldCharType="separate"/>
      </w:r>
      <w:r>
        <w:t xml:space="preserve">17</w:t>
      </w:r>
      <w:r>
        <w:fldChar w:fldCharType="end"/>
      </w:r>
      <w:r>
        <w:rPr>
          <w:bCs/>
        </w:rPr>
        <w:fldChar w:fldCharType="end"/>
      </w:r>
      <w:r/>
    </w:p>
    <w:p>
      <w:pPr>
        <w:pStyle w:val="1599"/>
        <w:tabs>
          <w:tab w:val="right" w:pos="9638" w:leader="dot"/>
        </w:tabs>
      </w:pPr>
      <w:r>
        <w:rPr>
          <w:bCs/>
        </w:rPr>
        <w:fldChar w:fldCharType="begin"/>
      </w:r>
      <w:r>
        <w:rPr>
          <w:bCs/>
        </w:rPr>
        <w:instrText xml:space="preserve"> HYPERLINK \l _Toc10766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_Toc10766 \h </w:instrText>
      </w:r>
      <w:r>
        <w:fldChar w:fldCharType="separate"/>
      </w:r>
      <w:r>
        <w:t xml:space="preserve">17</w:t>
      </w:r>
      <w:r>
        <w:fldChar w:fldCharType="end"/>
      </w:r>
      <w:r>
        <w:rPr>
          <w:bCs/>
        </w:rPr>
        <w:fldChar w:fldCharType="end"/>
      </w:r>
      <w:r/>
    </w:p>
    <w:p>
      <w:pPr>
        <w:pStyle w:val="1599"/>
        <w:tabs>
          <w:tab w:val="right" w:pos="9638" w:leader="dot"/>
        </w:tabs>
      </w:pPr>
      <w:r>
        <w:rPr>
          <w:bCs/>
        </w:rPr>
        <w:fldChar w:fldCharType="begin"/>
      </w:r>
      <w:r>
        <w:rPr>
          <w:bCs/>
        </w:rPr>
        <w:instrText xml:space="preserve"> HYPERLINK \l _Toc22120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_Toc22120 \h </w:instrText>
      </w:r>
      <w:r>
        <w:fldChar w:fldCharType="separate"/>
      </w:r>
      <w:r>
        <w:t xml:space="preserve">18</w:t>
      </w:r>
      <w:r>
        <w:fldChar w:fldCharType="end"/>
      </w:r>
      <w:r>
        <w:rPr>
          <w:bCs/>
        </w:rPr>
        <w:fldChar w:fldCharType="end"/>
      </w:r>
      <w:r/>
    </w:p>
    <w:p>
      <w:pPr>
        <w:pStyle w:val="1599"/>
        <w:tabs>
          <w:tab w:val="right" w:pos="9638" w:leader="dot"/>
        </w:tabs>
      </w:pPr>
      <w:r>
        <w:rPr>
          <w:bCs/>
        </w:rPr>
        <w:fldChar w:fldCharType="begin"/>
      </w:r>
      <w:r>
        <w:rPr>
          <w:bCs/>
        </w:rPr>
        <w:instrText xml:space="preserve"> HYPERLINK \l _Toc20684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_Toc20684 \h </w:instrText>
      </w:r>
      <w:r>
        <w:fldChar w:fldCharType="separate"/>
      </w:r>
      <w:r>
        <w:t xml:space="preserve">18</w:t>
      </w:r>
      <w:r>
        <w:fldChar w:fldCharType="end"/>
      </w:r>
      <w:r>
        <w:rPr>
          <w:bCs/>
        </w:rPr>
        <w:fldChar w:fldCharType="end"/>
      </w:r>
      <w:r/>
    </w:p>
    <w:p>
      <w:pPr>
        <w:pStyle w:val="1621"/>
        <w:tabs>
          <w:tab w:val="right" w:pos="9638" w:leader="dot"/>
        </w:tabs>
      </w:pPr>
      <w:r>
        <w:rPr>
          <w:bCs/>
        </w:rPr>
        <w:fldChar w:fldCharType="begin"/>
      </w:r>
      <w:r>
        <w:rPr>
          <w:bCs/>
        </w:rPr>
        <w:instrText xml:space="preserve"> HYPERLINK \l _Toc17083 </w:instrText>
      </w:r>
      <w:r>
        <w:rPr>
          <w:bCs/>
        </w:rPr>
        <w:fldChar w:fldCharType="separate"/>
      </w:r>
      <w:r>
        <w:rPr>
          <w:bCs/>
          <w:szCs w:val="21"/>
        </w:rPr>
        <w:t xml:space="preserve">六、授标</w:t>
      </w:r>
      <w:r>
        <w:tab/>
      </w:r>
      <w:r>
        <w:fldChar w:fldCharType="begin"/>
      </w:r>
      <w:r>
        <w:instrText xml:space="preserve"> PAGEREF _Toc17083 \h </w:instrText>
      </w:r>
      <w:r>
        <w:fldChar w:fldCharType="separate"/>
      </w:r>
      <w:r>
        <w:t xml:space="preserve">18</w:t>
      </w:r>
      <w:r>
        <w:fldChar w:fldCharType="end"/>
      </w:r>
      <w:r>
        <w:rPr>
          <w:bCs/>
        </w:rPr>
        <w:fldChar w:fldCharType="end"/>
      </w:r>
      <w:r/>
    </w:p>
    <w:p>
      <w:pPr>
        <w:pStyle w:val="1599"/>
        <w:tabs>
          <w:tab w:val="right" w:pos="9638" w:leader="dot"/>
        </w:tabs>
      </w:pPr>
      <w:r>
        <w:rPr>
          <w:bCs/>
        </w:rPr>
        <w:fldChar w:fldCharType="begin"/>
      </w:r>
      <w:r>
        <w:rPr>
          <w:bCs/>
        </w:rPr>
        <w:instrText xml:space="preserve"> HYPERLINK \l _Toc27463 </w:instrText>
      </w:r>
      <w:r>
        <w:rPr>
          <w:bCs/>
        </w:rPr>
        <w:fldChar w:fldCharType="separate"/>
      </w:r>
      <w:r>
        <w:rPr>
          <w:rFonts w:ascii="Times New Roman" w:eastAsia="宋体"/>
          <w:bCs/>
          <w:szCs w:val="21"/>
        </w:rPr>
        <w:t xml:space="preserve">26.确定中标供应商</w:t>
      </w:r>
      <w:r>
        <w:tab/>
      </w:r>
      <w:r>
        <w:fldChar w:fldCharType="begin"/>
      </w:r>
      <w:r>
        <w:instrText xml:space="preserve"> PAGEREF _Toc27463 \h </w:instrText>
      </w:r>
      <w:r>
        <w:fldChar w:fldCharType="separate"/>
      </w:r>
      <w:r>
        <w:t xml:space="preserve">19</w:t>
      </w:r>
      <w:r>
        <w:fldChar w:fldCharType="end"/>
      </w:r>
      <w:r>
        <w:rPr>
          <w:bCs/>
        </w:rPr>
        <w:fldChar w:fldCharType="end"/>
      </w:r>
      <w:r/>
    </w:p>
    <w:p>
      <w:pPr>
        <w:pStyle w:val="1599"/>
        <w:tabs>
          <w:tab w:val="right" w:pos="9638" w:leader="dot"/>
        </w:tabs>
      </w:pPr>
      <w:r>
        <w:rPr>
          <w:bCs/>
        </w:rPr>
        <w:fldChar w:fldCharType="begin"/>
      </w:r>
      <w:r>
        <w:rPr>
          <w:bCs/>
        </w:rPr>
        <w:instrText xml:space="preserve"> HYPERLINK \l _Toc20870 </w:instrText>
      </w:r>
      <w:r>
        <w:rPr>
          <w:bCs/>
        </w:rPr>
        <w:fldChar w:fldCharType="separate"/>
      </w:r>
      <w:r>
        <w:rPr>
          <w:rFonts w:ascii="Times New Roman" w:eastAsia="宋体"/>
          <w:bCs/>
          <w:szCs w:val="21"/>
        </w:rPr>
        <w:t xml:space="preserve">27.中标的通知</w:t>
      </w:r>
      <w:r>
        <w:tab/>
      </w:r>
      <w:r>
        <w:fldChar w:fldCharType="begin"/>
      </w:r>
      <w:r>
        <w:instrText xml:space="preserve"> PAGEREF _Toc20870 \h </w:instrText>
      </w:r>
      <w:r>
        <w:fldChar w:fldCharType="separate"/>
      </w:r>
      <w:r>
        <w:t xml:space="preserve">19</w:t>
      </w:r>
      <w:r>
        <w:fldChar w:fldCharType="end"/>
      </w:r>
      <w:r>
        <w:rPr>
          <w:bCs/>
        </w:rPr>
        <w:fldChar w:fldCharType="end"/>
      </w:r>
      <w:r/>
    </w:p>
    <w:p>
      <w:pPr>
        <w:pStyle w:val="1599"/>
        <w:tabs>
          <w:tab w:val="right" w:pos="9638" w:leader="dot"/>
        </w:tabs>
      </w:pPr>
      <w:r>
        <w:rPr>
          <w:bCs/>
        </w:rPr>
        <w:fldChar w:fldCharType="begin"/>
      </w:r>
      <w:r>
        <w:rPr>
          <w:bCs/>
        </w:rPr>
        <w:instrText xml:space="preserve"> HYPERLINK \l _Toc11858 </w:instrText>
      </w:r>
      <w:r>
        <w:rPr>
          <w:bCs/>
        </w:rPr>
        <w:fldChar w:fldCharType="separate"/>
      </w:r>
      <w:r>
        <w:rPr>
          <w:rFonts w:ascii="Times New Roman" w:eastAsia="宋体"/>
          <w:bCs/>
          <w:szCs w:val="21"/>
        </w:rPr>
        <w:t xml:space="preserve">28.签订合同</w:t>
      </w:r>
      <w:r>
        <w:tab/>
      </w:r>
      <w:r>
        <w:fldChar w:fldCharType="begin"/>
      </w:r>
      <w:r>
        <w:instrText xml:space="preserve"> PAGEREF _Toc11858 \h </w:instrText>
      </w:r>
      <w:r>
        <w:fldChar w:fldCharType="separate"/>
      </w:r>
      <w:r>
        <w:t xml:space="preserve">19</w:t>
      </w:r>
      <w:r>
        <w:fldChar w:fldCharType="end"/>
      </w:r>
      <w:r>
        <w:rPr>
          <w:bCs/>
        </w:rPr>
        <w:fldChar w:fldCharType="end"/>
      </w:r>
      <w:r/>
    </w:p>
    <w:p>
      <w:pPr>
        <w:pStyle w:val="1599"/>
        <w:tabs>
          <w:tab w:val="right" w:pos="9638" w:leader="dot"/>
        </w:tabs>
      </w:pPr>
      <w:r>
        <w:rPr>
          <w:bCs/>
        </w:rPr>
        <w:fldChar w:fldCharType="begin"/>
      </w:r>
      <w:r>
        <w:rPr>
          <w:bCs/>
        </w:rPr>
        <w:instrText xml:space="preserve"> HYPERLINK \l _Toc7104 </w:instrText>
      </w:r>
      <w:r>
        <w:rPr>
          <w:bCs/>
        </w:rPr>
        <w:fldChar w:fldCharType="separate"/>
      </w:r>
      <w:r>
        <w:rPr>
          <w:rFonts w:ascii="Times New Roman" w:eastAsia="宋体"/>
          <w:bCs/>
          <w:szCs w:val="21"/>
        </w:rPr>
        <w:t xml:space="preserve">29.招标代理服务费</w:t>
      </w:r>
      <w:r>
        <w:tab/>
      </w:r>
      <w:r>
        <w:fldChar w:fldCharType="begin"/>
      </w:r>
      <w:r>
        <w:instrText xml:space="preserve"> PAGEREF _Toc7104 \h </w:instrText>
      </w:r>
      <w:r>
        <w:fldChar w:fldCharType="separate"/>
      </w:r>
      <w:r>
        <w:t xml:space="preserve">19</w:t>
      </w:r>
      <w:r>
        <w:fldChar w:fldCharType="end"/>
      </w:r>
      <w:r>
        <w:rPr>
          <w:bCs/>
        </w:rPr>
        <w:fldChar w:fldCharType="end"/>
      </w:r>
      <w:r/>
    </w:p>
    <w:p>
      <w:pPr>
        <w:pStyle w:val="1621"/>
        <w:tabs>
          <w:tab w:val="right" w:pos="9638" w:leader="dot"/>
        </w:tabs>
      </w:pPr>
      <w:r>
        <w:rPr>
          <w:bCs/>
        </w:rPr>
        <w:fldChar w:fldCharType="begin"/>
      </w:r>
      <w:r>
        <w:rPr>
          <w:bCs/>
        </w:rPr>
        <w:instrText xml:space="preserve"> HYPERLINK \l _Toc28847 </w:instrText>
      </w:r>
      <w:r>
        <w:rPr>
          <w:bCs/>
        </w:rPr>
        <w:fldChar w:fldCharType="separate"/>
      </w:r>
      <w:r>
        <w:rPr>
          <w:bCs/>
          <w:szCs w:val="21"/>
        </w:rPr>
        <w:t xml:space="preserve">七、质疑</w:t>
      </w:r>
      <w:r>
        <w:tab/>
      </w:r>
      <w:r>
        <w:fldChar w:fldCharType="begin"/>
      </w:r>
      <w:r>
        <w:instrText xml:space="preserve"> PAGEREF _Toc28847 \h </w:instrText>
      </w:r>
      <w:r>
        <w:fldChar w:fldCharType="separate"/>
      </w:r>
      <w:r>
        <w:t xml:space="preserve">19</w:t>
      </w:r>
      <w:r>
        <w:fldChar w:fldCharType="end"/>
      </w:r>
      <w:r>
        <w:rPr>
          <w:bCs/>
        </w:rPr>
        <w:fldChar w:fldCharType="end"/>
      </w:r>
      <w:r/>
    </w:p>
    <w:p>
      <w:pPr>
        <w:pStyle w:val="1599"/>
        <w:tabs>
          <w:tab w:val="right" w:pos="9638" w:leader="dot"/>
        </w:tabs>
      </w:pPr>
      <w:r>
        <w:rPr>
          <w:bCs/>
        </w:rPr>
        <w:fldChar w:fldCharType="begin"/>
      </w:r>
      <w:r>
        <w:rPr>
          <w:bCs/>
        </w:rPr>
        <w:instrText xml:space="preserve"> HYPERLINK \l _Toc24618 </w:instrText>
      </w:r>
      <w:r>
        <w:rPr>
          <w:bCs/>
        </w:rPr>
        <w:fldChar w:fldCharType="separate"/>
      </w:r>
      <w:r>
        <w:rPr>
          <w:rFonts w:ascii="Times New Roman" w:eastAsia="宋体"/>
          <w:bCs/>
          <w:szCs w:val="21"/>
        </w:rPr>
        <w:t xml:space="preserve">30、质疑</w:t>
      </w:r>
      <w:r>
        <w:tab/>
      </w:r>
      <w:r>
        <w:fldChar w:fldCharType="begin"/>
      </w:r>
      <w:r>
        <w:instrText xml:space="preserve"> PAGEREF _Toc24618 \h </w:instrText>
      </w:r>
      <w:r>
        <w:fldChar w:fldCharType="separate"/>
      </w:r>
      <w:r>
        <w:t xml:space="preserve">20</w:t>
      </w:r>
      <w:r>
        <w:fldChar w:fldCharType="end"/>
      </w:r>
      <w:r>
        <w:rPr>
          <w:bCs/>
        </w:rPr>
        <w:fldChar w:fldCharType="end"/>
      </w:r>
      <w:r/>
    </w:p>
    <w:p>
      <w:pPr>
        <w:pStyle w:val="1621"/>
        <w:tabs>
          <w:tab w:val="right" w:pos="9638" w:leader="dot"/>
        </w:tabs>
      </w:pPr>
      <w:r>
        <w:rPr>
          <w:bCs/>
        </w:rPr>
        <w:fldChar w:fldCharType="begin"/>
      </w:r>
      <w:r>
        <w:rPr>
          <w:bCs/>
        </w:rPr>
        <w:instrText xml:space="preserve"> HYPERLINK \l _Toc13592 </w:instrText>
      </w:r>
      <w:r>
        <w:rPr>
          <w:bCs/>
        </w:rPr>
        <w:fldChar w:fldCharType="separate"/>
      </w:r>
      <w:r>
        <w:rPr>
          <w:rFonts w:hint="eastAsia" w:ascii="Times New Roman" w:hAnsi="Times New Roman" w:eastAsia="宋体" w:cs="Times New Roman"/>
          <w:bCs/>
          <w:szCs w:val="21"/>
        </w:rPr>
        <w:t xml:space="preserve">八、政府采购履约资金扶持政策</w:t>
      </w:r>
      <w:r>
        <w:tab/>
      </w:r>
      <w:r>
        <w:fldChar w:fldCharType="begin"/>
      </w:r>
      <w:r>
        <w:instrText xml:space="preserve"> PAGEREF _Toc13592 \h </w:instrText>
      </w:r>
      <w:r>
        <w:fldChar w:fldCharType="separate"/>
      </w:r>
      <w:r>
        <w:t xml:space="preserve">21</w:t>
      </w:r>
      <w:r>
        <w:fldChar w:fldCharType="end"/>
      </w:r>
      <w:r>
        <w:rPr>
          <w:bCs/>
        </w:rPr>
        <w:fldChar w:fldCharType="end"/>
      </w:r>
      <w:r/>
    </w:p>
    <w:p>
      <w:pPr>
        <w:pStyle w:val="1614"/>
        <w:tabs>
          <w:tab w:val="right" w:pos="9638" w:leader="dot"/>
        </w:tabs>
      </w:pPr>
      <w:r>
        <w:rPr>
          <w:bCs/>
        </w:rPr>
        <w:fldChar w:fldCharType="begin"/>
      </w:r>
      <w:r>
        <w:rPr>
          <w:bCs/>
        </w:rPr>
        <w:instrText xml:space="preserve"> HYPERLINK \l _Toc16801 </w:instrText>
      </w:r>
      <w:r>
        <w:rPr>
          <w:bCs/>
        </w:rPr>
        <w:fldChar w:fldCharType="separate"/>
      </w:r>
      <w:r>
        <w:rPr>
          <w:szCs w:val="28"/>
        </w:rPr>
        <w:t xml:space="preserve">第三章 评标标准</w:t>
      </w:r>
      <w:r>
        <w:tab/>
      </w:r>
      <w:r>
        <w:fldChar w:fldCharType="begin"/>
      </w:r>
      <w:r>
        <w:instrText xml:space="preserve"> PAGEREF _Toc16801 \h </w:instrText>
      </w:r>
      <w:r>
        <w:fldChar w:fldCharType="separate"/>
      </w:r>
      <w:r>
        <w:t xml:space="preserve">22</w:t>
      </w:r>
      <w:r>
        <w:fldChar w:fldCharType="end"/>
      </w:r>
      <w:r>
        <w:rPr>
          <w:bCs/>
        </w:rPr>
        <w:fldChar w:fldCharType="end"/>
      </w:r>
      <w:r/>
    </w:p>
    <w:p>
      <w:pPr>
        <w:pStyle w:val="1614"/>
        <w:tabs>
          <w:tab w:val="right" w:pos="9638" w:leader="dot"/>
        </w:tabs>
      </w:pPr>
      <w:r>
        <w:rPr>
          <w:bCs/>
        </w:rPr>
        <w:fldChar w:fldCharType="begin"/>
      </w:r>
      <w:r>
        <w:rPr>
          <w:bCs/>
        </w:rPr>
        <w:instrText xml:space="preserve"> HYPERLINK \l _Toc22971 </w:instrText>
      </w:r>
      <w:r>
        <w:rPr>
          <w:bCs/>
        </w:rPr>
        <w:fldChar w:fldCharType="separate"/>
      </w:r>
      <w:r>
        <w:rPr>
          <w:szCs w:val="28"/>
        </w:rPr>
        <w:t xml:space="preserve">第四章 </w:t>
      </w:r>
      <w:r>
        <w:rPr>
          <w:rFonts w:hint="eastAsia"/>
          <w:szCs w:val="28"/>
          <w:lang w:val="en-US" w:eastAsia="zh-CN"/>
        </w:rPr>
        <w:t xml:space="preserve">采购需求</w:t>
      </w:r>
      <w:r>
        <w:tab/>
      </w:r>
      <w:r>
        <w:fldChar w:fldCharType="begin"/>
      </w:r>
      <w:r>
        <w:instrText xml:space="preserve"> PAGEREF _Toc22971 \h </w:instrText>
      </w:r>
      <w:r>
        <w:fldChar w:fldCharType="separate"/>
      </w:r>
      <w:r>
        <w:t xml:space="preserve">28</w:t>
      </w:r>
      <w:r>
        <w:fldChar w:fldCharType="end"/>
      </w:r>
      <w:r>
        <w:rPr>
          <w:bCs/>
        </w:rPr>
        <w:fldChar w:fldCharType="end"/>
      </w:r>
      <w:r/>
    </w:p>
    <w:p>
      <w:pPr>
        <w:pStyle w:val="1614"/>
        <w:tabs>
          <w:tab w:val="right" w:pos="9638" w:leader="dot"/>
        </w:tabs>
      </w:pPr>
      <w:r>
        <w:rPr>
          <w:bCs/>
        </w:rPr>
        <w:fldChar w:fldCharType="begin"/>
      </w:r>
      <w:r>
        <w:rPr>
          <w:bCs/>
        </w:rPr>
        <w:instrText xml:space="preserve"> HYPERLINK \l _Toc10285 </w:instrText>
      </w:r>
      <w:r>
        <w:rPr>
          <w:bCs/>
        </w:rPr>
        <w:fldChar w:fldCharType="separate"/>
      </w:r>
      <w:r>
        <w:rPr>
          <w:szCs w:val="28"/>
        </w:rPr>
        <w:t xml:space="preserve">第五章 拟签订的合同文本</w:t>
      </w:r>
      <w:r>
        <w:tab/>
      </w:r>
      <w:r>
        <w:fldChar w:fldCharType="begin"/>
      </w:r>
      <w:r>
        <w:instrText xml:space="preserve"> PAGEREF _Toc10285 \h </w:instrText>
      </w:r>
      <w:r>
        <w:fldChar w:fldCharType="separate"/>
      </w:r>
      <w:r>
        <w:t xml:space="preserve">36</w:t>
      </w:r>
      <w:r>
        <w:fldChar w:fldCharType="end"/>
      </w:r>
      <w:r>
        <w:rPr>
          <w:bCs/>
        </w:rPr>
        <w:fldChar w:fldCharType="end"/>
      </w:r>
      <w:r/>
    </w:p>
    <w:p>
      <w:pPr>
        <w:pStyle w:val="1614"/>
        <w:tabs>
          <w:tab w:val="right" w:pos="9638" w:leader="dot"/>
        </w:tabs>
      </w:pPr>
      <w:r>
        <w:rPr>
          <w:bCs/>
        </w:rPr>
        <w:fldChar w:fldCharType="begin"/>
      </w:r>
      <w:r>
        <w:rPr>
          <w:bCs/>
        </w:rPr>
        <w:instrText xml:space="preserve"> HYPERLINK \l _Toc30092 </w:instrText>
      </w:r>
      <w:r>
        <w:rPr>
          <w:bCs/>
        </w:rPr>
        <w:fldChar w:fldCharType="separate"/>
      </w:r>
      <w:r>
        <w:rPr>
          <w:szCs w:val="28"/>
        </w:rPr>
        <w:t xml:space="preserve">第六章 投标文件格式及附件</w:t>
      </w:r>
      <w:r>
        <w:tab/>
      </w:r>
      <w:r>
        <w:fldChar w:fldCharType="begin"/>
      </w:r>
      <w:r>
        <w:instrText xml:space="preserve"> PAGEREF _Toc30092 \h </w:instrText>
      </w:r>
      <w:r>
        <w:fldChar w:fldCharType="separate"/>
      </w:r>
      <w:r>
        <w:t xml:space="preserve">40</w:t>
      </w:r>
      <w:r>
        <w:fldChar w:fldCharType="end"/>
      </w:r>
      <w:r>
        <w:rPr>
          <w:bCs/>
        </w:rPr>
        <w:fldChar w:fldCharType="end"/>
      </w:r>
      <w:r/>
    </w:p>
    <w:p>
      <w:pPr>
        <w:pStyle w:val="1621"/>
        <w:tabs>
          <w:tab w:val="right" w:pos="9638" w:leader="dot"/>
        </w:tabs>
      </w:pPr>
      <w:r>
        <w:rPr>
          <w:bCs/>
        </w:rPr>
        <w:fldChar w:fldCharType="begin"/>
      </w:r>
      <w:r>
        <w:rPr>
          <w:bCs/>
        </w:rPr>
        <w:instrText xml:space="preserve"> HYPERLINK \l _Toc26000 </w:instrText>
      </w:r>
      <w:r>
        <w:rPr>
          <w:bCs/>
        </w:rPr>
        <w:fldChar w:fldCharType="separate"/>
      </w:r>
      <w:r>
        <w:rPr>
          <w:bCs/>
        </w:rPr>
        <w:t xml:space="preserve">附件一 投标函格式</w:t>
      </w:r>
      <w:r>
        <w:tab/>
      </w:r>
      <w:r>
        <w:fldChar w:fldCharType="begin"/>
      </w:r>
      <w:r>
        <w:instrText xml:space="preserve"> PAGEREF _Toc26000 \h </w:instrText>
      </w:r>
      <w:r>
        <w:fldChar w:fldCharType="separate"/>
      </w:r>
      <w:r>
        <w:t xml:space="preserve">42</w:t>
      </w:r>
      <w:r>
        <w:fldChar w:fldCharType="end"/>
      </w:r>
      <w:r>
        <w:rPr>
          <w:bCs/>
        </w:rPr>
        <w:fldChar w:fldCharType="end"/>
      </w:r>
      <w:r/>
    </w:p>
    <w:p>
      <w:pPr>
        <w:pStyle w:val="1621"/>
        <w:tabs>
          <w:tab w:val="right" w:pos="9638" w:leader="dot"/>
        </w:tabs>
      </w:pPr>
      <w:r>
        <w:rPr>
          <w:bCs/>
        </w:rPr>
        <w:fldChar w:fldCharType="begin"/>
      </w:r>
      <w:r>
        <w:rPr>
          <w:bCs/>
        </w:rPr>
        <w:instrText xml:space="preserve"> HYPERLINK \l _Toc12750 </w:instrText>
      </w:r>
      <w:r>
        <w:rPr>
          <w:bCs/>
        </w:rPr>
        <w:fldChar w:fldCharType="separate"/>
      </w:r>
      <w:r>
        <w:rPr>
          <w:bCs/>
          <w:szCs w:val="22"/>
        </w:rPr>
        <w:t xml:space="preserve">附件二 开标一览表</w:t>
      </w:r>
      <w:r>
        <w:tab/>
      </w:r>
      <w:r>
        <w:fldChar w:fldCharType="begin"/>
      </w:r>
      <w:r>
        <w:instrText xml:space="preserve"> PAGEREF _Toc12750 \h </w:instrText>
      </w:r>
      <w:r>
        <w:fldChar w:fldCharType="separate"/>
      </w:r>
      <w:r>
        <w:t xml:space="preserve">43</w:t>
      </w:r>
      <w:r>
        <w:fldChar w:fldCharType="end"/>
      </w:r>
      <w:r>
        <w:rPr>
          <w:bCs/>
        </w:rPr>
        <w:fldChar w:fldCharType="end"/>
      </w:r>
      <w:r/>
    </w:p>
    <w:p>
      <w:pPr>
        <w:pStyle w:val="1621"/>
        <w:tabs>
          <w:tab w:val="right" w:pos="9638" w:leader="dot"/>
        </w:tabs>
      </w:pPr>
      <w:r>
        <w:rPr>
          <w:bCs/>
        </w:rPr>
        <w:fldChar w:fldCharType="begin"/>
      </w:r>
      <w:r>
        <w:rPr>
          <w:bCs/>
        </w:rPr>
        <w:instrText xml:space="preserve"> HYPERLINK \l _Toc18978 </w:instrText>
      </w:r>
      <w:r>
        <w:rPr>
          <w:bCs/>
        </w:rPr>
        <w:fldChar w:fldCharType="separate"/>
      </w:r>
      <w:r>
        <w:rPr>
          <w:bCs/>
          <w:szCs w:val="22"/>
        </w:rPr>
        <w:t xml:space="preserve">附件三 分项报价表</w:t>
      </w:r>
      <w:r>
        <w:tab/>
      </w:r>
      <w:r>
        <w:fldChar w:fldCharType="begin"/>
      </w:r>
      <w:r>
        <w:instrText xml:space="preserve"> PAGEREF _Toc18978 \h </w:instrText>
      </w:r>
      <w:r>
        <w:fldChar w:fldCharType="separate"/>
      </w:r>
      <w:r>
        <w:t xml:space="preserve">44</w:t>
      </w:r>
      <w:r>
        <w:fldChar w:fldCharType="end"/>
      </w:r>
      <w:r>
        <w:rPr>
          <w:bCs/>
        </w:rPr>
        <w:fldChar w:fldCharType="end"/>
      </w:r>
      <w:r/>
    </w:p>
    <w:p>
      <w:pPr>
        <w:pStyle w:val="1621"/>
        <w:tabs>
          <w:tab w:val="right" w:pos="9638" w:leader="dot"/>
        </w:tabs>
      </w:pPr>
      <w:r>
        <w:rPr>
          <w:bCs/>
        </w:rPr>
        <w:fldChar w:fldCharType="begin"/>
      </w:r>
      <w:r>
        <w:rPr>
          <w:bCs/>
        </w:rPr>
        <w:instrText xml:space="preserve"> HYPERLINK \l _Toc21550 </w:instrText>
      </w:r>
      <w:r>
        <w:rPr>
          <w:bCs/>
        </w:rPr>
        <w:fldChar w:fldCharType="separate"/>
      </w:r>
      <w:r>
        <w:rPr>
          <w:bCs/>
          <w:szCs w:val="22"/>
        </w:rPr>
        <w:t xml:space="preserve">附件四 商务条款偏离表</w:t>
      </w:r>
      <w:r>
        <w:tab/>
      </w:r>
      <w:r>
        <w:fldChar w:fldCharType="begin"/>
      </w:r>
      <w:r>
        <w:instrText xml:space="preserve"> PAGEREF _Toc21550 \h </w:instrText>
      </w:r>
      <w:r>
        <w:fldChar w:fldCharType="separate"/>
      </w:r>
      <w:r>
        <w:t xml:space="preserve">45</w:t>
      </w:r>
      <w:r>
        <w:fldChar w:fldCharType="end"/>
      </w:r>
      <w:r>
        <w:rPr>
          <w:bCs/>
        </w:rPr>
        <w:fldChar w:fldCharType="end"/>
      </w:r>
      <w:r/>
    </w:p>
    <w:p>
      <w:pPr>
        <w:pStyle w:val="1621"/>
        <w:tabs>
          <w:tab w:val="right" w:pos="9638" w:leader="dot"/>
        </w:tabs>
      </w:pPr>
      <w:r>
        <w:rPr>
          <w:bCs/>
        </w:rPr>
        <w:fldChar w:fldCharType="begin"/>
      </w:r>
      <w:r>
        <w:rPr>
          <w:bCs/>
        </w:rPr>
        <w:instrText xml:space="preserve"> HYPERLINK \l _Toc7774 </w:instrText>
      </w:r>
      <w:r>
        <w:rPr>
          <w:bCs/>
        </w:rPr>
        <w:fldChar w:fldCharType="separate"/>
      </w:r>
      <w:r>
        <w:rPr>
          <w:bCs/>
          <w:szCs w:val="22"/>
        </w:rPr>
        <w:t xml:space="preserve">附件五 技术条款偏离表</w:t>
      </w:r>
      <w:r>
        <w:tab/>
      </w:r>
      <w:r>
        <w:fldChar w:fldCharType="begin"/>
      </w:r>
      <w:r>
        <w:instrText xml:space="preserve"> PAGEREF _Toc7774 \h </w:instrText>
      </w:r>
      <w:r>
        <w:fldChar w:fldCharType="separate"/>
      </w:r>
      <w:r>
        <w:t xml:space="preserve">46</w:t>
      </w:r>
      <w:r>
        <w:fldChar w:fldCharType="end"/>
      </w:r>
      <w:r>
        <w:rPr>
          <w:bCs/>
        </w:rPr>
        <w:fldChar w:fldCharType="end"/>
      </w:r>
      <w:r/>
    </w:p>
    <w:p>
      <w:pPr>
        <w:pStyle w:val="1621"/>
        <w:tabs>
          <w:tab w:val="right" w:pos="9638" w:leader="dot"/>
        </w:tabs>
      </w:pPr>
      <w:r>
        <w:rPr>
          <w:bCs/>
        </w:rPr>
        <w:fldChar w:fldCharType="begin"/>
      </w:r>
      <w:r>
        <w:rPr>
          <w:bCs/>
        </w:rPr>
        <w:instrText xml:space="preserve"> HYPERLINK \l _Toc8837 </w:instrText>
      </w:r>
      <w:r>
        <w:rPr>
          <w:bCs/>
        </w:rPr>
        <w:fldChar w:fldCharType="separate"/>
      </w:r>
      <w:r>
        <w:rPr>
          <w:bCs/>
          <w:szCs w:val="22"/>
        </w:rPr>
        <w:t xml:space="preserve">附件六 政府采购政策</w:t>
      </w:r>
      <w:r>
        <w:tab/>
      </w:r>
      <w:r>
        <w:fldChar w:fldCharType="begin"/>
      </w:r>
      <w:r>
        <w:instrText xml:space="preserve"> PAGEREF _Toc8837 \h </w:instrText>
      </w:r>
      <w:r>
        <w:fldChar w:fldCharType="separate"/>
      </w:r>
      <w:r>
        <w:t xml:space="preserve">47</w:t>
      </w:r>
      <w:r>
        <w:fldChar w:fldCharType="end"/>
      </w:r>
      <w:r>
        <w:rPr>
          <w:bCs/>
        </w:rPr>
        <w:fldChar w:fldCharType="end"/>
      </w:r>
      <w:r/>
    </w:p>
    <w:p>
      <w:pPr>
        <w:pStyle w:val="1599"/>
        <w:tabs>
          <w:tab w:val="right" w:pos="9638" w:leader="dot"/>
        </w:tabs>
      </w:pPr>
      <w:r>
        <w:rPr>
          <w:bCs/>
        </w:rPr>
        <w:fldChar w:fldCharType="begin"/>
      </w:r>
      <w:r>
        <w:rPr>
          <w:bCs/>
        </w:rPr>
        <w:instrText xml:space="preserve"> HYPERLINK \l _Toc23261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_Toc23261 \h </w:instrText>
      </w:r>
      <w:r>
        <w:fldChar w:fldCharType="separate"/>
      </w:r>
      <w:r>
        <w:t xml:space="preserve">47</w:t>
      </w:r>
      <w:r>
        <w:fldChar w:fldCharType="end"/>
      </w:r>
      <w:r>
        <w:rPr>
          <w:bCs/>
        </w:rPr>
        <w:fldChar w:fldCharType="end"/>
      </w:r>
      <w:r/>
    </w:p>
    <w:p>
      <w:pPr>
        <w:pStyle w:val="1599"/>
        <w:tabs>
          <w:tab w:val="right" w:pos="9638" w:leader="dot"/>
        </w:tabs>
      </w:pPr>
      <w:r>
        <w:rPr>
          <w:bCs/>
        </w:rPr>
        <w:fldChar w:fldCharType="begin"/>
      </w:r>
      <w:r>
        <w:rPr>
          <w:bCs/>
        </w:rPr>
        <w:instrText xml:space="preserve"> HYPERLINK \l _Toc23711 </w:instrText>
      </w:r>
      <w:r>
        <w:rPr>
          <w:bCs/>
        </w:rPr>
        <w:fldChar w:fldCharType="separate"/>
      </w:r>
      <w:r>
        <w:rPr>
          <w:bCs/>
          <w:szCs w:val="21"/>
        </w:rPr>
        <w:t xml:space="preserve">（二）残疾人福利性单位声明函</w:t>
      </w:r>
      <w:r>
        <w:tab/>
      </w:r>
      <w:r>
        <w:fldChar w:fldCharType="begin"/>
      </w:r>
      <w:r>
        <w:instrText xml:space="preserve"> PAGEREF _Toc23711 \h </w:instrText>
      </w:r>
      <w:r>
        <w:fldChar w:fldCharType="separate"/>
      </w:r>
      <w:r>
        <w:t xml:space="preserve">48</w:t>
      </w:r>
      <w:r>
        <w:fldChar w:fldCharType="end"/>
      </w:r>
      <w:r>
        <w:rPr>
          <w:bCs/>
        </w:rPr>
        <w:fldChar w:fldCharType="end"/>
      </w:r>
      <w:r/>
    </w:p>
    <w:p>
      <w:pPr>
        <w:pStyle w:val="1599"/>
        <w:tabs>
          <w:tab w:val="right" w:pos="9638" w:leader="dot"/>
        </w:tabs>
      </w:pPr>
      <w:r>
        <w:rPr>
          <w:bCs/>
        </w:rPr>
        <w:fldChar w:fldCharType="begin"/>
      </w:r>
      <w:r>
        <w:rPr>
          <w:bCs/>
        </w:rPr>
        <w:instrText xml:space="preserve"> HYPERLINK \l _Toc11114 </w:instrText>
      </w:r>
      <w:r>
        <w:rPr>
          <w:bCs/>
        </w:rPr>
        <w:fldChar w:fldCharType="separate"/>
      </w:r>
      <w:r>
        <w:rPr>
          <w:rFonts w:ascii="Times New Roman" w:hAnsi="Times New Roman" w:cs="Times New Roman"/>
          <w:bCs/>
          <w:szCs w:val="21"/>
        </w:rPr>
        <w:t xml:space="preserve">（三）采购本国产品的支持政策</w:t>
      </w:r>
      <w:r>
        <w:tab/>
      </w:r>
      <w:r>
        <w:fldChar w:fldCharType="begin"/>
      </w:r>
      <w:r>
        <w:instrText xml:space="preserve"> PAGEREF _Toc11114 \h </w:instrText>
      </w:r>
      <w:r>
        <w:fldChar w:fldCharType="separate"/>
      </w:r>
      <w:r>
        <w:t xml:space="preserve">49</w:t>
      </w:r>
      <w:r>
        <w:fldChar w:fldCharType="end"/>
      </w:r>
      <w:r>
        <w:rPr>
          <w:bCs/>
        </w:rPr>
        <w:fldChar w:fldCharType="end"/>
      </w:r>
      <w:r/>
    </w:p>
    <w:p>
      <w:pPr>
        <w:pStyle w:val="1621"/>
        <w:tabs>
          <w:tab w:val="right" w:pos="9638" w:leader="dot"/>
        </w:tabs>
      </w:pPr>
      <w:r>
        <w:rPr>
          <w:bCs/>
        </w:rPr>
        <w:fldChar w:fldCharType="begin"/>
      </w:r>
      <w:r>
        <w:rPr>
          <w:bCs/>
        </w:rPr>
        <w:instrText xml:space="preserve"> HYPERLINK \l _Toc1415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_Toc1415 \h </w:instrText>
      </w:r>
      <w:r>
        <w:fldChar w:fldCharType="separate"/>
      </w:r>
      <w:r>
        <w:t xml:space="preserve">50</w:t>
      </w:r>
      <w:r>
        <w:fldChar w:fldCharType="end"/>
      </w:r>
      <w:r>
        <w:rPr>
          <w:bCs/>
        </w:rPr>
        <w:fldChar w:fldCharType="end"/>
      </w:r>
      <w:r/>
    </w:p>
    <w:p>
      <w:pPr>
        <w:pStyle w:val="1621"/>
        <w:tabs>
          <w:tab w:val="right" w:pos="9638" w:leader="dot"/>
        </w:tabs>
      </w:pPr>
      <w:r>
        <w:rPr>
          <w:bCs/>
        </w:rPr>
        <w:fldChar w:fldCharType="begin"/>
      </w:r>
      <w:r>
        <w:rPr>
          <w:bCs/>
        </w:rPr>
        <w:instrText xml:space="preserve"> HYPERLINK \l _Toc7079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_Toc7079 \h </w:instrText>
      </w:r>
      <w:r>
        <w:fldChar w:fldCharType="separate"/>
      </w:r>
      <w:r>
        <w:t xml:space="preserve">51</w:t>
      </w:r>
      <w:r>
        <w:fldChar w:fldCharType="end"/>
      </w:r>
      <w:r>
        <w:rPr>
          <w:bCs/>
        </w:rPr>
        <w:fldChar w:fldCharType="end"/>
      </w:r>
      <w:r/>
    </w:p>
    <w:p>
      <w:pPr>
        <w:pStyle w:val="1621"/>
        <w:tabs>
          <w:tab w:val="right" w:pos="9638" w:leader="dot"/>
        </w:tabs>
      </w:pPr>
      <w:r>
        <w:rPr>
          <w:bCs/>
        </w:rPr>
        <w:fldChar w:fldCharType="begin"/>
      </w:r>
      <w:r>
        <w:rPr>
          <w:bCs/>
        </w:rPr>
        <w:instrText xml:space="preserve"> HYPERLINK \l _Toc17421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_Toc17421 \h </w:instrText>
      </w:r>
      <w:r>
        <w:fldChar w:fldCharType="separate"/>
      </w:r>
      <w:r>
        <w:t xml:space="preserve">54</w:t>
      </w:r>
      <w:r>
        <w:fldChar w:fldCharType="end"/>
      </w:r>
      <w:r>
        <w:rPr>
          <w:bCs/>
        </w:rPr>
        <w:fldChar w:fldCharType="end"/>
      </w:r>
      <w:r/>
    </w:p>
    <w:p>
      <w:pPr>
        <w:pStyle w:val="1599"/>
        <w:tabs>
          <w:tab w:val="right" w:pos="9638" w:leader="dot"/>
        </w:tabs>
      </w:pPr>
      <w:r>
        <w:rPr>
          <w:bCs/>
        </w:rPr>
        <w:fldChar w:fldCharType="begin"/>
      </w:r>
      <w:r>
        <w:rPr>
          <w:bCs/>
        </w:rPr>
        <w:instrText xml:space="preserve"> HYPERLINK \l _Toc16886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_Toc16886 \h </w:instrText>
      </w:r>
      <w:r>
        <w:fldChar w:fldCharType="separate"/>
      </w:r>
      <w:r>
        <w:t xml:space="preserve">54</w:t>
      </w:r>
      <w:r>
        <w:fldChar w:fldCharType="end"/>
      </w:r>
      <w:r>
        <w:rPr>
          <w:bCs/>
        </w:rPr>
        <w:fldChar w:fldCharType="end"/>
      </w:r>
      <w:r/>
    </w:p>
    <w:p>
      <w:pPr>
        <w:pStyle w:val="1599"/>
        <w:tabs>
          <w:tab w:val="right" w:pos="9638" w:leader="dot"/>
        </w:tabs>
      </w:pPr>
      <w:r>
        <w:rPr>
          <w:bCs/>
        </w:rPr>
        <w:fldChar w:fldCharType="begin"/>
      </w:r>
      <w:r>
        <w:rPr>
          <w:bCs/>
        </w:rPr>
        <w:instrText xml:space="preserve"> HYPERLINK \l _Toc31899 </w:instrText>
      </w:r>
      <w:r>
        <w:rPr>
          <w:bCs/>
        </w:rPr>
        <w:fldChar w:fldCharType="separate"/>
      </w:r>
      <w:r>
        <w:rPr>
          <w:bCs/>
          <w:szCs w:val="21"/>
          <w:lang w:val="zh-CN"/>
        </w:rPr>
        <w:t xml:space="preserve">2、法人代表授权书</w:t>
      </w:r>
      <w:r>
        <w:tab/>
      </w:r>
      <w:r>
        <w:fldChar w:fldCharType="begin"/>
      </w:r>
      <w:r>
        <w:instrText xml:space="preserve"> PAGEREF _Toc31899 \h </w:instrText>
      </w:r>
      <w:r>
        <w:fldChar w:fldCharType="separate"/>
      </w:r>
      <w:r>
        <w:t xml:space="preserve">55</w:t>
      </w:r>
      <w:r>
        <w:fldChar w:fldCharType="end"/>
      </w:r>
      <w:r>
        <w:rPr>
          <w:bCs/>
        </w:rPr>
        <w:fldChar w:fldCharType="end"/>
      </w:r>
      <w:r/>
    </w:p>
    <w:p>
      <w:pPr>
        <w:pStyle w:val="1599"/>
        <w:tabs>
          <w:tab w:val="right" w:pos="9638" w:leader="dot"/>
        </w:tabs>
      </w:pPr>
      <w:r>
        <w:rPr>
          <w:bCs/>
        </w:rPr>
        <w:fldChar w:fldCharType="begin"/>
      </w:r>
      <w:r>
        <w:rPr>
          <w:bCs/>
        </w:rPr>
        <w:instrText xml:space="preserve"> HYPERLINK \l _Toc8830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_Toc8830 \h </w:instrText>
      </w:r>
      <w:r>
        <w:fldChar w:fldCharType="separate"/>
      </w:r>
      <w:r>
        <w:t xml:space="preserve">56</w:t>
      </w:r>
      <w:r>
        <w:fldChar w:fldCharType="end"/>
      </w:r>
      <w:r>
        <w:rPr>
          <w:bCs/>
        </w:rPr>
        <w:fldChar w:fldCharType="end"/>
      </w:r>
      <w:r/>
    </w:p>
    <w:p>
      <w:pPr>
        <w:pStyle w:val="1599"/>
        <w:tabs>
          <w:tab w:val="right" w:pos="9638" w:leader="dot"/>
        </w:tabs>
      </w:pPr>
      <w:r>
        <w:rPr>
          <w:bCs/>
        </w:rPr>
        <w:fldChar w:fldCharType="begin"/>
      </w:r>
      <w:r>
        <w:rPr>
          <w:bCs/>
        </w:rPr>
        <w:instrText xml:space="preserve"> HYPERLINK \l _Toc5780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_Toc5780 \h </w:instrText>
      </w:r>
      <w:r>
        <w:fldChar w:fldCharType="separate"/>
      </w:r>
      <w:r>
        <w:t xml:space="preserve">57</w:t>
      </w:r>
      <w:r>
        <w:fldChar w:fldCharType="end"/>
      </w:r>
      <w:r>
        <w:rPr>
          <w:bCs/>
        </w:rPr>
        <w:fldChar w:fldCharType="end"/>
      </w:r>
      <w:r/>
    </w:p>
    <w:p>
      <w:pPr>
        <w:pStyle w:val="1599"/>
        <w:tabs>
          <w:tab w:val="right" w:pos="9638" w:leader="dot"/>
        </w:tabs>
      </w:pPr>
      <w:r>
        <w:rPr>
          <w:bCs/>
        </w:rPr>
        <w:fldChar w:fldCharType="begin"/>
      </w:r>
      <w:r>
        <w:rPr>
          <w:bCs/>
        </w:rPr>
        <w:instrText xml:space="preserve"> HYPERLINK \l _Toc4995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_Toc4995 \h </w:instrText>
      </w:r>
      <w:r>
        <w:fldChar w:fldCharType="separate"/>
      </w:r>
      <w:r>
        <w:t xml:space="preserve">58</w:t>
      </w:r>
      <w:r>
        <w:fldChar w:fldCharType="end"/>
      </w:r>
      <w:r>
        <w:rPr>
          <w:bCs/>
        </w:rPr>
        <w:fldChar w:fldCharType="end"/>
      </w:r>
      <w:r/>
    </w:p>
    <w:p>
      <w:pPr>
        <w:pStyle w:val="1599"/>
        <w:tabs>
          <w:tab w:val="right" w:pos="9638" w:leader="dot"/>
        </w:tabs>
      </w:pPr>
      <w:r>
        <w:rPr>
          <w:bCs/>
        </w:rPr>
        <w:fldChar w:fldCharType="begin"/>
      </w:r>
      <w:r>
        <w:rPr>
          <w:bCs/>
        </w:rPr>
        <w:instrText xml:space="preserve"> HYPERLINK \l _Toc12757 </w:instrText>
      </w:r>
      <w:r>
        <w:rPr>
          <w:bCs/>
        </w:rPr>
        <w:fldChar w:fldCharType="separate"/>
      </w:r>
      <w:r>
        <w:rPr>
          <w:bCs/>
          <w:szCs w:val="21"/>
        </w:rPr>
        <w:t xml:space="preserve">6、依法缴纳税收的记录</w:t>
      </w:r>
      <w:r>
        <w:tab/>
      </w:r>
      <w:r>
        <w:fldChar w:fldCharType="begin"/>
      </w:r>
      <w:r>
        <w:instrText xml:space="preserve"> PAGEREF _Toc12757 \h </w:instrText>
      </w:r>
      <w:r>
        <w:fldChar w:fldCharType="separate"/>
      </w:r>
      <w:r>
        <w:t xml:space="preserve">59</w:t>
      </w:r>
      <w:r>
        <w:fldChar w:fldCharType="end"/>
      </w:r>
      <w:r>
        <w:rPr>
          <w:bCs/>
        </w:rPr>
        <w:fldChar w:fldCharType="end"/>
      </w:r>
      <w:r/>
    </w:p>
    <w:p>
      <w:pPr>
        <w:pStyle w:val="1599"/>
        <w:tabs>
          <w:tab w:val="right" w:pos="9638" w:leader="dot"/>
        </w:tabs>
      </w:pPr>
      <w:r>
        <w:rPr>
          <w:bCs/>
        </w:rPr>
        <w:fldChar w:fldCharType="begin"/>
      </w:r>
      <w:r>
        <w:rPr>
          <w:bCs/>
        </w:rPr>
        <w:instrText xml:space="preserve"> HYPERLINK \l _Toc30066 </w:instrText>
      </w:r>
      <w:r>
        <w:rPr>
          <w:bCs/>
        </w:rPr>
        <w:fldChar w:fldCharType="separate"/>
      </w:r>
      <w:r>
        <w:rPr>
          <w:bCs/>
          <w:szCs w:val="21"/>
        </w:rPr>
        <w:t xml:space="preserve">7、依法缴纳社会保障资金的记录</w:t>
      </w:r>
      <w:r>
        <w:tab/>
      </w:r>
      <w:r>
        <w:fldChar w:fldCharType="begin"/>
      </w:r>
      <w:r>
        <w:instrText xml:space="preserve"> PAGEREF _Toc30066 \h </w:instrText>
      </w:r>
      <w:r>
        <w:fldChar w:fldCharType="separate"/>
      </w:r>
      <w:r>
        <w:t xml:space="preserve">60</w:t>
      </w:r>
      <w:r>
        <w:fldChar w:fldCharType="end"/>
      </w:r>
      <w:r>
        <w:rPr>
          <w:bCs/>
        </w:rPr>
        <w:fldChar w:fldCharType="end"/>
      </w:r>
      <w:r/>
    </w:p>
    <w:p>
      <w:pPr>
        <w:pStyle w:val="1599"/>
        <w:tabs>
          <w:tab w:val="right" w:pos="9638" w:leader="dot"/>
        </w:tabs>
      </w:pPr>
      <w:r>
        <w:rPr>
          <w:bCs/>
        </w:rPr>
        <w:fldChar w:fldCharType="begin"/>
      </w:r>
      <w:r>
        <w:rPr>
          <w:bCs/>
        </w:rPr>
        <w:instrText xml:space="preserve"> HYPERLINK \l _Toc29966 </w:instrText>
      </w:r>
      <w:r>
        <w:rPr>
          <w:bCs/>
        </w:rPr>
        <w:fldChar w:fldCharType="separate"/>
      </w:r>
      <w:r>
        <w:rPr>
          <w:bCs/>
          <w:szCs w:val="21"/>
        </w:rPr>
        <w:t xml:space="preserve">8、针对本项目的特定资格要求</w:t>
      </w:r>
      <w:r>
        <w:tab/>
      </w:r>
      <w:r>
        <w:fldChar w:fldCharType="begin"/>
      </w:r>
      <w:r>
        <w:instrText xml:space="preserve"> PAGEREF _Toc29966 \h </w:instrText>
      </w:r>
      <w:r>
        <w:fldChar w:fldCharType="separate"/>
      </w:r>
      <w:r>
        <w:t xml:space="preserve">61</w:t>
      </w:r>
      <w:r>
        <w:fldChar w:fldCharType="end"/>
      </w:r>
      <w:r>
        <w:rPr>
          <w:bCs/>
        </w:rPr>
        <w:fldChar w:fldCharType="end"/>
      </w:r>
      <w:r/>
    </w:p>
    <w:p>
      <w:pPr>
        <w:pStyle w:val="1599"/>
        <w:tabs>
          <w:tab w:val="right" w:pos="9638" w:leader="dot"/>
        </w:tabs>
      </w:pPr>
      <w:r>
        <w:rPr>
          <w:bCs/>
        </w:rPr>
        <w:fldChar w:fldCharType="begin"/>
      </w:r>
      <w:r>
        <w:rPr>
          <w:bCs/>
        </w:rPr>
        <w:instrText xml:space="preserve"> HYPERLINK \l _Toc25676 </w:instrText>
      </w:r>
      <w:r>
        <w:rPr>
          <w:bCs/>
        </w:rPr>
        <w:fldChar w:fldCharType="separate"/>
      </w:r>
      <w:r>
        <w:rPr>
          <w:bCs/>
          <w:szCs w:val="21"/>
        </w:rPr>
        <w:t xml:space="preserve">9、供应商认为其需要提供的其他资格证明文件。</w:t>
      </w:r>
      <w:r>
        <w:tab/>
      </w:r>
      <w:r>
        <w:fldChar w:fldCharType="begin"/>
      </w:r>
      <w:r>
        <w:instrText xml:space="preserve"> PAGEREF _Toc25676 \h </w:instrText>
      </w:r>
      <w:r>
        <w:fldChar w:fldCharType="separate"/>
      </w:r>
      <w:r>
        <w:t xml:space="preserve">62</w:t>
      </w:r>
      <w:r>
        <w:fldChar w:fldCharType="end"/>
      </w:r>
      <w:r>
        <w:rPr>
          <w:bCs/>
        </w:rPr>
        <w:fldChar w:fldCharType="end"/>
      </w:r>
      <w:r/>
    </w:p>
    <w:p>
      <w:pPr>
        <w:pStyle w:val="1621"/>
        <w:tabs>
          <w:tab w:val="right" w:pos="9638" w:leader="dot"/>
        </w:tabs>
      </w:pPr>
      <w:r>
        <w:rPr>
          <w:bCs/>
        </w:rPr>
        <w:fldChar w:fldCharType="begin"/>
      </w:r>
      <w:r>
        <w:rPr>
          <w:bCs/>
        </w:rPr>
        <w:instrText xml:space="preserve"> HYPERLINK \l _Toc9228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_Toc9228 \h </w:instrText>
      </w:r>
      <w:r>
        <w:fldChar w:fldCharType="separate"/>
      </w:r>
      <w:r>
        <w:t xml:space="preserve">63</w:t>
      </w:r>
      <w:r>
        <w:fldChar w:fldCharType="end"/>
      </w:r>
      <w:r>
        <w:rPr>
          <w:bCs/>
        </w:rPr>
        <w:fldChar w:fldCharType="end"/>
      </w:r>
      <w:r/>
    </w:p>
    <w:p>
      <w:pPr>
        <w:pStyle w:val="1561"/>
        <w:spacing w:line="440" w:lineRule="exact"/>
        <w:rPr>
          <w:bCs/>
          <w:sz w:val="24"/>
        </w:rPr>
      </w:pPr>
      <w:r>
        <w:rPr>
          <w:bCs/>
        </w:rPr>
        <w:fldChar w:fldCharType="end"/>
      </w:r>
      <w:r>
        <w:rPr>
          <w:bCs/>
          <w:sz w:val="24"/>
        </w:rPr>
      </w:r>
      <w:r/>
    </w:p>
    <w:p>
      <w:pPr>
        <w:pStyle w:val="1561"/>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561"/>
        <w:jc w:val="center"/>
        <w:spacing w:line="360" w:lineRule="auto"/>
        <w:rPr>
          <w:b/>
          <w:sz w:val="44"/>
        </w:rPr>
        <w:outlineLvl w:val="0"/>
      </w:pPr>
      <w:r/>
      <w:bookmarkStart w:id="2" w:name="_Toc26460"/>
      <w:r/>
      <w:bookmarkStart w:id="3" w:name="_Toc19798"/>
      <w:r>
        <w:rPr>
          <w:b/>
          <w:sz w:val="28"/>
          <w:szCs w:val="28"/>
        </w:rPr>
        <w:t xml:space="preserve">第一章 投标邀请（招标公告）</w:t>
      </w:r>
      <w:bookmarkEnd w:id="0"/>
      <w:r/>
      <w:bookmarkEnd w:id="1"/>
      <w:r/>
      <w:bookmarkEnd w:id="2"/>
      <w:r/>
      <w:bookmarkEnd w:id="3"/>
      <w:r>
        <w:rPr>
          <w:b/>
          <w:sz w:val="44"/>
        </w:rPr>
      </w:r>
      <w:r/>
    </w:p>
    <w:p>
      <w:pPr>
        <w:pStyle w:val="1561"/>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561"/>
        <w:ind w:firstLine="420"/>
        <w:spacing w:line="360" w:lineRule="auto"/>
        <w:rPr>
          <w:szCs w:val="21"/>
        </w:rPr>
        <w:pBdr>
          <w:top w:val="single" w:color="000000" w:sz="4" w:space="1"/>
          <w:left w:val="single" w:color="000000" w:sz="4" w:space="4"/>
          <w:bottom w:val="single" w:color="000000" w:sz="4" w:space="1"/>
          <w:right w:val="single" w:color="000000" w:sz="4" w:space="4"/>
        </w:pBdr>
      </w:pPr>
      <w:r>
        <w:rPr>
          <w:rFonts w:hint="eastAsia"/>
          <w:color w:val="000000"/>
          <w:szCs w:val="21"/>
          <w:u w:val="single"/>
          <w:lang w:eastAsia="zh-CN"/>
        </w:rPr>
        <w:t xml:space="preserve">江苏省环境监测中心</w:t>
      </w:r>
      <w:r>
        <w:rPr>
          <w:rFonts w:hint="eastAsia"/>
          <w:szCs w:val="21"/>
          <w:u w:val="single"/>
          <w:lang w:eastAsia="zh-CN"/>
        </w:rPr>
        <w:t xml:space="preserve">2026年度江苏省新生产销售机动</w:t>
      </w:r>
      <w:r>
        <w:rPr>
          <w:rFonts w:hint="eastAsia"/>
          <w:szCs w:val="21"/>
          <w:u w:val="single"/>
          <w:lang w:val="en-US" w:eastAsia="zh-CN"/>
        </w:rPr>
        <w:t xml:space="preserve">车</w:t>
      </w:r>
      <w:r>
        <w:rPr>
          <w:rFonts w:hint="eastAsia"/>
          <w:szCs w:val="21"/>
          <w:u w:val="single"/>
          <w:lang w:eastAsia="zh-CN"/>
        </w:rPr>
        <w:t xml:space="preserve">和非道路移动机械环保达标抽查核验项目</w:t>
      </w:r>
      <w:r>
        <w:rPr>
          <w:szCs w:val="21"/>
        </w:rPr>
        <w:t xml:space="preserve">招标项目的潜在投标人</w:t>
      </w:r>
      <w:r>
        <w:rPr>
          <w:rFonts w:hint="eastAsia"/>
          <w:szCs w:val="21"/>
        </w:rPr>
        <w:t xml:space="preserve">应在</w:t>
      </w:r>
      <w:r>
        <w:rPr>
          <w:rFonts w:hint="eastAsia"/>
          <w:szCs w:val="21"/>
          <w:u w:val="single"/>
        </w:rPr>
        <w:t xml:space="preserve">“苏采云”系统内免费</w:t>
      </w:r>
      <w:r>
        <w:rPr>
          <w:rFonts w:hint="eastAsia"/>
          <w:szCs w:val="21"/>
        </w:rPr>
        <w:t xml:space="preserve">下载</w:t>
      </w:r>
      <w:r>
        <w:rPr>
          <w:rFonts w:ascii="Arial" w:hAnsi="Arial" w:cs="Arial"/>
          <w:szCs w:val="21"/>
        </w:rPr>
        <w:t xml:space="preserve">招标文件</w:t>
      </w:r>
      <w:r>
        <w:rPr>
          <w:szCs w:val="21"/>
        </w:rPr>
        <w:t xml:space="preserve">，并</w:t>
      </w:r>
      <w:r>
        <w:rPr>
          <w:szCs w:val="21"/>
          <w:highlight w:val="none"/>
        </w:rPr>
        <w:t xml:space="preserve">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bCs/>
          <w:szCs w:val="21"/>
          <w:highlight w:val="none"/>
          <w:u w:val="single"/>
        </w:rPr>
        <w:t xml:space="preserve">（</w:t>
      </w:r>
      <w:r>
        <w:rPr>
          <w:bCs/>
          <w:szCs w:val="21"/>
          <w:highlight w:val="none"/>
        </w:rPr>
        <w:t xml:space="preserve">北京时</w:t>
      </w:r>
      <w:r>
        <w:rPr>
          <w:bCs/>
          <w:szCs w:val="21"/>
        </w:rPr>
        <w:t xml:space="preserve">间）前递交投标文件</w:t>
      </w:r>
      <w:r>
        <w:rPr>
          <w:szCs w:val="21"/>
        </w:rPr>
        <w:t xml:space="preserve">。</w:t>
      </w:r>
      <w:r>
        <w:rPr>
          <w:szCs w:val="21"/>
        </w:rPr>
      </w:r>
      <w:r/>
    </w:p>
    <w:p>
      <w:pPr>
        <w:pStyle w:val="1561"/>
        <w:spacing w:line="460" w:lineRule="exact"/>
        <w:rPr>
          <w:b/>
          <w:szCs w:val="21"/>
        </w:rPr>
      </w:pPr>
      <w:r/>
      <w:bookmarkStart w:id="4" w:name="_Toc35393790"/>
      <w:r/>
      <w:bookmarkStart w:id="5" w:name="_Toc28359002"/>
      <w:r/>
      <w:bookmarkStart w:id="6" w:name="_Toc35393621"/>
      <w:r/>
      <w:bookmarkStart w:id="7" w:name="_Toc28359079"/>
      <w:r/>
      <w:bookmarkStart w:id="8" w:name="_Hlk24379207"/>
      <w:r>
        <w:rPr>
          <w:b/>
          <w:szCs w:val="21"/>
        </w:rPr>
        <w:t xml:space="preserve">一、项目基本情况</w:t>
      </w:r>
      <w:bookmarkEnd w:id="4"/>
      <w:r/>
      <w:bookmarkEnd w:id="5"/>
      <w:r/>
      <w:bookmarkEnd w:id="6"/>
      <w:r/>
      <w:bookmarkEnd w:id="7"/>
      <w:r>
        <w:rPr>
          <w:b/>
          <w:szCs w:val="21"/>
        </w:rPr>
      </w:r>
      <w:r/>
    </w:p>
    <w:p>
      <w:pPr>
        <w:pStyle w:val="1561"/>
        <w:ind w:firstLine="210"/>
        <w:spacing w:line="460" w:lineRule="exact"/>
        <w:rPr>
          <w:szCs w:val="21"/>
        </w:rPr>
      </w:pPr>
      <w:r>
        <w:rPr>
          <w:szCs w:val="21"/>
        </w:rPr>
        <w:t xml:space="preserve">1、项目</w:t>
      </w:r>
      <w:r>
        <w:rPr>
          <w:szCs w:val="21"/>
          <w:highlight w:val="none"/>
        </w:rPr>
        <w:t xml:space="preserve">编号：</w:t>
      </w:r>
      <w:r>
        <w:rPr>
          <w:rFonts w:hint="eastAsia"/>
          <w:szCs w:val="21"/>
          <w:highlight w:val="none"/>
          <w:lang w:eastAsia="zh-CN"/>
        </w:rPr>
        <w:t xml:space="preserve">JSZC-320000-SMDY-G2026-0052</w:t>
      </w:r>
      <w:r>
        <w:rPr>
          <w:szCs w:val="21"/>
          <w:highlight w:val="none"/>
        </w:rPr>
        <w:t xml:space="preserve">（</w:t>
      </w:r>
      <w:r>
        <w:rPr>
          <w:rFonts w:hint="eastAsia"/>
          <w:szCs w:val="21"/>
          <w:lang w:eastAsia="zh-CN"/>
        </w:rPr>
        <w:t xml:space="preserve">2640SUMEC/ZWGG2088</w:t>
      </w:r>
      <w:r>
        <w:rPr>
          <w:szCs w:val="21"/>
        </w:rPr>
        <w:t xml:space="preserve">）</w:t>
      </w:r>
      <w:r>
        <w:rPr>
          <w:szCs w:val="21"/>
        </w:rPr>
      </w:r>
      <w:r/>
    </w:p>
    <w:p>
      <w:pPr>
        <w:pStyle w:val="1561"/>
        <w:ind w:firstLine="210"/>
        <w:spacing w:line="460" w:lineRule="exact"/>
        <w:rPr>
          <w:rFonts w:hint="eastAsia" w:eastAsia="宋体"/>
          <w:szCs w:val="21"/>
          <w:lang w:eastAsia="zh-CN"/>
        </w:rPr>
      </w:pPr>
      <w:r>
        <w:rPr>
          <w:szCs w:val="21"/>
        </w:rPr>
        <w:t xml:space="preserve">2、项目名称：</w:t>
      </w:r>
      <w:r>
        <w:rPr>
          <w:rFonts w:hint="eastAsia"/>
          <w:szCs w:val="21"/>
          <w:lang w:eastAsia="zh-CN"/>
        </w:rPr>
        <w:t xml:space="preserve">2026年度江苏省新生产销售机动</w:t>
      </w:r>
      <w:r>
        <w:rPr>
          <w:rFonts w:hint="eastAsia"/>
          <w:szCs w:val="21"/>
          <w:lang w:val="en-US" w:eastAsia="zh-CN"/>
        </w:rPr>
        <w:t xml:space="preserve">车</w:t>
      </w:r>
      <w:r>
        <w:rPr>
          <w:rFonts w:hint="eastAsia"/>
          <w:szCs w:val="21"/>
          <w:lang w:eastAsia="zh-CN"/>
        </w:rPr>
        <w:t xml:space="preserve">和非道路移动机械环保达标抽查核验项目</w:t>
      </w:r>
      <w:r>
        <w:rPr>
          <w:rFonts w:hint="eastAsia" w:eastAsia="宋体"/>
          <w:szCs w:val="21"/>
          <w:lang w:eastAsia="zh-CN"/>
        </w:rPr>
      </w:r>
      <w:r/>
    </w:p>
    <w:p>
      <w:pPr>
        <w:pStyle w:val="1561"/>
        <w:ind w:firstLine="210"/>
        <w:spacing w:line="460" w:lineRule="exact"/>
        <w:rPr>
          <w:szCs w:val="21"/>
        </w:rPr>
      </w:pPr>
      <w:r/>
      <w:bookmarkEnd w:id="8"/>
      <w:r>
        <w:rPr>
          <w:szCs w:val="21"/>
        </w:rPr>
        <w:t xml:space="preserve">3、预算金额：</w:t>
      </w:r>
      <w:r>
        <w:rPr>
          <w:rFonts w:hint="eastAsia"/>
          <w:szCs w:val="21"/>
          <w:lang w:val="en-US" w:eastAsia="zh-CN"/>
        </w:rPr>
        <w:t xml:space="preserve">221</w:t>
      </w:r>
      <w:r>
        <w:rPr>
          <w:szCs w:val="21"/>
        </w:rPr>
        <w:t xml:space="preserve">万元，超过对应预算金额作无效投标处理</w:t>
      </w:r>
      <w:r>
        <w:rPr>
          <w:szCs w:val="21"/>
        </w:rPr>
      </w:r>
      <w:r/>
    </w:p>
    <w:p>
      <w:pPr>
        <w:pStyle w:val="1561"/>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561"/>
        <w:ind w:firstLine="210"/>
        <w:spacing w:line="460" w:lineRule="exact"/>
        <w:rPr>
          <w:rFonts w:hint="eastAsia"/>
          <w:szCs w:val="21"/>
        </w:rPr>
      </w:pPr>
      <w:r>
        <w:rPr>
          <w:szCs w:val="21"/>
        </w:rPr>
        <w:t xml:space="preserve">5、采购需求：</w:t>
      </w:r>
      <w:r>
        <w:rPr>
          <w:rFonts w:hint="eastAsia"/>
          <w:color w:val="000000"/>
          <w:szCs w:val="21"/>
        </w:rPr>
        <w:t xml:space="preserve">为严格落实生态环境相关法律法规及政策要求，强化本省新生产、销售</w:t>
      </w:r>
      <w:r>
        <w:rPr>
          <w:rFonts w:hint="eastAsia"/>
          <w:color w:val="000000"/>
          <w:szCs w:val="21"/>
          <w:lang w:val="en-US" w:eastAsia="zh-CN"/>
        </w:rPr>
        <w:t xml:space="preserve">货车</w:t>
      </w:r>
      <w:r>
        <w:rPr>
          <w:rFonts w:hint="eastAsia"/>
          <w:color w:val="000000"/>
          <w:szCs w:val="21"/>
        </w:rPr>
        <w:t xml:space="preserve">与非道路移动机械排放源头管控，补齐监管短板、提升监管效能，现组织开展本次</w:t>
      </w:r>
      <w:r>
        <w:rPr>
          <w:rFonts w:hint="eastAsia"/>
          <w:color w:val="000000"/>
          <w:szCs w:val="21"/>
          <w:lang w:eastAsia="zh-CN"/>
        </w:rPr>
        <w:t xml:space="preserve">抽查核验</w:t>
      </w:r>
      <w:r>
        <w:rPr>
          <w:rFonts w:hint="eastAsia"/>
          <w:color w:val="000000"/>
          <w:szCs w:val="21"/>
        </w:rPr>
        <w:t xml:space="preserve">工作。通过常态化环保达标抽查，扎实推进移动源污染防治，持续改善区域生态环境质量。本项目主要完成2026年度江苏省范围内新生产、销售</w:t>
      </w:r>
      <w:r>
        <w:rPr>
          <w:rFonts w:hint="eastAsia"/>
          <w:color w:val="000000"/>
          <w:szCs w:val="21"/>
          <w:lang w:val="en-US" w:eastAsia="zh-CN"/>
        </w:rPr>
        <w:t xml:space="preserve">货车</w:t>
      </w:r>
      <w:r>
        <w:rPr>
          <w:rFonts w:hint="eastAsia"/>
          <w:color w:val="000000"/>
          <w:szCs w:val="21"/>
        </w:rPr>
        <w:t xml:space="preserve">及非道路移动机械的环保达标</w:t>
      </w:r>
      <w:r>
        <w:rPr>
          <w:rFonts w:hint="eastAsia"/>
          <w:color w:val="000000"/>
          <w:szCs w:val="21"/>
          <w:lang w:eastAsia="zh-CN"/>
        </w:rPr>
        <w:t xml:space="preserve">抽查核验</w:t>
      </w:r>
      <w:r>
        <w:rPr>
          <w:rFonts w:hint="eastAsia"/>
          <w:color w:val="000000"/>
          <w:szCs w:val="21"/>
        </w:rPr>
        <w:t xml:space="preserve">任务。</w:t>
      </w:r>
      <w:r>
        <w:rPr>
          <w:rFonts w:hint="eastAsia"/>
          <w:szCs w:val="21"/>
        </w:rPr>
      </w:r>
      <w:r/>
    </w:p>
    <w:p>
      <w:pPr>
        <w:pStyle w:val="1561"/>
        <w:ind w:firstLine="210"/>
        <w:spacing w:line="460" w:lineRule="exact"/>
        <w:rPr>
          <w:rFonts w:eastAsia="宋体"/>
          <w:color w:val="000000"/>
          <w:szCs w:val="21"/>
          <w:lang w:val="en-US" w:eastAsia="zh-CN"/>
        </w:rPr>
      </w:pPr>
      <w:r>
        <w:rPr>
          <w:color w:val="000000"/>
          <w:szCs w:val="21"/>
        </w:rPr>
        <w:t xml:space="preserve">6、合同履行期限（</w:t>
      </w:r>
      <w:r>
        <w:rPr>
          <w:rFonts w:hint="eastAsia"/>
          <w:color w:val="000000"/>
          <w:szCs w:val="21"/>
          <w:lang w:val="en-US" w:eastAsia="zh-CN"/>
        </w:rPr>
        <w:t xml:space="preserve">服务</w:t>
      </w:r>
      <w:r>
        <w:rPr>
          <w:color w:val="000000"/>
          <w:szCs w:val="21"/>
        </w:rPr>
        <w:t xml:space="preserve">期）：</w:t>
      </w:r>
      <w:r>
        <w:rPr>
          <w:rFonts w:hint="eastAsia"/>
          <w:color w:val="000000"/>
          <w:szCs w:val="21"/>
          <w:lang w:val="en-US" w:eastAsia="zh-CN"/>
        </w:rPr>
        <w:t xml:space="preserve">合同签订之日起1年内</w:t>
      </w:r>
      <w:r>
        <w:rPr>
          <w:rFonts w:eastAsia="宋体"/>
          <w:color w:val="000000"/>
          <w:szCs w:val="21"/>
          <w:lang w:val="en-US" w:eastAsia="zh-CN"/>
        </w:rPr>
      </w:r>
      <w:r/>
    </w:p>
    <w:p>
      <w:pPr>
        <w:pStyle w:val="1561"/>
        <w:ind w:firstLine="210"/>
        <w:spacing w:line="460" w:lineRule="exact"/>
        <w:rPr>
          <w:rFonts w:hint="eastAsia" w:ascii="宋体" w:hAnsi="宋体" w:cs="宋体"/>
          <w:szCs w:val="21"/>
        </w:rPr>
      </w:pPr>
      <w:r>
        <w:rPr>
          <w:szCs w:val="21"/>
        </w:rPr>
        <w:t xml:space="preserve">7、本项目（是/否）接受联合体投标：</w:t>
      </w:r>
      <w:r>
        <w:rPr>
          <w:rFonts w:hint="eastAsia"/>
          <w:szCs w:val="21"/>
        </w:rPr>
        <w:t xml:space="preserve">否</w:t>
      </w:r>
      <w:r>
        <w:rPr>
          <w:rFonts w:hint="eastAsia" w:ascii="宋体" w:hAnsi="宋体" w:cs="宋体"/>
          <w:szCs w:val="21"/>
        </w:rPr>
        <w:t xml:space="preserve">。</w:t>
      </w:r>
      <w:r>
        <w:rPr>
          <w:rFonts w:hint="eastAsia" w:ascii="宋体" w:hAnsi="宋体" w:cs="宋体"/>
          <w:szCs w:val="21"/>
        </w:rPr>
      </w:r>
      <w:r/>
    </w:p>
    <w:p>
      <w:pPr>
        <w:pStyle w:val="1561"/>
        <w:spacing w:line="460" w:lineRule="exact"/>
        <w:rPr>
          <w:b/>
          <w:bCs/>
          <w:szCs w:val="21"/>
        </w:rPr>
      </w:pPr>
      <w:r/>
      <w:bookmarkStart w:id="9" w:name="_Toc28359003"/>
      <w:r/>
      <w:bookmarkStart w:id="10" w:name="_Toc35393622"/>
      <w:r/>
      <w:bookmarkStart w:id="11" w:name="_Toc35393791"/>
      <w:r/>
      <w:bookmarkStart w:id="12" w:name="_Toc28359080"/>
      <w:r>
        <w:rPr>
          <w:b/>
          <w:bCs/>
          <w:szCs w:val="21"/>
        </w:rPr>
        <w:t xml:space="preserve">二、申请人的资格要求</w:t>
      </w:r>
      <w:bookmarkEnd w:id="9"/>
      <w:r/>
      <w:bookmarkEnd w:id="10"/>
      <w:r/>
      <w:bookmarkEnd w:id="11"/>
      <w:r/>
      <w:bookmarkEnd w:id="12"/>
      <w:r>
        <w:rPr>
          <w:b/>
          <w:bCs/>
          <w:szCs w:val="21"/>
        </w:rPr>
      </w:r>
      <w:r/>
    </w:p>
    <w:p>
      <w:pPr>
        <w:pStyle w:val="1561"/>
        <w:ind w:firstLine="210"/>
        <w:spacing w:line="360" w:lineRule="auto"/>
        <w:rPr>
          <w:rFonts w:hint="eastAsia"/>
          <w:szCs w:val="21"/>
          <w:lang w:eastAsia="zh-CN"/>
        </w:rPr>
      </w:pPr>
      <w:r/>
      <w:bookmarkStart w:id="13" w:name="_Toc28359004"/>
      <w:r/>
      <w:bookmarkStart w:id="14" w:name="_Toc28359081"/>
      <w:r>
        <w:rPr>
          <w:szCs w:val="21"/>
        </w:rPr>
        <w:t xml:space="preserve">1、满足《中华人民共和国政府采购法》第二十二条规定</w:t>
      </w:r>
      <w:r>
        <w:rPr>
          <w:rFonts w:hint="eastAsia"/>
          <w:szCs w:val="21"/>
          <w:lang w:eastAsia="zh-CN"/>
        </w:rPr>
        <w:t xml:space="preserve">：</w:t>
      </w:r>
      <w:r>
        <w:rPr>
          <w:rFonts w:hint="eastAsia"/>
          <w:szCs w:val="21"/>
          <w:lang w:eastAsia="zh-CN"/>
        </w:rPr>
      </w:r>
      <w:r/>
    </w:p>
    <w:p>
      <w:pPr>
        <w:pStyle w:val="1561"/>
        <w:ind w:firstLine="420"/>
        <w:spacing w:line="460" w:lineRule="exact"/>
        <w:rPr>
          <w:szCs w:val="21"/>
        </w:rPr>
      </w:pPr>
      <w:r>
        <w:rPr>
          <w:szCs w:val="21"/>
        </w:rPr>
        <w:t xml:space="preserve">（1）具有独立承担民事责任的能力，提供法人或其他组织的营业执照等证明文件，复印件加盖公章；</w:t>
      </w:r>
      <w:r>
        <w:rPr>
          <w:szCs w:val="21"/>
        </w:rPr>
      </w:r>
      <w:r/>
    </w:p>
    <w:p>
      <w:pPr>
        <w:pStyle w:val="1561"/>
        <w:ind w:firstLine="420"/>
        <w:spacing w:line="460" w:lineRule="exact"/>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561"/>
        <w:ind w:firstLine="420"/>
        <w:spacing w:line="460" w:lineRule="exact"/>
        <w:rPr>
          <w:szCs w:val="21"/>
        </w:rPr>
      </w:pPr>
      <w:r>
        <w:rPr>
          <w:szCs w:val="21"/>
        </w:rPr>
        <w:t xml:space="preserve">（3）具有良好的商业信誉和健全的财务会计制度，提供距开标时间六个月内任意一</w:t>
      </w:r>
      <w:r>
        <w:rPr>
          <w:rFonts w:hint="eastAsia"/>
          <w:szCs w:val="21"/>
          <w:lang w:val="en-US" w:eastAsia="zh-CN"/>
        </w:rPr>
        <w:t xml:space="preserve">个</w:t>
      </w:r>
      <w:r>
        <w:rPr>
          <w:szCs w:val="21"/>
        </w:rPr>
        <w:t xml:space="preserve">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Cs w:val="21"/>
        </w:rPr>
      </w:r>
      <w:r/>
    </w:p>
    <w:p>
      <w:pPr>
        <w:pStyle w:val="1561"/>
        <w:ind w:firstLine="420"/>
        <w:spacing w:line="460" w:lineRule="exact"/>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561"/>
        <w:ind w:firstLine="420"/>
        <w:spacing w:line="460" w:lineRule="exact"/>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561"/>
        <w:ind w:firstLine="420"/>
        <w:spacing w:line="460" w:lineRule="exact"/>
        <w:rPr>
          <w:szCs w:val="21"/>
        </w:rPr>
      </w:pPr>
      <w:r>
        <w:rPr>
          <w:szCs w:val="21"/>
        </w:rPr>
        <w:t xml:space="preserve">（6）有依法缴纳税收的良好记录，提供距开标时间六个月内任意一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rPr>
          <w:szCs w:val="21"/>
        </w:rPr>
      </w:r>
      <w:r/>
    </w:p>
    <w:p>
      <w:pPr>
        <w:pStyle w:val="1561"/>
        <w:ind w:firstLine="420"/>
        <w:spacing w:line="360" w:lineRule="auto"/>
        <w:rPr>
          <w:szCs w:val="21"/>
        </w:rPr>
      </w:pPr>
      <w:r>
        <w:rPr>
          <w:szCs w:val="21"/>
        </w:rPr>
        <w:t xml:space="preserve">（7）有依法缴纳社会保障资金的良好记录，提供距开标时间六个月内任意一</w:t>
      </w:r>
      <w:r>
        <w:rPr>
          <w:rFonts w:hint="eastAsia"/>
          <w:szCs w:val="21"/>
        </w:rPr>
        <w:t xml:space="preserve">个</w:t>
      </w:r>
      <w:r>
        <w:rPr>
          <w:szCs w:val="21"/>
        </w:rPr>
        <w:t xml:space="preserve">月份的依法缴纳社会保障资金的凭据复印件加盖公章；</w:t>
      </w:r>
      <w:r>
        <w:rPr>
          <w:szCs w:val="21"/>
        </w:rPr>
      </w:r>
      <w:r/>
    </w:p>
    <w:p>
      <w:pPr>
        <w:pStyle w:val="1561"/>
        <w:ind w:firstLine="210"/>
        <w:spacing w:line="360" w:lineRule="auto"/>
        <w:rPr>
          <w:szCs w:val="21"/>
        </w:rPr>
      </w:pPr>
      <w:r>
        <w:rPr>
          <w:szCs w:val="21"/>
        </w:rPr>
        <w:t xml:space="preserve">2、落实政府采购政策需满足的资格要求：无（本项目不属于专门面向中小企业采购的项目）。</w:t>
      </w:r>
      <w:r>
        <w:rPr>
          <w:szCs w:val="21"/>
        </w:rPr>
      </w:r>
      <w:r/>
    </w:p>
    <w:p>
      <w:pPr>
        <w:pStyle w:val="1561"/>
        <w:ind w:firstLine="210"/>
        <w:spacing w:line="360" w:lineRule="auto"/>
        <w:rPr>
          <w:szCs w:val="21"/>
        </w:rPr>
      </w:pPr>
      <w:r>
        <w:rPr>
          <w:szCs w:val="21"/>
        </w:rPr>
        <w:t xml:space="preserve">3、本项目的特定资格要求：</w:t>
      </w:r>
      <w:r>
        <w:rPr>
          <w:szCs w:val="21"/>
        </w:rPr>
      </w:r>
      <w:r/>
    </w:p>
    <w:p>
      <w:pPr>
        <w:pStyle w:val="1561"/>
        <w:ind w:firstLine="211"/>
        <w:spacing w:line="460" w:lineRule="exact"/>
        <w:rPr>
          <w:rFonts w:hint="eastAsia"/>
          <w:b/>
          <w:bCs/>
          <w:szCs w:val="21"/>
        </w:rPr>
      </w:pPr>
      <w:r>
        <w:rPr>
          <w:rFonts w:hint="eastAsia"/>
          <w:b/>
          <w:bCs/>
          <w:szCs w:val="21"/>
        </w:rPr>
        <w:t xml:space="preserve">（1）投标人应获得市场监督管理部门颁发的《检验检测机构资质认定证书》。</w:t>
      </w:r>
      <w:r>
        <w:rPr>
          <w:rFonts w:hint="eastAsia"/>
          <w:b/>
          <w:bCs/>
          <w:szCs w:val="21"/>
        </w:rPr>
      </w:r>
      <w:r/>
    </w:p>
    <w:p>
      <w:pPr>
        <w:pStyle w:val="1561"/>
        <w:ind w:firstLine="210"/>
        <w:spacing w:line="460" w:lineRule="exact"/>
        <w:rPr>
          <w:szCs w:val="21"/>
        </w:rPr>
      </w:pPr>
      <w:r>
        <w:rPr>
          <w:szCs w:val="21"/>
        </w:rPr>
        <w:t xml:space="preserve">（</w:t>
      </w:r>
      <w:r>
        <w:rPr>
          <w:rFonts w:hint="eastAsia"/>
          <w:szCs w:val="21"/>
          <w:lang w:val="en-US" w:eastAsia="zh-CN"/>
        </w:rPr>
        <w:t xml:space="preserve">2</w:t>
      </w:r>
      <w:r>
        <w:rPr>
          <w:szCs w:val="21"/>
        </w:rPr>
        <w:t xml:space="preserve">）拒绝下述投标人参加本次采购活动的情形：</w:t>
      </w:r>
      <w:r>
        <w:rPr>
          <w:szCs w:val="21"/>
        </w:rPr>
      </w:r>
      <w:r/>
    </w:p>
    <w:p>
      <w:pPr>
        <w:pStyle w:val="1561"/>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rPr>
          <w:szCs w:val="21"/>
        </w:rPr>
      </w:r>
      <w:r/>
    </w:p>
    <w:p>
      <w:pPr>
        <w:pStyle w:val="1561"/>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rPr>
          <w:szCs w:val="21"/>
        </w:rPr>
      </w:r>
      <w:r/>
    </w:p>
    <w:p>
      <w:pPr>
        <w:pStyle w:val="1561"/>
        <w:ind w:firstLine="420"/>
        <w:spacing w:line="460" w:lineRule="exact"/>
        <w:widowControl/>
        <w:rPr>
          <w:szCs w:val="21"/>
        </w:rPr>
      </w:pPr>
      <w:r>
        <w:rPr>
          <w:szCs w:val="21"/>
        </w:rPr>
        <w:t xml:space="preserve">③拒绝列入失信被执行人、重大税收违法案件当事人名单、政府采购严重违法失信行为记录名单的投标人参与政府采购活动。</w:t>
      </w:r>
      <w:r>
        <w:rPr>
          <w:bCs/>
          <w:szCs w:val="21"/>
        </w:rPr>
        <w:t xml:space="preserve">采购代理机构在评标时</w:t>
      </w:r>
      <w:r>
        <w:rPr>
          <w:szCs w:val="21"/>
        </w:rPr>
        <w:t xml:space="preserve">通过“信用中国”网站(www.creditchina.gov.cn)、中国政府采购网(www.ccgp.gov.cn)等渠道查询投标人在</w:t>
      </w:r>
      <w:r>
        <w:rPr>
          <w:b/>
          <w:bCs/>
        </w:rPr>
        <w:t xml:space="preserve">递交投标文件截止之日24时前</w:t>
      </w:r>
      <w:r>
        <w:rPr>
          <w:szCs w:val="21"/>
        </w:rPr>
        <w:t xml:space="preserve">的信用记录并保存。</w:t>
      </w:r>
      <w:bookmarkStart w:id="15" w:name="_Toc35393792"/>
      <w:r/>
      <w:bookmarkStart w:id="16" w:name="_Toc35393623"/>
      <w:r>
        <w:rPr>
          <w:szCs w:val="21"/>
        </w:rPr>
      </w:r>
      <w:r/>
    </w:p>
    <w:p>
      <w:pPr>
        <w:pStyle w:val="1561"/>
        <w:ind w:firstLine="422"/>
        <w:spacing w:line="460" w:lineRule="exact"/>
        <w:widowControl/>
        <w:rPr>
          <w:szCs w:val="21"/>
        </w:rPr>
      </w:pPr>
      <w:r>
        <w:rPr>
          <w:b/>
          <w:bCs/>
          <w:szCs w:val="21"/>
        </w:rPr>
        <w:t xml:space="preserve">三、获取招标文件</w:t>
      </w:r>
      <w:bookmarkEnd w:id="13"/>
      <w:r/>
      <w:bookmarkEnd w:id="14"/>
      <w:r/>
      <w:bookmarkEnd w:id="15"/>
      <w:r/>
      <w:bookmarkEnd w:id="16"/>
      <w:r>
        <w:rPr>
          <w:szCs w:val="21"/>
        </w:rPr>
      </w:r>
      <w:r/>
    </w:p>
    <w:p>
      <w:pPr>
        <w:pStyle w:val="1561"/>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w:t>
      </w:r>
      <w:r>
        <w:rPr>
          <w:rFonts w:hint="eastAsia" w:ascii="Times New Roman" w:hAnsi="Times New Roman" w:eastAsia="宋体" w:cs="Times New Roman"/>
          <w:szCs w:val="21"/>
        </w:rPr>
        <w:t xml:space="preserve">自招标文件公告发布之日起5个工作日</w:t>
      </w:r>
      <w:r>
        <w:rPr>
          <w:rFonts w:ascii="Times New Roman" w:hAnsi="Times New Roman" w:eastAsia="宋体" w:cs="Times New Roman"/>
          <w:szCs w:val="21"/>
        </w:rPr>
      </w:r>
      <w:r/>
    </w:p>
    <w:p>
      <w:pPr>
        <w:pStyle w:val="1561"/>
        <w:ind w:firstLine="420"/>
        <w:spacing w:line="460" w:lineRule="exact"/>
        <w:rPr>
          <w:rFonts w:hint="eastAsia" w:ascii="Times New Roman" w:hAnsi="Times New Roman" w:eastAsia="宋体" w:cs="Times New Roman"/>
          <w:szCs w:val="21"/>
        </w:rPr>
      </w:pPr>
      <w:r/>
      <w:bookmarkStart w:id="17" w:name="_Toc28359082"/>
      <w:r/>
      <w:bookmarkStart w:id="18" w:name="_Toc28359005"/>
      <w:r/>
      <w:bookmarkStart w:id="19" w:name="_Toc35393793"/>
      <w:r/>
      <w:bookmarkStart w:id="20" w:name="_Toc35393624"/>
      <w:r>
        <w:rPr>
          <w:rFonts w:hint="eastAsia" w:ascii="Times New Roman" w:hAnsi="Times New Roman" w:eastAsia="宋体" w:cs="Times New Roman"/>
          <w:szCs w:val="21"/>
        </w:rPr>
        <w:t xml:space="preserve">地点：“苏采云”系统内免费下载（投标人必须在苏采云系统中获取采购文件，方能参与政府采购项目）</w:t>
      </w:r>
      <w:r>
        <w:rPr>
          <w:rFonts w:hint="eastAsia" w:ascii="Times New Roman" w:hAnsi="Times New Roman" w:eastAsia="宋体" w:cs="Times New Roman"/>
          <w:szCs w:val="21"/>
        </w:rPr>
      </w:r>
      <w:r/>
    </w:p>
    <w:p>
      <w:pPr>
        <w:pStyle w:val="1561"/>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方式：苏采云系统注册登记成功后系统内免费下载。</w:t>
      </w:r>
      <w:r>
        <w:rPr>
          <w:rFonts w:hint="eastAsia" w:ascii="Times New Roman" w:hAnsi="Times New Roman" w:eastAsia="宋体" w:cs="Times New Roman"/>
          <w:szCs w:val="21"/>
        </w:rPr>
      </w:r>
      <w:r/>
    </w:p>
    <w:p>
      <w:pPr>
        <w:pStyle w:val="1561"/>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售价：0元。</w:t>
      </w:r>
      <w:r>
        <w:rPr>
          <w:rFonts w:hint="eastAsia" w:ascii="Times New Roman" w:hAnsi="Times New Roman" w:eastAsia="宋体" w:cs="Times New Roman"/>
          <w:szCs w:val="21"/>
        </w:rPr>
      </w:r>
      <w:r/>
    </w:p>
    <w:p>
      <w:pPr>
        <w:pStyle w:val="1561"/>
        <w:spacing w:line="460" w:lineRule="exact"/>
        <w:rPr>
          <w:b/>
          <w:bCs/>
          <w:szCs w:val="21"/>
        </w:rPr>
      </w:pPr>
      <w:r>
        <w:rPr>
          <w:b/>
          <w:bCs/>
          <w:szCs w:val="21"/>
        </w:rPr>
        <w:t xml:space="preserve">四、提交投标文件</w:t>
      </w:r>
      <w:bookmarkEnd w:id="17"/>
      <w:r/>
      <w:bookmarkEnd w:id="18"/>
      <w:r>
        <w:rPr>
          <w:b/>
          <w:bCs/>
          <w:szCs w:val="21"/>
        </w:rPr>
        <w:t xml:space="preserve">截止时间、开标时间和地点</w:t>
      </w:r>
      <w:bookmarkEnd w:id="19"/>
      <w:r/>
      <w:bookmarkEnd w:id="20"/>
      <w:r>
        <w:rPr>
          <w:b/>
          <w:bCs/>
          <w:szCs w:val="21"/>
        </w:rPr>
      </w:r>
      <w:r/>
    </w:p>
    <w:p>
      <w:pPr>
        <w:pStyle w:val="1561"/>
        <w:ind w:firstLine="420"/>
        <w:spacing w:line="360" w:lineRule="auto"/>
        <w:rPr>
          <w:rFonts w:ascii="Arial" w:hAnsi="Arial" w:cs="Arial"/>
          <w:highlight w:val="none"/>
        </w:rPr>
      </w:pPr>
      <w:r/>
      <w:bookmarkStart w:id="21" w:name="_Toc28359084"/>
      <w:r/>
      <w:bookmarkStart w:id="22" w:name="_Toc35393625"/>
      <w:r/>
      <w:bookmarkStart w:id="23" w:name="_Toc28359007"/>
      <w:r/>
      <w:bookmarkStart w:id="24" w:name="_Toc35393794"/>
      <w:r>
        <w:rPr>
          <w:rFonts w:ascii="Arial" w:hAnsi="Arial" w:cs="Arial"/>
          <w:highlight w:val="none"/>
        </w:rPr>
        <w:t xml:space="preserve">提交投标文件截止时间、开标时间：202</w:t>
      </w:r>
      <w:r>
        <w:rPr>
          <w:rFonts w:hint="eastAsia" w:ascii="Arial" w:hAnsi="Arial" w:cs="Arial"/>
          <w:highlight w:val="none"/>
          <w:lang w:val="en-US" w:eastAsia="zh-CN"/>
        </w:rPr>
        <w:t xml:space="preserve">6</w:t>
      </w:r>
      <w:r>
        <w:rPr>
          <w:rFonts w:ascii="Arial" w:hAnsi="Arial" w:cs="Arial"/>
          <w:highlight w:val="none"/>
        </w:rPr>
        <w:t xml:space="preserve">年</w:t>
      </w:r>
      <w:r>
        <w:rPr>
          <w:rFonts w:hint="eastAsia" w:ascii="Arial" w:hAnsi="Arial" w:cs="Arial"/>
          <w:highlight w:val="none"/>
          <w:lang w:val="en-US" w:eastAsia="zh-CN"/>
        </w:rPr>
        <w:t xml:space="preserve">7</w:t>
      </w:r>
      <w:r>
        <w:rPr>
          <w:rFonts w:ascii="Arial" w:hAnsi="Arial" w:cs="Arial"/>
          <w:highlight w:val="none"/>
        </w:rPr>
        <w:t xml:space="preserve">月</w:t>
      </w:r>
      <w:r>
        <w:rPr>
          <w:rFonts w:hint="eastAsia" w:ascii="Arial" w:hAnsi="Arial" w:cs="Arial"/>
          <w:highlight w:val="none"/>
          <w:lang w:val="en-US" w:eastAsia="zh-CN"/>
        </w:rPr>
        <w:t xml:space="preserve">3</w:t>
      </w:r>
      <w:r>
        <w:rPr>
          <w:rFonts w:ascii="Arial" w:hAnsi="Arial" w:cs="Arial"/>
          <w:highlight w:val="none"/>
        </w:rPr>
        <w:t xml:space="preserve">日</w:t>
      </w:r>
      <w:r>
        <w:rPr>
          <w:rFonts w:hint="eastAsia" w:ascii="Arial" w:hAnsi="Arial" w:cs="Arial"/>
          <w:highlight w:val="none"/>
          <w:lang w:val="en-US" w:eastAsia="zh-CN"/>
        </w:rPr>
        <w:t xml:space="preserve">09</w:t>
      </w:r>
      <w:r>
        <w:rPr>
          <w:rFonts w:ascii="Arial" w:hAnsi="Arial" w:cs="Arial"/>
          <w:highlight w:val="none"/>
        </w:rPr>
        <w:t xml:space="preserve">点</w:t>
      </w:r>
      <w:r>
        <w:rPr>
          <w:rFonts w:hint="eastAsia" w:ascii="Arial" w:hAnsi="Arial" w:cs="Arial"/>
          <w:highlight w:val="none"/>
          <w:lang w:val="en-US" w:eastAsia="zh-CN"/>
        </w:rPr>
        <w:t xml:space="preserve">3</w:t>
      </w:r>
      <w:r>
        <w:rPr>
          <w:rFonts w:ascii="Arial" w:hAnsi="Arial" w:cs="Arial"/>
          <w:highlight w:val="none"/>
        </w:rPr>
        <w:t xml:space="preserve">0分（北京时间）</w:t>
      </w:r>
      <w:r>
        <w:rPr>
          <w:rFonts w:ascii="Arial" w:hAnsi="Arial" w:cs="Arial"/>
          <w:highlight w:val="none"/>
        </w:rPr>
      </w:r>
      <w:r/>
    </w:p>
    <w:p>
      <w:pPr>
        <w:pStyle w:val="1561"/>
        <w:ind w:firstLine="420"/>
        <w:spacing w:line="360" w:lineRule="auto"/>
        <w:rPr>
          <w:rFonts w:ascii="Arial" w:hAnsi="Arial" w:cs="Arial"/>
          <w:b/>
          <w:highlight w:val="none"/>
        </w:rPr>
      </w:pPr>
      <w:r>
        <w:rPr>
          <w:rFonts w:ascii="Arial" w:hAnsi="Arial" w:cs="Arial"/>
          <w:bCs/>
          <w:highlight w:val="none"/>
        </w:rPr>
        <w:t xml:space="preserve">地点：“苏采云”系统（网址： http://jszfcg.jsczt.cn/）“开标大厅”</w:t>
      </w:r>
      <w:r>
        <w:rPr>
          <w:rFonts w:ascii="Arial" w:hAnsi="Arial" w:cs="Arial"/>
          <w:b/>
          <w:highlight w:val="none"/>
        </w:rPr>
      </w:r>
      <w:r/>
    </w:p>
    <w:p>
      <w:pPr>
        <w:pStyle w:val="1561"/>
        <w:spacing w:line="460" w:lineRule="exact"/>
        <w:rPr>
          <w:b/>
          <w:bCs/>
          <w:szCs w:val="21"/>
        </w:rPr>
      </w:pPr>
      <w:r>
        <w:rPr>
          <w:b/>
          <w:bCs/>
          <w:szCs w:val="21"/>
        </w:rPr>
        <w:t xml:space="preserve">五、公告期限</w:t>
      </w:r>
      <w:bookmarkEnd w:id="21"/>
      <w:r/>
      <w:bookmarkEnd w:id="22"/>
      <w:r/>
      <w:bookmarkEnd w:id="23"/>
      <w:r/>
      <w:bookmarkEnd w:id="24"/>
      <w:r>
        <w:rPr>
          <w:b/>
          <w:bCs/>
          <w:szCs w:val="21"/>
        </w:rPr>
      </w:r>
      <w:r/>
    </w:p>
    <w:p>
      <w:pPr>
        <w:pStyle w:val="1561"/>
        <w:ind w:firstLine="420"/>
        <w:spacing w:line="460" w:lineRule="exact"/>
        <w:rPr>
          <w:szCs w:val="21"/>
        </w:rPr>
      </w:pPr>
      <w:r>
        <w:rPr>
          <w:szCs w:val="21"/>
        </w:rPr>
        <w:t xml:space="preserve">自本公告发布之日起5个工作日。</w:t>
      </w:r>
      <w:r>
        <w:rPr>
          <w:szCs w:val="21"/>
        </w:rPr>
      </w:r>
      <w:r/>
    </w:p>
    <w:p>
      <w:pPr>
        <w:pStyle w:val="1561"/>
        <w:spacing w:line="460" w:lineRule="exact"/>
        <w:rPr>
          <w:b/>
          <w:bCs/>
          <w:szCs w:val="21"/>
        </w:rPr>
      </w:pPr>
      <w:r/>
      <w:bookmarkStart w:id="25" w:name="_Toc35393795"/>
      <w:r/>
      <w:bookmarkStart w:id="26" w:name="_Toc35393626"/>
      <w:r>
        <w:rPr>
          <w:b/>
          <w:bCs/>
          <w:szCs w:val="21"/>
        </w:rPr>
        <w:t xml:space="preserve">六、其他补充事宜</w:t>
      </w:r>
      <w:bookmarkEnd w:id="25"/>
      <w:r/>
      <w:bookmarkEnd w:id="26"/>
      <w:r>
        <w:rPr>
          <w:b/>
          <w:bCs/>
          <w:szCs w:val="21"/>
        </w:rPr>
      </w:r>
      <w:r/>
    </w:p>
    <w:p>
      <w:pPr>
        <w:pStyle w:val="1561"/>
        <w:ind w:firstLine="420"/>
        <w:spacing w:line="360" w:lineRule="auto"/>
        <w:rPr>
          <w:rFonts w:hint="eastAsia" w:ascii="Times New Roman" w:hAnsi="Times New Roman" w:eastAsia="宋体" w:cs="Times New Roman"/>
          <w:szCs w:val="21"/>
        </w:rPr>
      </w:pPr>
      <w:r/>
      <w:bookmarkStart w:id="27" w:name="_Toc28359008"/>
      <w:r/>
      <w:bookmarkStart w:id="28" w:name="_Toc35393627"/>
      <w:r/>
      <w:bookmarkStart w:id="29" w:name="_Toc35393796"/>
      <w:r/>
      <w:bookmarkStart w:id="30" w:name="_Toc28359085"/>
      <w:r>
        <w:rPr>
          <w:rFonts w:hint="eastAsia"/>
          <w:szCs w:val="21"/>
          <w:lang w:val="en-US" w:eastAsia="zh-CN"/>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hint="eastAsia" w:ascii="Times New Roman" w:hAnsi="Times New Roman" w:eastAsia="宋体" w:cs="Times New Roman"/>
          <w:szCs w:val="21"/>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hint="eastAsia" w:ascii="Times New Roman" w:hAnsi="Times New Roman" w:eastAsia="宋体" w:cs="Times New Roman"/>
          <w:szCs w:val="21"/>
        </w:rPr>
        <w:t xml:space="preserve">等政府采购文件。</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2.获取招标文件时</w:t>
      </w:r>
      <w:r>
        <w:rPr>
          <w:rFonts w:hint="eastAsia" w:ascii="Times New Roman" w:hAnsi="Times New Roman" w:eastAsia="宋体" w:cs="Times New Roman"/>
          <w:szCs w:val="21"/>
          <w:highlight w:val="none"/>
          <w:lang w:val="en-US" w:eastAsia="zh-CN"/>
        </w:rPr>
        <w:t xml:space="preserve">间：2026年6月10日起至2026年6月17日，每天上午09:00</w:t>
      </w:r>
      <w:r>
        <w:rPr>
          <w:rFonts w:hint="eastAsia" w:ascii="Times New Roman" w:hAnsi="Times New Roman" w:eastAsia="宋体" w:cs="Times New Roman"/>
          <w:szCs w:val="21"/>
          <w:lang w:val="en-US" w:eastAsia="zh-CN"/>
        </w:rPr>
        <w:t xml:space="preserve">至11:30，下午14:00至17:30（北京时间，法定节假日除外）</w:t>
      </w:r>
      <w:r>
        <w:rPr>
          <w:rFonts w:hint="eastAsia" w:ascii="Times New Roman" w:hAnsi="Times New Roman" w:eastAsia="宋体" w:cs="Times New Roman"/>
          <w:szCs w:val="21"/>
          <w:lang w:val="en-US" w:eastAsia="zh-CN"/>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hint="eastAsia" w:ascii="Times New Roman" w:hAnsi="Times New Roman" w:eastAsia="宋体" w:cs="Times New Roman"/>
          <w:szCs w:val="21"/>
        </w:rPr>
        <w:t xml:space="preserve">、潜在供应商访问电子招标响应交易平台的网络地址和方法：</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hint="eastAsia" w:ascii="Times New Roman" w:hAnsi="Times New Roman" w:eastAsia="宋体" w:cs="Times New Roman"/>
          <w:szCs w:val="21"/>
        </w:rPr>
        <w:t xml:space="preserve">、潜在供应商访问“苏采云”系统的网络地址和方法：“苏采云”系统的网址：http://jszfcg.jsczt.cn/。</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hint="eastAsia" w:ascii="Times New Roman" w:hAnsi="Times New Roman" w:eastAsia="宋体" w:cs="Times New Roman"/>
          <w:szCs w:val="21"/>
        </w:rPr>
        <w:t xml:space="preserve">、“CA数字证书”的获取：</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hint="eastAsia"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7、请潜在供应商提前安装相应的控件（详见《江苏省政府采购管理交易系统（苏采云）供应商操作手册》）并使用谷歌浏览器登录“苏采云”系统参与不见面开评标。</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注：如潜在供应商未按上述要求操作，将自行承担所产生的风险。</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8、项目开标活动模式：不见面远程开标模式，供应商在各自地点通过不见面交易系统参加开标会。</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9、投标文件的解密：开标当天各供应商及时登录不见面开标大厅，投标文件递交截止时间后，采购人将在系统内公布供应商名单，然后通</w:t>
      </w:r>
      <w:r>
        <w:rPr>
          <w:rFonts w:hint="eastAsia"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Times New Roman" w:hAnsi="Times New Roman" w:eastAsia="宋体" w:cs="Times New Roman"/>
          <w:szCs w:val="21"/>
        </w:rPr>
      </w:r>
      <w:r/>
    </w:p>
    <w:p>
      <w:pPr>
        <w:pStyle w:val="1561"/>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10</w:t>
      </w:r>
      <w:r>
        <w:rPr>
          <w:rFonts w:hint="eastAsia" w:ascii="Times New Roman" w:hAnsi="Times New Roman" w:eastAsia="宋体" w:cs="Times New Roman"/>
          <w:szCs w:val="21"/>
        </w:rPr>
        <w:t xml:space="preserve">、项目</w:t>
      </w:r>
      <w:r>
        <w:rPr>
          <w:rFonts w:hint="eastAsia" w:ascii="Times New Roman" w:hAnsi="Times New Roman" w:eastAsia="宋体" w:cs="Times New Roman"/>
          <w:szCs w:val="21"/>
          <w:highlight w:val="none"/>
        </w:rPr>
        <w:t xml:space="preserve">编号：</w:t>
      </w:r>
      <w:r>
        <w:rPr>
          <w:rFonts w:hint="eastAsia" w:ascii="Times New Roman" w:hAnsi="Times New Roman" w:eastAsia="宋体" w:cs="Times New Roman"/>
          <w:szCs w:val="21"/>
          <w:highlight w:val="none"/>
          <w:lang w:eastAsia="zh-CN"/>
        </w:rPr>
        <w:t xml:space="preserve">JSZC-320000-SMDY-G2026-0052</w:t>
      </w:r>
      <w:r>
        <w:rPr>
          <w:rFonts w:hint="eastAsia"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2640</w:t>
      </w:r>
      <w:r>
        <w:rPr>
          <w:rFonts w:hint="eastAsia" w:ascii="Times New Roman" w:hAnsi="Times New Roman" w:eastAsia="宋体" w:cs="Times New Roman"/>
          <w:szCs w:val="21"/>
          <w:lang w:eastAsia="zh-CN"/>
        </w:rPr>
        <w:t xml:space="preserve">SUMEC/ZWGG2088</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r>
      <w:r/>
    </w:p>
    <w:p>
      <w:pPr>
        <w:pStyle w:val="1561"/>
        <w:spacing w:line="460" w:lineRule="exact"/>
        <w:rPr>
          <w:b/>
          <w:bCs/>
          <w:szCs w:val="21"/>
        </w:rPr>
      </w:pPr>
      <w:r>
        <w:rPr>
          <w:b/>
          <w:bCs/>
          <w:szCs w:val="21"/>
        </w:rPr>
        <w:t xml:space="preserve">七、对本次招标提出询问，请按以下方式联系。</w:t>
      </w:r>
      <w:bookmarkEnd w:id="27"/>
      <w:r/>
      <w:bookmarkEnd w:id="28"/>
      <w:r/>
      <w:bookmarkEnd w:id="29"/>
      <w:r/>
      <w:bookmarkEnd w:id="30"/>
      <w:r>
        <w:rPr>
          <w:b/>
          <w:bCs/>
          <w:szCs w:val="21"/>
        </w:rPr>
      </w:r>
      <w:r/>
    </w:p>
    <w:p>
      <w:pPr>
        <w:pStyle w:val="1561"/>
        <w:jc w:val="left"/>
        <w:spacing w:line="460" w:lineRule="exact"/>
        <w:widowControl/>
        <w:rPr>
          <w:szCs w:val="21"/>
        </w:rPr>
      </w:pPr>
      <w:r>
        <w:rPr>
          <w:szCs w:val="21"/>
        </w:rPr>
        <w:t xml:space="preserve">　　1、采购人信息</w:t>
      </w:r>
      <w:r>
        <w:rPr>
          <w:szCs w:val="21"/>
        </w:rPr>
      </w:r>
      <w:r/>
    </w:p>
    <w:p>
      <w:pPr>
        <w:pStyle w:val="1561"/>
        <w:ind w:left="1041" w:hanging="262"/>
        <w:jc w:val="left"/>
        <w:spacing w:line="460" w:lineRule="exact"/>
        <w:rPr>
          <w:rFonts w:hint="eastAsia" w:eastAsia="宋体"/>
          <w:szCs w:val="21"/>
          <w:lang w:eastAsia="zh-CN"/>
        </w:rPr>
      </w:pPr>
      <w:r>
        <w:rPr>
          <w:szCs w:val="21"/>
        </w:rPr>
        <w:t xml:space="preserve">名 称：</w:t>
      </w:r>
      <w:r>
        <w:rPr>
          <w:rFonts w:hint="eastAsia"/>
          <w:szCs w:val="21"/>
          <w:lang w:eastAsia="zh-CN"/>
        </w:rPr>
        <w:t xml:space="preserve">江苏省环境监测中心</w:t>
      </w:r>
      <w:r>
        <w:rPr>
          <w:rFonts w:hint="eastAsia" w:eastAsia="宋体"/>
          <w:szCs w:val="21"/>
          <w:lang w:eastAsia="zh-CN"/>
        </w:rPr>
      </w:r>
      <w:r/>
    </w:p>
    <w:p>
      <w:pPr>
        <w:pStyle w:val="1561"/>
        <w:ind w:left="424" w:firstLine="420"/>
        <w:jc w:val="left"/>
        <w:spacing w:line="460" w:lineRule="exact"/>
        <w:rPr>
          <w:rFonts w:hint="eastAsia"/>
          <w:szCs w:val="21"/>
        </w:rPr>
      </w:pPr>
      <w:r/>
      <w:bookmarkStart w:id="31" w:name="_Toc28359086"/>
      <w:r/>
      <w:bookmarkStart w:id="32" w:name="_Toc28359009"/>
      <w:r>
        <w:rPr>
          <w:rFonts w:hint="eastAsia"/>
          <w:szCs w:val="21"/>
        </w:rPr>
        <w:t xml:space="preserve">地址：</w:t>
      </w:r>
      <w:r>
        <w:rPr>
          <w:rFonts w:hint="eastAsia" w:ascii="宋体" w:hAnsi="宋体" w:cs="宋体"/>
          <w:bCs/>
          <w:color w:val="000000"/>
          <w:szCs w:val="21"/>
        </w:rPr>
        <w:t xml:space="preserve">江苏省南京市建邺区中和路100号</w:t>
      </w:r>
      <w:r>
        <w:rPr>
          <w:rFonts w:hint="eastAsia"/>
          <w:szCs w:val="21"/>
        </w:rPr>
      </w:r>
      <w:r/>
    </w:p>
    <w:p>
      <w:pPr>
        <w:pStyle w:val="1561"/>
        <w:ind w:left="424" w:firstLine="420"/>
        <w:jc w:val="left"/>
        <w:spacing w:line="460" w:lineRule="exact"/>
        <w:rPr>
          <w:rFonts w:eastAsia="宋体"/>
          <w:szCs w:val="21"/>
          <w:lang w:val="en-US" w:eastAsia="zh-CN"/>
        </w:rPr>
      </w:pPr>
      <w:r>
        <w:rPr>
          <w:rFonts w:hint="eastAsia"/>
          <w:szCs w:val="21"/>
        </w:rPr>
        <w:t xml:space="preserve">联系人：</w:t>
      </w:r>
      <w:r>
        <w:rPr>
          <w:rFonts w:hint="eastAsia"/>
          <w:szCs w:val="21"/>
          <w:lang w:val="en-US" w:eastAsia="zh-CN"/>
        </w:rPr>
        <w:t xml:space="preserve">秦老师</w:t>
      </w:r>
      <w:r>
        <w:rPr>
          <w:rFonts w:eastAsia="宋体"/>
          <w:szCs w:val="21"/>
          <w:lang w:val="en-US" w:eastAsia="zh-CN"/>
        </w:rPr>
      </w:r>
      <w:r/>
    </w:p>
    <w:p>
      <w:pPr>
        <w:pStyle w:val="1561"/>
        <w:ind w:left="424" w:firstLine="420"/>
        <w:jc w:val="left"/>
        <w:spacing w:line="460" w:lineRule="exact"/>
        <w:rPr>
          <w:rFonts w:eastAsia="宋体"/>
          <w:szCs w:val="21"/>
          <w:lang w:val="en-US" w:eastAsia="zh-CN"/>
        </w:rPr>
      </w:pPr>
      <w:r>
        <w:rPr>
          <w:rFonts w:hint="eastAsia"/>
          <w:szCs w:val="21"/>
        </w:rPr>
        <w:t xml:space="preserve">电话：</w:t>
      </w:r>
      <w:r>
        <w:rPr>
          <w:rFonts w:hint="eastAsia"/>
          <w:lang w:val="en-US" w:eastAsia="zh-CN"/>
        </w:rPr>
        <w:t xml:space="preserve">025-69586358</w:t>
      </w:r>
      <w:r>
        <w:rPr>
          <w:rFonts w:eastAsia="宋体"/>
          <w:szCs w:val="21"/>
          <w:lang w:val="en-US" w:eastAsia="zh-CN"/>
        </w:rPr>
      </w:r>
      <w:r/>
    </w:p>
    <w:p>
      <w:pPr>
        <w:pStyle w:val="1561"/>
        <w:ind w:firstLine="420"/>
        <w:jc w:val="left"/>
        <w:spacing w:line="460" w:lineRule="exact"/>
        <w:rPr>
          <w:szCs w:val="21"/>
        </w:rPr>
      </w:pPr>
      <w:r>
        <w:rPr>
          <w:szCs w:val="21"/>
        </w:rPr>
        <w:t xml:space="preserve">2、采购代理机构信息</w:t>
      </w:r>
      <w:bookmarkEnd w:id="31"/>
      <w:r/>
      <w:bookmarkEnd w:id="32"/>
      <w:r>
        <w:rPr>
          <w:szCs w:val="21"/>
        </w:rPr>
      </w:r>
      <w:r/>
    </w:p>
    <w:p>
      <w:pPr>
        <w:pStyle w:val="1561"/>
        <w:ind w:firstLine="840"/>
        <w:spacing w:line="460" w:lineRule="exact"/>
        <w:rPr>
          <w:szCs w:val="21"/>
        </w:rPr>
      </w:pPr>
      <w:r>
        <w:rPr>
          <w:szCs w:val="21"/>
        </w:rPr>
        <w:t xml:space="preserve">名 称：江苏苏美达仪器设备有限公司</w:t>
      </w:r>
      <w:r>
        <w:rPr>
          <w:szCs w:val="21"/>
        </w:rPr>
      </w:r>
      <w:r/>
    </w:p>
    <w:p>
      <w:pPr>
        <w:pStyle w:val="1561"/>
        <w:ind w:firstLine="840"/>
        <w:spacing w:line="460" w:lineRule="exact"/>
        <w:rPr>
          <w:szCs w:val="21"/>
        </w:rPr>
      </w:pPr>
      <w:r>
        <w:rPr>
          <w:szCs w:val="21"/>
        </w:rPr>
        <w:t xml:space="preserve">地　址：南京市长江路198号</w:t>
      </w:r>
      <w:r>
        <w:rPr>
          <w:szCs w:val="21"/>
        </w:rPr>
      </w:r>
      <w:r/>
    </w:p>
    <w:p>
      <w:pPr>
        <w:pStyle w:val="1561"/>
        <w:ind w:firstLine="840"/>
        <w:spacing w:line="460" w:lineRule="exact"/>
        <w:rPr>
          <w:szCs w:val="21"/>
        </w:rPr>
      </w:pPr>
      <w:r>
        <w:rPr>
          <w:szCs w:val="21"/>
        </w:rPr>
        <w:t xml:space="preserve">联系方式：</w:t>
      </w:r>
      <w:bookmarkStart w:id="33" w:name="_Toc28359010"/>
      <w:r/>
      <w:bookmarkStart w:id="34" w:name="_Toc28359087"/>
      <w:r>
        <w:rPr>
          <w:b/>
          <w:bCs/>
          <w:szCs w:val="21"/>
        </w:rPr>
        <w:t xml:space="preserve">文件发售：</w:t>
      </w:r>
      <w:r>
        <w:rPr>
          <w:szCs w:val="21"/>
        </w:rPr>
        <w:t xml:space="preserve">李婧怡025-84532580，</w:t>
      </w:r>
      <w:r>
        <w:rPr>
          <w:b/>
          <w:bCs/>
          <w:szCs w:val="21"/>
        </w:rPr>
        <w:t xml:space="preserve">技术咨询：</w:t>
      </w:r>
      <w:r>
        <w:rPr>
          <w:szCs w:val="21"/>
        </w:rPr>
        <w:t xml:space="preserve">谭一凡025-84532547</w:t>
      </w:r>
      <w:r>
        <w:rPr>
          <w:rFonts w:hint="eastAsia"/>
          <w:szCs w:val="21"/>
        </w:rPr>
        <w:t xml:space="preserve">、杨慧025-</w:t>
      </w:r>
      <w:r>
        <w:rPr>
          <w:szCs w:val="21"/>
        </w:rPr>
        <w:t xml:space="preserve">845325</w:t>
      </w:r>
      <w:r>
        <w:rPr>
          <w:rFonts w:hint="eastAsia"/>
          <w:szCs w:val="21"/>
        </w:rPr>
        <w:t xml:space="preserve">26</w:t>
      </w:r>
      <w:r>
        <w:rPr>
          <w:szCs w:val="21"/>
        </w:rPr>
      </w:r>
      <w:r/>
    </w:p>
    <w:p>
      <w:pPr>
        <w:pStyle w:val="1561"/>
        <w:ind w:firstLine="420"/>
        <w:spacing w:line="460" w:lineRule="exact"/>
        <w:rPr>
          <w:szCs w:val="21"/>
          <w:u w:val="single"/>
        </w:rPr>
      </w:pPr>
      <w:r>
        <w:rPr>
          <w:szCs w:val="21"/>
        </w:rPr>
        <w:t xml:space="preserve">3、项目联系方式</w:t>
      </w:r>
      <w:bookmarkEnd w:id="33"/>
      <w:r/>
      <w:bookmarkEnd w:id="34"/>
      <w:r>
        <w:rPr>
          <w:szCs w:val="21"/>
          <w:u w:val="single"/>
        </w:rPr>
      </w:r>
      <w:r/>
    </w:p>
    <w:p>
      <w:pPr>
        <w:pStyle w:val="1600"/>
        <w:ind w:firstLine="840"/>
        <w:spacing w:line="460" w:lineRule="exact"/>
        <w:rPr>
          <w:rFonts w:ascii="Times New Roman" w:hAnsi="Times New Roman"/>
          <w:color w:val="000000"/>
          <w:szCs w:val="21"/>
        </w:rPr>
      </w:pPr>
      <w:r>
        <w:rPr>
          <w:rFonts w:ascii="Times New Roman" w:hAnsi="Times New Roman"/>
          <w:szCs w:val="21"/>
        </w:rPr>
        <w:t xml:space="preserve">项目联系人：谭一凡</w:t>
      </w:r>
      <w:r>
        <w:rPr>
          <w:rFonts w:ascii="Times New Roman" w:hAnsi="Times New Roman"/>
          <w:color w:val="000000"/>
          <w:szCs w:val="21"/>
        </w:rPr>
      </w:r>
      <w:r/>
    </w:p>
    <w:p>
      <w:pPr>
        <w:pStyle w:val="1600"/>
        <w:ind w:firstLine="840"/>
        <w:spacing w:line="460" w:lineRule="exact"/>
        <w:rPr>
          <w:rFonts w:ascii="Times New Roman" w:hAnsi="Times New Roman"/>
          <w:szCs w:val="21"/>
        </w:rPr>
      </w:pPr>
      <w:r>
        <w:rPr>
          <w:rFonts w:ascii="Times New Roman" w:hAnsi="Times New Roman"/>
          <w:szCs w:val="21"/>
        </w:rPr>
        <w:t xml:space="preserve">电　话：025-84532547</w:t>
      </w:r>
      <w:r>
        <w:rPr>
          <w:rFonts w:ascii="Times New Roman" w:hAnsi="Times New Roman"/>
          <w:szCs w:val="21"/>
        </w:rPr>
      </w:r>
      <w:r/>
    </w:p>
    <w:p>
      <w:pPr>
        <w:pStyle w:val="1561"/>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561"/>
        <w:jc w:val="center"/>
        <w:spacing w:line="440" w:lineRule="exact"/>
        <w:rPr>
          <w:b/>
          <w:sz w:val="28"/>
          <w:szCs w:val="28"/>
        </w:rPr>
        <w:outlineLvl w:val="0"/>
      </w:pPr>
      <w:r/>
      <w:bookmarkStart w:id="35" w:name="_Toc28996"/>
      <w:r/>
      <w:bookmarkStart w:id="36" w:name="_Toc15106"/>
      <w:r/>
      <w:bookmarkStart w:id="37" w:name="_Toc519"/>
      <w:r/>
      <w:bookmarkStart w:id="38" w:name="_Toc13918"/>
      <w:r>
        <w:rPr>
          <w:b/>
          <w:sz w:val="28"/>
          <w:szCs w:val="28"/>
        </w:rPr>
        <w:t xml:space="preserve">第二章 投标人须知</w:t>
      </w:r>
      <w:bookmarkEnd w:id="35"/>
      <w:r/>
      <w:bookmarkEnd w:id="36"/>
      <w:r/>
      <w:bookmarkEnd w:id="37"/>
      <w:r/>
      <w:bookmarkEnd w:id="38"/>
      <w:r>
        <w:rPr>
          <w:b/>
          <w:sz w:val="28"/>
          <w:szCs w:val="28"/>
        </w:rPr>
      </w:r>
      <w:r/>
    </w:p>
    <w:p>
      <w:pPr>
        <w:pStyle w:val="1561"/>
        <w:spacing w:line="440" w:lineRule="exact"/>
        <w:shd w:val="clear" w:color="auto" w:fill="auto"/>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61"/>
              <w:jc w:val="center"/>
              <w:spacing w:line="440" w:lineRule="exact"/>
              <w:shd w:val="clear" w:color="auto" w:fill="auto"/>
              <w:rPr>
                <w:b/>
                <w:szCs w:val="21"/>
              </w:rPr>
            </w:pPr>
            <w:r>
              <w:rPr>
                <w:b/>
                <w:szCs w:val="21"/>
              </w:rPr>
              <w:t xml:space="preserve">序号</w:t>
            </w:r>
            <w:r>
              <w:rPr>
                <w:b/>
                <w:szCs w:val="21"/>
              </w:rPr>
            </w:r>
            <w:r/>
          </w:p>
        </w:tc>
        <w:tc>
          <w:tcPr>
            <w:tcW w:w="9175" w:type="dxa"/>
            <w:vAlign w:val="center"/>
            <w:textDirection w:val="lrTb"/>
            <w:noWrap w:val="false"/>
          </w:tcPr>
          <w:p>
            <w:pPr>
              <w:pStyle w:val="1561"/>
              <w:jc w:val="center"/>
              <w:spacing w:line="440" w:lineRule="exact"/>
              <w:shd w:val="clear" w:color="auto" w:fill="auto"/>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1</w:t>
            </w:r>
            <w:r>
              <w:rPr>
                <w:bCs/>
                <w:szCs w:val="21"/>
              </w:rPr>
            </w:r>
            <w:r/>
          </w:p>
        </w:tc>
        <w:tc>
          <w:tcPr>
            <w:tcW w:w="9175" w:type="dxa"/>
            <w:vAlign w:val="center"/>
            <w:textDirection w:val="lrTb"/>
            <w:noWrap w:val="false"/>
          </w:tcPr>
          <w:p>
            <w:pPr>
              <w:pStyle w:val="1561"/>
              <w:spacing w:line="440" w:lineRule="exact"/>
              <w:shd w:val="clear" w:color="auto" w:fill="auto"/>
              <w:widowControl/>
              <w:rPr>
                <w:rFonts w:hint="eastAsia" w:eastAsia="宋体"/>
                <w:szCs w:val="21"/>
                <w:lang w:eastAsia="zh-CN"/>
              </w:rPr>
            </w:pPr>
            <w:r>
              <w:rPr>
                <w:szCs w:val="21"/>
              </w:rPr>
              <w:t xml:space="preserve">采购人：</w:t>
            </w:r>
            <w:r>
              <w:rPr>
                <w:rFonts w:hint="eastAsia"/>
                <w:szCs w:val="21"/>
                <w:lang w:eastAsia="zh-CN"/>
              </w:rPr>
              <w:t xml:space="preserve">江苏省环境监测中心</w:t>
            </w:r>
            <w:r>
              <w:rPr>
                <w:rFonts w:hint="eastAsia" w:eastAsia="宋体"/>
                <w:szCs w:val="21"/>
                <w:lang w:eastAsia="zh-CN"/>
              </w:rPr>
            </w:r>
            <w:r/>
          </w:p>
          <w:p>
            <w:pPr>
              <w:pStyle w:val="1561"/>
              <w:ind w:left="0" w:firstLine="0"/>
              <w:jc w:val="left"/>
              <w:spacing w:line="460" w:lineRule="exact"/>
              <w:rPr>
                <w:rFonts w:eastAsia="宋体"/>
                <w:szCs w:val="21"/>
                <w:lang w:val="en-US" w:eastAsia="zh-CN"/>
              </w:rPr>
            </w:pPr>
            <w:r>
              <w:rPr>
                <w:rFonts w:hint="eastAsia"/>
                <w:szCs w:val="21"/>
              </w:rPr>
              <w:t xml:space="preserve">联系人：</w:t>
            </w:r>
            <w:r>
              <w:rPr>
                <w:rFonts w:hint="eastAsia"/>
                <w:szCs w:val="21"/>
                <w:lang w:val="en-US" w:eastAsia="zh-CN"/>
              </w:rPr>
              <w:t xml:space="preserve">秦老师</w:t>
            </w:r>
            <w:r>
              <w:rPr>
                <w:rFonts w:eastAsia="宋体"/>
                <w:szCs w:val="21"/>
                <w:lang w:val="en-US" w:eastAsia="zh-CN"/>
              </w:rPr>
            </w:r>
            <w:r/>
          </w:p>
          <w:p>
            <w:pPr>
              <w:pStyle w:val="1561"/>
              <w:ind w:left="0" w:firstLine="0"/>
              <w:jc w:val="left"/>
              <w:spacing w:line="460" w:lineRule="exact"/>
              <w:rPr>
                <w:rFonts w:eastAsia="宋体"/>
                <w:szCs w:val="21"/>
                <w:lang w:val="en-US" w:eastAsia="zh-CN"/>
              </w:rPr>
            </w:pPr>
            <w:r>
              <w:rPr>
                <w:rFonts w:hint="eastAsia"/>
                <w:szCs w:val="21"/>
              </w:rPr>
              <w:t xml:space="preserve">电话：</w:t>
            </w:r>
            <w:r>
              <w:rPr>
                <w:rFonts w:hint="eastAsia"/>
                <w:lang w:val="en-US" w:eastAsia="zh-CN"/>
              </w:rPr>
              <w:t xml:space="preserve">025-69586358</w:t>
            </w:r>
            <w:r>
              <w:rPr>
                <w:rFonts w:eastAsia="宋体"/>
                <w:szCs w:val="21"/>
                <w:lang w:val="en-US" w:eastAsia="zh-CN"/>
              </w:rPr>
            </w:r>
            <w:r/>
          </w:p>
          <w:p>
            <w:pPr>
              <w:pStyle w:val="1561"/>
              <w:spacing w:line="440" w:lineRule="exact"/>
              <w:shd w:val="clear" w:color="auto" w:fill="auto"/>
              <w:widowControl/>
              <w:rPr>
                <w:szCs w:val="21"/>
              </w:rPr>
            </w:pPr>
            <w:r>
              <w:rPr>
                <w:szCs w:val="21"/>
              </w:rPr>
              <w:t xml:space="preserve">地址：</w:t>
            </w:r>
            <w:r>
              <w:rPr>
                <w:rFonts w:hint="eastAsia" w:ascii="宋体" w:hAnsi="宋体" w:cs="宋体"/>
                <w:bCs/>
                <w:color w:val="000000"/>
                <w:szCs w:val="21"/>
              </w:rPr>
              <w:t xml:space="preserve">江苏省南京市建邺区中和路100号</w:t>
            </w:r>
            <w:r>
              <w:rPr>
                <w:szCs w:val="21"/>
              </w:rPr>
            </w:r>
            <w:r/>
          </w:p>
        </w:tc>
      </w:tr>
      <w:tr>
        <w:trPr>
          <w:trHeight w:val="240"/>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2</w:t>
            </w:r>
            <w:r>
              <w:rPr>
                <w:bCs/>
                <w:szCs w:val="21"/>
              </w:rPr>
            </w:r>
            <w:r/>
          </w:p>
        </w:tc>
        <w:tc>
          <w:tcPr>
            <w:tcW w:w="9175" w:type="dxa"/>
            <w:vAlign w:val="center"/>
            <w:textDirection w:val="lrTb"/>
            <w:noWrap w:val="false"/>
          </w:tcPr>
          <w:p>
            <w:pPr>
              <w:pStyle w:val="1561"/>
              <w:spacing w:line="440" w:lineRule="exact"/>
              <w:shd w:val="clear" w:color="auto" w:fill="auto"/>
              <w:widowControl/>
              <w:rPr>
                <w:szCs w:val="21"/>
              </w:rPr>
            </w:pPr>
            <w:r>
              <w:rPr>
                <w:szCs w:val="21"/>
              </w:rPr>
              <w:t xml:space="preserve">采购代理机构：江苏苏美达仪器设备有限公司</w:t>
            </w:r>
            <w:r>
              <w:rPr>
                <w:szCs w:val="21"/>
              </w:rPr>
            </w:r>
            <w:r/>
          </w:p>
          <w:p>
            <w:pPr>
              <w:pStyle w:val="1561"/>
              <w:spacing w:line="440" w:lineRule="exact"/>
              <w:shd w:val="clear" w:color="auto" w:fill="auto"/>
              <w:rPr>
                <w:szCs w:val="21"/>
              </w:rPr>
            </w:pPr>
            <w:r>
              <w:rPr>
                <w:szCs w:val="21"/>
              </w:rPr>
              <w:t xml:space="preserve">文件发售联系人：李婧怡025-84532580 lijingyi@sumec.com.cn</w:t>
            </w:r>
            <w:r>
              <w:rPr>
                <w:szCs w:val="21"/>
              </w:rPr>
            </w:r>
            <w:r/>
          </w:p>
          <w:p>
            <w:pPr>
              <w:pStyle w:val="1561"/>
              <w:spacing w:line="440" w:lineRule="exact"/>
              <w:shd w:val="clear" w:color="auto" w:fill="auto"/>
              <w:rPr>
                <w:szCs w:val="21"/>
              </w:rPr>
            </w:pPr>
            <w:r>
              <w:rPr>
                <w:szCs w:val="21"/>
              </w:rPr>
              <w:t xml:space="preserve">技术咨询联系人：谭一凡025-84532547</w:t>
            </w:r>
            <w:r>
              <w:rPr>
                <w:rFonts w:hint="eastAsia"/>
                <w:szCs w:val="21"/>
              </w:rPr>
              <w:t xml:space="preserve">、</w:t>
            </w:r>
            <w:r>
              <w:rPr>
                <w:rFonts w:ascii="Times New Roman" w:hAnsi="Times New Roman" w:eastAsia="宋体" w:cs="Times New Roman"/>
                <w:szCs w:val="21"/>
              </w:rPr>
              <w:t xml:space="preserve">杨慧</w:t>
            </w:r>
            <w:r>
              <w:rPr>
                <w:rFonts w:hint="eastAsia"/>
                <w:szCs w:val="21"/>
              </w:rPr>
              <w:t xml:space="preserve">025-</w:t>
            </w:r>
            <w:r>
              <w:rPr>
                <w:szCs w:val="21"/>
              </w:rPr>
              <w:t xml:space="preserve">845325</w:t>
            </w:r>
            <w:r>
              <w:rPr>
                <w:rFonts w:hint="eastAsia"/>
                <w:szCs w:val="21"/>
              </w:rPr>
              <w:t xml:space="preserve">26</w:t>
            </w:r>
            <w:r>
              <w:rPr>
                <w:szCs w:val="21"/>
              </w:rPr>
            </w:r>
            <w:r/>
          </w:p>
          <w:p>
            <w:pPr>
              <w:pStyle w:val="1561"/>
              <w:spacing w:line="440" w:lineRule="exact"/>
              <w:shd w:val="clear" w:color="auto" w:fill="auto"/>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561"/>
              <w:jc w:val="center"/>
              <w:spacing w:line="440" w:lineRule="exact"/>
              <w:shd w:val="clear" w:color="auto" w:fill="auto"/>
              <w:rPr>
                <w:bCs/>
                <w:szCs w:val="21"/>
                <w:highlight w:val="none"/>
              </w:rPr>
            </w:pPr>
            <w:r>
              <w:rPr>
                <w:bCs/>
                <w:szCs w:val="21"/>
                <w:highlight w:val="none"/>
              </w:rPr>
              <w:t xml:space="preserve">3</w:t>
            </w:r>
            <w:r>
              <w:rPr>
                <w:bCs/>
                <w:szCs w:val="21"/>
                <w:highlight w:val="none"/>
              </w:rPr>
            </w:r>
            <w:r/>
          </w:p>
        </w:tc>
        <w:tc>
          <w:tcPr>
            <w:tcW w:w="9175" w:type="dxa"/>
            <w:vAlign w:val="center"/>
            <w:textDirection w:val="lrTb"/>
            <w:noWrap w:val="false"/>
          </w:tcPr>
          <w:p>
            <w:pPr>
              <w:pStyle w:val="1561"/>
              <w:spacing w:line="440" w:lineRule="exact"/>
              <w:shd w:val="clear" w:color="auto" w:fill="auto"/>
              <w:widowControl/>
              <w:rPr>
                <w:szCs w:val="21"/>
                <w:highlight w:val="none"/>
              </w:rPr>
            </w:pPr>
            <w:r>
              <w:rPr>
                <w:color w:val="000000"/>
                <w:szCs w:val="21"/>
                <w:highlight w:val="none"/>
              </w:rPr>
              <w:t xml:space="preserve">项目名称：</w:t>
            </w:r>
            <w:r>
              <w:rPr>
                <w:rFonts w:hint="eastAsia"/>
                <w:color w:val="000000"/>
                <w:szCs w:val="21"/>
                <w:highlight w:val="none"/>
                <w:lang w:eastAsia="zh-CN"/>
              </w:rPr>
              <w:t xml:space="preserve">2026年度江苏省新生产销售机动</w:t>
            </w:r>
            <w:r>
              <w:rPr>
                <w:rFonts w:hint="eastAsia"/>
                <w:color w:val="000000"/>
                <w:szCs w:val="21"/>
                <w:highlight w:val="none"/>
                <w:lang w:val="en-US" w:eastAsia="zh-CN"/>
              </w:rPr>
              <w:t xml:space="preserve">车</w:t>
            </w:r>
            <w:r>
              <w:rPr>
                <w:rFonts w:hint="eastAsia"/>
                <w:color w:val="000000"/>
                <w:szCs w:val="21"/>
                <w:highlight w:val="none"/>
                <w:lang w:eastAsia="zh-CN"/>
              </w:rPr>
              <w:t xml:space="preserve">和非道路移动机械环保达标抽查核验项目</w:t>
            </w:r>
            <w:r>
              <w:rPr>
                <w:szCs w:val="21"/>
                <w:highlight w:val="none"/>
              </w:rPr>
              <w:t xml:space="preserve"> </w:t>
            </w:r>
            <w:r>
              <w:rPr>
                <w:szCs w:val="21"/>
                <w:highlight w:val="none"/>
              </w:rPr>
            </w:r>
            <w:r/>
          </w:p>
          <w:p>
            <w:pPr>
              <w:pStyle w:val="1561"/>
              <w:spacing w:line="440" w:lineRule="exact"/>
              <w:shd w:val="clear" w:color="auto" w:fill="auto"/>
              <w:widowControl/>
              <w:rPr>
                <w:szCs w:val="21"/>
                <w:highlight w:val="none"/>
              </w:rPr>
            </w:pPr>
            <w:r>
              <w:rPr>
                <w:szCs w:val="21"/>
                <w:highlight w:val="none"/>
              </w:rPr>
              <w:t xml:space="preserve">项目编号：</w:t>
            </w:r>
            <w:r>
              <w:rPr>
                <w:rFonts w:hint="eastAsia"/>
                <w:szCs w:val="21"/>
                <w:highlight w:val="none"/>
                <w:lang w:eastAsia="zh-CN"/>
              </w:rPr>
              <w:t xml:space="preserve">JSZC-320000-SMDY-G2026-0052</w:t>
            </w:r>
            <w:r>
              <w:rPr>
                <w:szCs w:val="21"/>
                <w:highlight w:val="none"/>
              </w:rPr>
              <w:t xml:space="preserve">（</w:t>
            </w:r>
            <w:r>
              <w:rPr>
                <w:rFonts w:hint="eastAsia"/>
                <w:szCs w:val="21"/>
                <w:highlight w:val="none"/>
                <w:lang w:eastAsia="zh-CN"/>
              </w:rPr>
              <w:t xml:space="preserve">2640SUMEC/ZWGG2088</w:t>
            </w:r>
            <w:r>
              <w:rPr>
                <w:szCs w:val="21"/>
                <w:highlight w:val="none"/>
              </w:rPr>
              <w:t xml:space="preserve">）</w:t>
            </w:r>
            <w:r>
              <w:rPr>
                <w:szCs w:val="21"/>
                <w:highlight w:val="none"/>
              </w:rPr>
            </w:r>
            <w:r/>
          </w:p>
        </w:tc>
      </w:tr>
      <w:tr>
        <w:trPr>
          <w:trHeight w:val="240"/>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4</w:t>
            </w:r>
            <w:r>
              <w:rPr>
                <w:bCs/>
                <w:szCs w:val="21"/>
              </w:rPr>
            </w:r>
            <w:r/>
          </w:p>
        </w:tc>
        <w:tc>
          <w:tcPr>
            <w:tcW w:w="9175" w:type="dxa"/>
            <w:vAlign w:val="center"/>
            <w:textDirection w:val="lrTb"/>
            <w:noWrap w:val="false"/>
          </w:tcPr>
          <w:p>
            <w:pPr>
              <w:pStyle w:val="1561"/>
              <w:spacing w:line="440" w:lineRule="exact"/>
              <w:shd w:val="clear" w:color="auto" w:fill="auto"/>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5</w:t>
            </w:r>
            <w:r>
              <w:rPr>
                <w:bCs/>
                <w:szCs w:val="21"/>
              </w:rPr>
            </w:r>
            <w:r/>
          </w:p>
        </w:tc>
        <w:tc>
          <w:tcPr>
            <w:tcW w:w="9175" w:type="dxa"/>
            <w:vAlign w:val="center"/>
            <w:textDirection w:val="lrTb"/>
            <w:noWrap w:val="false"/>
          </w:tcPr>
          <w:p>
            <w:pPr>
              <w:pStyle w:val="1561"/>
              <w:spacing w:line="440" w:lineRule="exact"/>
              <w:shd w:val="clear" w:color="auto" w:fill="auto"/>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6</w:t>
            </w:r>
            <w:r>
              <w:rPr>
                <w:bCs/>
                <w:szCs w:val="21"/>
              </w:rPr>
            </w:r>
            <w:r/>
          </w:p>
        </w:tc>
        <w:tc>
          <w:tcPr>
            <w:tcW w:w="9175" w:type="dxa"/>
            <w:vAlign w:val="center"/>
            <w:textDirection w:val="lrTb"/>
            <w:noWrap w:val="false"/>
          </w:tcPr>
          <w:p>
            <w:pPr>
              <w:pStyle w:val="1561"/>
              <w:spacing w:line="440" w:lineRule="exact"/>
              <w:shd w:val="clear" w:color="auto" w:fill="auto"/>
              <w:widowControl/>
              <w:rPr>
                <w:b/>
                <w:szCs w:val="21"/>
              </w:rPr>
            </w:pPr>
            <w:r>
              <w:rPr>
                <w:b/>
                <w:bCs/>
                <w:szCs w:val="21"/>
              </w:rPr>
              <w:t xml:space="preserve">投标保证金：本次采购不收取</w:t>
            </w:r>
            <w:r>
              <w:rPr>
                <w:rFonts w:hint="eastAsia" w:ascii="宋体" w:hAnsi="宋体" w:cs="宋体"/>
                <w:szCs w:val="21"/>
              </w:rPr>
              <w:t xml:space="preserve">，本文件中与投标保证金有关条款不生效</w:t>
            </w:r>
            <w:r>
              <w:rPr>
                <w:b/>
                <w:szCs w:val="21"/>
              </w:rPr>
            </w:r>
            <w:r/>
          </w:p>
        </w:tc>
      </w:tr>
      <w:tr>
        <w:trPr>
          <w:trHeight w:val="621"/>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7</w:t>
            </w:r>
            <w:r>
              <w:rPr>
                <w:bCs/>
                <w:szCs w:val="21"/>
              </w:rPr>
            </w:r>
            <w:r/>
          </w:p>
        </w:tc>
        <w:tc>
          <w:tcPr>
            <w:tcW w:w="9175" w:type="dxa"/>
            <w:vAlign w:val="center"/>
            <w:textDirection w:val="lrTb"/>
            <w:noWrap w:val="false"/>
          </w:tcPr>
          <w:p>
            <w:pPr>
              <w:pStyle w:val="1561"/>
              <w:jc w:val="left"/>
              <w:spacing w:line="440" w:lineRule="exact"/>
              <w:shd w:val="clear" w:color="auto" w:fill="auto"/>
              <w:rPr>
                <w:rFonts w:hint="eastAsia" w:eastAsia="宋体"/>
                <w:szCs w:val="21"/>
                <w:lang w:eastAsia="zh-CN"/>
              </w:rPr>
            </w:pPr>
            <w:r>
              <w:rPr>
                <w:szCs w:val="21"/>
              </w:rPr>
              <w:t xml:space="preserve">投标文件份数：</w:t>
            </w:r>
            <w:r>
              <w:rPr>
                <w:rFonts w:hint="eastAsia" w:ascii="宋体" w:hAnsi="宋体" w:cs="宋体"/>
                <w:szCs w:val="21"/>
              </w:rPr>
              <w:t xml:space="preserve">电子投标文件一份(通过系统提交)</w:t>
            </w:r>
            <w:r>
              <w:rPr>
                <w:rFonts w:hint="eastAsia" w:eastAsia="宋体"/>
                <w:szCs w:val="21"/>
                <w:lang w:eastAsia="zh-CN"/>
              </w:rPr>
            </w:r>
            <w:r/>
          </w:p>
        </w:tc>
      </w:tr>
      <w:tr>
        <w:trPr>
          <w:trHeight w:val="559"/>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8</w:t>
            </w:r>
            <w:r>
              <w:rPr>
                <w:bCs/>
                <w:szCs w:val="21"/>
              </w:rPr>
            </w:r>
            <w:r/>
          </w:p>
        </w:tc>
        <w:tc>
          <w:tcPr>
            <w:tcW w:w="9175" w:type="dxa"/>
            <w:vAlign w:val="center"/>
            <w:textDirection w:val="lrTb"/>
            <w:noWrap w:val="false"/>
          </w:tcPr>
          <w:p>
            <w:pPr>
              <w:pStyle w:val="1561"/>
              <w:jc w:val="left"/>
              <w:spacing w:line="440" w:lineRule="exact"/>
              <w:shd w:val="clear" w:color="auto" w:fill="auto"/>
              <w:rPr>
                <w:szCs w:val="21"/>
              </w:rPr>
            </w:pPr>
            <w:r>
              <w:rPr>
                <w:szCs w:val="21"/>
              </w:rPr>
              <w:t xml:space="preserve">递交投标文件开始时间：</w:t>
            </w:r>
            <w:r>
              <w:rPr>
                <w:szCs w:val="21"/>
              </w:rPr>
              <w:t xml:space="preserve">详见招标公告</w:t>
            </w:r>
            <w:r>
              <w:rPr>
                <w:szCs w:val="21"/>
              </w:rPr>
            </w:r>
            <w:r/>
          </w:p>
          <w:p>
            <w:pPr>
              <w:pStyle w:val="1561"/>
              <w:jc w:val="left"/>
              <w:spacing w:line="440" w:lineRule="exact"/>
              <w:shd w:val="clear" w:color="auto" w:fill="auto"/>
              <w:rPr>
                <w:szCs w:val="21"/>
              </w:rPr>
            </w:pPr>
            <w:r>
              <w:rPr>
                <w:szCs w:val="21"/>
              </w:rPr>
              <w:t xml:space="preserve">递交投标文件截止时间、开标时间：</w:t>
            </w:r>
            <w:r>
              <w:rPr>
                <w:szCs w:val="21"/>
              </w:rPr>
              <w:t xml:space="preserve">详见招标公告</w:t>
            </w:r>
            <w:r>
              <w:rPr>
                <w:szCs w:val="21"/>
              </w:rPr>
            </w:r>
            <w:r/>
          </w:p>
          <w:p>
            <w:pPr>
              <w:pStyle w:val="1561"/>
              <w:jc w:val="left"/>
              <w:spacing w:line="440" w:lineRule="exact"/>
              <w:shd w:val="clear" w:color="auto" w:fill="auto"/>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561"/>
              <w:jc w:val="center"/>
              <w:spacing w:line="440" w:lineRule="exact"/>
              <w:shd w:val="clear" w:color="auto" w:fill="auto"/>
              <w:rPr>
                <w:bCs/>
                <w:szCs w:val="21"/>
              </w:rPr>
            </w:pPr>
            <w:r>
              <w:rPr>
                <w:bCs/>
                <w:szCs w:val="21"/>
              </w:rPr>
              <w:t xml:space="preserve">9</w:t>
            </w:r>
            <w:r>
              <w:rPr>
                <w:bCs/>
                <w:szCs w:val="21"/>
              </w:rPr>
            </w:r>
            <w:r/>
          </w:p>
        </w:tc>
        <w:tc>
          <w:tcPr>
            <w:tcW w:w="9175" w:type="dxa"/>
            <w:vAlign w:val="center"/>
            <w:textDirection w:val="lrTb"/>
            <w:noWrap w:val="false"/>
          </w:tcPr>
          <w:p>
            <w:pPr>
              <w:pStyle w:val="1561"/>
              <w:spacing w:line="440" w:lineRule="exact"/>
              <w:shd w:val="clear" w:color="auto" w:fill="auto"/>
              <w:rPr>
                <w:szCs w:val="21"/>
              </w:rPr>
            </w:pPr>
            <w:r>
              <w:rPr>
                <w:szCs w:val="21"/>
              </w:rPr>
              <w:t xml:space="preserve">投标报价：</w:t>
            </w:r>
            <w:r>
              <w:rPr>
                <w:szCs w:val="21"/>
              </w:rPr>
            </w:r>
            <w:r/>
          </w:p>
          <w:p>
            <w:pPr>
              <w:pStyle w:val="1630"/>
              <w:numPr>
                <w:ilvl w:val="0"/>
                <w:numId w:val="1"/>
              </w:numPr>
              <w:ind w:firstLine="0"/>
              <w:spacing w:line="440" w:lineRule="exact"/>
              <w:shd w:val="clear" w:color="auto" w:fill="auto"/>
              <w:rPr>
                <w:sz w:val="21"/>
              </w:rPr>
            </w:pPr>
            <w:r>
              <w:rPr>
                <w:sz w:val="21"/>
              </w:rPr>
              <w:t xml:space="preserve">所有投标响应均以人民币报价。供应商的投标响应报价应遵守“中华人民共和国价格法”。该报价为到采购人指定地点现场的全部费用，含相关税费，运输费，保险费，安装费</w:t>
            </w:r>
            <w:r>
              <w:rPr>
                <w:rFonts w:hint="eastAsia"/>
                <w:sz w:val="21"/>
                <w:lang w:eastAsia="zh-CN"/>
              </w:rPr>
              <w:t xml:space="preserve">，招标代理服务费</w:t>
            </w:r>
            <w:r>
              <w:rPr>
                <w:sz w:val="21"/>
              </w:rPr>
              <w:t xml:space="preserve">及相关服务费等一切可能发生的费用。</w:t>
            </w:r>
            <w:r>
              <w:rPr>
                <w:sz w:val="21"/>
              </w:rPr>
            </w:r>
            <w:r/>
          </w:p>
          <w:p>
            <w:pPr>
              <w:pStyle w:val="1630"/>
              <w:ind w:firstLine="0"/>
              <w:spacing w:line="440" w:lineRule="exact"/>
              <w:shd w:val="clear" w:color="auto" w:fill="auto"/>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561"/>
              <w:jc w:val="center"/>
              <w:spacing w:line="440" w:lineRule="exact"/>
              <w:shd w:val="clear" w:color="auto" w:fill="auto"/>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625"/>
              <w:spacing w:before="0" w:beforeAutospacing="0" w:after="0" w:afterAutospacing="0" w:line="440" w:lineRule="exact"/>
              <w:shd w:val="clear" w:color="auto" w:fill="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现场勘查要求：本项目不组织。</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561"/>
              <w:jc w:val="center"/>
              <w:spacing w:line="440" w:lineRule="exact"/>
              <w:shd w:val="clear" w:color="auto" w:fill="auto"/>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561"/>
              <w:spacing w:line="440" w:lineRule="exact"/>
              <w:shd w:val="clear" w:color="auto" w:fill="auto"/>
              <w:widowControl/>
              <w:rPr>
                <w:b/>
                <w:bCs/>
                <w:szCs w:val="21"/>
              </w:rPr>
            </w:pPr>
            <w:r>
              <w:rPr>
                <w:b/>
                <w:bCs/>
                <w:szCs w:val="21"/>
              </w:rPr>
              <w:t xml:space="preserve">信用信息：</w:t>
            </w:r>
            <w:r>
              <w:rPr>
                <w:b/>
                <w:bCs/>
                <w:szCs w:val="21"/>
              </w:rPr>
            </w:r>
            <w:r/>
          </w:p>
          <w:p>
            <w:pPr>
              <w:pStyle w:val="1561"/>
              <w:spacing w:line="440" w:lineRule="exact"/>
              <w:shd w:val="clear" w:color="auto" w:fill="auto"/>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561"/>
              <w:spacing w:line="440" w:lineRule="exact"/>
              <w:shd w:val="clear" w:color="auto" w:fill="auto"/>
              <w:widowControl/>
              <w:rPr>
                <w:color w:val="000000"/>
                <w:szCs w:val="21"/>
              </w:rPr>
            </w:pPr>
            <w:r>
              <w:rPr>
                <w:color w:val="000000"/>
                <w:szCs w:val="21"/>
              </w:rPr>
              <w:t xml:space="preserve">2）信用信息查询截止时点：</w:t>
            </w:r>
            <w:r>
              <w:rPr>
                <w:b/>
                <w:bCs/>
              </w:rPr>
              <w:t xml:space="preserve">递交投标文件截止之日24时前</w:t>
            </w:r>
            <w:r>
              <w:rPr>
                <w:b/>
                <w:bCs/>
                <w:color w:val="000000"/>
                <w:szCs w:val="21"/>
              </w:rPr>
              <w:t xml:space="preserve">。</w:t>
            </w:r>
            <w:r>
              <w:rPr>
                <w:color w:val="000000"/>
                <w:szCs w:val="21"/>
              </w:rPr>
            </w:r>
            <w:r/>
          </w:p>
          <w:p>
            <w:pPr>
              <w:pStyle w:val="1561"/>
              <w:spacing w:line="440" w:lineRule="exact"/>
              <w:shd w:val="clear" w:color="auto" w:fill="auto"/>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561"/>
              <w:spacing w:line="440" w:lineRule="exact"/>
              <w:shd w:val="clear" w:color="auto" w:fill="auto"/>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561"/>
              <w:jc w:val="center"/>
              <w:spacing w:line="440" w:lineRule="exact"/>
              <w:shd w:val="clear" w:color="auto" w:fill="auto"/>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561"/>
              <w:jc w:val="left"/>
              <w:spacing w:line="360" w:lineRule="auto"/>
              <w:shd w:val="clear" w:color="auto" w:fill="auto"/>
              <w:widowControl/>
              <w:rPr>
                <w:b/>
                <w:bCs/>
                <w:szCs w:val="21"/>
              </w:rPr>
            </w:pPr>
            <w:r>
              <w:rPr>
                <w:b/>
                <w:bCs/>
                <w:color w:val="000000"/>
                <w:highlight w:val="none"/>
              </w:rPr>
              <w:t xml:space="preserve">本项目核心产品：</w:t>
            </w:r>
            <w:r>
              <w:rPr>
                <w:rFonts w:hint="eastAsia" w:ascii="Times New Roman" w:hAnsi="Times New Roman" w:cs="Times New Roman"/>
                <w:b/>
                <w:bCs/>
                <w:lang w:val="en-US" w:eastAsia="zh-CN"/>
              </w:rPr>
              <w:t xml:space="preserve">本项目不涉及</w:t>
            </w:r>
            <w:r>
              <w:rPr>
                <w:b/>
                <w:bCs/>
                <w:szCs w:val="21"/>
              </w:rPr>
            </w:r>
            <w:r/>
          </w:p>
        </w:tc>
      </w:tr>
      <w:tr>
        <w:trPr>
          <w:trHeight w:val="629"/>
        </w:trPr>
        <w:tc>
          <w:tcPr>
            <w:tcW w:w="881" w:type="dxa"/>
            <w:vAlign w:val="center"/>
            <w:textDirection w:val="lrTb"/>
            <w:noWrap w:val="false"/>
          </w:tcPr>
          <w:p>
            <w:pPr>
              <w:pStyle w:val="1561"/>
              <w:jc w:val="center"/>
              <w:spacing w:line="440" w:lineRule="exact"/>
              <w:shd w:val="clear" w:color="auto" w:fill="auto"/>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561"/>
              <w:spacing w:line="440" w:lineRule="exact"/>
              <w:shd w:val="clear" w:color="auto" w:fill="auto"/>
              <w:widowControl/>
              <w:rPr>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color w:val="000000"/>
                <w:szCs w:val="21"/>
              </w:rPr>
              <w:t xml:space="preserve">小企业划分标准所属行业：</w:t>
            </w:r>
            <w:r>
              <w:rPr>
                <w:rFonts w:ascii="Times New Roman" w:hAnsi="Times New Roman" w:eastAsia="宋体" w:cs="Times New Roman"/>
                <w:b/>
                <w:bCs/>
                <w:color w:val="000000"/>
                <w:szCs w:val="21"/>
              </w:rPr>
              <w:t xml:space="preserve">其他未列明行业</w:t>
            </w:r>
            <w:r>
              <w:rPr>
                <w:b/>
                <w:bCs/>
                <w:color w:val="000000"/>
                <w:szCs w:val="21"/>
              </w:rPr>
            </w:r>
            <w:r/>
          </w:p>
        </w:tc>
      </w:tr>
      <w:tr>
        <w:trPr>
          <w:trHeight w:val="299"/>
        </w:trPr>
        <w:tc>
          <w:tcPr>
            <w:tcW w:w="881" w:type="dxa"/>
            <w:vAlign w:val="center"/>
            <w:textDirection w:val="lrTb"/>
            <w:noWrap w:val="false"/>
          </w:tcPr>
          <w:p>
            <w:pPr>
              <w:pStyle w:val="1561"/>
              <w:jc w:val="center"/>
              <w:spacing w:line="440" w:lineRule="exact"/>
              <w:shd w:val="clear" w:color="auto" w:fill="auto"/>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561"/>
              <w:jc w:val="left"/>
              <w:spacing w:line="360" w:lineRule="auto"/>
              <w:shd w:val="clear" w:color="auto" w:fill="auto"/>
              <w:rPr>
                <w:szCs w:val="21"/>
              </w:rPr>
            </w:pPr>
            <w:r>
              <w:rPr>
                <w:szCs w:val="21"/>
              </w:rPr>
              <w:t xml:space="preserve">招标代理服务费：</w:t>
            </w:r>
            <w:r>
              <w:rPr>
                <w:szCs w:val="21"/>
              </w:rPr>
            </w:r>
            <w:r/>
          </w:p>
          <w:p>
            <w:pPr>
              <w:pStyle w:val="1561"/>
              <w:ind w:firstLine="420"/>
              <w:spacing w:line="360" w:lineRule="auto"/>
              <w:shd w:val="clear" w:color="auto" w:fill="auto"/>
              <w:rPr>
                <w:rFonts w:hint="eastAsia" w:ascii="宋体" w:hAnsi="宋体" w:cs="宋体"/>
                <w:bCs/>
              </w:rPr>
            </w:pPr>
            <w:r>
              <w:rPr>
                <w:rFonts w:hint="eastAsia" w:ascii="宋体" w:hAnsi="宋体" w:cs="宋体"/>
                <w:bCs/>
              </w:rPr>
              <w:t xml:space="preserve">中标服务费采用差额定率累进计费方式。中标供应商在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rPr>
                <w:rFonts w:hint="eastAsia" w:ascii="宋体" w:hAnsi="宋体" w:cs="宋体"/>
                <w:bCs/>
              </w:rPr>
            </w:r>
            <w:r/>
          </w:p>
          <w:p>
            <w:pPr>
              <w:pStyle w:val="1630"/>
              <w:ind w:firstLine="0"/>
              <w:shd w:val="clear" w:color="auto" w:fill="auto"/>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630"/>
              <w:ind w:firstLine="0"/>
              <w:shd w:val="clear" w:color="auto" w:fill="auto"/>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630"/>
              <w:ind w:firstLine="0"/>
              <w:shd w:val="clear" w:color="auto" w:fill="auto"/>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561"/>
              <w:spacing w:line="360" w:lineRule="auto"/>
              <w:shd w:val="clear" w:color="auto" w:fill="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561"/>
              <w:jc w:val="center"/>
              <w:spacing w:line="440" w:lineRule="exact"/>
              <w:shd w:val="clear" w:color="auto" w:fill="auto"/>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561"/>
              <w:spacing w:line="440" w:lineRule="exact"/>
              <w:shd w:val="clear" w:color="auto" w:fill="auto"/>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561"/>
              <w:spacing w:line="440" w:lineRule="exact"/>
              <w:shd w:val="clear" w:color="auto" w:fill="auto"/>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561"/>
              <w:spacing w:line="440" w:lineRule="exact"/>
              <w:shd w:val="clear" w:color="auto" w:fill="auto"/>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561"/>
              <w:spacing w:line="440" w:lineRule="exact"/>
              <w:shd w:val="clear" w:color="auto" w:fill="auto"/>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561"/>
              <w:ind w:firstLine="210"/>
              <w:spacing w:line="440" w:lineRule="exact"/>
              <w:shd w:val="clear" w:color="auto" w:fill="auto"/>
              <w:rPr>
                <w:bCs/>
                <w:szCs w:val="21"/>
              </w:rPr>
            </w:pPr>
            <w:r>
              <w:rPr>
                <w:bCs/>
                <w:szCs w:val="21"/>
              </w:rPr>
              <w:t xml:space="preserve">①供应商的姓名或者名称、地址、邮编、联系人及联系电话；</w:t>
            </w:r>
            <w:r>
              <w:rPr>
                <w:bCs/>
                <w:szCs w:val="21"/>
              </w:rPr>
            </w:r>
            <w:r/>
          </w:p>
          <w:p>
            <w:pPr>
              <w:pStyle w:val="1561"/>
              <w:ind w:firstLine="210"/>
              <w:spacing w:line="440" w:lineRule="exact"/>
              <w:shd w:val="clear" w:color="auto" w:fill="auto"/>
              <w:rPr>
                <w:bCs/>
                <w:szCs w:val="21"/>
              </w:rPr>
            </w:pPr>
            <w:r>
              <w:rPr>
                <w:bCs/>
                <w:szCs w:val="21"/>
              </w:rPr>
              <w:t xml:space="preserve">②质疑项目的名称、编号；</w:t>
            </w:r>
            <w:r>
              <w:rPr>
                <w:bCs/>
                <w:szCs w:val="21"/>
              </w:rPr>
            </w:r>
            <w:r/>
          </w:p>
          <w:p>
            <w:pPr>
              <w:pStyle w:val="1561"/>
              <w:ind w:firstLine="210"/>
              <w:spacing w:line="440" w:lineRule="exact"/>
              <w:shd w:val="clear" w:color="auto" w:fill="auto"/>
              <w:rPr>
                <w:bCs/>
                <w:szCs w:val="21"/>
              </w:rPr>
            </w:pPr>
            <w:r>
              <w:rPr>
                <w:bCs/>
                <w:szCs w:val="21"/>
              </w:rPr>
              <w:t xml:space="preserve">③具体、明确的质疑事项和与质疑事项相关的请求；</w:t>
            </w:r>
            <w:r>
              <w:rPr>
                <w:bCs/>
                <w:szCs w:val="21"/>
              </w:rPr>
            </w:r>
            <w:r/>
          </w:p>
          <w:p>
            <w:pPr>
              <w:pStyle w:val="1561"/>
              <w:ind w:firstLine="210"/>
              <w:spacing w:line="440" w:lineRule="exact"/>
              <w:shd w:val="clear" w:color="auto" w:fill="auto"/>
              <w:rPr>
                <w:bCs/>
                <w:szCs w:val="21"/>
              </w:rPr>
            </w:pPr>
            <w:r>
              <w:rPr>
                <w:bCs/>
                <w:szCs w:val="21"/>
              </w:rPr>
              <w:t xml:space="preserve">④事实依据；</w:t>
            </w:r>
            <w:r>
              <w:rPr>
                <w:bCs/>
                <w:szCs w:val="21"/>
              </w:rPr>
            </w:r>
            <w:r/>
          </w:p>
          <w:p>
            <w:pPr>
              <w:pStyle w:val="1561"/>
              <w:ind w:firstLine="210"/>
              <w:spacing w:line="440" w:lineRule="exact"/>
              <w:shd w:val="clear" w:color="auto" w:fill="auto"/>
              <w:rPr>
                <w:bCs/>
                <w:szCs w:val="21"/>
              </w:rPr>
            </w:pPr>
            <w:r>
              <w:rPr>
                <w:bCs/>
                <w:szCs w:val="21"/>
              </w:rPr>
              <w:t xml:space="preserve">⑤必要的法律依据；</w:t>
            </w:r>
            <w:r>
              <w:rPr>
                <w:bCs/>
                <w:szCs w:val="21"/>
              </w:rPr>
            </w:r>
            <w:r/>
          </w:p>
          <w:p>
            <w:pPr>
              <w:pStyle w:val="1561"/>
              <w:ind w:firstLine="210"/>
              <w:spacing w:line="440" w:lineRule="exact"/>
              <w:shd w:val="clear" w:color="auto" w:fill="auto"/>
              <w:rPr>
                <w:bCs/>
                <w:szCs w:val="21"/>
              </w:rPr>
            </w:pPr>
            <w:r>
              <w:rPr>
                <w:bCs/>
                <w:szCs w:val="21"/>
              </w:rPr>
              <w:t xml:space="preserve">⑥提出质疑的日期；</w:t>
            </w:r>
            <w:r>
              <w:rPr>
                <w:bCs/>
                <w:szCs w:val="21"/>
              </w:rPr>
            </w:r>
            <w:r/>
          </w:p>
          <w:p>
            <w:pPr>
              <w:pStyle w:val="1561"/>
              <w:ind w:firstLine="210"/>
              <w:spacing w:line="440" w:lineRule="exact"/>
              <w:shd w:val="clear" w:color="auto" w:fill="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561"/>
              <w:spacing w:line="440" w:lineRule="exact"/>
              <w:shd w:val="clear" w:color="auto" w:fill="auto"/>
              <w:rPr>
                <w:bCs/>
                <w:szCs w:val="21"/>
              </w:rPr>
            </w:pPr>
            <w:r>
              <w:rPr>
                <w:bCs/>
                <w:szCs w:val="21"/>
              </w:rPr>
              <w:t xml:space="preserve">（3）质疑供应商若对项目的某一分包进行质疑，质疑函中应列明具体分包号。</w:t>
            </w:r>
            <w:r>
              <w:rPr>
                <w:bCs/>
                <w:szCs w:val="21"/>
              </w:rPr>
            </w:r>
            <w:r/>
          </w:p>
          <w:p>
            <w:pPr>
              <w:pStyle w:val="1561"/>
              <w:spacing w:line="440" w:lineRule="exact"/>
              <w:shd w:val="clear" w:color="auto" w:fill="auto"/>
              <w:rPr>
                <w:bCs/>
                <w:szCs w:val="21"/>
              </w:rPr>
            </w:pPr>
            <w:r>
              <w:rPr>
                <w:bCs/>
                <w:szCs w:val="21"/>
              </w:rPr>
              <w:t xml:space="preserve">（</w:t>
            </w:r>
            <w:r>
              <w:rPr>
                <w:bCs/>
                <w:szCs w:val="21"/>
                <w:lang w:val="en-US"/>
              </w:rPr>
              <w:t xml:space="preserve">4</w:t>
            </w:r>
            <w:r>
              <w:rPr>
                <w:bCs/>
                <w:szCs w:val="21"/>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561"/>
              <w:spacing w:line="440" w:lineRule="exact"/>
              <w:shd w:val="clear" w:color="auto" w:fill="auto"/>
              <w:rPr>
                <w:bCs/>
                <w:color w:val="000000"/>
                <w:szCs w:val="21"/>
              </w:rPr>
            </w:pPr>
            <w:r>
              <w:rPr>
                <w:bCs/>
                <w:szCs w:val="21"/>
              </w:rPr>
              <w:t xml:space="preserve">（</w:t>
            </w:r>
            <w:r>
              <w:rPr>
                <w:bCs/>
                <w:szCs w:val="21"/>
                <w:lang w:val="en-US"/>
              </w:rPr>
              <w:t xml:space="preserve">5</w:t>
            </w:r>
            <w:r>
              <w:rPr>
                <w:bCs/>
                <w:szCs w:val="21"/>
              </w:rPr>
              <w:t xml:space="preserve">）</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lang w:val="en-US" w:eastAsia="zh-CN"/>
              </w:rPr>
              <w:t xml:space="preserve">自</w:t>
            </w:r>
            <w:r>
              <w:rPr>
                <w:bCs/>
                <w:color w:val="000000"/>
                <w:szCs w:val="21"/>
              </w:rPr>
              <w:t xml:space="preserve">供应商收到招标文件之日起或招标文件公告期限届满之日</w:t>
            </w:r>
            <w:r>
              <w:rPr>
                <w:rFonts w:hint="eastAsia"/>
                <w:bCs/>
                <w:color w:val="000000"/>
                <w:szCs w:val="21"/>
                <w:lang w:val="en-US" w:eastAsia="zh-CN"/>
              </w:rPr>
              <w:t xml:space="preserve">起</w:t>
            </w:r>
            <w:r>
              <w:rPr>
                <w:bCs/>
                <w:color w:val="000000"/>
                <w:szCs w:val="21"/>
              </w:rPr>
              <w:t xml:space="preserve">计算；对采购过程提出质疑的，自采购程序环节结束之日起计算；</w:t>
            </w:r>
            <w:r>
              <w:rPr>
                <w:rFonts w:hint="eastAsia" w:ascii="宋体" w:hAnsi="宋体" w:cs="宋体"/>
                <w:bCs/>
                <w:color w:val="000000"/>
                <w:szCs w:val="21"/>
              </w:rPr>
              <w:t xml:space="preserve">对中标结果提出质疑的，自中标结果公告期限届满之日</w:t>
            </w:r>
            <w:r>
              <w:rPr>
                <w:rFonts w:hint="eastAsia"/>
                <w:bCs/>
                <w:color w:val="000000"/>
                <w:szCs w:val="21"/>
                <w:lang w:val="en-US" w:eastAsia="zh-CN"/>
              </w:rPr>
              <w:t xml:space="preserve">起</w:t>
            </w:r>
            <w:r>
              <w:rPr>
                <w:rFonts w:hint="eastAsia" w:ascii="宋体" w:hAnsi="宋体" w:cs="宋体"/>
                <w:bCs/>
                <w:color w:val="000000"/>
                <w:szCs w:val="21"/>
              </w:rPr>
              <w:t xml:space="preserve">计算。</w:t>
            </w:r>
            <w:r>
              <w:rPr>
                <w:bCs/>
                <w:color w:val="000000"/>
                <w:szCs w:val="21"/>
              </w:rPr>
            </w:r>
            <w:r/>
          </w:p>
          <w:p>
            <w:pPr>
              <w:pStyle w:val="1561"/>
              <w:spacing w:line="440" w:lineRule="exact"/>
              <w:shd w:val="clear" w:color="auto" w:fill="auto"/>
              <w:rPr>
                <w:bCs/>
                <w:szCs w:val="21"/>
              </w:rPr>
            </w:pPr>
            <w:r>
              <w:rPr>
                <w:bCs/>
                <w:szCs w:val="21"/>
              </w:rPr>
              <w:t xml:space="preserve">（</w:t>
            </w:r>
            <w:r>
              <w:rPr>
                <w:bCs/>
                <w:szCs w:val="21"/>
                <w:lang w:val="en-US"/>
              </w:rPr>
              <w:t xml:space="preserve">6</w:t>
            </w:r>
            <w:r>
              <w:rPr>
                <w:bCs/>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561"/>
              <w:spacing w:line="440" w:lineRule="exact"/>
              <w:shd w:val="clear" w:color="auto" w:fill="auto"/>
              <w:rPr>
                <w:bCs/>
                <w:szCs w:val="21"/>
              </w:rPr>
            </w:pPr>
            <w:r>
              <w:rPr>
                <w:bCs/>
                <w:szCs w:val="21"/>
              </w:rPr>
              <w:t xml:space="preserve">（</w:t>
            </w:r>
            <w:r>
              <w:rPr>
                <w:bCs/>
                <w:szCs w:val="21"/>
                <w:lang w:val="en-US"/>
              </w:rPr>
              <w:t xml:space="preserve">7</w:t>
            </w:r>
            <w:r>
              <w:rPr>
                <w:bCs/>
                <w:szCs w:val="21"/>
              </w:rPr>
              <w:t xml:space="preserve">）本项目质疑函的联系部门、联系电话和通讯地址如下：</w:t>
            </w:r>
            <w:r>
              <w:rPr>
                <w:bCs/>
                <w:szCs w:val="21"/>
              </w:rPr>
            </w:r>
            <w:r/>
          </w:p>
          <w:p>
            <w:pPr>
              <w:pStyle w:val="1561"/>
              <w:ind w:firstLine="210"/>
              <w:spacing w:line="440" w:lineRule="exact"/>
              <w:shd w:val="clear" w:color="auto" w:fill="auto"/>
              <w:rPr>
                <w:bCs/>
                <w:szCs w:val="21"/>
              </w:rPr>
            </w:pPr>
            <w:r>
              <w:rPr>
                <w:bCs/>
                <w:szCs w:val="21"/>
              </w:rPr>
              <w:t xml:space="preserve">联系部门：江苏苏美达仪器设备有限公司招标中心 黄经理</w:t>
            </w:r>
            <w:r>
              <w:rPr>
                <w:bCs/>
                <w:szCs w:val="21"/>
              </w:rPr>
            </w:r>
            <w:r/>
          </w:p>
          <w:p>
            <w:pPr>
              <w:pStyle w:val="1561"/>
              <w:ind w:firstLine="210"/>
              <w:spacing w:line="440" w:lineRule="exact"/>
              <w:shd w:val="clear" w:color="auto" w:fill="auto"/>
              <w:rPr>
                <w:bCs/>
                <w:szCs w:val="21"/>
              </w:rPr>
            </w:pPr>
            <w:r>
              <w:rPr>
                <w:bCs/>
                <w:szCs w:val="21"/>
              </w:rPr>
              <w:t xml:space="preserve">联系电话：025-84531274</w:t>
            </w:r>
            <w:r>
              <w:rPr>
                <w:bCs/>
                <w:szCs w:val="21"/>
              </w:rPr>
            </w:r>
            <w:r/>
          </w:p>
          <w:p>
            <w:pPr>
              <w:pStyle w:val="1561"/>
              <w:ind w:firstLine="210"/>
              <w:spacing w:line="440" w:lineRule="exact"/>
              <w:shd w:val="clear" w:color="auto" w:fill="auto"/>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561"/>
              <w:jc w:val="center"/>
              <w:spacing w:line="440" w:lineRule="exact"/>
              <w:shd w:val="clear" w:color="auto" w:fill="auto"/>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561"/>
              <w:spacing w:line="440" w:lineRule="exact"/>
              <w:shd w:val="clear" w:color="auto" w:fill="auto"/>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561"/>
        <w:ind w:firstLine="420"/>
        <w:spacing w:line="440" w:lineRule="exact"/>
        <w:shd w:val="clear" w:color="auto" w:fill="auto"/>
        <w:widowControl/>
        <w:rPr>
          <w:color w:val="000000"/>
          <w:szCs w:val="21"/>
        </w:rPr>
        <w:outlineLvl w:val="1"/>
      </w:pPr>
      <w:r/>
      <w:bookmarkStart w:id="39" w:name="_Toc19726"/>
      <w:r/>
      <w:bookmarkStart w:id="40" w:name="_Toc15003"/>
      <w:r/>
      <w:bookmarkStart w:id="41" w:name="_Toc19894"/>
      <w:r/>
      <w:bookmarkStart w:id="42" w:name="_Toc2540"/>
      <w:r>
        <w:rPr>
          <w:b/>
          <w:bCs/>
          <w:color w:val="000000"/>
          <w:szCs w:val="21"/>
        </w:rPr>
        <w:t xml:space="preserve">一、总则</w:t>
      </w:r>
      <w:bookmarkEnd w:id="39"/>
      <w:r/>
      <w:bookmarkEnd w:id="40"/>
      <w:r/>
      <w:bookmarkEnd w:id="41"/>
      <w:r/>
      <w:bookmarkEnd w:id="42"/>
      <w:r>
        <w:rPr>
          <w:color w:val="000000"/>
          <w:szCs w:val="21"/>
        </w:rPr>
      </w:r>
      <w:r/>
    </w:p>
    <w:p>
      <w:pPr>
        <w:pStyle w:val="1561"/>
        <w:ind w:firstLine="420"/>
        <w:spacing w:line="440" w:lineRule="exact"/>
        <w:rPr>
          <w:b/>
          <w:szCs w:val="21"/>
          <w:lang w:val="zh-CN"/>
        </w:rPr>
        <w:outlineLvl w:val="2"/>
      </w:pPr>
      <w:r/>
      <w:bookmarkStart w:id="43" w:name="_Toc3951"/>
      <w:r/>
      <w:bookmarkStart w:id="44" w:name="_Toc11529"/>
      <w:r/>
      <w:bookmarkStart w:id="45" w:name="_Toc5219"/>
      <w:r/>
      <w:bookmarkStart w:id="46" w:name="_Toc13014"/>
      <w:r/>
      <w:bookmarkStart w:id="47" w:name="_Toc24947"/>
      <w:r/>
      <w:bookmarkStart w:id="48" w:name="_Toc458694821"/>
      <w:r/>
      <w:bookmarkStart w:id="49" w:name="_Toc513029204"/>
      <w:r/>
      <w:bookmarkStart w:id="50" w:name="_Toc16938520"/>
      <w:r/>
      <w:bookmarkStart w:id="51" w:name="_Toc20823276"/>
      <w:r>
        <w:rPr>
          <w:b/>
          <w:bCs/>
          <w:color w:val="000000"/>
          <w:szCs w:val="21"/>
          <w:lang w:val="zh-CN"/>
        </w:rPr>
        <w:t xml:space="preserve">1.</w:t>
      </w:r>
      <w:r>
        <w:rPr>
          <w:b/>
          <w:szCs w:val="21"/>
          <w:lang w:val="zh-CN"/>
        </w:rPr>
        <w:t xml:space="preserve">适用法律</w:t>
      </w:r>
      <w:bookmarkEnd w:id="43"/>
      <w:r/>
      <w:bookmarkEnd w:id="44"/>
      <w:r/>
      <w:bookmarkEnd w:id="45"/>
      <w:r/>
      <w:bookmarkEnd w:id="46"/>
      <w:r>
        <w:rPr>
          <w:b/>
          <w:szCs w:val="21"/>
          <w:lang w:val="zh-CN"/>
        </w:rPr>
      </w:r>
      <w:r/>
    </w:p>
    <w:p>
      <w:pPr>
        <w:pStyle w:val="1561"/>
        <w:ind w:firstLine="420"/>
        <w:spacing w:line="440" w:lineRule="exact"/>
        <w:rPr>
          <w:szCs w:val="21"/>
          <w:lang w:val="zh-CN"/>
        </w:rPr>
      </w:pPr>
      <w:r>
        <w:rPr>
          <w:color w:val="000000"/>
          <w:szCs w:val="21"/>
          <w:lang w:val="zh-CN"/>
        </w:rPr>
        <w:t xml:space="preserve">1</w:t>
      </w:r>
      <w:r>
        <w:rPr>
          <w:szCs w:val="21"/>
          <w:lang w:val="zh-CN"/>
        </w:rPr>
        <w:t xml:space="preserve">.1《中华人民共和国政府采购法》《中华人民共和国政府采购法实施条例》《政府采购货物和服务招标投标管理办法》等有关法律、规章和规定等。</w:t>
      </w:r>
      <w:r>
        <w:rPr>
          <w:szCs w:val="21"/>
          <w:lang w:val="zh-CN"/>
        </w:rPr>
      </w:r>
      <w:r/>
    </w:p>
    <w:p>
      <w:pPr>
        <w:pStyle w:val="1561"/>
        <w:ind w:firstLine="420"/>
        <w:spacing w:line="440" w:lineRule="exact"/>
        <w:rPr>
          <w:b/>
          <w:szCs w:val="21"/>
          <w:lang w:val="zh-CN"/>
        </w:rPr>
        <w:outlineLvl w:val="2"/>
      </w:pPr>
      <w:r/>
      <w:bookmarkStart w:id="52" w:name="_Toc6911"/>
      <w:r/>
      <w:bookmarkStart w:id="53" w:name="_Toc12922"/>
      <w:r/>
      <w:bookmarkStart w:id="54" w:name="_Toc3029"/>
      <w:r/>
      <w:bookmarkStart w:id="55" w:name="_Toc10994"/>
      <w:r>
        <w:rPr>
          <w:b/>
          <w:bCs/>
          <w:szCs w:val="21"/>
          <w:lang w:val="zh-CN"/>
        </w:rPr>
        <w:t xml:space="preserve">2.</w:t>
      </w:r>
      <w:r>
        <w:rPr>
          <w:b/>
          <w:szCs w:val="21"/>
          <w:lang w:val="zh-CN"/>
        </w:rPr>
        <w:t xml:space="preserve">定义</w:t>
      </w:r>
      <w:bookmarkEnd w:id="52"/>
      <w:r/>
      <w:bookmarkEnd w:id="53"/>
      <w:r/>
      <w:bookmarkEnd w:id="54"/>
      <w:r/>
      <w:bookmarkEnd w:id="55"/>
      <w:r>
        <w:rPr>
          <w:b/>
          <w:szCs w:val="21"/>
          <w:lang w:val="zh-CN"/>
        </w:rPr>
      </w:r>
      <w:r/>
    </w:p>
    <w:p>
      <w:pPr>
        <w:pStyle w:val="1561"/>
        <w:ind w:firstLine="420"/>
        <w:spacing w:line="440" w:lineRule="exact"/>
        <w:rPr>
          <w:bCs/>
          <w:szCs w:val="21"/>
        </w:rPr>
      </w:pPr>
      <w:r/>
      <w:bookmarkEnd w:id="47"/>
      <w:r/>
      <w:bookmarkEnd w:id="48"/>
      <w:r/>
      <w:bookmarkEnd w:id="49"/>
      <w:r/>
      <w:bookmarkEnd w:id="50"/>
      <w:r/>
      <w:bookmarkEnd w:id="51"/>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lang w:eastAsia="zh-CN"/>
        </w:rPr>
        <w:t xml:space="preserve">江苏省环境监测中心</w:t>
      </w:r>
      <w:r>
        <w:rPr>
          <w:bCs/>
          <w:szCs w:val="21"/>
        </w:rPr>
        <w:t xml:space="preserve">；投标人（亦称供应商）系指参加投标竞争并满足招标文件资格要求规定的法人、其他组织或者自然人。</w:t>
      </w:r>
      <w:r>
        <w:rPr>
          <w:bCs/>
          <w:szCs w:val="21"/>
        </w:rPr>
      </w:r>
      <w:r/>
    </w:p>
    <w:p>
      <w:pPr>
        <w:pStyle w:val="1561"/>
        <w:ind w:firstLine="420"/>
        <w:spacing w:line="440" w:lineRule="exact"/>
        <w:rPr>
          <w:bCs/>
          <w:szCs w:val="21"/>
        </w:rPr>
      </w:pPr>
      <w:r>
        <w:rPr>
          <w:bCs/>
          <w:szCs w:val="21"/>
        </w:rPr>
        <w:t xml:space="preserve">2.2“货物和服务”指本文件中所述产品及相关货物和服务。</w:t>
      </w:r>
      <w:r>
        <w:rPr>
          <w:bCs/>
          <w:szCs w:val="21"/>
        </w:rPr>
      </w:r>
      <w:r/>
    </w:p>
    <w:p>
      <w:pPr>
        <w:pStyle w:val="1561"/>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561"/>
        <w:ind w:firstLine="422"/>
        <w:spacing w:line="440" w:lineRule="exact"/>
        <w:rPr>
          <w:bCs/>
          <w:szCs w:val="21"/>
        </w:rPr>
        <w:outlineLvl w:val="2"/>
      </w:pPr>
      <w:r/>
      <w:bookmarkStart w:id="56" w:name="_Toc28667"/>
      <w:r/>
      <w:bookmarkStart w:id="57" w:name="_Toc21765"/>
      <w:r>
        <w:rPr>
          <w:b/>
          <w:szCs w:val="21"/>
        </w:rPr>
        <w:t xml:space="preserve">3.政策功能</w:t>
      </w:r>
      <w:bookmarkEnd w:id="56"/>
      <w:r/>
      <w:bookmarkEnd w:id="57"/>
      <w:r>
        <w:rPr>
          <w:bCs/>
          <w:szCs w:val="21"/>
        </w:rPr>
      </w:r>
      <w:r/>
    </w:p>
    <w:p>
      <w:pPr>
        <w:pStyle w:val="1561"/>
        <w:ind w:firstLine="420"/>
        <w:spacing w:line="440" w:lineRule="exact"/>
        <w:rPr>
          <w:bCs/>
          <w:szCs w:val="21"/>
        </w:rPr>
      </w:pPr>
      <w:r>
        <w:rPr>
          <w:bCs/>
          <w:szCs w:val="21"/>
        </w:rPr>
        <w:t xml:space="preserve">3.1促进中小企业发展政策：</w:t>
      </w:r>
      <w:r>
        <w:rPr>
          <w:bCs/>
          <w:szCs w:val="21"/>
        </w:rPr>
      </w:r>
      <w:r/>
    </w:p>
    <w:p>
      <w:pPr>
        <w:pStyle w:val="1561"/>
        <w:ind w:firstLine="420"/>
        <w:spacing w:line="360" w:lineRule="auto"/>
        <w:rPr>
          <w:bCs/>
          <w:szCs w:val="21"/>
        </w:rPr>
      </w:pPr>
      <w:r>
        <w:rPr>
          <w:bCs/>
          <w:szCs w:val="21"/>
        </w:rPr>
        <w:t xml:space="preserve">（1）促进小微企业发展政策：根据《政府采购促进中小企业发展管理办法》规定，对小、微型企业产品</w:t>
      </w:r>
      <w:r>
        <w:rPr>
          <w:rFonts w:hint="eastAsia"/>
          <w:bCs/>
          <w:szCs w:val="21"/>
          <w:lang w:val="en-US" w:eastAsia="zh-CN"/>
        </w:rPr>
        <w:t xml:space="preserve">或服务</w:t>
      </w:r>
      <w:r>
        <w:rPr>
          <w:bCs/>
          <w:szCs w:val="21"/>
        </w:rPr>
        <w:t xml:space="preserve">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561"/>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561"/>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561"/>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561"/>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561"/>
        <w:ind w:firstLine="420"/>
        <w:spacing w:line="440" w:lineRule="exact"/>
        <w:rPr>
          <w:bCs/>
          <w:szCs w:val="21"/>
        </w:rPr>
      </w:pPr>
      <w:r>
        <w:rPr>
          <w:bCs/>
          <w:szCs w:val="21"/>
        </w:rPr>
        <w:t xml:space="preserve">3.2节能产品、环境标志产品政策</w:t>
      </w:r>
      <w:r>
        <w:rPr>
          <w:bCs/>
          <w:szCs w:val="21"/>
        </w:rPr>
      </w:r>
      <w:r/>
    </w:p>
    <w:p>
      <w:pPr>
        <w:pStyle w:val="1561"/>
        <w:ind w:firstLine="420"/>
        <w:spacing w:line="440" w:lineRule="exact"/>
        <w:rPr>
          <w:bCs/>
          <w:szCs w:val="21"/>
        </w:rPr>
      </w:pPr>
      <w:r>
        <w:rPr>
          <w:bCs/>
          <w:szCs w:val="21"/>
        </w:rPr>
        <w:t xml:space="preserve">（1）政府采购节能产品、环境标志产品实施品目清单管理。</w:t>
      </w:r>
      <w:r>
        <w:rPr>
          <w:bCs/>
          <w:szCs w:val="21"/>
        </w:rPr>
      </w:r>
      <w:r/>
    </w:p>
    <w:p>
      <w:pPr>
        <w:pStyle w:val="1561"/>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561"/>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561"/>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561"/>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561"/>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561"/>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561"/>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561"/>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561"/>
        <w:ind w:firstLine="420"/>
        <w:spacing w:line="360" w:lineRule="auto"/>
        <w:rPr>
          <w:rFonts w:ascii="Times New Roman" w:hAnsi="Times New Roman" w:cs="Times New Roman"/>
          <w:szCs w:val="21"/>
          <w:lang w:val="zh-CN"/>
        </w:rPr>
      </w:pPr>
      <w:r/>
      <w:bookmarkStart w:id="58" w:name="_Toc1972"/>
      <w:r/>
      <w:bookmarkStart w:id="59" w:name="_Toc21421"/>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8"/>
      <w:r/>
      <w:bookmarkEnd w:id="59"/>
      <w:r>
        <w:rPr>
          <w:rFonts w:ascii="Times New Roman" w:hAnsi="Times New Roman" w:cs="Times New Roman"/>
          <w:szCs w:val="21"/>
          <w:lang w:val="zh-CN"/>
        </w:rPr>
      </w:r>
      <w:r/>
    </w:p>
    <w:p>
      <w:pPr>
        <w:pStyle w:val="1561"/>
        <w:ind w:firstLine="420"/>
        <w:spacing w:line="360" w:lineRule="auto"/>
        <w:rPr>
          <w:rFonts w:ascii="Times New Roman" w:hAnsi="Times New Roman" w:cs="Times New Roman"/>
          <w:szCs w:val="21"/>
          <w:lang w:val="zh-CN"/>
        </w:rPr>
      </w:pPr>
      <w:r/>
      <w:bookmarkStart w:id="60" w:name="_Toc30765"/>
      <w:r/>
      <w:bookmarkStart w:id="61" w:name="_Toc6952"/>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0"/>
      <w:r/>
      <w:bookmarkEnd w:id="61"/>
      <w:r>
        <w:rPr>
          <w:rFonts w:ascii="Times New Roman" w:hAnsi="Times New Roman" w:cs="Times New Roman"/>
          <w:szCs w:val="21"/>
          <w:lang w:val="zh-CN"/>
        </w:rPr>
      </w:r>
      <w:r/>
    </w:p>
    <w:p>
      <w:pPr>
        <w:pStyle w:val="1561"/>
        <w:ind w:firstLine="420"/>
        <w:spacing w:line="360" w:lineRule="auto"/>
        <w:rPr>
          <w:rFonts w:ascii="Times New Roman" w:hAnsi="Times New Roman" w:cs="Times New Roman"/>
          <w:szCs w:val="21"/>
          <w:lang w:val="zh-CN"/>
        </w:rPr>
      </w:pPr>
      <w:r/>
      <w:bookmarkStart w:id="62" w:name="_Toc22036"/>
      <w:r/>
      <w:bookmarkStart w:id="63"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2"/>
      <w:r/>
      <w:bookmarkEnd w:id="63"/>
      <w:r>
        <w:rPr>
          <w:rFonts w:ascii="Times New Roman" w:hAnsi="Times New Roman" w:cs="Times New Roman"/>
          <w:szCs w:val="21"/>
          <w:lang w:val="zh-CN"/>
        </w:rPr>
      </w:r>
      <w:r/>
    </w:p>
    <w:p>
      <w:pPr>
        <w:pStyle w:val="1561"/>
        <w:ind w:firstLine="420"/>
        <w:spacing w:line="360" w:lineRule="auto"/>
        <w:rPr>
          <w:rFonts w:ascii="Times New Roman" w:hAnsi="Times New Roman" w:cs="Times New Roman"/>
          <w:szCs w:val="21"/>
          <w:lang w:val="zh-CN"/>
        </w:rPr>
      </w:pPr>
      <w:r/>
      <w:bookmarkStart w:id="64" w:name="_Toc29291"/>
      <w:r/>
      <w:bookmarkStart w:id="65" w:name="_Toc13564"/>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4"/>
      <w:r/>
      <w:bookmarkEnd w:id="65"/>
      <w:r>
        <w:rPr>
          <w:rFonts w:ascii="Times New Roman" w:hAnsi="Times New Roman" w:cs="Times New Roman"/>
          <w:szCs w:val="21"/>
          <w:lang w:val="zh-CN"/>
        </w:rPr>
      </w:r>
      <w:r/>
    </w:p>
    <w:p>
      <w:pPr>
        <w:pStyle w:val="1561"/>
        <w:ind w:firstLine="420"/>
        <w:spacing w:line="360" w:lineRule="auto"/>
        <w:rPr>
          <w:rFonts w:ascii="Times New Roman" w:hAnsi="Times New Roman" w:cs="Times New Roman"/>
          <w:bCs/>
          <w:szCs w:val="21"/>
        </w:rPr>
        <w:outlineLvl w:val="2"/>
      </w:pPr>
      <w:r/>
      <w:bookmarkStart w:id="66" w:name="_Toc2242"/>
      <w:r/>
      <w:bookmarkStart w:id="67" w:name="_Toc28481"/>
      <w:r/>
      <w:bookmarkStart w:id="68" w:name="_Toc14680"/>
      <w:r/>
      <w:bookmarkStart w:id="69" w:name="_Toc14793"/>
      <w:r/>
      <w:bookmarkStart w:id="70" w:name="_Toc14774"/>
      <w:r/>
      <w:bookmarkStart w:id="71" w:name="_Toc13697"/>
      <w:r>
        <w:rPr>
          <w:rFonts w:ascii="Times New Roman" w:hAnsi="Times New Roman" w:cs="Times New Roman"/>
          <w:szCs w:val="21"/>
          <w:lang w:val="zh-CN"/>
        </w:rPr>
        <w:t xml:space="preserve">具体内容详见第三章 评标标准。</w:t>
      </w:r>
      <w:bookmarkEnd w:id="66"/>
      <w:r/>
      <w:bookmarkEnd w:id="67"/>
      <w:r/>
      <w:bookmarkEnd w:id="68"/>
      <w:r/>
      <w:bookmarkEnd w:id="69"/>
      <w:r/>
      <w:bookmarkEnd w:id="70"/>
      <w:r/>
      <w:bookmarkEnd w:id="71"/>
      <w:r>
        <w:rPr>
          <w:rFonts w:ascii="Times New Roman" w:hAnsi="Times New Roman" w:cs="Times New Roman"/>
          <w:bCs/>
          <w:szCs w:val="21"/>
        </w:rPr>
      </w:r>
      <w:r/>
    </w:p>
    <w:p>
      <w:pPr>
        <w:pStyle w:val="1561"/>
        <w:ind w:firstLine="420"/>
        <w:spacing w:line="440" w:lineRule="exact"/>
        <w:rPr>
          <w:b/>
          <w:szCs w:val="21"/>
          <w:lang w:val="zh-CN"/>
        </w:rPr>
        <w:outlineLvl w:val="2"/>
      </w:pPr>
      <w:r/>
      <w:bookmarkStart w:id="72" w:name="_Toc4759"/>
      <w:r/>
      <w:bookmarkStart w:id="73" w:name="_Toc462564067"/>
      <w:r/>
      <w:bookmarkStart w:id="74" w:name="_Toc513029207"/>
      <w:r/>
      <w:bookmarkStart w:id="75" w:name="_Toc20823279"/>
      <w:r/>
      <w:bookmarkStart w:id="76" w:name="_Toc30488"/>
      <w:r/>
      <w:bookmarkStart w:id="77" w:name="_Toc16938523"/>
      <w:r/>
      <w:bookmarkStart w:id="78" w:name="_Toc21658"/>
      <w:r/>
      <w:bookmarkStart w:id="79" w:name="_Toc13991"/>
      <w:r/>
      <w:bookmarkStart w:id="80" w:name="_Toc17711"/>
      <w:r>
        <w:rPr>
          <w:b/>
          <w:bCs/>
          <w:color w:val="000000"/>
          <w:szCs w:val="21"/>
          <w:lang w:val="zh-CN"/>
        </w:rPr>
        <w:t xml:space="preserve">4.</w:t>
      </w:r>
      <w:r>
        <w:rPr>
          <w:b/>
          <w:szCs w:val="21"/>
          <w:lang w:val="zh-CN"/>
        </w:rPr>
        <w:t xml:space="preserve">投标费用</w:t>
      </w:r>
      <w:bookmarkEnd w:id="72"/>
      <w:r/>
      <w:bookmarkEnd w:id="73"/>
      <w:r/>
      <w:bookmarkEnd w:id="74"/>
      <w:r/>
      <w:bookmarkEnd w:id="75"/>
      <w:r/>
      <w:bookmarkEnd w:id="76"/>
      <w:r/>
      <w:bookmarkEnd w:id="77"/>
      <w:r/>
      <w:bookmarkEnd w:id="78"/>
      <w:r/>
      <w:bookmarkEnd w:id="79"/>
      <w:r/>
      <w:bookmarkEnd w:id="80"/>
      <w:r>
        <w:rPr>
          <w:b/>
          <w:szCs w:val="21"/>
          <w:lang w:val="zh-CN"/>
        </w:rPr>
      </w:r>
      <w:r/>
    </w:p>
    <w:p>
      <w:pPr>
        <w:pStyle w:val="1561"/>
        <w:ind w:firstLine="420"/>
        <w:spacing w:line="440" w:lineRule="exact"/>
        <w:rPr>
          <w:szCs w:val="21"/>
        </w:rPr>
      </w:pPr>
      <w:r>
        <w:rPr>
          <w:szCs w:val="21"/>
        </w:rPr>
        <w:t xml:space="preserve">4.1供应商应自行承担所有与参加投标有关的费用，无论采购结果如何，代理机构和采购人在任何情况下均无义务和责任承担这些费用。</w:t>
      </w:r>
      <w:r>
        <w:rPr>
          <w:szCs w:val="21"/>
        </w:rPr>
      </w:r>
      <w:r/>
    </w:p>
    <w:p>
      <w:pPr>
        <w:pStyle w:val="1561"/>
        <w:ind w:firstLine="420"/>
        <w:spacing w:line="440" w:lineRule="exact"/>
        <w:rPr>
          <w:b/>
          <w:szCs w:val="21"/>
          <w:lang w:val="zh-CN"/>
        </w:rPr>
        <w:outlineLvl w:val="2"/>
      </w:pPr>
      <w:r/>
      <w:bookmarkStart w:id="81" w:name="_Toc26504"/>
      <w:r/>
      <w:bookmarkStart w:id="82" w:name="_Toc20613"/>
      <w:r/>
      <w:bookmarkStart w:id="83" w:name="_Toc24375"/>
      <w:r/>
      <w:bookmarkStart w:id="84" w:name="_Toc344"/>
      <w:r>
        <w:rPr>
          <w:b/>
          <w:bCs/>
          <w:color w:val="000000"/>
          <w:szCs w:val="21"/>
          <w:lang w:val="zh-CN"/>
        </w:rPr>
        <w:t xml:space="preserve">5.</w:t>
      </w:r>
      <w:r>
        <w:rPr>
          <w:b/>
          <w:szCs w:val="21"/>
          <w:lang w:val="zh-CN"/>
        </w:rPr>
        <w:t xml:space="preserve">招标文件的约束力</w:t>
      </w:r>
      <w:bookmarkEnd w:id="81"/>
      <w:r/>
      <w:bookmarkEnd w:id="82"/>
      <w:r/>
      <w:bookmarkEnd w:id="83"/>
      <w:r/>
      <w:bookmarkEnd w:id="84"/>
      <w:r>
        <w:rPr>
          <w:b/>
          <w:szCs w:val="21"/>
          <w:lang w:val="zh-CN"/>
        </w:rPr>
      </w:r>
      <w:r/>
    </w:p>
    <w:p>
      <w:pPr>
        <w:pStyle w:val="1561"/>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561"/>
        <w:ind w:firstLine="420"/>
        <w:spacing w:line="440" w:lineRule="exact"/>
        <w:shd w:val="clear" w:color="auto" w:fill="auto"/>
        <w:widowControl/>
        <w:rPr>
          <w:b/>
          <w:bCs/>
          <w:color w:val="000000"/>
          <w:szCs w:val="21"/>
        </w:rPr>
        <w:outlineLvl w:val="1"/>
      </w:pPr>
      <w:r/>
      <w:bookmarkStart w:id="85" w:name="_Toc19188"/>
      <w:r/>
      <w:bookmarkStart w:id="86" w:name="_Toc25487"/>
      <w:r/>
      <w:bookmarkStart w:id="87" w:name="_Toc15606"/>
      <w:r/>
      <w:bookmarkStart w:id="88" w:name="_Toc20823281"/>
      <w:r/>
      <w:bookmarkStart w:id="89" w:name="_Toc120614215"/>
      <w:r/>
      <w:bookmarkStart w:id="90" w:name="_Toc15035"/>
      <w:r/>
      <w:bookmarkStart w:id="91" w:name="_Toc16938525"/>
      <w:r/>
      <w:bookmarkStart w:id="92" w:name="_Toc513029209"/>
      <w:r>
        <w:rPr>
          <w:b/>
          <w:bCs/>
          <w:color w:val="000000"/>
          <w:szCs w:val="21"/>
        </w:rPr>
        <w:t xml:space="preserve">二、招标文件</w:t>
      </w:r>
      <w:bookmarkEnd w:id="85"/>
      <w:r/>
      <w:bookmarkEnd w:id="86"/>
      <w:r/>
      <w:bookmarkEnd w:id="87"/>
      <w:r/>
      <w:bookmarkEnd w:id="88"/>
      <w:r/>
      <w:bookmarkEnd w:id="89"/>
      <w:r/>
      <w:bookmarkEnd w:id="90"/>
      <w:r/>
      <w:bookmarkEnd w:id="91"/>
      <w:r/>
      <w:bookmarkEnd w:id="92"/>
      <w:r>
        <w:rPr>
          <w:b/>
          <w:bCs/>
          <w:color w:val="000000"/>
          <w:szCs w:val="21"/>
        </w:rPr>
      </w:r>
      <w:r/>
    </w:p>
    <w:p>
      <w:pPr>
        <w:pStyle w:val="1561"/>
        <w:ind w:firstLine="420"/>
        <w:spacing w:line="440" w:lineRule="exact"/>
        <w:rPr>
          <w:b/>
          <w:szCs w:val="21"/>
          <w:lang w:val="zh-CN"/>
        </w:rPr>
        <w:outlineLvl w:val="2"/>
      </w:pPr>
      <w:r/>
      <w:bookmarkStart w:id="93" w:name="_Toc19627"/>
      <w:r/>
      <w:bookmarkStart w:id="94" w:name="_Toc16938526"/>
      <w:r/>
      <w:bookmarkStart w:id="95" w:name="_Toc16370"/>
      <w:r/>
      <w:bookmarkStart w:id="96" w:name="_Toc513029210"/>
      <w:r/>
      <w:bookmarkStart w:id="97" w:name="_Toc20823282"/>
      <w:r/>
      <w:bookmarkStart w:id="98" w:name="_Toc31631"/>
      <w:r/>
      <w:bookmarkStart w:id="99" w:name="_Toc11107"/>
      <w:r>
        <w:rPr>
          <w:b/>
          <w:bCs/>
          <w:color w:val="000000"/>
          <w:szCs w:val="21"/>
          <w:lang w:val="zh-CN"/>
        </w:rPr>
        <w:t xml:space="preserve">6.</w:t>
      </w:r>
      <w:r>
        <w:rPr>
          <w:b/>
          <w:szCs w:val="21"/>
          <w:lang w:val="zh-CN"/>
        </w:rPr>
        <w:t xml:space="preserve">招标文件构成</w:t>
      </w:r>
      <w:bookmarkEnd w:id="93"/>
      <w:r/>
      <w:bookmarkEnd w:id="94"/>
      <w:r/>
      <w:bookmarkEnd w:id="95"/>
      <w:r/>
      <w:bookmarkEnd w:id="96"/>
      <w:r/>
      <w:bookmarkEnd w:id="97"/>
      <w:r/>
      <w:bookmarkEnd w:id="98"/>
      <w:r/>
      <w:bookmarkEnd w:id="99"/>
      <w:r>
        <w:rPr>
          <w:b/>
          <w:szCs w:val="21"/>
          <w:lang w:val="zh-CN"/>
        </w:rPr>
      </w:r>
      <w:r/>
    </w:p>
    <w:p>
      <w:pPr>
        <w:pStyle w:val="1561"/>
        <w:ind w:firstLine="420"/>
        <w:spacing w:line="440" w:lineRule="exact"/>
        <w:rPr>
          <w:color w:val="000000"/>
          <w:szCs w:val="21"/>
        </w:rPr>
      </w:pPr>
      <w:r>
        <w:rPr>
          <w:color w:val="000000"/>
          <w:szCs w:val="21"/>
        </w:rPr>
        <w:t xml:space="preserve">6.1 招标文件由以下部分组成：</w:t>
      </w:r>
      <w:r>
        <w:rPr>
          <w:color w:val="000000"/>
          <w:szCs w:val="21"/>
        </w:rPr>
      </w:r>
      <w:r/>
    </w:p>
    <w:p>
      <w:pPr>
        <w:pStyle w:val="1561"/>
        <w:ind w:firstLine="840"/>
        <w:spacing w:line="440" w:lineRule="exact"/>
        <w:rPr>
          <w:color w:val="000000"/>
          <w:szCs w:val="21"/>
        </w:rPr>
      </w:pPr>
      <w:r>
        <w:rPr>
          <w:color w:val="000000"/>
          <w:szCs w:val="21"/>
        </w:rPr>
        <w:t xml:space="preserve">第一章  招标公告</w:t>
      </w:r>
      <w:r>
        <w:rPr>
          <w:color w:val="000000"/>
          <w:szCs w:val="21"/>
        </w:rPr>
      </w:r>
      <w:r/>
    </w:p>
    <w:p>
      <w:pPr>
        <w:pStyle w:val="1561"/>
        <w:ind w:firstLine="840"/>
        <w:spacing w:line="440" w:lineRule="exact"/>
        <w:rPr>
          <w:color w:val="000000"/>
          <w:szCs w:val="21"/>
        </w:rPr>
      </w:pPr>
      <w:r>
        <w:rPr>
          <w:color w:val="000000"/>
          <w:szCs w:val="21"/>
        </w:rPr>
        <w:t xml:space="preserve">第二章  投标人须知</w:t>
      </w:r>
      <w:r>
        <w:rPr>
          <w:color w:val="000000"/>
          <w:szCs w:val="21"/>
        </w:rPr>
      </w:r>
      <w:r/>
    </w:p>
    <w:p>
      <w:pPr>
        <w:pStyle w:val="1561"/>
        <w:ind w:firstLine="840"/>
        <w:spacing w:line="440" w:lineRule="exact"/>
        <w:rPr>
          <w:color w:val="000000"/>
          <w:szCs w:val="21"/>
        </w:rPr>
      </w:pPr>
      <w:r>
        <w:rPr>
          <w:color w:val="000000"/>
          <w:szCs w:val="21"/>
        </w:rPr>
        <w:t xml:space="preserve">第三章  评标标准</w:t>
      </w:r>
      <w:r>
        <w:rPr>
          <w:color w:val="000000"/>
          <w:szCs w:val="21"/>
        </w:rPr>
      </w:r>
      <w:r/>
    </w:p>
    <w:p>
      <w:pPr>
        <w:pStyle w:val="1561"/>
        <w:ind w:firstLine="840"/>
        <w:spacing w:line="440" w:lineRule="exact"/>
        <w:rPr>
          <w:color w:val="000000"/>
          <w:szCs w:val="21"/>
        </w:rPr>
      </w:pPr>
      <w:r>
        <w:rPr>
          <w:color w:val="000000"/>
          <w:szCs w:val="21"/>
        </w:rPr>
        <w:t xml:space="preserve">第四章  招标技术规格及要求</w:t>
      </w:r>
      <w:r>
        <w:rPr>
          <w:color w:val="000000"/>
          <w:szCs w:val="21"/>
        </w:rPr>
      </w:r>
      <w:r/>
    </w:p>
    <w:p>
      <w:pPr>
        <w:pStyle w:val="1561"/>
        <w:ind w:firstLine="840"/>
        <w:spacing w:line="440" w:lineRule="exact"/>
        <w:rPr>
          <w:color w:val="000000"/>
          <w:szCs w:val="21"/>
        </w:rPr>
      </w:pPr>
      <w:r>
        <w:rPr>
          <w:color w:val="000000"/>
          <w:szCs w:val="21"/>
        </w:rPr>
        <w:t xml:space="preserve">第五章  拟签订的合同文本</w:t>
      </w:r>
      <w:r>
        <w:rPr>
          <w:color w:val="000000"/>
          <w:szCs w:val="21"/>
        </w:rPr>
      </w:r>
      <w:r/>
    </w:p>
    <w:p>
      <w:pPr>
        <w:pStyle w:val="1561"/>
        <w:ind w:firstLine="840"/>
        <w:spacing w:line="440" w:lineRule="exact"/>
        <w:rPr>
          <w:color w:val="000000"/>
          <w:szCs w:val="21"/>
        </w:rPr>
      </w:pPr>
      <w:r>
        <w:rPr>
          <w:color w:val="000000"/>
          <w:szCs w:val="21"/>
        </w:rPr>
        <w:t xml:space="preserve">第六章  投标文件格式及附件</w:t>
      </w:r>
      <w:r>
        <w:rPr>
          <w:color w:val="000000"/>
          <w:szCs w:val="21"/>
        </w:rPr>
      </w:r>
      <w:r/>
    </w:p>
    <w:p>
      <w:pPr>
        <w:pStyle w:val="1561"/>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561"/>
        <w:ind w:firstLine="420"/>
        <w:spacing w:line="440" w:lineRule="exact"/>
        <w:rPr>
          <w:color w:val="000000"/>
          <w:szCs w:val="21"/>
        </w:rPr>
      </w:pPr>
      <w:r>
        <w:rPr>
          <w:color w:val="000000"/>
          <w:szCs w:val="21"/>
        </w:rPr>
        <w:t xml:space="preserve">6.3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561"/>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100" w:name="_Toc14415"/>
      <w:r/>
      <w:bookmarkStart w:id="101" w:name="_Toc29792"/>
      <w:r/>
      <w:bookmarkStart w:id="102" w:name="_Toc15040"/>
      <w:r/>
      <w:bookmarkStart w:id="103" w:name="_Toc431"/>
      <w:r>
        <w:rPr>
          <w:rFonts w:ascii="Times New Roman" w:eastAsia="宋体"/>
          <w:b/>
          <w:bCs/>
          <w:color w:val="000000"/>
          <w:sz w:val="21"/>
          <w:szCs w:val="21"/>
        </w:rPr>
        <w:t xml:space="preserve">7.招标文件的澄清、补充或修改</w:t>
      </w:r>
      <w:bookmarkEnd w:id="100"/>
      <w:r/>
      <w:bookmarkEnd w:id="101"/>
      <w:r/>
      <w:bookmarkEnd w:id="102"/>
      <w:r/>
      <w:bookmarkEnd w:id="103"/>
      <w:r>
        <w:rPr>
          <w:rFonts w:ascii="Times New Roman" w:eastAsia="宋体"/>
          <w:b/>
          <w:bCs/>
          <w:color w:val="000000"/>
          <w:sz w:val="21"/>
          <w:szCs w:val="21"/>
        </w:rPr>
      </w:r>
      <w:r/>
    </w:p>
    <w:p>
      <w:pPr>
        <w:pStyle w:val="1561"/>
        <w:ind w:firstLine="441"/>
        <w:spacing w:line="440" w:lineRule="exact"/>
        <w:rPr>
          <w:szCs w:val="21"/>
        </w:rPr>
      </w:pPr>
      <w:r/>
      <w:bookmarkStart w:id="104"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561"/>
        <w:ind w:firstLine="441"/>
        <w:spacing w:line="440" w:lineRule="exact"/>
        <w:rPr>
          <w:szCs w:val="21"/>
        </w:rPr>
      </w:pPr>
      <w:r>
        <w:rPr>
          <w:color w:val="000000"/>
          <w:szCs w:val="21"/>
        </w:rPr>
        <w:t xml:space="preserve">7.2</w:t>
      </w:r>
      <w:r>
        <w:rPr>
          <w:szCs w:val="21"/>
        </w:rPr>
        <w:t xml:space="preserve">采购代理机构可对已发出的招标文件用更正公告的方式进行必要的澄清或者修改，并以书面形式通知所有获取文件的供应商。</w:t>
      </w:r>
      <w:r>
        <w:rPr>
          <w:szCs w:val="21"/>
        </w:rPr>
      </w:r>
      <w:r/>
    </w:p>
    <w:p>
      <w:pPr>
        <w:pStyle w:val="1561"/>
        <w:ind w:firstLine="441"/>
        <w:spacing w:line="440" w:lineRule="exact"/>
        <w:rPr>
          <w:szCs w:val="21"/>
        </w:rPr>
      </w:pPr>
      <w:r>
        <w:rPr>
          <w:color w:val="000000"/>
          <w:szCs w:val="21"/>
        </w:rPr>
        <w:t xml:space="preserve">7.3</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561"/>
        <w:ind w:firstLine="441"/>
        <w:spacing w:line="440" w:lineRule="exact"/>
        <w:rPr>
          <w:bCs/>
          <w:szCs w:val="21"/>
        </w:rPr>
      </w:pPr>
      <w:r>
        <w:rPr>
          <w:bCs/>
          <w:szCs w:val="21"/>
        </w:rPr>
        <w:t xml:space="preserve">7.4当招标文件与以上澄清或修改公告的内容相互矛盾时，以采购代理机构最后发出的澄清或修改为准。</w:t>
      </w:r>
      <w:r>
        <w:rPr>
          <w:bCs/>
          <w:szCs w:val="21"/>
        </w:rPr>
      </w:r>
      <w:r/>
    </w:p>
    <w:p>
      <w:pPr>
        <w:pStyle w:val="1561"/>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561"/>
        <w:ind w:firstLine="420"/>
        <w:spacing w:line="440" w:lineRule="exact"/>
        <w:shd w:val="clear" w:color="auto" w:fill="auto"/>
        <w:widowControl/>
        <w:rPr>
          <w:b/>
          <w:bCs/>
          <w:szCs w:val="21"/>
        </w:rPr>
        <w:outlineLvl w:val="1"/>
      </w:pPr>
      <w:r/>
      <w:bookmarkStart w:id="105" w:name="_Toc22876"/>
      <w:r/>
      <w:bookmarkStart w:id="106" w:name="_Toc26883"/>
      <w:r/>
      <w:bookmarkStart w:id="107" w:name="_Toc31594"/>
      <w:r>
        <w:rPr>
          <w:b/>
          <w:bCs/>
          <w:szCs w:val="21"/>
        </w:rPr>
        <w:t xml:space="preserve">三、投标文件的编制</w:t>
      </w:r>
      <w:bookmarkEnd w:id="104"/>
      <w:r/>
      <w:bookmarkEnd w:id="105"/>
      <w:r/>
      <w:bookmarkEnd w:id="106"/>
      <w:r/>
      <w:bookmarkEnd w:id="107"/>
      <w:r>
        <w:rPr>
          <w:b/>
          <w:bCs/>
          <w:szCs w:val="21"/>
        </w:rPr>
      </w:r>
      <w:r/>
    </w:p>
    <w:p>
      <w:pPr>
        <w:pStyle w:val="1564"/>
        <w:ind w:left="0" w:firstLine="422"/>
        <w:jc w:val="both"/>
        <w:spacing w:line="440" w:lineRule="exact"/>
        <w:tabs>
          <w:tab w:val="left" w:pos="480" w:leader="none"/>
        </w:tabs>
        <w:rPr>
          <w:rFonts w:ascii="Times New Roman" w:eastAsia="宋体"/>
          <w:b/>
          <w:bCs/>
          <w:sz w:val="21"/>
          <w:szCs w:val="21"/>
        </w:rPr>
      </w:pPr>
      <w:r/>
      <w:bookmarkStart w:id="108" w:name="_Toc28127"/>
      <w:r/>
      <w:bookmarkStart w:id="109" w:name="_Toc13816"/>
      <w:r/>
      <w:bookmarkStart w:id="110" w:name="_Toc17513"/>
      <w:r/>
      <w:bookmarkStart w:id="111" w:name="_Toc16026"/>
      <w:r>
        <w:rPr>
          <w:rFonts w:ascii="Times New Roman" w:eastAsia="宋体"/>
          <w:b/>
          <w:bCs/>
          <w:sz w:val="21"/>
          <w:szCs w:val="21"/>
        </w:rPr>
        <w:t xml:space="preserve">8.</w:t>
      </w:r>
      <w:bookmarkEnd w:id="108"/>
      <w:r>
        <w:rPr>
          <w:rFonts w:ascii="Times New Roman" w:eastAsia="宋体"/>
          <w:b/>
          <w:bCs/>
          <w:sz w:val="21"/>
          <w:szCs w:val="21"/>
        </w:rPr>
        <w:t xml:space="preserve">投标文件的语言、计量单位、货币</w:t>
      </w:r>
      <w:bookmarkEnd w:id="109"/>
      <w:r/>
      <w:bookmarkEnd w:id="110"/>
      <w:r/>
      <w:bookmarkEnd w:id="111"/>
      <w:r>
        <w:rPr>
          <w:rFonts w:ascii="Times New Roman" w:eastAsia="宋体"/>
          <w:b/>
          <w:bCs/>
          <w:sz w:val="21"/>
          <w:szCs w:val="21"/>
        </w:rPr>
      </w:r>
      <w:r/>
    </w:p>
    <w:p>
      <w:pPr>
        <w:pStyle w:val="1561"/>
        <w:ind w:firstLine="420"/>
        <w:spacing w:line="440" w:lineRule="exact"/>
        <w:shd w:val="clear" w:color="auto" w:fill="auto"/>
        <w:widowControl/>
        <w:rPr>
          <w:color w:val="000000"/>
          <w:szCs w:val="21"/>
        </w:rPr>
      </w:pPr>
      <w:r>
        <w:rPr>
          <w:szCs w:val="21"/>
        </w:rPr>
        <w:t xml:space="preserve">8.1供应商提交的投标文件（包括技术文件和资料、图纸中的说明）以及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561"/>
        <w:ind w:firstLine="420"/>
        <w:spacing w:line="440" w:lineRule="exact"/>
        <w:shd w:val="clear" w:color="auto" w:fill="auto"/>
        <w:widowControl/>
        <w:rPr>
          <w:szCs w:val="21"/>
        </w:rPr>
      </w:pPr>
      <w:r/>
      <w:bookmarkStart w:id="112" w:name="_Toc19298"/>
      <w:r>
        <w:rPr>
          <w:szCs w:val="21"/>
        </w:rPr>
        <w:t xml:space="preserve">8.3除招标文件中有特殊要求外，招标文件中所使用的计量单位应为国家法定计量单位。</w:t>
      </w:r>
      <w:r>
        <w:rPr>
          <w:szCs w:val="21"/>
        </w:rPr>
      </w:r>
      <w:r/>
    </w:p>
    <w:p>
      <w:pPr>
        <w:pStyle w:val="1561"/>
        <w:ind w:firstLine="420"/>
        <w:spacing w:line="440" w:lineRule="exact"/>
        <w:shd w:val="clear" w:color="auto" w:fill="auto"/>
        <w:widowControl/>
        <w:rPr>
          <w:szCs w:val="21"/>
        </w:rPr>
      </w:pPr>
      <w:r>
        <w:rPr>
          <w:szCs w:val="21"/>
        </w:rPr>
        <w:t xml:space="preserve">8.4本招标文件所表述的时间均为北京时间。</w:t>
      </w:r>
      <w:r>
        <w:rPr>
          <w:szCs w:val="21"/>
        </w:rPr>
      </w:r>
      <w:r/>
    </w:p>
    <w:p>
      <w:pPr>
        <w:pStyle w:val="1561"/>
        <w:ind w:firstLine="420"/>
        <w:spacing w:line="440" w:lineRule="exact"/>
        <w:shd w:val="clear" w:color="auto" w:fill="auto"/>
        <w:widowControl/>
        <w:rPr>
          <w:color w:val="000000"/>
          <w:szCs w:val="21"/>
        </w:rPr>
      </w:pPr>
      <w:r>
        <w:rPr>
          <w:szCs w:val="21"/>
        </w:rPr>
        <w:t xml:space="preserve">8.5</w:t>
      </w:r>
      <w:r>
        <w:rPr>
          <w:b/>
          <w:bCs/>
          <w:szCs w:val="21"/>
        </w:rPr>
        <w:t xml:space="preserve">所有投标响应报价具体详见投标人须知前附表。</w:t>
      </w:r>
      <w:r>
        <w:rPr>
          <w:color w:val="000000"/>
          <w:szCs w:val="21"/>
        </w:rPr>
      </w:r>
      <w:r/>
    </w:p>
    <w:p>
      <w:pPr>
        <w:pStyle w:val="1561"/>
        <w:ind w:firstLine="420"/>
        <w:spacing w:line="440" w:lineRule="exact"/>
        <w:rPr>
          <w:b/>
          <w:szCs w:val="21"/>
          <w:lang w:val="zh-CN"/>
        </w:rPr>
        <w:outlineLvl w:val="2"/>
      </w:pPr>
      <w:r/>
      <w:bookmarkStart w:id="113" w:name="_Toc30894"/>
      <w:r/>
      <w:bookmarkStart w:id="114" w:name="_Toc6339"/>
      <w:r/>
      <w:bookmarkStart w:id="115" w:name="_Toc31000"/>
      <w:r/>
      <w:bookmarkStart w:id="116" w:name="_Toc30269"/>
      <w:r>
        <w:rPr>
          <w:b/>
          <w:bCs/>
          <w:color w:val="000000"/>
          <w:szCs w:val="21"/>
        </w:rPr>
        <w:t xml:space="preserve">9.</w:t>
      </w:r>
      <w:r>
        <w:rPr>
          <w:b/>
          <w:szCs w:val="21"/>
          <w:lang w:val="zh-CN"/>
        </w:rPr>
        <w:t xml:space="preserve">联合体（</w:t>
      </w:r>
      <w:r>
        <w:rPr>
          <w:rFonts w:hint="eastAsia" w:ascii="宋体" w:hAnsi="宋体" w:cs="宋体"/>
          <w:b/>
          <w:bCs/>
          <w:szCs w:val="21"/>
        </w:rPr>
        <w:t xml:space="preserve">本项目</w:t>
      </w:r>
      <w:r>
        <w:rPr>
          <w:rFonts w:hint="eastAsia" w:ascii="宋体" w:hAnsi="宋体" w:cs="宋体"/>
          <w:b/>
          <w:bCs/>
          <w:szCs w:val="21"/>
          <w:lang w:val="en-US" w:eastAsia="zh-CN"/>
        </w:rPr>
        <w:t xml:space="preserve">不</w:t>
      </w:r>
      <w:r>
        <w:rPr>
          <w:rFonts w:hint="eastAsia" w:ascii="宋体" w:hAnsi="宋体" w:cs="宋体"/>
          <w:b/>
          <w:bCs/>
          <w:szCs w:val="21"/>
        </w:rPr>
        <w:t xml:space="preserve">接受联合体投标</w:t>
      </w:r>
      <w:r>
        <w:rPr>
          <w:b/>
          <w:szCs w:val="21"/>
          <w:lang w:val="zh-CN"/>
        </w:rPr>
        <w:t xml:space="preserve">）</w:t>
      </w:r>
      <w:bookmarkEnd w:id="113"/>
      <w:r/>
      <w:bookmarkEnd w:id="114"/>
      <w:r/>
      <w:bookmarkEnd w:id="115"/>
      <w:r/>
      <w:bookmarkEnd w:id="116"/>
      <w:r>
        <w:rPr>
          <w:b/>
          <w:szCs w:val="21"/>
          <w:lang w:val="zh-CN"/>
        </w:rPr>
      </w:r>
      <w:r/>
    </w:p>
    <w:p>
      <w:pPr>
        <w:pStyle w:val="1561"/>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561"/>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561"/>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561"/>
        <w:ind w:firstLine="420"/>
        <w:spacing w:line="440" w:lineRule="exact"/>
        <w:rPr>
          <w:szCs w:val="21"/>
        </w:rPr>
      </w:pPr>
      <w:r>
        <w:rPr>
          <w:szCs w:val="21"/>
        </w:rPr>
        <w:t xml:space="preserve">9.4</w:t>
      </w:r>
      <w:r>
        <w:rPr>
          <w:szCs w:val="21"/>
        </w:rPr>
        <w:t xml:space="preserve">联合体各方之间应当签订联合体协议，明确约定联合体各方承担的工作和相应的责任，并将联合体协议连同响应文件一并提交。</w:t>
      </w:r>
      <w:r>
        <w:rPr>
          <w:szCs w:val="21"/>
        </w:rPr>
      </w:r>
      <w:r/>
    </w:p>
    <w:p>
      <w:pPr>
        <w:pStyle w:val="1561"/>
        <w:ind w:firstLine="420"/>
        <w:spacing w:line="440" w:lineRule="exact"/>
        <w:shd w:val="clear" w:color="auto" w:fill="auto"/>
        <w:widowControl/>
        <w:rPr>
          <w:szCs w:val="21"/>
        </w:rPr>
      </w:pPr>
      <w:r>
        <w:rPr>
          <w:szCs w:val="21"/>
        </w:rPr>
        <w:t xml:space="preserve">9.5</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564"/>
        <w:ind w:left="0" w:firstLine="422"/>
        <w:jc w:val="both"/>
        <w:spacing w:line="440" w:lineRule="exact"/>
        <w:tabs>
          <w:tab w:val="left" w:pos="480" w:leader="none"/>
        </w:tabs>
        <w:rPr>
          <w:rFonts w:ascii="Times New Roman" w:eastAsia="宋体"/>
          <w:color w:val="000000"/>
          <w:sz w:val="21"/>
          <w:szCs w:val="21"/>
        </w:rPr>
      </w:pPr>
      <w:r/>
      <w:bookmarkEnd w:id="112"/>
      <w:r/>
      <w:bookmarkStart w:id="117" w:name="_Toc22790"/>
      <w:r/>
      <w:bookmarkStart w:id="118" w:name="_Toc2258"/>
      <w:r/>
      <w:bookmarkStart w:id="119" w:name="_Toc23063"/>
      <w:r/>
      <w:bookmarkStart w:id="120" w:name="_Toc16523"/>
      <w:r>
        <w:rPr>
          <w:rFonts w:ascii="Times New Roman" w:eastAsia="宋体"/>
          <w:b/>
          <w:bCs/>
          <w:color w:val="000000"/>
          <w:sz w:val="21"/>
          <w:szCs w:val="21"/>
        </w:rPr>
        <w:t xml:space="preserve">10.投标文件的</w:t>
      </w:r>
      <w:bookmarkEnd w:id="117"/>
      <w:r>
        <w:rPr>
          <w:rFonts w:ascii="Times New Roman" w:eastAsia="宋体"/>
          <w:b/>
          <w:bCs/>
          <w:color w:val="000000"/>
          <w:sz w:val="21"/>
          <w:szCs w:val="21"/>
        </w:rPr>
        <w:t xml:space="preserve">组成</w:t>
      </w:r>
      <w:bookmarkEnd w:id="118"/>
      <w:r/>
      <w:bookmarkEnd w:id="119"/>
      <w:r/>
      <w:bookmarkEnd w:id="120"/>
      <w:r>
        <w:rPr>
          <w:rFonts w:ascii="Times New Roman" w:eastAsia="宋体"/>
          <w:color w:val="000000"/>
          <w:sz w:val="21"/>
          <w:szCs w:val="21"/>
        </w:rPr>
      </w:r>
      <w:r/>
    </w:p>
    <w:p>
      <w:pPr>
        <w:pStyle w:val="1561"/>
        <w:ind w:firstLine="420"/>
        <w:spacing w:line="440" w:lineRule="exact"/>
        <w:shd w:val="clear" w:color="auto" w:fill="auto"/>
        <w:widowControl/>
        <w:rPr>
          <w:szCs w:val="21"/>
        </w:rPr>
      </w:pPr>
      <w:r>
        <w:rPr>
          <w:szCs w:val="21"/>
        </w:rPr>
        <w:t xml:space="preserve">10.1供应商应当根据招标文件要求编制投标文件，投标文件应对招标文件提出的要求和条件作出实质性响应，并在《商务条款偏离表》和《技术条款偏离表》等处逐条标明满足与否。</w:t>
      </w:r>
      <w:r>
        <w:rPr>
          <w:szCs w:val="21"/>
        </w:rPr>
      </w:r>
      <w:r/>
    </w:p>
    <w:p>
      <w:pPr>
        <w:pStyle w:val="1561"/>
        <w:ind w:firstLine="420"/>
        <w:spacing w:line="440" w:lineRule="exact"/>
        <w:shd w:val="clear" w:color="auto" w:fill="auto"/>
        <w:widowControl/>
        <w:rPr>
          <w:szCs w:val="21"/>
        </w:rPr>
      </w:pPr>
      <w:r>
        <w:rPr>
          <w:szCs w:val="21"/>
        </w:rPr>
        <w:t xml:space="preserve">10.2投标文件由商务、技术、价格及其他部分组成，应包括但不限于下列文件，其中加※项目不得有缺失或无效：</w:t>
      </w:r>
      <w:r>
        <w:rPr>
          <w:szCs w:val="21"/>
        </w:rPr>
      </w:r>
      <w:r/>
    </w:p>
    <w:p>
      <w:pPr>
        <w:pStyle w:val="1561"/>
        <w:ind w:firstLine="420"/>
        <w:spacing w:line="440" w:lineRule="exact"/>
        <w:shd w:val="clear" w:color="auto" w:fill="auto"/>
        <w:widowControl/>
        <w:rPr>
          <w:szCs w:val="21"/>
        </w:rPr>
      </w:pPr>
      <w:r>
        <w:rPr>
          <w:szCs w:val="21"/>
        </w:rPr>
        <w:t xml:space="preserve">（1）※投标函（投标申请及声明）</w:t>
      </w:r>
      <w:r>
        <w:rPr>
          <w:szCs w:val="21"/>
        </w:rPr>
      </w:r>
      <w:r/>
    </w:p>
    <w:p>
      <w:pPr>
        <w:pStyle w:val="1561"/>
        <w:ind w:firstLine="420"/>
        <w:spacing w:line="440" w:lineRule="exact"/>
        <w:shd w:val="clear" w:color="auto" w:fill="auto"/>
        <w:widowControl/>
        <w:rPr>
          <w:szCs w:val="21"/>
        </w:rPr>
      </w:pPr>
      <w:r>
        <w:rPr>
          <w:szCs w:val="21"/>
        </w:rPr>
        <w:t xml:space="preserve">（2）※开标一览表</w:t>
      </w:r>
      <w:r>
        <w:rPr>
          <w:szCs w:val="21"/>
        </w:rPr>
      </w:r>
      <w:r/>
    </w:p>
    <w:p>
      <w:pPr>
        <w:pStyle w:val="1561"/>
        <w:ind w:firstLine="420"/>
        <w:spacing w:line="440" w:lineRule="exact"/>
        <w:shd w:val="clear" w:color="auto" w:fill="auto"/>
        <w:widowControl/>
        <w:rPr>
          <w:szCs w:val="21"/>
        </w:rPr>
      </w:pPr>
      <w:r>
        <w:rPr>
          <w:szCs w:val="21"/>
        </w:rPr>
        <w:t xml:space="preserve">（3）分项报价表</w:t>
      </w:r>
      <w:r>
        <w:rPr>
          <w:szCs w:val="21"/>
        </w:rPr>
      </w:r>
      <w:r/>
    </w:p>
    <w:p>
      <w:pPr>
        <w:pStyle w:val="1561"/>
        <w:ind w:firstLine="420"/>
        <w:spacing w:line="440" w:lineRule="exact"/>
        <w:shd w:val="clear" w:color="auto" w:fill="auto"/>
        <w:widowControl/>
        <w:rPr>
          <w:szCs w:val="21"/>
        </w:rPr>
      </w:pPr>
      <w:r>
        <w:rPr>
          <w:szCs w:val="21"/>
        </w:rPr>
        <w:t xml:space="preserve">（4）《商务条款偏离表》</w:t>
      </w:r>
      <w:r>
        <w:rPr>
          <w:szCs w:val="21"/>
        </w:rPr>
      </w:r>
      <w:r/>
    </w:p>
    <w:p>
      <w:pPr>
        <w:pStyle w:val="1561"/>
        <w:ind w:firstLine="420"/>
        <w:spacing w:line="440" w:lineRule="exact"/>
        <w:shd w:val="clear" w:color="auto" w:fill="auto"/>
        <w:widowControl/>
        <w:rPr>
          <w:szCs w:val="21"/>
        </w:rPr>
      </w:pPr>
      <w:r>
        <w:rPr>
          <w:szCs w:val="21"/>
        </w:rPr>
        <w:t xml:space="preserve">（5）※《技术条款偏离表》</w:t>
      </w:r>
      <w:r>
        <w:rPr>
          <w:szCs w:val="21"/>
        </w:rPr>
      </w:r>
      <w:r/>
    </w:p>
    <w:p>
      <w:pPr>
        <w:pStyle w:val="1561"/>
        <w:ind w:firstLine="420"/>
        <w:spacing w:line="440" w:lineRule="exact"/>
        <w:shd w:val="clear" w:color="auto" w:fill="auto"/>
        <w:widowControl/>
        <w:rPr>
          <w:szCs w:val="21"/>
        </w:rPr>
      </w:pPr>
      <w:r>
        <w:rPr>
          <w:szCs w:val="21"/>
        </w:rPr>
        <w:t xml:space="preserve">（6）政府采购政策</w:t>
      </w:r>
      <w:r>
        <w:rPr>
          <w:szCs w:val="21"/>
        </w:rPr>
      </w:r>
      <w:r/>
    </w:p>
    <w:p>
      <w:pPr>
        <w:pStyle w:val="1561"/>
        <w:ind w:firstLine="420"/>
        <w:spacing w:line="440" w:lineRule="exact"/>
        <w:shd w:val="clear" w:color="auto" w:fill="auto"/>
        <w:widowControl/>
        <w:rPr>
          <w:szCs w:val="21"/>
        </w:rPr>
      </w:pPr>
      <w:r>
        <w:rPr>
          <w:szCs w:val="21"/>
        </w:rPr>
        <w:t xml:space="preserve">（7）供应商基本情况表</w:t>
      </w:r>
      <w:r>
        <w:rPr>
          <w:szCs w:val="21"/>
        </w:rPr>
      </w:r>
      <w:r/>
    </w:p>
    <w:p>
      <w:pPr>
        <w:pStyle w:val="1561"/>
        <w:ind w:firstLine="420"/>
        <w:spacing w:line="440" w:lineRule="exact"/>
        <w:shd w:val="clear" w:color="auto" w:fill="auto"/>
        <w:widowControl/>
        <w:rPr>
          <w:szCs w:val="21"/>
        </w:rPr>
      </w:pPr>
      <w:r>
        <w:rPr>
          <w:szCs w:val="21"/>
        </w:rPr>
        <w:t xml:space="preserve">（</w:t>
      </w:r>
      <w:r>
        <w:rPr>
          <w:rFonts w:hint="eastAsia"/>
          <w:szCs w:val="21"/>
          <w:lang w:val="en-US" w:eastAsia="zh-CN"/>
        </w:rPr>
        <w:t xml:space="preserve">8</w:t>
      </w:r>
      <w:r>
        <w:rPr>
          <w:szCs w:val="21"/>
        </w:rPr>
        <w:t xml:space="preserve">）※资格证明文件</w:t>
      </w:r>
      <w:r>
        <w:rPr>
          <w:szCs w:val="21"/>
        </w:rPr>
      </w:r>
      <w:r/>
    </w:p>
    <w:p>
      <w:pPr>
        <w:pStyle w:val="1561"/>
        <w:ind w:firstLine="420"/>
        <w:spacing w:line="440" w:lineRule="exact"/>
        <w:shd w:val="clear" w:color="auto" w:fill="auto"/>
        <w:widowControl/>
        <w:rPr>
          <w:szCs w:val="21"/>
        </w:rPr>
      </w:pPr>
      <w:r>
        <w:rPr>
          <w:szCs w:val="21"/>
        </w:rPr>
        <w:t xml:space="preserve">（</w:t>
      </w:r>
      <w:r>
        <w:rPr>
          <w:rFonts w:hint="eastAsia"/>
          <w:szCs w:val="21"/>
          <w:lang w:val="en-US" w:eastAsia="zh-CN"/>
        </w:rPr>
        <w:t xml:space="preserve">9</w:t>
      </w:r>
      <w:r>
        <w:rPr>
          <w:szCs w:val="21"/>
        </w:rPr>
        <w:t xml:space="preserve">）供应商认为需要提供的其他资料</w:t>
      </w:r>
      <w:r>
        <w:rPr>
          <w:szCs w:val="21"/>
        </w:rPr>
      </w:r>
      <w:r/>
    </w:p>
    <w:p>
      <w:pPr>
        <w:pStyle w:val="1561"/>
        <w:ind w:firstLine="420"/>
        <w:spacing w:line="440" w:lineRule="exact"/>
        <w:shd w:val="clear" w:color="auto" w:fill="auto"/>
        <w:widowControl/>
        <w:rPr>
          <w:szCs w:val="21"/>
        </w:rPr>
      </w:pPr>
      <w:r/>
      <w:bookmarkStart w:id="121" w:name="_Toc32484"/>
      <w:r/>
      <w:bookmarkStart w:id="122" w:name="_Toc12595"/>
      <w:r>
        <w:rPr>
          <w:szCs w:val="21"/>
        </w:rPr>
        <w:t xml:space="preserve">10.3投标文件的商务部分：是证明供应商有资格参加投标和中标后有能力履行合同的文件，这些文件应能满足招标的要求。</w:t>
      </w:r>
      <w:r>
        <w:rPr>
          <w:szCs w:val="21"/>
        </w:rPr>
      </w:r>
      <w:r/>
    </w:p>
    <w:p>
      <w:pPr>
        <w:pStyle w:val="1561"/>
        <w:ind w:firstLine="420"/>
        <w:spacing w:line="440" w:lineRule="exact"/>
        <w:shd w:val="clear" w:color="auto" w:fill="auto"/>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561"/>
        <w:ind w:firstLine="420"/>
        <w:spacing w:line="440" w:lineRule="exact"/>
        <w:shd w:val="clear" w:color="auto" w:fill="auto"/>
        <w:widowControl/>
        <w:rPr>
          <w:szCs w:val="21"/>
        </w:rPr>
      </w:pPr>
      <w:r>
        <w:rPr>
          <w:szCs w:val="21"/>
        </w:rPr>
        <w:t xml:space="preserve">10.5投标文件的价格部分：</w:t>
      </w:r>
      <w:r>
        <w:rPr>
          <w:szCs w:val="21"/>
        </w:rPr>
      </w:r>
      <w:r/>
    </w:p>
    <w:p>
      <w:pPr>
        <w:pStyle w:val="1561"/>
        <w:ind w:firstLine="420"/>
        <w:spacing w:line="440" w:lineRule="exact"/>
        <w:shd w:val="clear" w:color="auto" w:fill="auto"/>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561"/>
        <w:ind w:firstLine="420"/>
        <w:spacing w:line="440" w:lineRule="exact"/>
        <w:shd w:val="clear" w:color="auto" w:fill="auto"/>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561"/>
        <w:ind w:firstLine="420"/>
        <w:spacing w:line="440" w:lineRule="exact"/>
        <w:shd w:val="clear" w:color="auto" w:fill="auto"/>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561"/>
        <w:ind w:firstLine="420"/>
        <w:spacing w:line="440" w:lineRule="exact"/>
        <w:shd w:val="clear" w:color="auto" w:fill="auto"/>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561"/>
        <w:ind w:firstLine="420"/>
        <w:spacing w:line="440" w:lineRule="exact"/>
        <w:shd w:val="clear" w:color="auto" w:fill="auto"/>
        <w:widowControl/>
        <w:rPr>
          <w:szCs w:val="21"/>
        </w:rPr>
      </w:pPr>
      <w:r>
        <w:rPr>
          <w:szCs w:val="21"/>
        </w:rPr>
        <w:t xml:space="preserve">10.6投标文件的其他部分：</w:t>
      </w:r>
      <w:r>
        <w:rPr>
          <w:szCs w:val="21"/>
        </w:rPr>
      </w:r>
      <w:r/>
    </w:p>
    <w:p>
      <w:pPr>
        <w:pStyle w:val="1561"/>
        <w:ind w:firstLine="420"/>
        <w:spacing w:line="440" w:lineRule="exact"/>
        <w:shd w:val="clear" w:color="auto" w:fill="auto"/>
        <w:widowControl/>
        <w:rPr>
          <w:szCs w:val="21"/>
        </w:rPr>
      </w:pPr>
      <w:r>
        <w:rPr>
          <w:szCs w:val="21"/>
        </w:rPr>
        <w:t xml:space="preserve">其他文件由供应商根据编制投标文件需要提供的其他相关文件。</w:t>
      </w:r>
      <w:r>
        <w:rPr>
          <w:szCs w:val="21"/>
        </w:rPr>
      </w:r>
      <w:r/>
    </w:p>
    <w:p>
      <w:pPr>
        <w:pStyle w:val="1564"/>
        <w:ind w:left="0" w:firstLine="422"/>
        <w:jc w:val="both"/>
        <w:spacing w:line="440" w:lineRule="exact"/>
        <w:tabs>
          <w:tab w:val="left" w:pos="480" w:leader="none"/>
        </w:tabs>
        <w:rPr>
          <w:rFonts w:ascii="Times New Roman" w:eastAsia="宋体"/>
          <w:b/>
          <w:bCs/>
          <w:color w:val="000000"/>
          <w:sz w:val="21"/>
          <w:szCs w:val="21"/>
          <w:lang w:val="en-US" w:eastAsia="zh-CN"/>
        </w:rPr>
      </w:pPr>
      <w:r/>
      <w:bookmarkStart w:id="123" w:name="_Toc11609"/>
      <w:r/>
      <w:bookmarkStart w:id="124" w:name="_Toc27290"/>
      <w:r>
        <w:rPr>
          <w:rFonts w:ascii="Times New Roman" w:eastAsia="宋体"/>
          <w:b/>
          <w:bCs/>
          <w:color w:val="000000"/>
          <w:sz w:val="21"/>
          <w:szCs w:val="21"/>
        </w:rPr>
        <w:t xml:space="preserve">11.投标保证金</w:t>
      </w:r>
      <w:bookmarkEnd w:id="121"/>
      <w:r/>
      <w:bookmarkEnd w:id="122"/>
      <w:r>
        <w:rPr>
          <w:rFonts w:hint="eastAsia" w:ascii="Times New Roman" w:eastAsia="宋体"/>
          <w:b/>
          <w:bCs/>
          <w:color w:val="000000"/>
          <w:sz w:val="21"/>
          <w:szCs w:val="21"/>
          <w:lang w:eastAsia="zh-CN"/>
        </w:rPr>
        <w:t xml:space="preserve">（</w:t>
      </w:r>
      <w:r>
        <w:rPr>
          <w:rFonts w:hint="eastAsia" w:ascii="Times New Roman" w:eastAsia="宋体"/>
          <w:b/>
          <w:bCs/>
          <w:color w:val="000000"/>
          <w:sz w:val="21"/>
          <w:szCs w:val="21"/>
          <w:lang w:val="en-US" w:eastAsia="zh-CN"/>
        </w:rPr>
        <w:t xml:space="preserve">如有</w:t>
      </w:r>
      <w:r>
        <w:rPr>
          <w:rFonts w:hint="eastAsia" w:ascii="Times New Roman" w:eastAsia="宋体"/>
          <w:b/>
          <w:bCs/>
          <w:color w:val="000000"/>
          <w:sz w:val="21"/>
          <w:szCs w:val="21"/>
          <w:lang w:eastAsia="zh-CN"/>
        </w:rPr>
        <w:t xml:space="preserve">）</w:t>
      </w:r>
      <w:bookmarkEnd w:id="123"/>
      <w:r/>
      <w:bookmarkEnd w:id="124"/>
      <w:r>
        <w:rPr>
          <w:rFonts w:ascii="Times New Roman" w:eastAsia="宋体"/>
          <w:b/>
          <w:bCs/>
          <w:color w:val="000000"/>
          <w:sz w:val="21"/>
          <w:szCs w:val="21"/>
          <w:lang w:val="en-US" w:eastAsia="zh-CN"/>
        </w:rPr>
      </w:r>
      <w:r/>
    </w:p>
    <w:p>
      <w:pPr>
        <w:pStyle w:val="1561"/>
        <w:ind w:firstLine="420"/>
        <w:spacing w:line="440" w:lineRule="exact"/>
        <w:shd w:val="clear" w:color="auto" w:fill="auto"/>
        <w:widowControl/>
        <w:rPr>
          <w:color w:val="000000"/>
          <w:szCs w:val="21"/>
        </w:rPr>
      </w:pPr>
      <w:r/>
      <w:bookmarkStart w:id="125"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561"/>
        <w:ind w:firstLine="420"/>
        <w:spacing w:line="440" w:lineRule="exact"/>
        <w:shd w:val="clear" w:color="auto" w:fill="auto"/>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561"/>
        <w:ind w:firstLine="420"/>
        <w:spacing w:line="440" w:lineRule="exact"/>
        <w:shd w:val="clear" w:color="auto" w:fill="auto"/>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561"/>
        <w:ind w:firstLine="420"/>
        <w:spacing w:line="440" w:lineRule="exact"/>
        <w:shd w:val="clear" w:color="auto" w:fill="auto"/>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（1）中标供应商在中标后无正当理由不与采购人签订合同的；</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（3）提供虚假材料谋取成交的；</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561"/>
        <w:ind w:firstLine="420"/>
        <w:spacing w:line="440" w:lineRule="exact"/>
        <w:shd w:val="clear" w:color="auto" w:fill="auto"/>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561"/>
        <w:ind w:firstLine="420"/>
        <w:spacing w:line="440" w:lineRule="exact"/>
        <w:shd w:val="clear" w:color="auto" w:fill="auto"/>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126" w:name="_Toc31657"/>
      <w:r/>
      <w:bookmarkStart w:id="127" w:name="_Toc26527"/>
      <w:r/>
      <w:bookmarkStart w:id="128" w:name="_Toc10832"/>
      <w:r>
        <w:rPr>
          <w:rFonts w:ascii="Times New Roman" w:eastAsia="宋体"/>
          <w:b/>
          <w:bCs/>
          <w:color w:val="000000"/>
          <w:sz w:val="21"/>
          <w:szCs w:val="21"/>
        </w:rPr>
        <w:t xml:space="preserve">12.投标文件的有效期</w:t>
      </w:r>
      <w:bookmarkEnd w:id="125"/>
      <w:r/>
      <w:bookmarkEnd w:id="126"/>
      <w:r/>
      <w:bookmarkEnd w:id="127"/>
      <w:r/>
      <w:bookmarkEnd w:id="128"/>
      <w:r>
        <w:rPr>
          <w:rFonts w:ascii="Times New Roman" w:eastAsia="宋体"/>
          <w:b/>
          <w:bCs/>
          <w:color w:val="000000"/>
          <w:sz w:val="21"/>
          <w:szCs w:val="21"/>
        </w:rPr>
      </w:r>
      <w:r/>
    </w:p>
    <w:p>
      <w:pPr>
        <w:pStyle w:val="1561"/>
        <w:ind w:firstLine="420"/>
        <w:jc w:val="left"/>
        <w:spacing w:line="440" w:lineRule="exact"/>
        <w:rPr>
          <w:bCs/>
          <w:szCs w:val="21"/>
        </w:rPr>
      </w:pPr>
      <w:r/>
      <w:bookmarkStart w:id="129" w:name="_Toc6811"/>
      <w:r>
        <w:rPr>
          <w:bCs/>
          <w:szCs w:val="21"/>
        </w:rPr>
        <w:t xml:space="preserve">12.1自开标之日起90天内，投标文件应保持有效，有效期短于此规定的投标文件将视为无效。</w:t>
      </w:r>
      <w:r>
        <w:rPr>
          <w:bCs/>
          <w:szCs w:val="21"/>
        </w:rPr>
      </w:r>
      <w:r/>
    </w:p>
    <w:p>
      <w:pPr>
        <w:pStyle w:val="1561"/>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130" w:name="_Toc18186"/>
      <w:r/>
      <w:bookmarkStart w:id="131" w:name="_Toc19246"/>
      <w:r/>
      <w:bookmarkStart w:id="132" w:name="_Toc115"/>
      <w:r>
        <w:rPr>
          <w:rFonts w:ascii="Times New Roman" w:eastAsia="宋体"/>
          <w:b/>
          <w:bCs/>
          <w:color w:val="000000"/>
          <w:sz w:val="21"/>
          <w:szCs w:val="21"/>
        </w:rPr>
        <w:t xml:space="preserve">13.投标文件的签署及其形式</w:t>
      </w:r>
      <w:bookmarkEnd w:id="129"/>
      <w:r/>
      <w:bookmarkEnd w:id="130"/>
      <w:r/>
      <w:bookmarkEnd w:id="131"/>
      <w:r/>
      <w:bookmarkEnd w:id="132"/>
      <w:r>
        <w:rPr>
          <w:rFonts w:ascii="Times New Roman" w:eastAsia="宋体"/>
          <w:b/>
          <w:bCs/>
          <w:color w:val="000000"/>
          <w:sz w:val="21"/>
          <w:szCs w:val="21"/>
        </w:rPr>
      </w:r>
      <w:r/>
    </w:p>
    <w:p>
      <w:pPr>
        <w:pStyle w:val="1561"/>
        <w:ind w:firstLine="420"/>
        <w:spacing w:line="440" w:lineRule="exact"/>
        <w:rPr>
          <w:rFonts w:hint="eastAsia" w:eastAsia="宋体"/>
          <w:bCs/>
          <w:szCs w:val="21"/>
          <w:lang w:eastAsia="zh-CN"/>
        </w:rPr>
      </w:pPr>
      <w:r/>
      <w:bookmarkStart w:id="133" w:name="_Toc27455"/>
      <w:r>
        <w:rPr>
          <w:bCs/>
          <w:szCs w:val="21"/>
        </w:rPr>
        <w:t xml:space="preserve">13.</w:t>
      </w:r>
      <w:r>
        <w:rPr>
          <w:rFonts w:hint="eastAsia"/>
          <w:bCs/>
          <w:szCs w:val="21"/>
          <w:lang w:val="en-US" w:eastAsia="zh-CN"/>
        </w:rPr>
        <w:t xml:space="preserve">1</w:t>
      </w:r>
      <w:r>
        <w:rPr>
          <w:bCs/>
          <w:szCs w:val="21"/>
        </w:rPr>
        <w:t xml:space="preserve">投标文件的应用打印机或不褪色墨水书写，且经法定代表人或授权代表签署</w:t>
      </w:r>
      <w:r>
        <w:rPr>
          <w:rFonts w:hint="eastAsia"/>
          <w:bCs/>
          <w:color w:val="000000"/>
          <w:szCs w:val="21"/>
          <w:lang w:eastAsia="zh-CN"/>
        </w:rPr>
        <w:t xml:space="preserve">。</w:t>
      </w:r>
      <w:r>
        <w:rPr>
          <w:rFonts w:hint="eastAsia" w:eastAsia="宋体"/>
          <w:bCs/>
          <w:szCs w:val="21"/>
          <w:lang w:eastAsia="zh-CN"/>
        </w:rPr>
      </w:r>
      <w:r/>
    </w:p>
    <w:p>
      <w:pPr>
        <w:pStyle w:val="1561"/>
        <w:ind w:firstLine="420"/>
        <w:spacing w:line="440" w:lineRule="exact"/>
        <w:rPr>
          <w:bCs/>
          <w:szCs w:val="21"/>
        </w:rPr>
      </w:pPr>
      <w:r>
        <w:rPr>
          <w:bCs/>
          <w:szCs w:val="21"/>
        </w:rPr>
        <w:t xml:space="preserve">13.</w:t>
      </w:r>
      <w:r>
        <w:rPr>
          <w:rFonts w:hint="eastAsia"/>
          <w:bCs/>
          <w:szCs w:val="21"/>
          <w:lang w:val="en-US" w:eastAsia="zh-CN"/>
        </w:rPr>
        <w:t xml:space="preserve">2</w:t>
      </w:r>
      <w:r>
        <w:rPr>
          <w:bCs/>
          <w:szCs w:val="21"/>
        </w:rPr>
        <w:t xml:space="preserve">投标文件应字迹清楚、内容齐全、不得涂改或增删。如有修改和增删，必须有供应商公章或法定代表人或其授权代表签字</w:t>
      </w:r>
      <w:r>
        <w:rPr>
          <w:rFonts w:hint="eastAsia"/>
          <w:bCs/>
          <w:szCs w:val="21"/>
          <w:lang w:val="en-US" w:eastAsia="zh-CN"/>
        </w:rPr>
        <w:t xml:space="preserve">或盖章</w:t>
      </w:r>
      <w:r>
        <w:rPr>
          <w:bCs/>
          <w:szCs w:val="21"/>
        </w:rPr>
        <w:t xml:space="preserve">。因投标文件字迹潦草或表达不清所引起的不利后果由供应商承担。</w:t>
      </w:r>
      <w:r>
        <w:rPr>
          <w:bCs/>
          <w:szCs w:val="21"/>
        </w:rPr>
      </w:r>
      <w:r/>
    </w:p>
    <w:p>
      <w:pPr>
        <w:pStyle w:val="1561"/>
        <w:ind w:firstLine="420"/>
        <w:spacing w:line="440" w:lineRule="exact"/>
        <w:shd w:val="clear" w:color="auto" w:fill="auto"/>
        <w:widowControl/>
        <w:rPr>
          <w:b/>
          <w:bCs/>
          <w:color w:val="000000"/>
          <w:szCs w:val="21"/>
        </w:rPr>
        <w:outlineLvl w:val="1"/>
      </w:pPr>
      <w:r/>
      <w:bookmarkStart w:id="134" w:name="_Toc22818"/>
      <w:r/>
      <w:bookmarkStart w:id="135" w:name="_Toc2954"/>
      <w:r/>
      <w:bookmarkStart w:id="136" w:name="_Toc3725"/>
      <w:r>
        <w:rPr>
          <w:b/>
          <w:bCs/>
          <w:color w:val="000000"/>
          <w:szCs w:val="21"/>
        </w:rPr>
        <w:t xml:space="preserve">四、投标文件的递交</w:t>
      </w:r>
      <w:bookmarkEnd w:id="133"/>
      <w:r/>
      <w:bookmarkEnd w:id="134"/>
      <w:r/>
      <w:bookmarkEnd w:id="135"/>
      <w:r/>
      <w:bookmarkEnd w:id="136"/>
      <w:r>
        <w:rPr>
          <w:b/>
          <w:bCs/>
          <w:color w:val="000000"/>
          <w:szCs w:val="21"/>
        </w:rPr>
      </w:r>
      <w:r/>
    </w:p>
    <w:p>
      <w:pPr>
        <w:pStyle w:val="1564"/>
        <w:ind w:left="0" w:firstLine="422"/>
        <w:jc w:val="both"/>
        <w:spacing w:line="440" w:lineRule="exact"/>
        <w:tabs>
          <w:tab w:val="left" w:pos="480" w:leader="none"/>
        </w:tabs>
        <w:rPr>
          <w:rFonts w:hint="eastAsia" w:ascii="Times New Roman" w:eastAsia="宋体"/>
          <w:b/>
          <w:bCs/>
          <w:color w:val="000000"/>
          <w:sz w:val="21"/>
          <w:szCs w:val="21"/>
          <w:lang w:eastAsia="zh-CN"/>
        </w:rPr>
      </w:pPr>
      <w:r/>
      <w:bookmarkStart w:id="137" w:name="_Toc11996"/>
      <w:r/>
      <w:bookmarkStart w:id="138" w:name="_Toc14201"/>
      <w:r/>
      <w:bookmarkStart w:id="139" w:name="_Toc25295"/>
      <w:r/>
      <w:bookmarkStart w:id="140" w:name="_Toc11555"/>
      <w:r>
        <w:rPr>
          <w:rFonts w:ascii="Times New Roman" w:eastAsia="宋体"/>
          <w:b/>
          <w:bCs/>
          <w:color w:val="000000"/>
          <w:sz w:val="21"/>
          <w:szCs w:val="21"/>
        </w:rPr>
        <w:t xml:space="preserve">14.</w:t>
      </w:r>
      <w:bookmarkEnd w:id="137"/>
      <w:r/>
      <w:bookmarkEnd w:id="138"/>
      <w:r>
        <w:rPr>
          <w:rFonts w:hint="eastAsia" w:ascii="Times New Roman" w:eastAsia="宋体"/>
          <w:b/>
          <w:bCs/>
          <w:color w:val="000000"/>
          <w:sz w:val="21"/>
          <w:szCs w:val="21"/>
        </w:rPr>
        <w:t xml:space="preserve">投标文件的递交</w:t>
      </w:r>
      <w:bookmarkEnd w:id="139"/>
      <w:r/>
      <w:bookmarkEnd w:id="140"/>
      <w:r>
        <w:rPr>
          <w:rFonts w:hint="eastAsia" w:ascii="Times New Roman" w:eastAsia="宋体"/>
          <w:b/>
          <w:bCs/>
          <w:color w:val="000000"/>
          <w:sz w:val="21"/>
          <w:szCs w:val="21"/>
          <w:lang w:eastAsia="zh-CN"/>
        </w:rPr>
      </w:r>
      <w:r/>
    </w:p>
    <w:p>
      <w:pPr>
        <w:pStyle w:val="1561"/>
        <w:ind w:firstLine="420"/>
        <w:spacing w:line="360" w:lineRule="auto"/>
        <w:tabs>
          <w:tab w:val="left" w:pos="480" w:leader="none"/>
        </w:tabs>
        <w:rPr>
          <w:rFonts w:hint="eastAsia" w:ascii="宋体" w:hAnsi="宋体" w:cs="宋体"/>
          <w:szCs w:val="21"/>
        </w:rPr>
      </w:pPr>
      <w:r/>
      <w:bookmarkStart w:id="141" w:name="_Toc21766"/>
      <w:r/>
      <w:bookmarkStart w:id="142" w:name="_Toc14747"/>
      <w:r>
        <w:rPr>
          <w:rFonts w:hint="eastAsia" w:ascii="宋体" w:hAnsi="宋体" w:cs="宋体"/>
          <w:szCs w:val="21"/>
        </w:rPr>
        <w:t xml:space="preserve">14.1电子投标文件的递交：投标人应当按照《操作手册》规定，在投标截止时间前制作并上传电子投标文件。</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143" w:name="_Toc7522"/>
      <w:r/>
      <w:bookmarkStart w:id="144" w:name="_Toc18340"/>
      <w:r>
        <w:rPr>
          <w:rFonts w:ascii="Times New Roman" w:eastAsia="宋体"/>
          <w:b/>
          <w:bCs/>
          <w:color w:val="000000"/>
          <w:sz w:val="21"/>
          <w:szCs w:val="21"/>
        </w:rPr>
        <w:t xml:space="preserve">15.投标的截止日期</w:t>
      </w:r>
      <w:bookmarkEnd w:id="141"/>
      <w:r/>
      <w:bookmarkEnd w:id="142"/>
      <w:r/>
      <w:bookmarkEnd w:id="143"/>
      <w:r/>
      <w:bookmarkEnd w:id="144"/>
      <w:r>
        <w:rPr>
          <w:rFonts w:ascii="Times New Roman" w:eastAsia="宋体"/>
          <w:b/>
          <w:bCs/>
          <w:color w:val="000000"/>
          <w:sz w:val="21"/>
          <w:szCs w:val="21"/>
        </w:rPr>
      </w:r>
      <w:r/>
    </w:p>
    <w:p>
      <w:pPr>
        <w:pStyle w:val="1561"/>
        <w:ind w:firstLine="420"/>
        <w:spacing w:line="360" w:lineRule="auto"/>
        <w:tabs>
          <w:tab w:val="left" w:pos="480" w:leader="none"/>
        </w:tabs>
        <w:rPr>
          <w:rFonts w:hint="eastAsia" w:ascii="宋体" w:hAnsi="宋体" w:cs="宋体"/>
          <w:szCs w:val="21"/>
        </w:rPr>
      </w:pPr>
      <w:r/>
      <w:bookmarkStart w:id="145" w:name="_Toc10963"/>
      <w:r/>
      <w:bookmarkStart w:id="146" w:name="_Toc14422"/>
      <w:r/>
      <w:bookmarkStart w:id="147" w:name="_Toc9671"/>
      <w:r/>
      <w:bookmarkStart w:id="148" w:name="_Toc6201"/>
      <w:r>
        <w:rPr>
          <w:rFonts w:hint="eastAsia" w:ascii="宋体" w:hAnsi="宋体" w:cs="宋体"/>
          <w:szCs w:val="21"/>
        </w:rPr>
        <w:t xml:space="preserve">15.1投标人上传电子投标文件的时间不得迟于招标公告中规定的投标截止时间。</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149" w:name="_Toc32295"/>
      <w:r/>
      <w:bookmarkStart w:id="150" w:name="_Toc13451"/>
      <w:r>
        <w:rPr>
          <w:rFonts w:ascii="Times New Roman" w:eastAsia="宋体"/>
          <w:b/>
          <w:bCs/>
          <w:color w:val="000000"/>
          <w:sz w:val="21"/>
          <w:szCs w:val="21"/>
        </w:rPr>
        <w:t xml:space="preserve">16.</w:t>
      </w:r>
      <w:bookmarkEnd w:id="145"/>
      <w:r/>
      <w:bookmarkEnd w:id="146"/>
      <w:r>
        <w:rPr>
          <w:rFonts w:ascii="Times New Roman" w:eastAsia="宋体"/>
          <w:b/>
          <w:bCs/>
          <w:color w:val="000000"/>
          <w:sz w:val="21"/>
          <w:szCs w:val="21"/>
        </w:rPr>
        <w:t xml:space="preserve">迟交的投标文件</w:t>
      </w:r>
      <w:bookmarkEnd w:id="147"/>
      <w:r/>
      <w:bookmarkEnd w:id="149"/>
      <w:r/>
      <w:bookmarkEnd w:id="150"/>
      <w:r>
        <w:rPr>
          <w:rFonts w:ascii="Times New Roman" w:eastAsia="宋体"/>
          <w:b/>
          <w:bCs/>
          <w:color w:val="000000"/>
          <w:sz w:val="21"/>
          <w:szCs w:val="21"/>
        </w:rPr>
      </w:r>
      <w:r/>
    </w:p>
    <w:p>
      <w:pPr>
        <w:pStyle w:val="1561"/>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End w:id="148"/>
      <w:r/>
      <w:bookmarkStart w:id="151" w:name="_Toc27692"/>
      <w:r/>
      <w:bookmarkStart w:id="152" w:name="_Toc29007"/>
      <w:r/>
      <w:bookmarkStart w:id="153" w:name="_Toc32211"/>
      <w:r/>
      <w:bookmarkStart w:id="154" w:name="_Toc31944"/>
      <w:r/>
      <w:bookmarkStart w:id="155" w:name="_Toc3512"/>
      <w:r/>
      <w:bookmarkStart w:id="156" w:name="_Toc16938545"/>
      <w:r/>
      <w:bookmarkStart w:id="157" w:name="_Toc24233"/>
      <w:r/>
      <w:bookmarkStart w:id="158" w:name="_Toc513029229"/>
      <w:r/>
      <w:bookmarkStart w:id="159" w:name="_Toc120614218"/>
      <w:r/>
      <w:bookmarkStart w:id="160" w:name="_Toc20823301"/>
      <w:r>
        <w:rPr>
          <w:rFonts w:ascii="Times New Roman" w:eastAsia="宋体"/>
          <w:b/>
          <w:bCs/>
          <w:color w:val="000000"/>
          <w:sz w:val="21"/>
          <w:szCs w:val="21"/>
        </w:rPr>
        <w:t xml:space="preserve">17.投标文件的修改或撤回</w:t>
      </w:r>
      <w:bookmarkEnd w:id="151"/>
      <w:r/>
      <w:bookmarkEnd w:id="152"/>
      <w:r/>
      <w:bookmarkEnd w:id="153"/>
      <w:r/>
      <w:bookmarkEnd w:id="154"/>
      <w:r/>
      <w:bookmarkEnd w:id="155"/>
      <w:r>
        <w:rPr>
          <w:rFonts w:ascii="Times New Roman" w:eastAsia="宋体"/>
          <w:b/>
          <w:bCs/>
          <w:color w:val="000000"/>
          <w:sz w:val="21"/>
          <w:szCs w:val="21"/>
        </w:rPr>
      </w:r>
      <w:r/>
    </w:p>
    <w:p>
      <w:pPr>
        <w:pStyle w:val="1561"/>
        <w:ind w:firstLine="420"/>
        <w:spacing w:line="360" w:lineRule="auto"/>
        <w:tabs>
          <w:tab w:val="left" w:pos="480" w:leader="none"/>
        </w:tabs>
        <w:rPr>
          <w:rFonts w:hint="eastAsia" w:ascii="宋体" w:hAnsi="宋体" w:cs="宋体"/>
          <w:szCs w:val="21"/>
        </w:rPr>
      </w:pPr>
      <w:r/>
      <w:bookmarkStart w:id="161"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17.1投标文件的撤回</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17.1.1电子投标文件的撤回</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17.1.2投标人撤回电子投标文件，则认为其不再参与本项目投标活动。</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17.2投标文件的修改</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17.2.2在投标截止时间之后，投标人不得对其电子投标文件作任何修改。</w:t>
      </w:r>
      <w:r>
        <w:rPr>
          <w:rFonts w:hint="eastAsia" w:ascii="宋体" w:hAnsi="宋体" w:cs="宋体"/>
          <w:szCs w:val="21"/>
        </w:rPr>
      </w:r>
      <w:r/>
    </w:p>
    <w:p>
      <w:pPr>
        <w:pStyle w:val="1561"/>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17.3在投标截止时间至招标文件中规定的投标有效期满之间的这段时间内，投标人不得撤回其投标。</w:t>
      </w:r>
      <w:r>
        <w:rPr>
          <w:rFonts w:hint="eastAsia" w:ascii="宋体" w:hAnsi="宋体" w:cs="宋体"/>
          <w:szCs w:val="21"/>
        </w:rPr>
      </w:r>
      <w:r/>
    </w:p>
    <w:p>
      <w:pPr>
        <w:pStyle w:val="1561"/>
        <w:ind w:firstLine="420"/>
        <w:spacing w:line="440" w:lineRule="exact"/>
        <w:shd w:val="clear" w:color="auto" w:fill="auto"/>
        <w:widowControl/>
        <w:rPr>
          <w:b/>
          <w:bCs/>
          <w:color w:val="000000"/>
          <w:szCs w:val="21"/>
        </w:rPr>
        <w:outlineLvl w:val="1"/>
      </w:pPr>
      <w:r/>
      <w:bookmarkStart w:id="162" w:name="_Toc26331"/>
      <w:r/>
      <w:bookmarkStart w:id="163" w:name="_Toc18040"/>
      <w:r>
        <w:rPr>
          <w:b/>
          <w:bCs/>
          <w:color w:val="000000"/>
          <w:szCs w:val="21"/>
        </w:rPr>
        <w:t xml:space="preserve">五、开标与评标</w:t>
      </w:r>
      <w:bookmarkEnd w:id="156"/>
      <w:r/>
      <w:bookmarkEnd w:id="157"/>
      <w:r/>
      <w:bookmarkEnd w:id="158"/>
      <w:r/>
      <w:bookmarkEnd w:id="159"/>
      <w:r/>
      <w:bookmarkEnd w:id="160"/>
      <w:r/>
      <w:bookmarkEnd w:id="161"/>
      <w:r/>
      <w:bookmarkEnd w:id="162"/>
      <w:r/>
      <w:bookmarkEnd w:id="163"/>
      <w:r>
        <w:rPr>
          <w:b/>
          <w:bCs/>
          <w:color w:val="000000"/>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164" w:name="_Toc15345"/>
      <w:r/>
      <w:bookmarkStart w:id="165" w:name="_Toc13829"/>
      <w:r/>
      <w:bookmarkStart w:id="166" w:name="_Toc201"/>
      <w:r/>
      <w:bookmarkStart w:id="167" w:name="_Toc11795"/>
      <w:r/>
      <w:bookmarkStart w:id="168" w:name="_Toc3679"/>
      <w:r/>
      <w:bookmarkStart w:id="169" w:name="_Toc20846"/>
      <w:r/>
      <w:bookmarkStart w:id="170" w:name="OLE_LINK7"/>
      <w:r/>
      <w:bookmarkStart w:id="171" w:name="_Toc6944"/>
      <w:r/>
      <w:bookmarkStart w:id="172" w:name="OLE_LINK3"/>
      <w:r>
        <w:rPr>
          <w:rFonts w:ascii="Times New Roman" w:eastAsia="宋体"/>
          <w:b/>
          <w:bCs/>
          <w:color w:val="000000"/>
          <w:sz w:val="21"/>
          <w:szCs w:val="21"/>
        </w:rPr>
        <w:t xml:space="preserve">18.开标</w:t>
      </w:r>
      <w:bookmarkEnd w:id="164"/>
      <w:r/>
      <w:bookmarkEnd w:id="165"/>
      <w:r/>
      <w:bookmarkEnd w:id="166"/>
      <w:r/>
      <w:bookmarkEnd w:id="167"/>
      <w:r/>
      <w:bookmarkEnd w:id="168"/>
      <w:r/>
      <w:bookmarkEnd w:id="169"/>
      <w:r>
        <w:rPr>
          <w:rFonts w:ascii="Times New Roman" w:eastAsia="宋体"/>
          <w:b/>
          <w:bCs/>
          <w:color w:val="000000"/>
          <w:sz w:val="21"/>
          <w:szCs w:val="21"/>
        </w:rPr>
      </w:r>
      <w:r/>
    </w:p>
    <w:p>
      <w:pPr>
        <w:pStyle w:val="1561"/>
        <w:ind w:firstLine="420"/>
        <w:spacing w:line="360" w:lineRule="auto"/>
        <w:rPr>
          <w:rFonts w:hint="eastAsia" w:ascii="宋体" w:hAnsi="宋体" w:cs="宋体"/>
          <w:bCs/>
          <w:szCs w:val="21"/>
        </w:rPr>
      </w:pPr>
      <w:r/>
      <w:bookmarkEnd w:id="170"/>
      <w:r/>
      <w:bookmarkEnd w:id="171"/>
      <w:r/>
      <w:bookmarkEnd w:id="172"/>
      <w:r/>
      <w:bookmarkStart w:id="173" w:name="_Toc18343"/>
      <w:r/>
      <w:bookmarkStart w:id="174" w:name="_Toc16938547"/>
      <w:r/>
      <w:bookmarkStart w:id="175" w:name="_Toc29284"/>
      <w:r/>
      <w:bookmarkStart w:id="176" w:name="_Toc513029231"/>
      <w:r/>
      <w:bookmarkStart w:id="177" w:name="_Toc20823303"/>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18.4投标人如果对开标过程和开标记录有疑义，应当根据《操作手册》规定提出，如苏采云系统中《开标记录表》宣布后5分钟内未提出的，视同认可开标结果。</w:t>
      </w:r>
      <w:r>
        <w:rPr>
          <w:rFonts w:hint="eastAsia" w:ascii="宋体" w:hAnsi="宋体" w:cs="宋体"/>
          <w:bCs/>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178" w:name="_Toc26033"/>
      <w:r/>
      <w:bookmarkStart w:id="179" w:name="_Toc18244"/>
      <w:r>
        <w:rPr>
          <w:rFonts w:ascii="Times New Roman" w:eastAsia="宋体"/>
          <w:b/>
          <w:bCs/>
          <w:color w:val="000000"/>
          <w:sz w:val="21"/>
          <w:szCs w:val="21"/>
        </w:rPr>
        <w:t xml:space="preserve">19.评标组织</w:t>
      </w:r>
      <w:bookmarkEnd w:id="173"/>
      <w:r/>
      <w:bookmarkEnd w:id="178"/>
      <w:r/>
      <w:bookmarkEnd w:id="179"/>
      <w:r>
        <w:rPr>
          <w:rFonts w:ascii="Times New Roman" w:eastAsia="宋体"/>
          <w:b/>
          <w:bCs/>
          <w:color w:val="000000"/>
          <w:sz w:val="21"/>
          <w:szCs w:val="21"/>
        </w:rPr>
      </w:r>
      <w:r/>
    </w:p>
    <w:p>
      <w:pPr>
        <w:pStyle w:val="1561"/>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561"/>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561"/>
        <w:ind w:firstLine="420"/>
        <w:spacing w:line="440" w:lineRule="exact"/>
        <w:rPr>
          <w:bCs/>
          <w:szCs w:val="21"/>
        </w:rPr>
      </w:pPr>
      <w:r>
        <w:rPr>
          <w:bCs/>
          <w:szCs w:val="21"/>
        </w:rPr>
        <w:t xml:space="preserve">（2）要求供应商对投标文件有关事项作出澄清或者说明；</w:t>
      </w:r>
      <w:r>
        <w:rPr>
          <w:bCs/>
          <w:szCs w:val="21"/>
        </w:rPr>
      </w:r>
      <w:r/>
    </w:p>
    <w:p>
      <w:pPr>
        <w:pStyle w:val="1561"/>
        <w:ind w:firstLine="420"/>
        <w:spacing w:line="440" w:lineRule="exact"/>
        <w:rPr>
          <w:bCs/>
          <w:szCs w:val="21"/>
        </w:rPr>
      </w:pPr>
      <w:r>
        <w:rPr>
          <w:bCs/>
          <w:szCs w:val="21"/>
        </w:rPr>
        <w:t xml:space="preserve">（3）对投标文件进行比较和评价；</w:t>
      </w:r>
      <w:r>
        <w:rPr>
          <w:bCs/>
          <w:szCs w:val="21"/>
        </w:rPr>
      </w:r>
      <w:r/>
    </w:p>
    <w:p>
      <w:pPr>
        <w:pStyle w:val="1561"/>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561"/>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561"/>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End w:id="174"/>
      <w:r/>
      <w:bookmarkEnd w:id="175"/>
      <w:r/>
      <w:bookmarkEnd w:id="176"/>
      <w:r/>
      <w:bookmarkEnd w:id="177"/>
      <w:r/>
      <w:bookmarkStart w:id="180" w:name="_Toc21772"/>
      <w:r/>
      <w:bookmarkStart w:id="181" w:name="_Toc862"/>
      <w:r/>
      <w:bookmarkStart w:id="182" w:name="_Toc26401"/>
      <w:r/>
      <w:bookmarkStart w:id="183" w:name="_Toc30022"/>
      <w:r/>
      <w:bookmarkStart w:id="184" w:name="_Toc18550"/>
      <w:r/>
      <w:bookmarkStart w:id="185" w:name="_Toc16496"/>
      <w:r>
        <w:rPr>
          <w:rFonts w:ascii="Times New Roman" w:eastAsia="宋体"/>
          <w:b/>
          <w:bCs/>
          <w:color w:val="000000"/>
          <w:sz w:val="21"/>
          <w:szCs w:val="21"/>
        </w:rPr>
        <w:t xml:space="preserve">20.</w:t>
      </w:r>
      <w:bookmarkEnd w:id="180"/>
      <w:r/>
      <w:bookmarkEnd w:id="181"/>
      <w:r>
        <w:rPr>
          <w:rFonts w:ascii="Times New Roman" w:eastAsia="宋体"/>
          <w:b/>
          <w:bCs/>
          <w:color w:val="000000"/>
          <w:sz w:val="21"/>
          <w:szCs w:val="21"/>
        </w:rPr>
        <w:t xml:space="preserve">对投标文件的资格性审查和符合性审查</w:t>
      </w:r>
      <w:bookmarkEnd w:id="182"/>
      <w:r/>
      <w:bookmarkEnd w:id="183"/>
      <w:r/>
      <w:bookmarkEnd w:id="184"/>
      <w:r>
        <w:rPr>
          <w:rFonts w:ascii="Times New Roman" w:eastAsia="宋体"/>
          <w:b/>
          <w:bCs/>
          <w:color w:val="000000"/>
          <w:sz w:val="21"/>
          <w:szCs w:val="21"/>
        </w:rPr>
      </w:r>
      <w:r/>
    </w:p>
    <w:p>
      <w:pPr>
        <w:pStyle w:val="1561"/>
        <w:ind w:firstLine="420"/>
        <w:spacing w:line="440" w:lineRule="exact"/>
        <w:rPr>
          <w:bCs/>
          <w:szCs w:val="21"/>
        </w:rPr>
      </w:pPr>
      <w:r>
        <w:rPr>
          <w:bCs/>
          <w:szCs w:val="21"/>
        </w:rPr>
        <w:t xml:space="preserve">20.1投标文件初审分为资格性审查和符合性审查。</w:t>
      </w:r>
      <w:r>
        <w:rPr>
          <w:bCs/>
          <w:szCs w:val="21"/>
        </w:rPr>
      </w:r>
      <w:r/>
    </w:p>
    <w:p>
      <w:pPr>
        <w:pStyle w:val="1561"/>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561"/>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561"/>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561"/>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561"/>
        <w:ind w:firstLine="420"/>
        <w:spacing w:line="440" w:lineRule="exact"/>
        <w:rPr>
          <w:rFonts w:hint="eastAsia"/>
          <w:bCs/>
          <w:szCs w:val="21"/>
        </w:rPr>
      </w:pPr>
      <w:r>
        <w:rPr>
          <w:rFonts w:hint="eastAsia"/>
          <w:bCs/>
          <w:szCs w:val="21"/>
          <w:lang w:eastAsia="zh-CN"/>
        </w:rPr>
        <w:t xml:space="preserve">（</w:t>
      </w:r>
      <w:r>
        <w:rPr>
          <w:rFonts w:hint="eastAsia"/>
          <w:bCs/>
          <w:szCs w:val="21"/>
          <w:lang w:val="en-US" w:eastAsia="zh-CN"/>
        </w:rPr>
        <w:t xml:space="preserve">1</w:t>
      </w:r>
      <w:r>
        <w:rPr>
          <w:rFonts w:hint="eastAsia"/>
          <w:bCs/>
          <w:szCs w:val="21"/>
          <w:lang w:eastAsia="zh-CN"/>
        </w:rPr>
        <w:t xml:space="preserve">）</w:t>
      </w:r>
      <w:r>
        <w:rPr>
          <w:rFonts w:hint="eastAsia"/>
          <w:bCs/>
          <w:szCs w:val="21"/>
        </w:rPr>
        <w:t xml:space="preserve">投标人在苏采云系统规定的时间内未成功解密电子投标文件的。</w:t>
      </w:r>
      <w:r>
        <w:rPr>
          <w:rFonts w:hint="eastAsia"/>
          <w:bCs/>
          <w:szCs w:val="21"/>
        </w:rPr>
      </w:r>
      <w:r/>
    </w:p>
    <w:p>
      <w:pPr>
        <w:pStyle w:val="1561"/>
        <w:ind w:firstLine="420"/>
        <w:spacing w:line="440" w:lineRule="exact"/>
        <w:rPr>
          <w:rFonts w:hint="eastAsia"/>
          <w:bCs/>
          <w:szCs w:val="21"/>
        </w:rPr>
      </w:pPr>
      <w:r>
        <w:rPr>
          <w:rFonts w:hint="eastAsia"/>
          <w:bCs/>
          <w:szCs w:val="21"/>
          <w:lang w:eastAsia="zh-CN"/>
        </w:rPr>
        <w:t xml:space="preserve">（</w:t>
      </w:r>
      <w:r>
        <w:rPr>
          <w:rFonts w:hint="eastAsia"/>
          <w:bCs/>
          <w:szCs w:val="21"/>
          <w:lang w:val="en-US" w:eastAsia="zh-CN"/>
        </w:rPr>
        <w:t xml:space="preserve">2</w:t>
      </w:r>
      <w:r>
        <w:rPr>
          <w:rFonts w:hint="eastAsia"/>
          <w:bCs/>
          <w:szCs w:val="21"/>
          <w:lang w:eastAsia="zh-CN"/>
        </w:rPr>
        <w:t xml:space="preserve">）</w:t>
      </w:r>
      <w:r>
        <w:rPr>
          <w:rFonts w:hint="eastAsia"/>
          <w:bCs/>
          <w:szCs w:val="21"/>
        </w:rPr>
        <w:t xml:space="preserve">投标人未按照招标文件要求上传电子投标文件的。</w:t>
      </w:r>
      <w:r>
        <w:rPr>
          <w:rFonts w:hint="eastAsia"/>
          <w:bCs/>
          <w:szCs w:val="21"/>
        </w:rPr>
      </w:r>
      <w:r/>
    </w:p>
    <w:p>
      <w:pPr>
        <w:pStyle w:val="1561"/>
        <w:ind w:firstLine="420"/>
        <w:spacing w:line="440" w:lineRule="exact"/>
        <w:rPr>
          <w:rFonts w:hint="eastAsia"/>
          <w:bCs/>
          <w:szCs w:val="21"/>
        </w:rPr>
      </w:pPr>
      <w:r>
        <w:rPr>
          <w:rFonts w:hint="eastAsia"/>
          <w:bCs/>
          <w:szCs w:val="21"/>
          <w:lang w:eastAsia="zh-CN"/>
        </w:rPr>
        <w:t xml:space="preserve">（</w:t>
      </w:r>
      <w:r>
        <w:rPr>
          <w:rFonts w:hint="eastAsia"/>
          <w:bCs/>
          <w:szCs w:val="21"/>
          <w:lang w:val="en-US" w:eastAsia="zh-CN"/>
        </w:rPr>
        <w:t xml:space="preserve">3</w:t>
      </w:r>
      <w:r>
        <w:rPr>
          <w:rFonts w:hint="eastAsia"/>
          <w:bCs/>
          <w:szCs w:val="21"/>
          <w:lang w:eastAsia="zh-CN"/>
        </w:rPr>
        <w:t xml:space="preserve">）</w:t>
      </w:r>
      <w:r>
        <w:rPr>
          <w:rFonts w:hint="eastAsia"/>
          <w:bCs/>
          <w:szCs w:val="21"/>
        </w:rPr>
        <w:t xml:space="preserve">同一投标人提交两个（含两个）以上不同的投标报价的。</w:t>
      </w:r>
      <w:r>
        <w:rPr>
          <w:rFonts w:hint="eastAsia"/>
          <w:bCs/>
          <w:szCs w:val="21"/>
        </w:rPr>
      </w:r>
      <w:r/>
    </w:p>
    <w:p>
      <w:pPr>
        <w:pStyle w:val="1561"/>
        <w:ind w:firstLine="420"/>
        <w:spacing w:line="440" w:lineRule="exact"/>
        <w:rPr>
          <w:bCs/>
          <w:szCs w:val="21"/>
        </w:rPr>
      </w:pPr>
      <w:r>
        <w:rPr>
          <w:bCs/>
          <w:szCs w:val="21"/>
        </w:rPr>
        <w:t xml:space="preserve">（</w:t>
      </w:r>
      <w:r>
        <w:rPr>
          <w:rFonts w:hint="eastAsia"/>
          <w:bCs/>
          <w:szCs w:val="21"/>
          <w:lang w:val="en-US" w:eastAsia="zh-CN"/>
        </w:rPr>
        <w:t xml:space="preserve">4</w:t>
      </w:r>
      <w:r>
        <w:rPr>
          <w:bCs/>
          <w:szCs w:val="21"/>
        </w:rPr>
        <w:t xml:space="preserve">）不同供应商的投标文件由同一单位或者个人编制；</w:t>
      </w:r>
      <w:r>
        <w:rPr>
          <w:bCs/>
          <w:szCs w:val="21"/>
        </w:rPr>
      </w:r>
      <w:r/>
    </w:p>
    <w:p>
      <w:pPr>
        <w:pStyle w:val="1561"/>
        <w:ind w:firstLine="420"/>
        <w:spacing w:line="440" w:lineRule="exact"/>
        <w:rPr>
          <w:bCs/>
          <w:szCs w:val="21"/>
        </w:rPr>
      </w:pPr>
      <w:r>
        <w:rPr>
          <w:bCs/>
          <w:szCs w:val="21"/>
        </w:rPr>
        <w:t xml:space="preserve">（</w:t>
      </w:r>
      <w:r>
        <w:rPr>
          <w:rFonts w:hint="eastAsia"/>
          <w:bCs/>
          <w:szCs w:val="21"/>
          <w:lang w:val="en-US" w:eastAsia="zh-CN"/>
        </w:rPr>
        <w:t xml:space="preserve">5</w:t>
      </w:r>
      <w:r>
        <w:rPr>
          <w:bCs/>
          <w:szCs w:val="21"/>
        </w:rPr>
        <w:t xml:space="preserve">）不同供应商委托同一单位或者个人办理投标事宜；</w:t>
      </w:r>
      <w:r>
        <w:rPr>
          <w:bCs/>
          <w:szCs w:val="21"/>
        </w:rPr>
      </w:r>
      <w:r/>
    </w:p>
    <w:p>
      <w:pPr>
        <w:pStyle w:val="1561"/>
        <w:ind w:firstLine="420"/>
        <w:spacing w:line="440" w:lineRule="exact"/>
        <w:rPr>
          <w:bCs/>
          <w:szCs w:val="21"/>
        </w:rPr>
      </w:pPr>
      <w:r>
        <w:rPr>
          <w:bCs/>
          <w:szCs w:val="21"/>
        </w:rPr>
        <w:t xml:space="preserve">（</w:t>
      </w:r>
      <w:r>
        <w:rPr>
          <w:rFonts w:hint="eastAsia"/>
          <w:bCs/>
          <w:szCs w:val="21"/>
          <w:lang w:val="en-US" w:eastAsia="zh-CN"/>
        </w:rPr>
        <w:t xml:space="preserve">6</w:t>
      </w:r>
      <w:r>
        <w:rPr>
          <w:bCs/>
          <w:szCs w:val="21"/>
        </w:rPr>
        <w:t xml:space="preserve">）不同供应商的投标文件载明的项目管理成员或者联系人员为同一人；</w:t>
      </w:r>
      <w:r>
        <w:rPr>
          <w:bCs/>
          <w:szCs w:val="21"/>
        </w:rPr>
      </w:r>
      <w:r/>
    </w:p>
    <w:p>
      <w:pPr>
        <w:pStyle w:val="1561"/>
        <w:ind w:firstLine="420"/>
        <w:spacing w:line="440" w:lineRule="exact"/>
        <w:rPr>
          <w:bCs/>
          <w:szCs w:val="21"/>
        </w:rPr>
      </w:pPr>
      <w:r>
        <w:rPr>
          <w:bCs/>
          <w:szCs w:val="21"/>
        </w:rPr>
        <w:t xml:space="preserve">（</w:t>
      </w:r>
      <w:r>
        <w:rPr>
          <w:rFonts w:hint="eastAsia"/>
          <w:bCs/>
          <w:szCs w:val="21"/>
          <w:lang w:val="en-US" w:eastAsia="zh-CN"/>
        </w:rPr>
        <w:t xml:space="preserve">7</w:t>
      </w:r>
      <w:r>
        <w:rPr>
          <w:bCs/>
          <w:szCs w:val="21"/>
        </w:rPr>
        <w:t xml:space="preserve">）不同供应商的投标文件异常一致或者投标报价呈规律性差异；</w:t>
      </w:r>
      <w:r>
        <w:rPr>
          <w:bCs/>
          <w:szCs w:val="21"/>
        </w:rPr>
      </w:r>
      <w:r/>
    </w:p>
    <w:p>
      <w:pPr>
        <w:pStyle w:val="1561"/>
        <w:ind w:firstLine="420"/>
        <w:spacing w:line="440" w:lineRule="exact"/>
        <w:rPr>
          <w:bCs/>
          <w:szCs w:val="21"/>
        </w:rPr>
      </w:pPr>
      <w:r>
        <w:rPr>
          <w:bCs/>
          <w:szCs w:val="21"/>
        </w:rPr>
        <w:t xml:space="preserve">（</w:t>
      </w:r>
      <w:r>
        <w:rPr>
          <w:rFonts w:hint="eastAsia"/>
          <w:bCs/>
          <w:szCs w:val="21"/>
          <w:lang w:val="en-US" w:eastAsia="zh-CN"/>
        </w:rPr>
        <w:t xml:space="preserve">8</w:t>
      </w:r>
      <w:r>
        <w:rPr>
          <w:bCs/>
          <w:szCs w:val="21"/>
        </w:rPr>
        <w:t xml:space="preserve">）投标有效期不足的；</w:t>
      </w:r>
      <w:r>
        <w:rPr>
          <w:bCs/>
          <w:szCs w:val="21"/>
        </w:rPr>
      </w:r>
      <w:r/>
    </w:p>
    <w:p>
      <w:pPr>
        <w:pStyle w:val="1561"/>
        <w:ind w:firstLine="420"/>
        <w:spacing w:line="440" w:lineRule="exact"/>
        <w:rPr>
          <w:bCs/>
          <w:szCs w:val="21"/>
        </w:rPr>
      </w:pPr>
      <w:r>
        <w:rPr>
          <w:bCs/>
          <w:szCs w:val="21"/>
        </w:rPr>
        <w:t xml:space="preserve">（</w:t>
      </w:r>
      <w:r>
        <w:rPr>
          <w:rFonts w:hint="eastAsia"/>
          <w:bCs/>
          <w:szCs w:val="21"/>
          <w:lang w:val="en-US" w:eastAsia="zh-CN"/>
        </w:rPr>
        <w:t xml:space="preserve">9</w:t>
      </w:r>
      <w:r>
        <w:rPr>
          <w:bCs/>
          <w:szCs w:val="21"/>
        </w:rPr>
        <w:t xml:space="preserve">）投标文件含有采购人不能接受的附加条件的；</w:t>
      </w:r>
      <w:r>
        <w:rPr>
          <w:bCs/>
          <w:szCs w:val="21"/>
        </w:rPr>
      </w:r>
      <w:r/>
    </w:p>
    <w:p>
      <w:pPr>
        <w:pStyle w:val="1561"/>
        <w:ind w:firstLine="420"/>
        <w:spacing w:line="440" w:lineRule="exact"/>
        <w:rPr>
          <w:bCs/>
          <w:szCs w:val="21"/>
        </w:rPr>
      </w:pPr>
      <w:r>
        <w:rPr>
          <w:bCs/>
          <w:szCs w:val="21"/>
        </w:rPr>
        <w:t xml:space="preserve">（1</w:t>
      </w:r>
      <w:r>
        <w:rPr>
          <w:rFonts w:hint="eastAsia"/>
          <w:bCs/>
          <w:szCs w:val="21"/>
          <w:lang w:val="en-US" w:eastAsia="zh-CN"/>
        </w:rPr>
        <w:t xml:space="preserve">0</w:t>
      </w:r>
      <w:r>
        <w:rPr>
          <w:bCs/>
          <w:szCs w:val="21"/>
        </w:rPr>
        <w:t xml:space="preserve">）不同供应商的负责人为同一人或者存在控股、管理关系的；</w:t>
      </w:r>
      <w:r>
        <w:rPr>
          <w:bCs/>
          <w:szCs w:val="21"/>
        </w:rPr>
      </w:r>
      <w:r/>
    </w:p>
    <w:p>
      <w:pPr>
        <w:pStyle w:val="1561"/>
        <w:ind w:firstLine="420"/>
        <w:spacing w:line="440" w:lineRule="exact"/>
        <w:rPr>
          <w:bCs/>
          <w:szCs w:val="21"/>
        </w:rPr>
      </w:pPr>
      <w:r>
        <w:rPr>
          <w:bCs/>
          <w:szCs w:val="21"/>
        </w:rPr>
        <w:t xml:space="preserve">（1</w:t>
      </w:r>
      <w:r>
        <w:rPr>
          <w:rFonts w:hint="eastAsia"/>
          <w:bCs/>
          <w:szCs w:val="21"/>
          <w:lang w:val="en-US" w:eastAsia="zh-CN"/>
        </w:rPr>
        <w:t xml:space="preserve">1</w:t>
      </w:r>
      <w:r>
        <w:rPr>
          <w:bCs/>
          <w:szCs w:val="21"/>
        </w:rPr>
        <w:t xml:space="preserve">）法律、法规和招标文件规定的其他无效情形。</w:t>
      </w:r>
      <w:r>
        <w:rPr>
          <w:bCs/>
          <w:szCs w:val="21"/>
        </w:rPr>
      </w:r>
      <w:r/>
    </w:p>
    <w:p>
      <w:pPr>
        <w:pStyle w:val="1561"/>
        <w:ind w:firstLine="420"/>
        <w:spacing w:line="440" w:lineRule="exact"/>
        <w:rPr>
          <w:rFonts w:hint="eastAsia"/>
          <w:bCs/>
          <w:szCs w:val="21"/>
        </w:rPr>
      </w:pPr>
      <w:r>
        <w:rPr>
          <w:rFonts w:hint="eastAsia"/>
          <w:bCs/>
          <w:szCs w:val="21"/>
          <w:lang w:eastAsia="zh-CN"/>
        </w:rPr>
        <w:t xml:space="preserve">（</w:t>
      </w:r>
      <w:r>
        <w:rPr>
          <w:rFonts w:hint="eastAsia"/>
          <w:bCs/>
          <w:szCs w:val="21"/>
          <w:lang w:val="en-US" w:eastAsia="zh-CN"/>
        </w:rPr>
        <w:t xml:space="preserve">12</w:t>
      </w:r>
      <w:r>
        <w:rPr>
          <w:rFonts w:hint="eastAsia"/>
          <w:bCs/>
          <w:szCs w:val="21"/>
          <w:lang w:eastAsia="zh-CN"/>
        </w:rPr>
        <w:t xml:space="preserve">）</w:t>
      </w:r>
      <w:r>
        <w:rPr>
          <w:rFonts w:hint="eastAsia"/>
          <w:bCs/>
          <w:szCs w:val="21"/>
        </w:rPr>
        <w:t xml:space="preserve">未通过符合性审查的。</w:t>
      </w:r>
      <w:r>
        <w:rPr>
          <w:rFonts w:hint="eastAsia"/>
          <w:bCs/>
          <w:szCs w:val="21"/>
        </w:rPr>
      </w:r>
      <w:r/>
    </w:p>
    <w:p>
      <w:pPr>
        <w:pStyle w:val="1561"/>
        <w:ind w:firstLine="420"/>
        <w:spacing w:line="440" w:lineRule="exact"/>
        <w:rPr>
          <w:rFonts w:hint="eastAsia"/>
          <w:bCs/>
          <w:szCs w:val="21"/>
        </w:rPr>
      </w:pPr>
      <w:r>
        <w:rPr>
          <w:rFonts w:hint="eastAsia"/>
          <w:bCs/>
          <w:szCs w:val="21"/>
          <w:lang w:eastAsia="zh-CN"/>
        </w:rPr>
        <w:t xml:space="preserve">（</w:t>
      </w:r>
      <w:r>
        <w:rPr>
          <w:rFonts w:hint="eastAsia"/>
          <w:bCs/>
          <w:szCs w:val="21"/>
          <w:lang w:val="en-US" w:eastAsia="zh-CN"/>
        </w:rPr>
        <w:t xml:space="preserve">13</w:t>
      </w:r>
      <w:r>
        <w:rPr>
          <w:rFonts w:hint="eastAsia"/>
          <w:bCs/>
          <w:szCs w:val="21"/>
          <w:lang w:eastAsia="zh-CN"/>
        </w:rPr>
        <w:t xml:space="preserve">）</w:t>
      </w:r>
      <w:r>
        <w:rPr>
          <w:rFonts w:hint="eastAsia"/>
          <w:bCs/>
          <w:szCs w:val="21"/>
        </w:rPr>
        <w:t xml:space="preserve">不符合招标文件中规定的实质性要求和条件的（本招标文件中标注“★”的内容为实质性要求）。</w:t>
      </w:r>
      <w:r>
        <w:rPr>
          <w:rFonts w:hint="eastAsia"/>
          <w:bCs/>
          <w:szCs w:val="21"/>
        </w:rPr>
      </w:r>
      <w:r/>
    </w:p>
    <w:p>
      <w:pPr>
        <w:pStyle w:val="1561"/>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561"/>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561"/>
        <w:ind w:firstLine="420"/>
        <w:spacing w:line="440" w:lineRule="exact"/>
        <w:rPr>
          <w:bCs/>
          <w:szCs w:val="21"/>
        </w:rPr>
      </w:pPr>
      <w:r>
        <w:rPr>
          <w:bCs/>
          <w:szCs w:val="21"/>
        </w:rPr>
        <w:t xml:space="preserve">（2）投标文件的大写金额与小写金额不一致的，以大写金额为准；</w:t>
      </w:r>
      <w:r>
        <w:rPr>
          <w:bCs/>
          <w:szCs w:val="21"/>
        </w:rPr>
      </w:r>
      <w:r/>
    </w:p>
    <w:p>
      <w:pPr>
        <w:pStyle w:val="1561"/>
        <w:ind w:firstLine="420"/>
        <w:spacing w:line="440" w:lineRule="exact"/>
        <w:rPr>
          <w:bCs/>
          <w:szCs w:val="21"/>
        </w:rPr>
      </w:pPr>
      <w:r>
        <w:rPr>
          <w:bCs/>
          <w:szCs w:val="21"/>
        </w:rPr>
        <w:t xml:space="preserve">（3）总价金额与单价金额不一致的，以单价金额计算结果为准；</w:t>
      </w:r>
      <w:r>
        <w:rPr>
          <w:bCs/>
          <w:szCs w:val="21"/>
        </w:rPr>
      </w:r>
      <w:r/>
    </w:p>
    <w:p>
      <w:pPr>
        <w:pStyle w:val="1561"/>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561"/>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561"/>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561"/>
        <w:ind w:firstLine="422"/>
        <w:spacing w:line="440" w:lineRule="exact"/>
        <w:rPr>
          <w:b/>
          <w:szCs w:val="21"/>
        </w:rPr>
      </w:pPr>
      <w:r>
        <w:rPr>
          <w:b/>
          <w:color w:val="000000"/>
          <w:szCs w:val="21"/>
        </w:rPr>
        <w:t xml:space="preserve">20.5招标文件中标注“★”的内容为实质性要求，有一项不符合的，作无效投标处理。</w:t>
      </w:r>
      <w:r>
        <w:rPr>
          <w:b/>
          <w:szCs w:val="21"/>
        </w:rPr>
      </w:r>
      <w:r/>
    </w:p>
    <w:p>
      <w:pPr>
        <w:pStyle w:val="1561"/>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CCC认证、电器电子产品有害物质限制使用标识等)，由于供应商违反国家相关强制性规定给采购人造成损失，一切责任和后果均由供应商承担。</w:t>
      </w:r>
      <w:r>
        <w:rPr>
          <w:b/>
          <w:color w:val="000000"/>
          <w:szCs w:val="21"/>
        </w:rPr>
      </w:r>
      <w:r/>
    </w:p>
    <w:p>
      <w:pPr>
        <w:pStyle w:val="1561"/>
        <w:ind w:firstLine="422"/>
        <w:spacing w:line="440" w:lineRule="exact"/>
        <w:shd w:val="clear" w:color="auto" w:fill="auto"/>
        <w:rPr>
          <w:b/>
          <w:color w:val="000000"/>
          <w:szCs w:val="21"/>
        </w:rPr>
      </w:pPr>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561"/>
        <w:ind w:firstLine="422"/>
        <w:spacing w:line="440" w:lineRule="exact"/>
        <w:shd w:val="clear" w:color="auto" w:fill="auto"/>
        <w:rPr>
          <w:rFonts w:hint="eastAsia"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1</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评标过程中出现下列情形之一的，评标委员会应当启动异常低价</w:t>
      </w:r>
      <w:r>
        <w:rPr>
          <w:rFonts w:ascii="Times New Roman" w:hAnsi="Times New Roman" w:eastAsia="宋体" w:cs="Times New Roman"/>
          <w:b/>
          <w:bCs w:val="0"/>
          <w:color w:val="000000"/>
          <w:szCs w:val="21"/>
          <w:highlight w:val="none"/>
          <w:lang w:val="en-US" w:eastAsia="zh-CN"/>
        </w:rPr>
        <w:t xml:space="preserve">投标（响应）</w:t>
      </w:r>
      <w:r>
        <w:rPr>
          <w:rFonts w:hint="eastAsia" w:ascii="Times New Roman" w:hAnsi="Times New Roman" w:eastAsia="宋体" w:cs="Times New Roman"/>
          <w:b/>
          <w:bCs w:val="0"/>
          <w:color w:val="000000"/>
          <w:szCs w:val="21"/>
          <w:highlight w:val="none"/>
          <w:lang w:val="en-US" w:eastAsia="zh-CN"/>
        </w:rPr>
        <w:t xml:space="preserve">审查程序：</w:t>
      </w:r>
      <w:r>
        <w:rPr>
          <w:rFonts w:hint="eastAsia" w:ascii="Times New Roman" w:hAnsi="Times New Roman" w:eastAsia="宋体" w:cs="Times New Roman"/>
          <w:b/>
          <w:bCs w:val="0"/>
          <w:color w:val="000000"/>
          <w:szCs w:val="21"/>
          <w:highlight w:val="none"/>
          <w:lang w:val="en-US" w:eastAsia="zh-CN"/>
        </w:rPr>
      </w:r>
      <w:r/>
    </w:p>
    <w:p>
      <w:pPr>
        <w:pStyle w:val="1561"/>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①</w:t>
      </w:r>
      <w:r>
        <w:rPr>
          <w:rFonts w:ascii="Times New Roman" w:hAnsi="Times New Roman" w:eastAsia="宋体" w:cs="Times New Roman"/>
          <w:b/>
          <w:bCs w:val="0"/>
          <w:color w:val="000000"/>
          <w:szCs w:val="21"/>
          <w:highlight w:val="none"/>
          <w:lang w:val="en-US" w:eastAsia="zh-CN"/>
        </w:rPr>
        <w:t xml:space="preserve">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561"/>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②</w:t>
      </w:r>
      <w:r>
        <w:rPr>
          <w:rFonts w:ascii="Times New Roman" w:hAnsi="Times New Roman" w:eastAsia="宋体" w:cs="Times New Roman"/>
          <w:b/>
          <w:bCs w:val="0"/>
          <w:color w:val="000000"/>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561"/>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③</w:t>
      </w:r>
      <w:r>
        <w:rPr>
          <w:rFonts w:ascii="Times New Roman" w:hAnsi="Times New Roman" w:eastAsia="宋体" w:cs="Times New Roman"/>
          <w:b/>
          <w:bCs w:val="0"/>
          <w:color w:val="000000"/>
          <w:szCs w:val="21"/>
          <w:highlight w:val="none"/>
          <w:lang w:val="en-US" w:eastAsia="zh-CN"/>
        </w:rPr>
        <w:t xml:space="preserve">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561"/>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④评标委员会</w:t>
      </w:r>
      <w:r>
        <w:rPr>
          <w:rFonts w:ascii="Times New Roman" w:hAnsi="Times New Roman" w:eastAsia="宋体" w:cs="Times New Roman"/>
          <w:b/>
          <w:bCs w:val="0"/>
          <w:color w:val="000000"/>
          <w:szCs w:val="21"/>
          <w:highlight w:val="none"/>
          <w:lang w:val="en-US" w:eastAsia="zh-CN"/>
        </w:rPr>
        <w:t xml:space="preserve">基于专业判断，认为供应商报价过低，有可能影响产品</w:t>
      </w:r>
      <w:r>
        <w:rPr>
          <w:rFonts w:hint="eastAsia" w:ascii="Times New Roman" w:hAnsi="Times New Roman" w:eastAsia="宋体" w:cs="Times New Roman"/>
          <w:b/>
          <w:bCs w:val="0"/>
          <w:color w:val="000000"/>
          <w:szCs w:val="21"/>
          <w:highlight w:val="none"/>
          <w:lang w:val="en-US" w:eastAsia="zh-CN"/>
        </w:rPr>
        <w:t xml:space="preserve">/服务</w:t>
      </w:r>
      <w:r>
        <w:rPr>
          <w:rFonts w:ascii="Times New Roman" w:hAnsi="Times New Roman" w:eastAsia="宋体" w:cs="Times New Roman"/>
          <w:b/>
          <w:bCs w:val="0"/>
          <w:color w:val="000000"/>
          <w:szCs w:val="21"/>
          <w:highlight w:val="none"/>
          <w:lang w:val="en-US" w:eastAsia="zh-CN"/>
        </w:rPr>
        <w:t xml:space="preserve">质量或者不能诚信履约的其他情形。</w:t>
      </w:r>
      <w:r>
        <w:rPr>
          <w:rFonts w:ascii="Times New Roman" w:hAnsi="Times New Roman" w:eastAsia="宋体" w:cs="Times New Roman"/>
          <w:b/>
          <w:bCs w:val="0"/>
          <w:color w:val="000000"/>
          <w:szCs w:val="21"/>
          <w:highlight w:val="none"/>
          <w:lang w:eastAsia="zh-CN"/>
        </w:rPr>
      </w:r>
      <w:r/>
    </w:p>
    <w:p>
      <w:pPr>
        <w:pStyle w:val="1561"/>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2</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启动异常低价投标（响应）审查后，属于前述第1项至第4项情形的，相关供应商</w:t>
      </w:r>
      <w:r>
        <w:rPr>
          <w:rFonts w:hint="eastAsia" w:ascii="Times New Roman" w:hAnsi="Times New Roman" w:eastAsia="宋体" w:cs="Times New Roman"/>
          <w:b/>
          <w:bCs w:val="0"/>
          <w:color w:val="000000"/>
          <w:szCs w:val="21"/>
          <w:highlight w:val="none"/>
          <w:lang w:val="en-US" w:eastAsia="zh-CN"/>
        </w:rPr>
        <w:t xml:space="preserve">应</w:t>
      </w:r>
      <w:r>
        <w:rPr>
          <w:rFonts w:ascii="Times New Roman" w:hAnsi="Times New Roman" w:eastAsia="宋体" w:cs="Times New Roman"/>
          <w:b/>
          <w:bCs w:val="0"/>
          <w:color w:val="000000"/>
          <w:szCs w:val="21"/>
          <w:highlight w:val="none"/>
          <w:lang w:val="en-US" w:eastAsia="zh-CN"/>
        </w:rPr>
        <w:t xml:space="preserve">在评审现场合理的时间内</w:t>
      </w:r>
      <w:r>
        <w:rPr>
          <w:rFonts w:hint="eastAsia"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val="en-US" w:eastAsia="zh-CN"/>
        </w:rPr>
        <w:t xml:space="preserve">不少于30分钟</w:t>
      </w:r>
      <w:r>
        <w:rPr>
          <w:rFonts w:hint="eastAsia" w:ascii="Times New Roman" w:hAnsi="Times New Roman" w:eastAsia="宋体" w:cs="Times New Roman"/>
          <w:b/>
          <w:bCs w:val="0"/>
          <w:color w:val="000000"/>
          <w:szCs w:val="21"/>
          <w:highlight w:val="none"/>
          <w:lang w:val="en-US" w:eastAsia="zh-CN"/>
        </w:rPr>
        <w:t xml:space="preserve">，具体根据评审现场书面通知为准）</w:t>
      </w:r>
      <w:r>
        <w:rPr>
          <w:rFonts w:ascii="Times New Roman" w:hAnsi="Times New Roman" w:eastAsia="宋体" w:cs="Times New Roman"/>
          <w:b/>
          <w:bCs w:val="0"/>
          <w:color w:val="000000"/>
          <w:szCs w:val="21"/>
          <w:highlight w:val="none"/>
          <w:lang w:val="en-US" w:eastAsia="zh-CN"/>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561"/>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3</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依据专业经验，参考同类项目中标（成交）价格、类似产品</w:t>
      </w:r>
      <w:r>
        <w:rPr>
          <w:rFonts w:hint="eastAsia" w:ascii="Times New Roman" w:hAnsi="Times New Roman" w:eastAsia="宋体" w:cs="Times New Roman"/>
          <w:b/>
          <w:bCs w:val="0"/>
          <w:color w:val="000000"/>
          <w:szCs w:val="21"/>
          <w:highlight w:val="none"/>
          <w:lang w:val="en-US" w:eastAsia="zh-CN"/>
        </w:rPr>
        <w:t xml:space="preserve">/服务</w:t>
      </w:r>
      <w:r>
        <w:rPr>
          <w:rFonts w:ascii="Times New Roman" w:hAnsi="Times New Roman" w:eastAsia="宋体" w:cs="Times New Roman"/>
          <w:b/>
          <w:bCs w:val="0"/>
          <w:color w:val="000000"/>
          <w:szCs w:val="21"/>
          <w:highlight w:val="none"/>
          <w:lang w:val="en-US" w:eastAsia="zh-CN"/>
        </w:rPr>
        <w:t xml:space="preserve">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应当将其作为无效投标（响应）处理。</w:t>
      </w:r>
      <w:r>
        <w:rPr>
          <w:rFonts w:ascii="Times New Roman" w:hAnsi="Times New Roman" w:eastAsia="宋体" w:cs="Times New Roman"/>
          <w:b/>
          <w:bCs w:val="0"/>
          <w:color w:val="000000"/>
          <w:szCs w:val="21"/>
          <w:highlight w:val="none"/>
          <w:lang w:eastAsia="zh-CN"/>
        </w:rPr>
      </w:r>
      <w:r/>
    </w:p>
    <w:p>
      <w:pPr>
        <w:pStyle w:val="1561"/>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4</w:t>
      </w:r>
      <w:r>
        <w:rPr>
          <w:rFonts w:hint="eastAsia"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有关互联网浏览、查询历史一并归档。</w:t>
      </w:r>
      <w:r>
        <w:rPr>
          <w:rFonts w:ascii="Times New Roman" w:hAnsi="Times New Roman" w:eastAsia="宋体" w:cs="Times New Roman"/>
          <w:b/>
          <w:bCs w:val="0"/>
          <w:color w:val="000000"/>
          <w:szCs w:val="21"/>
          <w:highlight w:val="none"/>
          <w:lang w:val="en-US" w:eastAsia="zh-CN"/>
        </w:rPr>
      </w:r>
      <w:r/>
    </w:p>
    <w:p>
      <w:pPr>
        <w:pStyle w:val="1561"/>
        <w:ind w:firstLine="422"/>
        <w:spacing w:line="360" w:lineRule="auto"/>
        <w:rPr>
          <w:rFonts w:hint="eastAsia" w:ascii="宋体" w:hAnsi="宋体" w:cs="宋体"/>
          <w:b/>
          <w:szCs w:val="21"/>
        </w:rPr>
      </w:pPr>
      <w:r/>
      <w:bookmarkEnd w:id="185"/>
      <w:r/>
      <w:bookmarkStart w:id="186" w:name="_Toc25188"/>
      <w:r/>
      <w:bookmarkStart w:id="187" w:name="_Toc13685"/>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564"/>
        <w:ind w:left="0" w:firstLine="422"/>
        <w:jc w:val="both"/>
        <w:spacing w:line="440" w:lineRule="exact"/>
        <w:tabs>
          <w:tab w:val="left" w:pos="480" w:leader="none"/>
        </w:tabs>
        <w:rPr>
          <w:rFonts w:ascii="Times New Roman" w:eastAsia="宋体"/>
          <w:b/>
          <w:bCs/>
          <w:sz w:val="21"/>
          <w:szCs w:val="21"/>
        </w:rPr>
      </w:pPr>
      <w:r/>
      <w:bookmarkStart w:id="188" w:name="_Toc17531"/>
      <w:r/>
      <w:bookmarkStart w:id="189" w:name="_Toc27682"/>
      <w:r>
        <w:rPr>
          <w:rFonts w:ascii="Times New Roman" w:eastAsia="宋体"/>
          <w:b/>
          <w:bCs/>
          <w:sz w:val="21"/>
          <w:szCs w:val="21"/>
        </w:rPr>
        <w:t xml:space="preserve">21.投标文件的澄清</w:t>
      </w:r>
      <w:bookmarkEnd w:id="186"/>
      <w:r/>
      <w:bookmarkEnd w:id="188"/>
      <w:r/>
      <w:bookmarkEnd w:id="189"/>
      <w:r>
        <w:rPr>
          <w:rFonts w:ascii="Times New Roman" w:eastAsia="宋体"/>
          <w:b/>
          <w:bCs/>
          <w:sz w:val="21"/>
          <w:szCs w:val="21"/>
        </w:rPr>
      </w:r>
      <w:r/>
    </w:p>
    <w:p>
      <w:pPr>
        <w:pStyle w:val="1561"/>
        <w:ind w:firstLine="420"/>
        <w:spacing w:line="440" w:lineRule="exact"/>
        <w:rPr>
          <w:bCs/>
          <w:szCs w:val="21"/>
        </w:rPr>
      </w:pPr>
      <w:r>
        <w:rPr>
          <w:bCs/>
          <w:szCs w:val="21"/>
        </w:rPr>
        <w:t xml:space="preserve">21.1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561"/>
        <w:ind w:firstLine="420"/>
        <w:spacing w:line="440" w:lineRule="exact"/>
        <w:rPr>
          <w:bCs/>
          <w:szCs w:val="21"/>
        </w:rPr>
      </w:pPr>
      <w:r>
        <w:rPr>
          <w:bCs/>
          <w:szCs w:val="21"/>
        </w:rPr>
        <w:t xml:space="preserve">21.2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561"/>
        <w:ind w:firstLine="420"/>
        <w:spacing w:line="440" w:lineRule="exact"/>
        <w:rPr>
          <w:rFonts w:hint="eastAsia" w:ascii="Times New Roman" w:hAnsi="Times New Roman" w:eastAsia="宋体" w:cs="Times New Roman"/>
          <w:bCs/>
          <w:szCs w:val="21"/>
        </w:rPr>
      </w:pPr>
      <w:r/>
      <w:bookmarkStart w:id="190" w:name="_Toc438"/>
      <w:r>
        <w:rPr>
          <w:rFonts w:hint="eastAsia"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Times New Roman" w:hAnsi="Times New Roman" w:eastAsia="宋体" w:cs="Times New Roman"/>
          <w:bCs/>
          <w:szCs w:val="21"/>
        </w:rPr>
      </w:r>
      <w:r/>
    </w:p>
    <w:p>
      <w:pPr>
        <w:pStyle w:val="1561"/>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Times New Roman" w:hAnsi="Times New Roman" w:eastAsia="宋体" w:cs="Times New Roman"/>
          <w:bCs/>
          <w:szCs w:val="21"/>
        </w:rPr>
      </w:r>
      <w:r/>
    </w:p>
    <w:p>
      <w:pPr>
        <w:pStyle w:val="1564"/>
        <w:ind w:left="0" w:firstLine="422"/>
        <w:jc w:val="both"/>
        <w:spacing w:line="440" w:lineRule="exact"/>
        <w:tabs>
          <w:tab w:val="left" w:pos="480" w:leader="none"/>
        </w:tabs>
        <w:rPr>
          <w:rFonts w:ascii="Times New Roman" w:eastAsia="宋体"/>
          <w:b/>
          <w:bCs/>
          <w:sz w:val="21"/>
          <w:szCs w:val="21"/>
        </w:rPr>
      </w:pPr>
      <w:r/>
      <w:bookmarkStart w:id="191" w:name="_Toc13979"/>
      <w:r/>
      <w:bookmarkStart w:id="192" w:name="_Toc24542"/>
      <w:r>
        <w:rPr>
          <w:rFonts w:ascii="Times New Roman" w:eastAsia="宋体"/>
          <w:b/>
          <w:bCs/>
          <w:sz w:val="21"/>
          <w:szCs w:val="21"/>
        </w:rPr>
        <w:t xml:space="preserve">22.对投标文件的详细评审</w:t>
      </w:r>
      <w:bookmarkEnd w:id="190"/>
      <w:r/>
      <w:bookmarkEnd w:id="191"/>
      <w:r/>
      <w:bookmarkEnd w:id="192"/>
      <w:r>
        <w:rPr>
          <w:rFonts w:ascii="Times New Roman" w:eastAsia="宋体"/>
          <w:b/>
          <w:bCs/>
          <w:sz w:val="21"/>
          <w:szCs w:val="21"/>
        </w:rPr>
      </w:r>
      <w:r/>
    </w:p>
    <w:p>
      <w:pPr>
        <w:pStyle w:val="1561"/>
        <w:ind w:firstLine="420"/>
        <w:spacing w:line="440" w:lineRule="exact"/>
        <w:rPr>
          <w:rFonts w:hint="eastAsia" w:ascii="Times New Roman" w:hAnsi="Times New Roman" w:eastAsia="宋体" w:cs="Times New Roman"/>
          <w:bCs/>
          <w:szCs w:val="21"/>
        </w:rPr>
      </w:pPr>
      <w:r/>
      <w:bookmarkEnd w:id="187"/>
      <w:r/>
      <w:bookmarkStart w:id="193" w:name="_Toc28875"/>
      <w:r/>
      <w:bookmarkStart w:id="194" w:name="_Toc21985"/>
      <w:r/>
      <w:bookmarkStart w:id="195" w:name="_Toc12358"/>
      <w:r/>
      <w:bookmarkStart w:id="196" w:name="_Toc26838"/>
      <w:r>
        <w:rPr>
          <w:rFonts w:hint="eastAsia" w:ascii="Times New Roman" w:hAnsi="Times New Roman" w:eastAsia="宋体" w:cs="Times New Roman"/>
          <w:bCs/>
          <w:szCs w:val="21"/>
        </w:rPr>
        <w:t xml:space="preserve">22.1采用最低评标价法的采购项目，提供相同品牌产品</w:t>
      </w:r>
      <w:r>
        <w:rPr>
          <w:rFonts w:hint="eastAsia" w:ascii="Times New Roman" w:hAnsi="Times New Roman" w:eastAsia="宋体" w:cs="Times New Roman"/>
          <w:bCs/>
          <w:szCs w:val="21"/>
          <w:lang w:val="en-US" w:eastAsia="zh-CN"/>
        </w:rPr>
        <w:t xml:space="preserve">/服务</w:t>
      </w:r>
      <w:r>
        <w:rPr>
          <w:rFonts w:hint="eastAsia" w:ascii="Times New Roman" w:hAnsi="Times New Roman" w:eastAsia="宋体" w:cs="Times New Roman"/>
          <w:bCs/>
          <w:szCs w:val="21"/>
        </w:rPr>
        <w:t xml:space="preserve">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Times New Roman" w:hAnsi="Times New Roman" w:eastAsia="宋体" w:cs="Times New Roman"/>
          <w:bCs/>
          <w:szCs w:val="21"/>
        </w:rPr>
      </w:r>
      <w:r/>
    </w:p>
    <w:p>
      <w:pPr>
        <w:pStyle w:val="1561"/>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使用综合评分法的采购项目，提供相同品牌产品</w:t>
      </w:r>
      <w:r>
        <w:rPr>
          <w:rFonts w:hint="eastAsia" w:ascii="Times New Roman" w:hAnsi="Times New Roman" w:eastAsia="宋体" w:cs="Times New Roman"/>
          <w:bCs/>
          <w:szCs w:val="21"/>
          <w:lang w:val="en-US" w:eastAsia="zh-CN"/>
        </w:rPr>
        <w:t xml:space="preserve">/服务</w:t>
      </w:r>
      <w:r>
        <w:rPr>
          <w:rFonts w:hint="eastAsia" w:ascii="Times New Roman" w:hAnsi="Times New Roman" w:eastAsia="宋体" w:cs="Times New Roman"/>
          <w:bCs/>
          <w:szCs w:val="21"/>
        </w:rPr>
        <w:t xml:space="preserve">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ascii="Times New Roman" w:hAnsi="Times New Roman" w:eastAsia="宋体" w:cs="Times New Roman"/>
          <w:bCs/>
          <w:szCs w:val="21"/>
        </w:rPr>
      </w:r>
      <w:r/>
    </w:p>
    <w:p>
      <w:pPr>
        <w:pStyle w:val="1561"/>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非单一产品</w:t>
      </w:r>
      <w:r>
        <w:rPr>
          <w:rFonts w:hint="eastAsia" w:ascii="Times New Roman" w:hAnsi="Times New Roman" w:eastAsia="宋体" w:cs="Times New Roman"/>
          <w:bCs/>
          <w:szCs w:val="21"/>
          <w:lang w:val="en-US" w:eastAsia="zh-CN"/>
        </w:rPr>
        <w:t xml:space="preserve">/服务</w:t>
      </w:r>
      <w:r>
        <w:rPr>
          <w:rFonts w:hint="eastAsia" w:ascii="Times New Roman" w:hAnsi="Times New Roman" w:eastAsia="宋体" w:cs="Times New Roman"/>
          <w:bCs/>
          <w:szCs w:val="21"/>
        </w:rPr>
        <w:t xml:space="preserve">采购项目，采购人根据采购项目技术构成、产品</w:t>
      </w:r>
      <w:r>
        <w:rPr>
          <w:rFonts w:hint="eastAsia" w:ascii="Times New Roman" w:hAnsi="Times New Roman" w:eastAsia="宋体" w:cs="Times New Roman"/>
          <w:bCs/>
          <w:szCs w:val="21"/>
          <w:lang w:val="en-US" w:eastAsia="zh-CN"/>
        </w:rPr>
        <w:t xml:space="preserve">/服务</w:t>
      </w:r>
      <w:r>
        <w:rPr>
          <w:rFonts w:hint="eastAsia" w:ascii="Times New Roman" w:hAnsi="Times New Roman" w:eastAsia="宋体" w:cs="Times New Roman"/>
          <w:bCs/>
          <w:szCs w:val="21"/>
        </w:rPr>
        <w:t xml:space="preserve">价格比重等合理确定核心产品</w:t>
      </w:r>
      <w:r>
        <w:rPr>
          <w:rFonts w:hint="eastAsia" w:ascii="Times New Roman" w:hAnsi="Times New Roman" w:eastAsia="宋体" w:cs="Times New Roman"/>
          <w:bCs/>
          <w:szCs w:val="21"/>
          <w:lang w:val="en-US" w:eastAsia="zh-CN"/>
        </w:rPr>
        <w:t xml:space="preserve">/服务</w:t>
      </w:r>
      <w:r>
        <w:rPr>
          <w:rFonts w:hint="eastAsia" w:ascii="Times New Roman" w:hAnsi="Times New Roman" w:eastAsia="宋体" w:cs="Times New Roman"/>
          <w:bCs/>
          <w:szCs w:val="21"/>
        </w:rPr>
        <w:t xml:space="preserve">，并在招标文件中载明。多家供应商提供的核心产品</w:t>
      </w:r>
      <w:r>
        <w:rPr>
          <w:rFonts w:hint="eastAsia" w:ascii="Times New Roman" w:hAnsi="Times New Roman" w:eastAsia="宋体" w:cs="Times New Roman"/>
          <w:bCs/>
          <w:szCs w:val="21"/>
          <w:lang w:val="en-US" w:eastAsia="zh-CN"/>
        </w:rPr>
        <w:t xml:space="preserve">/服务</w:t>
      </w:r>
      <w:r>
        <w:rPr>
          <w:rFonts w:hint="eastAsia" w:ascii="Times New Roman" w:hAnsi="Times New Roman" w:eastAsia="宋体" w:cs="Times New Roman"/>
          <w:bCs/>
          <w:szCs w:val="21"/>
        </w:rPr>
        <w:t xml:space="preserve">品牌相同的，按前述规定处理。</w:t>
      </w:r>
      <w:r>
        <w:rPr>
          <w:rFonts w:hint="eastAsia" w:ascii="Times New Roman" w:hAnsi="Times New Roman" w:eastAsia="宋体" w:cs="Times New Roman"/>
          <w:bCs/>
          <w:szCs w:val="21"/>
        </w:rPr>
      </w:r>
      <w:r/>
    </w:p>
    <w:p>
      <w:pPr>
        <w:pStyle w:val="1561"/>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hint="eastAsia" w:ascii="Times New Roman" w:hAnsi="Times New Roman" w:eastAsia="宋体" w:cs="Times New Roman"/>
          <w:bCs/>
          <w:szCs w:val="21"/>
        </w:rPr>
      </w:r>
      <w:r/>
    </w:p>
    <w:p>
      <w:pPr>
        <w:pStyle w:val="1561"/>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Times New Roman" w:hAnsi="Times New Roman" w:eastAsia="宋体" w:cs="Times New Roman"/>
          <w:bCs/>
          <w:szCs w:val="21"/>
        </w:rPr>
      </w:r>
      <w:r/>
    </w:p>
    <w:p>
      <w:pPr>
        <w:pStyle w:val="1561"/>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22.4评审因素包括投标报价、技术或者服务水平、履约能力、售后服务等</w:t>
      </w:r>
      <w:r>
        <w:rPr>
          <w:rFonts w:hint="eastAsia" w:ascii="Times New Roman" w:hAnsi="Times New Roman" w:eastAsia="宋体" w:cs="Times New Roman"/>
          <w:bCs/>
          <w:szCs w:val="21"/>
        </w:rPr>
      </w:r>
      <w:r/>
    </w:p>
    <w:p>
      <w:pPr>
        <w:pStyle w:val="1561"/>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22.5评标标准详见文件第三章。</w:t>
      </w:r>
      <w:r>
        <w:rPr>
          <w:rFonts w:hint="eastAsia" w:ascii="Times New Roman" w:hAnsi="Times New Roman" w:eastAsia="宋体" w:cs="Times New Roman"/>
          <w:bCs/>
          <w:szCs w:val="21"/>
        </w:rPr>
      </w:r>
      <w:r/>
    </w:p>
    <w:p>
      <w:pPr>
        <w:pStyle w:val="1564"/>
        <w:ind w:left="0" w:firstLine="422"/>
        <w:jc w:val="both"/>
        <w:spacing w:line="440" w:lineRule="exact"/>
        <w:tabs>
          <w:tab w:val="left" w:pos="480" w:leader="none"/>
        </w:tabs>
        <w:rPr>
          <w:rFonts w:ascii="Times New Roman" w:eastAsia="宋体"/>
          <w:b/>
          <w:bCs/>
          <w:sz w:val="21"/>
          <w:szCs w:val="21"/>
        </w:rPr>
      </w:pPr>
      <w:r/>
      <w:bookmarkStart w:id="197" w:name="_Toc29940"/>
      <w:r/>
      <w:bookmarkStart w:id="198" w:name="_Toc10766"/>
      <w:r>
        <w:rPr>
          <w:rFonts w:ascii="Times New Roman" w:eastAsia="宋体"/>
          <w:b/>
          <w:bCs/>
          <w:sz w:val="21"/>
          <w:szCs w:val="21"/>
        </w:rPr>
        <w:t xml:space="preserve">23.评标过程的保密与公正</w:t>
      </w:r>
      <w:bookmarkEnd w:id="193"/>
      <w:r/>
      <w:bookmarkEnd w:id="194"/>
      <w:r/>
      <w:bookmarkEnd w:id="195"/>
      <w:r/>
      <w:bookmarkEnd w:id="197"/>
      <w:r/>
      <w:bookmarkEnd w:id="198"/>
      <w:r>
        <w:rPr>
          <w:rFonts w:ascii="Times New Roman" w:eastAsia="宋体"/>
          <w:b/>
          <w:bCs/>
          <w:sz w:val="21"/>
          <w:szCs w:val="21"/>
        </w:rPr>
      </w:r>
      <w:r/>
    </w:p>
    <w:p>
      <w:pPr>
        <w:pStyle w:val="1561"/>
        <w:ind w:firstLine="420"/>
        <w:spacing w:line="440" w:lineRule="exact"/>
        <w:rPr>
          <w:bCs/>
          <w:szCs w:val="21"/>
        </w:rPr>
      </w:pPr>
      <w:r/>
      <w:bookmarkEnd w:id="196"/>
      <w:r/>
      <w:bookmarkStart w:id="199" w:name="_Toc26041"/>
      <w:r/>
      <w:bookmarkStart w:id="200" w:name="_Toc30824"/>
      <w:r/>
      <w:bookmarkStart w:id="201"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561"/>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561"/>
        <w:ind w:firstLine="420"/>
        <w:spacing w:line="440" w:lineRule="exact"/>
        <w:rPr>
          <w:bCs/>
          <w:szCs w:val="21"/>
        </w:rPr>
      </w:pPr>
      <w:r>
        <w:rPr>
          <w:bCs/>
          <w:szCs w:val="21"/>
        </w:rPr>
        <w:t xml:space="preserve">23.3采购代理机构和评标委员会不得向落标的供应商解释未中标原因，也不公布评标过程中的相关细节。</w:t>
      </w:r>
      <w:r>
        <w:rPr>
          <w:bCs/>
          <w:szCs w:val="21"/>
        </w:rPr>
      </w:r>
      <w:r/>
    </w:p>
    <w:p>
      <w:pPr>
        <w:pStyle w:val="1561"/>
        <w:ind w:firstLine="420"/>
        <w:spacing w:line="440" w:lineRule="exact"/>
        <w:rPr>
          <w:bCs/>
          <w:szCs w:val="21"/>
        </w:rPr>
      </w:pPr>
      <w:r>
        <w:rPr>
          <w:bCs/>
          <w:szCs w:val="21"/>
        </w:rPr>
        <w:t xml:space="preserve">23.4在评标期间，采购代理机构将指定联络员与供应商进行联络。</w:t>
      </w:r>
      <w:r>
        <w:rPr>
          <w:bCs/>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202" w:name="_Toc8136"/>
      <w:r/>
      <w:bookmarkStart w:id="203" w:name="_Toc21168"/>
      <w:r/>
      <w:bookmarkStart w:id="204" w:name="_Toc22120"/>
      <w:r>
        <w:rPr>
          <w:rFonts w:ascii="Times New Roman" w:eastAsia="宋体"/>
          <w:b/>
          <w:bCs/>
          <w:color w:val="000000"/>
          <w:sz w:val="21"/>
          <w:szCs w:val="21"/>
        </w:rPr>
        <w:t xml:space="preserve">24.无效投标条款和废标条款</w:t>
      </w:r>
      <w:bookmarkEnd w:id="199"/>
      <w:r/>
      <w:bookmarkEnd w:id="200"/>
      <w:r/>
      <w:bookmarkEnd w:id="202"/>
      <w:r/>
      <w:bookmarkEnd w:id="203"/>
      <w:r/>
      <w:bookmarkEnd w:id="204"/>
      <w:r>
        <w:rPr>
          <w:rFonts w:ascii="Times New Roman" w:eastAsia="宋体"/>
          <w:b/>
          <w:bCs/>
          <w:color w:val="000000"/>
          <w:sz w:val="21"/>
          <w:szCs w:val="21"/>
        </w:rPr>
      </w:r>
      <w:r/>
    </w:p>
    <w:p>
      <w:pPr>
        <w:pStyle w:val="1561"/>
        <w:ind w:firstLine="420"/>
        <w:spacing w:line="440" w:lineRule="exact"/>
        <w:rPr>
          <w:bCs/>
          <w:szCs w:val="21"/>
        </w:rPr>
      </w:pPr>
      <w:r>
        <w:rPr>
          <w:bCs/>
          <w:szCs w:val="21"/>
        </w:rPr>
        <w:t xml:space="preserve">24.1无效投标条款</w:t>
      </w:r>
      <w:r>
        <w:rPr>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561"/>
        <w:ind w:firstLine="420"/>
        <w:spacing w:line="440" w:lineRule="exact"/>
        <w:rPr>
          <w:bCs/>
          <w:szCs w:val="21"/>
        </w:rPr>
      </w:pPr>
      <w:r>
        <w:rPr>
          <w:bCs/>
          <w:szCs w:val="21"/>
        </w:rPr>
        <w:t xml:space="preserve">24.2废标条款：</w:t>
      </w:r>
      <w:r>
        <w:rPr>
          <w:bCs/>
          <w:szCs w:val="21"/>
        </w:rPr>
      </w:r>
      <w:r/>
    </w:p>
    <w:p>
      <w:pPr>
        <w:pStyle w:val="1561"/>
        <w:ind w:firstLine="420"/>
        <w:spacing w:line="360" w:lineRule="auto"/>
        <w:rPr>
          <w:rFonts w:hint="eastAsia" w:ascii="宋体" w:hAnsi="宋体" w:cs="宋体"/>
          <w:bCs/>
          <w:szCs w:val="21"/>
        </w:rPr>
      </w:pPr>
      <w:r/>
      <w:bookmarkStart w:id="205"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561"/>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564"/>
        <w:ind w:left="0" w:firstLine="422"/>
        <w:jc w:val="both"/>
        <w:spacing w:line="440" w:lineRule="exact"/>
        <w:tabs>
          <w:tab w:val="left" w:pos="480" w:leader="none"/>
        </w:tabs>
        <w:rPr>
          <w:rFonts w:ascii="Times New Roman" w:eastAsia="宋体"/>
          <w:b/>
          <w:bCs/>
          <w:sz w:val="21"/>
          <w:szCs w:val="21"/>
        </w:rPr>
      </w:pPr>
      <w:r/>
      <w:bookmarkStart w:id="206" w:name="_Toc28708"/>
      <w:r/>
      <w:bookmarkStart w:id="207" w:name="_Toc20684"/>
      <w:r>
        <w:rPr>
          <w:rFonts w:ascii="Times New Roman" w:eastAsia="宋体"/>
          <w:b/>
          <w:bCs/>
          <w:sz w:val="21"/>
          <w:szCs w:val="21"/>
        </w:rPr>
        <w:t xml:space="preserve">25.投标截止时间结束参加投标的供应商不足三家的处理</w:t>
      </w:r>
      <w:bookmarkEnd w:id="205"/>
      <w:r/>
      <w:bookmarkEnd w:id="206"/>
      <w:r/>
      <w:bookmarkEnd w:id="207"/>
      <w:r>
        <w:rPr>
          <w:rFonts w:ascii="Times New Roman" w:eastAsia="宋体"/>
          <w:b/>
          <w:bCs/>
          <w:sz w:val="21"/>
          <w:szCs w:val="21"/>
        </w:rPr>
      </w:r>
      <w:r/>
    </w:p>
    <w:p>
      <w:pPr>
        <w:pStyle w:val="1561"/>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561"/>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561"/>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561"/>
        <w:ind w:firstLine="420"/>
        <w:spacing w:line="440" w:lineRule="exact"/>
        <w:shd w:val="clear" w:color="auto" w:fill="auto"/>
        <w:widowControl/>
        <w:rPr>
          <w:b/>
          <w:bCs/>
          <w:color w:val="000000"/>
          <w:szCs w:val="21"/>
        </w:rPr>
        <w:outlineLvl w:val="1"/>
      </w:pPr>
      <w:r/>
      <w:bookmarkStart w:id="208" w:name="_Toc17083"/>
      <w:r/>
      <w:bookmarkStart w:id="209" w:name="_Toc17725"/>
      <w:r/>
      <w:bookmarkStart w:id="210" w:name="_Toc5044"/>
      <w:r>
        <w:rPr>
          <w:b/>
          <w:bCs/>
          <w:color w:val="000000"/>
          <w:szCs w:val="21"/>
        </w:rPr>
        <w:t xml:space="preserve">六、授标</w:t>
      </w:r>
      <w:bookmarkEnd w:id="201"/>
      <w:r/>
      <w:bookmarkEnd w:id="208"/>
      <w:r/>
      <w:bookmarkEnd w:id="209"/>
      <w:r/>
      <w:bookmarkEnd w:id="210"/>
      <w:r>
        <w:rPr>
          <w:b/>
          <w:bCs/>
          <w:color w:val="000000"/>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211" w:name="_Toc28693"/>
      <w:r/>
      <w:bookmarkStart w:id="212" w:name="_Toc2395"/>
      <w:r/>
      <w:bookmarkStart w:id="213" w:name="_Toc27463"/>
      <w:r/>
      <w:bookmarkStart w:id="214" w:name="_Toc6735"/>
      <w:r>
        <w:rPr>
          <w:rFonts w:ascii="Times New Roman" w:eastAsia="宋体"/>
          <w:b/>
          <w:bCs/>
          <w:color w:val="000000"/>
          <w:sz w:val="21"/>
          <w:szCs w:val="21"/>
        </w:rPr>
        <w:t xml:space="preserve">26.确定中标</w:t>
      </w:r>
      <w:bookmarkEnd w:id="211"/>
      <w:r>
        <w:rPr>
          <w:rFonts w:ascii="Times New Roman" w:eastAsia="宋体"/>
          <w:b/>
          <w:bCs/>
          <w:color w:val="000000"/>
          <w:sz w:val="21"/>
          <w:szCs w:val="21"/>
        </w:rPr>
        <w:t xml:space="preserve">供应商</w:t>
      </w:r>
      <w:bookmarkEnd w:id="212"/>
      <w:r/>
      <w:bookmarkEnd w:id="213"/>
      <w:r/>
      <w:bookmarkEnd w:id="214"/>
      <w:r>
        <w:rPr>
          <w:rFonts w:ascii="Times New Roman" w:eastAsia="宋体"/>
          <w:b/>
          <w:bCs/>
          <w:color w:val="000000"/>
          <w:sz w:val="21"/>
          <w:szCs w:val="21"/>
        </w:rPr>
      </w:r>
      <w:r/>
    </w:p>
    <w:p>
      <w:pPr>
        <w:pStyle w:val="1561"/>
        <w:ind w:firstLine="420"/>
        <w:spacing w:line="440" w:lineRule="exact"/>
        <w:rPr>
          <w:szCs w:val="21"/>
        </w:rPr>
      </w:pPr>
      <w:r/>
      <w:bookmarkStart w:id="215"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561"/>
        <w:ind w:firstLine="420"/>
        <w:spacing w:line="440" w:lineRule="exact"/>
        <w:shd w:val="clear" w:color="auto" w:fill="auto"/>
        <w:widowControl/>
        <w:rPr>
          <w:szCs w:val="21"/>
        </w:rPr>
      </w:pPr>
      <w:r>
        <w:rPr>
          <w:szCs w:val="21"/>
        </w:rPr>
        <w:t xml:space="preserve">26.2采购人应根据评标委员会推荐的中标候选供应商确定中标供应商。</w:t>
      </w:r>
      <w:r>
        <w:rPr>
          <w:szCs w:val="21"/>
        </w:rPr>
      </w:r>
      <w:r/>
    </w:p>
    <w:p>
      <w:pPr>
        <w:pStyle w:val="1561"/>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561"/>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561"/>
        <w:ind w:firstLine="420"/>
        <w:spacing w:line="440" w:lineRule="exact"/>
        <w:rPr>
          <w:szCs w:val="21"/>
        </w:rPr>
      </w:pPr>
      <w:r>
        <w:rPr>
          <w:szCs w:val="21"/>
        </w:rPr>
        <w:t xml:space="preserve">26.5中标供应商因不可抗力或者自身原因不能履行采购合同的，采购人可以与排位在中标供应商之后第一位的中标候选供应商签订采购合同，以此类推；采购人也可以重新开展采购活动。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561"/>
        <w:ind w:firstLine="420"/>
        <w:spacing w:line="440" w:lineRule="exact"/>
        <w:rPr>
          <w:szCs w:val="21"/>
        </w:rPr>
      </w:pPr>
      <w:r>
        <w:rPr>
          <w:szCs w:val="21"/>
        </w:rPr>
        <w:t xml:space="preserve">26.6若评标委员会发现供应商的投标文件中有弄虚作假行为，则该供应商将失去中标资格。</w:t>
      </w:r>
      <w:r>
        <w:rPr>
          <w:szCs w:val="21"/>
        </w:rPr>
      </w:r>
      <w:r/>
    </w:p>
    <w:p>
      <w:pPr>
        <w:pStyle w:val="1561"/>
        <w:ind w:firstLine="420"/>
        <w:spacing w:line="440" w:lineRule="exact"/>
        <w:rPr>
          <w:szCs w:val="21"/>
        </w:rPr>
      </w:pPr>
      <w:r>
        <w:rPr>
          <w:szCs w:val="21"/>
        </w:rPr>
        <w:t xml:space="preserve">26.7所有投标文件都将作为档案保存，不论中标与否，代理机构均不退回。</w:t>
      </w:r>
      <w:r>
        <w:rPr>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End w:id="215"/>
      <w:r/>
      <w:bookmarkStart w:id="216" w:name="_Toc32182"/>
      <w:r/>
      <w:bookmarkStart w:id="217" w:name="_Toc17252"/>
      <w:r/>
      <w:bookmarkStart w:id="218" w:name="_Toc20870"/>
      <w:r/>
      <w:bookmarkStart w:id="219" w:name="_Toc19713"/>
      <w:r/>
      <w:bookmarkStart w:id="220" w:name="_Toc28916"/>
      <w:r/>
      <w:bookmarkStart w:id="221" w:name="_Toc21169"/>
      <w:r/>
      <w:bookmarkStart w:id="222" w:name="_Toc4684"/>
      <w:r>
        <w:rPr>
          <w:rFonts w:ascii="Times New Roman" w:eastAsia="宋体"/>
          <w:b/>
          <w:bCs/>
          <w:color w:val="000000"/>
          <w:sz w:val="21"/>
          <w:szCs w:val="21"/>
        </w:rPr>
        <w:t xml:space="preserve">27.中标的通知</w:t>
      </w:r>
      <w:bookmarkEnd w:id="216"/>
      <w:r/>
      <w:bookmarkEnd w:id="217"/>
      <w:r/>
      <w:bookmarkEnd w:id="218"/>
      <w:r/>
      <w:bookmarkEnd w:id="219"/>
      <w:r/>
      <w:bookmarkEnd w:id="220"/>
      <w:r/>
      <w:bookmarkEnd w:id="221"/>
      <w:r>
        <w:rPr>
          <w:rFonts w:ascii="Times New Roman" w:eastAsia="宋体"/>
          <w:b/>
          <w:bCs/>
          <w:color w:val="000000"/>
          <w:sz w:val="21"/>
          <w:szCs w:val="21"/>
        </w:rPr>
      </w:r>
      <w:r/>
    </w:p>
    <w:p>
      <w:pPr>
        <w:pStyle w:val="1561"/>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561"/>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561"/>
        <w:ind w:firstLine="420"/>
        <w:spacing w:line="440" w:lineRule="exact"/>
        <w:rPr>
          <w:bCs/>
          <w:szCs w:val="21"/>
        </w:rPr>
      </w:pPr>
      <w:r>
        <w:rPr>
          <w:bCs/>
          <w:szCs w:val="21"/>
        </w:rPr>
        <w:t xml:space="preserve">27.3中标通知书是合同的组成部分。</w:t>
      </w:r>
      <w:r>
        <w:rPr>
          <w:bCs/>
          <w:szCs w:val="21"/>
        </w:rPr>
      </w:r>
      <w:r/>
    </w:p>
    <w:p>
      <w:pPr>
        <w:pStyle w:val="1564"/>
        <w:ind w:left="0" w:firstLine="422"/>
        <w:jc w:val="both"/>
        <w:spacing w:line="440" w:lineRule="exact"/>
        <w:tabs>
          <w:tab w:val="left" w:pos="480" w:leader="none"/>
        </w:tabs>
        <w:rPr>
          <w:rFonts w:ascii="Times New Roman" w:eastAsia="宋体"/>
          <w:b/>
          <w:bCs/>
          <w:sz w:val="21"/>
          <w:szCs w:val="21"/>
        </w:rPr>
      </w:pPr>
      <w:r/>
      <w:bookmarkEnd w:id="222"/>
      <w:r/>
      <w:bookmarkStart w:id="223" w:name="_Toc2049"/>
      <w:r/>
      <w:bookmarkStart w:id="224" w:name="_Toc15484"/>
      <w:r/>
      <w:bookmarkStart w:id="225" w:name="_Toc11858"/>
      <w:r/>
      <w:bookmarkStart w:id="226" w:name="_Toc28003"/>
      <w:r/>
      <w:bookmarkStart w:id="227" w:name="_Toc25536"/>
      <w:r/>
      <w:bookmarkStart w:id="228" w:name="_Toc24788"/>
      <w:r>
        <w:rPr>
          <w:rFonts w:ascii="Times New Roman" w:eastAsia="宋体"/>
          <w:b/>
          <w:bCs/>
          <w:color w:val="000000"/>
          <w:sz w:val="21"/>
          <w:szCs w:val="21"/>
        </w:rPr>
        <w:t xml:space="preserve">28.签订合同</w:t>
      </w:r>
      <w:bookmarkEnd w:id="223"/>
      <w:r/>
      <w:bookmarkEnd w:id="224"/>
      <w:r/>
      <w:bookmarkEnd w:id="225"/>
      <w:r/>
      <w:bookmarkEnd w:id="226"/>
      <w:r/>
      <w:bookmarkEnd w:id="227"/>
      <w:r>
        <w:rPr>
          <w:rFonts w:ascii="Times New Roman" w:eastAsia="宋体"/>
          <w:b/>
          <w:bCs/>
          <w:sz w:val="21"/>
          <w:szCs w:val="21"/>
        </w:rPr>
      </w:r>
      <w:r/>
    </w:p>
    <w:p>
      <w:pPr>
        <w:pStyle w:val="1561"/>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561"/>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561"/>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561"/>
        <w:ind w:firstLine="420"/>
        <w:spacing w:line="440" w:lineRule="exact"/>
        <w:rPr>
          <w:bCs/>
          <w:szCs w:val="21"/>
        </w:rPr>
      </w:pPr>
      <w:r>
        <w:rPr>
          <w:bCs/>
          <w:szCs w:val="21"/>
        </w:rPr>
        <w:t xml:space="preserve">28.4采购合同履行中，采购人需追加与合同标的相同的货物的，在不改变合同其他条款的前提下，可以与供应商协商签订补充合同，但所有补充合同的采购金额不得超过原合同采购金额的百分之十。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End w:id="228"/>
      <w:r/>
      <w:bookmarkStart w:id="229" w:name="_Toc22298"/>
      <w:r/>
      <w:bookmarkStart w:id="230" w:name="_Toc32323"/>
      <w:r/>
      <w:bookmarkStart w:id="231" w:name="_Toc7104"/>
      <w:r/>
      <w:bookmarkStart w:id="232" w:name="_Toc11230"/>
      <w:r/>
      <w:bookmarkStart w:id="233" w:name="_Toc15509"/>
      <w:r/>
      <w:bookmarkStart w:id="234" w:name="_Toc20112"/>
      <w:r>
        <w:rPr>
          <w:rFonts w:ascii="Times New Roman" w:eastAsia="宋体"/>
          <w:b/>
          <w:bCs/>
          <w:color w:val="000000"/>
          <w:sz w:val="21"/>
          <w:szCs w:val="21"/>
        </w:rPr>
        <w:t xml:space="preserve">29.</w:t>
      </w:r>
      <w:bookmarkEnd w:id="229"/>
      <w:r>
        <w:rPr>
          <w:rFonts w:ascii="Times New Roman" w:eastAsia="宋体"/>
          <w:b/>
          <w:bCs/>
          <w:color w:val="000000"/>
          <w:sz w:val="21"/>
          <w:szCs w:val="21"/>
        </w:rPr>
        <w:t xml:space="preserve">招标代理服务费</w:t>
      </w:r>
      <w:bookmarkEnd w:id="230"/>
      <w:r/>
      <w:bookmarkEnd w:id="231"/>
      <w:r/>
      <w:bookmarkEnd w:id="232"/>
      <w:r/>
      <w:bookmarkEnd w:id="233"/>
      <w:r>
        <w:rPr>
          <w:rFonts w:ascii="Times New Roman" w:eastAsia="宋体"/>
          <w:b/>
          <w:bCs/>
          <w:color w:val="000000"/>
          <w:sz w:val="21"/>
          <w:szCs w:val="21"/>
        </w:rPr>
      </w:r>
      <w:r/>
    </w:p>
    <w:p>
      <w:pPr>
        <w:pStyle w:val="1561"/>
        <w:ind w:firstLine="420"/>
        <w:spacing w:line="440" w:lineRule="exact"/>
        <w:shd w:val="clear" w:color="auto" w:fill="auto"/>
        <w:widowControl/>
        <w:rPr>
          <w:bCs/>
          <w:szCs w:val="21"/>
        </w:rPr>
      </w:pPr>
      <w:r/>
      <w:bookmarkStart w:id="235" w:name="_Toc30326"/>
      <w:r>
        <w:rPr>
          <w:bCs/>
          <w:szCs w:val="21"/>
        </w:rPr>
        <w:t xml:space="preserve">详见投标人须知前附表。</w:t>
      </w:r>
      <w:r>
        <w:rPr>
          <w:bCs/>
          <w:szCs w:val="21"/>
        </w:rPr>
      </w:r>
      <w:r/>
    </w:p>
    <w:p>
      <w:pPr>
        <w:pStyle w:val="1561"/>
        <w:ind w:firstLine="420"/>
        <w:spacing w:line="440" w:lineRule="exact"/>
        <w:shd w:val="clear" w:color="auto" w:fill="auto"/>
        <w:widowControl/>
        <w:rPr>
          <w:b/>
          <w:bCs/>
          <w:color w:val="000000"/>
          <w:szCs w:val="21"/>
        </w:rPr>
        <w:outlineLvl w:val="1"/>
      </w:pPr>
      <w:r/>
      <w:bookmarkStart w:id="236" w:name="_Toc18164"/>
      <w:r/>
      <w:bookmarkStart w:id="237" w:name="_Toc28847"/>
      <w:r>
        <w:rPr>
          <w:b/>
          <w:bCs/>
          <w:color w:val="000000"/>
          <w:szCs w:val="21"/>
        </w:rPr>
        <w:t xml:space="preserve">七、质疑</w:t>
      </w:r>
      <w:bookmarkEnd w:id="234"/>
      <w:r/>
      <w:bookmarkEnd w:id="235"/>
      <w:r/>
      <w:bookmarkEnd w:id="236"/>
      <w:r/>
      <w:bookmarkEnd w:id="237"/>
      <w:r>
        <w:rPr>
          <w:b/>
          <w:bCs/>
          <w:color w:val="000000"/>
          <w:szCs w:val="21"/>
        </w:rPr>
      </w:r>
      <w:r/>
    </w:p>
    <w:p>
      <w:pPr>
        <w:pStyle w:val="1564"/>
        <w:ind w:left="0" w:firstLine="422"/>
        <w:jc w:val="both"/>
        <w:spacing w:line="440" w:lineRule="exact"/>
        <w:tabs>
          <w:tab w:val="left" w:pos="480" w:leader="none"/>
        </w:tabs>
        <w:rPr>
          <w:rFonts w:ascii="Times New Roman" w:eastAsia="宋体"/>
          <w:b/>
          <w:bCs/>
          <w:color w:val="000000"/>
          <w:sz w:val="21"/>
          <w:szCs w:val="21"/>
        </w:rPr>
      </w:pPr>
      <w:r/>
      <w:bookmarkStart w:id="238" w:name="_Toc29529"/>
      <w:r/>
      <w:bookmarkStart w:id="239" w:name="_Toc19917"/>
      <w:r/>
      <w:bookmarkStart w:id="240" w:name="_Toc24618"/>
      <w:r/>
      <w:bookmarkStart w:id="241" w:name="_Toc4452"/>
      <w:r/>
      <w:bookmarkStart w:id="242" w:name="_Toc16085"/>
      <w:r/>
      <w:bookmarkStart w:id="243" w:name="_Toc4679"/>
      <w:r>
        <w:rPr>
          <w:rFonts w:ascii="Times New Roman" w:eastAsia="宋体"/>
          <w:b/>
          <w:bCs/>
          <w:color w:val="000000"/>
          <w:sz w:val="21"/>
          <w:szCs w:val="21"/>
        </w:rPr>
        <w:t xml:space="preserve">30、质疑</w:t>
      </w:r>
      <w:bookmarkEnd w:id="238"/>
      <w:r/>
      <w:bookmarkEnd w:id="239"/>
      <w:r/>
      <w:bookmarkEnd w:id="240"/>
      <w:r/>
      <w:bookmarkEnd w:id="241"/>
      <w:r/>
      <w:bookmarkEnd w:id="242"/>
      <w:r/>
      <w:bookmarkEnd w:id="243"/>
      <w:r>
        <w:rPr>
          <w:rFonts w:ascii="Times New Roman" w:eastAsia="宋体"/>
          <w:b/>
          <w:bCs/>
          <w:color w:val="000000"/>
          <w:sz w:val="21"/>
          <w:szCs w:val="21"/>
        </w:rPr>
      </w:r>
      <w:r/>
    </w:p>
    <w:p>
      <w:pPr>
        <w:pStyle w:val="1561"/>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561"/>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561"/>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561"/>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561"/>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561"/>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561"/>
        <w:ind w:firstLine="420"/>
        <w:spacing w:line="440" w:lineRule="exact"/>
        <w:rPr>
          <w:bCs/>
          <w:szCs w:val="21"/>
        </w:rPr>
      </w:pPr>
      <w:r>
        <w:rPr>
          <w:bCs/>
          <w:szCs w:val="21"/>
        </w:rPr>
        <w:t xml:space="preserve">（1）供应商的姓名或者名称、地址、邮编、联系人及联系电话；</w:t>
      </w:r>
      <w:r>
        <w:rPr>
          <w:bCs/>
          <w:szCs w:val="21"/>
        </w:rPr>
      </w:r>
      <w:r/>
    </w:p>
    <w:p>
      <w:pPr>
        <w:pStyle w:val="1561"/>
        <w:ind w:firstLine="420"/>
        <w:spacing w:line="440" w:lineRule="exact"/>
        <w:rPr>
          <w:bCs/>
          <w:szCs w:val="21"/>
        </w:rPr>
      </w:pPr>
      <w:r>
        <w:rPr>
          <w:bCs/>
          <w:szCs w:val="21"/>
        </w:rPr>
        <w:t xml:space="preserve">（2）质疑项目的名称、编号；</w:t>
      </w:r>
      <w:r>
        <w:rPr>
          <w:bCs/>
          <w:szCs w:val="21"/>
        </w:rPr>
      </w:r>
      <w:r/>
    </w:p>
    <w:p>
      <w:pPr>
        <w:pStyle w:val="1561"/>
        <w:ind w:firstLine="420"/>
        <w:spacing w:line="440" w:lineRule="exact"/>
        <w:rPr>
          <w:bCs/>
          <w:szCs w:val="21"/>
        </w:rPr>
      </w:pPr>
      <w:r>
        <w:rPr>
          <w:bCs/>
          <w:szCs w:val="21"/>
        </w:rPr>
        <w:t xml:space="preserve">（3）具体、明确的质疑事项和与质疑事项相关的请求；</w:t>
      </w:r>
      <w:r>
        <w:rPr>
          <w:bCs/>
          <w:szCs w:val="21"/>
        </w:rPr>
      </w:r>
      <w:r/>
    </w:p>
    <w:p>
      <w:pPr>
        <w:pStyle w:val="1561"/>
        <w:ind w:firstLine="420"/>
        <w:spacing w:line="440" w:lineRule="exact"/>
        <w:rPr>
          <w:bCs/>
          <w:szCs w:val="21"/>
        </w:rPr>
      </w:pPr>
      <w:r>
        <w:rPr>
          <w:bCs/>
          <w:szCs w:val="21"/>
        </w:rPr>
        <w:t xml:space="preserve">（4）事实依据；</w:t>
      </w:r>
      <w:r>
        <w:rPr>
          <w:bCs/>
          <w:szCs w:val="21"/>
        </w:rPr>
      </w:r>
      <w:r/>
    </w:p>
    <w:p>
      <w:pPr>
        <w:pStyle w:val="1561"/>
        <w:ind w:firstLine="420"/>
        <w:spacing w:line="440" w:lineRule="exact"/>
        <w:rPr>
          <w:bCs/>
          <w:szCs w:val="21"/>
        </w:rPr>
      </w:pPr>
      <w:r>
        <w:rPr>
          <w:bCs/>
          <w:szCs w:val="21"/>
        </w:rPr>
        <w:t xml:space="preserve">（5）必要的法律依据</w:t>
      </w:r>
      <w:r>
        <w:rPr>
          <w:bCs/>
          <w:szCs w:val="21"/>
        </w:rPr>
      </w:r>
      <w:r/>
    </w:p>
    <w:p>
      <w:pPr>
        <w:pStyle w:val="1561"/>
        <w:ind w:firstLine="420"/>
        <w:spacing w:line="440" w:lineRule="exact"/>
        <w:rPr>
          <w:bCs/>
          <w:szCs w:val="21"/>
        </w:rPr>
      </w:pPr>
      <w:r>
        <w:rPr>
          <w:bCs/>
          <w:szCs w:val="21"/>
        </w:rPr>
        <w:t xml:space="preserve">（6）提出质疑的日期</w:t>
      </w:r>
      <w:r>
        <w:rPr>
          <w:bCs/>
          <w:szCs w:val="21"/>
        </w:rPr>
      </w:r>
      <w:r/>
    </w:p>
    <w:p>
      <w:pPr>
        <w:pStyle w:val="1561"/>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561"/>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bCs/>
          <w:color w:val="000000"/>
          <w:szCs w:val="21"/>
        </w:rPr>
        <w:t xml:space="preserve">自</w:t>
      </w:r>
      <w:r>
        <w:rPr>
          <w:bCs/>
          <w:color w:val="000000"/>
          <w:szCs w:val="21"/>
        </w:rPr>
        <w:t xml:space="preserve">供应商收到招标文件之日起或招标文件公告期限届满之日</w:t>
      </w:r>
      <w:r>
        <w:rPr>
          <w:rFonts w:hint="eastAsia"/>
          <w:bCs/>
          <w:color w:val="000000"/>
          <w:szCs w:val="21"/>
          <w:lang w:val="en-US" w:eastAsia="zh-CN"/>
        </w:rPr>
        <w:t xml:space="preserve">起</w:t>
      </w:r>
      <w:r>
        <w:rPr>
          <w:bCs/>
          <w:color w:val="000000"/>
          <w:szCs w:val="21"/>
        </w:rPr>
        <w:t xml:space="preserve">计算；对采购过程提出质疑的，自采购程序环节结束之日起计算；</w:t>
      </w:r>
      <w:r>
        <w:rPr>
          <w:rFonts w:hint="eastAsia" w:ascii="宋体" w:hAnsi="宋体" w:cs="宋体"/>
          <w:bCs/>
          <w:color w:val="000000"/>
          <w:szCs w:val="21"/>
        </w:rPr>
        <w:t xml:space="preserve">对中标结果提出质疑的，自中标结果公告期限届满之日</w:t>
      </w:r>
      <w:r>
        <w:rPr>
          <w:bCs/>
          <w:color w:val="000000"/>
          <w:szCs w:val="21"/>
        </w:rPr>
        <w:t xml:space="preserve">起</w:t>
      </w:r>
      <w:r>
        <w:rPr>
          <w:rFonts w:hint="eastAsia" w:ascii="宋体" w:hAnsi="宋体" w:cs="宋体"/>
          <w:bCs/>
          <w:color w:val="000000"/>
          <w:szCs w:val="21"/>
        </w:rPr>
        <w:t xml:space="preserve">计算。</w:t>
      </w:r>
      <w:r>
        <w:rPr>
          <w:bCs/>
          <w:color w:val="000000"/>
          <w:szCs w:val="21"/>
        </w:rPr>
      </w:r>
      <w:r/>
    </w:p>
    <w:p>
      <w:pPr>
        <w:pStyle w:val="1561"/>
        <w:ind w:firstLine="420"/>
        <w:spacing w:line="440" w:lineRule="exact"/>
        <w:rPr>
          <w:bCs/>
          <w:szCs w:val="21"/>
        </w:rPr>
      </w:pPr>
      <w:r>
        <w:rPr>
          <w:bCs/>
          <w:szCs w:val="21"/>
        </w:rPr>
        <w:t xml:space="preserve">30.8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561"/>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561"/>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561"/>
        <w:ind w:firstLine="420"/>
        <w:spacing w:line="440" w:lineRule="exact"/>
        <w:shd w:val="clear" w:color="auto" w:fill="auto"/>
        <w:widowControl/>
        <w:rPr>
          <w:rFonts w:hint="eastAsia" w:ascii="Times New Roman" w:hAnsi="Times New Roman" w:eastAsia="宋体" w:cs="Times New Roman"/>
          <w:b/>
          <w:bCs/>
          <w:color w:val="000000"/>
          <w:szCs w:val="21"/>
        </w:rPr>
        <w:outlineLvl w:val="1"/>
      </w:pPr>
      <w:r/>
      <w:bookmarkStart w:id="244" w:name="_Toc189726853"/>
      <w:r/>
      <w:bookmarkEnd w:id="244"/>
      <w:r/>
      <w:bookmarkStart w:id="245" w:name="_Toc521839351"/>
      <w:r/>
      <w:bookmarkEnd w:id="245"/>
      <w:r/>
      <w:bookmarkStart w:id="246" w:name="_Toc142623417"/>
      <w:r/>
      <w:bookmarkEnd w:id="246"/>
      <w:r/>
      <w:bookmarkStart w:id="247" w:name="_Toc25032666"/>
      <w:r/>
      <w:bookmarkEnd w:id="247"/>
      <w:r/>
      <w:bookmarkStart w:id="248" w:name="_Toc163629751"/>
      <w:r/>
      <w:bookmarkEnd w:id="248"/>
      <w:r/>
      <w:bookmarkStart w:id="249" w:name="_Hlk297273538"/>
      <w:r/>
      <w:bookmarkEnd w:id="249"/>
      <w:r/>
      <w:bookmarkStart w:id="250" w:name="_Toc522347554"/>
      <w:r/>
      <w:bookmarkEnd w:id="250"/>
      <w:r/>
      <w:bookmarkStart w:id="251" w:name="_Toc15610"/>
      <w:r/>
      <w:bookmarkStart w:id="252" w:name="_Toc13592"/>
      <w:r/>
      <w:bookmarkStart w:id="253" w:name="_Toc12622"/>
      <w:r/>
      <w:bookmarkStart w:id="254" w:name="_Toc16918"/>
      <w:r>
        <w:rPr>
          <w:rFonts w:hint="eastAsia" w:ascii="Times New Roman" w:hAnsi="Times New Roman" w:eastAsia="宋体" w:cs="Times New Roman"/>
          <w:b/>
          <w:bCs/>
          <w:color w:val="000000"/>
          <w:szCs w:val="21"/>
        </w:rPr>
        <w:t xml:space="preserve">八、政府采购履约资金扶持政策</w:t>
      </w:r>
      <w:bookmarkEnd w:id="251"/>
      <w:r/>
      <w:bookmarkEnd w:id="252"/>
      <w:r>
        <w:rPr>
          <w:rFonts w:hint="eastAsia" w:ascii="Times New Roman" w:hAnsi="Times New Roman" w:eastAsia="宋体" w:cs="Times New Roman"/>
          <w:b/>
          <w:bCs/>
          <w:color w:val="000000"/>
          <w:szCs w:val="21"/>
        </w:rPr>
      </w:r>
      <w:r/>
    </w:p>
    <w:p>
      <w:pPr>
        <w:pStyle w:val="1561"/>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561"/>
        <w:jc w:val="center"/>
        <w:spacing w:line="440" w:lineRule="exact"/>
        <w:rPr>
          <w:b/>
          <w:sz w:val="28"/>
          <w:szCs w:val="28"/>
        </w:rPr>
        <w:outlineLvl w:val="0"/>
      </w:pPr>
      <w:r>
        <w:rPr>
          <w:b/>
          <w:sz w:val="28"/>
          <w:szCs w:val="28"/>
        </w:rPr>
        <w:br w:type="page" w:clear="all"/>
      </w:r>
      <w:bookmarkStart w:id="255" w:name="_Toc16801"/>
      <w:r/>
      <w:bookmarkStart w:id="256" w:name="_Toc28725"/>
      <w:r>
        <w:rPr>
          <w:b/>
          <w:sz w:val="28"/>
          <w:szCs w:val="28"/>
        </w:rPr>
        <w:t xml:space="preserve">第三章 评标标准</w:t>
      </w:r>
      <w:bookmarkEnd w:id="253"/>
      <w:r/>
      <w:bookmarkEnd w:id="254"/>
      <w:r/>
      <w:bookmarkEnd w:id="255"/>
      <w:r/>
      <w:bookmarkEnd w:id="256"/>
      <w:r>
        <w:rPr>
          <w:b/>
          <w:sz w:val="28"/>
          <w:szCs w:val="28"/>
        </w:rPr>
      </w:r>
      <w:r/>
    </w:p>
    <w:p>
      <w:pPr>
        <w:pStyle w:val="1561"/>
        <w:ind w:left="632" w:hanging="632"/>
        <w:spacing w:line="360" w:lineRule="auto"/>
        <w:widowControl/>
        <w:rPr>
          <w:b/>
          <w:bCs/>
          <w:szCs w:val="21"/>
        </w:rPr>
      </w:pPr>
      <w:r>
        <w:rPr>
          <w:b/>
          <w:bCs/>
          <w:szCs w:val="21"/>
        </w:rPr>
        <w:t xml:space="preserve">（一）评审方法</w:t>
      </w:r>
      <w:r>
        <w:rPr>
          <w:b/>
          <w:bCs/>
          <w:szCs w:val="21"/>
        </w:rPr>
      </w:r>
      <w:r/>
    </w:p>
    <w:p>
      <w:pPr>
        <w:pStyle w:val="1561"/>
        <w:ind w:firstLine="422"/>
        <w:spacing w:line="360" w:lineRule="auto"/>
        <w:rPr>
          <w:b/>
          <w:bCs/>
          <w:szCs w:val="21"/>
        </w:rPr>
      </w:pPr>
      <w:r>
        <w:rPr>
          <w:b/>
          <w:bCs/>
          <w:szCs w:val="21"/>
        </w:rPr>
        <w:t xml:space="preserve">本项目采用综合评分法。</w:t>
      </w:r>
      <w:r>
        <w:rPr>
          <w:b/>
          <w:bCs/>
          <w:szCs w:val="21"/>
        </w:rPr>
      </w:r>
      <w:r/>
    </w:p>
    <w:p>
      <w:pPr>
        <w:pStyle w:val="1561"/>
        <w:spacing w:line="360" w:lineRule="auto"/>
        <w:rPr>
          <w:b/>
          <w:bCs/>
          <w:szCs w:val="21"/>
        </w:rPr>
      </w:pPr>
      <w:r>
        <w:rPr>
          <w:b/>
          <w:bCs/>
          <w:szCs w:val="21"/>
        </w:rPr>
        <w:t xml:space="preserve">（二）评审标准</w:t>
      </w:r>
      <w:r>
        <w:rPr>
          <w:b/>
          <w:bCs/>
          <w:szCs w:val="21"/>
        </w:rPr>
      </w:r>
      <w:r/>
    </w:p>
    <w:p>
      <w:pPr>
        <w:pStyle w:val="1561"/>
        <w:ind w:firstLine="211"/>
        <w:spacing w:line="360" w:lineRule="auto"/>
        <w:rPr>
          <w:szCs w:val="21"/>
        </w:rPr>
      </w:pPr>
      <w:r>
        <w:rPr>
          <w:b/>
          <w:bCs/>
        </w:rPr>
        <w:t xml:space="preserve">（1）</w:t>
      </w:r>
      <w:r>
        <w:rPr>
          <w:b/>
          <w:bCs/>
          <w:color w:val="000000"/>
          <w:szCs w:val="21"/>
        </w:rPr>
        <w:t xml:space="preserve">国家政策导向</w:t>
      </w:r>
      <w:r>
        <w:rPr>
          <w:szCs w:val="21"/>
        </w:rPr>
      </w:r>
      <w:r/>
    </w:p>
    <w:p>
      <w:pPr>
        <w:pStyle w:val="1561"/>
        <w:ind w:firstLine="422"/>
        <w:spacing w:line="360" w:lineRule="auto"/>
      </w:pPr>
      <w:r>
        <w:rPr>
          <w:b/>
          <w:bCs/>
        </w:rPr>
        <w:t xml:space="preserve">①促进小微企业发展政策</w:t>
      </w:r>
      <w:r>
        <w:t xml:space="preserve">：根据《政府采购促进中小企业发展管理办法》规定，对小、微型企业产品</w:t>
      </w:r>
      <w:r>
        <w:rPr>
          <w:rFonts w:hint="eastAsia"/>
          <w:lang w:val="en-US" w:eastAsia="zh-CN"/>
        </w:rPr>
        <w:t xml:space="preserve">/服务</w:t>
      </w:r>
      <w:r>
        <w:t xml:space="preserve">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561"/>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561"/>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561"/>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561"/>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561"/>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561"/>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561"/>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561"/>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561"/>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561"/>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561"/>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561"/>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p>
      <w:pPr>
        <w:pStyle w:val="1561"/>
        <w:spacing w:line="360" w:lineRule="auto"/>
        <w:rPr>
          <w:b/>
          <w:bCs/>
          <w:szCs w:val="21"/>
        </w:rPr>
      </w:pPr>
      <w:r>
        <w:rPr>
          <w:b/>
          <w:bCs/>
          <w:szCs w:val="21"/>
        </w:rPr>
      </w:r>
      <w:r/>
    </w:p>
    <w:tbl>
      <w:tblPr>
        <w:tblStyle w:val="16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55"/>
        <w:gridCol w:w="1205"/>
        <w:gridCol w:w="7146"/>
        <w:gridCol w:w="745"/>
      </w:tblGrid>
      <w:tr>
        <w:trPr/>
        <w:tc>
          <w:tcPr>
            <w:tcW w:w="755" w:type="dxa"/>
            <w:vAlign w:val="top"/>
            <w:textDirection w:val="lrTb"/>
            <w:noWrap w:val="false"/>
          </w:tcPr>
          <w:p>
            <w:pPr>
              <w:pStyle w:val="1561"/>
              <w:keepLines w:val="0"/>
              <w:keepNext w:val="0"/>
              <w:pageBreakBefore w:val="0"/>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rPr>
                <w:rFonts w:hint="eastAsia" w:ascii="宋体" w:hAnsi="宋体" w:eastAsia="宋体" w:cs="宋体"/>
                <w:b/>
                <w:bCs/>
                <w:sz w:val="21"/>
                <w:szCs w:val="21"/>
                <w:vertAlign w:val="baseline"/>
                <w:lang w:val="en-US" w:eastAsia="zh-CN"/>
              </w:rPr>
            </w:r>
            <w:r/>
          </w:p>
        </w:tc>
        <w:tc>
          <w:tcPr>
            <w:tcW w:w="1205" w:type="dxa"/>
            <w:vAlign w:val="center"/>
            <w:textDirection w:val="lrTb"/>
            <w:noWrap w:val="false"/>
          </w:tcPr>
          <w:p>
            <w:pPr>
              <w:pStyle w:val="1561"/>
              <w:jc w:val="center"/>
              <w:keepLines w:val="0"/>
              <w:keepNext w:val="0"/>
              <w:pageBreakBefore w:val="0"/>
              <w:spacing w:line="360" w:lineRule="auto"/>
              <w:widowControl w:val="off"/>
              <w:rPr>
                <w:rFonts w:hint="eastAsia" w:ascii="宋体" w:hAnsi="宋体" w:eastAsia="宋体" w:cs="宋体"/>
                <w:b/>
                <w:bCs/>
                <w:sz w:val="21"/>
                <w:szCs w:val="21"/>
                <w:vertAlign w:val="baseline"/>
              </w:rPr>
            </w:pPr>
            <w:r>
              <w:rPr>
                <w:rFonts w:hint="eastAsia" w:ascii="宋体" w:hAnsi="宋体" w:eastAsia="宋体" w:cs="宋体"/>
                <w:b/>
                <w:bCs/>
                <w:sz w:val="21"/>
                <w:szCs w:val="21"/>
              </w:rPr>
              <w:t xml:space="preserve">评审因素</w:t>
            </w:r>
            <w:r>
              <w:rPr>
                <w:rFonts w:hint="eastAsia" w:ascii="宋体" w:hAnsi="宋体" w:eastAsia="宋体" w:cs="宋体"/>
                <w:b/>
                <w:bCs/>
                <w:sz w:val="21"/>
                <w:szCs w:val="21"/>
                <w:vertAlign w:val="baseline"/>
              </w:rPr>
            </w:r>
            <w:r/>
          </w:p>
        </w:tc>
        <w:tc>
          <w:tcPr>
            <w:tcW w:w="7146" w:type="dxa"/>
            <w:vAlign w:val="center"/>
            <w:textDirection w:val="lrTb"/>
            <w:noWrap w:val="false"/>
          </w:tcPr>
          <w:p>
            <w:pPr>
              <w:pStyle w:val="1561"/>
              <w:jc w:val="center"/>
              <w:keepLines w:val="0"/>
              <w:keepNext w:val="0"/>
              <w:pageBreakBefore w:val="0"/>
              <w:spacing w:line="360" w:lineRule="auto"/>
              <w:widowControl w:val="off"/>
              <w:rPr>
                <w:rFonts w:hint="eastAsia" w:ascii="宋体" w:hAnsi="宋体" w:eastAsia="宋体" w:cs="宋体"/>
                <w:b/>
                <w:bCs/>
                <w:sz w:val="21"/>
                <w:szCs w:val="21"/>
                <w:vertAlign w:val="baseline"/>
              </w:rPr>
            </w:pPr>
            <w:r>
              <w:rPr>
                <w:rFonts w:hint="eastAsia" w:ascii="宋体" w:hAnsi="宋体" w:eastAsia="宋体" w:cs="宋体"/>
                <w:b/>
                <w:bCs/>
                <w:sz w:val="21"/>
                <w:szCs w:val="21"/>
              </w:rPr>
              <w:t xml:space="preserve">评分标准</w:t>
            </w:r>
            <w:r>
              <w:rPr>
                <w:rFonts w:hint="eastAsia" w:ascii="宋体" w:hAnsi="宋体" w:eastAsia="宋体" w:cs="宋体"/>
                <w:b/>
                <w:bCs/>
                <w:sz w:val="21"/>
                <w:szCs w:val="21"/>
                <w:vertAlign w:val="baseline"/>
              </w:rPr>
            </w:r>
            <w:r/>
          </w:p>
        </w:tc>
        <w:tc>
          <w:tcPr>
            <w:tcW w:w="745" w:type="dxa"/>
            <w:vAlign w:val="center"/>
            <w:textDirection w:val="lrTb"/>
            <w:noWrap w:val="false"/>
          </w:tcPr>
          <w:p>
            <w:pPr>
              <w:pStyle w:val="1561"/>
              <w:jc w:val="cente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分值</w:t>
            </w:r>
            <w:r>
              <w:rPr>
                <w:rFonts w:hint="eastAsia" w:ascii="宋体" w:hAnsi="宋体" w:eastAsia="宋体" w:cs="宋体"/>
                <w:b/>
                <w:bCs/>
                <w:sz w:val="21"/>
                <w:szCs w:val="21"/>
                <w:lang w:val="en-US" w:eastAsia="zh-CN"/>
              </w:rPr>
            </w:r>
            <w:r/>
          </w:p>
        </w:tc>
      </w:tr>
      <w:tr>
        <w:trPr/>
        <w:tc>
          <w:tcPr>
            <w:tcW w:w="75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205" w:type="dxa"/>
            <w:vAlign w:val="center"/>
            <w:textDirection w:val="lrTb"/>
            <w:noWrap w:val="false"/>
          </w:tcPr>
          <w:p>
            <w:pPr>
              <w:pStyle w:val="1561"/>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w:t>
            </w:r>
            <w:r>
              <w:rPr>
                <w:rFonts w:hint="eastAsia" w:ascii="宋体" w:hAnsi="宋体" w:eastAsia="宋体" w:cs="宋体"/>
                <w:sz w:val="21"/>
                <w:szCs w:val="21"/>
                <w:lang w:val="en-US" w:eastAsia="zh-CN"/>
              </w:rPr>
            </w:r>
            <w:r/>
          </w:p>
        </w:tc>
        <w:tc>
          <w:tcPr>
            <w:tcW w:w="7146" w:type="dxa"/>
            <w:vAlign w:val="center"/>
            <w:textDirection w:val="lrTb"/>
            <w:noWrap w:val="false"/>
          </w:tcPr>
          <w:p>
            <w:pPr>
              <w:pStyle w:val="1561"/>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价格分采用低价优先法计算，即满足招标文件要求且投标价格最低的投标报价为评标基准价，其价格分为满分10分。其他供应商的价格分按照下列公式计算，保留小数点后2位：投标报价得分=（评标基准价／投标报价）×1</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。因落实政府采购政策和价格修正进行价格调整的，以调整后的价格计算评标基准价和投标报价。</w:t>
            </w:r>
            <w:r>
              <w:rPr>
                <w:rFonts w:hint="eastAsia" w:ascii="宋体" w:hAnsi="宋体" w:eastAsia="宋体" w:cs="宋体"/>
                <w:sz w:val="21"/>
                <w:szCs w:val="21"/>
              </w:rPr>
            </w:r>
            <w:r/>
          </w:p>
        </w:tc>
        <w:tc>
          <w:tcPr>
            <w:tcW w:w="745" w:type="dxa"/>
            <w:vAlign w:val="center"/>
            <w:textDirection w:val="lrTb"/>
            <w:noWrap w:val="false"/>
          </w:tcPr>
          <w:p>
            <w:pPr>
              <w:pStyle w:val="1561"/>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r>
      <w:tr>
        <w:trPr/>
        <w:tc>
          <w:tcPr>
            <w:tcW w:w="75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20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Cs w:val="0"/>
                <w:sz w:val="21"/>
                <w:szCs w:val="21"/>
              </w:rPr>
              <w:t xml:space="preserve">方案</w:t>
            </w:r>
            <w:r>
              <w:rPr>
                <w:rFonts w:hint="eastAsia" w:ascii="宋体" w:hAnsi="宋体" w:eastAsia="宋体" w:cs="宋体"/>
                <w:b w:val="0"/>
                <w:bCs w:val="0"/>
                <w:sz w:val="21"/>
                <w:szCs w:val="21"/>
                <w:vertAlign w:val="baseline"/>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
                <w:bCs/>
                <w:sz w:val="21"/>
                <w:szCs w:val="21"/>
                <w:vertAlign w:val="baseline"/>
                <w:lang w:val="en-US" w:eastAsia="zh-CN"/>
              </w:rPr>
              <w:t xml:space="preserve">技术方案：</w:t>
            </w:r>
            <w:r>
              <w:rPr>
                <w:rFonts w:hint="eastAsia" w:ascii="宋体" w:hAnsi="宋体" w:eastAsia="宋体" w:cs="宋体"/>
                <w:b/>
                <w:bCs/>
                <w:sz w:val="21"/>
                <w:szCs w:val="21"/>
                <w:vertAlign w:val="baseline"/>
                <w:lang w:val="en-US" w:eastAsia="zh-CN"/>
              </w:rPr>
              <w:br w:type="textWrapping" w:clear="all"/>
            </w:r>
            <w:r>
              <w:rPr>
                <w:rFonts w:hint="eastAsia" w:ascii="宋体" w:hAnsi="宋体" w:eastAsia="宋体" w:cs="宋体"/>
                <w:bCs/>
                <w:sz w:val="21"/>
                <w:szCs w:val="21"/>
              </w:rPr>
              <w:t xml:space="preserve">投标人提供与项目要求一致的技术实施方案。对照第四章项目具体技术要求4.1-4.6内容对方案中的技术参数指标逐项进行评审；</w:t>
            </w:r>
            <w:r>
              <w:rPr>
                <w:rFonts w:hint="eastAsia" w:ascii="宋体" w:hAnsi="宋体" w:eastAsia="宋体" w:cs="宋体"/>
                <w:bCs/>
                <w:sz w:val="21"/>
                <w:szCs w:val="21"/>
              </w:rPr>
            </w:r>
            <w:r/>
          </w:p>
          <w:p>
            <w:pPr>
              <w:pStyle w:val="1561"/>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每项</w:t>
            </w:r>
            <w:r>
              <w:rPr>
                <w:rFonts w:hint="eastAsia" w:ascii="宋体" w:hAnsi="宋体" w:eastAsia="宋体" w:cs="宋体"/>
                <w:bCs/>
                <w:sz w:val="21"/>
                <w:szCs w:val="21"/>
              </w:rPr>
              <w:t xml:space="preserve">方案构思新颖、思路清晰，合理性、可执行性强的得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分；方案内容较为详细全面、科学规范、可操作性较强的得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.5分；方案内容较全面规范、可操作性一般的得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分；方案内容基本满足项目需求的得</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.5分；无此项内容的本项不得分。</w:t>
            </w:r>
            <w:r>
              <w:rPr>
                <w:rFonts w:hint="eastAsia" w:ascii="宋体" w:hAnsi="宋体" w:eastAsia="宋体" w:cs="宋体"/>
                <w:bCs/>
                <w:sz w:val="21"/>
                <w:szCs w:val="21"/>
              </w:rPr>
            </w:r>
            <w:r/>
          </w:p>
          <w:p>
            <w:pPr>
              <w:pStyle w:val="1572"/>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注：共6项内容，满分12分。</w:t>
            </w:r>
            <w:r>
              <w:rPr>
                <w:rFonts w:hint="eastAsia" w:ascii="宋体" w:hAnsi="宋体" w:eastAsia="宋体" w:cs="宋体"/>
                <w:sz w:val="21"/>
                <w:szCs w:val="21"/>
                <w:lang w:val="en-US"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rPr>
              <w:t xml:space="preserve">质量控制方案</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eastAsia="zh-CN"/>
              </w:rPr>
            </w:r>
            <w:r/>
          </w:p>
          <w:p>
            <w:pPr>
              <w:pStyle w:val="1561"/>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投标人提供完整的质量控制方案，包括但不限于“第四章5.1质量控制要求”中的内容。</w:t>
            </w:r>
            <w:r>
              <w:rPr>
                <w:rFonts w:hint="eastAsia" w:ascii="宋体" w:hAnsi="宋体" w:eastAsia="宋体" w:cs="宋体"/>
                <w:bCs/>
                <w:sz w:val="21"/>
                <w:szCs w:val="21"/>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质量方案完整、管控程序完备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贴合项目实际、针对性强</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质量方案较为完整、管控程序较为完备</w:t>
            </w:r>
            <w:r>
              <w:rPr>
                <w:rFonts w:hint="eastAsia" w:ascii="宋体" w:hAnsi="宋体" w:eastAsia="宋体" w:cs="宋体"/>
                <w:color w:val="000000"/>
                <w:sz w:val="21"/>
                <w:szCs w:val="21"/>
                <w:lang w:eastAsia="zh-CN"/>
              </w:rPr>
              <w:t xml:space="preserve">、针对性</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lang w:eastAsia="zh-CN"/>
              </w:rPr>
              <w:t xml:space="preserve">强的，得</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质量方案基本完整、管控程序基本完备</w:t>
            </w:r>
            <w:r>
              <w:rPr>
                <w:rFonts w:hint="eastAsia" w:ascii="宋体" w:hAnsi="宋体" w:eastAsia="宋体" w:cs="宋体"/>
                <w:color w:val="000000"/>
                <w:sz w:val="21"/>
                <w:szCs w:val="21"/>
                <w:lang w:eastAsia="zh-CN"/>
              </w:rPr>
              <w:t xml:space="preserve">、针对性</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 xml:space="preserve">不提供不得分。</w:t>
            </w:r>
            <w:r>
              <w:rPr>
                <w:rFonts w:hint="eastAsia" w:ascii="宋体" w:hAnsi="宋体" w:eastAsia="宋体" w:cs="宋体"/>
                <w:sz w:val="21"/>
                <w:szCs w:val="21"/>
                <w:lang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rPr>
              <w:t xml:space="preserve">样品管理方案</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eastAsia="zh-CN"/>
              </w:rPr>
            </w:r>
            <w:r/>
          </w:p>
          <w:p>
            <w:pPr>
              <w:pStyle w:val="1561"/>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投标人提供完整</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rPr>
              <w:t xml:space="preserve">样品管理方案，包括但不限于“第四章5.2样品管理要求”中的内容。</w:t>
            </w:r>
            <w:r>
              <w:rPr>
                <w:rFonts w:hint="eastAsia" w:ascii="宋体" w:hAnsi="宋体" w:eastAsia="宋体" w:cs="宋体"/>
                <w:bCs/>
                <w:sz w:val="21"/>
                <w:szCs w:val="21"/>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样品管理</w:t>
            </w:r>
            <w:r>
              <w:rPr>
                <w:rFonts w:hint="eastAsia" w:ascii="宋体" w:hAnsi="宋体" w:eastAsia="宋体" w:cs="宋体"/>
                <w:color w:val="000000"/>
                <w:sz w:val="21"/>
                <w:szCs w:val="21"/>
              </w:rPr>
              <w:t xml:space="preserve">方式</w:t>
            </w:r>
            <w:r>
              <w:rPr>
                <w:rFonts w:hint="eastAsia" w:ascii="宋体" w:hAnsi="宋体" w:eastAsia="宋体" w:cs="宋体"/>
                <w:color w:val="000000"/>
                <w:sz w:val="21"/>
                <w:szCs w:val="21"/>
                <w:lang w:eastAsia="zh-CN"/>
              </w:rPr>
              <w:t xml:space="preserve">、样品作业方法</w:t>
            </w:r>
            <w:r>
              <w:rPr>
                <w:rFonts w:hint="eastAsia" w:ascii="宋体" w:hAnsi="宋体" w:eastAsia="宋体" w:cs="宋体"/>
                <w:color w:val="000000"/>
                <w:sz w:val="21"/>
                <w:szCs w:val="21"/>
                <w:lang w:val="en-US" w:eastAsia="zh-CN"/>
              </w:rPr>
              <w:t xml:space="preserve">科学</w:t>
            </w:r>
            <w:r>
              <w:rPr>
                <w:rFonts w:hint="eastAsia" w:ascii="宋体" w:hAnsi="宋体" w:eastAsia="宋体" w:cs="宋体"/>
                <w:color w:val="000000"/>
                <w:sz w:val="21"/>
                <w:szCs w:val="21"/>
                <w:lang w:eastAsia="zh-CN"/>
              </w:rPr>
              <w:t xml:space="preserve">合理、贴合项目样品管控需求、针对性强的，得</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样品管理</w:t>
            </w:r>
            <w:r>
              <w:rPr>
                <w:rFonts w:hint="eastAsia" w:ascii="宋体" w:hAnsi="宋体" w:eastAsia="宋体" w:cs="宋体"/>
                <w:color w:val="000000"/>
                <w:sz w:val="21"/>
                <w:szCs w:val="21"/>
              </w:rPr>
              <w:t xml:space="preserve">方式</w:t>
            </w:r>
            <w:r>
              <w:rPr>
                <w:rFonts w:hint="eastAsia" w:ascii="宋体" w:hAnsi="宋体" w:eastAsia="宋体" w:cs="宋体"/>
                <w:color w:val="000000"/>
                <w:sz w:val="21"/>
                <w:szCs w:val="21"/>
                <w:lang w:eastAsia="zh-CN"/>
              </w:rPr>
              <w:t xml:space="preserve">、样品作业方法较为合理、</w:t>
            </w:r>
            <w:r>
              <w:rPr>
                <w:rFonts w:hint="eastAsia" w:ascii="宋体" w:hAnsi="宋体" w:eastAsia="宋体" w:cs="宋体"/>
                <w:color w:val="000000"/>
                <w:sz w:val="21"/>
                <w:szCs w:val="21"/>
                <w:lang w:val="en-US" w:eastAsia="zh-CN"/>
              </w:rPr>
              <w:t xml:space="preserve">较为贴合项目需求、</w:t>
            </w:r>
            <w:r>
              <w:rPr>
                <w:rFonts w:hint="eastAsia" w:ascii="宋体" w:hAnsi="宋体" w:eastAsia="宋体" w:cs="宋体"/>
                <w:color w:val="000000"/>
                <w:sz w:val="21"/>
                <w:szCs w:val="21"/>
                <w:lang w:eastAsia="zh-CN"/>
              </w:rPr>
              <w:t xml:space="preserve">针对性较强的，得</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样品管理</w:t>
            </w:r>
            <w:r>
              <w:rPr>
                <w:rFonts w:hint="eastAsia" w:ascii="宋体" w:hAnsi="宋体" w:eastAsia="宋体" w:cs="宋体"/>
                <w:color w:val="000000"/>
                <w:sz w:val="21"/>
                <w:szCs w:val="21"/>
              </w:rPr>
              <w:t xml:space="preserve">方式</w:t>
            </w:r>
            <w:r>
              <w:rPr>
                <w:rFonts w:hint="eastAsia" w:ascii="宋体" w:hAnsi="宋体" w:eastAsia="宋体" w:cs="宋体"/>
                <w:color w:val="000000"/>
                <w:sz w:val="21"/>
                <w:szCs w:val="21"/>
                <w:lang w:eastAsia="zh-CN"/>
              </w:rPr>
              <w:t xml:space="preserve">、样品作业方法基本合理、</w:t>
            </w:r>
            <w:r>
              <w:rPr>
                <w:rFonts w:hint="eastAsia" w:ascii="宋体" w:hAnsi="宋体" w:eastAsia="宋体" w:cs="宋体"/>
                <w:color w:val="000000"/>
                <w:sz w:val="21"/>
                <w:szCs w:val="21"/>
                <w:lang w:val="en-US" w:eastAsia="zh-CN"/>
              </w:rPr>
              <w:t xml:space="preserve">基本贴合项目需求、</w:t>
            </w:r>
            <w:r>
              <w:rPr>
                <w:rFonts w:hint="eastAsia" w:ascii="宋体" w:hAnsi="宋体" w:eastAsia="宋体" w:cs="宋体"/>
                <w:color w:val="000000"/>
                <w:sz w:val="21"/>
                <w:szCs w:val="21"/>
                <w:lang w:eastAsia="zh-CN"/>
              </w:rPr>
              <w:t xml:space="preserve">针对性一般的，得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不提供不得分。</w:t>
            </w:r>
            <w:r>
              <w:rPr>
                <w:rFonts w:hint="eastAsia" w:ascii="宋体" w:hAnsi="宋体" w:eastAsia="宋体" w:cs="宋体"/>
                <w:sz w:val="21"/>
                <w:szCs w:val="21"/>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rPr>
              <w:t xml:space="preserve">文件管理方案</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eastAsia="zh-CN"/>
              </w:rPr>
            </w:r>
            <w:r/>
          </w:p>
          <w:p>
            <w:pPr>
              <w:pStyle w:val="1561"/>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投标人提供完整的文件管理方案，包括但不限于“第四章5.3文件管理要求”中的内容。</w:t>
            </w:r>
            <w:r>
              <w:rPr>
                <w:rFonts w:hint="eastAsia" w:ascii="宋体" w:hAnsi="宋体" w:eastAsia="宋体" w:cs="宋体"/>
                <w:bCs/>
                <w:sz w:val="21"/>
                <w:szCs w:val="21"/>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文件管理体系完整、程序运行</w:t>
            </w:r>
            <w:r>
              <w:rPr>
                <w:rFonts w:hint="eastAsia" w:ascii="宋体" w:hAnsi="宋体" w:eastAsia="宋体" w:cs="宋体"/>
                <w:color w:val="000000"/>
                <w:sz w:val="21"/>
                <w:szCs w:val="21"/>
                <w:lang w:eastAsia="zh-CN"/>
              </w:rPr>
              <w:t xml:space="preserve">合理、贴合项目管理要求、针对性强的，得</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文件管理体系</w:t>
            </w:r>
            <w:r>
              <w:rPr>
                <w:rFonts w:hint="eastAsia" w:ascii="宋体" w:hAnsi="宋体" w:eastAsia="宋体" w:cs="宋体"/>
                <w:color w:val="000000"/>
                <w:sz w:val="21"/>
                <w:szCs w:val="21"/>
                <w:lang w:eastAsia="zh-CN"/>
              </w:rPr>
              <w:t xml:space="preserve">较为</w:t>
            </w:r>
            <w:r>
              <w:rPr>
                <w:rFonts w:hint="eastAsia" w:ascii="宋体" w:hAnsi="宋体" w:eastAsia="宋体" w:cs="宋体"/>
                <w:color w:val="000000"/>
                <w:sz w:val="21"/>
                <w:szCs w:val="21"/>
                <w:lang w:val="en-US" w:eastAsia="zh-CN"/>
              </w:rPr>
              <w:t xml:space="preserve">完整、程序运行</w:t>
            </w:r>
            <w:r>
              <w:rPr>
                <w:rFonts w:hint="eastAsia" w:ascii="宋体" w:hAnsi="宋体" w:eastAsia="宋体" w:cs="宋体"/>
                <w:color w:val="000000"/>
                <w:sz w:val="21"/>
                <w:szCs w:val="21"/>
                <w:lang w:eastAsia="zh-CN"/>
              </w:rPr>
              <w:t xml:space="preserve">较为合理、</w:t>
            </w:r>
            <w:r>
              <w:rPr>
                <w:rFonts w:hint="eastAsia" w:ascii="宋体" w:hAnsi="宋体" w:eastAsia="宋体" w:cs="宋体"/>
                <w:color w:val="000000"/>
                <w:sz w:val="21"/>
                <w:szCs w:val="21"/>
                <w:lang w:val="en-US" w:eastAsia="zh-CN"/>
              </w:rPr>
              <w:t xml:space="preserve">较为</w:t>
            </w:r>
            <w:r>
              <w:rPr>
                <w:rFonts w:hint="eastAsia" w:ascii="宋体" w:hAnsi="宋体" w:eastAsia="宋体" w:cs="宋体"/>
                <w:color w:val="000000"/>
                <w:sz w:val="21"/>
                <w:szCs w:val="21"/>
                <w:lang w:eastAsia="zh-CN"/>
              </w:rPr>
              <w:t xml:space="preserve">贴合项目管理要求、针对性较强的，得</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文件管理体系</w:t>
            </w:r>
            <w:r>
              <w:rPr>
                <w:rFonts w:hint="eastAsia" w:ascii="宋体" w:hAnsi="宋体" w:eastAsia="宋体" w:cs="宋体"/>
                <w:color w:val="000000"/>
                <w:sz w:val="21"/>
                <w:szCs w:val="21"/>
                <w:lang w:eastAsia="zh-CN"/>
              </w:rPr>
              <w:t xml:space="preserve">基本</w:t>
            </w:r>
            <w:r>
              <w:rPr>
                <w:rFonts w:hint="eastAsia" w:ascii="宋体" w:hAnsi="宋体" w:eastAsia="宋体" w:cs="宋体"/>
                <w:color w:val="000000"/>
                <w:sz w:val="21"/>
                <w:szCs w:val="21"/>
                <w:lang w:val="en-US" w:eastAsia="zh-CN"/>
              </w:rPr>
              <w:t xml:space="preserve">完整、程序运行</w:t>
            </w:r>
            <w:r>
              <w:rPr>
                <w:rFonts w:hint="eastAsia" w:ascii="宋体" w:hAnsi="宋体" w:eastAsia="宋体" w:cs="宋体"/>
                <w:color w:val="000000"/>
                <w:sz w:val="21"/>
                <w:szCs w:val="21"/>
                <w:lang w:eastAsia="zh-CN"/>
              </w:rPr>
              <w:t xml:space="preserve">基本合理、</w:t>
            </w:r>
            <w:r>
              <w:rPr>
                <w:rFonts w:hint="eastAsia" w:ascii="宋体" w:hAnsi="宋体" w:eastAsia="宋体" w:cs="宋体"/>
                <w:color w:val="000000"/>
                <w:sz w:val="21"/>
                <w:szCs w:val="21"/>
                <w:lang w:val="en-US" w:eastAsia="zh-CN"/>
              </w:rPr>
              <w:t xml:space="preserve">基本</w:t>
            </w:r>
            <w:r>
              <w:rPr>
                <w:rFonts w:hint="eastAsia" w:ascii="宋体" w:hAnsi="宋体" w:eastAsia="宋体" w:cs="宋体"/>
                <w:color w:val="000000"/>
                <w:sz w:val="21"/>
                <w:szCs w:val="21"/>
                <w:lang w:eastAsia="zh-CN"/>
              </w:rPr>
              <w:t xml:space="preserve">贴合项目管理要求、针对性一般的，得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lang w:val="en-US" w:eastAsia="zh-CN"/>
              </w:rPr>
            </w:r>
            <w:r/>
          </w:p>
          <w:p>
            <w:pPr>
              <w:pStyle w:val="1572"/>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 xml:space="preserve">不提供不得分。</w:t>
            </w:r>
            <w:r>
              <w:rPr>
                <w:rFonts w:hint="eastAsia" w:ascii="宋体" w:hAnsi="宋体" w:eastAsia="宋体" w:cs="宋体"/>
                <w:sz w:val="21"/>
                <w:szCs w:val="21"/>
                <w:lang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rPr>
              <w:t xml:space="preserve">检测保密方案</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eastAsia="zh-CN"/>
              </w:rPr>
            </w:r>
            <w:r/>
          </w:p>
          <w:p>
            <w:pPr>
              <w:pStyle w:val="1561"/>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投标人提供完整的检测保密方案，包括但不限于“第四章5.4检测保密要求”中的内容。</w:t>
            </w:r>
            <w:r>
              <w:rPr>
                <w:rFonts w:hint="eastAsia" w:ascii="宋体" w:hAnsi="宋体" w:eastAsia="宋体" w:cs="宋体"/>
                <w:bCs/>
                <w:sz w:val="21"/>
                <w:szCs w:val="21"/>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检测保密制度体系完整、管控方案科学合理、贴合项目保密要求、针对性强</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检测保密制度体系较为完整、管控方案较为科学合理、较为贴合项目保密要求、针对性较强</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检测保密制度体系基本完整、管控方案基本科学合理、基本贴合项目保密要求、针对性一般</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lang w:val="en-US" w:eastAsia="zh-CN"/>
              </w:rPr>
            </w:r>
            <w:r/>
          </w:p>
          <w:p>
            <w:pPr>
              <w:pStyle w:val="1561"/>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eastAsia="宋体" w:cs="宋体"/>
                <w:color w:val="000000"/>
                <w:sz w:val="21"/>
                <w:szCs w:val="21"/>
                <w:lang w:eastAsia="zh-CN"/>
              </w:rPr>
              <w:t xml:space="preserve">不提供不得分。</w:t>
            </w:r>
            <w:r>
              <w:rPr>
                <w:rFonts w:hint="eastAsia" w:ascii="宋体" w:hAnsi="宋体" w:eastAsia="宋体" w:cs="宋体"/>
                <w:bCs/>
                <w:sz w:val="21"/>
                <w:szCs w:val="21"/>
                <w:lang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c>
          <w:tcPr>
            <w:tcW w:w="75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20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Cs w:val="0"/>
                <w:sz w:val="21"/>
                <w:szCs w:val="21"/>
              </w:rPr>
              <w:t xml:space="preserve">服务响应与交付时效</w:t>
            </w:r>
            <w:r>
              <w:rPr>
                <w:rFonts w:hint="eastAsia" w:ascii="宋体" w:hAnsi="宋体" w:eastAsia="宋体" w:cs="宋体"/>
                <w:b w:val="0"/>
                <w:bCs w:val="0"/>
                <w:sz w:val="21"/>
                <w:szCs w:val="21"/>
                <w:vertAlign w:val="baseline"/>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任务快速响应时效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zh-CN"/>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投标人须提供</w:t>
            </w:r>
            <w:r>
              <w:rPr>
                <w:rFonts w:hint="eastAsia" w:ascii="宋体" w:hAnsi="宋体" w:eastAsia="宋体" w:cs="宋体"/>
                <w:b/>
                <w:bCs w:val="0"/>
                <w:sz w:val="21"/>
                <w:szCs w:val="21"/>
              </w:rPr>
              <w:t xml:space="preserve">承诺书</w:t>
            </w:r>
            <w:r>
              <w:rPr>
                <w:rFonts w:hint="eastAsia" w:ascii="宋体" w:hAnsi="宋体" w:eastAsia="宋体" w:cs="宋体"/>
                <w:bCs/>
                <w:sz w:val="21"/>
                <w:szCs w:val="21"/>
              </w:rPr>
              <w:t xml:space="preserve">，承诺并佐证其任务快速响应能力。评分标准如下：</w:t>
            </w:r>
            <w:r>
              <w:rPr>
                <w:rFonts w:hint="eastAsia" w:ascii="宋体" w:hAnsi="宋体" w:eastAsia="宋体" w:cs="宋体"/>
                <w:bCs/>
                <w:sz w:val="21"/>
                <w:szCs w:val="21"/>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（1）接到任务后4小时内派员抵达现场配合抽查工作的，得3分；</w:t>
            </w:r>
            <w:r>
              <w:rPr>
                <w:rFonts w:hint="eastAsia" w:ascii="宋体" w:hAnsi="宋体" w:eastAsia="宋体" w:cs="宋体"/>
                <w:bCs/>
                <w:sz w:val="21"/>
                <w:szCs w:val="21"/>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（2）接到任务后4～8小时内派员抵达现场配合抽查工作的，得2分；</w:t>
            </w:r>
            <w:r>
              <w:rPr>
                <w:rFonts w:hint="eastAsia" w:ascii="宋体" w:hAnsi="宋体" w:eastAsia="宋体" w:cs="宋体"/>
                <w:bCs/>
                <w:sz w:val="21"/>
                <w:szCs w:val="21"/>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（3）接到任务后8～12小时内派员抵达现场配合抽查工作的，得1分；</w:t>
            </w:r>
            <w:r>
              <w:rPr>
                <w:rFonts w:hint="eastAsia" w:ascii="宋体" w:hAnsi="宋体" w:eastAsia="宋体" w:cs="宋体"/>
                <w:bCs/>
                <w:sz w:val="21"/>
                <w:szCs w:val="21"/>
              </w:rPr>
            </w:r>
            <w:r/>
          </w:p>
          <w:p>
            <w:pPr>
              <w:pStyle w:val="1638"/>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bCs/>
                <w:sz w:val="21"/>
                <w:szCs w:val="21"/>
              </w:rPr>
              <w:t xml:space="preserve">响应时间超过12小时的，本项不得分。</w:t>
            </w:r>
            <w:r>
              <w:rPr>
                <w:rFonts w:hint="eastAsia" w:ascii="宋体" w:hAnsi="宋体" w:eastAsia="宋体" w:cs="宋体"/>
                <w:sz w:val="21"/>
                <w:szCs w:val="21"/>
                <w:lang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rPr>
              <w:t xml:space="preserve">样品运输保障时效</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eastAsia="zh-CN"/>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投标人须提供</w:t>
            </w:r>
            <w:r>
              <w:rPr>
                <w:rFonts w:hint="eastAsia" w:ascii="宋体" w:hAnsi="宋体" w:eastAsia="宋体" w:cs="宋体"/>
                <w:b/>
                <w:bCs w:val="0"/>
                <w:sz w:val="21"/>
                <w:szCs w:val="21"/>
              </w:rPr>
              <w:t xml:space="preserve">承诺书</w:t>
            </w:r>
            <w:r>
              <w:rPr>
                <w:rFonts w:hint="eastAsia" w:ascii="宋体" w:hAnsi="宋体" w:eastAsia="宋体" w:cs="宋体"/>
                <w:bCs/>
                <w:sz w:val="21"/>
                <w:szCs w:val="21"/>
              </w:rPr>
              <w:t xml:space="preserve">，承诺并证明样品运输保障能力，确保现场抽取样品可安全送检。评分标准如下：</w:t>
            </w:r>
            <w:r>
              <w:rPr>
                <w:rFonts w:hint="eastAsia" w:ascii="宋体" w:hAnsi="宋体" w:eastAsia="宋体" w:cs="宋体"/>
                <w:bCs/>
                <w:sz w:val="21"/>
                <w:szCs w:val="21"/>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（1）样品6小时车程内可送达的，得3分；</w:t>
            </w:r>
            <w:r>
              <w:rPr>
                <w:rFonts w:hint="eastAsia" w:ascii="宋体" w:hAnsi="宋体" w:eastAsia="宋体" w:cs="宋体"/>
                <w:bCs/>
                <w:sz w:val="21"/>
                <w:szCs w:val="21"/>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（2）样品6～12小时车程内可送达的，得2分；</w:t>
            </w:r>
            <w:r>
              <w:rPr>
                <w:rFonts w:hint="eastAsia" w:ascii="宋体" w:hAnsi="宋体" w:eastAsia="宋体" w:cs="宋体"/>
                <w:bCs/>
                <w:sz w:val="21"/>
                <w:szCs w:val="21"/>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（3）样品12～24小时车程内可送达的，得1分；</w:t>
            </w:r>
            <w:r>
              <w:rPr>
                <w:rFonts w:hint="eastAsia" w:ascii="宋体" w:hAnsi="宋体" w:eastAsia="宋体" w:cs="宋体"/>
                <w:bCs/>
                <w:sz w:val="21"/>
                <w:szCs w:val="21"/>
              </w:rPr>
            </w:r>
            <w:r/>
          </w:p>
          <w:p>
            <w:pPr>
              <w:pStyle w:val="1638"/>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bCs/>
                <w:sz w:val="21"/>
                <w:szCs w:val="21"/>
              </w:rPr>
              <w:t xml:space="preserve">车程超过24小时的，本项不得分。</w:t>
            </w:r>
            <w:r>
              <w:rPr>
                <w:rFonts w:hint="eastAsia" w:ascii="宋体" w:hAnsi="宋体" w:eastAsia="宋体" w:cs="宋体"/>
                <w:sz w:val="21"/>
                <w:szCs w:val="21"/>
                <w:lang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检测及验收材料交付时效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zh-CN"/>
              </w:rPr>
            </w:r>
            <w:r/>
          </w:p>
          <w:p>
            <w:pPr>
              <w:pStyle w:val="1561"/>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投标人须提供书面</w:t>
            </w:r>
            <w:r>
              <w:rPr>
                <w:rFonts w:hint="eastAsia" w:ascii="宋体" w:hAnsi="宋体" w:eastAsia="宋体" w:cs="宋体"/>
                <w:b/>
                <w:bCs w:val="0"/>
                <w:sz w:val="21"/>
                <w:szCs w:val="21"/>
              </w:rPr>
              <w:t xml:space="preserve">承诺书</w:t>
            </w:r>
            <w:r>
              <w:rPr>
                <w:rFonts w:hint="eastAsia" w:ascii="宋体" w:hAnsi="宋体" w:eastAsia="宋体" w:cs="宋体"/>
                <w:bCs/>
                <w:sz w:val="21"/>
                <w:szCs w:val="21"/>
              </w:rPr>
              <w:t xml:space="preserve">，承诺并佐证具备相应服务时效能力：现场抽样后15日内完成检测并出具CMA检测报告，且于2027年4月底前提交本年度项目验收材料。</w:t>
            </w:r>
            <w:r>
              <w:rPr>
                <w:rFonts w:hint="eastAsia" w:ascii="宋体" w:hAnsi="宋体" w:eastAsia="宋体" w:cs="宋体"/>
                <w:bCs/>
                <w:sz w:val="21"/>
                <w:szCs w:val="21"/>
              </w:rPr>
            </w:r>
            <w:r/>
          </w:p>
          <w:p>
            <w:pPr>
              <w:pStyle w:val="1638"/>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bCs/>
                <w:sz w:val="21"/>
                <w:szCs w:val="21"/>
              </w:rPr>
              <w:t xml:space="preserve">完全满足上述全部要求的得3分；仅满足其中</w:t>
            </w:r>
            <w:r>
              <w:rPr>
                <w:rFonts w:hint="eastAsia" w:ascii="宋体" w:hAnsi="宋体" w:eastAsia="宋体" w:cs="宋体"/>
                <w:bCs/>
                <w:sz w:val="21"/>
                <w:szCs w:val="21"/>
                <w:lang w:val="en-US" w:eastAsia="zh-CN"/>
              </w:rPr>
              <w:t xml:space="preserve">一</w:t>
            </w:r>
            <w:r>
              <w:rPr>
                <w:rFonts w:hint="eastAsia" w:ascii="宋体" w:hAnsi="宋体" w:eastAsia="宋体" w:cs="宋体"/>
                <w:bCs/>
                <w:sz w:val="21"/>
                <w:szCs w:val="21"/>
              </w:rPr>
              <w:t xml:space="preserve">项时效要求，得</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rPr>
              <w:t xml:space="preserve">分；均不满足不得分。</w:t>
            </w:r>
            <w:r>
              <w:rPr>
                <w:rFonts w:hint="eastAsia" w:ascii="宋体" w:hAnsi="宋体" w:eastAsia="宋体" w:cs="宋体"/>
                <w:sz w:val="21"/>
                <w:szCs w:val="21"/>
                <w:lang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r>
      <w:tr>
        <w:trPr/>
        <w:tc>
          <w:tcPr>
            <w:tcW w:w="75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20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rPr>
              <w:t xml:space="preserve">留样监控场地</w:t>
            </w: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jc w:val="left"/>
              <w:keepLines w:val="0"/>
              <w:keepNext w:val="0"/>
              <w:pageBreakBefore w:val="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投标人拥有专用的、安全的场地，专门用来存放并实时监控抽检样品</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561"/>
              <w:jc w:val="left"/>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场地面积</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300平米的，得4分；</w:t>
            </w:r>
            <w:r>
              <w:rPr>
                <w:rFonts w:hint="eastAsia" w:ascii="宋体" w:hAnsi="宋体" w:eastAsia="宋体" w:cs="宋体"/>
                <w:bCs/>
                <w:sz w:val="21"/>
                <w:szCs w:val="21"/>
              </w:rPr>
            </w:r>
            <w:r/>
          </w:p>
          <w:p>
            <w:pPr>
              <w:pStyle w:val="1561"/>
              <w:jc w:val="left"/>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300平米</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场地面积</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200平米的，得3分；</w:t>
            </w:r>
            <w:r>
              <w:rPr>
                <w:rFonts w:hint="eastAsia" w:ascii="宋体" w:hAnsi="宋体" w:eastAsia="宋体" w:cs="宋体"/>
                <w:bCs/>
                <w:sz w:val="21"/>
                <w:szCs w:val="21"/>
              </w:rPr>
            </w:r>
            <w:r/>
          </w:p>
          <w:p>
            <w:pPr>
              <w:pStyle w:val="1561"/>
              <w:jc w:val="left"/>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200平米</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场地面积</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100平米的，得2分；</w:t>
            </w:r>
            <w:r>
              <w:rPr>
                <w:rFonts w:hint="eastAsia" w:ascii="宋体" w:hAnsi="宋体" w:eastAsia="宋体" w:cs="宋体"/>
                <w:bCs/>
                <w:sz w:val="21"/>
                <w:szCs w:val="21"/>
              </w:rPr>
            </w:r>
            <w:r/>
          </w:p>
          <w:p>
            <w:pPr>
              <w:pStyle w:val="1561"/>
              <w:jc w:val="left"/>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场地面积</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100平米的，得1分。</w:t>
            </w:r>
            <w:r>
              <w:rPr>
                <w:rFonts w:hint="eastAsia" w:ascii="宋体" w:hAnsi="宋体" w:eastAsia="宋体" w:cs="宋体"/>
                <w:bCs/>
                <w:sz w:val="21"/>
                <w:szCs w:val="21"/>
              </w:rPr>
            </w:r>
            <w:r/>
          </w:p>
          <w:p>
            <w:pPr>
              <w:pStyle w:val="1561"/>
              <w:keepLines w:val="0"/>
              <w:keepNext w:val="0"/>
              <w:pageBreakBefore w:val="0"/>
              <w:spacing w:line="360" w:lineRule="auto"/>
              <w:rPr>
                <w:rFonts w:hint="eastAsia" w:ascii="宋体" w:hAnsi="宋体" w:eastAsia="宋体" w:cs="宋体"/>
                <w:b/>
                <w:bCs/>
                <w:sz w:val="21"/>
                <w:szCs w:val="21"/>
                <w:vertAlign w:val="baseline"/>
              </w:rPr>
            </w:pPr>
            <w:r>
              <w:rPr>
                <w:rFonts w:hint="eastAsia" w:ascii="宋体" w:hAnsi="宋体" w:eastAsia="宋体" w:cs="宋体"/>
                <w:b/>
                <w:sz w:val="21"/>
                <w:szCs w:val="21"/>
                <w:highlight w:val="none"/>
              </w:rPr>
              <w:t xml:space="preserve">（需提供停车地产权证明材料，租赁场地需提供租赁合同复印件及对应</w:t>
            </w:r>
            <w:r>
              <w:rPr>
                <w:rFonts w:hint="eastAsia" w:ascii="宋体" w:hAnsi="宋体" w:eastAsia="宋体" w:cs="宋体"/>
                <w:b/>
                <w:sz w:val="21"/>
                <w:szCs w:val="21"/>
                <w:highlight w:val="none"/>
                <w:lang w:val="en-US" w:eastAsia="zh-CN"/>
              </w:rPr>
              <w:t xml:space="preserve">出租人</w:t>
            </w:r>
            <w:r>
              <w:rPr>
                <w:rFonts w:hint="eastAsia" w:ascii="宋体" w:hAnsi="宋体" w:eastAsia="宋体" w:cs="宋体"/>
                <w:b/>
                <w:sz w:val="21"/>
                <w:szCs w:val="21"/>
                <w:highlight w:val="none"/>
              </w:rPr>
              <w:t xml:space="preserve">的产权证明，实时监控证明）</w:t>
            </w:r>
            <w:r>
              <w:rPr>
                <w:rFonts w:hint="eastAsia" w:ascii="宋体" w:hAnsi="宋体" w:eastAsia="宋体" w:cs="宋体"/>
                <w:b/>
                <w:bCs/>
                <w:sz w:val="21"/>
                <w:szCs w:val="21"/>
                <w:vertAlign w:val="baseline"/>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rHeight w:val="2611"/>
        </w:trPr>
        <w:tc>
          <w:tcPr>
            <w:tcW w:w="75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20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rPr>
              <w:t xml:space="preserve">测试资源</w:t>
            </w: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投标人</w:t>
            </w:r>
            <w:r>
              <w:rPr>
                <w:rFonts w:hint="eastAsia" w:ascii="宋体" w:hAnsi="宋体" w:eastAsia="宋体" w:cs="宋体"/>
                <w:bCs/>
                <w:color w:val="000000"/>
                <w:sz w:val="21"/>
                <w:szCs w:val="21"/>
                <w:lang w:val="en-US" w:eastAsia="zh-CN"/>
              </w:rPr>
              <w:t xml:space="preserve">每满足1套符合</w:t>
            </w:r>
            <w:r>
              <w:rPr>
                <w:rFonts w:hint="eastAsia" w:ascii="宋体" w:hAnsi="宋体" w:eastAsia="宋体" w:cs="宋体"/>
                <w:bCs/>
                <w:color w:val="000000"/>
                <w:sz w:val="21"/>
                <w:szCs w:val="21"/>
              </w:rPr>
              <w:t xml:space="preserve">第四章4.5中表4-4-1要求的PEMS检测设备得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val="en-US" w:eastAsia="zh-CN"/>
              </w:rPr>
              <w:t xml:space="preserve">最高得4分</w:t>
            </w:r>
            <w:r>
              <w:rPr>
                <w:rFonts w:hint="eastAsia" w:ascii="宋体" w:hAnsi="宋体" w:eastAsia="宋体" w:cs="宋体"/>
                <w:bCs/>
                <w:color w:val="000000"/>
                <w:sz w:val="21"/>
                <w:szCs w:val="21"/>
              </w:rPr>
              <w:t xml:space="preserve">。</w:t>
            </w:r>
            <w:r>
              <w:rPr>
                <w:rFonts w:hint="eastAsia" w:ascii="宋体" w:hAnsi="宋体" w:eastAsia="宋体" w:cs="宋体"/>
                <w:b/>
                <w:color w:val="000000"/>
                <w:sz w:val="21"/>
                <w:szCs w:val="21"/>
              </w:rPr>
              <w:t xml:space="preserve">（需提供设备台账、出厂编号以及检定校准证书等证明文件）</w:t>
            </w:r>
            <w:r>
              <w:rPr>
                <w:rFonts w:hint="eastAsia" w:ascii="宋体" w:hAnsi="宋体" w:eastAsia="宋体" w:cs="宋体"/>
                <w:bCs/>
                <w:color w:val="000000"/>
                <w:sz w:val="21"/>
                <w:szCs w:val="21"/>
              </w:rPr>
            </w:r>
            <w:r/>
          </w:p>
          <w:p>
            <w:pPr>
              <w:pStyle w:val="1561"/>
              <w:keepLines w:val="0"/>
              <w:keepNext w:val="0"/>
              <w:pageBreakBefore w:val="0"/>
              <w:spacing w:line="360" w:lineRule="auto"/>
              <w:rPr>
                <w:rFonts w:hint="eastAsia" w:ascii="宋体" w:hAnsi="宋体" w:eastAsia="宋体" w:cs="宋体"/>
                <w:b/>
                <w:bCs/>
                <w:color w:val="000000"/>
                <w:sz w:val="21"/>
                <w:szCs w:val="21"/>
                <w:vertAlign w:val="baseline"/>
              </w:rPr>
            </w:pP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投标人发动机检测设备满足第四章4.</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中表4-4-2要求的，</w:t>
            </w:r>
            <w:r>
              <w:rPr>
                <w:rFonts w:hint="eastAsia" w:ascii="宋体" w:hAnsi="宋体" w:eastAsia="宋体" w:cs="宋体"/>
                <w:bCs/>
                <w:color w:val="000000"/>
                <w:sz w:val="21"/>
                <w:szCs w:val="21"/>
                <w:lang w:val="en-US" w:eastAsia="zh-CN"/>
              </w:rPr>
              <w:t xml:space="preserve">每满足</w:t>
            </w:r>
            <w:r>
              <w:rPr>
                <w:rFonts w:hint="eastAsia" w:ascii="宋体" w:hAnsi="宋体" w:eastAsia="宋体" w:cs="宋体"/>
                <w:bCs/>
                <w:color w:val="000000"/>
                <w:sz w:val="21"/>
                <w:szCs w:val="21"/>
              </w:rPr>
              <w:t xml:space="preserve">1套仪器设备</w:t>
            </w:r>
            <w:r>
              <w:rPr>
                <w:rFonts w:hint="eastAsia" w:ascii="宋体" w:hAnsi="宋体" w:eastAsia="宋体" w:cs="宋体"/>
                <w:bCs/>
                <w:color w:val="000000"/>
                <w:sz w:val="21"/>
                <w:szCs w:val="21"/>
                <w:lang w:val="en-US" w:eastAsia="zh-CN"/>
              </w:rPr>
              <w:t xml:space="preserve">得</w:t>
            </w:r>
            <w:r>
              <w:rPr>
                <w:rFonts w:hint="eastAsia" w:ascii="宋体" w:hAnsi="宋体" w:eastAsia="宋体" w:cs="宋体"/>
                <w:bCs/>
                <w:color w:val="000000"/>
                <w:sz w:val="21"/>
                <w:szCs w:val="21"/>
              </w:rPr>
              <w:t xml:space="preserve">1分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不满足不得分，最高得6分。</w:t>
            </w:r>
            <w:r>
              <w:rPr>
                <w:rFonts w:hint="eastAsia" w:ascii="宋体" w:hAnsi="宋体" w:eastAsia="宋体" w:cs="宋体"/>
                <w:b/>
                <w:color w:val="000000"/>
                <w:sz w:val="21"/>
                <w:szCs w:val="21"/>
              </w:rPr>
              <w:t xml:space="preserve">（需提供设备台账、出厂编号以及检定校准证书等证明文件）</w:t>
            </w:r>
            <w:r>
              <w:rPr>
                <w:rFonts w:hint="eastAsia" w:ascii="宋体" w:hAnsi="宋体" w:eastAsia="宋体" w:cs="宋体"/>
                <w:b/>
                <w:bCs/>
                <w:color w:val="000000"/>
                <w:sz w:val="21"/>
                <w:szCs w:val="21"/>
                <w:vertAlign w:val="baseline"/>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hint="eastAsia" w:ascii="宋体" w:hAnsi="宋体" w:eastAsia="宋体" w:cs="宋体"/>
                <w:b w:val="0"/>
                <w:bCs w:val="0"/>
                <w:sz w:val="21"/>
                <w:szCs w:val="21"/>
                <w:vertAlign w:val="baseline"/>
                <w:lang w:val="en-US" w:eastAsia="zh-CN"/>
              </w:rPr>
            </w:r>
            <w:r/>
          </w:p>
        </w:tc>
      </w:tr>
      <w:tr>
        <w:trPr>
          <w:trHeight w:val="809"/>
        </w:trPr>
        <w:tc>
          <w:tcPr>
            <w:tcW w:w="75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tcW w:w="120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履约能力</w:t>
            </w: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投标人具备GB18352.6-2016、GB17691-2018</w:t>
            </w:r>
            <w:r>
              <w:rPr>
                <w:rFonts w:hint="eastAsia" w:ascii="宋体" w:hAnsi="宋体" w:eastAsia="宋体" w:cs="宋体"/>
                <w:color w:val="000000"/>
                <w:sz w:val="21"/>
                <w:szCs w:val="21"/>
                <w:lang w:eastAsia="zh-CN"/>
              </w:rPr>
              <w:t xml:space="preserve">、HJ1014-2020、GB14622-2016</w:t>
            </w:r>
            <w:r>
              <w:rPr>
                <w:rFonts w:hint="eastAsia" w:ascii="宋体" w:hAnsi="宋体" w:eastAsia="宋体" w:cs="宋体"/>
                <w:color w:val="000000"/>
                <w:sz w:val="21"/>
                <w:szCs w:val="21"/>
              </w:rPr>
              <w:t xml:space="preserve">的检测能力的每满足1项，得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分；最高</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rPr>
              <w:t xml:space="preserve">4分。（需提供CMA证书和能力附表）</w:t>
            </w:r>
            <w:r>
              <w:rPr>
                <w:rFonts w:hint="eastAsia" w:ascii="宋体" w:hAnsi="宋体" w:eastAsia="宋体" w:cs="宋体"/>
                <w:color w:val="000000"/>
                <w:sz w:val="21"/>
                <w:szCs w:val="21"/>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rHeight w:val="809"/>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sz w:val="21"/>
                <w:szCs w:val="21"/>
                <w:vertAlign w:val="baseline"/>
              </w:rPr>
            </w:pPr>
            <w:r>
              <w:rPr>
                <w:rFonts w:hint="eastAsia" w:ascii="宋体" w:hAnsi="宋体" w:eastAsia="宋体" w:cs="宋体"/>
                <w:sz w:val="21"/>
                <w:szCs w:val="21"/>
              </w:rPr>
              <w:t xml:space="preserve">投标人配备移动源专用信息管理系统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可</w:t>
            </w:r>
            <w:r>
              <w:rPr>
                <w:rFonts w:hint="eastAsia" w:ascii="宋体" w:hAnsi="宋体" w:eastAsia="宋体" w:cs="宋体"/>
                <w:sz w:val="21"/>
                <w:szCs w:val="21"/>
                <w:lang w:eastAsia="zh-CN"/>
              </w:rPr>
              <w:t xml:space="preserve">对环保信息公开查验、OBD核查等现场核验资料统一上传归集、分类建档、规范管理，实现信息随时检索调阅）</w:t>
            </w:r>
            <w:r>
              <w:rPr>
                <w:rFonts w:hint="eastAsia" w:ascii="宋体" w:hAnsi="宋体" w:eastAsia="宋体" w:cs="宋体"/>
                <w:sz w:val="21"/>
                <w:szCs w:val="21"/>
              </w:rPr>
              <w:t xml:space="preserve">的得4分，没有不得分。</w:t>
            </w:r>
            <w:r>
              <w:rPr>
                <w:rFonts w:hint="eastAsia" w:ascii="宋体" w:hAnsi="宋体" w:eastAsia="宋体" w:cs="宋体"/>
                <w:b/>
                <w:sz w:val="21"/>
                <w:szCs w:val="21"/>
              </w:rPr>
              <w:t xml:space="preserve">(需提供平台链接及平台内容截图等佐证文件)</w:t>
            </w:r>
            <w:r>
              <w:rPr>
                <w:rFonts w:hint="eastAsia" w:ascii="宋体" w:hAnsi="宋体" w:eastAsia="宋体" w:cs="宋体"/>
                <w:b/>
                <w:bCs/>
                <w:sz w:val="21"/>
                <w:szCs w:val="21"/>
                <w:vertAlign w:val="baseline"/>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sz w:val="21"/>
                <w:szCs w:val="21"/>
                <w:vertAlign w:val="baseline"/>
              </w:rPr>
            </w:pPr>
            <w:r>
              <w:rPr>
                <w:rFonts w:hint="eastAsia" w:ascii="宋体" w:hAnsi="宋体" w:eastAsia="宋体" w:cs="宋体"/>
                <w:bCs/>
                <w:sz w:val="21"/>
                <w:szCs w:val="21"/>
              </w:rPr>
              <w:t xml:space="preserve">投标人配备</w:t>
            </w:r>
            <w:r>
              <w:rPr>
                <w:rFonts w:hint="eastAsia" w:ascii="宋体" w:hAnsi="宋体" w:eastAsia="宋体" w:cs="宋体"/>
                <w:sz w:val="21"/>
                <w:szCs w:val="21"/>
              </w:rPr>
              <w:t xml:space="preserve">排放检测数据管理软件系统</w:t>
            </w:r>
            <w:r>
              <w:rPr>
                <w:rFonts w:hint="eastAsia" w:ascii="宋体" w:hAnsi="宋体" w:eastAsia="宋体" w:cs="宋体"/>
                <w:sz w:val="21"/>
                <w:szCs w:val="21"/>
                <w:lang w:eastAsia="zh-CN"/>
              </w:rPr>
              <w:t xml:space="preserve">（可实现检测数据实时采集、在线传输与安全存储，对整个试验过程全程留痕、实时监控）</w:t>
            </w:r>
            <w:r>
              <w:rPr>
                <w:rFonts w:hint="eastAsia" w:ascii="宋体" w:hAnsi="宋体" w:eastAsia="宋体" w:cs="宋体"/>
                <w:sz w:val="21"/>
                <w:szCs w:val="21"/>
              </w:rPr>
              <w:t xml:space="preserve">的得4分，没有不得分。</w:t>
            </w:r>
            <w:r>
              <w:rPr>
                <w:rFonts w:hint="eastAsia" w:ascii="宋体" w:hAnsi="宋体" w:eastAsia="宋体" w:cs="宋体"/>
                <w:b/>
                <w:sz w:val="21"/>
                <w:szCs w:val="21"/>
              </w:rPr>
              <w:t xml:space="preserve">(需提供平台内容截图等佐证文件)</w:t>
            </w:r>
            <w:r>
              <w:rPr>
                <w:rFonts w:hint="eastAsia" w:ascii="宋体" w:hAnsi="宋体" w:eastAsia="宋体" w:cs="宋体"/>
                <w:b/>
                <w:bCs/>
                <w:sz w:val="21"/>
                <w:szCs w:val="21"/>
                <w:vertAlign w:val="baseline"/>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c>
          <w:tcPr>
            <w:tcW w:w="75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tcW w:w="1205" w:type="dxa"/>
            <w:vAlign w:val="center"/>
            <w:vMerge w:val="restart"/>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rPr>
              <w:t xml:space="preserve">人员配备</w:t>
            </w: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投标人项目负责人具备汽车检测类、机电工程类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汽车工程类</w:t>
            </w:r>
            <w:r>
              <w:rPr>
                <w:rFonts w:hint="eastAsia" w:ascii="宋体" w:hAnsi="宋体" w:eastAsia="宋体" w:cs="宋体"/>
                <w:bCs/>
                <w:sz w:val="21"/>
                <w:szCs w:val="21"/>
                <w:highlight w:val="none"/>
                <w:lang w:val="en-US" w:eastAsia="zh-CN"/>
              </w:rPr>
              <w:t xml:space="preserve">相关</w:t>
            </w:r>
            <w:r>
              <w:rPr>
                <w:rFonts w:hint="eastAsia" w:ascii="宋体" w:hAnsi="宋体" w:eastAsia="宋体" w:cs="宋体"/>
                <w:bCs/>
                <w:sz w:val="21"/>
                <w:szCs w:val="21"/>
                <w:highlight w:val="none"/>
              </w:rPr>
              <w:t xml:space="preserve">高级工程师或以上职称，得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不满足不得分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561"/>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项目负责人从事汽车检测</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机电工程</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汽车工程</w:t>
            </w:r>
            <w:r>
              <w:rPr>
                <w:rFonts w:hint="eastAsia" w:ascii="宋体" w:hAnsi="宋体" w:eastAsia="宋体" w:cs="宋体"/>
                <w:bCs/>
                <w:sz w:val="21"/>
                <w:szCs w:val="21"/>
                <w:highlight w:val="none"/>
                <w:lang w:val="en-US" w:eastAsia="zh-CN"/>
              </w:rPr>
              <w:t xml:space="preserve">相关</w:t>
            </w:r>
            <w:r>
              <w:rPr>
                <w:rFonts w:hint="eastAsia" w:ascii="宋体" w:hAnsi="宋体" w:eastAsia="宋体" w:cs="宋体"/>
                <w:bCs/>
                <w:sz w:val="21"/>
                <w:szCs w:val="21"/>
                <w:highlight w:val="none"/>
              </w:rPr>
              <w:t xml:space="preserve">行业10年以上得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不满足不得分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561"/>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项目组中</w:t>
            </w:r>
            <w:r>
              <w:rPr>
                <w:rFonts w:hint="eastAsia" w:ascii="宋体" w:hAnsi="宋体" w:eastAsia="宋体" w:cs="宋体"/>
                <w:bCs/>
                <w:sz w:val="21"/>
                <w:szCs w:val="21"/>
                <w:highlight w:val="none"/>
                <w:lang w:val="en-US" w:eastAsia="zh-CN"/>
              </w:rPr>
              <w:t xml:space="preserve">提供的</w:t>
            </w:r>
            <w:r>
              <w:rPr>
                <w:rFonts w:hint="eastAsia" w:ascii="宋体" w:hAnsi="宋体" w:eastAsia="宋体" w:cs="宋体"/>
                <w:bCs/>
                <w:sz w:val="21"/>
                <w:szCs w:val="21"/>
                <w:highlight w:val="none"/>
              </w:rPr>
              <w:t xml:space="preserve">汽车检测类、机电工程类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汽车工程类</w:t>
            </w:r>
            <w:r>
              <w:rPr>
                <w:rFonts w:hint="eastAsia" w:ascii="宋体" w:hAnsi="宋体" w:eastAsia="宋体" w:cs="宋体"/>
                <w:bCs/>
                <w:sz w:val="21"/>
                <w:szCs w:val="21"/>
                <w:highlight w:val="none"/>
                <w:lang w:val="en-US" w:eastAsia="zh-CN"/>
              </w:rPr>
              <w:t xml:space="preserve">相关</w:t>
            </w:r>
            <w:r>
              <w:rPr>
                <w:rFonts w:hint="eastAsia" w:ascii="宋体" w:hAnsi="宋体" w:eastAsia="宋体" w:cs="宋体"/>
                <w:bCs/>
                <w:sz w:val="21"/>
                <w:szCs w:val="21"/>
                <w:highlight w:val="none"/>
              </w:rPr>
              <w:t xml:space="preserve">工程师或以上职称的人员总数</w:t>
            </w:r>
            <w:r>
              <w:rPr>
                <w:rFonts w:hint="eastAsia" w:ascii="宋体" w:hAnsi="宋体" w:eastAsia="宋体" w:cs="宋体"/>
                <w:bCs/>
                <w:sz w:val="21"/>
                <w:szCs w:val="21"/>
                <w:highlight w:val="none"/>
                <w:lang w:val="en-US" w:eastAsia="zh-CN"/>
              </w:rPr>
              <w:t xml:space="preserve">大于等于</w:t>
            </w:r>
            <w:r>
              <w:rPr>
                <w:rFonts w:hint="eastAsia" w:ascii="宋体" w:hAnsi="宋体" w:eastAsia="宋体" w:cs="宋体"/>
                <w:bCs/>
                <w:sz w:val="21"/>
                <w:szCs w:val="21"/>
                <w:highlight w:val="none"/>
              </w:rPr>
              <w:t xml:space="preserve">5人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得2分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不满足不得分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561"/>
              <w:keepLines w:val="0"/>
              <w:keepNext w:val="0"/>
              <w:pageBreakBefore w:val="0"/>
              <w:spacing w:line="360" w:lineRule="auto"/>
              <w:rPr>
                <w:rFonts w:hint="eastAsia" w:ascii="宋体" w:hAnsi="宋体" w:eastAsia="宋体" w:cs="宋体"/>
                <w:b/>
                <w:bCs/>
                <w:sz w:val="21"/>
                <w:szCs w:val="21"/>
                <w:highlight w:val="none"/>
                <w:vertAlign w:val="baseline"/>
              </w:rPr>
            </w:pPr>
            <w:r>
              <w:rPr>
                <w:rFonts w:hint="eastAsia" w:ascii="宋体" w:hAnsi="宋体" w:eastAsia="宋体" w:cs="宋体"/>
                <w:b/>
                <w:bCs/>
                <w:sz w:val="21"/>
                <w:szCs w:val="21"/>
                <w:highlight w:val="none"/>
              </w:rPr>
              <w:t xml:space="preserve">（需提供团队组成列表、职称证明</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履历证明</w:t>
            </w:r>
            <w:r>
              <w:rPr>
                <w:rFonts w:hint="eastAsia" w:ascii="宋体" w:hAnsi="宋体" w:eastAsia="宋体" w:cs="宋体"/>
                <w:b/>
                <w:bCs/>
                <w:sz w:val="21"/>
                <w:szCs w:val="21"/>
                <w:highlight w:val="none"/>
              </w:rPr>
              <w:t xml:space="preserve">、人员</w:t>
            </w:r>
            <w:r>
              <w:rPr>
                <w:rFonts w:hint="eastAsia" w:ascii="宋体" w:hAnsi="宋体" w:eastAsia="宋体" w:cs="宋体"/>
                <w:b/>
                <w:sz w:val="21"/>
                <w:szCs w:val="21"/>
                <w:highlight w:val="none"/>
                <w:lang w:val="en-US" w:eastAsia="zh-CN"/>
              </w:rPr>
              <w:t xml:space="preserve">在职</w:t>
            </w:r>
            <w:r>
              <w:rPr>
                <w:rFonts w:hint="eastAsia" w:ascii="宋体" w:hAnsi="宋体" w:eastAsia="宋体" w:cs="宋体"/>
                <w:b/>
                <w:bCs/>
                <w:sz w:val="21"/>
                <w:szCs w:val="21"/>
                <w:highlight w:val="none"/>
              </w:rPr>
              <w:t xml:space="preserve">证明</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包括但不限于投标单位为其缴纳的社保证明或者投标单位与其签订的劳动合同等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vertAlign w:val="baseline"/>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投标人可足额配备专业人员开展现场</w:t>
            </w:r>
            <w:r>
              <w:rPr>
                <w:rFonts w:hint="eastAsia" w:ascii="宋体" w:hAnsi="宋体" w:eastAsia="宋体" w:cs="宋体"/>
                <w:sz w:val="21"/>
                <w:szCs w:val="21"/>
                <w:highlight w:val="none"/>
                <w:lang w:val="en-US" w:eastAsia="zh-CN"/>
              </w:rPr>
              <w:t xml:space="preserve">核</w:t>
            </w:r>
            <w:r>
              <w:rPr>
                <w:rFonts w:hint="eastAsia" w:ascii="宋体" w:hAnsi="宋体" w:eastAsia="宋体" w:cs="宋体"/>
                <w:sz w:val="21"/>
                <w:szCs w:val="21"/>
                <w:highlight w:val="none"/>
              </w:rPr>
              <w:t xml:space="preserve">查工作，</w:t>
            </w:r>
            <w:r>
              <w:rPr>
                <w:rFonts w:hint="eastAsia" w:ascii="宋体" w:hAnsi="宋体" w:eastAsia="宋体" w:cs="宋体"/>
                <w:bCs/>
                <w:sz w:val="21"/>
                <w:szCs w:val="21"/>
                <w:highlight w:val="none"/>
              </w:rPr>
              <w:t xml:space="preserve">至少在江苏省内能同时派出两组人员分赴不同的地级市进行检查，每组不少于2人的，得1分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不满足不得分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561"/>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每组至少1人具备汽车检测类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机电工程类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汽车工程类</w:t>
            </w:r>
            <w:r>
              <w:rPr>
                <w:rFonts w:hint="eastAsia" w:ascii="宋体" w:hAnsi="宋体" w:eastAsia="宋体" w:cs="宋体"/>
                <w:bCs/>
                <w:sz w:val="21"/>
                <w:szCs w:val="21"/>
                <w:highlight w:val="none"/>
                <w:lang w:val="en-US" w:eastAsia="zh-CN"/>
              </w:rPr>
              <w:t xml:space="preserve">相关</w:t>
            </w:r>
            <w:r>
              <w:rPr>
                <w:rFonts w:hint="eastAsia" w:ascii="宋体" w:hAnsi="宋体" w:eastAsia="宋体" w:cs="宋体"/>
                <w:bCs/>
                <w:sz w:val="21"/>
                <w:szCs w:val="21"/>
                <w:highlight w:val="none"/>
              </w:rPr>
              <w:t xml:space="preserve">工程师或以上职称的，得1分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不满足不得分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561"/>
              <w:keepLines w:val="0"/>
              <w:keepNext w:val="0"/>
              <w:pageBreakBefore w:val="0"/>
              <w:spacing w:line="360" w:lineRule="auto"/>
              <w:rPr>
                <w:rFonts w:hint="eastAsia" w:ascii="宋体" w:hAnsi="宋体" w:eastAsia="宋体" w:cs="宋体"/>
                <w:b/>
                <w:bCs/>
                <w:sz w:val="21"/>
                <w:szCs w:val="21"/>
                <w:highlight w:val="none"/>
                <w:vertAlign w:val="baseline"/>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需提供职称证明、</w:t>
            </w:r>
            <w:r>
              <w:rPr>
                <w:rFonts w:hint="eastAsia" w:ascii="宋体" w:hAnsi="宋体" w:eastAsia="宋体" w:cs="宋体"/>
                <w:b/>
                <w:sz w:val="21"/>
                <w:szCs w:val="21"/>
                <w:highlight w:val="none"/>
                <w:lang w:val="en-US" w:eastAsia="zh-CN"/>
              </w:rPr>
              <w:t xml:space="preserve">人员在职证明</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包括但不限于投标单位为其缴纳的社保证明或者投标单位与其签订的劳动合同等</w:t>
            </w:r>
            <w:r>
              <w:rPr>
                <w:rFonts w:hint="eastAsia" w:ascii="宋体" w:hAnsi="宋体" w:eastAsia="宋体" w:cs="宋体"/>
                <w:b/>
                <w:bCs/>
                <w:sz w:val="21"/>
                <w:szCs w:val="21"/>
                <w:highlight w:val="none"/>
                <w:lang w:eastAsia="zh-CN"/>
              </w:rPr>
              <w:t xml:space="preserve">）</w:t>
            </w:r>
            <w:r>
              <w:rPr>
                <w:rFonts w:hint="eastAsia" w:ascii="宋体" w:hAnsi="宋体" w:eastAsia="宋体" w:cs="宋体"/>
                <w:b/>
                <w:sz w:val="21"/>
                <w:szCs w:val="21"/>
                <w:highlight w:val="none"/>
                <w:lang w:val="en-US" w:eastAsia="zh-CN"/>
              </w:rPr>
              <w:t xml:space="preserve">和现场核查</w:t>
            </w:r>
            <w:r>
              <w:rPr>
                <w:rFonts w:hint="eastAsia" w:ascii="宋体" w:hAnsi="宋体" w:eastAsia="宋体" w:cs="宋体"/>
                <w:b/>
                <w:sz w:val="21"/>
                <w:szCs w:val="21"/>
                <w:highlight w:val="none"/>
              </w:rPr>
              <w:t xml:space="preserve">工作人员配备方案</w:t>
            </w:r>
            <w:r>
              <w:rPr>
                <w:rFonts w:hint="eastAsia" w:ascii="宋体" w:hAnsi="宋体" w:eastAsia="宋体" w:cs="宋体"/>
                <w:b/>
                <w:sz w:val="21"/>
                <w:szCs w:val="21"/>
                <w:highlight w:val="none"/>
                <w:lang w:eastAsia="zh-CN"/>
              </w:rPr>
              <w:t xml:space="preserve">】</w:t>
            </w:r>
            <w:r>
              <w:rPr>
                <w:rFonts w:hint="eastAsia" w:ascii="宋体" w:hAnsi="宋体" w:eastAsia="宋体" w:cs="宋体"/>
                <w:b/>
                <w:bCs/>
                <w:sz w:val="21"/>
                <w:szCs w:val="21"/>
                <w:highlight w:val="none"/>
                <w:vertAlign w:val="baseline"/>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r>
      <w:tr>
        <w:trPr/>
        <w:tc>
          <w:tcPr>
            <w:tcW w:w="75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 w:val="0"/>
                <w:bCs w:val="0"/>
                <w:sz w:val="21"/>
                <w:szCs w:val="21"/>
                <w:vertAlign w:val="baseline"/>
              </w:rPr>
            </w:r>
            <w:r/>
          </w:p>
        </w:tc>
        <w:tc>
          <w:tcPr>
            <w:tcW w:w="1205" w:type="dxa"/>
            <w:vAlign w:val="center"/>
            <w:vMerge w:val="continue"/>
            <w:textDirection w:val="lrTb"/>
            <w:noWrap w:val="false"/>
          </w:tcPr>
          <w:p>
            <w:pPr>
              <w:pStyle w:val="1561"/>
              <w:jc w:val="center"/>
              <w:keepLines w:val="0"/>
              <w:keepNext w:val="0"/>
              <w:pageBreakBefore w:val="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sz w:val="21"/>
                <w:szCs w:val="21"/>
                <w:vertAlign w:val="baseline"/>
              </w:rPr>
            </w:pPr>
            <w:r>
              <w:rPr>
                <w:rFonts w:hint="eastAsia" w:ascii="宋体" w:hAnsi="宋体" w:eastAsia="宋体" w:cs="宋体"/>
                <w:bCs/>
                <w:sz w:val="21"/>
                <w:szCs w:val="21"/>
              </w:rPr>
              <w:t xml:space="preserve">投标人在合同执行期内派驻</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rPr>
              <w:t xml:space="preserve">工程师</w:t>
            </w:r>
            <w:r>
              <w:rPr>
                <w:rFonts w:hint="eastAsia" w:ascii="宋体" w:hAnsi="宋体" w:eastAsia="宋体" w:cs="宋体"/>
                <w:bCs/>
                <w:sz w:val="21"/>
                <w:szCs w:val="21"/>
                <w:lang w:val="en-US" w:eastAsia="zh-CN"/>
              </w:rPr>
              <w:t xml:space="preserve">满足文件基本要求的不得分，承诺额外再派驻一名不低于文件要求的工程师</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分，无法满足要求的不得分。</w:t>
            </w:r>
            <w:r>
              <w:rPr>
                <w:rFonts w:hint="eastAsia" w:ascii="宋体" w:hAnsi="宋体" w:eastAsia="宋体" w:cs="宋体"/>
                <w:b/>
                <w:sz w:val="21"/>
                <w:szCs w:val="21"/>
              </w:rPr>
              <w:t xml:space="preserve">（需提供驻场人员</w:t>
            </w:r>
            <w:r>
              <w:rPr>
                <w:rFonts w:hint="eastAsia" w:ascii="宋体" w:hAnsi="宋体" w:eastAsia="宋体" w:cs="宋体"/>
                <w:b/>
                <w:sz w:val="21"/>
                <w:szCs w:val="21"/>
                <w:lang w:val="en-US" w:eastAsia="zh-CN"/>
              </w:rPr>
              <w:t xml:space="preserve">与投标人签订的劳动合同或者投标人为其缴纳的社保证明等在职证明</w:t>
            </w:r>
            <w:r>
              <w:rPr>
                <w:rFonts w:hint="eastAsia" w:ascii="宋体" w:hAnsi="宋体" w:eastAsia="宋体" w:cs="宋体"/>
                <w:b/>
                <w:sz w:val="21"/>
                <w:szCs w:val="21"/>
              </w:rPr>
              <w:t xml:space="preserve">、职称证明和承诺书）</w:t>
            </w:r>
            <w:r>
              <w:rPr>
                <w:rFonts w:hint="eastAsia" w:ascii="宋体" w:hAnsi="宋体" w:eastAsia="宋体" w:cs="宋体"/>
                <w:b/>
                <w:bCs/>
                <w:sz w:val="21"/>
                <w:szCs w:val="21"/>
                <w:vertAlign w:val="baseline"/>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r>
      <w:tr>
        <w:trPr/>
        <w:tc>
          <w:tcPr>
            <w:tcW w:w="75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8</w:t>
            </w:r>
            <w:r>
              <w:rPr>
                <w:rFonts w:hint="eastAsia" w:ascii="宋体" w:hAnsi="宋体" w:eastAsia="宋体" w:cs="宋体"/>
                <w:b w:val="0"/>
                <w:bCs w:val="0"/>
                <w:sz w:val="21"/>
                <w:szCs w:val="21"/>
                <w:vertAlign w:val="baseline"/>
                <w:lang w:val="en-US" w:eastAsia="zh-CN"/>
              </w:rPr>
            </w:r>
            <w:r/>
          </w:p>
        </w:tc>
        <w:tc>
          <w:tcPr>
            <w:tcW w:w="120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rPr>
            </w:pPr>
            <w:r>
              <w:rPr>
                <w:rFonts w:hint="eastAsia" w:ascii="宋体" w:hAnsi="宋体" w:eastAsia="宋体" w:cs="宋体"/>
                <w:bCs w:val="0"/>
                <w:sz w:val="21"/>
                <w:szCs w:val="21"/>
              </w:rPr>
              <w:t xml:space="preserve">业绩</w:t>
            </w:r>
            <w:r>
              <w:rPr>
                <w:rFonts w:hint="eastAsia" w:ascii="宋体" w:hAnsi="宋体" w:eastAsia="宋体" w:cs="宋体"/>
                <w:b w:val="0"/>
                <w:bCs w:val="0"/>
                <w:sz w:val="21"/>
                <w:szCs w:val="21"/>
                <w:vertAlign w:val="baseline"/>
              </w:rPr>
            </w:r>
            <w:r/>
          </w:p>
        </w:tc>
        <w:tc>
          <w:tcPr>
            <w:tcW w:w="7146" w:type="dxa"/>
            <w:vAlign w:val="top"/>
            <w:textDirection w:val="lrTb"/>
            <w:noWrap w:val="false"/>
          </w:tcPr>
          <w:p>
            <w:pPr>
              <w:pStyle w:val="1561"/>
              <w:keepLines w:val="0"/>
              <w:keepNext w:val="0"/>
              <w:pageBreakBefore w:val="0"/>
              <w:spacing w:line="360" w:lineRule="auto"/>
              <w:rPr>
                <w:rFonts w:hint="eastAsia" w:ascii="宋体" w:hAnsi="宋体" w:eastAsia="宋体" w:cs="宋体"/>
                <w:b/>
                <w:bCs/>
                <w:sz w:val="21"/>
                <w:szCs w:val="21"/>
                <w:vertAlign w:val="baseline"/>
                <w:lang w:eastAsia="zh-CN"/>
              </w:rPr>
            </w:pPr>
            <w:r>
              <w:rPr>
                <w:rFonts w:hint="eastAsia" w:ascii="宋体" w:hAnsi="宋体" w:eastAsia="宋体" w:cs="宋体"/>
                <w:bCs/>
                <w:sz w:val="21"/>
                <w:szCs w:val="21"/>
              </w:rPr>
              <w:t xml:space="preserve">投标人提供</w:t>
            </w:r>
            <w:r>
              <w:rPr>
                <w:rFonts w:hint="eastAsia" w:ascii="宋体" w:hAnsi="宋体" w:eastAsia="宋体" w:cs="宋体"/>
                <w:bCs/>
                <w:sz w:val="21"/>
                <w:szCs w:val="21"/>
                <w:lang w:val="en-US" w:eastAsia="zh-CN"/>
              </w:rPr>
              <w:t xml:space="preserve">近</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sz w:val="21"/>
                <w:szCs w:val="21"/>
              </w:rPr>
              <w:t xml:space="preserve">年</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2021年1月1日</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以来参加过机动车</w:t>
            </w:r>
            <w:r>
              <w:rPr>
                <w:rFonts w:hint="eastAsia" w:ascii="宋体" w:hAnsi="宋体" w:eastAsia="宋体" w:cs="宋体"/>
                <w:sz w:val="21"/>
                <w:szCs w:val="21"/>
              </w:rPr>
              <w:t xml:space="preserve">和非道路移动机械</w:t>
            </w:r>
            <w:r>
              <w:rPr>
                <w:rFonts w:hint="eastAsia" w:ascii="宋体" w:hAnsi="宋体" w:eastAsia="宋体" w:cs="宋体"/>
                <w:bCs/>
                <w:sz w:val="21"/>
                <w:szCs w:val="21"/>
              </w:rPr>
              <w:t xml:space="preserve">环保达标</w:t>
            </w:r>
            <w:r>
              <w:rPr>
                <w:rFonts w:hint="eastAsia" w:ascii="宋体" w:hAnsi="宋体" w:eastAsia="宋体" w:cs="宋体"/>
                <w:bCs/>
                <w:sz w:val="21"/>
                <w:szCs w:val="21"/>
                <w:lang w:val="en-US" w:eastAsia="zh-CN"/>
              </w:rPr>
              <w:t xml:space="preserve">抽样核查或类似</w:t>
            </w:r>
            <w:r>
              <w:rPr>
                <w:rFonts w:hint="eastAsia" w:ascii="宋体" w:hAnsi="宋体" w:eastAsia="宋体" w:cs="宋体"/>
                <w:bCs/>
                <w:sz w:val="21"/>
                <w:szCs w:val="21"/>
              </w:rPr>
              <w:t xml:space="preserve">项目业绩，提供一份有效合同得3分，最高得1</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
                <w:bCs w:val="0"/>
                <w:sz w:val="21"/>
                <w:szCs w:val="21"/>
              </w:rPr>
              <w:t xml:space="preserve">（提供清晰的合同</w:t>
            </w:r>
            <w:r>
              <w:rPr>
                <w:rFonts w:hint="eastAsia" w:ascii="宋体" w:hAnsi="宋体" w:eastAsia="宋体" w:cs="宋体"/>
                <w:b/>
                <w:bCs w:val="0"/>
                <w:sz w:val="21"/>
                <w:szCs w:val="21"/>
                <w:lang w:val="en-US" w:eastAsia="zh-CN"/>
              </w:rPr>
              <w:t xml:space="preserve">扫描</w:t>
            </w:r>
            <w:r>
              <w:rPr>
                <w:rFonts w:hint="eastAsia" w:ascii="宋体" w:hAnsi="宋体" w:eastAsia="宋体" w:cs="宋体"/>
                <w:b/>
                <w:bCs w:val="0"/>
                <w:sz w:val="21"/>
                <w:szCs w:val="21"/>
              </w:rPr>
              <w:t xml:space="preserve">件且加盖公章,体现标的内容、日期等相关信息，否则不予计分。</w:t>
            </w:r>
            <w:r>
              <w:rPr>
                <w:rFonts w:hint="eastAsia" w:ascii="宋体" w:hAnsi="宋体" w:eastAsia="宋体" w:cs="宋体"/>
                <w:b/>
                <w:bCs w:val="0"/>
                <w:sz w:val="21"/>
                <w:szCs w:val="21"/>
                <w:lang w:eastAsia="zh-CN"/>
              </w:rPr>
              <w:t xml:space="preserve">）</w:t>
            </w:r>
            <w:r>
              <w:rPr>
                <w:rFonts w:hint="eastAsia" w:ascii="宋体" w:hAnsi="宋体" w:eastAsia="宋体" w:cs="宋体"/>
                <w:b/>
                <w:bCs/>
                <w:sz w:val="21"/>
                <w:szCs w:val="21"/>
                <w:vertAlign w:val="baseline"/>
                <w:lang w:eastAsia="zh-CN"/>
              </w:rPr>
            </w:r>
            <w:r/>
          </w:p>
        </w:tc>
        <w:tc>
          <w:tcPr>
            <w:tcW w:w="745" w:type="dxa"/>
            <w:vAlign w:val="center"/>
            <w:textDirection w:val="lrTb"/>
            <w:noWrap w:val="false"/>
          </w:tcPr>
          <w:p>
            <w:pPr>
              <w:pStyle w:val="1561"/>
              <w:jc w:val="center"/>
              <w:keepLines w:val="0"/>
              <w:keepNext w:val="0"/>
              <w:pageBreakBefore w:val="0"/>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15</w:t>
            </w:r>
            <w:r>
              <w:rPr>
                <w:rFonts w:hint="eastAsia" w:ascii="宋体" w:hAnsi="宋体" w:eastAsia="宋体" w:cs="宋体"/>
                <w:b w:val="0"/>
                <w:bCs w:val="0"/>
                <w:sz w:val="21"/>
                <w:szCs w:val="21"/>
                <w:vertAlign w:val="baseline"/>
                <w:lang w:val="en-US" w:eastAsia="zh-CN"/>
              </w:rPr>
            </w:r>
            <w:r/>
          </w:p>
        </w:tc>
      </w:tr>
    </w:tbl>
    <w:p>
      <w:pPr>
        <w:pStyle w:val="1561"/>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748"/>
        <w:ind w:firstLine="0"/>
      </w:pPr>
      <w:r/>
      <w:r/>
    </w:p>
    <w:p>
      <w:pPr>
        <w:pStyle w:val="1561"/>
        <w:jc w:val="center"/>
        <w:spacing w:line="440" w:lineRule="exact"/>
        <w:rPr>
          <w:rFonts w:eastAsia="宋体"/>
          <w:b/>
          <w:sz w:val="28"/>
          <w:szCs w:val="28"/>
          <w:lang w:val="en-US" w:eastAsia="zh-CN"/>
        </w:rPr>
        <w:outlineLvl w:val="0"/>
      </w:pPr>
      <w:r>
        <w:rPr>
          <w:b/>
          <w:sz w:val="28"/>
          <w:szCs w:val="28"/>
        </w:rPr>
        <w:br w:type="page" w:clear="all"/>
      </w:r>
      <w:bookmarkStart w:id="257" w:name="_Toc252"/>
      <w:r/>
      <w:bookmarkStart w:id="258" w:name="_Toc17106"/>
      <w:r/>
      <w:bookmarkStart w:id="259" w:name="_Toc28795"/>
      <w:r/>
      <w:bookmarkStart w:id="260" w:name="_Toc22971"/>
      <w:r>
        <w:rPr>
          <w:b/>
          <w:sz w:val="28"/>
          <w:szCs w:val="28"/>
        </w:rPr>
        <w:t xml:space="preserve">第四章 </w:t>
      </w:r>
      <w:bookmarkEnd w:id="257"/>
      <w:r/>
      <w:bookmarkEnd w:id="258"/>
      <w:r>
        <w:rPr>
          <w:rFonts w:hint="eastAsia"/>
          <w:b/>
          <w:sz w:val="28"/>
          <w:szCs w:val="28"/>
          <w:lang w:val="en-US" w:eastAsia="zh-CN"/>
        </w:rPr>
        <w:t xml:space="preserve">采购</w:t>
      </w:r>
      <w:r>
        <w:rPr>
          <w:rFonts w:hint="eastAsia"/>
          <w:b/>
          <w:sz w:val="28"/>
          <w:szCs w:val="28"/>
          <w:lang w:val="en-US" w:eastAsia="zh-CN"/>
        </w:rPr>
        <w:t xml:space="preserve">需求</w:t>
      </w:r>
      <w:bookmarkEnd w:id="259"/>
      <w:r/>
      <w:bookmarkEnd w:id="260"/>
      <w:r>
        <w:rPr>
          <w:rFonts w:eastAsia="宋体"/>
          <w:b/>
          <w:sz w:val="28"/>
          <w:szCs w:val="28"/>
          <w:lang w:val="en-US" w:eastAsia="zh-CN"/>
        </w:rPr>
      </w:r>
      <w:r/>
    </w:p>
    <w:p>
      <w:pPr>
        <w:pStyle w:val="1561"/>
        <w:ind w:firstLine="327"/>
        <w:keepLines/>
        <w:keepNext/>
        <w:spacing w:before="120" w:after="120" w:line="360" w:lineRule="auto"/>
        <w:rPr>
          <w:rFonts w:ascii="Arial" w:hAnsi="Arial" w:eastAsia="宋体" w:cs="Arial"/>
          <w:b/>
          <w:bCs/>
          <w:sz w:val="21"/>
          <w:szCs w:val="21"/>
        </w:rPr>
        <w:outlineLvl w:val="2"/>
      </w:pPr>
      <w:r/>
      <w:bookmarkStart w:id="261" w:name="_Toc11770"/>
      <w:r/>
      <w:bookmarkStart w:id="262" w:name="_Toc31042"/>
      <w:r/>
      <w:bookmarkStart w:id="263" w:name="_Toc25403"/>
      <w:r/>
      <w:bookmarkStart w:id="264" w:name="_Toc2516"/>
      <w:r/>
      <w:bookmarkStart w:id="265" w:name="_Toc19691"/>
      <w:r>
        <w:rPr>
          <w:rFonts w:ascii="Arial" w:hAnsi="Arial" w:eastAsia="宋体" w:cs="Arial"/>
          <w:b/>
          <w:bCs/>
          <w:sz w:val="21"/>
          <w:szCs w:val="21"/>
        </w:rPr>
        <w:t xml:space="preserve">一、项目背景</w:t>
      </w:r>
      <w:bookmarkEnd w:id="261"/>
      <w:r/>
      <w:bookmarkEnd w:id="262"/>
      <w:r/>
      <w:bookmarkEnd w:id="263"/>
      <w:r>
        <w:rPr>
          <w:rFonts w:ascii="Arial" w:hAnsi="Arial" w:eastAsia="宋体" w:cs="Arial"/>
          <w:b/>
          <w:bCs/>
          <w:sz w:val="21"/>
          <w:szCs w:val="21"/>
        </w:rPr>
      </w:r>
      <w:r/>
    </w:p>
    <w:p>
      <w:pPr>
        <w:pStyle w:val="1561"/>
        <w:ind w:firstLine="480"/>
        <w:spacing w:line="360" w:lineRule="auto"/>
        <w:widowControl/>
        <w:rPr>
          <w:rFonts w:ascii="Arial" w:hAnsi="Arial" w:eastAsia="宋体" w:cs="Arial"/>
          <w:sz w:val="21"/>
          <w:szCs w:val="21"/>
        </w:rPr>
      </w:pPr>
      <w:r>
        <w:rPr>
          <w:rFonts w:ascii="Arial" w:hAnsi="Arial" w:eastAsia="宋体" w:cs="Arial"/>
          <w:sz w:val="21"/>
          <w:szCs w:val="21"/>
        </w:rPr>
        <w:t xml:space="preserve">当前，移动源污染已成为大气污染的重要来源，新生产车辆及非道路移动机械的排放管控是打好蓝天保卫战、持续改善空气质量的关键环节，更是落实生态环境保护工作要求的重要举措。为强化移动源污染源头管控，我国已构建起多层次、全方位的法规政策体系，为相关监管工作提供了坚实的制度支撑。</w:t>
      </w:r>
      <w:r>
        <w:rPr>
          <w:rFonts w:ascii="Arial" w:hAnsi="Arial" w:eastAsia="宋体" w:cs="Arial"/>
          <w:sz w:val="21"/>
          <w:szCs w:val="21"/>
        </w:rPr>
      </w:r>
      <w:r/>
    </w:p>
    <w:p>
      <w:pPr>
        <w:pStyle w:val="1561"/>
        <w:ind w:firstLine="480"/>
        <w:spacing w:line="360" w:lineRule="auto"/>
        <w:widowControl/>
        <w:rPr>
          <w:rFonts w:ascii="Arial" w:hAnsi="Arial" w:eastAsia="宋体" w:cs="Arial"/>
          <w:sz w:val="21"/>
          <w:szCs w:val="21"/>
        </w:rPr>
      </w:pPr>
      <w:r>
        <w:rPr>
          <w:rFonts w:ascii="Arial" w:hAnsi="Arial" w:eastAsia="宋体" w:cs="Arial"/>
          <w:sz w:val="21"/>
          <w:szCs w:val="21"/>
        </w:rPr>
        <w:t xml:space="preserve">在法规层面，《中华人民共和国生态环境法典》第二百二十条规定，省级以上人民政府生态环境主管</w:t>
      </w:r>
      <w:r>
        <w:rPr>
          <w:rFonts w:ascii="Arial" w:hAnsi="Arial" w:eastAsia="宋体" w:cs="Arial"/>
          <w:sz w:val="21"/>
          <w:szCs w:val="21"/>
        </w:rPr>
        <w:t xml:space="preserve">部门可通过现场检查、抽样检测等方式，加强对新生产、进口、销售机动车、非道路移动机械及其发动机大气污染物排放状况、排放控制系统运行情况的监督检查；《中华人民共和国大气污染防治法》第五十二条规定，省级以上人民政府生态环境主管部门可通过现场检查、抽样检测等方式，强化对新生产、销售机动车、非道路移动机械大气污染物排放状况的监督检查；《江苏省机动车和非道路移动机械排气污染防治条例》第三十五条规定，省生态环境主管部门可以通过现场检查、抽样检测等方式，加强对新生产、销售机动车和非道路移动机械大气污染物排放状况的监督检查。</w:t>
      </w:r>
      <w:r>
        <w:rPr>
          <w:rFonts w:ascii="Arial" w:hAnsi="Arial" w:eastAsia="宋体" w:cs="Arial"/>
          <w:sz w:val="21"/>
          <w:szCs w:val="21"/>
        </w:rPr>
      </w:r>
      <w:r/>
    </w:p>
    <w:p>
      <w:pPr>
        <w:pStyle w:val="1561"/>
        <w:ind w:firstLine="480"/>
        <w:spacing w:line="360" w:lineRule="auto"/>
        <w:widowControl/>
        <w:rPr>
          <w:rFonts w:ascii="Arial" w:hAnsi="Arial" w:eastAsia="宋体" w:cs="Arial"/>
          <w:sz w:val="21"/>
          <w:szCs w:val="21"/>
        </w:rPr>
      </w:pPr>
      <w:r>
        <w:rPr>
          <w:rFonts w:ascii="Arial" w:hAnsi="Arial" w:eastAsia="宋体" w:cs="Arial"/>
          <w:sz w:val="21"/>
          <w:szCs w:val="21"/>
        </w:rPr>
        <w:t xml:space="preserve">在</w:t>
      </w:r>
      <w:r>
        <w:rPr>
          <w:rFonts w:ascii="Arial" w:hAnsi="Arial" w:eastAsia="宋体" w:cs="Arial"/>
          <w:sz w:val="21"/>
          <w:szCs w:val="21"/>
        </w:rPr>
        <w:t xml:space="preserve">政策层面，国家及地方层面均出台专项文件细化监管要求，国务院《关于印发&lt;空气质量持续改善计划&gt;的通知》（国发﹝2023﹞24号）、生态环境部等15部委《关于印发&lt;深入打好重污染天气消除、臭氧污染防治和柴油货车污染治理攻坚战行动实施方案&gt;的通知》（环大气﹝2022﹞68号）、江苏省生态环境厅等部门《关于印发&lt;江苏省深入打好重污染天气消除、臭氧污染防治和柴油货车污染治理攻坚战行动实施方案&gt;的通知》（苏环办﹝2023﹞35号）均明确提出，要加强对本地新生产车辆和非道路移动机械的监管工作，细化管控措施、压实监管责任。</w:t>
      </w:r>
      <w:r>
        <w:rPr>
          <w:rFonts w:ascii="Arial" w:hAnsi="Arial" w:eastAsia="宋体" w:cs="Arial"/>
          <w:sz w:val="21"/>
          <w:szCs w:val="21"/>
        </w:rPr>
      </w:r>
      <w:r/>
    </w:p>
    <w:p>
      <w:pPr>
        <w:pStyle w:val="1561"/>
        <w:ind w:firstLine="480"/>
        <w:spacing w:line="360" w:lineRule="auto"/>
        <w:widowControl/>
        <w:rPr>
          <w:rFonts w:ascii="Arial" w:hAnsi="Arial" w:eastAsia="宋体" w:cs="Arial"/>
          <w:sz w:val="21"/>
          <w:szCs w:val="21"/>
        </w:rPr>
      </w:pPr>
      <w:r>
        <w:rPr>
          <w:rFonts w:ascii="Arial" w:hAnsi="Arial" w:eastAsia="宋体" w:cs="Arial"/>
          <w:sz w:val="21"/>
          <w:szCs w:val="21"/>
        </w:rPr>
        <w:t xml:space="preserve">在此背景下，为严格落实各项法规政策要求，切实强化本地新生产车辆及非道路移动机械排放源头管控，补齐监管短板、提升监管效能，特启动本项目，推动移动源污染防治工作走深走实，助力区域生态环境质量持续改善。</w:t>
      </w:r>
      <w:r>
        <w:rPr>
          <w:rFonts w:ascii="Arial" w:hAnsi="Arial" w:eastAsia="宋体" w:cs="Arial"/>
          <w:sz w:val="21"/>
          <w:szCs w:val="21"/>
        </w:rPr>
      </w:r>
      <w:r/>
    </w:p>
    <w:p>
      <w:pPr>
        <w:pStyle w:val="1561"/>
        <w:ind w:firstLine="327"/>
        <w:keepLines/>
        <w:keepNext/>
        <w:spacing w:before="120" w:after="120" w:line="360" w:lineRule="auto"/>
        <w:rPr>
          <w:rFonts w:ascii="Arial" w:hAnsi="Arial" w:eastAsia="宋体" w:cs="Arial"/>
          <w:b/>
          <w:bCs/>
          <w:sz w:val="21"/>
          <w:szCs w:val="21"/>
        </w:rPr>
        <w:outlineLvl w:val="2"/>
      </w:pPr>
      <w:r/>
      <w:bookmarkStart w:id="266" w:name="_Toc22013"/>
      <w:r/>
      <w:bookmarkStart w:id="267" w:name="_Toc32235"/>
      <w:r/>
      <w:bookmarkStart w:id="268" w:name="_Toc16475"/>
      <w:r>
        <w:rPr>
          <w:rFonts w:ascii="Arial" w:hAnsi="Arial" w:eastAsia="宋体" w:cs="Arial"/>
          <w:b/>
          <w:bCs/>
          <w:sz w:val="21"/>
          <w:szCs w:val="21"/>
        </w:rPr>
        <w:t xml:space="preserve">二、工作内容</w:t>
      </w:r>
      <w:bookmarkEnd w:id="266"/>
      <w:r/>
      <w:bookmarkEnd w:id="267"/>
      <w:r/>
      <w:bookmarkEnd w:id="268"/>
      <w:r>
        <w:rPr>
          <w:rFonts w:ascii="Arial" w:hAnsi="Arial" w:eastAsia="宋体" w:cs="Arial"/>
          <w:b/>
          <w:bCs/>
          <w:sz w:val="21"/>
          <w:szCs w:val="21"/>
        </w:rPr>
      </w:r>
      <w:r/>
    </w:p>
    <w:p>
      <w:pPr>
        <w:pStyle w:val="1561"/>
        <w:ind w:firstLine="420"/>
        <w:spacing w:line="360" w:lineRule="auto"/>
        <w:rPr>
          <w:rFonts w:ascii="Arial" w:hAnsi="Arial" w:eastAsia="宋体" w:cs="Arial"/>
          <w:sz w:val="21"/>
          <w:szCs w:val="21"/>
        </w:rPr>
      </w:pPr>
      <w:r>
        <w:rPr>
          <w:rFonts w:ascii="Arial" w:hAnsi="Arial" w:eastAsia="宋体" w:cs="Arial"/>
          <w:sz w:val="21"/>
          <w:szCs w:val="21"/>
        </w:rPr>
        <w:t xml:space="preserve">本项目拟于合同签订之日起1年内，完成2026年度江苏省内新生产、销售</w:t>
      </w:r>
      <w:r>
        <w:rPr>
          <w:rFonts w:hint="eastAsia" w:ascii="Arial" w:hAnsi="Arial" w:eastAsia="宋体" w:cs="Arial"/>
          <w:sz w:val="21"/>
          <w:szCs w:val="21"/>
          <w:lang w:val="en-US" w:eastAsia="zh-CN"/>
        </w:rPr>
        <w:t xml:space="preserve">货车</w:t>
      </w:r>
      <w:r>
        <w:rPr>
          <w:rFonts w:ascii="Arial" w:hAnsi="Arial" w:eastAsia="宋体" w:cs="Arial"/>
          <w:sz w:val="21"/>
          <w:szCs w:val="21"/>
        </w:rPr>
        <w:t xml:space="preserve">和非道路移动机械的环保达标</w:t>
      </w:r>
      <w:r>
        <w:rPr>
          <w:rFonts w:hint="eastAsia" w:ascii="Arial" w:hAnsi="Arial" w:eastAsia="宋体" w:cs="Arial"/>
          <w:sz w:val="21"/>
          <w:szCs w:val="21"/>
          <w:lang w:eastAsia="zh-CN"/>
        </w:rPr>
        <w:t xml:space="preserve">抽查核验</w:t>
      </w:r>
      <w:r>
        <w:rPr>
          <w:rFonts w:ascii="Arial" w:hAnsi="Arial" w:eastAsia="宋体" w:cs="Arial"/>
          <w:sz w:val="21"/>
          <w:szCs w:val="21"/>
        </w:rPr>
        <w:t xml:space="preserve">工作。本次</w:t>
      </w:r>
      <w:r>
        <w:rPr>
          <w:rFonts w:hint="eastAsia" w:ascii="Arial" w:hAnsi="Arial" w:eastAsia="宋体" w:cs="Arial"/>
          <w:sz w:val="21"/>
          <w:szCs w:val="21"/>
          <w:lang w:eastAsia="zh-CN"/>
        </w:rPr>
        <w:t xml:space="preserve">抽查核验</w:t>
      </w:r>
      <w:r>
        <w:rPr>
          <w:rFonts w:ascii="Arial" w:hAnsi="Arial" w:eastAsia="宋体" w:cs="Arial"/>
          <w:sz w:val="21"/>
          <w:szCs w:val="21"/>
        </w:rPr>
        <w:t xml:space="preserve">将依据中国环境科学研究院机动车排污监控中心提供的</w:t>
      </w:r>
      <w:r>
        <w:rPr>
          <w:rFonts w:ascii="Arial" w:hAnsi="Arial" w:eastAsia="宋体" w:cs="Arial"/>
          <w:b w:val="0"/>
          <w:sz w:val="21"/>
          <w:szCs w:val="21"/>
        </w:rPr>
        <w:t xml:space="preserve">2025年7月~2026年6月江苏省车（机）型信息公开清单</w:t>
      </w:r>
      <w:r>
        <w:rPr>
          <w:rFonts w:ascii="Arial" w:hAnsi="Arial" w:eastAsia="宋体" w:cs="Arial"/>
          <w:sz w:val="21"/>
          <w:szCs w:val="21"/>
        </w:rPr>
        <w:t xml:space="preserve">确定拟开展检查的生产企业及相应车（机）型系族；根据市场占有率、定期排放检验及监督抽测情况综合确定拟开展检查的货车销售企业及相应的车型系族，对本省行政区域内生产、销售的货车和非道路移动机械系族实施环保达标</w:t>
      </w:r>
      <w:r>
        <w:rPr>
          <w:rFonts w:hint="eastAsia" w:ascii="Arial" w:hAnsi="Arial" w:eastAsia="宋体" w:cs="Arial"/>
          <w:sz w:val="21"/>
          <w:szCs w:val="21"/>
          <w:lang w:eastAsia="zh-CN"/>
        </w:rPr>
        <w:t xml:space="preserve">抽查核验</w:t>
      </w:r>
      <w:r>
        <w:rPr>
          <w:rFonts w:ascii="Arial" w:hAnsi="Arial" w:eastAsia="宋体" w:cs="Arial"/>
          <w:sz w:val="21"/>
          <w:szCs w:val="21"/>
        </w:rPr>
        <w:t xml:space="preserve">，其中生产环节基本实现系族全覆盖。投标人需按照表4-2-1明确的工作内容、检测项目及数量进行报价，采购人可根据国家文件要求和实际工作需要，对检测车型及数量进行调整。</w:t>
      </w:r>
      <w:r>
        <w:rPr>
          <w:rFonts w:ascii="Arial" w:hAnsi="Arial" w:eastAsia="宋体" w:cs="Arial"/>
          <w:sz w:val="21"/>
          <w:szCs w:val="21"/>
        </w:rPr>
      </w:r>
      <w:r/>
    </w:p>
    <w:p>
      <w:pPr>
        <w:pStyle w:val="1561"/>
        <w:jc w:val="center"/>
        <w:spacing w:line="360" w:lineRule="auto"/>
        <w:rPr>
          <w:rFonts w:ascii="Arial" w:hAnsi="Arial" w:eastAsia="宋体" w:cs="Arial"/>
          <w:b/>
          <w:szCs w:val="21"/>
        </w:rPr>
      </w:pPr>
      <w:r>
        <w:rPr>
          <w:rFonts w:ascii="Arial" w:hAnsi="Arial" w:eastAsia="宋体" w:cs="Arial"/>
          <w:b/>
          <w:szCs w:val="21"/>
        </w:rPr>
        <w:t xml:space="preserve">表4-2-1  2026年度拟检查新生产销售</w:t>
      </w:r>
      <w:r>
        <w:rPr>
          <w:rFonts w:hint="eastAsia" w:ascii="Arial" w:hAnsi="Arial" w:eastAsia="宋体" w:cs="Arial"/>
          <w:b/>
          <w:szCs w:val="21"/>
          <w:lang w:val="en-US" w:eastAsia="zh-CN"/>
        </w:rPr>
        <w:t xml:space="preserve">货车</w:t>
      </w:r>
      <w:r>
        <w:rPr>
          <w:rFonts w:ascii="Arial" w:hAnsi="Arial" w:eastAsia="宋体" w:cs="Arial"/>
          <w:b/>
          <w:szCs w:val="21"/>
        </w:rPr>
        <w:t xml:space="preserve">和非道路移动机械内容、方法及抽查数量</w:t>
      </w:r>
      <w:r>
        <w:rPr>
          <w:rFonts w:ascii="Arial" w:hAnsi="Arial" w:eastAsia="宋体" w:cs="Arial"/>
          <w:b/>
          <w:szCs w:val="21"/>
        </w:rPr>
      </w:r>
      <w:r/>
    </w:p>
    <w:tbl>
      <w:tblPr>
        <w:tblW w:w="5059"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7"/>
        <w:gridCol w:w="1212"/>
        <w:gridCol w:w="1694"/>
        <w:gridCol w:w="2170"/>
        <w:gridCol w:w="3003"/>
        <w:gridCol w:w="1072"/>
      </w:tblGrid>
      <w:tr>
        <w:trPr>
          <w:trHeight w:val="340"/>
          <w:tblHeader/>
        </w:trPr>
        <w:tc>
          <w:tcPr>
            <w:tcMar>
              <w:left w:w="0" w:type="dxa"/>
              <w:top w:w="0" w:type="dxa"/>
              <w:right w:w="0" w:type="dxa"/>
              <w:bottom w:w="0" w:type="dxa"/>
            </w:tcMar>
            <w:tcW w:w="316" w:type="dxa"/>
            <w:vAlign w:val="center"/>
            <w:textDirection w:val="lrTb"/>
            <w:noWrap w:val="false"/>
          </w:tcPr>
          <w:p>
            <w:pPr>
              <w:pStyle w:val="1561"/>
              <w:jc w:val="center"/>
              <w:spacing w:line="360" w:lineRule="auto"/>
              <w:rPr>
                <w:rFonts w:ascii="Arial" w:hAnsi="Arial" w:eastAsia="宋体" w:cs="Arial"/>
                <w:bCs/>
                <w:szCs w:val="21"/>
              </w:rPr>
            </w:pPr>
            <w:r>
              <w:rPr>
                <w:rFonts w:ascii="Arial" w:hAnsi="Arial" w:eastAsia="宋体" w:cs="Arial"/>
                <w:bCs/>
                <w:szCs w:val="21"/>
              </w:rPr>
              <w:t xml:space="preserve">序号</w:t>
            </w:r>
            <w:r>
              <w:rPr>
                <w:rFonts w:ascii="Arial" w:hAnsi="Arial" w:eastAsia="宋体" w:cs="Arial"/>
                <w:bCs/>
                <w:szCs w:val="21"/>
              </w:rPr>
            </w:r>
            <w:r/>
          </w:p>
        </w:tc>
        <w:tc>
          <w:tcPr>
            <w:tcMar>
              <w:left w:w="0" w:type="dxa"/>
              <w:top w:w="0" w:type="dxa"/>
              <w:right w:w="0" w:type="dxa"/>
              <w:bottom w:w="0" w:type="dxa"/>
            </w:tcMar>
            <w:tcW w:w="620" w:type="dxa"/>
            <w:vAlign w:val="center"/>
            <w:textDirection w:val="lrTb"/>
            <w:noWrap w:val="false"/>
          </w:tcPr>
          <w:p>
            <w:pPr>
              <w:pStyle w:val="1561"/>
              <w:jc w:val="center"/>
              <w:spacing w:line="360" w:lineRule="auto"/>
              <w:rPr>
                <w:rFonts w:ascii="Arial" w:hAnsi="Arial" w:eastAsia="宋体" w:cs="Arial"/>
                <w:bCs/>
                <w:szCs w:val="21"/>
              </w:rPr>
            </w:pPr>
            <w:r>
              <w:rPr>
                <w:rFonts w:ascii="Arial" w:hAnsi="Arial" w:eastAsia="宋体" w:cs="Arial"/>
                <w:bCs/>
                <w:szCs w:val="21"/>
              </w:rPr>
              <w:t xml:space="preserve">受检</w:t>
            </w:r>
            <w:r>
              <w:rPr>
                <w:rFonts w:ascii="Arial" w:hAnsi="Arial" w:eastAsia="宋体" w:cs="Arial"/>
                <w:bCs/>
                <w:szCs w:val="21"/>
              </w:rPr>
            </w:r>
            <w:r/>
          </w:p>
          <w:p>
            <w:pPr>
              <w:pStyle w:val="1561"/>
              <w:jc w:val="center"/>
              <w:spacing w:line="360" w:lineRule="auto"/>
              <w:rPr>
                <w:rFonts w:ascii="Arial" w:hAnsi="Arial" w:eastAsia="宋体" w:cs="Arial"/>
                <w:bCs/>
                <w:szCs w:val="21"/>
              </w:rPr>
            </w:pPr>
            <w:r>
              <w:rPr>
                <w:rFonts w:ascii="Arial" w:hAnsi="Arial" w:eastAsia="宋体" w:cs="Arial"/>
                <w:bCs/>
                <w:szCs w:val="21"/>
              </w:rPr>
              <w:t xml:space="preserve">单位</w:t>
            </w:r>
            <w:r>
              <w:rPr>
                <w:rFonts w:ascii="Arial" w:hAnsi="Arial" w:eastAsia="宋体" w:cs="Arial"/>
                <w:bCs/>
                <w:szCs w:val="21"/>
              </w:rPr>
            </w:r>
            <w:r/>
          </w:p>
        </w:tc>
        <w:tc>
          <w:tcPr>
            <w:tcMar>
              <w:left w:w="0" w:type="dxa"/>
              <w:top w:w="0" w:type="dxa"/>
              <w:right w:w="0" w:type="dxa"/>
              <w:bottom w:w="0" w:type="dxa"/>
            </w:tcMar>
            <w:tcW w:w="867" w:type="dxa"/>
            <w:vAlign w:val="center"/>
            <w:textDirection w:val="lrTb"/>
            <w:noWrap w:val="false"/>
          </w:tcPr>
          <w:p>
            <w:pPr>
              <w:pStyle w:val="1561"/>
              <w:jc w:val="center"/>
              <w:spacing w:line="360" w:lineRule="auto"/>
              <w:rPr>
                <w:rFonts w:ascii="Arial" w:hAnsi="Arial" w:eastAsia="宋体" w:cs="Arial"/>
                <w:bCs/>
                <w:szCs w:val="21"/>
              </w:rPr>
            </w:pPr>
            <w:r>
              <w:rPr>
                <w:rFonts w:ascii="Arial" w:hAnsi="Arial" w:eastAsia="宋体" w:cs="Arial"/>
                <w:bCs/>
                <w:szCs w:val="21"/>
              </w:rPr>
              <w:t xml:space="preserve">类型</w:t>
            </w:r>
            <w:r>
              <w:rPr>
                <w:rFonts w:ascii="Arial" w:hAnsi="Arial" w:eastAsia="宋体" w:cs="Arial"/>
                <w:bCs/>
                <w:szCs w:val="21"/>
              </w:rPr>
            </w:r>
            <w:r/>
          </w:p>
        </w:tc>
        <w:tc>
          <w:tcPr>
            <w:tcMar>
              <w:left w:w="0" w:type="dxa"/>
              <w:top w:w="0" w:type="dxa"/>
              <w:right w:w="0" w:type="dxa"/>
              <w:bottom w:w="0" w:type="dxa"/>
            </w:tcMar>
            <w:tcW w:w="1111" w:type="dxa"/>
            <w:vAlign w:val="center"/>
            <w:textDirection w:val="lrTb"/>
            <w:noWrap w:val="false"/>
          </w:tcPr>
          <w:p>
            <w:pPr>
              <w:pStyle w:val="1561"/>
              <w:jc w:val="center"/>
              <w:spacing w:line="360" w:lineRule="auto"/>
              <w:rPr>
                <w:rFonts w:ascii="Arial" w:hAnsi="Arial" w:eastAsia="宋体" w:cs="Arial"/>
                <w:bCs/>
                <w:szCs w:val="21"/>
              </w:rPr>
            </w:pPr>
            <w:r>
              <w:rPr>
                <w:rFonts w:ascii="Arial" w:hAnsi="Arial" w:eastAsia="宋体" w:cs="Arial"/>
                <w:bCs/>
                <w:szCs w:val="21"/>
              </w:rPr>
              <w:t xml:space="preserve">技术方法</w:t>
            </w:r>
            <w:r>
              <w:rPr>
                <w:rFonts w:ascii="Arial" w:hAnsi="Arial" w:eastAsia="宋体" w:cs="Arial"/>
                <w:bCs/>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Cs/>
                <w:szCs w:val="21"/>
              </w:rPr>
            </w:pPr>
            <w:r>
              <w:rPr>
                <w:rFonts w:ascii="Arial" w:hAnsi="Arial" w:eastAsia="宋体" w:cs="Arial"/>
                <w:bCs/>
                <w:szCs w:val="21"/>
              </w:rPr>
              <w:t xml:space="preserve">检查项目</w:t>
            </w:r>
            <w:r>
              <w:rPr>
                <w:rFonts w:ascii="Arial" w:hAnsi="Arial" w:eastAsia="宋体" w:cs="Arial"/>
                <w:bCs/>
                <w:szCs w:val="21"/>
              </w:rPr>
            </w:r>
            <w:r/>
          </w:p>
        </w:tc>
        <w:tc>
          <w:tcPr>
            <w:tcMar>
              <w:left w:w="0" w:type="dxa"/>
              <w:top w:w="0" w:type="dxa"/>
              <w:right w:w="0" w:type="dxa"/>
              <w:bottom w:w="0" w:type="dxa"/>
            </w:tcMar>
            <w:tcW w:w="546" w:type="dxa"/>
            <w:vAlign w:val="center"/>
            <w:textDirection w:val="lrTb"/>
            <w:noWrap w:val="false"/>
          </w:tcPr>
          <w:p>
            <w:pPr>
              <w:pStyle w:val="1561"/>
              <w:jc w:val="center"/>
              <w:spacing w:line="360" w:lineRule="auto"/>
              <w:rPr>
                <w:rFonts w:ascii="Arial" w:hAnsi="Arial" w:eastAsia="宋体" w:cs="Arial"/>
                <w:bCs/>
                <w:szCs w:val="21"/>
              </w:rPr>
            </w:pPr>
            <w:r>
              <w:rPr>
                <w:rFonts w:ascii="Arial" w:hAnsi="Arial" w:eastAsia="宋体" w:cs="Arial"/>
                <w:bCs/>
                <w:szCs w:val="21"/>
              </w:rPr>
              <w:t xml:space="preserve">抽查数量（</w:t>
            </w:r>
            <w:r>
              <w:rPr>
                <w:rFonts w:ascii="Arial" w:hAnsi="Arial" w:eastAsia="宋体" w:cs="Arial"/>
                <w:bCs/>
                <w:szCs w:val="21"/>
                <w:lang w:val="en-US" w:eastAsia="zh-CN"/>
              </w:rPr>
              <w:t xml:space="preserve">台/辆</w:t>
            </w:r>
            <w:r>
              <w:rPr>
                <w:rFonts w:ascii="Arial" w:hAnsi="Arial" w:eastAsia="宋体" w:cs="Arial"/>
                <w:bCs/>
                <w:szCs w:val="21"/>
              </w:rPr>
              <w:t xml:space="preserve">）</w:t>
            </w:r>
            <w:r>
              <w:rPr>
                <w:rFonts w:ascii="Arial" w:hAnsi="Arial" w:eastAsia="宋体" w:cs="Arial"/>
                <w:bCs/>
                <w:szCs w:val="21"/>
              </w:rPr>
            </w:r>
            <w:r/>
          </w:p>
        </w:tc>
      </w:tr>
      <w:tr>
        <w:trPr>
          <w:trHeight w:val="340"/>
        </w:trPr>
        <w:tc>
          <w:tcPr>
            <w:tcMar>
              <w:left w:w="0" w:type="dxa"/>
              <w:top w:w="0" w:type="dxa"/>
              <w:right w:w="0" w:type="dxa"/>
              <w:bottom w:w="0" w:type="dxa"/>
            </w:tcMar>
            <w:tcW w:w="316"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1</w:t>
            </w:r>
            <w:r>
              <w:rPr>
                <w:rFonts w:ascii="Arial" w:hAnsi="Arial" w:eastAsia="宋体" w:cs="Arial"/>
                <w:b/>
                <w:szCs w:val="21"/>
              </w:rPr>
            </w:r>
            <w:r/>
          </w:p>
        </w:tc>
        <w:tc>
          <w:tcPr>
            <w:tcMar>
              <w:left w:w="0" w:type="dxa"/>
              <w:top w:w="0" w:type="dxa"/>
              <w:right w:w="0" w:type="dxa"/>
              <w:bottom w:w="0" w:type="dxa"/>
            </w:tcMar>
            <w:tcW w:w="620"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货车生产企业</w:t>
            </w:r>
            <w:r>
              <w:rPr>
                <w:rFonts w:ascii="Arial" w:hAnsi="Arial" w:eastAsia="宋体" w:cs="Arial"/>
                <w:b/>
                <w:szCs w:val="21"/>
              </w:rPr>
            </w:r>
            <w:r/>
          </w:p>
        </w:tc>
        <w:tc>
          <w:tcPr>
            <w:tcMar>
              <w:left w:w="0" w:type="dxa"/>
              <w:top w:w="0" w:type="dxa"/>
              <w:right w:w="0" w:type="dxa"/>
              <w:bottom w:w="0" w:type="dxa"/>
            </w:tcMar>
            <w:tcW w:w="867"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国六阶段重型柴油车</w:t>
            </w:r>
            <w:r>
              <w:rPr>
                <w:rFonts w:ascii="Arial" w:hAnsi="Arial" w:eastAsia="宋体" w:cs="Arial"/>
                <w:b/>
                <w:szCs w:val="21"/>
              </w:rPr>
            </w:r>
            <w:r/>
          </w:p>
        </w:tc>
        <w:tc>
          <w:tcPr>
            <w:tcMar>
              <w:left w:w="0" w:type="dxa"/>
              <w:top w:w="0" w:type="dxa"/>
              <w:right w:w="0" w:type="dxa"/>
              <w:bottom w:w="0" w:type="dxa"/>
            </w:tcMar>
            <w:tcW w:w="1111"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GB17691-2018</w:t>
            </w: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环保信息公开查验</w:t>
            </w:r>
            <w:r>
              <w:rPr>
                <w:rFonts w:ascii="Arial" w:hAnsi="Arial" w:eastAsia="宋体" w:cs="Arial"/>
                <w:b/>
                <w:szCs w:val="21"/>
              </w:rPr>
            </w:r>
            <w:r/>
          </w:p>
        </w:tc>
        <w:tc>
          <w:tcPr>
            <w:tcMar>
              <w:left w:w="0" w:type="dxa"/>
              <w:top w:w="0" w:type="dxa"/>
              <w:right w:w="0" w:type="dxa"/>
              <w:bottom w:w="0" w:type="dxa"/>
            </w:tcMar>
            <w:tcW w:w="546" w:type="dxa"/>
            <w:vAlign w:val="center"/>
            <w:vMerge w:val="restart"/>
            <w:textDirection w:val="lrTb"/>
            <w:noWrap w:val="false"/>
          </w:tcPr>
          <w:p>
            <w:pPr>
              <w:pStyle w:val="1561"/>
              <w:jc w:val="center"/>
              <w:spacing w:line="360" w:lineRule="auto"/>
              <w:rPr>
                <w:rFonts w:ascii="Arial" w:hAnsi="Arial" w:eastAsia="宋体" w:cs="Arial"/>
                <w:b/>
                <w:szCs w:val="21"/>
                <w:vertAlign w:val="superscript"/>
              </w:rPr>
            </w:pPr>
            <w:r>
              <w:rPr>
                <w:rFonts w:ascii="Arial" w:hAnsi="Arial" w:eastAsia="宋体" w:cs="Arial"/>
                <w:b/>
                <w:szCs w:val="21"/>
              </w:rPr>
              <w:t xml:space="preserve">15</w:t>
            </w:r>
            <w:r>
              <w:rPr>
                <w:rFonts w:ascii="Arial" w:hAnsi="Arial" w:eastAsia="宋体" w:cs="Arial"/>
                <w:b/>
                <w:szCs w:val="21"/>
                <w:vertAlign w:val="superscript"/>
              </w:rPr>
              <w:t xml:space="preserve">（1）</w:t>
            </w:r>
            <w:r>
              <w:rPr>
                <w:rFonts w:ascii="Arial" w:hAnsi="Arial" w:eastAsia="宋体" w:cs="Arial"/>
                <w:b/>
                <w:szCs w:val="21"/>
                <w:vertAlign w:val="superscript"/>
              </w:rPr>
            </w:r>
            <w:r/>
          </w:p>
        </w:tc>
      </w:tr>
      <w:tr>
        <w:trPr>
          <w:trHeight w:val="340"/>
        </w:trPr>
        <w:tc>
          <w:tcPr>
            <w:tcMar>
              <w:left w:w="0" w:type="dxa"/>
              <w:top w:w="0" w:type="dxa"/>
              <w:right w:w="0" w:type="dxa"/>
              <w:bottom w:w="0" w:type="dxa"/>
            </w:tcMar>
            <w:tcW w:w="316"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2</w:t>
            </w:r>
            <w:r>
              <w:rPr>
                <w:rFonts w:ascii="Arial" w:hAnsi="Arial" w:eastAsia="宋体" w:cs="Arial"/>
                <w:b/>
                <w:szCs w:val="21"/>
              </w:rPr>
            </w:r>
            <w:r/>
          </w:p>
        </w:tc>
        <w:tc>
          <w:tcPr>
            <w:tcMar>
              <w:left w:w="0" w:type="dxa"/>
              <w:top w:w="0" w:type="dxa"/>
              <w:right w:w="0" w:type="dxa"/>
              <w:bottom w:w="0" w:type="dxa"/>
            </w:tcMar>
            <w:tcW w:w="620"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867"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111"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车载诊断系统（OBD）装置核查</w:t>
            </w:r>
            <w:r>
              <w:rPr>
                <w:rFonts w:ascii="Arial" w:hAnsi="Arial" w:eastAsia="宋体" w:cs="Arial"/>
                <w:b/>
                <w:szCs w:val="21"/>
              </w:rPr>
            </w:r>
            <w:r/>
          </w:p>
        </w:tc>
        <w:tc>
          <w:tcPr>
            <w:tcMar>
              <w:left w:w="0" w:type="dxa"/>
              <w:top w:w="0" w:type="dxa"/>
              <w:right w:w="0" w:type="dxa"/>
              <w:bottom w:w="0" w:type="dxa"/>
            </w:tcMar>
            <w:tcW w:w="546"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r>
      <w:tr>
        <w:trPr>
          <w:trHeight w:val="340"/>
        </w:trPr>
        <w:tc>
          <w:tcPr>
            <w:tcMar>
              <w:left w:w="0" w:type="dxa"/>
              <w:top w:w="0" w:type="dxa"/>
              <w:right w:w="0" w:type="dxa"/>
              <w:bottom w:w="0" w:type="dxa"/>
            </w:tcMar>
            <w:tcW w:w="316"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3</w:t>
            </w:r>
            <w:r>
              <w:rPr>
                <w:rFonts w:ascii="Arial" w:hAnsi="Arial" w:eastAsia="宋体" w:cs="Arial"/>
                <w:b/>
                <w:szCs w:val="21"/>
              </w:rPr>
            </w:r>
            <w:r/>
          </w:p>
        </w:tc>
        <w:tc>
          <w:tcPr>
            <w:tcMar>
              <w:left w:w="0" w:type="dxa"/>
              <w:top w:w="0" w:type="dxa"/>
              <w:right w:w="0" w:type="dxa"/>
              <w:bottom w:w="0" w:type="dxa"/>
            </w:tcMar>
            <w:tcW w:w="620"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867"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111"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重型车实际道路行驶排放测试</w:t>
            </w:r>
            <w:r>
              <w:rPr>
                <w:rFonts w:ascii="Arial" w:hAnsi="Arial" w:eastAsia="宋体" w:cs="Arial"/>
                <w:b/>
                <w:szCs w:val="21"/>
              </w:rPr>
            </w:r>
            <w:r/>
          </w:p>
        </w:tc>
        <w:tc>
          <w:tcPr>
            <w:tcMar>
              <w:left w:w="0" w:type="dxa"/>
              <w:top w:w="0" w:type="dxa"/>
              <w:right w:w="0" w:type="dxa"/>
              <w:bottom w:w="0" w:type="dxa"/>
            </w:tcMar>
            <w:tcW w:w="546" w:type="dxa"/>
            <w:vAlign w:val="center"/>
            <w:textDirection w:val="lrTb"/>
            <w:noWrap w:val="false"/>
          </w:tcPr>
          <w:p>
            <w:pPr>
              <w:pStyle w:val="1561"/>
              <w:jc w:val="center"/>
              <w:spacing w:line="360" w:lineRule="auto"/>
              <w:rPr>
                <w:rFonts w:ascii="Arial" w:hAnsi="Arial" w:eastAsia="宋体" w:cs="Arial"/>
                <w:b/>
                <w:szCs w:val="21"/>
                <w:vertAlign w:val="superscript"/>
              </w:rPr>
            </w:pPr>
            <w:r>
              <w:rPr>
                <w:rFonts w:ascii="Arial" w:hAnsi="Arial" w:eastAsia="宋体" w:cs="Arial"/>
                <w:b/>
                <w:szCs w:val="21"/>
              </w:rPr>
              <w:t xml:space="preserve">10</w:t>
            </w:r>
            <w:r>
              <w:rPr>
                <w:rFonts w:ascii="Arial" w:hAnsi="Arial" w:eastAsia="宋体" w:cs="Arial"/>
                <w:b/>
                <w:szCs w:val="21"/>
                <w:vertAlign w:val="superscript"/>
              </w:rPr>
              <w:t xml:space="preserve">（2）</w:t>
            </w:r>
            <w:r>
              <w:rPr>
                <w:rFonts w:ascii="Arial" w:hAnsi="Arial" w:eastAsia="宋体" w:cs="Arial"/>
                <w:b/>
                <w:szCs w:val="21"/>
                <w:vertAlign w:val="superscript"/>
              </w:rPr>
            </w:r>
            <w:r/>
          </w:p>
        </w:tc>
      </w:tr>
      <w:tr>
        <w:trPr>
          <w:trHeight w:val="340"/>
        </w:trPr>
        <w:tc>
          <w:tcPr>
            <w:tcMar>
              <w:left w:w="0" w:type="dxa"/>
              <w:top w:w="0" w:type="dxa"/>
              <w:right w:w="0" w:type="dxa"/>
              <w:bottom w:w="0" w:type="dxa"/>
            </w:tcMar>
            <w:tcW w:w="532"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4</w:t>
            </w:r>
            <w:r>
              <w:rPr>
                <w:rFonts w:ascii="Arial" w:hAnsi="Arial" w:eastAsia="宋体" w:cs="Arial"/>
                <w:b/>
                <w:szCs w:val="21"/>
              </w:rPr>
            </w:r>
            <w:r/>
          </w:p>
        </w:tc>
        <w:tc>
          <w:tcPr>
            <w:tcMar>
              <w:left w:w="0" w:type="dxa"/>
              <w:top w:w="0" w:type="dxa"/>
              <w:right w:w="0" w:type="dxa"/>
              <w:bottom w:w="0" w:type="dxa"/>
            </w:tcMar>
            <w:tcW w:w="620"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货车销售企业</w:t>
            </w:r>
            <w:r>
              <w:rPr>
                <w:rFonts w:ascii="Arial" w:hAnsi="Arial" w:eastAsia="宋体" w:cs="Arial"/>
                <w:b/>
                <w:szCs w:val="21"/>
              </w:rPr>
            </w:r>
            <w:r/>
          </w:p>
        </w:tc>
        <w:tc>
          <w:tcPr>
            <w:tcMar>
              <w:left w:w="0" w:type="dxa"/>
              <w:top w:w="0" w:type="dxa"/>
              <w:right w:w="0" w:type="dxa"/>
              <w:bottom w:w="0" w:type="dxa"/>
            </w:tcMar>
            <w:tcW w:w="867"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国六阶段重型柴油车</w:t>
            </w:r>
            <w:r>
              <w:rPr>
                <w:rFonts w:ascii="Arial" w:hAnsi="Arial" w:eastAsia="宋体" w:cs="Arial"/>
                <w:b/>
                <w:szCs w:val="21"/>
              </w:rPr>
            </w:r>
            <w:r/>
          </w:p>
        </w:tc>
        <w:tc>
          <w:tcPr>
            <w:tcMar>
              <w:left w:w="0" w:type="dxa"/>
              <w:top w:w="0" w:type="dxa"/>
              <w:right w:w="0" w:type="dxa"/>
              <w:bottom w:w="0" w:type="dxa"/>
            </w:tcMar>
            <w:tcW w:w="1111"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GB17691-2018</w:t>
            </w: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环保信息公开查验</w:t>
            </w:r>
            <w:r>
              <w:rPr>
                <w:rFonts w:ascii="Arial" w:hAnsi="Arial" w:eastAsia="宋体" w:cs="Arial"/>
                <w:b/>
                <w:szCs w:val="21"/>
              </w:rPr>
            </w:r>
            <w:r/>
          </w:p>
        </w:tc>
        <w:tc>
          <w:tcPr>
            <w:tcMar>
              <w:left w:w="0" w:type="dxa"/>
              <w:top w:w="0" w:type="dxa"/>
              <w:right w:w="0" w:type="dxa"/>
              <w:bottom w:w="0" w:type="dxa"/>
            </w:tcMar>
            <w:tcW w:w="546" w:type="dxa"/>
            <w:vAlign w:val="center"/>
            <w:vMerge w:val="restart"/>
            <w:textDirection w:val="lrTb"/>
            <w:noWrap w:val="false"/>
          </w:tcPr>
          <w:p>
            <w:pPr>
              <w:pStyle w:val="1561"/>
              <w:jc w:val="center"/>
              <w:spacing w:line="360" w:lineRule="auto"/>
              <w:rPr>
                <w:rFonts w:ascii="Arial" w:hAnsi="Arial" w:eastAsia="宋体" w:cs="Arial"/>
                <w:b/>
                <w:szCs w:val="21"/>
                <w:vertAlign w:val="superscript"/>
              </w:rPr>
            </w:pPr>
            <w:r>
              <w:rPr>
                <w:rFonts w:ascii="Arial" w:hAnsi="Arial" w:eastAsia="宋体" w:cs="Arial"/>
                <w:b/>
                <w:szCs w:val="21"/>
              </w:rPr>
              <w:t xml:space="preserve">15</w:t>
            </w:r>
            <w:r>
              <w:rPr>
                <w:rFonts w:ascii="Arial" w:hAnsi="Arial" w:eastAsia="宋体" w:cs="Arial"/>
                <w:b/>
                <w:szCs w:val="21"/>
                <w:vertAlign w:val="superscript"/>
              </w:rPr>
              <w:t xml:space="preserve">（1）</w:t>
            </w:r>
            <w:r>
              <w:rPr>
                <w:rFonts w:ascii="Arial" w:hAnsi="Arial" w:eastAsia="宋体" w:cs="Arial"/>
                <w:b/>
                <w:szCs w:val="21"/>
                <w:vertAlign w:val="superscript"/>
              </w:rPr>
            </w:r>
            <w:r/>
          </w:p>
        </w:tc>
      </w:tr>
      <w:tr>
        <w:trPr>
          <w:trHeight w:val="340"/>
        </w:trPr>
        <w:tc>
          <w:tcPr>
            <w:tcMar>
              <w:left w:w="0" w:type="dxa"/>
              <w:top w:w="0" w:type="dxa"/>
              <w:right w:w="0" w:type="dxa"/>
              <w:bottom w:w="0" w:type="dxa"/>
            </w:tcMar>
            <w:tcW w:w="532"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5</w:t>
            </w:r>
            <w:r>
              <w:rPr>
                <w:rFonts w:ascii="Arial" w:hAnsi="Arial" w:eastAsia="宋体" w:cs="Arial"/>
                <w:b/>
                <w:szCs w:val="21"/>
              </w:rPr>
            </w:r>
            <w:r/>
          </w:p>
        </w:tc>
        <w:tc>
          <w:tcPr>
            <w:tcMar>
              <w:left w:w="0" w:type="dxa"/>
              <w:top w:w="0" w:type="dxa"/>
              <w:right w:w="0" w:type="dxa"/>
              <w:bottom w:w="0" w:type="dxa"/>
            </w:tcMar>
            <w:tcW w:w="620"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867"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111"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车载诊断系统（OBD）装置核查</w:t>
            </w:r>
            <w:r>
              <w:rPr>
                <w:rFonts w:ascii="Arial" w:hAnsi="Arial" w:eastAsia="宋体" w:cs="Arial"/>
                <w:b/>
                <w:szCs w:val="21"/>
              </w:rPr>
            </w:r>
            <w:r/>
          </w:p>
        </w:tc>
        <w:tc>
          <w:tcPr>
            <w:tcMar>
              <w:left w:w="0" w:type="dxa"/>
              <w:top w:w="0" w:type="dxa"/>
              <w:right w:w="0" w:type="dxa"/>
              <w:bottom w:w="0" w:type="dxa"/>
            </w:tcMar>
            <w:tcW w:w="546"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r>
      <w:tr>
        <w:trPr>
          <w:trHeight w:val="340"/>
        </w:trPr>
        <w:tc>
          <w:tcPr>
            <w:tcMar>
              <w:left w:w="0" w:type="dxa"/>
              <w:top w:w="0" w:type="dxa"/>
              <w:right w:w="0" w:type="dxa"/>
              <w:bottom w:w="0" w:type="dxa"/>
            </w:tcMar>
            <w:tcW w:w="532"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6</w:t>
            </w:r>
            <w:r>
              <w:rPr>
                <w:rFonts w:ascii="Arial" w:hAnsi="Arial" w:eastAsia="宋体" w:cs="Arial"/>
                <w:b/>
                <w:szCs w:val="21"/>
              </w:rPr>
            </w:r>
            <w:r/>
          </w:p>
        </w:tc>
        <w:tc>
          <w:tcPr>
            <w:tcMar>
              <w:left w:w="0" w:type="dxa"/>
              <w:top w:w="0" w:type="dxa"/>
              <w:right w:w="0" w:type="dxa"/>
              <w:bottom w:w="0" w:type="dxa"/>
            </w:tcMar>
            <w:tcW w:w="620"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867"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111"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重型柴油车远程排放管理车载终端核查</w:t>
            </w:r>
            <w:r>
              <w:rPr>
                <w:rFonts w:ascii="Arial" w:hAnsi="Arial" w:eastAsia="宋体" w:cs="Arial"/>
                <w:b/>
                <w:szCs w:val="21"/>
              </w:rPr>
            </w:r>
            <w:r/>
          </w:p>
        </w:tc>
        <w:tc>
          <w:tcPr>
            <w:tcMar>
              <w:left w:w="0" w:type="dxa"/>
              <w:top w:w="0" w:type="dxa"/>
              <w:right w:w="0" w:type="dxa"/>
              <w:bottom w:w="0" w:type="dxa"/>
            </w:tcMar>
            <w:tcW w:w="546"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r>
      <w:tr>
        <w:trPr>
          <w:trHeight w:val="340"/>
        </w:trPr>
        <w:tc>
          <w:tcPr>
            <w:tcMar>
              <w:left w:w="0" w:type="dxa"/>
              <w:top w:w="0" w:type="dxa"/>
              <w:right w:w="0" w:type="dxa"/>
              <w:bottom w:w="0" w:type="dxa"/>
            </w:tcMar>
            <w:tcW w:w="532"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7</w:t>
            </w:r>
            <w:r>
              <w:rPr>
                <w:rFonts w:ascii="Arial" w:hAnsi="Arial" w:eastAsia="宋体" w:cs="Arial"/>
                <w:b/>
                <w:szCs w:val="21"/>
              </w:rPr>
            </w:r>
            <w:r/>
          </w:p>
        </w:tc>
        <w:tc>
          <w:tcPr>
            <w:tcMar>
              <w:left w:w="0" w:type="dxa"/>
              <w:top w:w="0" w:type="dxa"/>
              <w:right w:w="0" w:type="dxa"/>
              <w:bottom w:w="0" w:type="dxa"/>
            </w:tcMar>
            <w:tcW w:w="620"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非道路移动机械生产企业</w:t>
            </w:r>
            <w:r>
              <w:rPr>
                <w:rFonts w:ascii="Arial" w:hAnsi="Arial" w:eastAsia="宋体" w:cs="Arial"/>
                <w:b/>
                <w:szCs w:val="21"/>
              </w:rPr>
            </w:r>
            <w:r/>
          </w:p>
        </w:tc>
        <w:tc>
          <w:tcPr>
            <w:tcMar>
              <w:left w:w="0" w:type="dxa"/>
              <w:top w:w="0" w:type="dxa"/>
              <w:right w:w="0" w:type="dxa"/>
              <w:bottom w:w="0" w:type="dxa"/>
            </w:tcMar>
            <w:tcW w:w="867"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国四非道路</w:t>
            </w:r>
            <w:r>
              <w:rPr>
                <w:rFonts w:ascii="Arial" w:hAnsi="Arial" w:eastAsia="宋体" w:cs="Arial"/>
                <w:b/>
                <w:szCs w:val="21"/>
              </w:rPr>
            </w:r>
            <w:r/>
          </w:p>
          <w:p>
            <w:pPr>
              <w:pStyle w:val="1561"/>
              <w:jc w:val="center"/>
              <w:spacing w:line="360" w:lineRule="auto"/>
              <w:rPr>
                <w:rFonts w:ascii="Arial" w:hAnsi="Arial" w:eastAsia="宋体" w:cs="Arial"/>
                <w:b/>
                <w:szCs w:val="21"/>
              </w:rPr>
            </w:pPr>
            <w:r>
              <w:rPr>
                <w:rFonts w:ascii="Arial" w:hAnsi="Arial" w:eastAsia="宋体" w:cs="Arial"/>
                <w:b/>
                <w:szCs w:val="21"/>
              </w:rPr>
              <w:t xml:space="preserve">移动机械</w:t>
            </w:r>
            <w:r>
              <w:rPr>
                <w:rFonts w:ascii="Arial" w:hAnsi="Arial" w:eastAsia="宋体" w:cs="Arial"/>
                <w:b/>
                <w:szCs w:val="21"/>
              </w:rPr>
            </w:r>
            <w:r/>
          </w:p>
        </w:tc>
        <w:tc>
          <w:tcPr>
            <w:tcMar>
              <w:left w:w="0" w:type="dxa"/>
              <w:top w:w="0" w:type="dxa"/>
              <w:right w:w="0" w:type="dxa"/>
              <w:bottom w:w="0" w:type="dxa"/>
            </w:tcMar>
            <w:tcW w:w="1111" w:type="dxa"/>
            <w:vAlign w:val="center"/>
            <w:vMerge w:val="restart"/>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HJ1014-2020</w:t>
            </w: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环保信息公开查验</w:t>
            </w:r>
            <w:r>
              <w:rPr>
                <w:rFonts w:ascii="Arial" w:hAnsi="Arial" w:eastAsia="宋体" w:cs="Arial"/>
                <w:b/>
                <w:szCs w:val="21"/>
              </w:rPr>
            </w:r>
            <w:r/>
          </w:p>
        </w:tc>
        <w:tc>
          <w:tcPr>
            <w:tcMar>
              <w:left w:w="0" w:type="dxa"/>
              <w:top w:w="0" w:type="dxa"/>
              <w:right w:w="0" w:type="dxa"/>
              <w:bottom w:w="0" w:type="dxa"/>
            </w:tcMar>
            <w:tcW w:w="546" w:type="dxa"/>
            <w:vAlign w:val="center"/>
            <w:vMerge w:val="restart"/>
            <w:textDirection w:val="lrTb"/>
            <w:noWrap w:val="false"/>
          </w:tcPr>
          <w:p>
            <w:pPr>
              <w:pStyle w:val="1561"/>
              <w:jc w:val="center"/>
              <w:spacing w:line="360" w:lineRule="auto"/>
              <w:rPr>
                <w:rFonts w:ascii="Arial" w:hAnsi="Arial" w:eastAsia="宋体" w:cs="Arial"/>
                <w:szCs w:val="21"/>
              </w:rPr>
            </w:pPr>
            <w:r>
              <w:rPr>
                <w:rFonts w:ascii="Arial" w:hAnsi="Arial" w:eastAsia="宋体" w:cs="Arial"/>
                <w:b/>
                <w:szCs w:val="21"/>
              </w:rPr>
              <w:t xml:space="preserve">230</w:t>
            </w:r>
            <w:r>
              <w:rPr>
                <w:rFonts w:ascii="Arial" w:hAnsi="Arial" w:eastAsia="宋体" w:cs="Arial"/>
                <w:szCs w:val="21"/>
              </w:rPr>
            </w:r>
            <w:r/>
          </w:p>
        </w:tc>
      </w:tr>
      <w:tr>
        <w:trPr>
          <w:trHeight w:val="340"/>
        </w:trPr>
        <w:tc>
          <w:tcPr>
            <w:tcMar>
              <w:left w:w="0" w:type="dxa"/>
              <w:top w:w="0" w:type="dxa"/>
              <w:right w:w="0" w:type="dxa"/>
              <w:bottom w:w="0" w:type="dxa"/>
            </w:tcMar>
            <w:tcW w:w="532"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8</w:t>
            </w:r>
            <w:r>
              <w:rPr>
                <w:rFonts w:ascii="Arial" w:hAnsi="Arial" w:eastAsia="宋体" w:cs="Arial"/>
                <w:b/>
                <w:szCs w:val="21"/>
              </w:rPr>
            </w:r>
            <w:r/>
          </w:p>
        </w:tc>
        <w:tc>
          <w:tcPr>
            <w:tcMar>
              <w:left w:w="0" w:type="dxa"/>
              <w:top w:w="0" w:type="dxa"/>
              <w:right w:w="0" w:type="dxa"/>
              <w:bottom w:w="0" w:type="dxa"/>
            </w:tcMar>
            <w:tcW w:w="620"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867"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111"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NOx控制诊断系统（NCD）、颗粒物控制诊断系统（PCD）核查</w:t>
            </w:r>
            <w:r>
              <w:rPr>
                <w:rFonts w:ascii="Arial" w:hAnsi="Arial" w:eastAsia="宋体" w:cs="Arial"/>
                <w:b/>
                <w:szCs w:val="21"/>
              </w:rPr>
            </w:r>
            <w:r/>
          </w:p>
        </w:tc>
        <w:tc>
          <w:tcPr>
            <w:tcMar>
              <w:left w:w="0" w:type="dxa"/>
              <w:top w:w="0" w:type="dxa"/>
              <w:right w:w="0" w:type="dxa"/>
              <w:bottom w:w="0" w:type="dxa"/>
            </w:tcMar>
            <w:tcW w:w="546"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r>
      <w:tr>
        <w:trPr>
          <w:trHeight w:val="340"/>
        </w:trPr>
        <w:tc>
          <w:tcPr>
            <w:tcMar>
              <w:left w:w="0" w:type="dxa"/>
              <w:top w:w="0" w:type="dxa"/>
              <w:right w:w="0" w:type="dxa"/>
              <w:bottom w:w="0" w:type="dxa"/>
            </w:tcMar>
            <w:tcW w:w="532"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9</w:t>
            </w:r>
            <w:r>
              <w:rPr>
                <w:rFonts w:ascii="Arial" w:hAnsi="Arial" w:eastAsia="宋体" w:cs="Arial"/>
                <w:b/>
                <w:szCs w:val="21"/>
              </w:rPr>
            </w:r>
            <w:r/>
          </w:p>
        </w:tc>
        <w:tc>
          <w:tcPr>
            <w:tcMar>
              <w:left w:w="0" w:type="dxa"/>
              <w:top w:w="0" w:type="dxa"/>
              <w:right w:w="0" w:type="dxa"/>
              <w:bottom w:w="0" w:type="dxa"/>
            </w:tcMar>
            <w:tcW w:w="620"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867"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111" w:type="dxa"/>
            <w:vAlign w:val="center"/>
            <w:vMerge w:val="continue"/>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r>
            <w:r/>
          </w:p>
        </w:tc>
        <w:tc>
          <w:tcPr>
            <w:tcMar>
              <w:left w:w="0" w:type="dxa"/>
              <w:top w:w="0" w:type="dxa"/>
              <w:right w:w="0" w:type="dxa"/>
              <w:bottom w:w="0" w:type="dxa"/>
            </w:tcMar>
            <w:tcW w:w="1537"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车载法（PEMS）检测</w:t>
            </w:r>
            <w:r>
              <w:rPr>
                <w:rFonts w:ascii="Arial" w:hAnsi="Arial" w:eastAsia="宋体" w:cs="Arial"/>
                <w:b/>
                <w:szCs w:val="21"/>
              </w:rPr>
            </w:r>
            <w:r/>
          </w:p>
        </w:tc>
        <w:tc>
          <w:tcPr>
            <w:tcMar>
              <w:left w:w="0" w:type="dxa"/>
              <w:top w:w="0" w:type="dxa"/>
              <w:right w:w="0" w:type="dxa"/>
              <w:bottom w:w="0" w:type="dxa"/>
            </w:tcMar>
            <w:tcW w:w="546" w:type="dxa"/>
            <w:vAlign w:val="center"/>
            <w:textDirection w:val="lrTb"/>
            <w:noWrap w:val="false"/>
          </w:tcPr>
          <w:p>
            <w:pPr>
              <w:pStyle w:val="1561"/>
              <w:jc w:val="center"/>
              <w:spacing w:line="360" w:lineRule="auto"/>
              <w:rPr>
                <w:rFonts w:ascii="Arial" w:hAnsi="Arial" w:eastAsia="宋体" w:cs="Arial"/>
                <w:b/>
                <w:szCs w:val="21"/>
              </w:rPr>
            </w:pPr>
            <w:r>
              <w:rPr>
                <w:rFonts w:ascii="Arial" w:hAnsi="Arial" w:eastAsia="宋体" w:cs="Arial"/>
                <w:b/>
                <w:szCs w:val="21"/>
              </w:rPr>
              <w:t xml:space="preserve">10</w:t>
            </w:r>
            <w:r>
              <w:rPr>
                <w:rFonts w:ascii="Arial" w:hAnsi="Arial" w:eastAsia="宋体" w:cs="Arial"/>
                <w:b/>
                <w:szCs w:val="21"/>
              </w:rPr>
            </w:r>
            <w:r/>
          </w:p>
        </w:tc>
      </w:tr>
      <w:tr>
        <w:trPr>
          <w:trHeight w:val="340"/>
        </w:trPr>
        <w:tc>
          <w:tcPr>
            <w:gridSpan w:val="6"/>
            <w:tcMar>
              <w:left w:w="0" w:type="dxa"/>
              <w:top w:w="0" w:type="dxa"/>
              <w:right w:w="0" w:type="dxa"/>
              <w:bottom w:w="0" w:type="dxa"/>
            </w:tcMar>
            <w:tcW w:w="9768" w:type="dxa"/>
            <w:vAlign w:val="center"/>
            <w:textDirection w:val="lrTb"/>
            <w:noWrap w:val="false"/>
          </w:tcPr>
          <w:p>
            <w:pPr>
              <w:pStyle w:val="1600"/>
              <w:jc w:val="left"/>
              <w:spacing w:before="120" w:after="120" w:line="360" w:lineRule="auto"/>
              <w:rPr>
                <w:rFonts w:ascii="Arial" w:hAnsi="Arial" w:eastAsia="宋体" w:cs="Arial"/>
                <w:b/>
                <w:szCs w:val="21"/>
              </w:rPr>
            </w:pPr>
            <w:r>
              <w:rPr>
                <w:rFonts w:ascii="Arial" w:hAnsi="Arial" w:eastAsia="宋体" w:cs="Arial"/>
                <w:b/>
                <w:szCs w:val="21"/>
              </w:rPr>
              <w:t xml:space="preserve">备注：</w:t>
            </w:r>
            <w:r>
              <w:rPr>
                <w:rFonts w:ascii="Arial" w:hAnsi="Arial" w:eastAsia="宋体" w:cs="Arial"/>
                <w:b/>
                <w:szCs w:val="21"/>
              </w:rPr>
            </w:r>
            <w:r/>
          </w:p>
          <w:p>
            <w:pPr>
              <w:pStyle w:val="1600"/>
              <w:jc w:val="left"/>
              <w:spacing w:before="120" w:after="120" w:line="360" w:lineRule="auto"/>
              <w:rPr>
                <w:rFonts w:ascii="Arial" w:hAnsi="Arial" w:eastAsia="宋体" w:cs="Arial"/>
                <w:b/>
                <w:szCs w:val="21"/>
              </w:rPr>
            </w:pPr>
            <w:r>
              <w:rPr>
                <w:rFonts w:ascii="Arial" w:hAnsi="Arial" w:eastAsia="宋体" w:cs="Arial"/>
                <w:b/>
                <w:szCs w:val="21"/>
              </w:rPr>
              <w:t xml:space="preserve">（1）货车生产企业和货车销售企业环保信息公开查验</w:t>
            </w:r>
            <w:r>
              <w:rPr>
                <w:rFonts w:ascii="Arial" w:hAnsi="Arial" w:eastAsia="宋体" w:cs="Arial"/>
                <w:b/>
                <w:szCs w:val="21"/>
                <w:lang w:val="en-US" w:eastAsia="zh-CN"/>
              </w:rPr>
              <w:t xml:space="preserve">及OBD核查等现场核查项目</w:t>
            </w:r>
            <w:r>
              <w:rPr>
                <w:rFonts w:ascii="Arial" w:hAnsi="Arial" w:eastAsia="宋体" w:cs="Arial"/>
                <w:b/>
                <w:szCs w:val="21"/>
              </w:rPr>
              <w:t xml:space="preserve">数量可按总数不少于30</w:t>
            </w:r>
            <w:r>
              <w:rPr>
                <w:rFonts w:ascii="Arial" w:hAnsi="Arial" w:eastAsia="宋体" w:cs="Arial"/>
                <w:b/>
                <w:szCs w:val="21"/>
                <w:lang w:val="en-US" w:eastAsia="zh-CN"/>
              </w:rPr>
              <w:t xml:space="preserve">台</w:t>
            </w:r>
            <w:r>
              <w:rPr>
                <w:rFonts w:ascii="Arial" w:hAnsi="Arial" w:eastAsia="宋体" w:cs="Arial"/>
                <w:b/>
                <w:szCs w:val="21"/>
              </w:rPr>
              <w:t xml:space="preserve">计算。</w:t>
            </w:r>
            <w:r>
              <w:rPr>
                <w:rFonts w:ascii="Arial" w:hAnsi="Arial" w:eastAsia="宋体" w:cs="Arial"/>
                <w:b/>
                <w:szCs w:val="21"/>
              </w:rPr>
            </w:r>
            <w:r/>
          </w:p>
          <w:p>
            <w:pPr>
              <w:pStyle w:val="1600"/>
              <w:ind w:firstLine="0"/>
              <w:jc w:val="left"/>
              <w:spacing w:before="120" w:after="120" w:line="360" w:lineRule="auto"/>
              <w:rPr>
                <w:rFonts w:ascii="Arial" w:hAnsi="Arial" w:eastAsia="宋体" w:cs="Arial"/>
                <w:b/>
                <w:szCs w:val="21"/>
              </w:rPr>
            </w:pPr>
            <w:r>
              <w:rPr>
                <w:rFonts w:ascii="Arial" w:hAnsi="Arial" w:eastAsia="宋体" w:cs="Arial"/>
                <w:b/>
                <w:szCs w:val="21"/>
              </w:rPr>
              <w:t xml:space="preserve">（2）重型车实际道路行驶排放测试实际抽取数量不足可抽取发动机系族。</w:t>
            </w:r>
            <w:r>
              <w:rPr>
                <w:rFonts w:ascii="Arial" w:hAnsi="Arial" w:eastAsia="宋体" w:cs="Arial"/>
                <w:b/>
                <w:szCs w:val="21"/>
              </w:rPr>
            </w:r>
            <w:r/>
          </w:p>
          <w:p>
            <w:pPr>
              <w:pStyle w:val="1600"/>
              <w:ind w:firstLine="0"/>
              <w:jc w:val="left"/>
              <w:spacing w:before="120" w:after="120" w:line="360" w:lineRule="auto"/>
              <w:rPr>
                <w:rFonts w:ascii="Arial" w:hAnsi="Arial" w:eastAsia="宋体" w:cs="Arial"/>
                <w:b/>
                <w:szCs w:val="21"/>
              </w:rPr>
            </w:pPr>
            <w:r>
              <w:rPr>
                <w:rFonts w:ascii="Arial" w:hAnsi="Arial" w:eastAsia="宋体" w:cs="Arial"/>
                <w:b/>
                <w:szCs w:val="21"/>
              </w:rPr>
              <w:t xml:space="preserve">目前国家尚无针对发动机、摩托车、轻重型汽油车等生产企业的环保达标</w:t>
            </w:r>
            <w:r>
              <w:rPr>
                <w:rFonts w:hint="eastAsia" w:ascii="Arial" w:hAnsi="Arial" w:eastAsia="宋体" w:cs="Arial"/>
                <w:b/>
                <w:szCs w:val="21"/>
                <w:lang w:eastAsia="zh-CN"/>
              </w:rPr>
              <w:t xml:space="preserve">抽查核验</w:t>
            </w:r>
            <w:r>
              <w:rPr>
                <w:rFonts w:ascii="Arial" w:hAnsi="Arial" w:eastAsia="宋体" w:cs="Arial"/>
                <w:b/>
                <w:szCs w:val="21"/>
              </w:rPr>
              <w:t xml:space="preserve">任务要求，后续如国家下达相关文件，则优先保障国家任务全面完成，在此基础上，可根据实际情况适当调整抽查数量。</w:t>
            </w:r>
            <w:r>
              <w:rPr>
                <w:rFonts w:ascii="Arial" w:hAnsi="Arial" w:eastAsia="宋体" w:cs="Arial"/>
                <w:b/>
                <w:szCs w:val="21"/>
              </w:rPr>
            </w:r>
            <w:r/>
          </w:p>
        </w:tc>
      </w:tr>
    </w:tbl>
    <w:p>
      <w:pPr>
        <w:pStyle w:val="1561"/>
        <w:ind w:firstLine="4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本次</w:t>
      </w:r>
      <w:r>
        <w:rPr>
          <w:rFonts w:hint="eastAsia" w:ascii="宋体" w:hAnsi="宋体" w:eastAsia="宋体" w:cs="宋体"/>
          <w:sz w:val="21"/>
          <w:szCs w:val="21"/>
          <w:lang w:eastAsia="zh-CN"/>
        </w:rPr>
        <w:t xml:space="preserve">抽查核验</w:t>
      </w:r>
      <w:r>
        <w:rPr>
          <w:rFonts w:hint="eastAsia" w:ascii="宋体" w:hAnsi="宋体" w:eastAsia="宋体" w:cs="宋体"/>
          <w:sz w:val="21"/>
          <w:szCs w:val="21"/>
        </w:rPr>
        <w:t xml:space="preserve">工作将按照国家标准实施要求开展，核验内容包括</w:t>
      </w:r>
      <w:r>
        <w:rPr>
          <w:rFonts w:hint="eastAsia" w:ascii="宋体" w:hAnsi="宋体" w:eastAsia="宋体" w:cs="宋体"/>
          <w:b/>
          <w:sz w:val="21"/>
          <w:szCs w:val="21"/>
        </w:rPr>
        <w:t xml:space="preserve">环保信息公开查验、车载诊断系统（OBD）装置核查、非道路移动机械NCD及PCD核查、重型柴油车远程排放管理车载终端核查、整车（机）污染物排放测试、发动机污染物排放测试</w:t>
      </w:r>
      <w:r>
        <w:rPr>
          <w:rFonts w:hint="eastAsia" w:ascii="宋体" w:hAnsi="宋体" w:eastAsia="宋体" w:cs="宋体"/>
          <w:bCs/>
          <w:sz w:val="21"/>
          <w:szCs w:val="21"/>
        </w:rPr>
        <w:t xml:space="preserve">等</w:t>
      </w:r>
      <w:r>
        <w:rPr>
          <w:rFonts w:hint="eastAsia" w:ascii="宋体" w:hAnsi="宋体" w:eastAsia="宋体" w:cs="宋体"/>
          <w:sz w:val="21"/>
          <w:szCs w:val="21"/>
        </w:rPr>
        <w:t xml:space="preserve">工作。在投标时，</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制定响应招标要求的工作方案。投标人负责赴现场抽查及运输样品、检测后将样品送回等工作，保证检查期间样品完好。对于需进行复测的系族，应严格遵照相关管理规定及技术规范要求，规范完成复测工作，确保</w:t>
      </w:r>
      <w:r>
        <w:rPr>
          <w:rFonts w:hint="eastAsia" w:ascii="宋体" w:hAnsi="宋体" w:eastAsia="宋体" w:cs="宋体"/>
          <w:sz w:val="21"/>
          <w:szCs w:val="21"/>
          <w:lang w:eastAsia="zh-CN"/>
        </w:rPr>
        <w:t xml:space="preserve">抽查核验</w:t>
      </w:r>
      <w:r>
        <w:rPr>
          <w:rFonts w:hint="eastAsia" w:ascii="宋体" w:hAnsi="宋体" w:eastAsia="宋体" w:cs="宋体"/>
          <w:sz w:val="21"/>
          <w:szCs w:val="21"/>
        </w:rPr>
        <w:t xml:space="preserve">结果的准确性和权威性。</w:t>
      </w:r>
      <w:r>
        <w:rPr>
          <w:rFonts w:hint="eastAsia" w:ascii="宋体" w:hAnsi="宋体" w:eastAsia="宋体" w:cs="宋体"/>
          <w:sz w:val="21"/>
          <w:szCs w:val="21"/>
        </w:rPr>
      </w:r>
      <w:r/>
    </w:p>
    <w:p>
      <w:pPr>
        <w:pStyle w:val="1561"/>
        <w:ind w:firstLine="422"/>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2.1环保信息公开查验</w:t>
      </w:r>
      <w:r>
        <w:rPr>
          <w:rFonts w:hint="eastAsia" w:ascii="宋体" w:hAnsi="宋体" w:eastAsia="宋体" w:cs="宋体"/>
          <w:b/>
          <w:bCs/>
          <w:sz w:val="21"/>
          <w:szCs w:val="21"/>
        </w:rPr>
      </w:r>
      <w:r/>
    </w:p>
    <w:p>
      <w:pPr>
        <w:pStyle w:val="1561"/>
        <w:ind w:firstLine="4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核查新生产销售车（机）型系族是否按照要求进行环保信息公开，新生产销售的车（机）型系族环保信息随车清单与实车污染控制装置是否一致（对于部分污染控制装置信息无法在实车上查看到的车型系族，应在生产线上核实其污染控制装置与信息公开内容是否一致），新生产销售的</w:t>
      </w:r>
      <w:r>
        <w:rPr>
          <w:rFonts w:hint="eastAsia" w:ascii="宋体" w:hAnsi="宋体" w:eastAsia="宋体" w:cs="宋体"/>
          <w:sz w:val="21"/>
          <w:szCs w:val="21"/>
          <w:lang w:val="en-US" w:eastAsia="zh-CN"/>
        </w:rPr>
        <w:t xml:space="preserve">货车</w:t>
      </w:r>
      <w:r>
        <w:rPr>
          <w:rFonts w:hint="eastAsia" w:ascii="宋体" w:hAnsi="宋体" w:eastAsia="宋体" w:cs="宋体"/>
          <w:sz w:val="21"/>
          <w:szCs w:val="21"/>
        </w:rPr>
        <w:t xml:space="preserve">和非道路移动机械是否符合国家排放标准。</w:t>
      </w:r>
      <w:r>
        <w:rPr>
          <w:rFonts w:hint="eastAsia" w:ascii="宋体" w:hAnsi="宋体" w:eastAsia="宋体" w:cs="宋体"/>
          <w:sz w:val="21"/>
          <w:szCs w:val="21"/>
        </w:rPr>
      </w:r>
      <w:r/>
    </w:p>
    <w:p>
      <w:pPr>
        <w:pStyle w:val="1561"/>
        <w:ind w:firstLine="422"/>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2.2车载诊断系统（OBD）装置核查</w:t>
      </w:r>
      <w:r>
        <w:rPr>
          <w:rFonts w:hint="eastAsia" w:ascii="宋体" w:hAnsi="宋体" w:eastAsia="宋体" w:cs="宋体"/>
          <w:b/>
          <w:bCs/>
          <w:sz w:val="21"/>
          <w:szCs w:val="21"/>
        </w:rPr>
      </w:r>
      <w:r/>
    </w:p>
    <w:p>
      <w:pPr>
        <w:pStyle w:val="1561"/>
        <w:ind w:firstLine="4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主要进行车载OBD正常通讯模拟、DPF压差传感器、SCR氮氧化物传感器或尿素液位传感器等故障模拟，核查车辆的OBD设置是否符合标准规范的要求。</w:t>
      </w:r>
      <w:r>
        <w:rPr>
          <w:rFonts w:hint="eastAsia" w:ascii="宋体" w:hAnsi="宋体" w:eastAsia="宋体" w:cs="宋体"/>
          <w:sz w:val="21"/>
          <w:szCs w:val="21"/>
        </w:rPr>
      </w:r>
      <w:r/>
    </w:p>
    <w:p>
      <w:pPr>
        <w:pStyle w:val="1561"/>
        <w:ind w:firstLine="422"/>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2.3</w:t>
      </w:r>
      <w:r>
        <w:rPr>
          <w:rFonts w:hint="eastAsia" w:ascii="宋体" w:hAnsi="宋体" w:eastAsia="宋体" w:cs="宋体"/>
          <w:b/>
          <w:sz w:val="21"/>
          <w:szCs w:val="21"/>
        </w:rPr>
        <w:t xml:space="preserve">非道路移动机械</w:t>
      </w:r>
      <w:r>
        <w:rPr>
          <w:rFonts w:hint="eastAsia" w:ascii="宋体" w:hAnsi="宋体" w:eastAsia="宋体" w:cs="宋体"/>
          <w:b/>
          <w:bCs/>
          <w:sz w:val="21"/>
          <w:szCs w:val="21"/>
        </w:rPr>
        <w:t xml:space="preserve">NCD及PCD核查</w:t>
      </w:r>
      <w:r>
        <w:rPr>
          <w:rFonts w:hint="eastAsia" w:ascii="宋体" w:hAnsi="宋体" w:eastAsia="宋体" w:cs="宋体"/>
          <w:b/>
          <w:bCs/>
          <w:sz w:val="21"/>
          <w:szCs w:val="21"/>
        </w:rPr>
      </w:r>
      <w:r/>
    </w:p>
    <w:p>
      <w:pPr>
        <w:pStyle w:val="1561"/>
        <w:ind w:firstLine="420"/>
        <w:pageBreakBefore w:val="0"/>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主要针对配备NCD和PCD系统的非道路移动机械，检测系统通讯情况，进行与排放相关的传感器故障模拟，检查是否符合法规要求。</w:t>
      </w:r>
      <w:r>
        <w:rPr>
          <w:rFonts w:hint="eastAsia" w:ascii="宋体" w:hAnsi="宋体" w:eastAsia="宋体" w:cs="宋体"/>
          <w:b/>
          <w:bCs/>
          <w:sz w:val="21"/>
          <w:szCs w:val="21"/>
        </w:rPr>
      </w:r>
      <w:r/>
    </w:p>
    <w:p>
      <w:pPr>
        <w:pStyle w:val="1561"/>
        <w:ind w:firstLine="422"/>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2.4重型柴油车远程排放管理车载终端核查</w:t>
      </w:r>
      <w:r>
        <w:rPr>
          <w:rFonts w:hint="eastAsia" w:ascii="宋体" w:hAnsi="宋体" w:eastAsia="宋体" w:cs="宋体"/>
          <w:b/>
          <w:bCs/>
          <w:sz w:val="21"/>
          <w:szCs w:val="21"/>
        </w:rPr>
      </w:r>
      <w:r/>
    </w:p>
    <w:p>
      <w:pPr>
        <w:pStyle w:val="1561"/>
        <w:ind w:firstLine="420"/>
        <w:pageBreakBefore w:val="0"/>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按照GB17691-2018《重型柴油车污染物排放限值及测量方法（中国第六阶段）》《关于实施重型柴油车国六排放标准有关事宜的公告》（公告〔2021〕14号）的要求，对6b阶段重型柴油货车远程排放监控数据联网及质量进行核查。</w:t>
      </w:r>
      <w:r>
        <w:rPr>
          <w:rFonts w:hint="eastAsia" w:ascii="宋体" w:hAnsi="宋体" w:eastAsia="宋体" w:cs="宋体"/>
          <w:b/>
          <w:bCs/>
          <w:sz w:val="21"/>
          <w:szCs w:val="21"/>
        </w:rPr>
      </w:r>
      <w:r/>
    </w:p>
    <w:p>
      <w:pPr>
        <w:pStyle w:val="1561"/>
        <w:ind w:firstLine="422"/>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2.5整车（机）污染物排放测试</w:t>
      </w:r>
      <w:r>
        <w:rPr>
          <w:rFonts w:hint="eastAsia" w:ascii="宋体" w:hAnsi="宋体" w:eastAsia="宋体" w:cs="宋体"/>
          <w:b/>
          <w:bCs/>
          <w:sz w:val="21"/>
          <w:szCs w:val="21"/>
        </w:rPr>
      </w:r>
      <w:r/>
    </w:p>
    <w:p>
      <w:pPr>
        <w:pStyle w:val="1561"/>
        <w:ind w:firstLine="4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抽取部分重型柴油货车以及非道路移动机械进行整车（机）污染物排放试验。按照国家有关标准，对国六阶段重型柴油货车进行实际道路行驶排放测试，包含CO、NOx以及PN等污染物指标；对非道路移动机械进行车载法（PEMS）检测，包含CO和NOx等污染物指标。</w:t>
      </w:r>
      <w:r>
        <w:rPr>
          <w:rFonts w:hint="eastAsia" w:ascii="宋体" w:hAnsi="宋体" w:eastAsia="宋体" w:cs="宋体"/>
          <w:sz w:val="21"/>
          <w:szCs w:val="21"/>
        </w:rPr>
      </w:r>
      <w:r/>
    </w:p>
    <w:p>
      <w:pPr>
        <w:pStyle w:val="1561"/>
        <w:ind w:firstLine="422"/>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2.6发动机污染物排放测试</w:t>
      </w:r>
      <w:r>
        <w:rPr>
          <w:rFonts w:hint="eastAsia" w:ascii="宋体" w:hAnsi="宋体" w:eastAsia="宋体" w:cs="宋体"/>
          <w:b/>
          <w:bCs/>
          <w:sz w:val="21"/>
          <w:szCs w:val="21"/>
        </w:rPr>
      </w:r>
      <w:r/>
    </w:p>
    <w:p>
      <w:pPr>
        <w:pStyle w:val="1561"/>
        <w:ind w:firstLine="4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如因客观条件导致重型柴油货车实际道路行驶排放测试抽取量不足，则抽取部分国六重型柴油发动机以及国四非道路移动机械用柴油机进行发动机污染物排放测试。按照国家有关标准，对国六重型柴油发动机进行瞬态循环（WHTC）、稳态循环（WHSC）以及发动机台架非标准循环（WNTE）试验，包含CO、THC、NOx、NH</w:t>
      </w:r>
      <w:r>
        <w:rPr>
          <w:rFonts w:hint="eastAsia" w:ascii="宋体" w:hAnsi="宋体" w:eastAsia="宋体" w:cs="宋体"/>
          <w:sz w:val="21"/>
          <w:szCs w:val="21"/>
          <w:vertAlign w:val="subscript"/>
        </w:rPr>
        <w:t xml:space="preserve">3</w:t>
      </w:r>
      <w:r>
        <w:rPr>
          <w:rFonts w:hint="eastAsia" w:ascii="宋体" w:hAnsi="宋体" w:eastAsia="宋体" w:cs="宋体"/>
          <w:sz w:val="21"/>
          <w:szCs w:val="21"/>
        </w:rPr>
        <w:t xml:space="preserve">、PM以及PN等污染物指标；对国四非道路移动机械用柴油机进行瞬态循环（NRTC）、稳态循环（NRSC）以及非标准循环（NTE）试验，包含CO、THC、NOx、NH</w:t>
      </w:r>
      <w:r>
        <w:rPr>
          <w:rFonts w:hint="eastAsia" w:ascii="宋体" w:hAnsi="宋体" w:eastAsia="宋体" w:cs="宋体"/>
          <w:sz w:val="21"/>
          <w:szCs w:val="21"/>
          <w:vertAlign w:val="subscript"/>
        </w:rPr>
        <w:t xml:space="preserve">3</w:t>
      </w:r>
      <w:r>
        <w:rPr>
          <w:rFonts w:hint="eastAsia" w:ascii="宋体" w:hAnsi="宋体" w:eastAsia="宋体" w:cs="宋体"/>
          <w:sz w:val="21"/>
          <w:szCs w:val="21"/>
        </w:rPr>
        <w:t xml:space="preserve">、PM以及PN等污染物指标。</w:t>
      </w:r>
      <w:r>
        <w:rPr>
          <w:rFonts w:hint="eastAsia" w:ascii="宋体" w:hAnsi="宋体" w:eastAsia="宋体" w:cs="宋体"/>
          <w:sz w:val="21"/>
          <w:szCs w:val="21"/>
        </w:rPr>
      </w:r>
      <w:r/>
    </w:p>
    <w:p>
      <w:pPr>
        <w:pStyle w:val="1561"/>
        <w:ind w:firstLine="422"/>
        <w:keepLines/>
        <w:keepNext/>
        <w:pageBreakBefore w:val="0"/>
        <w:spacing w:line="360" w:lineRule="auto"/>
        <w:rPr>
          <w:rFonts w:hint="eastAsia" w:ascii="宋体" w:hAnsi="宋体" w:eastAsia="宋体" w:cs="宋体"/>
          <w:b/>
          <w:bCs/>
          <w:sz w:val="21"/>
          <w:szCs w:val="21"/>
        </w:rPr>
        <w:outlineLvl w:val="2"/>
      </w:pPr>
      <w:r/>
      <w:bookmarkStart w:id="269" w:name="_Toc10789"/>
      <w:r/>
      <w:bookmarkStart w:id="270" w:name="_Toc7350"/>
      <w:r/>
      <w:bookmarkStart w:id="271" w:name="_Toc18415"/>
      <w:r>
        <w:rPr>
          <w:rFonts w:hint="eastAsia" w:ascii="宋体" w:hAnsi="宋体" w:eastAsia="宋体" w:cs="宋体"/>
          <w:b/>
          <w:bCs/>
          <w:sz w:val="21"/>
          <w:szCs w:val="21"/>
        </w:rPr>
        <w:t xml:space="preserve">三、总体要求</w:t>
      </w:r>
      <w:bookmarkEnd w:id="269"/>
      <w:r/>
      <w:bookmarkEnd w:id="270"/>
      <w:r/>
      <w:bookmarkEnd w:id="271"/>
      <w:r>
        <w:rPr>
          <w:rFonts w:hint="eastAsia" w:ascii="宋体" w:hAnsi="宋体" w:eastAsia="宋体" w:cs="宋体"/>
          <w:b/>
          <w:bCs/>
          <w:sz w:val="21"/>
          <w:szCs w:val="21"/>
        </w:rPr>
      </w:r>
      <w:r/>
    </w:p>
    <w:p>
      <w:pPr>
        <w:pStyle w:val="1561"/>
        <w:ind w:firstLine="420"/>
        <w:pageBreakBefore w:val="0"/>
        <w:spacing w:line="360" w:lineRule="auto"/>
        <w:rPr>
          <w:rFonts w:hint="eastAsia" w:ascii="宋体" w:hAnsi="宋体" w:eastAsia="宋体" w:cs="宋体"/>
          <w:i/>
          <w:sz w:val="21"/>
          <w:szCs w:val="21"/>
          <w:u w:val="single"/>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i w:val="0"/>
          <w:iCs/>
          <w:sz w:val="21"/>
          <w:szCs w:val="21"/>
          <w:u w:val="none"/>
        </w:rPr>
        <w:t xml:space="preserve">3.</w:t>
      </w:r>
      <w:r>
        <w:rPr>
          <w:rFonts w:hint="eastAsia" w:ascii="宋体" w:hAnsi="宋体" w:eastAsia="宋体" w:cs="宋体"/>
          <w:i w:val="0"/>
          <w:iCs/>
          <w:sz w:val="21"/>
          <w:szCs w:val="21"/>
          <w:u w:val="none"/>
          <w:lang w:val="en-US" w:eastAsia="zh-CN"/>
        </w:rPr>
        <w:t xml:space="preserve">1</w:t>
      </w:r>
      <w:r>
        <w:rPr>
          <w:rFonts w:hint="eastAsia" w:ascii="宋体" w:hAnsi="宋体" w:eastAsia="宋体" w:cs="宋体"/>
          <w:i w:val="0"/>
          <w:iCs/>
          <w:sz w:val="21"/>
          <w:szCs w:val="21"/>
          <w:u w:val="none"/>
        </w:rPr>
        <w:t xml:space="preserve">投标人应承诺能够全面按照法律、法规和技术规范要求，开展检验、查验和检测工作，出具具备法律效力的机动车排气污染物测试、非道路移动机械车载法（PEMS）检测以及发动机污染物排放测试</w:t>
      </w:r>
      <w:r>
        <w:rPr>
          <w:rFonts w:hint="eastAsia" w:ascii="宋体" w:hAnsi="宋体" w:eastAsia="宋体" w:cs="宋体"/>
          <w:i w:val="0"/>
          <w:iCs/>
          <w:sz w:val="21"/>
          <w:szCs w:val="21"/>
          <w:u w:val="none"/>
        </w:rPr>
        <w:t xml:space="preserve">等</w:t>
      </w:r>
      <w:r>
        <w:rPr>
          <w:rFonts w:hint="eastAsia" w:ascii="宋体" w:hAnsi="宋体" w:eastAsia="宋体" w:cs="宋体"/>
          <w:i w:val="0"/>
          <w:iCs/>
          <w:sz w:val="21"/>
          <w:szCs w:val="21"/>
          <w:u w:val="none"/>
          <w:lang w:val="en-US" w:eastAsia="zh-CN"/>
        </w:rPr>
        <w:t xml:space="preserve">报告（属于国家市场监管总局“一单一库”划定范围内项目需出具CMA报告）</w:t>
      </w:r>
      <w:r>
        <w:rPr>
          <w:rFonts w:hint="eastAsia" w:ascii="宋体" w:hAnsi="宋体" w:eastAsia="宋体" w:cs="宋体"/>
          <w:i w:val="0"/>
          <w:iCs/>
          <w:sz w:val="21"/>
          <w:szCs w:val="21"/>
          <w:u w:val="none"/>
        </w:rPr>
        <w:t xml:space="preserve">，保证检测数据真实、准确、有效。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提供承诺函并加盖投标人公章，格式自拟</w:t>
      </w:r>
      <w:r>
        <w:rPr>
          <w:rFonts w:hint="eastAsia" w:ascii="宋体" w:hAnsi="宋体" w:eastAsia="宋体" w:cs="宋体"/>
          <w:b/>
          <w:bCs/>
          <w:sz w:val="21"/>
          <w:szCs w:val="21"/>
          <w:lang w:eastAsia="zh-CN"/>
        </w:rPr>
        <w:t xml:space="preserve">）</w:t>
      </w:r>
      <w:r>
        <w:rPr>
          <w:rFonts w:hint="eastAsia" w:ascii="宋体" w:hAnsi="宋体" w:eastAsia="宋体" w:cs="宋体"/>
          <w:i/>
          <w:sz w:val="21"/>
          <w:szCs w:val="21"/>
          <w:u w:val="single"/>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iCs/>
          <w:sz w:val="21"/>
          <w:szCs w:val="21"/>
        </w:rPr>
        <w:t xml:space="preserve">3.</w:t>
      </w:r>
      <w:r>
        <w:rPr>
          <w:rFonts w:hint="eastAsia" w:ascii="宋体" w:hAnsi="宋体" w:eastAsia="宋体" w:cs="宋体"/>
          <w:iCs/>
          <w:sz w:val="21"/>
          <w:szCs w:val="21"/>
          <w:lang w:val="en-US" w:eastAsia="zh-CN"/>
        </w:rPr>
        <w:t xml:space="preserve">2</w:t>
      </w:r>
      <w:r>
        <w:rPr>
          <w:rFonts w:hint="eastAsia" w:ascii="宋体" w:hAnsi="宋体" w:eastAsia="宋体" w:cs="宋体"/>
          <w:sz w:val="21"/>
          <w:szCs w:val="21"/>
        </w:rPr>
        <w:t xml:space="preserve">投标人参与本项目投标应承诺具备与此次环保达标</w:t>
      </w:r>
      <w:r>
        <w:rPr>
          <w:rFonts w:hint="eastAsia" w:ascii="宋体" w:hAnsi="宋体" w:eastAsia="宋体" w:cs="宋体"/>
          <w:sz w:val="21"/>
          <w:szCs w:val="21"/>
          <w:lang w:eastAsia="zh-CN"/>
        </w:rPr>
        <w:t xml:space="preserve">抽查核验</w:t>
      </w:r>
      <w:r>
        <w:rPr>
          <w:rFonts w:hint="eastAsia" w:ascii="宋体" w:hAnsi="宋体" w:eastAsia="宋体" w:cs="宋体"/>
          <w:sz w:val="21"/>
          <w:szCs w:val="21"/>
        </w:rPr>
        <w:t xml:space="preserve">工作相匹配的、满足国家相关标准的仪器设备，具备履行合同所必需的专业技术能力，为完成本项工作提供包括人员队伍和资金等方面的支持和保障。</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提供承诺函并加盖投标人公章，格式自拟</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iCs/>
          <w:sz w:val="21"/>
          <w:szCs w:val="21"/>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iCs/>
          <w:sz w:val="21"/>
          <w:szCs w:val="21"/>
        </w:rPr>
        <w:t xml:space="preserve">3.</w:t>
      </w:r>
      <w:r>
        <w:rPr>
          <w:rFonts w:hint="eastAsia" w:ascii="宋体" w:hAnsi="宋体" w:eastAsia="宋体" w:cs="宋体"/>
          <w:iCs/>
          <w:sz w:val="21"/>
          <w:szCs w:val="21"/>
          <w:lang w:val="en-US" w:eastAsia="zh-CN"/>
        </w:rPr>
        <w:t xml:space="preserve">3</w:t>
      </w:r>
      <w:r>
        <w:rPr>
          <w:rFonts w:hint="eastAsia" w:ascii="宋体" w:hAnsi="宋体" w:eastAsia="宋体" w:cs="宋体"/>
          <w:iCs/>
          <w:sz w:val="21"/>
          <w:szCs w:val="21"/>
        </w:rPr>
        <w:t xml:space="preserve">投标人应承诺能够提供全程跟踪式或者上门式服务，在可能涉及到的行政处罚案件中：包括当事人陈述申辩、申请听证、申请复议、提起诉讼程序中，应当全程跟踪解答相关问题，以协助行政机关履行法定职责。</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提供承诺函并加盖投标人公章，格式自拟</w:t>
      </w:r>
      <w:r>
        <w:rPr>
          <w:rFonts w:hint="eastAsia" w:ascii="宋体" w:hAnsi="宋体" w:eastAsia="宋体" w:cs="宋体"/>
          <w:b/>
          <w:bCs/>
          <w:sz w:val="21"/>
          <w:szCs w:val="21"/>
          <w:lang w:eastAsia="zh-CN"/>
        </w:rPr>
        <w:t xml:space="preserve">）</w:t>
      </w:r>
      <w:r>
        <w:rPr>
          <w:rFonts w:hint="eastAsia" w:ascii="宋体" w:hAnsi="宋体" w:eastAsia="宋体" w:cs="宋体"/>
          <w:iCs/>
          <w:sz w:val="21"/>
          <w:szCs w:val="21"/>
        </w:rPr>
      </w:r>
      <w:r/>
    </w:p>
    <w:p>
      <w:pPr>
        <w:pStyle w:val="1561"/>
        <w:ind w:firstLine="420"/>
        <w:pageBreakBefore w:val="0"/>
        <w:spacing w:line="360" w:lineRule="auto"/>
        <w:rPr>
          <w:rFonts w:hint="eastAsia" w:ascii="宋体" w:hAnsi="宋体" w:eastAsia="宋体" w:cs="宋体"/>
          <w:b/>
          <w:bCs/>
          <w:iCs/>
          <w:sz w:val="21"/>
          <w:szCs w:val="21"/>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iCs/>
          <w:sz w:val="21"/>
          <w:szCs w:val="21"/>
        </w:rPr>
        <w:t xml:space="preserve">3.</w:t>
      </w:r>
      <w:r>
        <w:rPr>
          <w:rFonts w:hint="eastAsia" w:ascii="宋体" w:hAnsi="宋体" w:eastAsia="宋体" w:cs="宋体"/>
          <w:iCs/>
          <w:sz w:val="21"/>
          <w:szCs w:val="21"/>
          <w:lang w:val="en-US" w:eastAsia="zh-CN"/>
        </w:rPr>
        <w:t xml:space="preserve">4</w:t>
      </w:r>
      <w:r>
        <w:rPr>
          <w:rFonts w:hint="eastAsia" w:ascii="宋体" w:hAnsi="宋体" w:eastAsia="宋体" w:cs="宋体"/>
          <w:iCs/>
          <w:sz w:val="21"/>
          <w:szCs w:val="21"/>
        </w:rPr>
        <w:t xml:space="preserve">投标人应承诺能够按照</w:t>
      </w:r>
      <w:r>
        <w:rPr>
          <w:rFonts w:hint="eastAsia" w:ascii="宋体" w:hAnsi="宋体" w:eastAsia="宋体" w:cs="宋体"/>
          <w:sz w:val="21"/>
          <w:szCs w:val="21"/>
        </w:rPr>
        <w:t xml:space="preserve">国家文件要求和实际工作需要，对检测车型及数量进行调整。</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提供承诺函并加盖投标人公章，格式自拟</w:t>
      </w:r>
      <w:r>
        <w:rPr>
          <w:rFonts w:hint="eastAsia" w:ascii="宋体" w:hAnsi="宋体" w:eastAsia="宋体" w:cs="宋体"/>
          <w:b/>
          <w:bCs/>
          <w:sz w:val="21"/>
          <w:szCs w:val="21"/>
          <w:lang w:eastAsia="zh-CN"/>
        </w:rPr>
        <w:t xml:space="preserve">）</w:t>
      </w:r>
      <w:r>
        <w:rPr>
          <w:rFonts w:hint="eastAsia" w:ascii="宋体" w:hAnsi="宋体" w:eastAsia="宋体" w:cs="宋体"/>
          <w:b/>
          <w:bCs/>
          <w:iCs/>
          <w:sz w:val="21"/>
          <w:szCs w:val="21"/>
        </w:rPr>
      </w:r>
      <w:r/>
    </w:p>
    <w:p>
      <w:pPr>
        <w:pStyle w:val="1561"/>
        <w:ind w:firstLine="420"/>
        <w:pageBreakBefore w:val="0"/>
        <w:spacing w:line="360" w:lineRule="auto"/>
        <w:rPr>
          <w:rFonts w:hint="eastAsia" w:ascii="宋体" w:hAnsi="宋体" w:eastAsia="宋体" w:cs="宋体"/>
          <w:iCs/>
          <w:sz w:val="21"/>
          <w:szCs w:val="21"/>
          <w:lang w:eastAsia="zh-CN"/>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iCs/>
          <w:sz w:val="21"/>
          <w:szCs w:val="21"/>
        </w:rPr>
        <w:t xml:space="preserve">3.</w:t>
      </w:r>
      <w:r>
        <w:rPr>
          <w:rFonts w:hint="eastAsia" w:ascii="宋体" w:hAnsi="宋体" w:eastAsia="宋体" w:cs="宋体"/>
          <w:iCs/>
          <w:sz w:val="21"/>
          <w:szCs w:val="21"/>
          <w:lang w:val="en-US" w:eastAsia="zh-CN"/>
        </w:rPr>
        <w:t xml:space="preserve">5</w:t>
      </w:r>
      <w:r>
        <w:rPr>
          <w:rFonts w:ascii="Arial" w:hAnsi="Arial" w:eastAsia="宋体" w:cs="Arial"/>
          <w:bCs/>
          <w:sz w:val="21"/>
          <w:szCs w:val="21"/>
        </w:rPr>
        <w:t xml:space="preserve">投标人</w:t>
      </w:r>
      <w:r>
        <w:rPr>
          <w:rFonts w:hint="eastAsia" w:ascii="Arial" w:hAnsi="Arial" w:eastAsia="宋体" w:cs="Arial"/>
          <w:bCs/>
          <w:sz w:val="21"/>
          <w:szCs w:val="21"/>
          <w:lang w:val="en-US" w:eastAsia="zh-CN"/>
        </w:rPr>
        <w:t xml:space="preserve">应</w:t>
      </w:r>
      <w:r>
        <w:rPr>
          <w:rFonts w:ascii="Arial" w:hAnsi="Arial" w:eastAsia="宋体" w:cs="Arial"/>
          <w:bCs/>
          <w:sz w:val="21"/>
          <w:szCs w:val="21"/>
        </w:rPr>
        <w:t xml:space="preserve">承诺在合同执行期内派驻</w:t>
      </w:r>
      <w:r>
        <w:rPr>
          <w:rFonts w:hint="eastAsia" w:ascii="Arial" w:hAnsi="Arial" w:eastAsia="宋体" w:cs="Arial"/>
          <w:bCs/>
          <w:sz w:val="21"/>
          <w:szCs w:val="21"/>
          <w:lang w:val="en-US" w:eastAsia="zh-CN"/>
        </w:rPr>
        <w:t xml:space="preserve">1</w:t>
      </w:r>
      <w:r>
        <w:rPr>
          <w:rFonts w:ascii="Arial" w:hAnsi="Arial" w:eastAsia="宋体" w:cs="Arial"/>
          <w:bCs/>
          <w:sz w:val="21"/>
          <w:szCs w:val="21"/>
        </w:rPr>
        <w:t xml:space="preserve">名汽车检测类、机电工程类</w:t>
      </w:r>
      <w:r>
        <w:rPr>
          <w:rFonts w:hint="eastAsia" w:ascii="Arial" w:hAnsi="Arial" w:eastAsia="宋体" w:cs="Arial"/>
          <w:bCs/>
          <w:sz w:val="21"/>
          <w:szCs w:val="21"/>
          <w:lang w:eastAsia="zh-CN"/>
        </w:rPr>
        <w:t xml:space="preserve">、</w:t>
      </w:r>
      <w:r>
        <w:rPr>
          <w:rFonts w:ascii="Arial" w:hAnsi="Arial" w:eastAsia="宋体" w:cs="Arial"/>
          <w:bCs/>
          <w:sz w:val="21"/>
          <w:szCs w:val="21"/>
        </w:rPr>
        <w:t xml:space="preserve">汽车工程类</w:t>
      </w:r>
      <w:r>
        <w:rPr>
          <w:rFonts w:hint="eastAsia" w:ascii="Arial" w:hAnsi="Arial" w:eastAsia="宋体" w:cs="Arial"/>
          <w:bCs/>
          <w:sz w:val="21"/>
          <w:szCs w:val="21"/>
          <w:lang w:val="en-US" w:eastAsia="zh-CN"/>
        </w:rPr>
        <w:t xml:space="preserve">相关</w:t>
      </w:r>
      <w:r>
        <w:rPr>
          <w:rFonts w:ascii="Arial" w:hAnsi="Arial" w:eastAsia="宋体" w:cs="Arial"/>
          <w:bCs/>
          <w:sz w:val="21"/>
          <w:szCs w:val="21"/>
        </w:rPr>
        <w:t xml:space="preserve">工程师或以上职称的</w:t>
      </w:r>
      <w:r>
        <w:rPr>
          <w:rFonts w:hint="eastAsia" w:ascii="Arial" w:hAnsi="Arial" w:eastAsia="宋体" w:cs="Arial"/>
          <w:bCs/>
          <w:sz w:val="21"/>
          <w:szCs w:val="21"/>
          <w:lang w:val="en-US" w:eastAsia="zh-CN"/>
        </w:rPr>
        <w:t xml:space="preserve">人员驻场</w:t>
      </w:r>
      <w:r>
        <w:rPr>
          <w:rFonts w:hint="eastAsia" w:ascii="Arial" w:hAnsi="Arial" w:eastAsia="宋体" w:cs="Arial"/>
          <w:bCs/>
          <w:sz w:val="21"/>
          <w:szCs w:val="21"/>
          <w:lang w:eastAsia="zh-CN"/>
        </w:rPr>
        <w:t xml:space="preserve">。</w:t>
      </w:r>
      <w:r>
        <w:rPr>
          <w:rFonts w:hint="eastAsia" w:ascii="Arial" w:hAnsi="Arial" w:eastAsia="宋体" w:cs="Arial"/>
          <w:b/>
          <w:bCs w:val="0"/>
          <w:sz w:val="21"/>
          <w:szCs w:val="21"/>
          <w:lang w:eastAsia="zh-CN"/>
        </w:rPr>
        <w:t xml:space="preserve">（提供承诺函并加盖投标人公章，格式自拟）</w:t>
      </w:r>
      <w:r>
        <w:rPr>
          <w:rFonts w:hint="eastAsia" w:ascii="宋体" w:hAnsi="宋体" w:eastAsia="宋体" w:cs="宋体"/>
          <w:iCs/>
          <w:sz w:val="21"/>
          <w:szCs w:val="21"/>
          <w:lang w:eastAsia="zh-CN"/>
        </w:rPr>
      </w:r>
      <w:r/>
    </w:p>
    <w:p>
      <w:pPr>
        <w:pStyle w:val="1561"/>
        <w:ind w:firstLine="420"/>
        <w:pageBreakBefore w:val="0"/>
        <w:spacing w:line="360" w:lineRule="auto"/>
        <w:rPr>
          <w:rFonts w:hint="eastAsia" w:ascii="宋体" w:hAnsi="宋体" w:eastAsia="宋体" w:cs="宋体"/>
          <w:iCs/>
          <w:sz w:val="21"/>
          <w:szCs w:val="21"/>
        </w:rPr>
      </w:pPr>
      <w:r>
        <w:rPr>
          <w:rFonts w:hint="eastAsia" w:ascii="宋体" w:hAnsi="宋体" w:eastAsia="宋体" w:cs="宋体"/>
          <w:iCs/>
          <w:sz w:val="21"/>
          <w:szCs w:val="21"/>
        </w:rPr>
        <w:t xml:space="preserve">3.</w:t>
      </w:r>
      <w:r>
        <w:rPr>
          <w:rFonts w:hint="eastAsia" w:ascii="宋体" w:hAnsi="宋体" w:eastAsia="宋体" w:cs="宋体"/>
          <w:iCs/>
          <w:sz w:val="21"/>
          <w:szCs w:val="21"/>
          <w:lang w:val="en-US" w:eastAsia="zh-CN"/>
        </w:rPr>
        <w:t xml:space="preserve">6</w:t>
      </w:r>
      <w:r>
        <w:rPr>
          <w:rFonts w:hint="eastAsia" w:ascii="宋体" w:hAnsi="宋体" w:eastAsia="宋体" w:cs="宋体"/>
          <w:iCs/>
          <w:sz w:val="21"/>
          <w:szCs w:val="21"/>
        </w:rPr>
        <w:t xml:space="preserve">在合同履行期间，投标人发生关键人员变动、检验能力或检测资质发生变化，影响项目执行，采购人有权终止合同。</w:t>
      </w:r>
      <w:r>
        <w:rPr>
          <w:rFonts w:hint="eastAsia" w:ascii="宋体" w:hAnsi="宋体" w:eastAsia="宋体" w:cs="宋体"/>
          <w:iCs/>
          <w:sz w:val="21"/>
          <w:szCs w:val="21"/>
        </w:rPr>
      </w:r>
      <w:r/>
    </w:p>
    <w:p>
      <w:pPr>
        <w:pStyle w:val="1561"/>
        <w:ind w:firstLine="420"/>
        <w:pageBreakBefore w:val="0"/>
        <w:spacing w:line="360" w:lineRule="auto"/>
        <w:rPr>
          <w:rFonts w:hint="eastAsia" w:ascii="宋体" w:hAnsi="宋体" w:eastAsia="宋体" w:cs="宋体"/>
          <w:iCs/>
          <w:sz w:val="21"/>
          <w:szCs w:val="21"/>
        </w:rPr>
      </w:pPr>
      <w:r>
        <w:rPr>
          <w:rFonts w:hint="eastAsia" w:ascii="宋体" w:hAnsi="宋体" w:eastAsia="宋体" w:cs="宋体"/>
          <w:iCs/>
          <w:sz w:val="21"/>
          <w:szCs w:val="21"/>
        </w:rPr>
        <w:t xml:space="preserve">3.</w:t>
      </w:r>
      <w:r>
        <w:rPr>
          <w:rFonts w:hint="eastAsia" w:ascii="宋体" w:hAnsi="宋体" w:eastAsia="宋体" w:cs="宋体"/>
          <w:iCs/>
          <w:sz w:val="21"/>
          <w:szCs w:val="21"/>
          <w:lang w:val="en-US" w:eastAsia="zh-CN"/>
        </w:rPr>
        <w:t xml:space="preserve">7</w:t>
      </w:r>
      <w:r>
        <w:rPr>
          <w:rFonts w:hint="eastAsia" w:ascii="宋体" w:hAnsi="宋体" w:eastAsia="宋体" w:cs="宋体"/>
          <w:iCs/>
          <w:sz w:val="21"/>
          <w:szCs w:val="21"/>
        </w:rPr>
        <w:t xml:space="preserve">合同履行期间，采购人有权对本项目履约进展情况进行不定期抽查，对抽查中发现中标人未达到合同约定要求、存在违规操作等情形的，采购人可根据合同约定及相关规定扣减相应合同费用，同时有权单方终止合同，由此产生的一切损失由投标人承担。</w:t>
      </w:r>
      <w:r>
        <w:rPr>
          <w:rFonts w:hint="eastAsia" w:ascii="宋体" w:hAnsi="宋体" w:eastAsia="宋体" w:cs="宋体"/>
          <w:iCs/>
          <w:sz w:val="21"/>
          <w:szCs w:val="21"/>
        </w:rPr>
      </w:r>
      <w:r/>
    </w:p>
    <w:p>
      <w:pPr>
        <w:pStyle w:val="1561"/>
        <w:ind w:firstLine="420"/>
        <w:pageBreakBefore w:val="0"/>
        <w:spacing w:line="360" w:lineRule="auto"/>
        <w:rPr>
          <w:rFonts w:hint="eastAsia" w:ascii="宋体" w:hAnsi="宋体" w:eastAsia="宋体" w:cs="宋体"/>
          <w:iCs/>
          <w:sz w:val="21"/>
          <w:szCs w:val="21"/>
        </w:rPr>
      </w:pPr>
      <w:r>
        <w:rPr>
          <w:rFonts w:hint="eastAsia" w:ascii="宋体" w:hAnsi="宋体" w:eastAsia="宋体" w:cs="宋体"/>
          <w:iCs/>
          <w:sz w:val="21"/>
          <w:szCs w:val="21"/>
        </w:rPr>
        <w:t xml:space="preserve">3.</w:t>
      </w:r>
      <w:r>
        <w:rPr>
          <w:rFonts w:hint="eastAsia" w:ascii="宋体" w:hAnsi="宋体" w:eastAsia="宋体" w:cs="宋体"/>
          <w:iCs/>
          <w:sz w:val="21"/>
          <w:szCs w:val="21"/>
          <w:lang w:val="en-US" w:eastAsia="zh-CN"/>
        </w:rPr>
        <w:t xml:space="preserve">8</w:t>
      </w:r>
      <w:r>
        <w:rPr>
          <w:rFonts w:hint="eastAsia" w:ascii="宋体" w:hAnsi="宋体" w:eastAsia="宋体" w:cs="宋体"/>
          <w:iCs/>
          <w:sz w:val="21"/>
          <w:szCs w:val="21"/>
        </w:rPr>
        <w:t xml:space="preserve">若投标人实际完成工作量未达到合同约定标准，采购人有权按照经双方确认的实际完成工作量核算并支付相应经费，不足部分不予支付。</w:t>
      </w:r>
      <w:r>
        <w:rPr>
          <w:rFonts w:hint="eastAsia" w:ascii="宋体" w:hAnsi="宋体" w:eastAsia="宋体" w:cs="宋体"/>
          <w:iCs/>
          <w:sz w:val="21"/>
          <w:szCs w:val="21"/>
        </w:rPr>
      </w:r>
      <w:r/>
    </w:p>
    <w:p>
      <w:pPr>
        <w:pStyle w:val="1561"/>
        <w:ind w:firstLine="422"/>
        <w:keepLines/>
        <w:keepNext/>
        <w:pageBreakBefore w:val="0"/>
        <w:spacing w:line="360" w:lineRule="auto"/>
        <w:rPr>
          <w:rFonts w:hint="eastAsia" w:ascii="宋体" w:hAnsi="宋体" w:eastAsia="宋体" w:cs="宋体"/>
          <w:b/>
          <w:bCs/>
          <w:sz w:val="21"/>
          <w:szCs w:val="21"/>
        </w:rPr>
        <w:outlineLvl w:val="2"/>
      </w:pPr>
      <w:r/>
      <w:bookmarkStart w:id="272" w:name="_Toc8154"/>
      <w:r/>
      <w:bookmarkStart w:id="273" w:name="_Toc14398"/>
      <w:r/>
      <w:bookmarkStart w:id="274" w:name="_Toc16394"/>
      <w:r>
        <w:rPr>
          <w:rFonts w:hint="eastAsia" w:ascii="宋体" w:hAnsi="宋体" w:eastAsia="宋体" w:cs="宋体"/>
          <w:b/>
          <w:bCs/>
          <w:sz w:val="21"/>
          <w:szCs w:val="21"/>
        </w:rPr>
        <w:t xml:space="preserve">四、具体技术要求</w:t>
      </w:r>
      <w:bookmarkEnd w:id="272"/>
      <w:r/>
      <w:bookmarkEnd w:id="273"/>
      <w:r/>
      <w:bookmarkEnd w:id="274"/>
      <w:r>
        <w:rPr>
          <w:rFonts w:hint="eastAsia" w:ascii="宋体" w:hAnsi="宋体" w:eastAsia="宋体" w:cs="宋体"/>
          <w:b/>
          <w:bCs/>
          <w:sz w:val="21"/>
          <w:szCs w:val="21"/>
        </w:rPr>
      </w:r>
      <w:r/>
    </w:p>
    <w:p>
      <w:pPr>
        <w:pStyle w:val="1561"/>
        <w:ind w:firstLine="422"/>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4.1.环保信息公开查验</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对抽查的每种</w:t>
      </w:r>
      <w:r>
        <w:rPr>
          <w:rFonts w:hint="eastAsia" w:ascii="宋体" w:hAnsi="宋体" w:eastAsia="宋体" w:cs="宋体"/>
          <w:sz w:val="21"/>
          <w:szCs w:val="21"/>
          <w:lang w:val="en-US" w:eastAsia="zh-CN"/>
        </w:rPr>
        <w:t xml:space="preserve">货车</w:t>
      </w:r>
      <w:r>
        <w:rPr>
          <w:rFonts w:hint="eastAsia" w:ascii="宋体" w:hAnsi="宋体" w:eastAsia="宋体" w:cs="宋体"/>
          <w:sz w:val="21"/>
          <w:szCs w:val="21"/>
        </w:rPr>
        <w:t xml:space="preserve">车型及非道路移动机械机型系族开展现场核查，分别核对</w:t>
      </w:r>
      <w:r>
        <w:rPr>
          <w:rFonts w:hint="eastAsia" w:ascii="宋体" w:hAnsi="宋体" w:eastAsia="宋体" w:cs="宋体"/>
          <w:sz w:val="21"/>
          <w:szCs w:val="21"/>
          <w:lang w:val="en-US" w:eastAsia="zh-CN"/>
        </w:rPr>
        <w:t xml:space="preserve">货车</w:t>
      </w:r>
      <w:r>
        <w:rPr>
          <w:rFonts w:hint="eastAsia" w:ascii="宋体" w:hAnsi="宋体" w:eastAsia="宋体" w:cs="宋体"/>
          <w:sz w:val="21"/>
          <w:szCs w:val="21"/>
        </w:rPr>
        <w:t xml:space="preserve">、非道路移动机械环保标识牌（铭牌）标注的环保信息，与对应环保随车清单、环保信息公开清单是否一致；同时将相关信息与生态环境部车企配置清单查询客户端公示的同型号信息进行比对，现场核查车辆是否实际配备与环保公示信息一致的DOC、DPF、SCR、尿素箱等污染控制装置，检查各类污染控制装置是否标注清晰编码及生产厂家，相关编码、厂家标识有无损毁、遮挡情况，确保全部信息真实完整、完全一致。</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4.2车载诊断系统（OBD）装置核查</w:t>
      </w:r>
      <w:r>
        <w:rPr>
          <w:rFonts w:hint="eastAsia" w:ascii="宋体" w:hAnsi="宋体" w:eastAsia="宋体" w:cs="宋体"/>
          <w:b/>
          <w:sz w:val="21"/>
          <w:szCs w:val="21"/>
        </w:rPr>
      </w:r>
      <w:r/>
    </w:p>
    <w:p>
      <w:pPr>
        <w:pStyle w:val="1561"/>
        <w:ind w:firstLine="4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从批量生产的车辆系族中随机抽取车辆，查看是否有OBD接口，接口旁边是否有标识说明或者指示说明；连接OBD通讯模块，进行OBD故障检测，检测内容包括：正常通讯检测，查看数据协议、数据流等，是否显示整车VIN码，是否正确显示故障信息。能够正常通讯则通过通讯检测，如不能正常通讯，无法读取数据协议等则通讯检测不通过。</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4.3非道路移动机械NCD及PCD核查</w:t>
      </w:r>
      <w:r>
        <w:rPr>
          <w:rFonts w:hint="eastAsia" w:ascii="宋体" w:hAnsi="宋体" w:eastAsia="宋体" w:cs="宋体"/>
          <w:b/>
          <w:sz w:val="21"/>
          <w:szCs w:val="21"/>
        </w:rPr>
      </w:r>
      <w:r/>
    </w:p>
    <w:p>
      <w:pPr>
        <w:pStyle w:val="1561"/>
        <w:ind w:firstLine="4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针对配备NCD和PCD系统的非道路移动机械，从批量生产的机械系族中随机抽取机械，查看是否有诊断接口，接口旁边是否有标识说明或者指示说明；连接通讯模块，进行故障检测，检测内容包括：正常通讯检测，查看数据协议、数据流等，是否显示对应的机械环保代码，是否正确显示故障信息。能够正常通讯则通过通讯检测，如不能正常通讯，无法读取数据协议等则通讯检测不通过。</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4.4重型柴油车远程排放管理车载终端核查</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查看国六b阶段重型柴油车是否真实安装车载终端，现场确定车载终端安装位置，并拍照记录设备型号与生产厂家；查看车载终端是否联网，上传数据是否真实，并将上传数据与OBD实时读取数据进行比对，能够查询联网数据且数据一致则通过检查，无法调取联网数据或数据不一致则检查不通过。</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4.5整车（机）污染物排放测试</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应分别编制完整检测方案，确保检测判定受检重型柴油车型、非道路移动机械机型的环保达标能力水平符合相关法律、法规和技术规范要求；同时须结合自身实际，按招标文件要求制定项目实施全过程配套辅助方案，内容包括但不限于：①对抽检工作的支持力度；②承担样品运送费用；③提供足够作业场地；④制定配</w:t>
      </w:r>
      <w:r>
        <w:rPr>
          <w:rFonts w:hint="eastAsia" w:ascii="宋体" w:hAnsi="宋体" w:eastAsia="宋体" w:cs="宋体"/>
          <w:sz w:val="21"/>
          <w:szCs w:val="21"/>
        </w:rPr>
        <w:t xml:space="preserve">套服务方案并满足检测方案合理需求；⑤提供其他增值服务。投标人须按表4-2-1规定检查数量，重型柴油车依据《重型柴油车污染物排放限值及测量方法（中国第六阶段）》（GB17691-2018）生产一致性检查要求开展整车实际道路行驶排放测试，检测CO、NOx、PN等污染物指标；非道路移动机械依据《非道路柴油移动机械污染物排放控制技术要求》（HJ1014-2020）采用车载法（PEMS）开展新生产机型检测，两类检测均需排查识别新车及新机可能存在的含制造商瞒报在内的各类辅助性排放控制装置及违规管控手段。为达到上述要求，</w:t>
      </w:r>
      <w:r>
        <w:rPr>
          <w:rFonts w:hint="eastAsia" w:ascii="宋体" w:hAnsi="宋体" w:eastAsia="宋体" w:cs="宋体"/>
          <w:b/>
          <w:bCs/>
          <w:sz w:val="21"/>
          <w:szCs w:val="21"/>
        </w:rPr>
        <w:t xml:space="preserve">投标人应具有如下检定后的检测设备，并提供证明文件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表4-4-1 整车（机）污染物排放测试设备要求表</w:t>
      </w:r>
      <w:r>
        <w:rPr>
          <w:rFonts w:hint="eastAsia" w:ascii="宋体" w:hAnsi="宋体" w:eastAsia="宋体" w:cs="宋体"/>
          <w:b/>
          <w:sz w:val="21"/>
          <w:szCs w:val="21"/>
        </w:rPr>
      </w:r>
      <w:r/>
    </w:p>
    <w:tbl>
      <w:tblPr>
        <w:tblW w:w="5000" w:type="pct"/>
        <w:jc w:val="center"/>
        <w:tblInd w:w="0" w:type="dxa"/>
        <w:tblLayout w:type="fixed"/>
        <w:tblCellMar>
          <w:left w:w="0" w:type="dxa"/>
          <w:top w:w="0" w:type="dxa"/>
          <w:right w:w="0" w:type="dxa"/>
          <w:bottom w:w="0" w:type="dxa"/>
        </w:tblCellMar>
        <w:tblLook w:val="04A0" w:firstRow="1" w:lastRow="0" w:firstColumn="1" w:lastColumn="0" w:noHBand="0" w:noVBand="1"/>
      </w:tblPr>
      <w:tblGrid>
        <w:gridCol w:w="2397"/>
        <w:gridCol w:w="1921"/>
        <w:gridCol w:w="3478"/>
        <w:gridCol w:w="1851"/>
      </w:tblGrid>
      <w:tr>
        <w:trPr>
          <w:trHeight w:val="340"/>
          <w:tblHeade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279"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设备</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25"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检测指标</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06"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精度</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59"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最低数量（台）</w:t>
            </w:r>
            <w:r>
              <w:rPr>
                <w:rFonts w:hint="eastAsia" w:ascii="宋体" w:hAnsi="宋体" w:eastAsia="宋体" w:cs="宋体"/>
                <w:b/>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279"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便携式排放测试系统（PEMS）</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25"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CO；NOx；PN（颗粒物的数量）</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06"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±1%FS</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59" w:type="dxa"/>
            <w:vAlign w:val="center"/>
            <w:textDirection w:val="lrTb"/>
            <w:noWrap w:val="false"/>
          </w:tcPr>
          <w:p>
            <w:pPr>
              <w:pStyle w:val="1561"/>
              <w:ind w:firstLine="422"/>
              <w:jc w:val="center"/>
              <w:pageBreakBefore w:val="0"/>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lang w:eastAsia="zh-CN"/>
              </w:rPr>
            </w:r>
            <w:r/>
          </w:p>
        </w:tc>
      </w:tr>
    </w:tbl>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4.6发动机污染物排放测试</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应编制完整检测方案，确保检测判定受检机型的环保达标能力水平符合法律、法规及相关技术规范要求；同时结合自身实际，按招标文件要求制定项目实施配套辅助方案，内容包括但不限于：①对抽检工作的支持力度；②承担样品运送费用；③提供足够作业场地；④制定配套服务方案并满足检测方案内合理需求；⑤提供其他增值服务。投标人须按照表4-2-1规定检查数量开展检测：国六重型柴油机依</w:t>
      </w:r>
      <w:r>
        <w:rPr>
          <w:rFonts w:hint="eastAsia" w:ascii="宋体" w:hAnsi="宋体" w:eastAsia="宋体" w:cs="宋体"/>
          <w:sz w:val="21"/>
          <w:szCs w:val="21"/>
        </w:rPr>
        <w:t xml:space="preserve">据《重型柴油车污染物排放限值及测量方法（中国第六阶段）》（GB17691-2018）生产一致性检查要求，开展瞬态循环（WHTC）、稳态循环（WHSC）及发动机台架非标准循环（WNTE）试验；国四非道路移动机械用柴油机依据《非道路移动机械用柴油机排气污染物排放限值及测量方法(中国第三、四阶段）》（GB20891-2014）、《非道路柴油移动机械污染物排放控制技术要求》（HJ1014-2020），开展瞬态循环（NRTC）、稳态循环（NRSC）及非标准循环（NTE）试验。两类机型均需检测CO、THC、NOx、NH</w:t>
      </w:r>
      <w:r>
        <w:rPr>
          <w:rFonts w:hint="eastAsia" w:ascii="宋体" w:hAnsi="宋体" w:eastAsia="宋体" w:cs="宋体"/>
          <w:sz w:val="21"/>
          <w:szCs w:val="21"/>
          <w:vertAlign w:val="subscript"/>
        </w:rPr>
        <w:t xml:space="preserve">3</w:t>
      </w:r>
      <w:r>
        <w:rPr>
          <w:rFonts w:hint="eastAsia" w:ascii="宋体" w:hAnsi="宋体" w:eastAsia="宋体" w:cs="宋体"/>
          <w:sz w:val="21"/>
          <w:szCs w:val="21"/>
        </w:rPr>
        <w:t xml:space="preserve">、PM、PN等污染物指标，并排查识别存在的含制造商瞒报在内的辅助性排放控制设备及违规管控手段。为达到上述要求，</w:t>
      </w:r>
      <w:r>
        <w:rPr>
          <w:rFonts w:hint="eastAsia" w:ascii="宋体" w:hAnsi="宋体" w:eastAsia="宋体" w:cs="宋体"/>
          <w:b/>
          <w:bCs/>
          <w:sz w:val="21"/>
          <w:szCs w:val="21"/>
        </w:rPr>
        <w:t xml:space="preserve">投标人应具有如下检定后的检测设备，并提供证明文件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6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表4-4-2  发动机污染物排放测试设备要求表</w:t>
      </w:r>
      <w:r>
        <w:rPr>
          <w:rFonts w:hint="eastAsia" w:ascii="宋体" w:hAnsi="宋体" w:eastAsia="宋体" w:cs="宋体"/>
          <w:b/>
          <w:sz w:val="21"/>
          <w:szCs w:val="21"/>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2398"/>
        <w:gridCol w:w="1920"/>
        <w:gridCol w:w="3479"/>
        <w:gridCol w:w="1851"/>
      </w:tblGrid>
      <w:tr>
        <w:trPr>
          <w:trHeight w:val="340"/>
          <w:tblHeade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3" w:type="dxa"/>
            <w:vAlign w:val="center"/>
            <w:textDirection w:val="lrTb"/>
            <w:noWrap w:val="false"/>
          </w:tcPr>
          <w:p>
            <w:pPr>
              <w:pStyle w:val="1561"/>
              <w:ind w:firstLine="0"/>
              <w:jc w:val="both"/>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设备</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5"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检测指标</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0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精度</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最低数量（台）</w:t>
            </w:r>
            <w:r>
              <w:rPr>
                <w:rFonts w:hint="eastAsia" w:ascii="宋体" w:hAnsi="宋体" w:eastAsia="宋体" w:cs="宋体"/>
                <w:b/>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发动机测功机</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5"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转速；扭矩</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0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转速：读数±2%</w:t>
            </w:r>
            <w:r>
              <w:rPr>
                <w:rFonts w:hint="eastAsia" w:ascii="宋体" w:hAnsi="宋体" w:eastAsia="宋体" w:cs="宋体"/>
                <w:b/>
                <w:sz w:val="21"/>
                <w:szCs w:val="21"/>
              </w:rPr>
            </w:r>
            <w:r/>
          </w:p>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扭矩：＞20%满量程，读数±3%;</w:t>
            </w:r>
            <w:r>
              <w:rPr>
                <w:rFonts w:hint="eastAsia" w:ascii="宋体" w:hAnsi="宋体" w:eastAsia="宋体" w:cs="宋体"/>
                <w:b/>
                <w:sz w:val="21"/>
                <w:szCs w:val="21"/>
              </w:rPr>
            </w:r>
            <w:r/>
          </w:p>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≤20%满量程，满量程的±0.6%</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油耗仪</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5"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油耗</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0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±0.1%FS</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排放分析仪</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5"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CO；CO</w:t>
            </w:r>
            <w:r>
              <w:rPr>
                <w:rFonts w:hint="eastAsia" w:ascii="宋体" w:hAnsi="宋体" w:eastAsia="宋体" w:cs="宋体"/>
                <w:b/>
                <w:sz w:val="21"/>
                <w:szCs w:val="21"/>
                <w:vertAlign w:val="subscript"/>
              </w:rPr>
              <w:t xml:space="preserve">2</w:t>
            </w:r>
            <w:r>
              <w:rPr>
                <w:rFonts w:hint="eastAsia" w:ascii="宋体" w:hAnsi="宋体" w:eastAsia="宋体" w:cs="宋体"/>
                <w:b/>
                <w:sz w:val="21"/>
                <w:szCs w:val="21"/>
              </w:rPr>
              <w:t xml:space="preserve">；THC；NMHC；NOx；PM</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0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±2%RS</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氨分析仪</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5"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NH</w:t>
            </w:r>
            <w:r>
              <w:rPr>
                <w:rFonts w:hint="eastAsia" w:ascii="宋体" w:hAnsi="宋体" w:eastAsia="宋体" w:cs="宋体"/>
                <w:b/>
                <w:sz w:val="21"/>
                <w:szCs w:val="21"/>
                <w:vertAlign w:val="subscript"/>
              </w:rPr>
              <w:t xml:space="preserve">3</w:t>
            </w:r>
            <w:r>
              <w:rPr>
                <w:rFonts w:hint="eastAsia" w:ascii="宋体" w:hAnsi="宋体" w:eastAsia="宋体" w:cs="宋体"/>
                <w:b/>
                <w:sz w:val="21"/>
                <w:szCs w:val="21"/>
              </w:rPr>
              <w:t xml:space="preserve">浓度</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0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±1%FS</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PN设备</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5"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PN（尾气中的颗粒物数量）</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0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±1%FS</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4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称重天平</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5"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PM（尾气中的颗粒物质量）</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03"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±2μg</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val="false"/>
          </w:tcPr>
          <w:p>
            <w:pPr>
              <w:pStyle w:val="1561"/>
              <w:ind w:firstLine="0"/>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r>
    </w:tbl>
    <w:p>
      <w:pPr>
        <w:pStyle w:val="1561"/>
        <w:ind w:firstLine="422"/>
        <w:keepLines/>
        <w:keepNext/>
        <w:pageBreakBefore w:val="0"/>
        <w:spacing w:line="360" w:lineRule="auto"/>
        <w:rPr>
          <w:rFonts w:hint="eastAsia" w:ascii="宋体" w:hAnsi="宋体" w:eastAsia="宋体" w:cs="宋体"/>
          <w:b/>
          <w:bCs/>
          <w:sz w:val="21"/>
          <w:szCs w:val="21"/>
        </w:rPr>
        <w:outlineLvl w:val="2"/>
      </w:pPr>
      <w:r/>
      <w:bookmarkStart w:id="275" w:name="_Toc8819"/>
      <w:r/>
      <w:bookmarkStart w:id="276" w:name="_Toc10661"/>
      <w:r/>
      <w:bookmarkStart w:id="277" w:name="_Toc17121"/>
      <w:r>
        <w:rPr>
          <w:rFonts w:hint="eastAsia" w:ascii="宋体" w:hAnsi="宋体" w:eastAsia="宋体" w:cs="宋体"/>
          <w:b/>
          <w:bCs/>
          <w:sz w:val="21"/>
          <w:szCs w:val="21"/>
        </w:rPr>
        <w:t xml:space="preserve">五、综合保障要求</w:t>
      </w:r>
      <w:bookmarkEnd w:id="275"/>
      <w:r/>
      <w:bookmarkEnd w:id="276"/>
      <w:r/>
      <w:bookmarkEnd w:id="277"/>
      <w:r>
        <w:rPr>
          <w:rFonts w:hint="eastAsia" w:ascii="宋体" w:hAnsi="宋体" w:eastAsia="宋体" w:cs="宋体"/>
          <w:b/>
          <w:bCs/>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5.1质量控制要求</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5.1.1投标人须提供合理可行的质量控制方案，建立并维持质量记录与技术记录的识别、收集、编目、查阅、归档、贮存、维护及销毁管理程序。质量记录应包含内部审核报告、管理评审报告、纠正措施及预防措施相关记录。所有记录应内容清晰、存放规整、便于调取，并置于可防止损坏、变质、遗失的适宜环境，同时明确规定记录保存期限。</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5.1.2投标人应按规定期限保存原始观测记录、导出资料、可形成审核追溯路径的相关信息记录、校准记录、人员从业记录，以及每份已出具检测报告、校准证书的副本。每项检测活动记录应信息完整充分，能够识别不确定度影响因素，确保检测或校准工作可在尽可能接近原始工况条件下复现。记录中须载明抽样责任人、检测操作人员及结果校核人员标识信息。</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5.1.3投标人应对计算过程及数据传递开展系统、合规的核查工作。采用计算机或自动化设备开展检测数据采集、处理、记录、报告、存储及检索工作时，投标人应满足以下要求：使用者自行开发的计算机软件应编制详实完整的技术文件，并对其适用符合性进行有效确认；建立并严格执行数据保护管理程序。该程序应包括但不限于：保障数据录入与采集、数据存储、数据传输及数据处理过程的完整性与保密性；做好计算机及自动化设备日常维护，确保设备运行正常，并提供保障检测数据完整可靠所需的工作环境及运行条件。</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5.2样品管理要求</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5.2.1投标人需提供样品管理、留样管理方案和补充检验方案。投标人应有用于检测校准物品的运输、接收、处置、保护、存储、保留、清理的程序，包括为保护检测物品的完整性以及投标人与客户利益所需的全部条款。</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5.2.2投标人应具有检测物品的标识系统。物品在实验室的整个期间应保留该标识。标识系统的设计和使用应确保物品不会在实物上或在涉及的记录和其他文件中混淆。如果合适，标识系统应包含物品群组的细分和物品在实验室内外部的传递。</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5.2.3投标人在接收检测物品时，应记录异常情况或对检测方法中所述正常（或规定）条件的偏离。当对检测样品适用性存有疑问、样品信息与实际描述不符，或检测相关要求约定不够明确详尽时，投标人应在开始工作之前问询采购方，以得到进一步的说明，并记录下讨论的内容。</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5.2.4投标人应制定相应程序并配备适当设施，防止检测物品在存储、处置及准备过程中发生退化、丢失或损坏。投标人应严格遵守随检测物品提供的处理说明。当检测物品需在规定环境条件下存放或养护时，投标人应维持、监控并记录该环境条件。当某一检测物品或其部分需进行安全保护时，投标人应做好存放及安全保障安排，确保该物品或其相关部分的状态与完整性不受影响。</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5.2.5为保证监督检查工作的严肃性和保密性，投标人应有足够的、安全的场地，专门用来放置封存检测样品（抽检的车辆、发动机、非道路移动机械），为保障高价值样品和设备封存的安全保护条件，避免所封存的超标样品、待复查样品以及设备等受到人为损坏和破坏</w:t>
      </w:r>
      <w:r>
        <w:rPr>
          <w:rFonts w:hint="eastAsia" w:ascii="宋体" w:hAnsi="宋体" w:eastAsia="宋体" w:cs="宋体"/>
          <w:b/>
          <w:bCs/>
          <w:sz w:val="21"/>
          <w:szCs w:val="21"/>
        </w:rPr>
        <w:t xml:space="preserve">。</w:t>
      </w:r>
      <w:r>
        <w:rPr>
          <w:rFonts w:hint="eastAsia" w:ascii="宋体" w:hAnsi="宋体" w:eastAsia="宋体" w:cs="宋体"/>
          <w:b/>
          <w:bCs/>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5.3文件管理要求</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5.3.1根据项目需求和特点，投标人应提供合理可行的文件管理方案。</w:t>
      </w:r>
      <w:r>
        <w:rPr>
          <w:rFonts w:hint="eastAsia" w:ascii="宋体" w:hAnsi="宋体" w:eastAsia="宋体" w:cs="宋体"/>
          <w:bCs/>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5.3.2投标人应建立并保持相应程序，对构成其管理体系的所有文件（包括内部制订文件及外部获取文件）进行有效控制，此类文件包括但不限于法规、标准、其他规范化文件、检定校准方法，以及图纸、软件、规范、指导书和手册。</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本文中的“文件”可以是方针声明、程序、规范、校准表格、图表、教科书、张贴品、通知、备忘录、软件、图纸、计划等。这些文件可能承载在各种载体上，无论是硬拷贝或是电子媒体，并且可以是数字的、模拟的、摄影的、书面的形式。</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5.3.3投标人内部凡纳入管理体系、下发至实验室人员的各类文件，正式发布前均须经授权人员审核、批准后方可使用。同时须建立管理体系文件修订状态标识、分发流向管控清单或同等效力的文件控制程序，确保相关文件可便捷查阅取用，严禁使用失效、作废版本文件。</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文件控制程序应确保：</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（1）实验室所有对正常运行具有重要作用的作业场所，均可获取并使用文件现行有效授权版本；</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（2）对体系文件实施定期评审，必要时开展修订更新，保证文件持续适用、满足实际使用需求；</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（3）对失效、作废文件，须及时从所有使用及发放场所回收撤除，或采取其他有效管控措施，杜绝误用失效文件；</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（4）因法规合规、资料留存等需要归档保留的作废文件，须做好清晰、规范的标识标注。</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投标人编制的管理体系文件须设置唯一性标识，标识内容应包含发布日期及修订版本号、页码、总页数或文件终止标识、文件发布单位等信息。</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5.3.4除非另有专项约定，文件变更应由投标人单位原审核责任人审查与批准；被授权审批人员应完整掌握审查、批准所需的相关背景资料。在条件可行时，文件变更内容或新增条款应在文件正文或对应附件中予以明确标识。若投标人文件管控体系允许在文件重新正式发布前进行手写修订，应制定明确的修改流程及审批权限。所有手写修改处须标注清晰修改内容、签署姓名缩写并注明修改日期，修订后的文件应尽快完成正式改版发布。</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5.3.5投标人应制订程序来描述如何更改和控制保存在计算机系统中的文件。</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5.4检测保密要求</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5.4.1根据项目需求和特点，投标人应提供合理可行的检测保密方案。</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5.4.2为保证监督检查工作的严肃性和保密性，投标人应承诺在承担监督检验期间，做好保密工作。抽样人员接受抽样任务后，不得事先向有关企业部门透漏抽样消息，防止抽样缺乏代表性。</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5.4.3样品检测过程中，为加强保密工作，非本次测试人员禁止进入试验区域，样品在实验室存放期间，未经采购方允许任何人不得对样品进行改动。如投标人技术方案检测方法涉及不对社会公开项目内容和信息的，应及时提供保密协议。在有多家受检企业参与的调试、试验过程中，须严格落实各受检企业相互回避制度，做好信息保密与隔离管控。</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5.4.4属于保密范围内的文件资料、检测报告或检测数据，未经采购方同意，均应保密，不得向外扩散。未经采购方允许不得私自向企业退车。</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5.4.5为保护受检企业的权益，对受检单位提供检测用的技术资料和规范等技术文件，实验室应负责保密，仅提供与检测工作有关的人员检测时使用，其他任何人不得使用或复制。</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5.4.6实验室一切工作人员均应遵守保密制度；否则采购人将追究其责任并且按合同金额的10%作为违约金。</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5.5服务响应与交付要求</w:t>
      </w:r>
      <w:r>
        <w:rPr>
          <w:rFonts w:hint="eastAsia" w:ascii="宋体" w:hAnsi="宋体" w:eastAsia="宋体" w:cs="宋体"/>
          <w:b/>
          <w:bCs/>
          <w:sz w:val="21"/>
          <w:szCs w:val="21"/>
        </w:rPr>
      </w:r>
      <w:r/>
    </w:p>
    <w:p>
      <w:pPr>
        <w:pStyle w:val="1561"/>
        <w:ind w:firstLine="420"/>
        <w:pageBreakBefore w:val="0"/>
        <w:spacing w:line="360" w:lineRule="auto"/>
        <w:rPr>
          <w:rFonts w:hint="eastAsia" w:ascii="宋体" w:hAnsi="宋体" w:eastAsia="宋体" w:cs="宋体"/>
          <w:sz w:val="21"/>
          <w:szCs w:val="21"/>
          <w:lang w:eastAsia="zh-CN"/>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sz w:val="21"/>
          <w:szCs w:val="21"/>
        </w:rPr>
        <w:t xml:space="preserve">5.5.1任务快速响应</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lang w:eastAsia="zh-CN"/>
        </w:rPr>
      </w:r>
      <w:r/>
    </w:p>
    <w:p>
      <w:pPr>
        <w:pStyle w:val="1561"/>
        <w:ind w:firstLine="420"/>
        <w:pageBreakBefore w:val="0"/>
        <w:spacing w:line="360" w:lineRule="auto"/>
        <w:rPr>
          <w:rFonts w:hint="eastAsia" w:ascii="宋体" w:hAnsi="宋体" w:eastAsia="宋体" w:cs="宋体"/>
          <w:b/>
          <w:bCs/>
          <w:sz w:val="21"/>
          <w:szCs w:val="21"/>
        </w:rPr>
      </w:pPr>
      <w:r>
        <w:rPr>
          <w:rFonts w:hint="eastAsia" w:ascii="宋体" w:hAnsi="宋体" w:eastAsia="宋体" w:cs="宋体"/>
          <w:b w:val="0"/>
          <w:bCs w:val="0"/>
          <w:sz w:val="21"/>
          <w:szCs w:val="21"/>
        </w:rPr>
        <w:t xml:space="preserve">投标人</w:t>
      </w:r>
      <w:r>
        <w:rPr>
          <w:rFonts w:hint="eastAsia" w:ascii="宋体" w:hAnsi="宋体" w:eastAsia="宋体" w:cs="宋体"/>
          <w:b w:val="0"/>
          <w:bCs w:val="0"/>
          <w:sz w:val="21"/>
          <w:szCs w:val="21"/>
          <w:lang w:val="en-US" w:eastAsia="zh-CN"/>
        </w:rPr>
        <w:t xml:space="preserve">需</w:t>
      </w:r>
      <w:r>
        <w:rPr>
          <w:rFonts w:hint="eastAsia" w:ascii="宋体" w:hAnsi="宋体" w:eastAsia="宋体" w:cs="宋体"/>
          <w:b w:val="0"/>
          <w:bCs w:val="0"/>
          <w:sz w:val="21"/>
          <w:szCs w:val="21"/>
        </w:rPr>
        <w:t xml:space="preserve">具备良好的任务快速响应服务能力，接到采购人任务分派后，积极配合、及时响应，根据项目现场实际情况合理安排人员到场开展抽查配合工作。</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需提供承诺书，格式自拟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r>
      <w:r/>
    </w:p>
    <w:p>
      <w:pPr>
        <w:pStyle w:val="1561"/>
        <w:ind w:firstLine="420"/>
        <w:pageBreakBefore w:val="0"/>
        <w:spacing w:line="360" w:lineRule="auto"/>
        <w:rPr>
          <w:rFonts w:hint="eastAsia" w:ascii="宋体" w:hAnsi="宋体" w:eastAsia="宋体" w:cs="宋体"/>
          <w:sz w:val="21"/>
          <w:szCs w:val="21"/>
          <w:lang w:eastAsia="zh-CN"/>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sz w:val="21"/>
          <w:szCs w:val="21"/>
        </w:rPr>
        <w:t xml:space="preserve">5.5.2样品运输保障</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lang w:eastAsia="zh-CN"/>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val="en-US" w:eastAsia="zh-CN"/>
        </w:rPr>
        <w:t xml:space="preserve">需</w:t>
      </w:r>
      <w:r>
        <w:rPr>
          <w:rFonts w:hint="eastAsia" w:ascii="宋体" w:hAnsi="宋体" w:eastAsia="宋体" w:cs="宋体"/>
          <w:sz w:val="21"/>
          <w:szCs w:val="21"/>
        </w:rPr>
        <w:t xml:space="preserve">具备完善的样品运输保障体系与服务能力，可根据抽样地点、路况及实际工作情况，高效统筹、合理安排样品送检运输工作，保障样品运输合规、送检及时。</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需提供承诺书，格式自拟</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lang w:eastAsia="zh-CN"/>
        </w:rPr>
      </w:pP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sz w:val="21"/>
          <w:szCs w:val="21"/>
        </w:rPr>
        <w:t xml:space="preserve">5.5.3检测及验收材料交付</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lang w:eastAsia="zh-CN"/>
        </w:rPr>
      </w:r>
      <w:r/>
    </w:p>
    <w:p>
      <w:pPr>
        <w:pStyle w:val="1561"/>
        <w:ind w:firstLine="420"/>
        <w:pageBreakBefore w:val="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val="en-US" w:eastAsia="zh-CN"/>
        </w:rPr>
        <w:t xml:space="preserve">需</w:t>
      </w:r>
      <w:r>
        <w:rPr>
          <w:rFonts w:hint="eastAsia" w:ascii="宋体" w:hAnsi="宋体" w:eastAsia="宋体" w:cs="宋体"/>
          <w:sz w:val="21"/>
          <w:szCs w:val="21"/>
        </w:rPr>
        <w:t xml:space="preserve">具备规范的检测服务流程与资料交付能力，将严格依据项目进度、采购人工作安排及相关规范要求，</w:t>
      </w:r>
      <w:r>
        <w:rPr>
          <w:rFonts w:hint="eastAsia" w:ascii="宋体" w:hAnsi="宋体" w:eastAsia="宋体" w:cs="宋体"/>
          <w:b w:val="0"/>
          <w:bCs w:val="0"/>
          <w:sz w:val="21"/>
          <w:szCs w:val="21"/>
        </w:rPr>
        <w:t xml:space="preserve">高效推进检测工作、合规出具检测报告，按时保质完成年度验收材料整理交付工作</w:t>
      </w:r>
      <w:r>
        <w:rPr>
          <w:rFonts w:hint="eastAsia" w:ascii="宋体" w:hAnsi="宋体" w:eastAsia="宋体" w:cs="宋体"/>
          <w:sz w:val="21"/>
          <w:szCs w:val="21"/>
        </w:rPr>
        <w:t xml:space="preserve">。</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需提供承诺书，格式自拟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r>
      <w:r/>
    </w:p>
    <w:p>
      <w:pPr>
        <w:pStyle w:val="1561"/>
        <w:ind w:firstLine="422"/>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5.6留样监控场地要求</w:t>
      </w:r>
      <w:r>
        <w:rPr>
          <w:rFonts w:hint="eastAsia" w:ascii="宋体" w:hAnsi="宋体" w:eastAsia="宋体" w:cs="宋体"/>
          <w:b/>
          <w:bCs/>
          <w:sz w:val="21"/>
          <w:szCs w:val="21"/>
        </w:rPr>
      </w:r>
      <w:r/>
    </w:p>
    <w:p>
      <w:pPr>
        <w:pStyle w:val="1561"/>
        <w:ind w:firstLine="420"/>
        <w:pageBreakBefore w:val="0"/>
        <w:spacing w:line="360" w:lineRule="auto"/>
        <w:rPr>
          <w:rFonts w:hint="eastAsia" w:ascii="宋体" w:hAnsi="宋体" w:eastAsia="宋体" w:cs="宋体"/>
          <w:strike/>
          <w:sz w:val="21"/>
          <w:szCs w:val="21"/>
        </w:rPr>
      </w:pPr>
      <w:r/>
      <w:bookmarkStart w:id="278" w:name="OLE_LINK1"/>
      <w:r>
        <w:rPr>
          <w:rFonts w:hint="eastAsia" w:ascii="宋体" w:hAnsi="宋体" w:eastAsia="宋体" w:cs="宋体"/>
          <w:sz w:val="21"/>
          <w:szCs w:val="21"/>
        </w:rPr>
        <w:t xml:space="preserve">投标人应</w:t>
      </w:r>
      <w:bookmarkEnd w:id="278"/>
      <w:r>
        <w:rPr>
          <w:rFonts w:hint="eastAsia" w:ascii="宋体" w:hAnsi="宋体" w:eastAsia="宋体" w:cs="宋体"/>
          <w:sz w:val="21"/>
          <w:szCs w:val="21"/>
        </w:rPr>
        <w:t xml:space="preserve">拥有专用的、安全的场地，专门用来存放并实时监控抽检样品（车辆、机械及发动机）。</w:t>
      </w:r>
      <w:r>
        <w:rPr>
          <w:rFonts w:hint="eastAsia" w:ascii="宋体" w:hAnsi="宋体" w:eastAsia="宋体" w:cs="宋体"/>
          <w:strike/>
          <w:sz w:val="21"/>
          <w:szCs w:val="21"/>
        </w:rPr>
      </w:r>
      <w:r/>
    </w:p>
    <w:p>
      <w:pPr>
        <w:pStyle w:val="1561"/>
        <w:ind w:firstLine="422"/>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5.7测试资源要求</w:t>
      </w:r>
      <w:r>
        <w:rPr>
          <w:rFonts w:hint="eastAsia" w:ascii="宋体" w:hAnsi="宋体" w:eastAsia="宋体" w:cs="宋体"/>
          <w:b/>
          <w:bCs/>
          <w:sz w:val="21"/>
          <w:szCs w:val="21"/>
        </w:rPr>
      </w:r>
      <w:r/>
    </w:p>
    <w:p>
      <w:pPr>
        <w:pStyle w:val="1561"/>
        <w:ind w:firstLine="420"/>
        <w:pageBreakBefore w:val="0"/>
        <w:spacing w:line="360" w:lineRule="auto"/>
        <w:rPr>
          <w:rFonts w:hint="eastAsia" w:ascii="宋体" w:hAnsi="宋体" w:eastAsia="宋体" w:cs="宋体"/>
          <w:strike/>
          <w:sz w:val="21"/>
          <w:szCs w:val="21"/>
        </w:rPr>
      </w:pPr>
      <w:r>
        <w:rPr>
          <w:rFonts w:hint="eastAsia" w:ascii="宋体" w:hAnsi="宋体" w:eastAsia="宋体" w:cs="宋体"/>
          <w:sz w:val="21"/>
          <w:szCs w:val="21"/>
        </w:rPr>
        <w:t xml:space="preserve">投标人须具备充足的测试资源保障能力，具备发动机实验室</w:t>
      </w:r>
      <w:r>
        <w:rPr>
          <w:rFonts w:hint="eastAsia" w:ascii="宋体" w:hAnsi="宋体" w:eastAsia="宋体" w:cs="宋体"/>
          <w:sz w:val="21"/>
          <w:szCs w:val="21"/>
          <w:lang w:val="en-US" w:eastAsia="zh-CN"/>
        </w:rPr>
        <w:t xml:space="preserve">设备</w:t>
      </w:r>
      <w:r>
        <w:rPr>
          <w:rFonts w:hint="eastAsia" w:ascii="宋体" w:hAnsi="宋体" w:eastAsia="宋体" w:cs="宋体"/>
          <w:sz w:val="21"/>
          <w:szCs w:val="21"/>
        </w:rPr>
        <w:t xml:space="preserve">及PEMS检测设备。</w:t>
      </w:r>
      <w:r>
        <w:rPr>
          <w:rFonts w:hint="eastAsia" w:ascii="宋体" w:hAnsi="宋体" w:eastAsia="宋体" w:cs="宋体"/>
          <w:strike/>
          <w:sz w:val="21"/>
          <w:szCs w:val="21"/>
        </w:rPr>
      </w:r>
      <w:r/>
    </w:p>
    <w:p>
      <w:pPr>
        <w:pStyle w:val="1561"/>
        <w:ind w:firstLine="422"/>
        <w:keepLines/>
        <w:keepNext/>
        <w:pageBreakBefore w:val="0"/>
        <w:spacing w:line="360" w:lineRule="auto"/>
        <w:rPr>
          <w:rFonts w:hint="eastAsia" w:ascii="宋体" w:hAnsi="宋体" w:eastAsia="宋体" w:cs="宋体"/>
          <w:b/>
          <w:bCs/>
          <w:sz w:val="21"/>
          <w:szCs w:val="21"/>
        </w:rPr>
        <w:outlineLvl w:val="2"/>
      </w:pPr>
      <w:r/>
      <w:bookmarkStart w:id="279" w:name="_Toc15708"/>
      <w:r/>
      <w:bookmarkStart w:id="280" w:name="_Toc22197"/>
      <w:r/>
      <w:bookmarkStart w:id="281" w:name="_Toc32303"/>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、工作成效考核及验收</w:t>
      </w:r>
      <w:bookmarkEnd w:id="279"/>
      <w:r/>
      <w:bookmarkEnd w:id="280"/>
      <w:r/>
      <w:bookmarkEnd w:id="281"/>
      <w:r>
        <w:rPr>
          <w:rFonts w:hint="eastAsia" w:ascii="宋体" w:hAnsi="宋体" w:eastAsia="宋体" w:cs="宋体"/>
          <w:b/>
          <w:bCs/>
          <w:sz w:val="21"/>
          <w:szCs w:val="21"/>
        </w:rPr>
      </w:r>
      <w:r/>
    </w:p>
    <w:p>
      <w:pPr>
        <w:pStyle w:val="1561"/>
        <w:ind w:firstLine="422"/>
        <w:pageBreakBefore w:val="0"/>
        <w:spacing w:line="360" w:lineRule="auto"/>
        <w:rPr>
          <w:rFonts w:hint="eastAsia" w:ascii="宋体" w:hAnsi="宋体" w:eastAsia="宋体" w:cs="宋体"/>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.1提交成果</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.1.1具有CMA标识的车辆排放检测报告；</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.1.2检测原始记录文件和过程数据，仪器设备校准记录、标准物质等质量控制文件；</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.1.3实验室测试全过程记录文件（包括视频及纸质文件）；</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.1.4现场检查记录表格，包括环保信息公开、车载诊断系统（OBD）装置现场检查等台账；</w:t>
      </w:r>
      <w:r>
        <w:rPr>
          <w:rFonts w:hint="eastAsia" w:ascii="宋体" w:hAnsi="宋体" w:eastAsia="宋体" w:cs="宋体"/>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.1.5本年度环保达标情况</w:t>
      </w:r>
      <w:r>
        <w:rPr>
          <w:rFonts w:hint="eastAsia" w:ascii="宋体" w:hAnsi="宋体" w:eastAsia="宋体" w:cs="宋体"/>
          <w:sz w:val="21"/>
          <w:szCs w:val="21"/>
          <w:lang w:eastAsia="zh-CN"/>
        </w:rPr>
        <w:t xml:space="preserve">抽查核验</w:t>
      </w:r>
      <w:r>
        <w:rPr>
          <w:rFonts w:hint="eastAsia" w:ascii="宋体" w:hAnsi="宋体" w:eastAsia="宋体" w:cs="宋体"/>
          <w:sz w:val="21"/>
          <w:szCs w:val="21"/>
        </w:rPr>
        <w:t xml:space="preserve">任务完成后，提交综合分析报告(包括</w:t>
      </w:r>
      <w:r>
        <w:rPr>
          <w:rFonts w:hint="eastAsia" w:ascii="宋体" w:hAnsi="宋体" w:eastAsia="宋体" w:cs="宋体"/>
          <w:sz w:val="21"/>
          <w:szCs w:val="21"/>
          <w:lang w:eastAsia="zh-CN"/>
        </w:rPr>
        <w:t xml:space="preserve">抽查核验</w:t>
      </w:r>
      <w:r>
        <w:rPr>
          <w:rFonts w:hint="eastAsia" w:ascii="宋体" w:hAnsi="宋体" w:eastAsia="宋体" w:cs="宋体"/>
          <w:sz w:val="21"/>
          <w:szCs w:val="21"/>
        </w:rPr>
        <w:t xml:space="preserve">整体情况说明、具体工作内容、检查结果分析、对策与建议等）。</w:t>
      </w:r>
      <w:r>
        <w:rPr>
          <w:rFonts w:hint="eastAsia" w:ascii="宋体" w:hAnsi="宋体" w:eastAsia="宋体" w:cs="宋体"/>
          <w:sz w:val="21"/>
          <w:szCs w:val="21"/>
        </w:rPr>
      </w:r>
      <w:r/>
    </w:p>
    <w:p>
      <w:pPr>
        <w:pStyle w:val="1561"/>
        <w:ind w:firstLine="4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.2验收要求</w:t>
      </w:r>
      <w:r>
        <w:rPr>
          <w:rFonts w:hint="eastAsia" w:ascii="宋体" w:hAnsi="宋体" w:eastAsia="宋体" w:cs="宋体"/>
          <w:b/>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本项目将按国家有关标准及程序，对照提交成果要求，对监督检查的工作成效，逐项进行考核和验收。</w:t>
      </w:r>
      <w:r>
        <w:rPr>
          <w:rFonts w:hint="eastAsia" w:ascii="宋体" w:hAnsi="宋体" w:eastAsia="宋体" w:cs="宋体"/>
          <w:sz w:val="21"/>
          <w:szCs w:val="21"/>
        </w:rPr>
      </w:r>
      <w:r/>
    </w:p>
    <w:p>
      <w:pPr>
        <w:pStyle w:val="1561"/>
        <w:ind w:firstLine="420"/>
        <w:keepLines/>
        <w:keepNext/>
        <w:pageBreakBefore w:val="0"/>
        <w:spacing w:line="360" w:lineRule="auto"/>
        <w:rPr>
          <w:rFonts w:hint="eastAsia" w:ascii="宋体" w:hAnsi="宋体" w:eastAsia="宋体" w:cs="宋体"/>
          <w:b/>
          <w:bCs/>
          <w:sz w:val="21"/>
          <w:szCs w:val="21"/>
        </w:rPr>
        <w:outlineLvl w:val="2"/>
      </w:pPr>
      <w:r/>
      <w:bookmarkStart w:id="282" w:name="_Toc23266"/>
      <w:r/>
      <w:bookmarkStart w:id="283" w:name="_Toc23989"/>
      <w:r/>
      <w:bookmarkStart w:id="284" w:name="_Toc23335"/>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bCs/>
          <w:sz w:val="21"/>
          <w:szCs w:val="21"/>
          <w:lang w:val="en-US" w:eastAsia="zh-CN"/>
        </w:rPr>
        <w:t xml:space="preserve">七</w:t>
      </w:r>
      <w:r>
        <w:rPr>
          <w:rFonts w:hint="eastAsia" w:ascii="宋体" w:hAnsi="宋体" w:eastAsia="宋体" w:cs="宋体"/>
          <w:b/>
          <w:bCs/>
          <w:sz w:val="21"/>
          <w:szCs w:val="21"/>
        </w:rPr>
        <w:t xml:space="preserve">、付款条件</w:t>
      </w:r>
      <w:bookmarkEnd w:id="282"/>
      <w:r/>
      <w:bookmarkEnd w:id="283"/>
      <w:r/>
      <w:bookmarkEnd w:id="284"/>
      <w:r>
        <w:rPr>
          <w:rFonts w:hint="eastAsia" w:ascii="宋体" w:hAnsi="宋体" w:eastAsia="宋体" w:cs="宋体"/>
          <w:b/>
          <w:bCs/>
          <w:sz w:val="21"/>
          <w:szCs w:val="21"/>
        </w:rPr>
      </w:r>
      <w:r/>
    </w:p>
    <w:p>
      <w:pPr>
        <w:pStyle w:val="1561"/>
        <w:ind w:firstLine="42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.1本项目经费按照本年度工作进度分三期进行支付。</w:t>
      </w:r>
      <w:r>
        <w:rPr>
          <w:rFonts w:hint="eastAsia" w:ascii="宋体" w:hAnsi="宋体" w:eastAsia="宋体" w:cs="宋体"/>
          <w:bCs/>
          <w:sz w:val="21"/>
          <w:szCs w:val="21"/>
        </w:rPr>
      </w:r>
      <w:r/>
    </w:p>
    <w:p>
      <w:pPr>
        <w:pStyle w:val="156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.2中标人提交本年度工作方案，支付合同金额30%；</w:t>
      </w:r>
      <w:r>
        <w:rPr>
          <w:rFonts w:hint="eastAsia" w:ascii="宋体" w:hAnsi="宋体" w:eastAsia="宋体" w:cs="宋体"/>
          <w:sz w:val="21"/>
          <w:szCs w:val="21"/>
          <w:lang w:val="en-US" w:eastAsia="zh-CN"/>
        </w:rPr>
        <w:t xml:space="preserve">完成全部</w:t>
      </w:r>
      <w:r>
        <w:rPr>
          <w:rFonts w:hint="eastAsia" w:ascii="宋体" w:hAnsi="宋体" w:eastAsia="宋体" w:cs="宋体"/>
          <w:sz w:val="21"/>
          <w:szCs w:val="21"/>
        </w:rPr>
        <w:t xml:space="preserve">现场核验工作，支付合同金额50%；通过采购人项目验收后，支付剩余20%尾款。</w:t>
      </w:r>
      <w:r>
        <w:rPr>
          <w:rFonts w:hint="eastAsia" w:ascii="宋体" w:hAnsi="宋体" w:eastAsia="宋体" w:cs="宋体"/>
          <w:sz w:val="21"/>
          <w:szCs w:val="21"/>
        </w:rPr>
      </w:r>
      <w:r/>
    </w:p>
    <w:p>
      <w:pPr>
        <w:pStyle w:val="1787"/>
        <w:numPr>
          <w:ilvl w:val="1"/>
          <w:numId w:val="0"/>
        </w:numPr>
        <w:ind w:firstLine="420"/>
        <w:spacing w:line="360" w:lineRule="auto"/>
        <w:rPr>
          <w:rFonts w:hint="eastAsia" w:ascii="宋体" w:hAnsi="宋体" w:eastAsia="宋体" w:cs="宋体"/>
          <w:sz w:val="21"/>
          <w:szCs w:val="21"/>
        </w:rPr>
      </w:pPr>
      <w:r/>
      <w:bookmarkEnd w:id="264"/>
      <w:r/>
      <w:bookmarkStart w:id="285" w:name="OLE_LINK16"/>
      <w:r>
        <w:rPr>
          <w:rFonts w:hint="eastAsia" w:ascii="宋体" w:hAnsi="宋体" w:eastAsia="宋体" w:cs="宋体"/>
          <w:sz w:val="21"/>
          <w:szCs w:val="21"/>
        </w:rPr>
      </w:r>
      <w:r/>
    </w:p>
    <w:p>
      <w:pPr>
        <w:pStyle w:val="1561"/>
        <w:jc w:val="left"/>
        <w:spacing w:line="360" w:lineRule="auto"/>
        <w:rPr>
          <w:sz w:val="24"/>
          <w:szCs w:val="24"/>
          <w:highlight w:val="none"/>
        </w:rPr>
      </w:pPr>
      <w:r/>
      <w:bookmarkEnd w:id="285"/>
      <w:r>
        <w:rPr>
          <w:sz w:val="24"/>
          <w:szCs w:val="24"/>
          <w:highlight w:val="none"/>
        </w:rPr>
        <w:br w:type="page" w:clear="all"/>
      </w:r>
      <w:r>
        <w:rPr>
          <w:sz w:val="24"/>
          <w:szCs w:val="24"/>
          <w:highlight w:val="none"/>
        </w:rPr>
      </w:r>
      <w:r/>
    </w:p>
    <w:p>
      <w:pPr>
        <w:pStyle w:val="1561"/>
        <w:jc w:val="center"/>
        <w:spacing w:line="440" w:lineRule="exact"/>
        <w:rPr>
          <w:b/>
          <w:sz w:val="28"/>
          <w:szCs w:val="28"/>
        </w:rPr>
        <w:outlineLvl w:val="0"/>
      </w:pPr>
      <w:r/>
      <w:bookmarkStart w:id="286" w:name="_Toc10285"/>
      <w:r/>
      <w:bookmarkStart w:id="287" w:name="_Toc23994"/>
      <w:r/>
      <w:bookmarkStart w:id="288" w:name="_Toc22914"/>
      <w:r>
        <w:rPr>
          <w:b/>
          <w:sz w:val="28"/>
          <w:szCs w:val="28"/>
        </w:rPr>
        <w:t xml:space="preserve">第五章 拟签订的合同文本</w:t>
      </w:r>
      <w:bookmarkEnd w:id="286"/>
      <w:r/>
      <w:bookmarkEnd w:id="287"/>
      <w:r/>
      <w:bookmarkEnd w:id="288"/>
      <w:r>
        <w:rPr>
          <w:b/>
          <w:sz w:val="28"/>
          <w:szCs w:val="28"/>
        </w:rPr>
      </w:r>
      <w:r/>
    </w:p>
    <w:p>
      <w:pPr>
        <w:pStyle w:val="1561"/>
        <w:jc w:val="center"/>
        <w:spacing w:line="440" w:lineRule="exact"/>
        <w:rPr>
          <w:b/>
          <w:sz w:val="28"/>
          <w:szCs w:val="28"/>
        </w:rPr>
      </w:pPr>
      <w:r>
        <w:rPr>
          <w:b/>
          <w:sz w:val="28"/>
          <w:szCs w:val="28"/>
        </w:rPr>
        <w:t xml:space="preserve">（参考格式，本合同内容条款在正式签署前可具体补充细化，仅作参考，最终合同以采购人法务审查通过的版本为准）</w:t>
      </w:r>
      <w:r>
        <w:rPr>
          <w:b/>
          <w:sz w:val="28"/>
          <w:szCs w:val="28"/>
        </w:rPr>
      </w:r>
      <w:r/>
    </w:p>
    <w:p>
      <w:pPr>
        <w:pStyle w:val="1638"/>
      </w:pPr>
      <w:r/>
      <w:r/>
    </w:p>
    <w:p>
      <w:pPr>
        <w:pStyle w:val="1561"/>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561"/>
        <w:ind w:firstLine="630"/>
        <w:spacing w:line="600" w:lineRule="exact"/>
        <w:rPr>
          <w:rFonts w:ascii="Arial" w:hAnsi="Arial" w:cs="Arial"/>
          <w:szCs w:val="21"/>
        </w:rPr>
      </w:pPr>
      <w:r>
        <w:rPr>
          <w:rFonts w:ascii="Arial" w:hAnsi="Arial" w:cs="Arial"/>
          <w:szCs w:val="21"/>
        </w:rPr>
      </w:r>
      <w:r/>
    </w:p>
    <w:p>
      <w:pPr>
        <w:pStyle w:val="1561"/>
        <w:ind w:firstLine="422"/>
        <w:jc w:val="right"/>
        <w:spacing w:line="360" w:lineRule="auto"/>
        <w:rPr>
          <w:rFonts w:hint="eastAsia" w:ascii="宋体" w:hAnsi="宋体" w:cs="宋体"/>
          <w:b/>
          <w:bCs/>
          <w:szCs w:val="21"/>
        </w:rPr>
      </w:pPr>
      <w:r>
        <w:rPr>
          <w:rFonts w:hint="eastAsia" w:ascii="宋体" w:hAnsi="宋体" w:cs="宋体"/>
          <w:b/>
          <w:bCs/>
          <w:szCs w:val="21"/>
        </w:rPr>
        <w:t xml:space="preserve">编号：</w:t>
      </w:r>
      <w:r>
        <w:rPr>
          <w:rFonts w:hint="eastAsia" w:ascii="宋体" w:hAnsi="宋体" w:cs="宋体"/>
          <w:b/>
          <w:bCs/>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甲方：（买方）</w:t>
      </w:r>
      <w:r>
        <w:rPr>
          <w:rFonts w:ascii="宋体" w:hAnsi="宋体" w:eastAsia="宋体" w:cs="宋体"/>
          <w:color w:val="000000"/>
          <w:sz w:val="21"/>
          <w:szCs w:val="21"/>
          <w:u w:val="single"/>
        </w:rPr>
        <w:t xml:space="preserve">江苏省环境监测中心</w:t>
      </w:r>
      <w:r>
        <w:rPr>
          <w:rFonts w:ascii="宋体" w:hAnsi="宋体" w:eastAsia="宋体" w:cs="宋体"/>
          <w:color w:val="000000"/>
          <w:sz w:val="21"/>
          <w:szCs w:val="21"/>
        </w:rPr>
        <w:t xml:space="preserve">    </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乙方：（卖方）</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     </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甲、乙双方根据</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sz w:val="21"/>
          <w:szCs w:val="21"/>
          <w:u w:val="single"/>
        </w:rPr>
        <w:t xml:space="preserve">（项目名称）</w:t>
      </w:r>
      <w:r>
        <w:rPr>
          <w:rFonts w:ascii="宋体" w:hAnsi="宋体" w:eastAsia="宋体" w:cs="宋体"/>
          <w:color w:val="000000"/>
          <w:sz w:val="21"/>
          <w:szCs w:val="21"/>
        </w:rPr>
        <w:t xml:space="preserve">公开招标的结果，签署本合同。</w:t>
      </w:r>
      <w:r>
        <w:rPr>
          <w:rFonts w:hint="eastAsia" w:ascii="宋体" w:hAnsi="宋体" w:eastAsia="宋体" w:cs="宋体"/>
          <w:sz w:val="21"/>
          <w:szCs w:val="21"/>
        </w:rPr>
      </w:r>
      <w:r/>
    </w:p>
    <w:p>
      <w:pPr>
        <w:pStyle w:val="1561"/>
        <w:ind w:left="0" w:right="0" w:firstLine="480"/>
        <w:jc w:val="both"/>
        <w:spacing w:before="0" w:after="0"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w:t>
      </w:r>
      <w:r>
        <w:rPr>
          <w:rFonts w:hint="eastAsia" w:ascii="宋体" w:hAnsi="宋体" w:eastAsia="宋体" w:cs="宋体"/>
          <w:color w:val="000000"/>
          <w:sz w:val="21"/>
          <w:szCs w:val="21"/>
          <w:lang w:val="en-US" w:eastAsia="zh-CN"/>
        </w:rPr>
        <w:t xml:space="preserve">服务</w:t>
      </w:r>
      <w:r>
        <w:rPr>
          <w:rFonts w:ascii="宋体" w:hAnsi="宋体" w:eastAsia="宋体" w:cs="宋体"/>
          <w:color w:val="000000"/>
          <w:sz w:val="21"/>
          <w:szCs w:val="21"/>
        </w:rPr>
        <w:t xml:space="preserve">内容</w:t>
      </w:r>
      <w:r>
        <w:rPr>
          <w:rFonts w:ascii="宋体" w:hAnsi="宋体" w:eastAsia="宋体" w:cs="宋体"/>
          <w:color w:val="000000"/>
          <w:sz w:val="21"/>
          <w:szCs w:val="21"/>
        </w:rPr>
      </w:r>
      <w:r/>
    </w:p>
    <w:p>
      <w:pPr>
        <w:pStyle w:val="1572"/>
      </w:p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二、合同金额</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2.1 本合同金额为（大写）：</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三、技术资料</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3.1乙方应按招标文件规定的时间向甲方提供产品</w:t>
      </w:r>
      <w:r>
        <w:rPr>
          <w:rFonts w:hint="eastAsia" w:ascii="宋体" w:hAnsi="宋体" w:eastAsia="宋体" w:cs="宋体"/>
          <w:color w:val="000000"/>
          <w:sz w:val="21"/>
          <w:szCs w:val="21"/>
          <w:lang w:val="en-US" w:eastAsia="zh-CN"/>
        </w:rPr>
        <w:t xml:space="preserve">或服务</w:t>
      </w:r>
      <w:r>
        <w:rPr>
          <w:rFonts w:ascii="宋体" w:hAnsi="宋体" w:eastAsia="宋体" w:cs="宋体"/>
          <w:color w:val="000000"/>
          <w:sz w:val="21"/>
          <w:szCs w:val="21"/>
        </w:rPr>
        <w:t xml:space="preserve">的有关技术资料。</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3.2没有甲方事先书面同意，乙方不得将由甲方提供的或属于保密范围内的任何文件资料、检验报告或检验数据，提供给与履行本合同无关的任何其他人。即使向履行本合同有关的人员提供，也应注意保密并限于履行合同的必需范围。</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四、知识产权</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4.1乙方应保证甲方在使用、接受本合同产品</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rPr>
        <w:t xml:space="preserve">服务或其任何一部分时不受第三方提出侵犯其专利权、版权、商标权和工业设计权等知识产权的起诉。一旦出现侵权，由乙方负全部责任。</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五、保密要求</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5.1乙方开展工作过程中应按照招标文件要求和投标文件，全过程做好保密工作。</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5.2乙方对在工作过程中接触到的甲方的任何消息、资料、文件、数据（无论是口头的、书面的还是电子的）以及对为甲方服务形成的任何交付物，负有为甲方保密的责任。未经甲方书面同意，乙方不得以任何方式向任何第三方提供或透露。</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六、履约保证金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w:t>
      </w:r>
      <w:r>
        <w:rPr>
          <w:rFonts w:hint="eastAsia" w:ascii="宋体" w:hAnsi="宋体" w:eastAsia="宋体" w:cs="宋体"/>
          <w:sz w:val="21"/>
          <w:szCs w:val="21"/>
          <w:lang w:val="en-US" w:eastAsia="zh-CN"/>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七、转包或分包</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7.1本合同范围的</w:t>
      </w:r>
      <w:r>
        <w:rPr>
          <w:rFonts w:hint="eastAsia" w:ascii="宋体" w:hAnsi="宋体" w:eastAsia="宋体" w:cs="宋体"/>
          <w:color w:val="000000"/>
          <w:sz w:val="21"/>
          <w:szCs w:val="21"/>
          <w:lang w:val="en-US" w:eastAsia="zh-CN"/>
        </w:rPr>
        <w:t xml:space="preserve">服务</w:t>
      </w:r>
      <w:r>
        <w:rPr>
          <w:rFonts w:ascii="宋体" w:hAnsi="宋体" w:eastAsia="宋体" w:cs="宋体"/>
          <w:color w:val="000000"/>
          <w:sz w:val="21"/>
          <w:szCs w:val="21"/>
        </w:rPr>
        <w:t xml:space="preserve">，应由乙方直接</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rPr>
        <w:t xml:space="preserve">，不得转让他人供应。</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7.2除非得到甲方的书面同意，乙方不得部分分包给他人供应。</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7.3如有转让和未经甲方同意的分包行为，甲方有权给予终止合同。</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八、服务期限、交付</w:t>
      </w:r>
      <w:r>
        <w:rPr>
          <w:rFonts w:hint="eastAsia" w:ascii="宋体" w:hAnsi="宋体" w:eastAsia="宋体" w:cs="宋体"/>
          <w:color w:val="000000"/>
          <w:sz w:val="21"/>
          <w:szCs w:val="21"/>
          <w:lang w:val="en-US" w:eastAsia="zh-CN"/>
        </w:rPr>
        <w:t xml:space="preserve">资料</w:t>
      </w:r>
      <w:r>
        <w:rPr>
          <w:rFonts w:ascii="宋体" w:hAnsi="宋体" w:eastAsia="宋体" w:cs="宋体"/>
          <w:color w:val="000000"/>
          <w:sz w:val="21"/>
          <w:szCs w:val="21"/>
        </w:rPr>
        <w:t xml:space="preserve">和交付地点</w:t>
      </w:r>
      <w:r>
        <w:rPr>
          <w:rFonts w:hint="eastAsia" w:ascii="宋体" w:hAnsi="宋体" w:eastAsia="宋体" w:cs="宋体"/>
          <w:sz w:val="21"/>
          <w:szCs w:val="21"/>
        </w:rPr>
      </w:r>
      <w:r/>
    </w:p>
    <w:p>
      <w:pPr>
        <w:pStyle w:val="1561"/>
        <w:ind w:left="0" w:right="0" w:firstLine="480"/>
        <w:jc w:val="both"/>
        <w:spacing w:before="0" w:after="0"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8.1 服务期限：</w:t>
      </w:r>
      <w:r>
        <w:rPr>
          <w:rFonts w:ascii="宋体" w:hAnsi="宋体" w:eastAsia="宋体" w:cs="宋体"/>
          <w:color w:val="000000"/>
          <w:sz w:val="21"/>
          <w:szCs w:val="21"/>
        </w:rPr>
      </w:r>
      <w:r/>
    </w:p>
    <w:p>
      <w:pPr>
        <w:pStyle w:val="1561"/>
        <w:ind w:left="0" w:right="0" w:firstLine="480"/>
        <w:jc w:val="left"/>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8.2 交付</w:t>
      </w:r>
      <w:r>
        <w:rPr>
          <w:rFonts w:hint="eastAsia" w:ascii="宋体" w:hAnsi="宋体" w:eastAsia="宋体" w:cs="宋体"/>
          <w:color w:val="000000"/>
          <w:sz w:val="21"/>
          <w:szCs w:val="21"/>
          <w:lang w:val="en-US" w:eastAsia="zh-CN"/>
        </w:rPr>
        <w:t xml:space="preserve">资料</w:t>
      </w:r>
      <w:r>
        <w:rPr>
          <w:rFonts w:ascii="宋体" w:hAnsi="宋体" w:eastAsia="宋体" w:cs="宋体"/>
          <w:color w:val="000000"/>
          <w:sz w:val="21"/>
          <w:szCs w:val="21"/>
        </w:rPr>
        <w:t xml:space="preserve">：                       </w:t>
      </w:r>
      <w:r>
        <w:rPr>
          <w:rFonts w:hint="eastAsia" w:ascii="宋体" w:hAnsi="宋体" w:eastAsia="宋体" w:cs="宋体"/>
          <w:sz w:val="21"/>
          <w:szCs w:val="21"/>
        </w:rPr>
      </w:r>
      <w:r/>
    </w:p>
    <w:p>
      <w:pPr>
        <w:pStyle w:val="1561"/>
        <w:ind w:left="0" w:right="0" w:firstLine="480"/>
        <w:jc w:val="left"/>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8.3 交付地点：               </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九、货款支付</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w:t>
      </w:r>
      <w:r>
        <w:rPr>
          <w:rFonts w:ascii="宋体" w:hAnsi="宋体" w:eastAsia="宋体" w:cs="宋体"/>
          <w:color w:val="000000"/>
          <w:sz w:val="21"/>
          <w:szCs w:val="21"/>
        </w:rPr>
        <w:t xml:space="preserve">采购资金的支付方式、时间及条件</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提交本年度工作方案，支付合同金额30%；</w:t>
      </w:r>
      <w:r>
        <w:rPr>
          <w:rFonts w:hint="eastAsia" w:ascii="宋体" w:hAnsi="宋体" w:eastAsia="宋体" w:cs="宋体"/>
          <w:color w:val="000000"/>
          <w:sz w:val="21"/>
          <w:szCs w:val="21"/>
          <w:lang w:val="en-US" w:eastAsia="zh-CN"/>
        </w:rPr>
        <w:t xml:space="preserve">完成全部</w:t>
      </w:r>
      <w:r>
        <w:rPr>
          <w:rFonts w:hint="eastAsia" w:ascii="宋体" w:hAnsi="宋体" w:eastAsia="宋体" w:cs="宋体"/>
          <w:color w:val="000000"/>
          <w:sz w:val="21"/>
          <w:szCs w:val="21"/>
        </w:rPr>
        <w:t xml:space="preserve">现场核验工作，支付合同金额50%；通过采购人项目验收后，支付剩余20%尾款。</w:t>
      </w:r>
      <w:r>
        <w:rPr>
          <w:rFonts w:hint="eastAsia" w:ascii="宋体" w:hAnsi="宋体" w:eastAsia="宋体" w:cs="宋体"/>
          <w:color w:val="000000"/>
          <w:sz w:val="21"/>
          <w:szCs w:val="21"/>
        </w:rPr>
      </w:r>
      <w:r/>
    </w:p>
    <w:p>
      <w:pPr>
        <w:pStyle w:val="1561"/>
        <w:ind w:firstLine="480"/>
        <w:spacing w:line="360" w:lineRule="auto"/>
        <w:rPr>
          <w:rFonts w:hint="eastAsia" w:ascii="宋体" w:hAnsi="宋体" w:eastAsia="宋体" w:cs="宋体"/>
          <w:bCs w:val="0"/>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rPr>
        <w:t xml:space="preserve">9.2若乙方实际完成工作量无法达标合同约定标准，甲方（采购人）有权按照经双方确认的实际完成工作量核算并支付相应货款，不足部分不予支付。</w:t>
      </w:r>
      <w:r>
        <w:rPr>
          <w:rFonts w:hint="eastAsia" w:ascii="宋体" w:hAnsi="宋体" w:eastAsia="宋体" w:cs="宋体"/>
          <w:bCs w:val="0"/>
          <w:color w:val="000000"/>
          <w:sz w:val="21"/>
          <w:szCs w:val="21"/>
        </w:rPr>
      </w:r>
      <w:r/>
    </w:p>
    <w:p>
      <w:pPr>
        <w:pStyle w:val="1561"/>
        <w:ind w:left="0" w:right="0" w:firstLine="480"/>
        <w:jc w:val="both"/>
        <w:spacing w:before="0"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甲方应当自收到发票后30日内支付资金，不得以机构变动、人员更替、政策调整、质量保证等为由延迟付款或者拖欠款项。</w:t>
      </w:r>
      <w:r>
        <w:rPr>
          <w:rFonts w:hint="eastAsia" w:ascii="宋体" w:hAnsi="宋体" w:eastAsia="宋体" w:cs="宋体"/>
          <w:color w:val="000000"/>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十.税费</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十一、质量保证及售后服务</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11.1乙方应按招标文件规定和投标文件承诺的性能、技术要求、质量标准向甲方提供产品或服务。</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11.2乙方应能够根据工作要求派出足够人员配合开展现场核查服务，派出从事本项目的工作人员应具有多项专业业务能力。</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11.3合同执行期内</w:t>
      </w:r>
      <w:r>
        <w:rPr>
          <w:rFonts w:ascii="宋体" w:hAnsi="宋体" w:eastAsia="宋体" w:cs="宋体"/>
          <w:color w:val="000000"/>
          <w:sz w:val="21"/>
          <w:szCs w:val="21"/>
        </w:rPr>
        <w:t xml:space="preserve">派遣</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szCs w:val="21"/>
        </w:rPr>
        <w:t xml:space="preserve">名工程师驻场。</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11.4如在工作开展过程中发生问题，乙方在接到甲方通知后在 4 小时内到达甲方现场。</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11.5在质保期内，乙方应对产品或服务出现的质量及安全问题负责处理解决并承担一切费用。</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十二、验收</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12.1甲方对乙方提交的产品或服务依据招标文件上的项目需求要求、乙方投标文件及国家有关质量标准进行验收。验收材料包括：</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12.1.1具有CMA标识的整机排放检测报告、排气烟度检测报告；</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12.1.2全部检测原始记录文件和过程数据，仪器设备校准记录、标准物质等质量控制文件；</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12.1.3实验室测试全过程记录文件（包括视频及纸质文件）；</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12.1.4环保信息公开现场检查记录表格；</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12.1.5综合分析报告(包括</w:t>
      </w:r>
      <w:r>
        <w:rPr>
          <w:rFonts w:hint="eastAsia" w:ascii="宋体" w:hAnsi="宋体" w:eastAsia="宋体" w:cs="宋体"/>
          <w:color w:val="000000"/>
          <w:sz w:val="21"/>
          <w:szCs w:val="21"/>
          <w:lang w:eastAsia="zh-CN"/>
        </w:rPr>
        <w:t xml:space="preserve">抽查核验</w:t>
      </w:r>
      <w:r>
        <w:rPr>
          <w:rFonts w:ascii="宋体" w:hAnsi="宋体" w:eastAsia="宋体" w:cs="宋体"/>
          <w:color w:val="000000"/>
          <w:sz w:val="21"/>
          <w:szCs w:val="21"/>
        </w:rPr>
        <w:t xml:space="preserve">整体情况说明、具体工作内容、检查结果分析、对策与建议等）。</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12.2乙方验收前对产品或服务作出全面检查和对验收文件进行整理，并列出清单，作为甲方验收和使用的技术条件依据，核验的结果应随服务一起提交甲方。</w:t>
      </w:r>
      <w:r>
        <w:rPr>
          <w:rFonts w:hint="eastAsia" w:ascii="宋体" w:hAnsi="宋体" w:eastAsia="宋体" w:cs="宋体"/>
          <w:sz w:val="21"/>
          <w:szCs w:val="21"/>
        </w:rPr>
      </w:r>
      <w:r/>
    </w:p>
    <w:p>
      <w:pPr>
        <w:pStyle w:val="1561"/>
        <w:ind w:firstLine="420"/>
        <w:spacing w:before="120" w:after="120"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12.3对技术复杂的产品或服务，甲方可请国家认可的专业检测机构参与初步验收及最终验收，并由其出具质量检测报告，相关费用由乙方负责。</w:t>
      </w:r>
      <w:r>
        <w:rPr>
          <w:rFonts w:hint="eastAsia" w:ascii="宋体" w:hAnsi="宋体" w:eastAsia="宋体" w:cs="宋体"/>
          <w:b w:val="0"/>
          <w:bCs/>
          <w:sz w:val="21"/>
          <w:szCs w:val="21"/>
        </w:rPr>
      </w:r>
      <w:r/>
    </w:p>
    <w:p>
      <w:pPr>
        <w:pStyle w:val="1561"/>
        <w:ind w:firstLine="420"/>
        <w:spacing w:before="120" w:after="120"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12.4验收时乙方必须在现场，验收完毕后作出验收结果报告；招标文件规定以外的验收费用由甲乙双方协商解决。</w:t>
      </w:r>
      <w:r>
        <w:rPr>
          <w:rFonts w:hint="eastAsia" w:ascii="宋体" w:hAnsi="宋体" w:eastAsia="宋体" w:cs="宋体"/>
          <w:b w:val="0"/>
          <w:bCs/>
          <w:sz w:val="21"/>
          <w:szCs w:val="21"/>
        </w:rPr>
      </w:r>
      <w:r/>
    </w:p>
    <w:p>
      <w:pPr>
        <w:pStyle w:val="1561"/>
        <w:ind w:firstLine="422"/>
        <w:spacing w:before="120" w:after="120" w:line="360" w:lineRule="auto"/>
        <w:rPr>
          <w:rFonts w:hint="eastAsia" w:ascii="宋体" w:hAnsi="宋体" w:eastAsia="宋体" w:cs="宋体"/>
          <w:b/>
          <w:sz w:val="21"/>
          <w:szCs w:val="21"/>
        </w:rPr>
      </w:pPr>
      <w:r>
        <w:rPr>
          <w:rFonts w:hint="eastAsia" w:ascii="宋体" w:hAnsi="宋体" w:eastAsia="宋体" w:cs="宋体"/>
          <w:b/>
          <w:sz w:val="21"/>
          <w:szCs w:val="21"/>
        </w:rPr>
        <w:t xml:space="preserve">十三、违约责任</w:t>
      </w:r>
      <w:r>
        <w:rPr>
          <w:rFonts w:hint="eastAsia" w:ascii="宋体" w:hAnsi="宋体" w:eastAsia="宋体" w:cs="宋体"/>
          <w:b/>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13.1甲方无故逾期验收和办理合同款支付手续的,甲方应按逾期付款总额每日万分之五向乙方支付违约金</w:t>
      </w:r>
      <w:r>
        <w:rPr>
          <w:rFonts w:hint="eastAsia" w:hAnsi="宋体" w:eastAsia="宋体" w:cs="宋体"/>
          <w:bCs/>
          <w:sz w:val="21"/>
          <w:szCs w:val="21"/>
          <w:lang w:eastAsia="zh-CN"/>
        </w:rPr>
        <w:t xml:space="preserve">，累计不超合同总额5%</w:t>
      </w:r>
      <w:r>
        <w:rPr>
          <w:rFonts w:hint="eastAsia" w:hAnsi="宋体" w:eastAsia="宋体" w:cs="宋体"/>
          <w:bCs/>
          <w:sz w:val="21"/>
          <w:szCs w:val="21"/>
        </w:rPr>
        <w:t xml:space="preserve">。</w:t>
      </w:r>
      <w:r>
        <w:rPr>
          <w:rFonts w:hint="eastAsia" w:hAnsi="宋体" w:eastAsia="宋体" w:cs="宋体"/>
          <w:bCs/>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13.2乙方逾期交付验收材料，乙方应按合同总额每日</w:t>
      </w:r>
      <w:r>
        <w:rPr>
          <w:rFonts w:hint="eastAsia" w:hAnsi="宋体" w:eastAsia="宋体" w:cs="宋体"/>
          <w:bCs/>
          <w:sz w:val="21"/>
          <w:szCs w:val="21"/>
          <w:lang w:val="en-US" w:eastAsia="zh-CN"/>
        </w:rPr>
        <w:t xml:space="preserve">万分之五</w:t>
      </w:r>
      <w:r>
        <w:rPr>
          <w:rFonts w:hint="eastAsia" w:hAnsi="宋体" w:eastAsia="宋体" w:cs="宋体"/>
          <w:bCs/>
          <w:sz w:val="21"/>
          <w:szCs w:val="21"/>
        </w:rPr>
        <w:t xml:space="preserve">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int="eastAsia" w:hAnsi="宋体" w:eastAsia="宋体" w:cs="宋体"/>
          <w:bCs/>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13.3乙方应遵守保密要求，否则甲方将追究其责任并且按合同金额的10%作为违约金。</w:t>
      </w:r>
      <w:r>
        <w:rPr>
          <w:rFonts w:hint="eastAsia" w:hAnsi="宋体" w:eastAsia="宋体" w:cs="宋体"/>
          <w:bCs/>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13.4乙方所交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rPr>
          <w:rFonts w:hint="eastAsia" w:hAnsi="宋体" w:eastAsia="宋体" w:cs="宋体"/>
          <w:bCs/>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lang w:val="en-US" w:eastAsia="zh-CN"/>
        </w:rPr>
        <w:t xml:space="preserve">13.5</w:t>
      </w:r>
      <w:r>
        <w:rPr>
          <w:rFonts w:hint="eastAsia" w:ascii="宋体" w:hAnsi="宋体" w:eastAsia="宋体" w:cs="宋体"/>
          <w:iCs/>
          <w:sz w:val="21"/>
          <w:szCs w:val="21"/>
          <w:lang w:val="en-US" w:eastAsia="zh-CN"/>
        </w:rPr>
        <w:t xml:space="preserve">若乙方发生检验能力、检测资质变化或关键人员（项目负责人、驻场人员）变动，</w:t>
      </w:r>
      <w:r>
        <w:rPr>
          <w:rFonts w:ascii="宋体" w:hAnsi="宋体" w:eastAsia="宋体" w:cs="宋体"/>
          <w:sz w:val="21"/>
          <w:szCs w:val="21"/>
        </w:rPr>
        <w:t xml:space="preserve">未按约提前书面告知甲方、未办妥人员交接，即属违约。因此造成项目无法推进的，甲方可单方解约，乙方须赔偿甲方全部损失，并按合同总额5%支付违约金。相关事项发生后乙方须3日内书面报备，逾期未告知的，加倍赔付甲方损失。</w:t>
      </w:r>
      <w:r>
        <w:rPr>
          <w:rFonts w:hint="eastAsia" w:hAnsi="宋体" w:eastAsia="宋体" w:cs="宋体"/>
          <w:bCs/>
          <w:sz w:val="21"/>
          <w:szCs w:val="21"/>
        </w:rPr>
      </w:r>
      <w:r/>
    </w:p>
    <w:p>
      <w:pPr>
        <w:pStyle w:val="1561"/>
        <w:ind w:firstLine="422"/>
        <w:spacing w:before="120" w:after="120" w:line="360" w:lineRule="auto"/>
        <w:rPr>
          <w:rFonts w:hint="eastAsia" w:ascii="宋体" w:hAnsi="宋体" w:eastAsia="宋体" w:cs="宋体"/>
          <w:b/>
          <w:sz w:val="21"/>
          <w:szCs w:val="21"/>
        </w:rPr>
      </w:pPr>
      <w:r>
        <w:rPr>
          <w:rFonts w:hint="eastAsia" w:ascii="宋体" w:hAnsi="宋体" w:eastAsia="宋体" w:cs="宋体"/>
          <w:b/>
          <w:sz w:val="21"/>
          <w:szCs w:val="21"/>
        </w:rPr>
        <w:t xml:space="preserve">十四、不可抗力及情势变更事件处理</w:t>
      </w:r>
      <w:r>
        <w:rPr>
          <w:rFonts w:hint="eastAsia" w:ascii="宋体" w:hAnsi="宋体" w:eastAsia="宋体" w:cs="宋体"/>
          <w:b/>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14.1不可抗力的履行调整：在合同有效期内，任何一方因不可抗力事件导致不能履行合同的，合同履行期相应延长，延长期限与不可抗力的实际影响期一致；若不可抗力仅导致合同部分不能履行，应继续履行可履行部分，无法履行部分的履行期按前述规定延长。</w:t>
      </w:r>
      <w:r>
        <w:rPr>
          <w:rFonts w:hint="eastAsia" w:hAnsi="宋体" w:eastAsia="宋体" w:cs="宋体"/>
          <w:bCs/>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14.2通知与证明义务：不可抗力或情势变更事件发生后，受影响一方应立即通知对方，说明事件发生的时间、原因、影响范围及预计持续时间，并在合理期限内寄送有关权威机构出具的证明文件（不可抗力需提供不可抗力事件证明，情势变更需提供基础条件重大变化的相关佐证材料），避免对方损失扩大。</w:t>
      </w:r>
      <w:r>
        <w:rPr>
          <w:rFonts w:hint="eastAsia" w:hAnsi="宋体" w:eastAsia="宋体" w:cs="宋体"/>
          <w:bCs/>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14.3长期影响及情势变更的协商处理：不可抗力事件延续120天以上，或发生情势变更导致继续履行合同显失公平的，双方应在收到通知或确认事件发生后30日内，通过友好协商的方式，确定是否继续履行合同、变更合同内容或解除合同。协商不成的，任何一方可依据《民法典》相关规定，请求人民法院或仲裁机构变更或解除合同。</w:t>
      </w:r>
      <w:r>
        <w:rPr>
          <w:rFonts w:hint="eastAsia" w:hAnsi="宋体" w:eastAsia="宋体" w:cs="宋体"/>
          <w:bCs/>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14.4补充约定：因不可抗力或情势变更导致合同不能履行、部分不能履行或延迟履行的，受影响一方无需承担违约责任，但应尽到合理的通知、减损及配合协商义务；若未履行前述义务，需对对方因此扩大的损失承担赔偿责任。</w:t>
      </w:r>
      <w:r>
        <w:rPr>
          <w:rFonts w:hint="eastAsia" w:hAnsi="宋体" w:eastAsia="宋体" w:cs="宋体"/>
          <w:bCs/>
          <w:sz w:val="21"/>
          <w:szCs w:val="21"/>
        </w:rPr>
      </w:r>
      <w:r/>
    </w:p>
    <w:p>
      <w:pPr>
        <w:pStyle w:val="1561"/>
        <w:ind w:firstLine="422"/>
        <w:spacing w:before="120" w:after="120" w:line="360" w:lineRule="auto"/>
        <w:rPr>
          <w:rFonts w:hint="eastAsia" w:ascii="宋体" w:hAnsi="宋体" w:eastAsia="宋体" w:cs="宋体"/>
          <w:b/>
          <w:sz w:val="21"/>
          <w:szCs w:val="21"/>
        </w:rPr>
      </w:pPr>
      <w:r>
        <w:rPr>
          <w:rFonts w:hint="eastAsia" w:ascii="宋体" w:hAnsi="宋体" w:eastAsia="宋体" w:cs="宋体"/>
          <w:b/>
          <w:sz w:val="21"/>
          <w:szCs w:val="21"/>
        </w:rPr>
        <w:t xml:space="preserve">十五、合同终止和变更</w:t>
      </w:r>
      <w:r>
        <w:rPr>
          <w:rFonts w:hint="eastAsia" w:ascii="宋体" w:hAnsi="宋体" w:eastAsia="宋体" w:cs="宋体"/>
          <w:b/>
          <w:sz w:val="21"/>
          <w:szCs w:val="21"/>
        </w:rPr>
      </w:r>
      <w:r/>
    </w:p>
    <w:p>
      <w:pPr>
        <w:pStyle w:val="1561"/>
        <w:ind w:firstLine="480"/>
        <w:spacing w:line="360" w:lineRule="auto"/>
        <w:rPr>
          <w:rFonts w:hint="eastAsia" w:ascii="宋体" w:hAnsi="宋体" w:eastAsia="宋体" w:cs="宋体"/>
          <w:iCs/>
          <w:sz w:val="21"/>
          <w:szCs w:val="21"/>
        </w:rPr>
      </w:pPr>
      <w:r>
        <w:rPr>
          <w:rFonts w:hint="eastAsia" w:ascii="宋体" w:hAnsi="宋体" w:eastAsia="宋体" w:cs="宋体"/>
          <w:bCs/>
          <w:sz w:val="21"/>
          <w:szCs w:val="21"/>
        </w:rPr>
        <w:t xml:space="preserve">15.</w:t>
      </w:r>
      <w:r>
        <w:rPr>
          <w:rFonts w:hint="eastAsia" w:ascii="宋体" w:hAnsi="宋体" w:eastAsia="宋体" w:cs="宋体"/>
          <w:bCs/>
          <w:sz w:val="21"/>
          <w:szCs w:val="21"/>
          <w:lang w:val="en-US" w:eastAsia="zh-CN"/>
        </w:rPr>
        <w:t xml:space="preserve">1</w:t>
      </w:r>
      <w:r>
        <w:rPr>
          <w:rFonts w:hint="eastAsia" w:ascii="宋体" w:hAnsi="宋体" w:eastAsia="宋体" w:cs="宋体"/>
          <w:iCs/>
          <w:sz w:val="21"/>
          <w:szCs w:val="21"/>
        </w:rPr>
        <w:t xml:space="preserve">在合同履行期间，国家和省有关政策发生变化，省级财政资金不再支持本项目运行时，甲方有权终止合同。</w:t>
      </w:r>
      <w:r>
        <w:rPr>
          <w:rFonts w:hint="eastAsia" w:ascii="宋体" w:hAnsi="宋体" w:eastAsia="宋体" w:cs="宋体"/>
          <w:iCs/>
          <w:sz w:val="21"/>
          <w:szCs w:val="21"/>
        </w:rPr>
      </w:r>
      <w:r/>
    </w:p>
    <w:p>
      <w:pPr>
        <w:pStyle w:val="1561"/>
        <w:ind w:firstLine="480"/>
        <w:spacing w:line="360" w:lineRule="auto"/>
        <w:rPr>
          <w:rFonts w:hint="eastAsia" w:ascii="宋体" w:hAnsi="宋体" w:eastAsia="宋体" w:cs="宋体"/>
          <w:iCs/>
          <w:sz w:val="21"/>
          <w:szCs w:val="21"/>
        </w:rPr>
      </w:pPr>
      <w:r>
        <w:rPr>
          <w:rFonts w:hint="eastAsia" w:ascii="宋体" w:hAnsi="宋体" w:eastAsia="宋体" w:cs="宋体"/>
          <w:iCs/>
          <w:sz w:val="21"/>
          <w:szCs w:val="21"/>
        </w:rPr>
        <w:t xml:space="preserve">15.</w:t>
      </w:r>
      <w:r>
        <w:rPr>
          <w:rFonts w:hint="eastAsia" w:ascii="宋体" w:hAnsi="宋体" w:eastAsia="宋体" w:cs="宋体"/>
          <w:iCs/>
          <w:sz w:val="21"/>
          <w:szCs w:val="21"/>
          <w:lang w:val="en-US" w:eastAsia="zh-CN"/>
        </w:rPr>
        <w:t xml:space="preserve">2</w:t>
      </w:r>
      <w:r>
        <w:rPr>
          <w:rFonts w:hint="eastAsia" w:ascii="宋体" w:hAnsi="宋体" w:eastAsia="宋体" w:cs="宋体"/>
          <w:iCs/>
          <w:sz w:val="21"/>
          <w:szCs w:val="21"/>
        </w:rPr>
        <w:t xml:space="preserve">在合同履行期间，国家和省有关政策发生变化，省级财政资金削减，甲乙双方可以就合同标的、价款、履行范围等相关内容重新协商。协商一致的，签订补充协议，补充协议与本合同具有同等法律效力；协商不成的，任何一方可依据《民法典》第五百三十三条规定，请求人民法院或仲裁机构变更或解除合同，不得擅自变更合同内容。</w:t>
      </w:r>
      <w:r>
        <w:rPr>
          <w:rFonts w:hint="eastAsia" w:ascii="宋体" w:hAnsi="宋体" w:eastAsia="宋体" w:cs="宋体"/>
          <w:iCs/>
          <w:sz w:val="21"/>
          <w:szCs w:val="21"/>
        </w:rPr>
      </w:r>
      <w:r/>
    </w:p>
    <w:p>
      <w:pPr>
        <w:pStyle w:val="1561"/>
        <w:ind w:firstLine="422"/>
        <w:spacing w:before="120" w:after="120" w:line="360" w:lineRule="auto"/>
        <w:rPr>
          <w:rFonts w:hint="eastAsia" w:ascii="宋体" w:hAnsi="宋体" w:eastAsia="宋体" w:cs="宋体"/>
          <w:b/>
          <w:sz w:val="21"/>
          <w:szCs w:val="21"/>
        </w:rPr>
      </w:pPr>
      <w:r>
        <w:rPr>
          <w:rFonts w:hint="eastAsia" w:ascii="宋体" w:hAnsi="宋体" w:eastAsia="宋体" w:cs="宋体"/>
          <w:b/>
          <w:sz w:val="21"/>
          <w:szCs w:val="21"/>
        </w:rPr>
        <w:t xml:space="preserve">十六、诉讼</w:t>
      </w:r>
      <w:r>
        <w:rPr>
          <w:rFonts w:hint="eastAsia" w:ascii="宋体" w:hAnsi="宋体" w:eastAsia="宋体" w:cs="宋体"/>
          <w:b/>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双方在执行合同中所发生的一切争议，应通过协商解决。如协商不成，可向合同签订地法院起诉，合同签订地在此约定为南京市。</w:t>
      </w:r>
      <w:r>
        <w:rPr>
          <w:rFonts w:hint="eastAsia" w:hAnsi="宋体" w:eastAsia="宋体" w:cs="宋体"/>
          <w:bCs/>
          <w:sz w:val="21"/>
          <w:szCs w:val="21"/>
        </w:rPr>
      </w:r>
      <w:r/>
    </w:p>
    <w:p>
      <w:pPr>
        <w:pStyle w:val="1561"/>
        <w:ind w:firstLine="422"/>
        <w:spacing w:before="120" w:after="120" w:line="360" w:lineRule="auto"/>
        <w:rPr>
          <w:rFonts w:hint="eastAsia" w:ascii="宋体" w:hAnsi="宋体" w:eastAsia="宋体" w:cs="宋体"/>
          <w:b/>
          <w:sz w:val="21"/>
          <w:szCs w:val="21"/>
        </w:rPr>
      </w:pPr>
      <w:r>
        <w:rPr>
          <w:rFonts w:hint="eastAsia" w:ascii="宋体" w:hAnsi="宋体" w:eastAsia="宋体" w:cs="宋体"/>
          <w:b/>
          <w:sz w:val="21"/>
          <w:szCs w:val="21"/>
        </w:rPr>
        <w:t xml:space="preserve">十七、合同生效及其它</w:t>
      </w:r>
      <w:r>
        <w:rPr>
          <w:rFonts w:hint="eastAsia" w:ascii="宋体" w:hAnsi="宋体" w:eastAsia="宋体" w:cs="宋体"/>
          <w:b/>
          <w:sz w:val="21"/>
          <w:szCs w:val="21"/>
        </w:rPr>
      </w:r>
      <w:r/>
    </w:p>
    <w:p>
      <w:pPr>
        <w:pStyle w:val="1600"/>
        <w:ind w:firstLine="420"/>
        <w:spacing w:line="360" w:lineRule="auto"/>
        <w:rPr>
          <w:rFonts w:hint="eastAsia" w:hAnsi="宋体" w:eastAsia="宋体" w:cs="宋体"/>
          <w:bCs/>
          <w:sz w:val="21"/>
          <w:szCs w:val="21"/>
        </w:rPr>
      </w:pPr>
      <w:r>
        <w:rPr>
          <w:rFonts w:hint="eastAsia" w:hAnsi="宋体" w:eastAsia="宋体" w:cs="宋体"/>
          <w:bCs/>
          <w:sz w:val="21"/>
          <w:szCs w:val="21"/>
        </w:rPr>
        <w:t xml:space="preserve">17.1合同经双方法定代表人或授权委托代表人签字并加盖单位公章后生效。</w:t>
      </w:r>
      <w:r>
        <w:rPr>
          <w:rFonts w:hint="eastAsia" w:hAnsi="宋体" w:eastAsia="宋体" w:cs="宋体"/>
          <w:bCs/>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rPr>
        <w:t xml:space="preserve">17.2本合同正本一式四份，具有同等法律效力，甲方、乙方各执两份。</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rFonts w:hint="eastAsia" w:ascii="宋体" w:hAnsi="宋体" w:eastAsia="宋体" w:cs="宋体"/>
          <w:sz w:val="21"/>
          <w:szCs w:val="21"/>
        </w:rPr>
      </w:r>
      <w:r/>
    </w:p>
    <w:p>
      <w:pPr>
        <w:pStyle w:val="1561"/>
        <w:ind w:left="0" w:right="0" w:firstLine="48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rFonts w:hint="eastAsia" w:ascii="宋体" w:hAnsi="宋体" w:eastAsia="宋体" w:cs="宋体"/>
          <w:sz w:val="21"/>
          <w:szCs w:val="21"/>
        </w:rPr>
      </w:r>
      <w:r/>
    </w:p>
    <w:p>
      <w:pPr>
        <w:pStyle w:val="1561"/>
        <w:ind w:left="0" w:right="0" w:firstLine="904"/>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甲方（盖章）：江苏省环境监测中心  </w:t>
      </w:r>
      <w:r>
        <w:rPr>
          <w:rFonts w:hint="eastAsia" w:ascii="宋体" w:hAnsi="宋体" w:eastAsia="宋体" w:cs="宋体"/>
          <w:color w:val="000000"/>
          <w:sz w:val="21"/>
          <w:szCs w:val="21"/>
          <w:lang w:val="en-US" w:eastAsia="zh-CN"/>
        </w:rPr>
        <w:tab/>
      </w:r>
      <w:r>
        <w:rPr>
          <w:rFonts w:ascii="宋体" w:hAnsi="宋体" w:eastAsia="宋体" w:cs="宋体"/>
          <w:color w:val="000000"/>
          <w:sz w:val="21"/>
          <w:szCs w:val="21"/>
        </w:rPr>
        <w:t xml:space="preserve">乙方（盖章）：</w:t>
      </w:r>
      <w:r>
        <w:rPr>
          <w:rFonts w:hint="eastAsia" w:ascii="宋体" w:hAnsi="宋体" w:eastAsia="宋体" w:cs="宋体"/>
          <w:sz w:val="21"/>
          <w:szCs w:val="21"/>
        </w:rPr>
      </w:r>
      <w:r/>
    </w:p>
    <w:p>
      <w:pPr>
        <w:pStyle w:val="1561"/>
        <w:ind w:left="0" w:right="0" w:firstLine="904"/>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地址：南京市建邺区中和路100号   </w:t>
      </w:r>
      <w:r>
        <w:rPr>
          <w:rFonts w:hint="eastAsia" w:ascii="宋体" w:hAnsi="宋体" w:eastAsia="宋体" w:cs="宋体"/>
          <w:color w:val="000000"/>
          <w:sz w:val="21"/>
          <w:szCs w:val="21"/>
          <w:lang w:val="en-US" w:eastAsia="zh-CN"/>
        </w:rPr>
        <w:tab/>
      </w:r>
      <w:r>
        <w:rPr>
          <w:rFonts w:ascii="宋体" w:hAnsi="宋体" w:eastAsia="宋体" w:cs="宋体"/>
          <w:color w:val="000000"/>
          <w:sz w:val="21"/>
          <w:szCs w:val="21"/>
        </w:rPr>
        <w:t xml:space="preserve">地址：</w:t>
      </w:r>
      <w:r>
        <w:rPr>
          <w:rFonts w:hint="eastAsia" w:ascii="宋体" w:hAnsi="宋体" w:eastAsia="宋体" w:cs="宋体"/>
          <w:sz w:val="21"/>
          <w:szCs w:val="21"/>
        </w:rPr>
      </w:r>
      <w:r/>
    </w:p>
    <w:p>
      <w:pPr>
        <w:pStyle w:val="1561"/>
        <w:ind w:left="0" w:right="0" w:firstLine="904"/>
        <w:jc w:val="both"/>
        <w:spacing w:before="0" w:after="0"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法定代表人（签字）：         </w:t>
      </w:r>
      <w:r>
        <w:rPr>
          <w:rFonts w:hint="eastAsia" w:ascii="宋体" w:hAnsi="宋体" w:eastAsia="宋体" w:cs="宋体"/>
          <w:color w:val="000000"/>
          <w:sz w:val="21"/>
          <w:szCs w:val="21"/>
          <w:lang w:val="en-US" w:eastAsia="zh-CN"/>
        </w:rPr>
        <w:tab/>
      </w:r>
      <w:r>
        <w:rPr>
          <w:rFonts w:ascii="宋体" w:hAnsi="宋体" w:eastAsia="宋体" w:cs="宋体"/>
          <w:color w:val="000000"/>
          <w:sz w:val="21"/>
          <w:szCs w:val="21"/>
        </w:rPr>
        <w:t xml:space="preserve">法定代表人或授权代表（签字）：</w:t>
      </w:r>
      <w:r>
        <w:rPr>
          <w:rFonts w:ascii="宋体" w:hAnsi="宋体" w:eastAsia="宋体" w:cs="宋体"/>
          <w:color w:val="000000"/>
          <w:sz w:val="21"/>
          <w:szCs w:val="21"/>
        </w:rPr>
      </w:r>
      <w:r/>
    </w:p>
    <w:p>
      <w:pPr>
        <w:pStyle w:val="1561"/>
        <w:ind w:left="0" w:right="0" w:firstLine="904"/>
        <w:jc w:val="both"/>
        <w:spacing w:before="0" w:after="0"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经办人：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经办人： </w:t>
      </w:r>
      <w:r>
        <w:rPr>
          <w:rFonts w:ascii="宋体" w:hAnsi="宋体" w:eastAsia="宋体" w:cs="宋体"/>
          <w:color w:val="000000"/>
          <w:sz w:val="21"/>
          <w:szCs w:val="21"/>
        </w:rPr>
      </w:r>
      <w:r/>
    </w:p>
    <w:p>
      <w:pPr>
        <w:pStyle w:val="1561"/>
        <w:ind w:left="0" w:right="0" w:firstLine="904"/>
        <w:jc w:val="both"/>
        <w:spacing w:before="0"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联系电话：          </w:t>
      </w:r>
      <w:r>
        <w:rPr>
          <w:rFonts w:hint="eastAsia" w:ascii="宋体" w:hAnsi="宋体" w:eastAsia="宋体" w:cs="宋体"/>
          <w:color w:val="000000"/>
          <w:sz w:val="21"/>
          <w:szCs w:val="21"/>
        </w:rPr>
      </w:r>
      <w:r/>
    </w:p>
    <w:p>
      <w:pPr>
        <w:pStyle w:val="1561"/>
        <w:ind w:left="0" w:right="0" w:firstLine="904"/>
        <w:jc w:val="both"/>
        <w:spacing w:before="0"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开户行：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纳税人识别号：</w:t>
      </w:r>
      <w:r>
        <w:rPr>
          <w:rFonts w:hint="eastAsia" w:ascii="宋体" w:hAnsi="宋体" w:eastAsia="宋体" w:cs="宋体"/>
          <w:color w:val="000000"/>
          <w:sz w:val="21"/>
          <w:szCs w:val="21"/>
        </w:rPr>
      </w:r>
      <w:r/>
    </w:p>
    <w:p>
      <w:pPr>
        <w:pStyle w:val="1561"/>
        <w:ind w:left="0" w:right="0" w:firstLine="840"/>
        <w:jc w:val="both"/>
        <w:spacing w:before="0" w:after="0" w:line="360" w:lineRule="auto"/>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银行账号：</w:t>
      </w:r>
      <w:r>
        <w:rPr>
          <w:rFonts w:ascii="宋体" w:hAnsi="宋体" w:eastAsia="宋体" w:cs="宋体"/>
          <w:color w:val="000000"/>
          <w:sz w:val="21"/>
          <w:szCs w:val="21"/>
          <w:lang w:val="en-US" w:eastAsia="zh-CN"/>
        </w:rPr>
      </w:r>
      <w:r/>
    </w:p>
    <w:p>
      <w:pPr>
        <w:pStyle w:val="1561"/>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p>
    <w:p>
      <w:pPr>
        <w:pStyle w:val="1561"/>
        <w:ind w:firstLine="902"/>
        <w:jc w:val="right"/>
        <w:spacing w:line="360" w:lineRule="auto"/>
        <w:rPr>
          <w:rFonts w:hint="eastAsia" w:ascii="宋体" w:hAnsi="宋体" w:cs="宋体"/>
          <w:b/>
          <w:bCs/>
          <w:szCs w:val="21"/>
        </w:rPr>
      </w:pPr>
      <w:r>
        <w:rPr>
          <w:rFonts w:ascii="宋体" w:hAnsi="宋体" w:eastAsia="宋体" w:cs="宋体"/>
          <w:color w:val="000000"/>
          <w:sz w:val="24"/>
        </w:rPr>
        <w:t xml:space="preserve">                       </w:t>
      </w:r>
      <w:r>
        <w:rPr>
          <w:rFonts w:hint="eastAsia" w:ascii="宋体" w:hAnsi="宋体" w:cs="宋体"/>
          <w:b/>
          <w:bCs/>
          <w:szCs w:val="21"/>
        </w:rPr>
      </w:r>
      <w:r/>
    </w:p>
    <w:p>
      <w:pPr>
        <w:pStyle w:val="1561"/>
        <w:ind w:left="424" w:firstLine="843"/>
        <w:spacing w:line="720" w:lineRule="exact"/>
        <w:rPr>
          <w:rFonts w:ascii="Arial" w:hAnsi="Arial" w:cs="Arial"/>
          <w:b/>
          <w:szCs w:val="21"/>
        </w:rPr>
        <w:sectPr>
          <w:footerReference w:type="default" r:id="rId18"/>
          <w:footerReference w:type="first" r:id="rId19"/>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ascii="Arial" w:hAnsi="Arial" w:cs="Arial"/>
          <w:b/>
          <w:szCs w:val="21"/>
        </w:rPr>
      </w:r>
      <w:r/>
    </w:p>
    <w:p>
      <w:pPr>
        <w:pStyle w:val="1561"/>
        <w:ind w:left="1067"/>
        <w:spacing w:before="65" w:line="193" w:lineRule="auto"/>
        <w:rPr>
          <w:rFonts w:ascii="宋体" w:hAnsi="宋体" w:cs="宋体"/>
          <w:sz w:val="20"/>
        </w:rPr>
      </w:pPr>
      <w:r/>
      <w:bookmarkEnd w:id="265"/>
      <w:r>
        <w:rPr>
          <w:rFonts w:ascii="宋体" w:hAnsi="宋体" w:cs="宋体"/>
          <w:sz w:val="20"/>
        </w:rPr>
      </w:r>
      <w:r/>
    </w:p>
    <w:p>
      <w:pPr>
        <w:pStyle w:val="1561"/>
        <w:jc w:val="center"/>
        <w:spacing w:line="440" w:lineRule="exact"/>
        <w:rPr>
          <w:b/>
          <w:sz w:val="28"/>
          <w:szCs w:val="28"/>
        </w:rPr>
        <w:outlineLvl w:val="0"/>
      </w:pPr>
      <w:r/>
      <w:bookmarkStart w:id="289" w:name="_Toc26078"/>
      <w:r/>
      <w:bookmarkStart w:id="290" w:name="_Toc30092"/>
      <w:r/>
      <w:bookmarkStart w:id="291" w:name="_Toc19"/>
      <w:r/>
      <w:bookmarkStart w:id="292" w:name="_Toc12863"/>
      <w:r>
        <w:rPr>
          <w:b/>
          <w:sz w:val="28"/>
          <w:szCs w:val="28"/>
        </w:rPr>
        <w:t xml:space="preserve">第六章 投标文件格式及附件</w:t>
      </w:r>
      <w:bookmarkEnd w:id="289"/>
      <w:r/>
      <w:bookmarkEnd w:id="290"/>
      <w:r/>
      <w:bookmarkEnd w:id="291"/>
      <w:r/>
      <w:bookmarkEnd w:id="292"/>
      <w:r>
        <w:rPr>
          <w:b/>
          <w:sz w:val="28"/>
          <w:szCs w:val="28"/>
        </w:rPr>
      </w:r>
      <w:r/>
    </w:p>
    <w:p>
      <w:pPr>
        <w:pStyle w:val="1561"/>
        <w:spacing w:line="360" w:lineRule="auto"/>
        <w:rPr>
          <w:b/>
          <w:bCs/>
          <w:szCs w:val="21"/>
        </w:rPr>
      </w:pPr>
      <w:r>
        <w:rPr>
          <w:b/>
          <w:bCs/>
          <w:szCs w:val="21"/>
        </w:rPr>
        <w:t xml:space="preserve">注：</w:t>
      </w:r>
      <w:r>
        <w:rPr>
          <w:b/>
          <w:bCs/>
          <w:szCs w:val="21"/>
        </w:rPr>
      </w:r>
      <w:r/>
    </w:p>
    <w:p>
      <w:pPr>
        <w:pStyle w:val="1561"/>
        <w:jc w:val="left"/>
        <w:spacing w:line="360" w:lineRule="auto"/>
        <w:rPr>
          <w:szCs w:val="21"/>
        </w:rPr>
      </w:pPr>
      <w:r>
        <w:rPr>
          <w:szCs w:val="21"/>
        </w:rPr>
        <w:t xml:space="preserve">1.本部分内容仅提供格式参考。 </w:t>
      </w:r>
      <w:r>
        <w:rPr>
          <w:szCs w:val="21"/>
        </w:rPr>
      </w:r>
      <w:r/>
    </w:p>
    <w:p>
      <w:pPr>
        <w:pStyle w:val="1561"/>
        <w:jc w:val="left"/>
        <w:spacing w:line="360" w:lineRule="auto"/>
        <w:rPr>
          <w:szCs w:val="21"/>
        </w:rPr>
      </w:pPr>
      <w:r>
        <w:rPr>
          <w:szCs w:val="21"/>
        </w:rPr>
        <w:t xml:space="preserve">2.供应商应按照以下文件的要求格式、内容制作投标文件，混乱的编排导致投标文件被误读或查找不到，后果由供应商承担。 </w:t>
      </w:r>
      <w:r>
        <w:rPr>
          <w:szCs w:val="21"/>
        </w:rPr>
      </w:r>
      <w:r/>
    </w:p>
    <w:p>
      <w:pPr>
        <w:pStyle w:val="1561"/>
        <w:jc w:val="left"/>
        <w:spacing w:line="360" w:lineRule="auto"/>
        <w:rPr>
          <w:szCs w:val="21"/>
        </w:rPr>
      </w:pPr>
      <w:r>
        <w:rPr>
          <w:szCs w:val="21"/>
        </w:rPr>
        <w:t xml:space="preserve">3.所附表格中要求回答的全部问题和信息都必须正面回答。 </w:t>
      </w:r>
      <w:r>
        <w:rPr>
          <w:szCs w:val="21"/>
        </w:rPr>
      </w:r>
      <w:r/>
    </w:p>
    <w:p>
      <w:pPr>
        <w:pStyle w:val="1561"/>
        <w:jc w:val="left"/>
        <w:spacing w:line="360" w:lineRule="auto"/>
        <w:rPr>
          <w:szCs w:val="21"/>
        </w:rPr>
      </w:pPr>
      <w:r>
        <w:rPr>
          <w:szCs w:val="21"/>
        </w:rPr>
        <w:t xml:space="preserve">4.供应商提交的材料不予退还。 </w:t>
      </w:r>
      <w:r>
        <w:rPr>
          <w:szCs w:val="21"/>
        </w:rPr>
      </w:r>
      <w:r/>
    </w:p>
    <w:p>
      <w:pPr>
        <w:pStyle w:val="1561"/>
        <w:jc w:val="left"/>
        <w:spacing w:line="360" w:lineRule="auto"/>
        <w:rPr>
          <w:szCs w:val="21"/>
        </w:rPr>
      </w:pPr>
      <w:r>
        <w:rPr>
          <w:szCs w:val="21"/>
        </w:rPr>
        <w:t xml:space="preserve">5.全部文件应按投标人须知以及前附表中规定的语言和份数提交。 </w:t>
      </w:r>
      <w:r>
        <w:rPr>
          <w:szCs w:val="21"/>
        </w:rPr>
      </w:r>
      <w:r/>
    </w:p>
    <w:p>
      <w:pPr>
        <w:pStyle w:val="1561"/>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561"/>
        <w:jc w:val="center"/>
        <w:rPr>
          <w:szCs w:val="24"/>
        </w:rPr>
      </w:pPr>
      <w:r/>
      <w:bookmarkStart w:id="293" w:name="_Toc29373"/>
      <w:r/>
      <w:bookmarkStart w:id="294" w:name="_Toc12151"/>
      <w:r/>
      <w:bookmarkStart w:id="295" w:name="_Toc496780634"/>
      <w:r>
        <w:rPr>
          <w:szCs w:val="24"/>
        </w:rPr>
      </w:r>
      <w:r/>
    </w:p>
    <w:p>
      <w:pPr>
        <w:pStyle w:val="1561"/>
        <w:rPr>
          <w:szCs w:val="24"/>
        </w:rPr>
        <w:sectPr>
          <w:footerReference w:type="default" r:id="rId20"/>
          <w:footerReference w:type="first" r:id="rId21"/>
          <w:footnotePr/>
          <w:endnotePr/>
          <w:type w:val="nextPage"/>
          <w:pgSz w:w="11906" w:h="16838" w:orient="portrait"/>
          <w:pgMar w:top="1134" w:right="1134" w:bottom="1134" w:left="1134" w:header="851" w:footer="992" w:gutter="0"/>
          <w:pgNumType w:start="1"/>
          <w:cols w:num="1" w:sep="0" w:space="1701" w:equalWidth="1"/>
          <w:docGrid w:linePitch="360"/>
          <w:titlePg/>
        </w:sectPr>
      </w:pPr>
      <w:r>
        <w:rPr>
          <w:szCs w:val="24"/>
        </w:rPr>
      </w:r>
      <w:r/>
    </w:p>
    <w:p>
      <w:pPr>
        <w:pStyle w:val="1561"/>
        <w:jc w:val="left"/>
        <w:widowControl/>
      </w:pPr>
      <w:r>
        <w:rPr>
          <w:b/>
          <w:bCs/>
          <w:color w:val="000000"/>
          <w:sz w:val="28"/>
          <w:szCs w:val="28"/>
          <w:lang w:bidi="ar"/>
        </w:rPr>
        <w:t xml:space="preserve">投标文件封面格式 </w:t>
      </w:r>
      <w:r/>
    </w:p>
    <w:p>
      <w:pPr>
        <w:pStyle w:val="1561"/>
        <w:jc w:val="center"/>
        <w:spacing w:line="500" w:lineRule="exact"/>
        <w:rPr>
          <w:b/>
          <w:sz w:val="44"/>
          <w:szCs w:val="44"/>
        </w:rPr>
      </w:pPr>
      <w:r>
        <w:rPr>
          <w:b/>
          <w:sz w:val="44"/>
          <w:szCs w:val="44"/>
        </w:rPr>
      </w:r>
      <w:r/>
    </w:p>
    <w:p>
      <w:pPr>
        <w:pStyle w:val="1748"/>
        <w:ind w:firstLine="883"/>
        <w:rPr>
          <w:b/>
          <w:sz w:val="44"/>
          <w:szCs w:val="44"/>
        </w:rPr>
      </w:pPr>
      <w:r>
        <w:rPr>
          <w:b/>
          <w:sz w:val="44"/>
          <w:szCs w:val="44"/>
        </w:rPr>
      </w:r>
      <w:r/>
    </w:p>
    <w:p>
      <w:pPr>
        <w:pStyle w:val="1748"/>
        <w:ind w:firstLine="883"/>
        <w:rPr>
          <w:b/>
          <w:sz w:val="44"/>
          <w:szCs w:val="44"/>
        </w:rPr>
      </w:pPr>
      <w:r>
        <w:rPr>
          <w:b/>
          <w:sz w:val="44"/>
          <w:szCs w:val="44"/>
        </w:rPr>
      </w:r>
      <w:r/>
    </w:p>
    <w:p>
      <w:pPr>
        <w:pStyle w:val="1561"/>
        <w:jc w:val="center"/>
        <w:spacing w:line="500" w:lineRule="exact"/>
        <w:rPr>
          <w:rFonts w:hint="eastAsia"/>
          <w:b/>
          <w:sz w:val="48"/>
          <w:szCs w:val="48"/>
          <w:lang w:eastAsia="zh-CN"/>
        </w:rPr>
      </w:pPr>
      <w:r>
        <w:rPr>
          <w:rFonts w:hint="eastAsia"/>
          <w:b/>
          <w:sz w:val="48"/>
          <w:szCs w:val="48"/>
          <w:lang w:eastAsia="zh-CN"/>
        </w:rPr>
        <w:t xml:space="preserve">江苏省环境监测中心</w:t>
      </w:r>
      <w:r>
        <w:rPr>
          <w:rFonts w:hint="eastAsia"/>
          <w:b/>
          <w:sz w:val="48"/>
          <w:szCs w:val="48"/>
          <w:lang w:eastAsia="zh-CN"/>
        </w:rPr>
      </w:r>
      <w:r/>
    </w:p>
    <w:p>
      <w:pPr>
        <w:pStyle w:val="1561"/>
        <w:jc w:val="center"/>
        <w:spacing w:line="500" w:lineRule="exact"/>
        <w:rPr>
          <w:rFonts w:hint="eastAsia" w:eastAsia="宋体"/>
          <w:b/>
          <w:color w:val="000000"/>
          <w:spacing w:val="80"/>
          <w:sz w:val="72"/>
          <w:highlight w:val="none"/>
          <w:lang w:eastAsia="zh-CN"/>
        </w:rPr>
      </w:pPr>
      <w:r>
        <w:rPr>
          <w:rFonts w:hint="eastAsia"/>
          <w:b/>
          <w:sz w:val="48"/>
          <w:szCs w:val="48"/>
          <w:highlight w:val="none"/>
          <w:lang w:eastAsia="zh-CN"/>
        </w:rPr>
        <w:t xml:space="preserve">2026年度江苏省新生产销售机动</w:t>
      </w:r>
      <w:r>
        <w:rPr>
          <w:rFonts w:hint="eastAsia"/>
          <w:b/>
          <w:sz w:val="48"/>
          <w:szCs w:val="48"/>
          <w:highlight w:val="none"/>
          <w:lang w:val="en-US" w:eastAsia="zh-CN"/>
        </w:rPr>
        <w:t xml:space="preserve">车</w:t>
      </w:r>
      <w:r>
        <w:rPr>
          <w:rFonts w:hint="eastAsia"/>
          <w:b/>
          <w:sz w:val="48"/>
          <w:szCs w:val="48"/>
          <w:highlight w:val="none"/>
          <w:lang w:eastAsia="zh-CN"/>
        </w:rPr>
        <w:t xml:space="preserve">和非道路移动机械环保达标抽查核验项目</w:t>
      </w:r>
      <w:r>
        <w:rPr>
          <w:rFonts w:hint="eastAsia" w:eastAsia="宋体"/>
          <w:b/>
          <w:color w:val="000000"/>
          <w:spacing w:val="80"/>
          <w:sz w:val="72"/>
          <w:highlight w:val="none"/>
          <w:lang w:eastAsia="zh-CN"/>
        </w:rPr>
      </w:r>
      <w:r/>
    </w:p>
    <w:p>
      <w:pPr>
        <w:pStyle w:val="1748"/>
        <w:ind w:firstLine="1766"/>
        <w:rPr>
          <w:b/>
          <w:color w:val="000000"/>
          <w:spacing w:val="80"/>
          <w:sz w:val="72"/>
        </w:rPr>
      </w:pPr>
      <w:r>
        <w:rPr>
          <w:b/>
          <w:color w:val="000000"/>
          <w:spacing w:val="80"/>
          <w:sz w:val="72"/>
        </w:rPr>
      </w:r>
      <w:r/>
    </w:p>
    <w:p>
      <w:pPr>
        <w:pStyle w:val="1748"/>
        <w:ind w:firstLine="1766"/>
        <w:rPr>
          <w:b/>
          <w:color w:val="000000"/>
          <w:spacing w:val="80"/>
          <w:sz w:val="72"/>
        </w:rPr>
      </w:pPr>
      <w:r>
        <w:rPr>
          <w:b/>
          <w:color w:val="000000"/>
          <w:spacing w:val="80"/>
          <w:sz w:val="72"/>
        </w:rPr>
      </w:r>
      <w:r/>
    </w:p>
    <w:p>
      <w:pPr>
        <w:pStyle w:val="1561"/>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561"/>
        <w:ind w:firstLine="1285"/>
        <w:spacing w:line="360" w:lineRule="auto"/>
        <w:rPr>
          <w:b/>
          <w:sz w:val="32"/>
          <w:szCs w:val="32"/>
        </w:rPr>
      </w:pPr>
      <w:r>
        <w:rPr>
          <w:b/>
          <w:sz w:val="32"/>
          <w:szCs w:val="32"/>
        </w:rPr>
      </w:r>
      <w:r/>
    </w:p>
    <w:p>
      <w:pPr>
        <w:pStyle w:val="1561"/>
        <w:spacing w:line="500" w:lineRule="exact"/>
        <w:rPr>
          <w:color w:val="000000"/>
          <w:sz w:val="32"/>
        </w:rPr>
      </w:pPr>
      <w:r>
        <w:rPr>
          <w:color w:val="000000"/>
          <w:sz w:val="32"/>
        </w:rPr>
      </w:r>
      <w:r/>
    </w:p>
    <w:p>
      <w:pPr>
        <w:pStyle w:val="1561"/>
        <w:spacing w:line="500" w:lineRule="exact"/>
        <w:rPr>
          <w:color w:val="000000"/>
          <w:sz w:val="32"/>
        </w:rPr>
      </w:pPr>
      <w:r>
        <w:rPr>
          <w:color w:val="000000"/>
          <w:sz w:val="32"/>
        </w:rPr>
      </w:r>
      <w:r/>
    </w:p>
    <w:p>
      <w:pPr>
        <w:pStyle w:val="1839"/>
        <w:ind w:firstLine="420"/>
      </w:pPr>
      <w:r/>
      <w:r/>
    </w:p>
    <w:p>
      <w:pPr>
        <w:pStyle w:val="1561"/>
        <w:ind w:firstLine="1285"/>
        <w:spacing w:line="360" w:lineRule="auto"/>
        <w:rPr>
          <w:b/>
          <w:sz w:val="32"/>
          <w:szCs w:val="32"/>
        </w:rPr>
      </w:pPr>
      <w:r>
        <w:rPr>
          <w:b/>
          <w:sz w:val="32"/>
          <w:szCs w:val="32"/>
        </w:rPr>
      </w:r>
      <w:r/>
    </w:p>
    <w:p>
      <w:pPr>
        <w:pStyle w:val="1561"/>
        <w:ind w:firstLine="1285"/>
        <w:spacing w:line="360" w:lineRule="auto"/>
        <w:rPr>
          <w:rFonts w:hint="eastAsia"/>
          <w:b/>
          <w:sz w:val="32"/>
          <w:szCs w:val="32"/>
          <w:highlight w:val="none"/>
          <w:lang w:val="en-US" w:eastAsia="zh-CN"/>
        </w:rPr>
      </w:pPr>
      <w:r>
        <w:rPr>
          <w:b/>
          <w:sz w:val="32"/>
          <w:szCs w:val="32"/>
        </w:rPr>
        <w:t xml:space="preserve">项目</w:t>
      </w:r>
      <w:r>
        <w:rPr>
          <w:b/>
          <w:sz w:val="32"/>
          <w:szCs w:val="32"/>
          <w:highlight w:val="none"/>
        </w:rPr>
        <w:t xml:space="preserve">编号：</w:t>
      </w:r>
      <w:r>
        <w:rPr>
          <w:rFonts w:hint="eastAsia"/>
          <w:b/>
          <w:sz w:val="32"/>
          <w:szCs w:val="32"/>
          <w:highlight w:val="none"/>
          <w:lang w:eastAsia="zh-CN"/>
        </w:rPr>
        <w:t xml:space="preserve">JSZC-320000-SMDY-G2026-0052</w:t>
      </w:r>
      <w:r>
        <w:rPr>
          <w:rFonts w:hint="eastAsia"/>
          <w:b/>
          <w:sz w:val="32"/>
          <w:szCs w:val="32"/>
          <w:highlight w:val="none"/>
          <w:lang w:val="en-US" w:eastAsia="zh-CN"/>
        </w:rPr>
      </w:r>
      <w:r/>
    </w:p>
    <w:p>
      <w:pPr>
        <w:pStyle w:val="1561"/>
        <w:ind w:firstLine="1285"/>
        <w:spacing w:line="360" w:lineRule="auto"/>
        <w:rPr>
          <w:b/>
          <w:sz w:val="32"/>
          <w:szCs w:val="32"/>
          <w:highlight w:val="yellow"/>
        </w:rPr>
      </w:pPr>
      <w:r>
        <w:rPr>
          <w:b/>
          <w:sz w:val="32"/>
          <w:szCs w:val="32"/>
          <w:highlight w:val="none"/>
        </w:rPr>
        <w:t xml:space="preserve">（</w:t>
      </w:r>
      <w:r>
        <w:rPr>
          <w:rFonts w:hint="eastAsia"/>
          <w:b/>
          <w:sz w:val="32"/>
          <w:szCs w:val="32"/>
          <w:highlight w:val="none"/>
          <w:lang w:eastAsia="zh-CN"/>
        </w:rPr>
        <w:t xml:space="preserve">2640SUMEC/ZWGG2088</w:t>
      </w:r>
      <w:r>
        <w:rPr>
          <w:b/>
          <w:sz w:val="32"/>
          <w:szCs w:val="32"/>
          <w:highlight w:val="none"/>
        </w:rPr>
        <w:t xml:space="preserve">）</w:t>
      </w:r>
      <w:r>
        <w:rPr>
          <w:b/>
          <w:sz w:val="32"/>
          <w:szCs w:val="32"/>
          <w:highlight w:val="yellow"/>
        </w:rPr>
      </w:r>
      <w:r/>
    </w:p>
    <w:p>
      <w:pPr>
        <w:pStyle w:val="1561"/>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561"/>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630"/>
        <w:ind w:firstLine="280"/>
        <w:sectPr>
          <w:footerReference w:type="default" r:id="rId22"/>
          <w:footerReference w:type="first" r:id="rId23"/>
          <w:footnotePr/>
          <w:endnotePr/>
          <w:type w:val="nextPage"/>
          <w:pgSz w:w="11906" w:h="16838" w:orient="portrait"/>
          <w:pgMar w:top="1134" w:right="1134" w:bottom="1134" w:left="1134" w:header="851" w:footer="992" w:gutter="0"/>
          <w:pgNumType w:start="1"/>
          <w:cols w:num="1" w:sep="0" w:space="1701" w:equalWidth="1"/>
          <w:docGrid w:linePitch="360"/>
          <w:titlePg/>
        </w:sectPr>
      </w:pPr>
      <w:r/>
      <w:r/>
    </w:p>
    <w:p>
      <w:pPr>
        <w:pStyle w:val="1561"/>
        <w:spacing w:line="440" w:lineRule="exact"/>
        <w:rPr>
          <w:b/>
          <w:bCs/>
          <w:sz w:val="24"/>
        </w:rPr>
        <w:outlineLvl w:val="1"/>
      </w:pPr>
      <w:r/>
      <w:bookmarkEnd w:id="293"/>
      <w:r/>
      <w:bookmarkEnd w:id="294"/>
      <w:r/>
      <w:bookmarkEnd w:id="295"/>
      <w:r/>
      <w:bookmarkStart w:id="296" w:name="_Toc23453"/>
      <w:r/>
      <w:bookmarkStart w:id="297" w:name="_Toc26000"/>
      <w:r/>
      <w:bookmarkStart w:id="298" w:name="_Toc13756"/>
      <w:r>
        <w:rPr>
          <w:b/>
          <w:bCs/>
          <w:sz w:val="24"/>
        </w:rPr>
        <w:t xml:space="preserve">附件一 投标函格式</w:t>
      </w:r>
      <w:bookmarkEnd w:id="296"/>
      <w:r/>
      <w:bookmarkEnd w:id="297"/>
      <w:r/>
      <w:bookmarkEnd w:id="298"/>
      <w:r>
        <w:rPr>
          <w:b/>
          <w:bCs/>
          <w:sz w:val="24"/>
        </w:rPr>
      </w:r>
      <w:r/>
    </w:p>
    <w:p>
      <w:pPr>
        <w:pStyle w:val="1561"/>
        <w:jc w:val="center"/>
        <w:spacing w:line="440" w:lineRule="exact"/>
        <w:rPr>
          <w:b/>
          <w:sz w:val="28"/>
          <w:szCs w:val="22"/>
        </w:rPr>
      </w:pPr>
      <w:r>
        <w:rPr>
          <w:b/>
          <w:sz w:val="28"/>
          <w:szCs w:val="22"/>
        </w:rPr>
        <w:t xml:space="preserve">投标函</w:t>
      </w:r>
      <w:r>
        <w:rPr>
          <w:b/>
          <w:sz w:val="28"/>
          <w:szCs w:val="22"/>
        </w:rPr>
      </w:r>
      <w:r/>
    </w:p>
    <w:p>
      <w:pPr>
        <w:pStyle w:val="1561"/>
        <w:spacing w:line="360" w:lineRule="auto"/>
        <w:rPr>
          <w:szCs w:val="21"/>
        </w:rPr>
      </w:pPr>
      <w:r>
        <w:rPr>
          <w:szCs w:val="21"/>
        </w:rPr>
        <w:t xml:space="preserve">致：江苏苏美达仪器设备有限公司</w:t>
      </w:r>
      <w:r>
        <w:rPr>
          <w:szCs w:val="21"/>
        </w:rPr>
      </w:r>
      <w:r/>
    </w:p>
    <w:p>
      <w:pPr>
        <w:pStyle w:val="1561"/>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561"/>
        <w:ind w:firstLine="420"/>
        <w:spacing w:line="360" w:lineRule="auto"/>
        <w:rPr>
          <w:szCs w:val="21"/>
        </w:rPr>
      </w:pPr>
      <w:r>
        <w:rPr>
          <w:szCs w:val="21"/>
        </w:rPr>
        <w:t xml:space="preserve">据此函，签字人兹宣布同意如下：</w:t>
      </w:r>
      <w:r>
        <w:rPr>
          <w:szCs w:val="21"/>
        </w:rPr>
      </w:r>
      <w:r/>
    </w:p>
    <w:p>
      <w:pPr>
        <w:pStyle w:val="1561"/>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561"/>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561"/>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561"/>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561"/>
        <w:spacing w:line="360" w:lineRule="auto"/>
        <w:rPr>
          <w:szCs w:val="21"/>
        </w:rPr>
      </w:pPr>
      <w:r>
        <w:rPr>
          <w:szCs w:val="21"/>
        </w:rPr>
        <w:t xml:space="preserve">5．我们理解，你们无义务必须接受投标价最低的投标，并有权拒绝所有的投标。</w:t>
      </w:r>
      <w:r>
        <w:rPr>
          <w:szCs w:val="21"/>
        </w:rPr>
      </w:r>
      <w:r/>
    </w:p>
    <w:p>
      <w:pPr>
        <w:pStyle w:val="1561"/>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561"/>
        <w:spacing w:line="360" w:lineRule="auto"/>
        <w:rPr>
          <w:szCs w:val="21"/>
        </w:rPr>
      </w:pPr>
      <w:r>
        <w:rPr>
          <w:szCs w:val="21"/>
        </w:rPr>
        <w:t xml:space="preserve">7．其它说明：</w:t>
      </w:r>
      <w:r>
        <w:rPr>
          <w:szCs w:val="21"/>
        </w:rPr>
      </w:r>
      <w:r/>
    </w:p>
    <w:p>
      <w:pPr>
        <w:pStyle w:val="1561"/>
        <w:spacing w:line="440" w:lineRule="exact"/>
        <w:rPr>
          <w:szCs w:val="21"/>
        </w:rPr>
      </w:pPr>
      <w:r>
        <w:rPr>
          <w:szCs w:val="21"/>
        </w:rPr>
      </w:r>
      <w:r/>
    </w:p>
    <w:p>
      <w:pPr>
        <w:pStyle w:val="1561"/>
        <w:spacing w:line="360" w:lineRule="auto"/>
        <w:rPr>
          <w:szCs w:val="21"/>
        </w:rPr>
      </w:pPr>
      <w:r>
        <w:rPr>
          <w:szCs w:val="21"/>
        </w:rPr>
        <w:t xml:space="preserve">投标人名称：</w:t>
      </w:r>
      <w:r>
        <w:rPr>
          <w:szCs w:val="21"/>
          <w:u w:val="single"/>
        </w:rPr>
        <w:t xml:space="preserve">                   （公章）</w:t>
      </w:r>
      <w:r>
        <w:rPr>
          <w:szCs w:val="21"/>
        </w:rPr>
      </w:r>
      <w:r/>
    </w:p>
    <w:p>
      <w:pPr>
        <w:pStyle w:val="1561"/>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561"/>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561"/>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561"/>
        <w:spacing w:line="360" w:lineRule="auto"/>
        <w:rPr>
          <w:sz w:val="24"/>
        </w:rPr>
      </w:pPr>
      <w:r>
        <w:rPr>
          <w:szCs w:val="21"/>
        </w:rPr>
        <w:t xml:space="preserve">日期：</w:t>
      </w:r>
      <w:r>
        <w:rPr>
          <w:szCs w:val="21"/>
          <w:u w:val="single"/>
        </w:rPr>
        <w:t xml:space="preserve">               </w:t>
      </w:r>
      <w:r>
        <w:rPr>
          <w:sz w:val="24"/>
        </w:rPr>
      </w:r>
      <w:r/>
    </w:p>
    <w:p>
      <w:pPr>
        <w:pStyle w:val="1561"/>
        <w:spacing w:line="440" w:lineRule="exact"/>
        <w:rPr>
          <w:sz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sz w:val="24"/>
        </w:rPr>
      </w:r>
      <w:r/>
    </w:p>
    <w:p>
      <w:pPr>
        <w:pStyle w:val="1561"/>
        <w:spacing w:line="440" w:lineRule="exact"/>
        <w:rPr>
          <w:b/>
          <w:bCs/>
          <w:sz w:val="24"/>
          <w:szCs w:val="22"/>
        </w:rPr>
        <w:outlineLvl w:val="1"/>
      </w:pPr>
      <w:r/>
      <w:bookmarkStart w:id="299" w:name="_Toc14605"/>
      <w:r/>
      <w:bookmarkStart w:id="300" w:name="_Toc437"/>
      <w:r/>
      <w:bookmarkStart w:id="301" w:name="_Toc12750"/>
      <w:r/>
      <w:bookmarkStart w:id="302" w:name="_Toc28782"/>
      <w:r>
        <w:rPr>
          <w:b/>
          <w:bCs/>
          <w:sz w:val="24"/>
          <w:szCs w:val="22"/>
        </w:rPr>
        <w:t xml:space="preserve">附件二 开标一览表</w:t>
      </w:r>
      <w:bookmarkEnd w:id="299"/>
      <w:r/>
      <w:bookmarkEnd w:id="300"/>
      <w:r/>
      <w:bookmarkEnd w:id="301"/>
      <w:r/>
      <w:bookmarkEnd w:id="302"/>
      <w:r>
        <w:rPr>
          <w:b/>
          <w:bCs/>
          <w:sz w:val="24"/>
          <w:szCs w:val="22"/>
        </w:rPr>
      </w:r>
      <w:r/>
    </w:p>
    <w:p>
      <w:pPr>
        <w:pStyle w:val="1561"/>
        <w:jc w:val="center"/>
        <w:spacing w:line="440" w:lineRule="exact"/>
        <w:rPr>
          <w:b/>
          <w:sz w:val="28"/>
          <w:szCs w:val="22"/>
        </w:rPr>
      </w:pPr>
      <w:r>
        <w:rPr>
          <w:b/>
          <w:sz w:val="28"/>
          <w:szCs w:val="22"/>
        </w:rPr>
        <w:t xml:space="preserve">开标一览表</w:t>
      </w:r>
      <w:r>
        <w:rPr>
          <w:b/>
          <w:sz w:val="28"/>
          <w:szCs w:val="22"/>
        </w:rPr>
      </w:r>
      <w:r/>
    </w:p>
    <w:p>
      <w:pPr>
        <w:pStyle w:val="1561"/>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61"/>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561"/>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561"/>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561"/>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561"/>
              <w:spacing w:line="480" w:lineRule="exact"/>
              <w:rPr>
                <w:szCs w:val="21"/>
              </w:rPr>
            </w:pPr>
            <w:r>
              <w:rPr>
                <w:szCs w:val="21"/>
              </w:rPr>
              <w:t xml:space="preserve">（大写）：</w:t>
            </w:r>
            <w:r>
              <w:rPr>
                <w:szCs w:val="21"/>
                <w:u w:val="single"/>
              </w:rPr>
              <w:t xml:space="preserve">         </w:t>
            </w:r>
            <w:r>
              <w:rPr>
                <w:szCs w:val="21"/>
              </w:rPr>
            </w:r>
            <w:r/>
          </w:p>
        </w:tc>
      </w:tr>
      <w:tr>
        <w:trPr>
          <w:cantSplit/>
          <w:trHeight w:val="724"/>
        </w:trPr>
        <w:tc>
          <w:tcPr>
            <w:tcW w:w="2485" w:type="dxa"/>
            <w:vAlign w:val="center"/>
            <w:textDirection w:val="lrTb"/>
            <w:noWrap w:val="false"/>
          </w:tcPr>
          <w:p>
            <w:pPr>
              <w:pStyle w:val="1561"/>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561"/>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561"/>
              <w:jc w:val="center"/>
              <w:spacing w:line="480" w:lineRule="exact"/>
            </w:pPr>
            <w:r>
              <w:rPr>
                <w:rFonts w:hint="eastAsia"/>
              </w:rPr>
              <w:t xml:space="preserve">是否属于小微型企业</w:t>
            </w:r>
            <w:r/>
          </w:p>
        </w:tc>
        <w:tc>
          <w:tcPr>
            <w:tcW w:w="6898" w:type="dxa"/>
            <w:vAlign w:val="center"/>
            <w:textDirection w:val="lrTb"/>
            <w:noWrap w:val="false"/>
          </w:tcPr>
          <w:p>
            <w:pPr>
              <w:pStyle w:val="1578"/>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561"/>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561"/>
        <w:spacing w:line="440" w:lineRule="exact"/>
        <w:rPr>
          <w:szCs w:val="21"/>
        </w:rPr>
      </w:pPr>
      <w:r>
        <w:rPr>
          <w:szCs w:val="21"/>
        </w:rPr>
      </w:r>
      <w:r/>
    </w:p>
    <w:p>
      <w:pPr>
        <w:pStyle w:val="1630"/>
        <w:ind w:firstLine="280"/>
      </w:p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rFonts w:hint="eastAsia"/>
          <w:szCs w:val="21"/>
          <w:lang w:val="en-US" w:eastAsia="zh-CN"/>
        </w:rPr>
        <w:t xml:space="preserve">或盖章</w:t>
      </w:r>
      <w:r>
        <w:rPr>
          <w:szCs w:val="21"/>
        </w:rPr>
        <w:t xml:space="preserve">）：</w:t>
      </w:r>
      <w:r>
        <w:rPr>
          <w:szCs w:val="21"/>
        </w:rPr>
      </w:r>
      <w:r/>
    </w:p>
    <w:p>
      <w:pPr>
        <w:pStyle w:val="1561"/>
        <w:spacing w:line="440" w:lineRule="exact"/>
        <w:rPr>
          <w:szCs w:val="21"/>
        </w:rPr>
      </w:pPr>
      <w:r>
        <w:rPr>
          <w:szCs w:val="21"/>
        </w:rPr>
        <w:t xml:space="preserve">日期：</w:t>
      </w:r>
      <w:r>
        <w:rPr>
          <w:szCs w:val="21"/>
        </w:rPr>
      </w:r>
      <w:r/>
    </w:p>
    <w:p>
      <w:pPr>
        <w:pStyle w:val="1561"/>
        <w:spacing w:line="440" w:lineRule="exact"/>
        <w:rPr>
          <w:szCs w:val="21"/>
        </w:rPr>
      </w:pPr>
      <w:r>
        <w:rPr>
          <w:szCs w:val="21"/>
        </w:rPr>
      </w:r>
      <w:r/>
    </w:p>
    <w:p>
      <w:pPr>
        <w:pStyle w:val="1561"/>
        <w:spacing w:line="440" w:lineRule="exact"/>
        <w:rPr>
          <w:szCs w:val="21"/>
        </w:rPr>
      </w:pPr>
      <w:r>
        <w:rPr>
          <w:szCs w:val="21"/>
        </w:rPr>
        <w:t xml:space="preserve">注：此表中，投标总价合计应和分项报价表中的总价一致。</w:t>
      </w:r>
      <w:r>
        <w:rPr>
          <w:szCs w:val="21"/>
        </w:rPr>
      </w:r>
      <w:r/>
    </w:p>
    <w:p>
      <w:pPr>
        <w:pStyle w:val="1572"/>
        <w:rPr>
          <w:rFonts w:ascii="Times New Roman"/>
        </w:rPr>
      </w:pPr>
      <w:r>
        <w:rPr>
          <w:rFonts w:ascii="Times New Roman"/>
        </w:rPr>
      </w:r>
      <w:r/>
    </w:p>
    <w:p>
      <w:pPr>
        <w:pStyle w:val="1561"/>
        <w:jc w:val="center"/>
        <w:spacing w:line="440" w:lineRule="exact"/>
        <w:rPr>
          <w:b/>
        </w:rPr>
      </w:pPr>
      <w:r>
        <w:rPr>
          <w:b/>
        </w:rPr>
      </w:r>
      <w:r/>
    </w:p>
    <w:p>
      <w:pPr>
        <w:pStyle w:val="1561"/>
        <w:jc w:val="center"/>
        <w:spacing w:line="440" w:lineRule="exact"/>
        <w:rPr>
          <w:b/>
        </w:rPr>
      </w:pPr>
      <w:r>
        <w:rPr>
          <w:b/>
        </w:rPr>
      </w:r>
      <w:r/>
    </w:p>
    <w:p>
      <w:pPr>
        <w:pStyle w:val="1561"/>
        <w:spacing w:line="440" w:lineRule="exact"/>
        <w:rPr>
          <w:b/>
        </w:rPr>
      </w:pPr>
      <w:r>
        <w:rPr>
          <w:b/>
        </w:rPr>
      </w:r>
      <w:r/>
    </w:p>
    <w:p>
      <w:pPr>
        <w:pStyle w:val="1561"/>
        <w:spacing w:line="440" w:lineRule="exact"/>
        <w:rPr>
          <w:b/>
          <w:bCs/>
          <w:sz w:val="24"/>
          <w:szCs w:val="22"/>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bookmarkStart w:id="303" w:name="_Toc14445"/>
      <w:r>
        <w:rPr>
          <w:b/>
          <w:bCs/>
          <w:sz w:val="24"/>
          <w:szCs w:val="22"/>
        </w:rPr>
      </w:r>
      <w:r/>
    </w:p>
    <w:p>
      <w:pPr>
        <w:pStyle w:val="1561"/>
        <w:spacing w:line="440" w:lineRule="exact"/>
        <w:rPr>
          <w:b/>
          <w:bCs/>
          <w:sz w:val="24"/>
          <w:szCs w:val="22"/>
        </w:rPr>
        <w:outlineLvl w:val="1"/>
      </w:pPr>
      <w:r/>
      <w:bookmarkEnd w:id="303"/>
      <w:r/>
      <w:bookmarkStart w:id="304" w:name="_Toc15404"/>
      <w:r/>
      <w:bookmarkStart w:id="305" w:name="_Toc2903"/>
      <w:r/>
      <w:bookmarkStart w:id="306" w:name="_Toc18978"/>
      <w:r>
        <w:rPr>
          <w:b/>
          <w:bCs/>
          <w:sz w:val="24"/>
          <w:szCs w:val="22"/>
        </w:rPr>
        <w:t xml:space="preserve">附件三 分项报价表</w:t>
      </w:r>
      <w:bookmarkEnd w:id="304"/>
      <w:r/>
      <w:bookmarkEnd w:id="305"/>
      <w:r/>
      <w:bookmarkEnd w:id="306"/>
      <w:r>
        <w:rPr>
          <w:b/>
          <w:bCs/>
          <w:sz w:val="24"/>
          <w:szCs w:val="22"/>
        </w:rPr>
      </w:r>
      <w:r/>
    </w:p>
    <w:p>
      <w:pPr>
        <w:pStyle w:val="1561"/>
        <w:jc w:val="center"/>
        <w:spacing w:line="440" w:lineRule="exact"/>
        <w:rPr>
          <w:rFonts w:hint="eastAsia"/>
          <w:b/>
          <w:sz w:val="28"/>
          <w:szCs w:val="22"/>
          <w:highlight w:val="none"/>
        </w:rPr>
        <w:outlineLvl w:val="9"/>
      </w:pPr>
      <w:r/>
      <w:bookmarkStart w:id="307" w:name="_Toc8446"/>
      <w:r/>
      <w:bookmarkStart w:id="308" w:name="_Toc25269"/>
      <w:r>
        <w:rPr>
          <w:b/>
          <w:sz w:val="28"/>
          <w:szCs w:val="22"/>
          <w:highlight w:val="none"/>
        </w:rPr>
        <w:t xml:space="preserve">分项报价表</w:t>
      </w:r>
      <w:bookmarkEnd w:id="307"/>
      <w:r/>
      <w:bookmarkEnd w:id="308"/>
      <w:r>
        <w:rPr>
          <w:rFonts w:hint="eastAsia"/>
          <w:b/>
          <w:sz w:val="28"/>
          <w:szCs w:val="22"/>
          <w:highlight w:val="none"/>
        </w:rPr>
      </w:r>
      <w:r/>
    </w:p>
    <w:p>
      <w:pPr>
        <w:pStyle w:val="1578"/>
        <w:ind w:firstLine="0"/>
        <w:rPr>
          <w:sz w:val="21"/>
          <w:szCs w:val="21"/>
        </w:rPr>
      </w:pPr>
      <w:r>
        <w:rPr>
          <w:sz w:val="21"/>
          <w:szCs w:val="21"/>
        </w:rPr>
      </w:r>
      <w:r/>
    </w:p>
    <w:p>
      <w:pPr>
        <w:pStyle w:val="1561"/>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561"/>
              <w:jc w:val="center"/>
              <w:spacing w:line="360" w:lineRule="auto"/>
              <w:rPr>
                <w:rFonts w:ascii="Arial" w:hAnsi="Arial" w:cs="Arial"/>
                <w:szCs w:val="21"/>
              </w:rPr>
            </w:pPr>
            <w:r>
              <w:rPr>
                <w:rFonts w:ascii="Arial" w:hAnsi="Arial" w:cs="Arial"/>
                <w:szCs w:val="21"/>
              </w:rPr>
              <w:t xml:space="preserve">序号</w:t>
            </w:r>
            <w:r>
              <w:rPr>
                <w:rFonts w:ascii="Arial" w:hAnsi="Arial" w:cs="Arial"/>
                <w:szCs w:val="21"/>
              </w:rPr>
            </w:r>
            <w:r/>
          </w:p>
        </w:tc>
        <w:tc>
          <w:tcPr>
            <w:tcW w:w="1313" w:type="dxa"/>
            <w:vAlign w:val="center"/>
            <w:textDirection w:val="lrTb"/>
            <w:noWrap w:val="false"/>
          </w:tcPr>
          <w:p>
            <w:pPr>
              <w:pStyle w:val="1561"/>
              <w:jc w:val="center"/>
              <w:spacing w:line="360" w:lineRule="auto"/>
              <w:rPr>
                <w:rFonts w:ascii="Arial" w:hAnsi="Arial" w:cs="Arial"/>
                <w:szCs w:val="21"/>
              </w:rPr>
            </w:pPr>
            <w:r>
              <w:rPr>
                <w:rFonts w:ascii="Arial" w:hAnsi="Arial" w:cs="Arial"/>
                <w:szCs w:val="21"/>
              </w:rPr>
              <w:t xml:space="preserve">名 称</w:t>
            </w:r>
            <w:r>
              <w:rPr>
                <w:rFonts w:ascii="Arial" w:hAnsi="Arial" w:cs="Arial"/>
                <w:szCs w:val="21"/>
              </w:rPr>
            </w:r>
            <w:r/>
          </w:p>
        </w:tc>
        <w:tc>
          <w:tcPr>
            <w:tcW w:w="1424" w:type="dxa"/>
            <w:vAlign w:val="center"/>
            <w:textDirection w:val="lrTb"/>
            <w:noWrap w:val="false"/>
          </w:tcPr>
          <w:p>
            <w:pPr>
              <w:pStyle w:val="1561"/>
              <w:jc w:val="center"/>
              <w:spacing w:line="360" w:lineRule="auto"/>
              <w:rPr>
                <w:rFonts w:ascii="Arial" w:hAnsi="Arial" w:cs="Arial"/>
                <w:szCs w:val="21"/>
              </w:rPr>
            </w:pPr>
            <w:r>
              <w:rPr>
                <w:rFonts w:ascii="Arial" w:hAnsi="Arial" w:cs="Arial"/>
                <w:szCs w:val="21"/>
              </w:rPr>
              <w:t xml:space="preserve">项目内容</w:t>
            </w:r>
            <w:r>
              <w:rPr>
                <w:rFonts w:ascii="Arial" w:hAnsi="Arial" w:cs="Arial"/>
                <w:szCs w:val="21"/>
              </w:rPr>
            </w:r>
            <w:r/>
          </w:p>
        </w:tc>
        <w:tc>
          <w:tcPr>
            <w:tcW w:w="1205" w:type="dxa"/>
            <w:vAlign w:val="center"/>
            <w:textDirection w:val="lrTb"/>
            <w:noWrap w:val="false"/>
          </w:tcPr>
          <w:p>
            <w:pPr>
              <w:pStyle w:val="1561"/>
              <w:jc w:val="center"/>
              <w:spacing w:line="360" w:lineRule="auto"/>
              <w:rPr>
                <w:rFonts w:ascii="Arial" w:hAnsi="Arial" w:cs="Arial"/>
                <w:szCs w:val="21"/>
              </w:rPr>
            </w:pPr>
            <w:r>
              <w:rPr>
                <w:rFonts w:ascii="Arial" w:hAnsi="Arial" w:cs="Arial"/>
                <w:szCs w:val="21"/>
              </w:rPr>
              <w:t xml:space="preserve">数量</w:t>
            </w:r>
            <w:r>
              <w:rPr>
                <w:rFonts w:ascii="Arial" w:hAnsi="Arial" w:cs="Arial"/>
                <w:szCs w:val="21"/>
              </w:rPr>
            </w:r>
            <w:r/>
          </w:p>
        </w:tc>
        <w:tc>
          <w:tcPr>
            <w:tcW w:w="1563" w:type="dxa"/>
            <w:vAlign w:val="center"/>
            <w:textDirection w:val="lrTb"/>
            <w:noWrap w:val="false"/>
          </w:tcPr>
          <w:p>
            <w:pPr>
              <w:pStyle w:val="1561"/>
              <w:jc w:val="center"/>
              <w:spacing w:line="360" w:lineRule="auto"/>
              <w:rPr>
                <w:rFonts w:ascii="Arial" w:hAnsi="Arial" w:cs="Arial"/>
                <w:szCs w:val="21"/>
              </w:rPr>
            </w:pPr>
            <w:r>
              <w:rPr>
                <w:rFonts w:ascii="Arial" w:hAnsi="Arial" w:cs="Arial"/>
                <w:szCs w:val="21"/>
              </w:rPr>
              <w:t xml:space="preserve">单项金额</w:t>
            </w:r>
            <w:r>
              <w:rPr>
                <w:rFonts w:ascii="Arial" w:hAnsi="Arial" w:cs="Arial"/>
                <w:szCs w:val="21"/>
              </w:rPr>
            </w:r>
            <w:r/>
          </w:p>
        </w:tc>
        <w:tc>
          <w:tcPr>
            <w:tcW w:w="1683" w:type="dxa"/>
            <w:vAlign w:val="center"/>
            <w:textDirection w:val="lrTb"/>
            <w:noWrap w:val="false"/>
          </w:tcPr>
          <w:p>
            <w:pPr>
              <w:pStyle w:val="1561"/>
              <w:jc w:val="center"/>
              <w:spacing w:line="360" w:lineRule="auto"/>
              <w:rPr>
                <w:rFonts w:ascii="Arial" w:hAnsi="Arial" w:cs="Arial"/>
                <w:szCs w:val="21"/>
              </w:rPr>
            </w:pPr>
            <w:r>
              <w:rPr>
                <w:rFonts w:ascii="Arial" w:hAnsi="Arial" w:cs="Arial"/>
                <w:szCs w:val="21"/>
              </w:rPr>
              <w:t xml:space="preserve">总价金额</w:t>
            </w:r>
            <w:r>
              <w:rPr>
                <w:rFonts w:ascii="Arial" w:hAnsi="Arial" w:cs="Arial"/>
                <w:szCs w:val="21"/>
              </w:rPr>
            </w:r>
            <w:r/>
          </w:p>
        </w:tc>
        <w:tc>
          <w:tcPr>
            <w:tcW w:w="1714" w:type="dxa"/>
            <w:vAlign w:val="center"/>
            <w:textDirection w:val="lrTb"/>
            <w:noWrap w:val="false"/>
          </w:tcPr>
          <w:p>
            <w:pPr>
              <w:pStyle w:val="1561"/>
              <w:jc w:val="center"/>
              <w:spacing w:line="360" w:lineRule="auto"/>
              <w:rPr>
                <w:rFonts w:ascii="Arial" w:hAnsi="Arial" w:cs="Arial"/>
                <w:szCs w:val="21"/>
              </w:rPr>
            </w:pPr>
            <w:r>
              <w:rPr>
                <w:rFonts w:ascii="Arial" w:hAnsi="Arial" w:cs="Arial"/>
                <w:szCs w:val="21"/>
              </w:rPr>
              <w:t xml:space="preserve">备注</w:t>
            </w:r>
            <w:r>
              <w:rPr>
                <w:rFonts w:ascii="Arial" w:hAnsi="Arial" w:cs="Arial"/>
                <w:szCs w:val="21"/>
              </w:rPr>
            </w:r>
            <w:r/>
          </w:p>
        </w:tc>
      </w:tr>
      <w:tr>
        <w:trPr/>
        <w:tc>
          <w:tcPr>
            <w:tcW w:w="842" w:type="dxa"/>
            <w:vAlign w:val="top"/>
            <w:textDirection w:val="lrTb"/>
            <w:noWrap w:val="false"/>
          </w:tcPr>
          <w:p>
            <w:pPr>
              <w:pStyle w:val="1561"/>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561"/>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561"/>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561"/>
              <w:ind w:left="-827" w:firstLine="827"/>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561"/>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561"/>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561"/>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r>
      <w:tr>
        <w:trPr/>
        <w:tc>
          <w:tcPr>
            <w:gridSpan w:val="3"/>
            <w:tcW w:w="3590" w:type="dxa"/>
            <w:vAlign w:val="top"/>
            <w:textDirection w:val="lrTb"/>
            <w:noWrap w:val="false"/>
          </w:tcPr>
          <w:p>
            <w:pPr>
              <w:pStyle w:val="1561"/>
              <w:jc w:val="center"/>
              <w:spacing w:line="360" w:lineRule="auto"/>
              <w:rPr>
                <w:rFonts w:ascii="Arial" w:hAnsi="Arial" w:cs="Arial"/>
                <w:szCs w:val="21"/>
              </w:rPr>
            </w:pPr>
            <w:r>
              <w:rPr>
                <w:rFonts w:ascii="Arial" w:hAnsi="Arial" w:cs="Arial"/>
                <w:szCs w:val="21"/>
              </w:rPr>
              <w:t xml:space="preserve">投标总价合计：</w:t>
            </w:r>
            <w:r>
              <w:rPr>
                <w:rFonts w:ascii="Arial" w:hAnsi="Arial" w:cs="Arial"/>
                <w:szCs w:val="21"/>
              </w:rPr>
            </w:r>
            <w:r/>
          </w:p>
        </w:tc>
        <w:tc>
          <w:tcPr>
            <w:gridSpan w:val="4"/>
            <w:tcW w:w="6186" w:type="dxa"/>
            <w:vAlign w:val="top"/>
            <w:textDirection w:val="lrTb"/>
            <w:noWrap w:val="false"/>
          </w:tcPr>
          <w:p>
            <w:pPr>
              <w:pStyle w:val="1561"/>
              <w:spacing w:line="360" w:lineRule="auto"/>
              <w:rPr>
                <w:rFonts w:ascii="Arial" w:hAnsi="Arial" w:cs="Arial"/>
                <w:szCs w:val="21"/>
              </w:rPr>
            </w:pPr>
            <w:r>
              <w:rPr>
                <w:rFonts w:ascii="Arial" w:hAnsi="Arial" w:cs="Arial"/>
                <w:szCs w:val="21"/>
              </w:rPr>
            </w:r>
            <w:r/>
          </w:p>
        </w:tc>
      </w:tr>
    </w:tbl>
    <w:p>
      <w:pPr>
        <w:pStyle w:val="1561"/>
        <w:spacing w:line="440" w:lineRule="exact"/>
        <w:rPr>
          <w:rFonts w:ascii="Arial" w:hAnsi="Arial" w:cs="Arial"/>
        </w:rPr>
      </w:pPr>
      <w:r>
        <w:rPr>
          <w:rFonts w:ascii="Arial" w:hAnsi="Arial" w:cs="Arial"/>
        </w:rPr>
      </w:r>
      <w:r/>
    </w:p>
    <w:p>
      <w:pPr>
        <w:pStyle w:val="1561"/>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561"/>
        <w:spacing w:line="440" w:lineRule="exact"/>
        <w:rPr>
          <w:rFonts w:ascii="Arial" w:hAnsi="Arial" w:cs="Arial"/>
          <w:szCs w:val="21"/>
        </w:rPr>
      </w:pPr>
      <w:r>
        <w:rPr>
          <w:rFonts w:ascii="Arial" w:hAnsi="Arial" w:cs="Arial"/>
          <w:szCs w:val="21"/>
        </w:rPr>
        <w:t xml:space="preserve">授权代表</w:t>
      </w:r>
      <w:r>
        <w:rPr>
          <w:szCs w:val="21"/>
        </w:rPr>
        <w:t xml:space="preserve">（签字</w:t>
      </w:r>
      <w:r>
        <w:rPr>
          <w:rFonts w:hint="eastAsia"/>
          <w:szCs w:val="21"/>
          <w:lang w:val="en-US" w:eastAsia="zh-CN"/>
        </w:rPr>
        <w:t xml:space="preserve">或盖章</w:t>
      </w:r>
      <w:r>
        <w:rPr>
          <w:szCs w:val="21"/>
        </w:rPr>
        <w:t xml:space="preserve">）</w:t>
      </w:r>
      <w:r>
        <w:rPr>
          <w:rFonts w:ascii="Arial" w:hAnsi="Arial" w:cs="Arial"/>
          <w:szCs w:val="21"/>
        </w:rPr>
        <w:t xml:space="preserve">：</w:t>
      </w:r>
      <w:r>
        <w:rPr>
          <w:rFonts w:ascii="Arial" w:hAnsi="Arial" w:cs="Arial"/>
          <w:szCs w:val="21"/>
        </w:rPr>
      </w:r>
      <w:r/>
    </w:p>
    <w:p>
      <w:pPr>
        <w:pStyle w:val="1561"/>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561"/>
        <w:spacing w:line="440" w:lineRule="exact"/>
        <w:rPr>
          <w:rFonts w:ascii="Arial" w:hAnsi="Arial" w:cs="Arial"/>
        </w:rPr>
      </w:pPr>
      <w:r>
        <w:rPr>
          <w:rFonts w:ascii="Arial" w:hAnsi="Arial" w:cs="Arial"/>
        </w:rPr>
      </w:r>
      <w:r/>
    </w:p>
    <w:p>
      <w:pPr>
        <w:pStyle w:val="1561"/>
        <w:spacing w:line="440" w:lineRule="exact"/>
        <w:rPr>
          <w:rFonts w:hint="eastAsia" w:ascii="宋体" w:hAnsi="宋体" w:eastAsia="宋体" w:cs="宋体"/>
          <w:b/>
          <w:bCs/>
          <w:highlight w:val="none"/>
        </w:rPr>
      </w:pPr>
      <w:r>
        <w:rPr>
          <w:rFonts w:ascii="Arial" w:hAnsi="Arial" w:cs="Arial"/>
        </w:rPr>
        <w:t xml:space="preserve">注：1、供应商应根据其所投</w:t>
      </w:r>
      <w:r>
        <w:rPr>
          <w:rFonts w:hint="eastAsia" w:ascii="Arial" w:hAnsi="Arial" w:cs="Arial"/>
          <w:lang w:val="en-US" w:eastAsia="zh-CN"/>
        </w:rPr>
        <w:t xml:space="preserve">产品或服务</w:t>
      </w:r>
      <w:r>
        <w:rPr>
          <w:rFonts w:ascii="Arial" w:hAnsi="Arial" w:cs="Arial"/>
        </w:rPr>
        <w:t xml:space="preserve">情况，提供配置的详细分项报价。供应商应对上述每项内容列明组成的详细分项价格。</w:t>
      </w:r>
      <w:r>
        <w:rPr>
          <w:rFonts w:hint="eastAsia" w:ascii="宋体" w:hAnsi="宋体" w:eastAsia="宋体" w:cs="宋体"/>
          <w:b/>
          <w:bCs/>
          <w:highlight w:val="none"/>
        </w:rPr>
      </w:r>
      <w:r/>
    </w:p>
    <w:p>
      <w:pPr>
        <w:pStyle w:val="1561"/>
        <w:numPr>
          <w:ilvl w:val="0"/>
          <w:numId w:val="1"/>
        </w:numPr>
        <w:spacing w:line="440" w:lineRule="exact"/>
        <w:rPr>
          <w:rFonts w:ascii="Arial" w:hAnsi="Arial" w:cs="Arial"/>
        </w:rPr>
      </w:pPr>
      <w:r>
        <w:rPr>
          <w:rFonts w:ascii="Arial" w:hAnsi="Arial" w:cs="Arial"/>
        </w:rPr>
        <w:t xml:space="preserve">表中表格行数可自行添加。</w:t>
      </w:r>
      <w:r>
        <w:rPr>
          <w:rFonts w:ascii="Arial" w:hAnsi="Arial" w:cs="Arial"/>
        </w:rPr>
      </w:r>
      <w:r/>
    </w:p>
    <w:p>
      <w:pPr>
        <w:pStyle w:val="1561"/>
        <w:spacing w:line="440" w:lineRule="exact"/>
        <w:rPr>
          <w:szCs w:val="21"/>
        </w:rPr>
      </w:pPr>
      <w:r>
        <w:rPr>
          <w:szCs w:val="21"/>
        </w:rPr>
      </w:r>
      <w:r/>
    </w:p>
    <w:p>
      <w:pPr>
        <w:pStyle w:val="1561"/>
        <w:spacing w:line="440" w:lineRule="exact"/>
        <w:rPr>
          <w:szCs w:val="21"/>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szCs w:val="21"/>
        </w:rPr>
      </w:r>
      <w:r/>
    </w:p>
    <w:p>
      <w:pPr>
        <w:pStyle w:val="1561"/>
        <w:spacing w:line="440" w:lineRule="exact"/>
        <w:rPr>
          <w:sz w:val="24"/>
        </w:rPr>
      </w:pPr>
      <w:r>
        <w:rPr>
          <w:sz w:val="24"/>
        </w:rPr>
      </w:r>
      <w:r/>
    </w:p>
    <w:p>
      <w:pPr>
        <w:pStyle w:val="1561"/>
        <w:spacing w:after="156" w:line="440" w:lineRule="exact"/>
        <w:rPr>
          <w:b/>
          <w:bCs/>
          <w:sz w:val="24"/>
          <w:szCs w:val="22"/>
        </w:rPr>
        <w:outlineLvl w:val="1"/>
      </w:pPr>
      <w:r/>
      <w:bookmarkStart w:id="309" w:name="_Toc3694"/>
      <w:r/>
      <w:bookmarkStart w:id="310" w:name="_Toc17296"/>
      <w:r/>
      <w:bookmarkStart w:id="311" w:name="_Toc31558"/>
      <w:r/>
      <w:bookmarkStart w:id="312" w:name="_Toc21550"/>
      <w:r>
        <w:rPr>
          <w:b/>
          <w:bCs/>
          <w:sz w:val="24"/>
          <w:szCs w:val="22"/>
        </w:rPr>
        <w:t xml:space="preserve">附件四 商务条款偏离表</w:t>
      </w:r>
      <w:bookmarkEnd w:id="309"/>
      <w:r/>
      <w:bookmarkEnd w:id="310"/>
      <w:r/>
      <w:bookmarkEnd w:id="311"/>
      <w:r/>
      <w:bookmarkEnd w:id="31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61"/>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561"/>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561"/>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561"/>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561"/>
              <w:spacing w:before="156" w:line="440" w:lineRule="exact"/>
              <w:rPr>
                <w:szCs w:val="21"/>
              </w:rPr>
            </w:pPr>
            <w:r>
              <w:rPr>
                <w:szCs w:val="21"/>
              </w:rPr>
            </w:r>
            <w:r/>
          </w:p>
        </w:tc>
        <w:tc>
          <w:tcPr>
            <w:tcW w:w="3551" w:type="dxa"/>
            <w:vAlign w:val="center"/>
            <w:textDirection w:val="lrTb"/>
            <w:noWrap w:val="false"/>
          </w:tcPr>
          <w:p>
            <w:pPr>
              <w:pStyle w:val="1561"/>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561"/>
              <w:spacing w:before="156" w:line="440" w:lineRule="exact"/>
              <w:rPr>
                <w:szCs w:val="21"/>
              </w:rPr>
            </w:pPr>
            <w:r>
              <w:rPr>
                <w:szCs w:val="21"/>
              </w:rPr>
            </w:r>
            <w:r/>
          </w:p>
        </w:tc>
        <w:tc>
          <w:tcPr>
            <w:tcW w:w="3454" w:type="dxa"/>
            <w:vAlign w:val="top"/>
            <w:textDirection w:val="lrTb"/>
            <w:noWrap w:val="false"/>
          </w:tcPr>
          <w:p>
            <w:pPr>
              <w:pStyle w:val="1561"/>
              <w:spacing w:before="156" w:line="440" w:lineRule="exact"/>
              <w:rPr>
                <w:szCs w:val="21"/>
              </w:rPr>
            </w:pPr>
            <w:r>
              <w:rPr>
                <w:szCs w:val="21"/>
              </w:rPr>
            </w:r>
            <w:r/>
          </w:p>
        </w:tc>
      </w:tr>
      <w:tr>
        <w:trPr>
          <w:trHeight w:val="719"/>
        </w:trPr>
        <w:tc>
          <w:tcPr>
            <w:tcW w:w="849" w:type="dxa"/>
            <w:vAlign w:val="top"/>
            <w:textDirection w:val="lrTb"/>
            <w:noWrap w:val="false"/>
          </w:tcPr>
          <w:p>
            <w:pPr>
              <w:pStyle w:val="1561"/>
              <w:spacing w:before="156" w:line="440" w:lineRule="exact"/>
              <w:rPr>
                <w:szCs w:val="21"/>
              </w:rPr>
            </w:pPr>
            <w:r>
              <w:rPr>
                <w:szCs w:val="21"/>
              </w:rPr>
            </w:r>
            <w:r/>
          </w:p>
        </w:tc>
        <w:tc>
          <w:tcPr>
            <w:tcW w:w="3551" w:type="dxa"/>
            <w:vAlign w:val="center"/>
            <w:textDirection w:val="lrTb"/>
            <w:noWrap w:val="false"/>
          </w:tcPr>
          <w:p>
            <w:pPr>
              <w:pStyle w:val="1561"/>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561"/>
              <w:spacing w:before="156" w:line="440" w:lineRule="exact"/>
              <w:rPr>
                <w:szCs w:val="21"/>
              </w:rPr>
            </w:pPr>
            <w:r>
              <w:rPr>
                <w:szCs w:val="21"/>
              </w:rPr>
            </w:r>
            <w:r/>
          </w:p>
        </w:tc>
        <w:tc>
          <w:tcPr>
            <w:tcW w:w="3454" w:type="dxa"/>
            <w:vAlign w:val="top"/>
            <w:textDirection w:val="lrTb"/>
            <w:noWrap w:val="false"/>
          </w:tcPr>
          <w:p>
            <w:pPr>
              <w:pStyle w:val="1561"/>
              <w:spacing w:before="156" w:line="440" w:lineRule="exact"/>
              <w:rPr>
                <w:szCs w:val="21"/>
              </w:rPr>
            </w:pPr>
            <w:r>
              <w:rPr>
                <w:szCs w:val="21"/>
              </w:rPr>
            </w:r>
            <w:r/>
          </w:p>
        </w:tc>
      </w:tr>
      <w:tr>
        <w:trPr>
          <w:trHeight w:val="540"/>
        </w:trPr>
        <w:tc>
          <w:tcPr>
            <w:tcW w:w="849" w:type="dxa"/>
            <w:vAlign w:val="top"/>
            <w:textDirection w:val="lrTb"/>
            <w:noWrap w:val="false"/>
          </w:tcPr>
          <w:p>
            <w:pPr>
              <w:pStyle w:val="1561"/>
              <w:spacing w:before="156" w:line="440" w:lineRule="exact"/>
              <w:rPr>
                <w:szCs w:val="21"/>
              </w:rPr>
            </w:pPr>
            <w:r>
              <w:rPr>
                <w:szCs w:val="21"/>
              </w:rPr>
            </w:r>
            <w:r/>
          </w:p>
        </w:tc>
        <w:tc>
          <w:tcPr>
            <w:tcW w:w="3551" w:type="dxa"/>
            <w:vAlign w:val="center"/>
            <w:textDirection w:val="lrTb"/>
            <w:noWrap w:val="false"/>
          </w:tcPr>
          <w:p>
            <w:pPr>
              <w:pStyle w:val="1561"/>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561"/>
              <w:ind w:left="43"/>
              <w:spacing w:before="156" w:line="440" w:lineRule="exact"/>
              <w:rPr>
                <w:szCs w:val="21"/>
              </w:rPr>
            </w:pPr>
            <w:r>
              <w:rPr>
                <w:szCs w:val="21"/>
              </w:rPr>
            </w:r>
            <w:r/>
          </w:p>
        </w:tc>
        <w:tc>
          <w:tcPr>
            <w:tcW w:w="3454" w:type="dxa"/>
            <w:vAlign w:val="top"/>
            <w:textDirection w:val="lrTb"/>
            <w:noWrap w:val="false"/>
          </w:tcPr>
          <w:p>
            <w:pPr>
              <w:pStyle w:val="1561"/>
              <w:ind w:left="43"/>
              <w:spacing w:before="156" w:line="440" w:lineRule="exact"/>
              <w:rPr>
                <w:szCs w:val="21"/>
              </w:rPr>
            </w:pPr>
            <w:r>
              <w:rPr>
                <w:szCs w:val="21"/>
              </w:rPr>
            </w:r>
            <w:r/>
          </w:p>
        </w:tc>
      </w:tr>
      <w:tr>
        <w:trPr>
          <w:trHeight w:val="440"/>
        </w:trPr>
        <w:tc>
          <w:tcPr>
            <w:tcW w:w="849" w:type="dxa"/>
            <w:vAlign w:val="top"/>
            <w:textDirection w:val="lrTb"/>
            <w:noWrap w:val="false"/>
          </w:tcPr>
          <w:p>
            <w:pPr>
              <w:pStyle w:val="1561"/>
              <w:spacing w:before="156" w:line="440" w:lineRule="exact"/>
              <w:rPr>
                <w:szCs w:val="21"/>
              </w:rPr>
            </w:pPr>
            <w:r>
              <w:rPr>
                <w:szCs w:val="21"/>
              </w:rPr>
            </w:r>
            <w:r/>
          </w:p>
        </w:tc>
        <w:tc>
          <w:tcPr>
            <w:tcW w:w="3551" w:type="dxa"/>
            <w:vAlign w:val="top"/>
            <w:textDirection w:val="lrTb"/>
            <w:noWrap w:val="false"/>
          </w:tcPr>
          <w:p>
            <w:pPr>
              <w:pStyle w:val="1561"/>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561"/>
              <w:ind w:left="43"/>
              <w:spacing w:before="156" w:line="440" w:lineRule="exact"/>
              <w:rPr>
                <w:szCs w:val="21"/>
              </w:rPr>
            </w:pPr>
            <w:r>
              <w:rPr>
                <w:szCs w:val="21"/>
              </w:rPr>
            </w:r>
            <w:r/>
          </w:p>
        </w:tc>
        <w:tc>
          <w:tcPr>
            <w:tcW w:w="3454" w:type="dxa"/>
            <w:vAlign w:val="top"/>
            <w:textDirection w:val="lrTb"/>
            <w:noWrap w:val="false"/>
          </w:tcPr>
          <w:p>
            <w:pPr>
              <w:pStyle w:val="1561"/>
              <w:ind w:left="43"/>
              <w:spacing w:before="156" w:line="440" w:lineRule="exact"/>
              <w:rPr>
                <w:szCs w:val="21"/>
              </w:rPr>
            </w:pPr>
            <w:r>
              <w:rPr>
                <w:szCs w:val="21"/>
              </w:rPr>
            </w:r>
            <w:r/>
          </w:p>
        </w:tc>
      </w:tr>
      <w:tr>
        <w:trPr>
          <w:trHeight w:val="460"/>
        </w:trPr>
        <w:tc>
          <w:tcPr>
            <w:tcW w:w="849" w:type="dxa"/>
            <w:vAlign w:val="top"/>
            <w:textDirection w:val="lrTb"/>
            <w:noWrap w:val="false"/>
          </w:tcPr>
          <w:p>
            <w:pPr>
              <w:pStyle w:val="1561"/>
              <w:spacing w:before="156" w:line="440" w:lineRule="exact"/>
              <w:rPr>
                <w:szCs w:val="21"/>
              </w:rPr>
            </w:pPr>
            <w:r>
              <w:rPr>
                <w:szCs w:val="21"/>
              </w:rPr>
            </w:r>
            <w:r/>
          </w:p>
        </w:tc>
        <w:tc>
          <w:tcPr>
            <w:tcW w:w="3551" w:type="dxa"/>
            <w:vAlign w:val="top"/>
            <w:textDirection w:val="lrTb"/>
            <w:noWrap w:val="false"/>
          </w:tcPr>
          <w:p>
            <w:pPr>
              <w:pStyle w:val="1561"/>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561"/>
              <w:ind w:left="43"/>
              <w:spacing w:before="156" w:line="440" w:lineRule="exact"/>
              <w:rPr>
                <w:szCs w:val="21"/>
              </w:rPr>
            </w:pPr>
            <w:r>
              <w:rPr>
                <w:szCs w:val="21"/>
              </w:rPr>
            </w:r>
            <w:r/>
          </w:p>
        </w:tc>
        <w:tc>
          <w:tcPr>
            <w:tcW w:w="3454" w:type="dxa"/>
            <w:vAlign w:val="top"/>
            <w:textDirection w:val="lrTb"/>
            <w:noWrap w:val="false"/>
          </w:tcPr>
          <w:p>
            <w:pPr>
              <w:pStyle w:val="1561"/>
              <w:ind w:left="43"/>
              <w:spacing w:before="156" w:line="440" w:lineRule="exact"/>
              <w:rPr>
                <w:szCs w:val="21"/>
              </w:rPr>
            </w:pPr>
            <w:r>
              <w:rPr>
                <w:szCs w:val="21"/>
              </w:rPr>
            </w:r>
            <w:r/>
          </w:p>
        </w:tc>
      </w:tr>
      <w:tr>
        <w:trPr>
          <w:trHeight w:val="820"/>
        </w:trPr>
        <w:tc>
          <w:tcPr>
            <w:tcW w:w="849" w:type="dxa"/>
            <w:vAlign w:val="top"/>
            <w:textDirection w:val="lrTb"/>
            <w:noWrap w:val="false"/>
          </w:tcPr>
          <w:p>
            <w:pPr>
              <w:pStyle w:val="1561"/>
              <w:spacing w:before="156" w:line="440" w:lineRule="exact"/>
              <w:rPr>
                <w:szCs w:val="21"/>
              </w:rPr>
            </w:pPr>
            <w:r>
              <w:rPr>
                <w:szCs w:val="21"/>
              </w:rPr>
            </w:r>
            <w:r/>
          </w:p>
        </w:tc>
        <w:tc>
          <w:tcPr>
            <w:tcW w:w="3551" w:type="dxa"/>
            <w:vAlign w:val="top"/>
            <w:textDirection w:val="lrTb"/>
            <w:noWrap w:val="false"/>
          </w:tcPr>
          <w:p>
            <w:pPr>
              <w:pStyle w:val="1561"/>
              <w:spacing w:before="156" w:line="440" w:lineRule="exact"/>
              <w:rPr>
                <w:szCs w:val="21"/>
              </w:rPr>
            </w:pPr>
            <w:r>
              <w:rPr>
                <w:szCs w:val="21"/>
              </w:rPr>
            </w:r>
            <w:r/>
          </w:p>
        </w:tc>
        <w:tc>
          <w:tcPr>
            <w:tcW w:w="1996" w:type="dxa"/>
            <w:vAlign w:val="top"/>
            <w:textDirection w:val="lrTb"/>
            <w:noWrap w:val="false"/>
          </w:tcPr>
          <w:p>
            <w:pPr>
              <w:pStyle w:val="1561"/>
              <w:spacing w:before="156" w:line="440" w:lineRule="exact"/>
              <w:rPr>
                <w:szCs w:val="21"/>
              </w:rPr>
            </w:pPr>
            <w:r>
              <w:rPr>
                <w:szCs w:val="21"/>
              </w:rPr>
            </w:r>
            <w:r/>
          </w:p>
        </w:tc>
        <w:tc>
          <w:tcPr>
            <w:tcW w:w="3454" w:type="dxa"/>
            <w:vAlign w:val="top"/>
            <w:textDirection w:val="lrTb"/>
            <w:noWrap w:val="false"/>
          </w:tcPr>
          <w:p>
            <w:pPr>
              <w:pStyle w:val="1561"/>
              <w:spacing w:before="156" w:line="440" w:lineRule="exact"/>
              <w:rPr>
                <w:szCs w:val="21"/>
              </w:rPr>
            </w:pPr>
            <w:r>
              <w:rPr>
                <w:szCs w:val="21"/>
              </w:rPr>
            </w:r>
            <w:r/>
          </w:p>
        </w:tc>
      </w:tr>
      <w:tr>
        <w:trPr>
          <w:trHeight w:val="340"/>
        </w:trPr>
        <w:tc>
          <w:tcPr>
            <w:tcW w:w="849" w:type="dxa"/>
            <w:vAlign w:val="top"/>
            <w:textDirection w:val="lrTb"/>
            <w:noWrap w:val="false"/>
          </w:tcPr>
          <w:p>
            <w:pPr>
              <w:pStyle w:val="1561"/>
              <w:spacing w:before="156" w:line="440" w:lineRule="exact"/>
              <w:rPr>
                <w:szCs w:val="21"/>
              </w:rPr>
            </w:pPr>
            <w:r>
              <w:rPr>
                <w:szCs w:val="21"/>
              </w:rPr>
            </w:r>
            <w:r/>
          </w:p>
        </w:tc>
        <w:tc>
          <w:tcPr>
            <w:tcW w:w="3551" w:type="dxa"/>
            <w:vAlign w:val="top"/>
            <w:textDirection w:val="lrTb"/>
            <w:noWrap w:val="false"/>
          </w:tcPr>
          <w:p>
            <w:pPr>
              <w:pStyle w:val="1561"/>
              <w:spacing w:before="156" w:line="440" w:lineRule="exact"/>
              <w:rPr>
                <w:szCs w:val="21"/>
              </w:rPr>
            </w:pPr>
            <w:r>
              <w:rPr>
                <w:szCs w:val="21"/>
              </w:rPr>
            </w:r>
            <w:r/>
          </w:p>
        </w:tc>
        <w:tc>
          <w:tcPr>
            <w:tcW w:w="1996" w:type="dxa"/>
            <w:vAlign w:val="top"/>
            <w:textDirection w:val="lrTb"/>
            <w:noWrap w:val="false"/>
          </w:tcPr>
          <w:p>
            <w:pPr>
              <w:pStyle w:val="1561"/>
              <w:spacing w:before="156" w:line="440" w:lineRule="exact"/>
              <w:rPr>
                <w:szCs w:val="21"/>
              </w:rPr>
            </w:pPr>
            <w:r>
              <w:rPr>
                <w:szCs w:val="21"/>
              </w:rPr>
            </w:r>
            <w:r/>
          </w:p>
        </w:tc>
        <w:tc>
          <w:tcPr>
            <w:tcW w:w="3454" w:type="dxa"/>
            <w:vAlign w:val="top"/>
            <w:textDirection w:val="lrTb"/>
            <w:noWrap w:val="false"/>
          </w:tcPr>
          <w:p>
            <w:pPr>
              <w:pStyle w:val="1561"/>
              <w:spacing w:before="156" w:line="440" w:lineRule="exact"/>
              <w:rPr>
                <w:szCs w:val="21"/>
              </w:rPr>
            </w:pPr>
            <w:r>
              <w:rPr>
                <w:szCs w:val="21"/>
              </w:rPr>
            </w:r>
            <w:r/>
          </w:p>
        </w:tc>
      </w:tr>
    </w:tbl>
    <w:p>
      <w:pPr>
        <w:pStyle w:val="1561"/>
        <w:spacing w:line="440" w:lineRule="exact"/>
        <w:rPr>
          <w:sz w:val="24"/>
        </w:rPr>
      </w:pPr>
      <w:r>
        <w:rPr>
          <w:sz w:val="24"/>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rFonts w:hint="eastAsia"/>
          <w:szCs w:val="21"/>
          <w:lang w:val="en-US" w:eastAsia="zh-CN"/>
        </w:rPr>
        <w:t xml:space="preserve">或盖章</w:t>
      </w:r>
      <w:r>
        <w:rPr>
          <w:szCs w:val="21"/>
        </w:rPr>
        <w:t xml:space="preserve">）：</w:t>
      </w:r>
      <w:r>
        <w:rPr>
          <w:szCs w:val="21"/>
        </w:rPr>
      </w:r>
      <w:r/>
    </w:p>
    <w:p>
      <w:pPr>
        <w:pStyle w:val="1561"/>
        <w:spacing w:line="440" w:lineRule="exact"/>
        <w:rPr>
          <w:szCs w:val="21"/>
        </w:rPr>
      </w:pPr>
      <w:r>
        <w:rPr>
          <w:szCs w:val="21"/>
        </w:rPr>
        <w:t xml:space="preserve">日期：</w:t>
      </w:r>
      <w:r>
        <w:rPr>
          <w:szCs w:val="21"/>
        </w:rPr>
      </w:r>
      <w:r/>
    </w:p>
    <w:p>
      <w:pPr>
        <w:pStyle w:val="1561"/>
        <w:spacing w:line="440" w:lineRule="exact"/>
        <w:rPr>
          <w:color w:val="000000"/>
          <w:szCs w:val="21"/>
        </w:rPr>
      </w:pPr>
      <w:r>
        <w:rPr>
          <w:color w:val="000000"/>
          <w:szCs w:val="21"/>
        </w:rPr>
      </w:r>
      <w:r/>
    </w:p>
    <w:p>
      <w:pPr>
        <w:pStyle w:val="1561"/>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561"/>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561"/>
        <w:ind w:firstLine="420"/>
        <w:spacing w:line="440" w:lineRule="exact"/>
        <w:rPr>
          <w:color w:val="000000"/>
          <w:szCs w:val="21"/>
        </w:rPr>
      </w:pPr>
      <w:r>
        <w:rPr>
          <w:color w:val="000000"/>
          <w:szCs w:val="21"/>
        </w:rPr>
        <w:t xml:space="preserve">3、如果行数不够，请自行增加。</w:t>
      </w:r>
      <w:r>
        <w:rPr>
          <w:color w:val="000000"/>
          <w:szCs w:val="21"/>
        </w:rPr>
      </w:r>
      <w:r/>
    </w:p>
    <w:p>
      <w:pPr>
        <w:pStyle w:val="1561"/>
        <w:ind w:firstLine="5494"/>
        <w:spacing w:line="440" w:lineRule="exact"/>
        <w:rPr>
          <w:sz w:val="24"/>
        </w:rPr>
      </w:pPr>
      <w:r>
        <w:rPr>
          <w:sz w:val="24"/>
        </w:rPr>
      </w:r>
      <w:r/>
    </w:p>
    <w:p>
      <w:pPr>
        <w:pStyle w:val="1561"/>
        <w:spacing w:line="440" w:lineRule="exact"/>
        <w:rPr>
          <w:sz w:val="24"/>
        </w:rPr>
      </w:pPr>
      <w:r>
        <w:rPr>
          <w:sz w:val="24"/>
        </w:rPr>
      </w:r>
      <w:r/>
    </w:p>
    <w:p>
      <w:pPr>
        <w:pStyle w:val="1561"/>
        <w:ind w:right="-334"/>
        <w:spacing w:line="440" w:lineRule="exact"/>
        <w:rPr>
          <w:sz w:val="24"/>
        </w:rPr>
      </w:pPr>
      <w:r>
        <w:rPr>
          <w:sz w:val="24"/>
        </w:rPr>
      </w:r>
      <w:r/>
    </w:p>
    <w:p>
      <w:pPr>
        <w:pStyle w:val="1561"/>
        <w:ind w:right="-334"/>
        <w:spacing w:line="440" w:lineRule="exact"/>
        <w:rPr>
          <w:sz w:val="24"/>
        </w:rPr>
      </w:pPr>
      <w:r>
        <w:rPr>
          <w:sz w:val="24"/>
        </w:rPr>
      </w:r>
      <w:r/>
    </w:p>
    <w:p>
      <w:pPr>
        <w:pStyle w:val="1561"/>
        <w:ind w:right="-334"/>
        <w:spacing w:line="440" w:lineRule="exact"/>
        <w:rPr>
          <w:sz w:val="24"/>
        </w:rPr>
      </w:pPr>
      <w:r>
        <w:rPr>
          <w:sz w:val="24"/>
        </w:rPr>
      </w:r>
      <w:r/>
    </w:p>
    <w:p>
      <w:pPr>
        <w:pStyle w:val="1561"/>
        <w:ind w:right="-334"/>
        <w:spacing w:line="440" w:lineRule="exact"/>
        <w:rPr>
          <w:sz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sz w:val="24"/>
        </w:rPr>
      </w:r>
      <w:r/>
    </w:p>
    <w:p>
      <w:pPr>
        <w:pStyle w:val="1561"/>
        <w:spacing w:after="156" w:line="440" w:lineRule="exact"/>
        <w:rPr>
          <w:b/>
          <w:bCs/>
          <w:sz w:val="24"/>
          <w:szCs w:val="22"/>
        </w:rPr>
        <w:outlineLvl w:val="1"/>
      </w:pPr>
      <w:r/>
      <w:bookmarkStart w:id="313" w:name="_Toc7774"/>
      <w:r/>
      <w:bookmarkStart w:id="314" w:name="_Toc4600"/>
      <w:r/>
      <w:bookmarkStart w:id="315" w:name="_Toc17448"/>
      <w:r>
        <w:rPr>
          <w:b/>
          <w:bCs/>
          <w:sz w:val="24"/>
          <w:szCs w:val="22"/>
        </w:rPr>
        <w:t xml:space="preserve">附件五 技术条款偏离表</w:t>
      </w:r>
      <w:bookmarkEnd w:id="313"/>
      <w:r/>
      <w:bookmarkEnd w:id="314"/>
      <w:r/>
      <w:bookmarkEnd w:id="315"/>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61"/>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561"/>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561"/>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561"/>
              <w:jc w:val="center"/>
              <w:spacing w:line="440" w:lineRule="exact"/>
              <w:rPr>
                <w:szCs w:val="21"/>
                <w:highlight w:val="none"/>
              </w:rPr>
            </w:pPr>
            <w:r>
              <w:rPr>
                <w:szCs w:val="21"/>
                <w:highlight w:val="none"/>
              </w:rPr>
            </w:r>
            <w:r/>
          </w:p>
          <w:p>
            <w:pPr>
              <w:pStyle w:val="1561"/>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561"/>
              <w:jc w:val="center"/>
              <w:spacing w:line="440" w:lineRule="exact"/>
              <w:rPr>
                <w:szCs w:val="21"/>
                <w:highlight w:val="none"/>
              </w:rPr>
            </w:pP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561"/>
              <w:jc w:val="left"/>
              <w:spacing w:line="440" w:lineRule="exact"/>
              <w:widowControl/>
              <w:rPr>
                <w:szCs w:val="21"/>
              </w:rPr>
            </w:pPr>
            <w:r>
              <w:rPr>
                <w:szCs w:val="21"/>
              </w:rPr>
            </w:r>
            <w:r/>
          </w:p>
        </w:tc>
        <w:tc>
          <w:tcPr>
            <w:tcW w:w="1134" w:type="dxa"/>
            <w:vAlign w:val="center"/>
            <w:textDirection w:val="lrTb"/>
            <w:noWrap w:val="false"/>
          </w:tcPr>
          <w:p>
            <w:pPr>
              <w:pStyle w:val="1561"/>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561"/>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561"/>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561"/>
              <w:jc w:val="center"/>
              <w:spacing w:line="440" w:lineRule="exact"/>
              <w:rPr>
                <w:szCs w:val="21"/>
              </w:rPr>
            </w:pPr>
            <w:r>
              <w:rPr>
                <w:szCs w:val="21"/>
              </w:rPr>
            </w:r>
            <w:r/>
          </w:p>
        </w:tc>
        <w:tc>
          <w:tcPr>
            <w:tcW w:w="2143" w:type="dxa"/>
            <w:vAlign w:val="top"/>
            <w:vMerge w:val="continue"/>
            <w:textDirection w:val="lrTb"/>
            <w:noWrap w:val="false"/>
          </w:tcPr>
          <w:p>
            <w:pPr>
              <w:pStyle w:val="1561"/>
              <w:jc w:val="center"/>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r>
        <w:trPr/>
        <w:tc>
          <w:tcPr>
            <w:tcW w:w="675" w:type="dxa"/>
            <w:vAlign w:val="top"/>
            <w:textDirection w:val="lrTb"/>
            <w:noWrap w:val="false"/>
          </w:tcPr>
          <w:p>
            <w:pPr>
              <w:pStyle w:val="1561"/>
              <w:spacing w:line="440" w:lineRule="exact"/>
              <w:rPr>
                <w:szCs w:val="21"/>
              </w:rPr>
            </w:pPr>
            <w:r>
              <w:rPr>
                <w:szCs w:val="21"/>
              </w:rPr>
            </w:r>
            <w:r/>
          </w:p>
        </w:tc>
        <w:tc>
          <w:tcPr>
            <w:tcW w:w="1134"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843" w:type="dxa"/>
            <w:vAlign w:val="top"/>
            <w:textDirection w:val="lrTb"/>
            <w:noWrap w:val="false"/>
          </w:tcPr>
          <w:p>
            <w:pPr>
              <w:pStyle w:val="1561"/>
              <w:spacing w:line="440" w:lineRule="exact"/>
              <w:rPr>
                <w:szCs w:val="21"/>
              </w:rPr>
            </w:pPr>
            <w:r>
              <w:rPr>
                <w:szCs w:val="21"/>
              </w:rPr>
            </w:r>
            <w:r/>
          </w:p>
        </w:tc>
        <w:tc>
          <w:tcPr>
            <w:tcW w:w="1776" w:type="dxa"/>
            <w:vAlign w:val="top"/>
            <w:textDirection w:val="lrTb"/>
            <w:noWrap w:val="false"/>
          </w:tcPr>
          <w:p>
            <w:pPr>
              <w:pStyle w:val="1561"/>
              <w:spacing w:line="440" w:lineRule="exact"/>
              <w:rPr>
                <w:szCs w:val="21"/>
              </w:rPr>
            </w:pPr>
            <w:r>
              <w:rPr>
                <w:szCs w:val="21"/>
              </w:rPr>
            </w:r>
            <w:r/>
          </w:p>
        </w:tc>
        <w:tc>
          <w:tcPr>
            <w:tcW w:w="2143" w:type="dxa"/>
            <w:vAlign w:val="top"/>
            <w:textDirection w:val="lrTb"/>
            <w:noWrap w:val="false"/>
          </w:tcPr>
          <w:p>
            <w:pPr>
              <w:pStyle w:val="1561"/>
              <w:spacing w:line="440" w:lineRule="exact"/>
              <w:rPr>
                <w:szCs w:val="21"/>
              </w:rPr>
            </w:pPr>
            <w:r>
              <w:rPr>
                <w:szCs w:val="21"/>
              </w:rPr>
            </w:r>
            <w:r/>
          </w:p>
        </w:tc>
      </w:tr>
    </w:tbl>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rFonts w:hint="eastAsia"/>
          <w:szCs w:val="21"/>
          <w:lang w:val="en-US" w:eastAsia="zh-CN"/>
        </w:rPr>
        <w:t xml:space="preserve">或盖章</w:t>
      </w:r>
      <w:r>
        <w:rPr>
          <w:szCs w:val="21"/>
        </w:rPr>
        <w:t xml:space="preserve">）：</w:t>
      </w:r>
      <w:r>
        <w:rPr>
          <w:szCs w:val="21"/>
        </w:rPr>
      </w:r>
      <w:r/>
    </w:p>
    <w:p>
      <w:pPr>
        <w:pStyle w:val="1561"/>
        <w:spacing w:line="440" w:lineRule="exact"/>
        <w:rPr>
          <w:szCs w:val="21"/>
        </w:rPr>
      </w:pPr>
      <w:r>
        <w:rPr>
          <w:szCs w:val="21"/>
        </w:rPr>
        <w:t xml:space="preserve">日期：</w:t>
      </w:r>
      <w:r>
        <w:rPr>
          <w:szCs w:val="21"/>
        </w:rPr>
      </w:r>
      <w:r/>
    </w:p>
    <w:p>
      <w:pPr>
        <w:pStyle w:val="1561"/>
        <w:spacing w:line="440" w:lineRule="exact"/>
        <w:rPr>
          <w:color w:val="000000"/>
          <w:szCs w:val="21"/>
        </w:rPr>
      </w:pPr>
      <w:r>
        <w:rPr>
          <w:color w:val="000000"/>
          <w:szCs w:val="21"/>
        </w:rPr>
      </w:r>
      <w:r/>
    </w:p>
    <w:p>
      <w:pPr>
        <w:pStyle w:val="1561"/>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w:t>
      </w:r>
      <w:r>
        <w:rPr>
          <w:rFonts w:hint="eastAsia"/>
          <w:color w:val="000000"/>
          <w:szCs w:val="21"/>
          <w:lang w:val="en-US" w:eastAsia="zh-CN"/>
        </w:rPr>
        <w:t xml:space="preserve">或</w:t>
      </w:r>
      <w:r>
        <w:rPr>
          <w:color w:val="000000"/>
          <w:szCs w:val="21"/>
        </w:rPr>
        <w:t xml:space="preserve">服务所能达到的内容予以填写，而</w:t>
      </w:r>
      <w:r>
        <w:rPr>
          <w:b/>
          <w:bCs/>
          <w:color w:val="000000"/>
          <w:szCs w:val="21"/>
        </w:rPr>
        <w:t xml:space="preserve">不应通过简单拷贝招标文件技术要求作为响应内容。 </w:t>
      </w:r>
      <w:r>
        <w:rPr>
          <w:color w:val="000000"/>
          <w:szCs w:val="21"/>
        </w:rPr>
      </w:r>
      <w:r/>
    </w:p>
    <w:p>
      <w:pPr>
        <w:pStyle w:val="1561"/>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w:t>
      </w:r>
      <w:r>
        <w:rPr>
          <w:rFonts w:hint="eastAsia"/>
          <w:color w:val="000000"/>
          <w:szCs w:val="21"/>
          <w:lang w:val="en-US" w:eastAsia="zh-CN"/>
        </w:rPr>
        <w:t xml:space="preserve">或</w:t>
      </w:r>
      <w:r>
        <w:rPr>
          <w:color w:val="000000"/>
          <w:szCs w:val="21"/>
        </w:rPr>
        <w:t xml:space="preserve">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561"/>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561"/>
        <w:ind w:firstLine="420"/>
        <w:spacing w:line="440" w:lineRule="exact"/>
        <w:rPr>
          <w:szCs w:val="21"/>
        </w:rPr>
      </w:pPr>
      <w:r>
        <w:rPr>
          <w:szCs w:val="21"/>
        </w:rPr>
        <w:t xml:space="preserve">4、如果行数不够，请自行增加。</w:t>
      </w:r>
      <w:r>
        <w:rPr>
          <w:szCs w:val="21"/>
        </w:rPr>
      </w:r>
      <w:r/>
    </w:p>
    <w:p>
      <w:pPr>
        <w:pStyle w:val="1561"/>
        <w:ind w:firstLine="482"/>
        <w:spacing w:line="360" w:lineRule="auto"/>
        <w:tabs>
          <w:tab w:val="left" w:pos="960" w:leader="none"/>
        </w:tabs>
        <w:rPr>
          <w:color w:val="ff0000"/>
          <w:szCs w:val="21"/>
        </w:rPr>
      </w:pPr>
      <w:r>
        <w:rPr>
          <w:color w:val="ff0000"/>
          <w:szCs w:val="21"/>
        </w:rPr>
      </w:r>
      <w:r/>
    </w:p>
    <w:p>
      <w:pPr>
        <w:pStyle w:val="1561"/>
        <w:spacing w:after="156" w:line="440" w:lineRule="exact"/>
        <w:rPr>
          <w:b/>
          <w:bCs/>
          <w:sz w:val="24"/>
          <w:szCs w:val="22"/>
        </w:rPr>
        <w:outlineLvl w:val="1"/>
      </w:pPr>
      <w:r/>
      <w:bookmarkStart w:id="316" w:name="_Toc20842"/>
      <w:r>
        <w:rPr>
          <w:b/>
          <w:bCs/>
          <w:sz w:val="24"/>
          <w:szCs w:val="22"/>
        </w:rPr>
        <w:br w:type="page" w:clear="all"/>
      </w:r>
      <w:bookmarkStart w:id="317" w:name="_Toc8837"/>
      <w:r/>
      <w:bookmarkStart w:id="318" w:name="_Toc18731"/>
      <w:r/>
      <w:bookmarkStart w:id="319" w:name="_Toc19378"/>
      <w:r>
        <w:rPr>
          <w:b/>
          <w:bCs/>
          <w:sz w:val="24"/>
          <w:szCs w:val="22"/>
        </w:rPr>
        <w:t xml:space="preserve">附件六 政府采购政策</w:t>
      </w:r>
      <w:bookmarkEnd w:id="316"/>
      <w:r/>
      <w:bookmarkEnd w:id="317"/>
      <w:r/>
      <w:bookmarkEnd w:id="318"/>
      <w:r/>
      <w:bookmarkEnd w:id="319"/>
      <w:r>
        <w:rPr>
          <w:b/>
          <w:bCs/>
          <w:sz w:val="24"/>
          <w:szCs w:val="22"/>
        </w:rPr>
      </w:r>
      <w:r/>
    </w:p>
    <w:p>
      <w:pPr>
        <w:pStyle w:val="1561"/>
        <w:numPr>
          <w:ilvl w:val="0"/>
          <w:numId w:val="3"/>
        </w:numPr>
        <w:jc w:val="center"/>
        <w:widowControl/>
        <w:rPr>
          <w:rFonts w:ascii="Arial" w:hAnsi="Arial" w:cs="Arial"/>
          <w:b/>
          <w:bCs/>
          <w:szCs w:val="21"/>
        </w:rPr>
        <w:outlineLvl w:val="2"/>
      </w:pPr>
      <w:r/>
      <w:bookmarkStart w:id="320" w:name="_Toc32276"/>
      <w:r/>
      <w:bookmarkStart w:id="321" w:name="_Toc30624"/>
      <w:r/>
      <w:bookmarkStart w:id="322" w:name="_Toc16035"/>
      <w:r/>
      <w:bookmarkStart w:id="323" w:name="_Toc23261"/>
      <w:r/>
      <w:bookmarkStart w:id="324" w:name="_Toc14499"/>
      <w:r/>
      <w:bookmarkStart w:id="325" w:name="_Toc21802"/>
      <w:r/>
      <w:bookmarkStart w:id="326" w:name="_Toc15638"/>
      <w:r/>
      <w:bookmarkStart w:id="327" w:name="_Toc17125"/>
      <w:r/>
      <w:bookmarkStart w:id="328" w:name="_Toc24699"/>
      <w:r/>
      <w:bookmarkStart w:id="329" w:name="_Toc15908"/>
      <w:r>
        <w:rPr>
          <w:rFonts w:ascii="Arial" w:hAnsi="Arial" w:cs="Arial"/>
          <w:b/>
          <w:bCs/>
          <w:szCs w:val="21"/>
        </w:rPr>
        <w:t xml:space="preserve">《中小企业声明函》</w:t>
      </w:r>
      <w:bookmarkEnd w:id="320"/>
      <w:r/>
      <w:bookmarkEnd w:id="321"/>
      <w:r/>
      <w:bookmarkEnd w:id="322"/>
      <w:r/>
      <w:bookmarkEnd w:id="323"/>
      <w:r/>
      <w:bookmarkEnd w:id="324"/>
      <w:r/>
      <w:bookmarkEnd w:id="325"/>
      <w:r/>
      <w:bookmarkEnd w:id="326"/>
      <w:r/>
      <w:bookmarkEnd w:id="327"/>
      <w:r/>
      <w:bookmarkEnd w:id="328"/>
      <w:r/>
      <w:bookmarkEnd w:id="329"/>
      <w:r>
        <w:rPr>
          <w:rFonts w:ascii="Arial" w:hAnsi="Arial" w:cs="Arial"/>
          <w:b/>
          <w:bCs/>
          <w:szCs w:val="21"/>
        </w:rPr>
      </w:r>
      <w:r/>
    </w:p>
    <w:p>
      <w:pPr>
        <w:pStyle w:val="1561"/>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561"/>
        <w:jc w:val="center"/>
        <w:spacing w:line="360" w:lineRule="auto"/>
        <w:widowControl/>
        <w:rPr>
          <w:rFonts w:ascii="Arial" w:hAnsi="Arial" w:cs="Arial"/>
          <w:b/>
          <w:bCs/>
          <w:sz w:val="24"/>
          <w:szCs w:val="24"/>
        </w:rPr>
        <w:outlineLvl w:val="9"/>
      </w:pPr>
      <w:r/>
      <w:bookmarkStart w:id="330" w:name="_Toc2940"/>
      <w:r/>
      <w:bookmarkStart w:id="331" w:name="_Toc25352"/>
      <w:r/>
      <w:bookmarkStart w:id="332" w:name="_Toc6412"/>
      <w:r>
        <w:rPr>
          <w:rFonts w:ascii="Arial" w:hAnsi="Arial" w:cs="Arial"/>
          <w:b/>
          <w:bCs/>
          <w:szCs w:val="21"/>
        </w:rPr>
        <w:t xml:space="preserve">（一）中小企业声明函（工程 、服务）</w:t>
      </w:r>
      <w:bookmarkEnd w:id="330"/>
      <w:r/>
      <w:bookmarkEnd w:id="331"/>
      <w:r/>
      <w:bookmarkEnd w:id="332"/>
      <w:r>
        <w:rPr>
          <w:rFonts w:ascii="Arial" w:hAnsi="Arial" w:cs="Arial"/>
          <w:b/>
          <w:bCs/>
          <w:sz w:val="24"/>
          <w:szCs w:val="24"/>
        </w:rPr>
      </w:r>
      <w:r/>
    </w:p>
    <w:p>
      <w:pPr>
        <w:pStyle w:val="1561"/>
        <w:ind w:left="36" w:right="158" w:firstLine="640"/>
        <w:spacing w:before="193" w:line="360" w:lineRule="auto"/>
        <w:rPr>
          <w:rFonts w:ascii="Arial" w:hAnsi="Arial" w:cs="Arial"/>
          <w:szCs w:val="21"/>
        </w:rPr>
      </w:pPr>
      <w:r>
        <w:rPr>
          <w:rFonts w:ascii="Arial" w:hAnsi="Arial" w:cs="Arial"/>
          <w:spacing w:val="-4"/>
          <w:szCs w:val="21"/>
        </w:rPr>
        <w:t xml:space="preserve">本公司（联合体）郑重声明</w:t>
      </w:r>
      <w:r>
        <w:rPr>
          <w:rFonts w:ascii="Arial" w:hAnsi="Arial" w:cs="Arial"/>
          <w:spacing w:val="-99"/>
          <w:szCs w:val="21"/>
        </w:rPr>
        <w:t xml:space="preserve"> </w:t>
      </w:r>
      <w:r>
        <w:rPr>
          <w:rFonts w:ascii="Arial" w:hAnsi="Arial" w:cs="Arial"/>
          <w:spacing w:val="-4"/>
          <w:szCs w:val="21"/>
        </w:rPr>
        <w:t xml:space="preserve">，根据《政府采购促进中小</w:t>
      </w:r>
      <w:r>
        <w:rPr>
          <w:rFonts w:ascii="Arial" w:hAnsi="Arial" w:cs="Arial"/>
          <w:spacing w:val="-140"/>
          <w:szCs w:val="21"/>
        </w:rPr>
        <w:t xml:space="preserve"> </w:t>
      </w:r>
      <w:r>
        <w:rPr>
          <w:rFonts w:ascii="Arial" w:hAnsi="Arial" w:cs="Arial"/>
          <w:spacing w:val="-17"/>
          <w:szCs w:val="21"/>
        </w:rPr>
        <w:t xml:space="preserve">企业发展管理办法》（财库</w:t>
      </w:r>
      <w:r>
        <w:rPr>
          <w:rFonts w:ascii="Arial" w:hAnsi="Arial" w:cs="Arial"/>
          <w:spacing w:val="-32"/>
          <w:szCs w:val="21"/>
        </w:rPr>
        <w:t xml:space="preserve"> </w:t>
      </w:r>
      <w:r>
        <w:rPr>
          <w:rFonts w:ascii="Arial" w:hAnsi="Arial" w:cs="Arial"/>
          <w:spacing w:val="-17"/>
          <w:szCs w:val="21"/>
        </w:rPr>
        <w:t xml:space="preserve">﹝2020 ﹞46</w:t>
      </w:r>
      <w:r>
        <w:rPr>
          <w:rFonts w:ascii="Arial" w:hAnsi="Arial" w:cs="Arial"/>
          <w:spacing w:val="-48"/>
          <w:szCs w:val="21"/>
        </w:rPr>
        <w:t xml:space="preserve"> </w:t>
      </w:r>
      <w:r>
        <w:rPr>
          <w:rFonts w:ascii="Arial" w:hAnsi="Arial" w:cs="Arial"/>
          <w:spacing w:val="-17"/>
          <w:szCs w:val="21"/>
        </w:rPr>
        <w:t xml:space="preserve">号）的规定</w:t>
      </w:r>
      <w:r>
        <w:rPr>
          <w:rFonts w:ascii="Arial" w:hAnsi="Arial" w:cs="Arial"/>
          <w:spacing w:val="-114"/>
          <w:szCs w:val="21"/>
        </w:rPr>
        <w:t xml:space="preserve"> </w:t>
      </w:r>
      <w:r>
        <w:rPr>
          <w:rFonts w:ascii="Arial" w:hAnsi="Arial" w:cs="Arial"/>
          <w:spacing w:val="-17"/>
          <w:szCs w:val="21"/>
        </w:rPr>
        <w:t xml:space="preserve">，</w:t>
      </w:r>
      <w:r>
        <w:rPr>
          <w:rFonts w:ascii="Arial" w:hAnsi="Arial" w:cs="Arial"/>
          <w:spacing w:val="-133"/>
          <w:szCs w:val="21"/>
        </w:rPr>
        <w:t xml:space="preserve"> </w:t>
      </w:r>
      <w:r>
        <w:rPr>
          <w:rFonts w:ascii="Arial" w:hAnsi="Arial" w:cs="Arial"/>
          <w:spacing w:val="-17"/>
          <w:szCs w:val="21"/>
        </w:rPr>
        <w:t xml:space="preserve">本公司</w:t>
      </w:r>
      <w:r>
        <w:rPr>
          <w:rFonts w:ascii="Arial" w:hAnsi="Arial" w:cs="Arial"/>
          <w:spacing w:val="-137"/>
          <w:szCs w:val="21"/>
        </w:rPr>
        <w:t xml:space="preserve"> </w:t>
      </w:r>
      <w:r>
        <w:rPr>
          <w:rFonts w:ascii="Arial" w:hAnsi="Arial" w:cs="Arial"/>
          <w:spacing w:val="-15"/>
          <w:szCs w:val="21"/>
        </w:rPr>
        <w:t xml:space="preserve">（联合体）参加</w:t>
      </w:r>
      <w:r>
        <w:rPr>
          <w:rFonts w:ascii="Arial" w:hAnsi="Arial" w:cs="Arial"/>
          <w:spacing w:val="-74"/>
          <w:szCs w:val="21"/>
          <w:u w:val="single"/>
        </w:rPr>
        <w:t xml:space="preserve"> </w:t>
      </w:r>
      <w:r>
        <w:rPr>
          <w:rFonts w:ascii="Arial" w:hAnsi="Arial" w:cs="Arial"/>
          <w:iCs/>
          <w:spacing w:val="-15"/>
          <w:szCs w:val="21"/>
          <w:u w:val="single"/>
        </w:rPr>
        <w:t xml:space="preserve">（单位名称）</w:t>
      </w:r>
      <w:r>
        <w:rPr>
          <w:rFonts w:ascii="Arial" w:hAnsi="Arial" w:cs="Arial"/>
          <w:spacing w:val="-15"/>
          <w:szCs w:val="21"/>
        </w:rPr>
        <w:t xml:space="preserve">的</w:t>
      </w:r>
      <w:r>
        <w:rPr>
          <w:rFonts w:ascii="Arial" w:hAnsi="Arial" w:cs="Arial"/>
          <w:spacing w:val="-83"/>
          <w:szCs w:val="21"/>
          <w:u w:val="single"/>
        </w:rPr>
        <w:t xml:space="preserve"> </w:t>
      </w:r>
      <w:r>
        <w:rPr>
          <w:rFonts w:ascii="Arial" w:hAnsi="Arial" w:cs="Arial"/>
          <w:iCs/>
          <w:spacing w:val="-15"/>
          <w:szCs w:val="21"/>
          <w:u w:val="single"/>
        </w:rPr>
        <w:t xml:space="preserve">（项目名称）</w:t>
      </w:r>
      <w:r>
        <w:rPr>
          <w:rFonts w:ascii="Arial" w:hAnsi="Arial" w:cs="Arial"/>
          <w:spacing w:val="-15"/>
          <w:szCs w:val="21"/>
        </w:rPr>
        <w:t xml:space="preserve">采购活动</w:t>
      </w:r>
      <w:r>
        <w:rPr>
          <w:rFonts w:ascii="Arial" w:hAnsi="Arial" w:cs="Arial"/>
          <w:spacing w:val="-114"/>
          <w:szCs w:val="21"/>
        </w:rPr>
        <w:t xml:space="preserve"> </w:t>
      </w:r>
      <w:r>
        <w:rPr>
          <w:rFonts w:ascii="Arial" w:hAnsi="Arial" w:cs="Arial"/>
          <w:spacing w:val="-15"/>
          <w:szCs w:val="21"/>
        </w:rPr>
        <w:t xml:space="preserve">，</w:t>
      </w:r>
      <w:r>
        <w:rPr>
          <w:rFonts w:ascii="Arial" w:hAnsi="Arial" w:cs="Arial"/>
          <w:spacing w:val="-133"/>
          <w:szCs w:val="21"/>
        </w:rPr>
        <w:t xml:space="preserve"> </w:t>
      </w:r>
      <w:r>
        <w:rPr>
          <w:rFonts w:ascii="Arial" w:hAnsi="Arial" w:cs="Arial"/>
          <w:spacing w:val="-15"/>
          <w:szCs w:val="21"/>
        </w:rPr>
        <w:t xml:space="preserve">工</w:t>
      </w:r>
      <w:r>
        <w:rPr>
          <w:rFonts w:ascii="Arial" w:hAnsi="Arial" w:cs="Arial"/>
          <w:spacing w:val="-140"/>
          <w:szCs w:val="21"/>
        </w:rPr>
        <w:t xml:space="preserve"> </w:t>
      </w:r>
      <w:r>
        <w:rPr>
          <w:rFonts w:ascii="Arial" w:hAnsi="Arial" w:cs="Arial"/>
          <w:spacing w:val="-4"/>
          <w:szCs w:val="21"/>
        </w:rPr>
        <w:t xml:space="preserve">程的施工单位</w:t>
      </w:r>
      <w:r>
        <w:rPr>
          <w:rFonts w:ascii="Arial" w:hAnsi="Arial" w:cs="Arial"/>
          <w:b/>
          <w:bCs/>
          <w:color w:val="ff0000"/>
          <w:spacing w:val="-4"/>
          <w:szCs w:val="21"/>
        </w:rPr>
        <w:t xml:space="preserve">全部</w:t>
      </w:r>
      <w:r>
        <w:rPr>
          <w:rFonts w:ascii="Arial" w:hAnsi="Arial" w:cs="Arial"/>
          <w:spacing w:val="-4"/>
          <w:szCs w:val="21"/>
        </w:rPr>
        <w:t xml:space="preserve">为符合政策要求的中小企业（或者</w:t>
      </w:r>
      <w:r>
        <w:rPr>
          <w:rFonts w:ascii="Arial" w:hAnsi="Arial" w:cs="Arial"/>
          <w:spacing w:val="-95"/>
          <w:szCs w:val="21"/>
        </w:rPr>
        <w:t xml:space="preserve"> </w:t>
      </w:r>
      <w:r>
        <w:rPr>
          <w:rFonts w:ascii="Arial" w:hAnsi="Arial" w:cs="Arial"/>
          <w:spacing w:val="-4"/>
          <w:szCs w:val="21"/>
        </w:rPr>
        <w:t xml:space="preserve">：服务</w:t>
      </w:r>
      <w:r>
        <w:rPr>
          <w:rFonts w:ascii="Arial" w:hAnsi="Arial" w:cs="Arial"/>
          <w:b/>
          <w:bCs/>
          <w:color w:val="ff0000"/>
          <w:spacing w:val="-135"/>
          <w:szCs w:val="21"/>
        </w:rPr>
        <w:t xml:space="preserve"> </w:t>
      </w:r>
      <w:r>
        <w:rPr>
          <w:rFonts w:ascii="Arial" w:hAnsi="Arial" w:cs="Arial"/>
          <w:b/>
          <w:bCs/>
          <w:color w:val="ff0000"/>
          <w:spacing w:val="-2"/>
          <w:szCs w:val="21"/>
        </w:rPr>
        <w:t xml:space="preserve">全部</w:t>
      </w:r>
      <w:r>
        <w:rPr>
          <w:rFonts w:ascii="Arial" w:hAnsi="Arial" w:cs="Arial"/>
          <w:spacing w:val="-2"/>
          <w:szCs w:val="21"/>
        </w:rPr>
        <w:t xml:space="preserve">由符合政策要求的中小企业承接）。相关企业</w:t>
      </w:r>
      <w:r>
        <w:rPr>
          <w:rFonts w:ascii="Arial" w:hAnsi="Arial" w:cs="Arial"/>
          <w:spacing w:val="-147"/>
          <w:szCs w:val="21"/>
        </w:rPr>
        <w:t xml:space="preserve"> </w:t>
      </w:r>
      <w:r>
        <w:rPr>
          <w:rFonts w:ascii="Arial" w:hAnsi="Arial" w:cs="Arial"/>
          <w:spacing w:val="-2"/>
          <w:szCs w:val="21"/>
        </w:rPr>
        <w:t xml:space="preserve">（含联合</w:t>
      </w:r>
      <w:r>
        <w:rPr>
          <w:rFonts w:ascii="Arial" w:hAnsi="Arial" w:cs="Arial"/>
          <w:spacing w:val="-135"/>
          <w:szCs w:val="21"/>
        </w:rPr>
        <w:t xml:space="preserve"> </w:t>
      </w:r>
      <w:r>
        <w:rPr>
          <w:rFonts w:ascii="Arial" w:hAnsi="Arial" w:cs="Arial"/>
          <w:spacing w:val="-5"/>
          <w:szCs w:val="21"/>
        </w:rPr>
        <w:t xml:space="preserve">体中的中小企业</w:t>
      </w:r>
      <w:r>
        <w:rPr>
          <w:rFonts w:ascii="Arial" w:hAnsi="Arial" w:cs="Arial"/>
          <w:spacing w:val="-91"/>
          <w:szCs w:val="21"/>
        </w:rPr>
        <w:t xml:space="preserve"> </w:t>
      </w:r>
      <w:r>
        <w:rPr>
          <w:rFonts w:ascii="Arial" w:hAnsi="Arial" w:cs="Arial"/>
          <w:spacing w:val="-5"/>
          <w:szCs w:val="21"/>
        </w:rPr>
        <w:t xml:space="preserve">、</w:t>
      </w:r>
      <w:r>
        <w:rPr>
          <w:rFonts w:ascii="Arial" w:hAnsi="Arial" w:cs="Arial"/>
          <w:spacing w:val="-136"/>
          <w:szCs w:val="21"/>
        </w:rPr>
        <w:t xml:space="preserve"> </w:t>
      </w:r>
      <w:r>
        <w:rPr>
          <w:rFonts w:ascii="Arial" w:hAnsi="Arial" w:cs="Arial"/>
          <w:spacing w:val="-5"/>
          <w:szCs w:val="21"/>
        </w:rPr>
        <w:t xml:space="preserve">签订分包意向协议的中小企业）的具体情</w:t>
      </w:r>
      <w:r>
        <w:rPr>
          <w:rFonts w:ascii="Arial" w:hAnsi="Arial" w:cs="Arial"/>
          <w:spacing w:val="-137"/>
          <w:szCs w:val="21"/>
        </w:rPr>
        <w:t xml:space="preserve"> </w:t>
      </w:r>
      <w:r>
        <w:rPr>
          <w:rFonts w:ascii="Arial" w:hAnsi="Arial" w:cs="Arial"/>
          <w:spacing w:val="-6"/>
          <w:szCs w:val="21"/>
        </w:rPr>
        <w:t xml:space="preserve">况如下</w:t>
      </w:r>
      <w:r>
        <w:rPr>
          <w:rFonts w:ascii="Arial" w:hAnsi="Arial" w:cs="Arial"/>
          <w:spacing w:val="-114"/>
          <w:szCs w:val="21"/>
        </w:rPr>
        <w:t xml:space="preserve"> </w:t>
      </w:r>
      <w:r>
        <w:rPr>
          <w:rFonts w:ascii="Arial" w:hAnsi="Arial" w:cs="Arial"/>
          <w:spacing w:val="-6"/>
          <w:szCs w:val="21"/>
        </w:rPr>
        <w:t xml:space="preserve">：</w:t>
      </w:r>
      <w:r>
        <w:rPr>
          <w:rFonts w:ascii="Arial" w:hAnsi="Arial" w:cs="Arial"/>
          <w:szCs w:val="21"/>
        </w:rPr>
      </w:r>
      <w:r/>
    </w:p>
    <w:p>
      <w:pPr>
        <w:pStyle w:val="1561"/>
        <w:ind w:firstLine="404"/>
        <w:spacing w:before="191" w:line="360" w:lineRule="auto"/>
        <w:rPr>
          <w:rFonts w:ascii="Arial" w:hAnsi="Arial" w:cs="Arial"/>
          <w:szCs w:val="21"/>
        </w:rPr>
      </w:pPr>
      <w:r>
        <w:rPr>
          <w:rFonts w:ascii="Arial" w:hAnsi="Arial" w:cs="Arial"/>
          <w:spacing w:val="-4"/>
          <w:szCs w:val="21"/>
        </w:rPr>
        <w:t xml:space="preserve">1、</w:t>
      </w:r>
      <w:r>
        <w:rPr>
          <w:rFonts w:ascii="Arial" w:hAnsi="Arial" w:cs="Arial"/>
          <w:spacing w:val="-4"/>
          <w:szCs w:val="21"/>
          <w:u w:val="single"/>
        </w:rPr>
        <w:t xml:space="preserve">（标的名称）</w:t>
      </w:r>
      <w:r>
        <w:rPr>
          <w:rFonts w:ascii="Arial" w:hAnsi="Arial" w:cs="Arial"/>
          <w:spacing w:val="-4"/>
          <w:szCs w:val="21"/>
        </w:rPr>
        <w:t xml:space="preserve">，属于</w:t>
      </w:r>
      <w:r>
        <w:rPr>
          <w:rFonts w:ascii="Arial" w:hAnsi="Arial" w:cs="Arial"/>
          <w:spacing w:val="-4"/>
          <w:szCs w:val="21"/>
          <w:u w:val="single"/>
        </w:rPr>
        <w:t xml:space="preserve">（采购文件中明确的所属行业）</w:t>
      </w:r>
      <w:r>
        <w:rPr>
          <w:rFonts w:ascii="Arial" w:hAnsi="Arial" w:cs="Arial"/>
          <w:spacing w:val="-4"/>
          <w:szCs w:val="21"/>
        </w:rPr>
        <w:t xml:space="preserve">行业</w:t>
      </w:r>
      <w:r>
        <w:rPr>
          <w:rFonts w:ascii="Arial" w:hAnsi="Arial" w:cs="Arial"/>
          <w:spacing w:val="-19"/>
          <w:szCs w:val="21"/>
        </w:rPr>
        <w:t xml:space="preserve">；</w:t>
      </w:r>
      <w:r>
        <w:rPr>
          <w:rFonts w:ascii="Arial" w:hAnsi="Arial" w:cs="Arial"/>
          <w:spacing w:val="-5"/>
          <w:szCs w:val="21"/>
        </w:rPr>
        <w:t xml:space="preserve">承建</w:t>
      </w:r>
      <w:r>
        <w:rPr>
          <w:rFonts w:ascii="Arial" w:hAnsi="Arial" w:cs="Arial"/>
          <w:spacing w:val="-155"/>
          <w:szCs w:val="21"/>
        </w:rPr>
        <w:t xml:space="preserve"> </w:t>
      </w:r>
      <w:r>
        <w:rPr>
          <w:rFonts w:ascii="Arial" w:hAnsi="Arial" w:cs="Arial"/>
          <w:spacing w:val="-5"/>
          <w:szCs w:val="21"/>
        </w:rPr>
        <w:t xml:space="preserve">（承接）企业为</w:t>
      </w:r>
      <w:r>
        <w:rPr>
          <w:rFonts w:ascii="Arial" w:hAnsi="Arial" w:cs="Arial"/>
          <w:spacing w:val="-78"/>
          <w:szCs w:val="21"/>
          <w:u w:val="single"/>
        </w:rPr>
        <w:t xml:space="preserve"> </w:t>
      </w:r>
      <w:r>
        <w:rPr>
          <w:rFonts w:ascii="Arial" w:hAnsi="Arial" w:cs="Arial"/>
          <w:iCs/>
          <w:spacing w:val="-5"/>
          <w:szCs w:val="21"/>
          <w:u w:val="single"/>
        </w:rPr>
        <w:t xml:space="preserve">（企业名称）  </w:t>
      </w:r>
      <w:r>
        <w:rPr>
          <w:rFonts w:ascii="Arial" w:hAnsi="Arial" w:cs="Arial"/>
          <w:spacing w:val="-4"/>
          <w:szCs w:val="21"/>
        </w:rPr>
        <w:t xml:space="preserve">从业人员</w:t>
      </w:r>
      <w:r>
        <w:rPr>
          <w:rFonts w:ascii="Arial" w:hAnsi="Arial" w:cs="Arial"/>
          <w:spacing w:val="-4"/>
          <w:szCs w:val="21"/>
          <w:u w:val="single"/>
        </w:rPr>
        <w:t xml:space="preserve">   </w:t>
      </w:r>
      <w:r>
        <w:rPr>
          <w:rFonts w:ascii="Arial" w:hAnsi="Arial" w:cs="Arial"/>
          <w:spacing w:val="-4"/>
          <w:szCs w:val="21"/>
        </w:rPr>
        <w:t xml:space="preserve">人， 营业收入为</w:t>
      </w:r>
      <w:r>
        <w:rPr>
          <w:rFonts w:ascii="Arial" w:hAnsi="Arial" w:cs="Arial"/>
          <w:spacing w:val="-4"/>
          <w:szCs w:val="21"/>
          <w:u w:val="single"/>
        </w:rPr>
        <w:t xml:space="preserve">    </w:t>
      </w:r>
      <w:r>
        <w:rPr>
          <w:rFonts w:ascii="Arial" w:hAnsi="Arial" w:cs="Arial"/>
          <w:spacing w:val="-4"/>
          <w:szCs w:val="21"/>
        </w:rPr>
        <w:t xml:space="preserve">万元，资产总额为</w:t>
      </w:r>
      <w:r>
        <w:rPr>
          <w:rFonts w:ascii="Arial" w:hAnsi="Arial" w:cs="Arial"/>
          <w:spacing w:val="-4"/>
          <w:szCs w:val="21"/>
          <w:u w:val="single"/>
        </w:rPr>
        <w:t xml:space="preserve">    </w:t>
      </w:r>
      <w:r>
        <w:rPr>
          <w:rFonts w:ascii="Arial" w:hAnsi="Arial" w:cs="Arial"/>
          <w:spacing w:val="-4"/>
          <w:szCs w:val="21"/>
        </w:rPr>
        <w:t xml:space="preserve">万元</w:t>
      </w:r>
      <w:r>
        <w:rPr>
          <w:rFonts w:ascii="Arial" w:hAnsi="Arial" w:cs="Arial"/>
          <w:spacing w:val="-7"/>
          <w:szCs w:val="21"/>
        </w:rPr>
        <w:t xml:space="preserve">，</w:t>
      </w:r>
      <w:r>
        <w:rPr>
          <w:rFonts w:ascii="Arial" w:hAnsi="Arial" w:cs="Arial"/>
          <w:spacing w:val="-4"/>
          <w:szCs w:val="21"/>
        </w:rPr>
        <w:t xml:space="preserve">属于</w:t>
      </w:r>
      <w:r>
        <w:rPr>
          <w:rFonts w:ascii="Arial" w:hAnsi="Arial" w:cs="Arial"/>
          <w:sz w:val="24"/>
          <w:szCs w:val="24"/>
          <w:u w:val="single"/>
        </w:rPr>
        <w:t xml:space="preserve">（□</w:t>
      </w:r>
      <w:r>
        <w:rPr>
          <w:rFonts w:ascii="Arial" w:hAnsi="Arial" w:cs="Arial"/>
          <w:sz w:val="22"/>
          <w:szCs w:val="22"/>
          <w:u w:val="single"/>
        </w:rPr>
        <w:t xml:space="preserve">中型企业</w:t>
      </w:r>
      <w:r>
        <w:rPr>
          <w:rFonts w:ascii="Arial" w:hAnsi="Arial" w:cs="Arial"/>
          <w:sz w:val="24"/>
          <w:szCs w:val="24"/>
          <w:u w:val="single"/>
        </w:rPr>
        <w:t xml:space="preserve"> □</w:t>
      </w:r>
      <w:r>
        <w:rPr>
          <w:rFonts w:ascii="Arial" w:hAnsi="Arial" w:cs="Arial"/>
          <w:sz w:val="22"/>
          <w:szCs w:val="22"/>
          <w:u w:val="single"/>
        </w:rPr>
        <w:t xml:space="preserve">小型企业</w:t>
      </w:r>
      <w:r>
        <w:rPr>
          <w:rFonts w:ascii="Arial" w:hAnsi="Arial" w:cs="Arial"/>
          <w:sz w:val="24"/>
          <w:szCs w:val="24"/>
          <w:u w:val="single"/>
        </w:rPr>
        <w:t xml:space="preserve"> □</w:t>
      </w:r>
      <w:r>
        <w:rPr>
          <w:rFonts w:ascii="Arial" w:hAnsi="Arial" w:cs="Arial"/>
          <w:sz w:val="22"/>
          <w:szCs w:val="22"/>
          <w:u w:val="single"/>
        </w:rPr>
        <w:t xml:space="preserve">微型企业</w:t>
      </w:r>
      <w:r>
        <w:rPr>
          <w:rFonts w:ascii="Arial" w:hAnsi="Arial" w:cs="Arial"/>
          <w:sz w:val="24"/>
          <w:szCs w:val="24"/>
          <w:u w:val="single"/>
        </w:rPr>
        <w:t xml:space="preserve">）</w:t>
      </w:r>
      <w:r>
        <w:rPr>
          <w:rFonts w:ascii="Arial" w:hAnsi="Arial" w:cs="Arial"/>
          <w:spacing w:val="-5"/>
          <w:szCs w:val="21"/>
        </w:rPr>
        <w:t xml:space="preserve">；</w:t>
      </w:r>
      <w:r>
        <w:rPr>
          <w:rFonts w:ascii="Arial" w:hAnsi="Arial" w:cs="Arial"/>
          <w:szCs w:val="21"/>
        </w:rPr>
      </w:r>
      <w:r/>
    </w:p>
    <w:p>
      <w:pPr>
        <w:pStyle w:val="1561"/>
        <w:ind w:left="18" w:firstLine="404"/>
        <w:spacing w:line="360" w:lineRule="auto"/>
        <w:rPr>
          <w:rFonts w:ascii="Arial" w:hAnsi="Arial" w:cs="Arial"/>
          <w:szCs w:val="21"/>
        </w:rPr>
      </w:pPr>
      <w:r>
        <w:rPr>
          <w:rFonts w:ascii="Arial" w:hAnsi="Arial" w:cs="Arial"/>
          <w:spacing w:val="-4"/>
          <w:szCs w:val="21"/>
        </w:rPr>
        <w:t xml:space="preserve">2、</w:t>
      </w:r>
      <w:r>
        <w:rPr>
          <w:rFonts w:ascii="Arial" w:hAnsi="Arial" w:cs="Arial"/>
          <w:spacing w:val="-4"/>
          <w:szCs w:val="21"/>
          <w:u w:val="single"/>
        </w:rPr>
        <w:t xml:space="preserve">（标的名称）</w:t>
      </w:r>
      <w:r>
        <w:rPr>
          <w:rFonts w:ascii="Arial" w:hAnsi="Arial" w:cs="Arial"/>
          <w:spacing w:val="-4"/>
          <w:szCs w:val="21"/>
        </w:rPr>
        <w:t xml:space="preserve">，属于</w:t>
      </w:r>
      <w:r>
        <w:rPr>
          <w:rFonts w:ascii="Arial" w:hAnsi="Arial" w:cs="Arial"/>
          <w:spacing w:val="-4"/>
          <w:szCs w:val="21"/>
          <w:u w:val="single"/>
        </w:rPr>
        <w:t xml:space="preserve">（采购文件中明确的所属行业）</w:t>
      </w:r>
      <w:r>
        <w:rPr>
          <w:rFonts w:ascii="Arial" w:hAnsi="Arial" w:cs="Arial"/>
          <w:spacing w:val="-4"/>
          <w:szCs w:val="21"/>
        </w:rPr>
        <w:t xml:space="preserve">行业</w:t>
      </w:r>
      <w:r>
        <w:rPr>
          <w:rFonts w:ascii="Arial" w:hAnsi="Arial" w:cs="Arial"/>
          <w:spacing w:val="-19"/>
          <w:szCs w:val="21"/>
        </w:rPr>
        <w:t xml:space="preserve">；</w:t>
      </w:r>
      <w:r>
        <w:rPr>
          <w:rFonts w:ascii="Arial" w:hAnsi="Arial" w:cs="Arial"/>
          <w:spacing w:val="-5"/>
          <w:szCs w:val="21"/>
        </w:rPr>
        <w:t xml:space="preserve">承建</w:t>
      </w:r>
      <w:r>
        <w:rPr>
          <w:rFonts w:ascii="Arial" w:hAnsi="Arial" w:cs="Arial"/>
          <w:spacing w:val="-155"/>
          <w:szCs w:val="21"/>
        </w:rPr>
        <w:t xml:space="preserve"> </w:t>
      </w:r>
      <w:r>
        <w:rPr>
          <w:rFonts w:ascii="Arial" w:hAnsi="Arial" w:cs="Arial"/>
          <w:spacing w:val="-5"/>
          <w:szCs w:val="21"/>
        </w:rPr>
        <w:t xml:space="preserve">（承接）企业为</w:t>
      </w:r>
      <w:r>
        <w:rPr>
          <w:rFonts w:ascii="Arial" w:hAnsi="Arial" w:cs="Arial"/>
          <w:spacing w:val="-78"/>
          <w:szCs w:val="21"/>
          <w:u w:val="single"/>
        </w:rPr>
        <w:t xml:space="preserve"> </w:t>
      </w:r>
      <w:r>
        <w:rPr>
          <w:rFonts w:ascii="Arial" w:hAnsi="Arial" w:cs="Arial"/>
          <w:iCs/>
          <w:spacing w:val="-5"/>
          <w:szCs w:val="21"/>
          <w:u w:val="single"/>
        </w:rPr>
        <w:t xml:space="preserve">（企业名称）  </w:t>
      </w:r>
      <w:r>
        <w:rPr>
          <w:rFonts w:ascii="Arial" w:hAnsi="Arial" w:cs="Arial"/>
          <w:spacing w:val="-4"/>
          <w:szCs w:val="21"/>
        </w:rPr>
        <w:t xml:space="preserve">从业人员</w:t>
      </w:r>
      <w:r>
        <w:rPr>
          <w:rFonts w:ascii="Arial" w:hAnsi="Arial" w:cs="Arial"/>
          <w:spacing w:val="-4"/>
          <w:szCs w:val="21"/>
          <w:u w:val="single"/>
        </w:rPr>
        <w:t xml:space="preserve">   </w:t>
      </w:r>
      <w:r>
        <w:rPr>
          <w:rFonts w:ascii="Arial" w:hAnsi="Arial" w:cs="Arial"/>
          <w:spacing w:val="-4"/>
          <w:szCs w:val="21"/>
        </w:rPr>
        <w:t xml:space="preserve">人， 营业收入为</w:t>
      </w:r>
      <w:r>
        <w:rPr>
          <w:rFonts w:ascii="Arial" w:hAnsi="Arial" w:cs="Arial"/>
          <w:spacing w:val="-4"/>
          <w:szCs w:val="21"/>
          <w:u w:val="single"/>
        </w:rPr>
        <w:t xml:space="preserve">    </w:t>
      </w:r>
      <w:r>
        <w:rPr>
          <w:rFonts w:ascii="Arial" w:hAnsi="Arial" w:cs="Arial"/>
          <w:spacing w:val="-4"/>
          <w:szCs w:val="21"/>
        </w:rPr>
        <w:t xml:space="preserve">万元，资产总额为</w:t>
      </w:r>
      <w:r>
        <w:rPr>
          <w:rFonts w:ascii="Arial" w:hAnsi="Arial" w:cs="Arial"/>
          <w:spacing w:val="-4"/>
          <w:szCs w:val="21"/>
          <w:u w:val="single"/>
        </w:rPr>
        <w:t xml:space="preserve">    </w:t>
      </w:r>
      <w:r>
        <w:rPr>
          <w:rFonts w:ascii="Arial" w:hAnsi="Arial" w:cs="Arial"/>
          <w:spacing w:val="-4"/>
          <w:szCs w:val="21"/>
        </w:rPr>
        <w:t xml:space="preserve">万元</w:t>
      </w:r>
      <w:r>
        <w:rPr>
          <w:rFonts w:ascii="Arial" w:hAnsi="Arial" w:cs="Arial"/>
          <w:spacing w:val="-7"/>
          <w:szCs w:val="21"/>
        </w:rPr>
        <w:t xml:space="preserve">，</w:t>
      </w:r>
      <w:r>
        <w:rPr>
          <w:rFonts w:ascii="Arial" w:hAnsi="Arial" w:cs="Arial"/>
          <w:spacing w:val="-4"/>
          <w:szCs w:val="21"/>
        </w:rPr>
        <w:t xml:space="preserve">属于</w:t>
      </w:r>
      <w:r>
        <w:rPr>
          <w:rFonts w:ascii="Arial" w:hAnsi="Arial" w:cs="Arial"/>
          <w:sz w:val="24"/>
          <w:szCs w:val="24"/>
          <w:u w:val="single"/>
        </w:rPr>
        <w:t xml:space="preserve">（□</w:t>
      </w:r>
      <w:r>
        <w:rPr>
          <w:rFonts w:ascii="Arial" w:hAnsi="Arial" w:cs="Arial"/>
          <w:sz w:val="22"/>
          <w:szCs w:val="22"/>
          <w:u w:val="single"/>
        </w:rPr>
        <w:t xml:space="preserve">中型企业</w:t>
      </w:r>
      <w:r>
        <w:rPr>
          <w:rFonts w:ascii="Arial" w:hAnsi="Arial" w:cs="Arial"/>
          <w:sz w:val="24"/>
          <w:szCs w:val="24"/>
          <w:u w:val="single"/>
        </w:rPr>
        <w:t xml:space="preserve"> □</w:t>
      </w:r>
      <w:r>
        <w:rPr>
          <w:rFonts w:ascii="Arial" w:hAnsi="Arial" w:cs="Arial"/>
          <w:sz w:val="22"/>
          <w:szCs w:val="22"/>
          <w:u w:val="single"/>
        </w:rPr>
        <w:t xml:space="preserve">小型企业</w:t>
      </w:r>
      <w:r>
        <w:rPr>
          <w:rFonts w:ascii="Arial" w:hAnsi="Arial" w:cs="Arial"/>
          <w:sz w:val="24"/>
          <w:szCs w:val="24"/>
          <w:u w:val="single"/>
        </w:rPr>
        <w:t xml:space="preserve"> □</w:t>
      </w:r>
      <w:r>
        <w:rPr>
          <w:rFonts w:ascii="Arial" w:hAnsi="Arial" w:cs="Arial"/>
          <w:sz w:val="22"/>
          <w:szCs w:val="22"/>
          <w:u w:val="single"/>
        </w:rPr>
        <w:t xml:space="preserve">微型企业</w:t>
      </w:r>
      <w:r>
        <w:rPr>
          <w:rFonts w:ascii="Arial" w:hAnsi="Arial" w:cs="Arial"/>
          <w:sz w:val="24"/>
          <w:szCs w:val="24"/>
          <w:u w:val="single"/>
        </w:rPr>
        <w:t xml:space="preserve">）</w:t>
      </w:r>
      <w:r>
        <w:rPr>
          <w:rFonts w:ascii="Arial" w:hAnsi="Arial" w:cs="Arial"/>
          <w:spacing w:val="-5"/>
          <w:szCs w:val="21"/>
        </w:rPr>
        <w:t xml:space="preserve">；</w:t>
      </w:r>
      <w:r>
        <w:rPr>
          <w:rFonts w:ascii="Arial" w:hAnsi="Arial" w:cs="Arial"/>
          <w:szCs w:val="21"/>
        </w:rPr>
      </w:r>
      <w:r/>
    </w:p>
    <w:p>
      <w:pPr>
        <w:pStyle w:val="1561"/>
        <w:ind w:firstLine="688"/>
        <w:spacing w:before="132" w:line="360" w:lineRule="auto"/>
        <w:rPr>
          <w:rFonts w:ascii="Arial" w:hAnsi="Arial" w:cs="Arial"/>
          <w:szCs w:val="21"/>
        </w:rPr>
      </w:pPr>
      <w:r>
        <w:rPr>
          <w:rFonts w:ascii="Arial" w:hAnsi="Arial" w:cs="Arial"/>
          <w:spacing w:val="-18"/>
          <w:position w:val="-7"/>
          <w:szCs w:val="21"/>
        </w:rPr>
        <w:t xml:space="preserve">……</w:t>
      </w:r>
      <w:r>
        <w:rPr>
          <w:rFonts w:ascii="Arial" w:hAnsi="Arial" w:cs="Arial"/>
          <w:szCs w:val="21"/>
        </w:rPr>
      </w:r>
      <w:r/>
    </w:p>
    <w:p>
      <w:pPr>
        <w:pStyle w:val="1561"/>
        <w:ind w:left="35" w:right="160" w:firstLine="678"/>
        <w:spacing w:before="244" w:line="360" w:lineRule="auto"/>
        <w:rPr>
          <w:rFonts w:ascii="Arial" w:hAnsi="Arial" w:cs="Arial"/>
          <w:spacing w:val="-12"/>
          <w:szCs w:val="21"/>
        </w:rPr>
      </w:pPr>
      <w:r>
        <w:rPr>
          <w:rFonts w:ascii="Arial" w:hAnsi="Arial" w:cs="Arial"/>
          <w:spacing w:val="-7"/>
          <w:szCs w:val="21"/>
        </w:rPr>
        <w:t xml:space="preserve">以上企业</w:t>
      </w:r>
      <w:r>
        <w:rPr>
          <w:rFonts w:ascii="Arial" w:hAnsi="Arial" w:cs="Arial"/>
          <w:spacing w:val="-112"/>
          <w:szCs w:val="21"/>
        </w:rPr>
        <w:t xml:space="preserve"> </w:t>
      </w:r>
      <w:r>
        <w:rPr>
          <w:rFonts w:ascii="Arial" w:hAnsi="Arial" w:cs="Arial"/>
          <w:spacing w:val="-7"/>
          <w:szCs w:val="21"/>
        </w:rPr>
        <w:t xml:space="preserve">，不属于大企业的分支机构</w:t>
      </w:r>
      <w:r>
        <w:rPr>
          <w:rFonts w:ascii="Arial" w:hAnsi="Arial" w:cs="Arial"/>
          <w:spacing w:val="-116"/>
          <w:szCs w:val="21"/>
        </w:rPr>
        <w:t xml:space="preserve"> </w:t>
      </w:r>
      <w:r>
        <w:rPr>
          <w:rFonts w:ascii="Arial" w:hAnsi="Arial" w:cs="Arial"/>
          <w:spacing w:val="-7"/>
          <w:szCs w:val="21"/>
        </w:rPr>
        <w:t xml:space="preserve">，不存在控股股东</w:t>
      </w:r>
      <w:r>
        <w:rPr>
          <w:rFonts w:ascii="Arial" w:hAnsi="Arial" w:cs="Arial"/>
          <w:spacing w:val="-138"/>
          <w:szCs w:val="21"/>
        </w:rPr>
        <w:t xml:space="preserve"> </w:t>
      </w:r>
      <w:r>
        <w:rPr>
          <w:rFonts w:ascii="Arial" w:hAnsi="Arial" w:cs="Arial"/>
          <w:spacing w:val="-4"/>
          <w:szCs w:val="21"/>
        </w:rPr>
        <w:t xml:space="preserve">为大企业的情形</w:t>
      </w:r>
      <w:r>
        <w:rPr>
          <w:rFonts w:ascii="Arial" w:hAnsi="Arial" w:cs="Arial"/>
          <w:spacing w:val="-92"/>
          <w:szCs w:val="21"/>
        </w:rPr>
        <w:t xml:space="preserve"> </w:t>
      </w:r>
      <w:r>
        <w:rPr>
          <w:rFonts w:ascii="Arial" w:hAnsi="Arial" w:cs="Arial"/>
          <w:spacing w:val="-4"/>
          <w:szCs w:val="21"/>
        </w:rPr>
        <w:t xml:space="preserve">，也不存在与大企业的负责人为同一人的情</w:t>
      </w:r>
      <w:r>
        <w:rPr>
          <w:rFonts w:ascii="Arial" w:hAnsi="Arial" w:cs="Arial"/>
          <w:spacing w:val="-140"/>
          <w:szCs w:val="21"/>
        </w:rPr>
        <w:t xml:space="preserve"> </w:t>
      </w:r>
      <w:r>
        <w:rPr>
          <w:rFonts w:ascii="Arial" w:hAnsi="Arial" w:cs="Arial"/>
          <w:spacing w:val="-12"/>
          <w:szCs w:val="21"/>
        </w:rPr>
        <w:t xml:space="preserve">形</w:t>
      </w:r>
      <w:r>
        <w:rPr>
          <w:rFonts w:ascii="Arial" w:hAnsi="Arial" w:cs="Arial"/>
          <w:spacing w:val="-113"/>
          <w:szCs w:val="21"/>
        </w:rPr>
        <w:t xml:space="preserve"> </w:t>
      </w:r>
      <w:r>
        <w:rPr>
          <w:rFonts w:ascii="Arial" w:hAnsi="Arial" w:cs="Arial"/>
          <w:spacing w:val="-12"/>
          <w:szCs w:val="21"/>
        </w:rPr>
        <w:t xml:space="preserve">。</w:t>
      </w:r>
      <w:r>
        <w:rPr>
          <w:rFonts w:ascii="Arial" w:hAnsi="Arial" w:cs="Arial"/>
          <w:spacing w:val="-12"/>
          <w:szCs w:val="21"/>
        </w:rPr>
      </w:r>
      <w:r/>
    </w:p>
    <w:p>
      <w:pPr>
        <w:pStyle w:val="1561"/>
        <w:ind w:left="35" w:right="160" w:firstLine="678"/>
        <w:spacing w:before="244" w:line="360" w:lineRule="auto"/>
        <w:rPr>
          <w:rFonts w:ascii="Arial" w:hAnsi="Arial" w:cs="Arial"/>
          <w:spacing w:val="6"/>
          <w:szCs w:val="21"/>
        </w:rPr>
      </w:pPr>
      <w:r>
        <w:rPr>
          <w:rFonts w:ascii="Arial" w:hAnsi="Arial" w:cs="Arial"/>
          <w:spacing w:val="-6"/>
          <w:szCs w:val="21"/>
        </w:rPr>
        <w:t xml:space="preserve">本企业对上述声明内容的真实性负责</w:t>
      </w:r>
      <w:r>
        <w:rPr>
          <w:rFonts w:ascii="Arial" w:hAnsi="Arial" w:cs="Arial"/>
          <w:spacing w:val="-102"/>
          <w:szCs w:val="21"/>
        </w:rPr>
        <w:t xml:space="preserve"> </w:t>
      </w:r>
      <w:r>
        <w:rPr>
          <w:rFonts w:ascii="Arial" w:hAnsi="Arial" w:cs="Arial"/>
          <w:spacing w:val="-6"/>
          <w:szCs w:val="21"/>
        </w:rPr>
        <w:t xml:space="preserve">。如有虚假</w:t>
      </w:r>
      <w:r>
        <w:rPr>
          <w:rFonts w:ascii="Arial" w:hAnsi="Arial" w:cs="Arial"/>
          <w:spacing w:val="-114"/>
          <w:szCs w:val="21"/>
        </w:rPr>
        <w:t xml:space="preserve"> </w:t>
      </w:r>
      <w:r>
        <w:rPr>
          <w:rFonts w:ascii="Arial" w:hAnsi="Arial" w:cs="Arial"/>
          <w:spacing w:val="-6"/>
          <w:szCs w:val="21"/>
        </w:rPr>
        <w:t xml:space="preserve">，将依</w:t>
      </w:r>
      <w:r>
        <w:rPr>
          <w:rFonts w:ascii="Arial" w:hAnsi="Arial" w:cs="Arial"/>
          <w:spacing w:val="-140"/>
          <w:szCs w:val="21"/>
        </w:rPr>
        <w:t xml:space="preserve"> </w:t>
      </w:r>
      <w:r>
        <w:rPr>
          <w:rFonts w:ascii="Arial" w:hAnsi="Arial" w:cs="Arial"/>
          <w:spacing w:val="-5"/>
          <w:szCs w:val="21"/>
        </w:rPr>
        <w:t xml:space="preserve">法承担相应责任</w:t>
      </w:r>
      <w:r>
        <w:rPr>
          <w:rFonts w:ascii="Arial" w:hAnsi="Arial" w:cs="Arial"/>
          <w:szCs w:val="21"/>
        </w:rPr>
        <w:t xml:space="preserve">。</w:t>
      </w:r>
      <w:r>
        <w:rPr>
          <w:rFonts w:ascii="Arial" w:hAnsi="Arial" w:cs="Arial"/>
          <w:spacing w:val="6"/>
          <w:szCs w:val="21"/>
        </w:rPr>
        <w:t xml:space="preserve">       </w:t>
      </w:r>
      <w:r>
        <w:rPr>
          <w:rFonts w:ascii="Arial" w:hAnsi="Arial" w:cs="Arial"/>
          <w:spacing w:val="6"/>
          <w:szCs w:val="21"/>
        </w:rPr>
      </w:r>
      <w:r/>
    </w:p>
    <w:p>
      <w:pPr>
        <w:pStyle w:val="1561"/>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企业名称（盖章）：</w:t>
      </w:r>
      <w:r>
        <w:rPr>
          <w:rFonts w:ascii="Arial" w:hAnsi="Arial" w:cs="Arial"/>
          <w:spacing w:val="6"/>
          <w:szCs w:val="21"/>
        </w:rPr>
      </w:r>
      <w:r/>
    </w:p>
    <w:p>
      <w:pPr>
        <w:pStyle w:val="1561"/>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         日  期：</w:t>
      </w:r>
      <w:r>
        <w:rPr>
          <w:rFonts w:ascii="Arial" w:hAnsi="Arial" w:cs="Arial"/>
          <w:spacing w:val="6"/>
          <w:szCs w:val="21"/>
        </w:rPr>
      </w:r>
      <w:r/>
    </w:p>
    <w:p>
      <w:pPr>
        <w:pStyle w:val="1561"/>
        <w:spacing w:line="360" w:lineRule="auto"/>
        <w:rPr>
          <w:rFonts w:ascii="Arial" w:hAnsi="Arial" w:cs="Arial"/>
          <w:b/>
          <w:bCs/>
          <w:szCs w:val="21"/>
        </w:rPr>
      </w:pPr>
      <w:r>
        <w:rPr>
          <w:rFonts w:ascii="Arial" w:hAnsi="Arial" w:cs="Arial"/>
          <w:b/>
          <w:bCs/>
          <w:szCs w:val="21"/>
        </w:rPr>
        <w:t xml:space="preserve">备注：</w:t>
      </w:r>
      <w:r>
        <w:rPr>
          <w:rFonts w:ascii="Arial" w:hAnsi="Arial" w:cs="Arial"/>
          <w:b/>
          <w:bCs/>
          <w:szCs w:val="21"/>
        </w:rPr>
      </w:r>
      <w:r/>
    </w:p>
    <w:p>
      <w:pPr>
        <w:pStyle w:val="1561"/>
        <w:ind w:firstLine="422"/>
        <w:spacing w:line="360" w:lineRule="auto"/>
        <w:rPr>
          <w:rFonts w:ascii="Arial" w:hAnsi="Arial" w:cs="Arial"/>
          <w:b/>
          <w:bCs/>
          <w:szCs w:val="21"/>
        </w:rPr>
      </w:pPr>
      <w:r>
        <w:rPr>
          <w:rFonts w:ascii="Arial" w:hAnsi="Arial" w:cs="Arial"/>
          <w:b/>
          <w:bCs/>
          <w:szCs w:val="21"/>
        </w:rPr>
        <w:t xml:space="preserve">（1）从业人员、营业收入、资产总额</w:t>
      </w:r>
      <w:r>
        <w:rPr>
          <w:rFonts w:ascii="Arial" w:hAnsi="Arial" w:cs="Arial"/>
          <w:b/>
          <w:bCs/>
          <w:color w:val="ff0000"/>
          <w:szCs w:val="21"/>
        </w:rPr>
        <w:t xml:space="preserve">填报上一年度</w:t>
      </w:r>
      <w:r>
        <w:rPr>
          <w:rFonts w:ascii="Arial" w:hAnsi="Arial" w:cs="Arial"/>
          <w:b/>
          <w:bCs/>
          <w:szCs w:val="21"/>
        </w:rPr>
        <w:t xml:space="preserve">数据，无上一年度数据的新成立企业可不填报。</w:t>
      </w:r>
      <w:r>
        <w:rPr>
          <w:rFonts w:ascii="Arial" w:hAnsi="Arial" w:cs="Arial"/>
          <w:b/>
          <w:bCs/>
          <w:szCs w:val="21"/>
        </w:rPr>
      </w:r>
      <w:r/>
    </w:p>
    <w:p>
      <w:pPr>
        <w:pStyle w:val="1561"/>
        <w:ind w:firstLine="422"/>
        <w:spacing w:line="360" w:lineRule="auto"/>
        <w:rPr>
          <w:rFonts w:ascii="Arial" w:hAnsi="Arial" w:cs="Arial"/>
          <w:b/>
          <w:bCs/>
          <w:color w:val="ff0000"/>
          <w:szCs w:val="21"/>
        </w:rPr>
      </w:pPr>
      <w:r>
        <w:rPr>
          <w:rFonts w:ascii="Arial" w:hAnsi="Arial" w:cs="Arial"/>
          <w:b/>
          <w:bCs/>
          <w:szCs w:val="21"/>
        </w:rPr>
        <w:t xml:space="preserve">（2）</w:t>
      </w:r>
      <w:r>
        <w:rPr>
          <w:rFonts w:ascii="Arial" w:hAnsi="Arial" w:cs="Arial"/>
          <w:b/>
          <w:bCs/>
          <w:spacing w:val="-15"/>
          <w:szCs w:val="21"/>
        </w:rPr>
        <w:t xml:space="preserve">工</w:t>
      </w:r>
      <w:r>
        <w:rPr>
          <w:rFonts w:ascii="Arial" w:hAnsi="Arial" w:cs="Arial"/>
          <w:b/>
          <w:bCs/>
          <w:spacing w:val="-140"/>
          <w:szCs w:val="21"/>
        </w:rPr>
        <w:t xml:space="preserve"> </w:t>
      </w:r>
      <w:r>
        <w:rPr>
          <w:rFonts w:ascii="Arial" w:hAnsi="Arial" w:cs="Arial"/>
          <w:b/>
          <w:bCs/>
          <w:spacing w:val="-4"/>
          <w:szCs w:val="21"/>
        </w:rPr>
        <w:t xml:space="preserve">程的施工单位</w:t>
      </w:r>
      <w:r>
        <w:rPr>
          <w:rFonts w:ascii="Arial" w:hAnsi="Arial" w:cs="Arial"/>
          <w:b/>
          <w:bCs/>
          <w:color w:val="ff0000"/>
          <w:spacing w:val="-4"/>
          <w:szCs w:val="21"/>
        </w:rPr>
        <w:t xml:space="preserve">全部</w:t>
      </w:r>
      <w:r>
        <w:rPr>
          <w:rFonts w:ascii="Arial" w:hAnsi="Arial" w:cs="Arial"/>
          <w:b/>
          <w:bCs/>
          <w:spacing w:val="-4"/>
          <w:szCs w:val="21"/>
        </w:rPr>
        <w:t xml:space="preserve">为符合政策要求的中小企业（或者</w:t>
      </w:r>
      <w:r>
        <w:rPr>
          <w:rFonts w:ascii="Arial" w:hAnsi="Arial" w:cs="Arial"/>
          <w:b/>
          <w:bCs/>
          <w:spacing w:val="-95"/>
          <w:szCs w:val="21"/>
        </w:rPr>
        <w:t xml:space="preserve"> </w:t>
      </w:r>
      <w:r>
        <w:rPr>
          <w:rFonts w:ascii="Arial" w:hAnsi="Arial" w:cs="Arial"/>
          <w:b/>
          <w:bCs/>
          <w:spacing w:val="-4"/>
          <w:szCs w:val="21"/>
        </w:rPr>
        <w:t xml:space="preserve">：服务</w:t>
      </w:r>
      <w:r>
        <w:rPr>
          <w:rFonts w:ascii="Arial" w:hAnsi="Arial" w:cs="Arial"/>
          <w:b/>
          <w:bCs/>
          <w:color w:val="ff0000"/>
          <w:spacing w:val="-135"/>
          <w:szCs w:val="21"/>
        </w:rPr>
        <w:t xml:space="preserve"> </w:t>
      </w:r>
      <w:r>
        <w:rPr>
          <w:rFonts w:ascii="Arial" w:hAnsi="Arial" w:cs="Arial"/>
          <w:b/>
          <w:bCs/>
          <w:color w:val="ff0000"/>
          <w:spacing w:val="-2"/>
          <w:szCs w:val="21"/>
        </w:rPr>
        <w:t xml:space="preserve">全部</w:t>
      </w:r>
      <w:r>
        <w:rPr>
          <w:rFonts w:ascii="Arial" w:hAnsi="Arial" w:cs="Arial"/>
          <w:b/>
          <w:bCs/>
          <w:spacing w:val="-2"/>
          <w:szCs w:val="21"/>
        </w:rPr>
        <w:t xml:space="preserve">由符合政策要求的中小企业承接）</w:t>
      </w:r>
      <w:r>
        <w:rPr>
          <w:rFonts w:ascii="Arial" w:hAnsi="Arial" w:cs="Arial"/>
          <w:b/>
          <w:bCs/>
          <w:szCs w:val="21"/>
        </w:rPr>
        <w:t xml:space="preserve">参加本次政府采购项目需提供此声明函</w:t>
      </w:r>
      <w:r>
        <w:rPr>
          <w:rFonts w:ascii="Arial" w:hAnsi="Arial" w:cs="Arial"/>
          <w:color w:val="000000"/>
          <w:lang w:val="zh-CN"/>
        </w:rPr>
        <w:t xml:space="preserve">（中小企业划型标准详见《关于印发中小企业划型标准规定的通知》工信部联企业〔2011〕300号）</w:t>
      </w:r>
      <w:r>
        <w:rPr>
          <w:rFonts w:ascii="Arial" w:hAnsi="Arial" w:cs="Arial"/>
          <w:b/>
          <w:bCs/>
          <w:szCs w:val="21"/>
        </w:rPr>
        <w:t xml:space="preserve">。</w:t>
      </w:r>
      <w:r>
        <w:rPr>
          <w:rFonts w:ascii="Arial" w:hAnsi="Arial" w:cs="Arial"/>
          <w:b/>
          <w:bCs/>
          <w:color w:val="ff0000"/>
          <w:szCs w:val="21"/>
        </w:rPr>
      </w:r>
      <w:r/>
    </w:p>
    <w:p>
      <w:pPr>
        <w:pStyle w:val="1561"/>
        <w:ind w:firstLine="422"/>
        <w:spacing w:line="360" w:lineRule="auto"/>
        <w:rPr>
          <w:rFonts w:ascii="Arial" w:hAnsi="Arial" w:cs="Arial"/>
          <w:b/>
          <w:bCs/>
          <w:szCs w:val="21"/>
        </w:rPr>
      </w:pPr>
      <w:r>
        <w:rPr>
          <w:rFonts w:ascii="Arial" w:hAnsi="Arial" w:cs="Arial"/>
          <w:b/>
          <w:bCs/>
          <w:szCs w:val="21"/>
        </w:rPr>
        <w:t xml:space="preserve">（3）</w:t>
      </w:r>
      <w:r>
        <w:rPr>
          <w:rFonts w:ascii="Arial" w:hAnsi="Arial" w:cs="Arial"/>
          <w:b/>
          <w:bCs/>
          <w:color w:val="ff0000"/>
          <w:szCs w:val="21"/>
        </w:rPr>
        <w:t xml:space="preserve">专门面向</w:t>
      </w:r>
      <w:r>
        <w:rPr>
          <w:rFonts w:ascii="Arial" w:hAnsi="Arial" w:cs="Arial"/>
          <w:b/>
          <w:bCs/>
          <w:szCs w:val="21"/>
        </w:rPr>
        <w:t xml:space="preserve">中小微型企业采购的项目，供应商如不提供此声明函，则不能通过资格审查；</w:t>
      </w:r>
      <w:r>
        <w:rPr>
          <w:rFonts w:ascii="Arial" w:hAnsi="Arial" w:cs="Arial"/>
          <w:b/>
          <w:bCs/>
          <w:color w:val="ff0000"/>
          <w:szCs w:val="21"/>
        </w:rPr>
        <w:t xml:space="preserve">非专门面向</w:t>
      </w:r>
      <w:r>
        <w:rPr>
          <w:rFonts w:ascii="Arial" w:hAnsi="Arial" w:cs="Arial"/>
          <w:b/>
          <w:bCs/>
          <w:szCs w:val="21"/>
        </w:rPr>
        <w:t xml:space="preserve">中小微型企业采购的项目，供应商如未按上述要求提供声明函的，价格将不做相应扣除。</w:t>
      </w:r>
      <w:r>
        <w:rPr>
          <w:rFonts w:ascii="Arial" w:hAnsi="Arial" w:cs="Arial"/>
          <w:b/>
          <w:bCs/>
          <w:szCs w:val="21"/>
        </w:rPr>
      </w:r>
      <w:r/>
    </w:p>
    <w:p>
      <w:pPr>
        <w:pStyle w:val="1561"/>
        <w:ind w:firstLine="422"/>
        <w:jc w:val="left"/>
        <w:spacing w:line="360" w:lineRule="auto"/>
        <w:tabs>
          <w:tab w:val="left" w:pos="312" w:leader="none"/>
        </w:tabs>
        <w:rPr>
          <w:rFonts w:ascii="Arial" w:hAnsi="Arial" w:cs="Arial"/>
          <w:b/>
          <w:bCs/>
          <w:szCs w:val="21"/>
        </w:rPr>
      </w:pPr>
      <w:r>
        <w:rPr>
          <w:rFonts w:ascii="Arial" w:hAnsi="Arial" w:cs="Arial"/>
          <w:b/>
          <w:bCs/>
          <w:szCs w:val="21"/>
        </w:rPr>
        <w:t xml:space="preserve">（4）中标、成交供应商享受本办法规定的中小企业扶持政策的，</w:t>
      </w:r>
      <w:r>
        <w:rPr>
          <w:rFonts w:ascii="Arial" w:hAnsi="Arial" w:cs="Arial"/>
          <w:b/>
          <w:bCs/>
          <w:color w:val="ff0000"/>
          <w:szCs w:val="21"/>
        </w:rPr>
        <w:t xml:space="preserve">《中小企业声明函》将随中标、成交结果公开，</w:t>
      </w:r>
      <w:r>
        <w:rPr>
          <w:rFonts w:ascii="Arial" w:hAnsi="Arial" w:cs="Arial"/>
          <w:b/>
          <w:bCs/>
          <w:szCs w:val="21"/>
        </w:rPr>
        <w:t xml:space="preserve">中小企业应对其声明内容的真实性负责，</w:t>
      </w:r>
      <w:r>
        <w:rPr>
          <w:rFonts w:ascii="Arial" w:hAnsi="Arial" w:cs="Arial"/>
          <w:b/>
          <w:bCs/>
          <w:color w:val="ff0000"/>
          <w:szCs w:val="21"/>
        </w:rPr>
        <w:t xml:space="preserve">声明函内容不实的，属于提供虚假材料谋取中标、成交，将依照《中华人民共和国政府采购法》等国家有关规定追究相应责任。</w:t>
      </w:r>
      <w:r>
        <w:rPr>
          <w:rFonts w:ascii="Arial" w:hAnsi="Arial" w:cs="Arial"/>
          <w:b/>
          <w:bCs/>
          <w:szCs w:val="21"/>
        </w:rPr>
      </w:r>
      <w:r/>
    </w:p>
    <w:p>
      <w:pPr>
        <w:pStyle w:val="1561"/>
        <w:ind w:left="425"/>
        <w:jc w:val="center"/>
        <w:spacing w:line="360" w:lineRule="auto"/>
        <w:widowControl/>
        <w:rPr>
          <w:b/>
          <w:bCs/>
          <w:sz w:val="24"/>
          <w:szCs w:val="24"/>
        </w:rPr>
      </w:pPr>
      <w:r>
        <w:rPr>
          <w:b/>
          <w:bCs/>
          <w:sz w:val="24"/>
          <w:szCs w:val="24"/>
        </w:rPr>
      </w:r>
      <w:r/>
    </w:p>
    <w:p>
      <w:pPr>
        <w:pStyle w:val="1561"/>
        <w:jc w:val="center"/>
        <w:spacing w:line="360" w:lineRule="auto"/>
        <w:rPr>
          <w:b/>
          <w:bCs/>
          <w:szCs w:val="21"/>
        </w:rPr>
        <w:outlineLvl w:val="2"/>
      </w:pPr>
      <w:r/>
      <w:bookmarkStart w:id="333" w:name="_Toc12269"/>
      <w:r/>
      <w:bookmarkStart w:id="334" w:name="_Toc23711"/>
      <w:r/>
      <w:bookmarkStart w:id="335" w:name="_Toc20658"/>
      <w:r/>
      <w:bookmarkStart w:id="336" w:name="_Toc22161"/>
      <w:r/>
      <w:bookmarkStart w:id="337" w:name="_Toc5150"/>
      <w:r/>
      <w:bookmarkStart w:id="338" w:name="_Toc15594"/>
      <w:r>
        <w:rPr>
          <w:b/>
          <w:bCs/>
          <w:szCs w:val="21"/>
        </w:rPr>
        <w:t xml:space="preserve">（二）残疾人福利性单位声明函</w:t>
      </w:r>
      <w:bookmarkEnd w:id="333"/>
      <w:r/>
      <w:bookmarkEnd w:id="334"/>
      <w:r/>
      <w:bookmarkEnd w:id="335"/>
      <w:r/>
      <w:bookmarkEnd w:id="336"/>
      <w:r/>
      <w:bookmarkEnd w:id="337"/>
      <w:r/>
      <w:bookmarkEnd w:id="338"/>
      <w:r>
        <w:rPr>
          <w:b/>
          <w:bCs/>
          <w:szCs w:val="21"/>
        </w:rPr>
      </w:r>
      <w:r/>
    </w:p>
    <w:p>
      <w:pPr>
        <w:pStyle w:val="1561"/>
        <w:ind w:firstLine="444"/>
        <w:jc w:val="left"/>
        <w:spacing w:line="360" w:lineRule="auto"/>
        <w:tabs>
          <w:tab w:val="left" w:pos="4860" w:leader="none"/>
        </w:tabs>
        <w:rPr>
          <w:spacing w:val="6"/>
          <w:szCs w:val="21"/>
        </w:rPr>
      </w:pPr>
      <w:r>
        <w:rPr>
          <w:spacing w:val="6"/>
          <w:szCs w:val="21"/>
        </w:rPr>
      </w:r>
      <w:r/>
    </w:p>
    <w:p>
      <w:pPr>
        <w:pStyle w:val="1561"/>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561"/>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561"/>
        <w:ind w:firstLine="444"/>
        <w:jc w:val="center"/>
        <w:spacing w:line="360" w:lineRule="auto"/>
        <w:tabs>
          <w:tab w:val="left" w:pos="4860" w:leader="none"/>
        </w:tabs>
        <w:rPr>
          <w:spacing w:val="6"/>
          <w:szCs w:val="21"/>
        </w:rPr>
      </w:pPr>
      <w:r>
        <w:rPr>
          <w:spacing w:val="6"/>
          <w:szCs w:val="21"/>
        </w:rPr>
      </w:r>
      <w:r/>
    </w:p>
    <w:p>
      <w:pPr>
        <w:pStyle w:val="1561"/>
        <w:ind w:firstLine="444"/>
        <w:jc w:val="center"/>
        <w:spacing w:line="360" w:lineRule="auto"/>
        <w:tabs>
          <w:tab w:val="left" w:pos="4860" w:leader="none"/>
        </w:tabs>
        <w:rPr>
          <w:spacing w:val="6"/>
          <w:szCs w:val="21"/>
        </w:rPr>
      </w:pPr>
      <w:r>
        <w:rPr>
          <w:spacing w:val="6"/>
          <w:szCs w:val="21"/>
        </w:rPr>
      </w:r>
      <w:r/>
    </w:p>
    <w:p>
      <w:pPr>
        <w:pStyle w:val="1561"/>
        <w:ind w:firstLine="444"/>
        <w:jc w:val="center"/>
        <w:spacing w:line="360" w:lineRule="auto"/>
        <w:tabs>
          <w:tab w:val="left" w:pos="4860" w:leader="none"/>
        </w:tabs>
        <w:rPr>
          <w:spacing w:val="6"/>
          <w:szCs w:val="21"/>
        </w:rPr>
      </w:pPr>
      <w:r>
        <w:rPr>
          <w:spacing w:val="6"/>
          <w:szCs w:val="21"/>
        </w:rPr>
      </w:r>
      <w:r/>
    </w:p>
    <w:p>
      <w:pPr>
        <w:pStyle w:val="1561"/>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561"/>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pgNumType w:start="1"/>
          <w:cols w:num="1" w:sep="0" w:space="1701" w:equalWidth="1"/>
          <w:docGrid w:linePitch="360"/>
          <w:titlePg/>
        </w:sectPr>
      </w:pPr>
      <w:r>
        <w:rPr>
          <w:spacing w:val="6"/>
          <w:szCs w:val="21"/>
        </w:rPr>
        <w:t xml:space="preserve">日 期：    </w:t>
      </w:r>
      <w:r>
        <w:rPr>
          <w:spacing w:val="6"/>
          <w:szCs w:val="21"/>
        </w:rPr>
      </w:r>
      <w:r/>
    </w:p>
    <w:p>
      <w:pPr>
        <w:pStyle w:val="1561"/>
        <w:jc w:val="center"/>
        <w:spacing w:line="360" w:lineRule="auto"/>
        <w:rPr>
          <w:rFonts w:ascii="Times New Roman" w:hAnsi="Times New Roman" w:cs="Times New Roman"/>
          <w:b/>
          <w:bCs/>
          <w:color w:val="000000"/>
          <w:szCs w:val="21"/>
        </w:rPr>
        <w:outlineLvl w:val="2"/>
      </w:pPr>
      <w:r/>
      <w:bookmarkStart w:id="339" w:name="_Toc16464"/>
      <w:r/>
      <w:bookmarkStart w:id="340" w:name="_Toc18965"/>
      <w:r/>
      <w:bookmarkStart w:id="341" w:name="_Toc27688"/>
      <w:r/>
      <w:bookmarkStart w:id="342" w:name="_Toc11114"/>
      <w:r/>
      <w:bookmarkStart w:id="343" w:name="_Toc24515"/>
      <w:r>
        <w:rPr>
          <w:rFonts w:ascii="Times New Roman" w:hAnsi="Times New Roman" w:cs="Times New Roman"/>
          <w:b/>
          <w:bCs/>
          <w:color w:val="000000"/>
          <w:szCs w:val="21"/>
        </w:rPr>
        <w:t xml:space="preserve">（三）采购本国产品的支持政策</w:t>
      </w:r>
      <w:bookmarkEnd w:id="339"/>
      <w:r/>
      <w:bookmarkEnd w:id="340"/>
      <w:r/>
      <w:bookmarkEnd w:id="341"/>
      <w:r/>
      <w:bookmarkEnd w:id="342"/>
      <w:r/>
      <w:bookmarkEnd w:id="343"/>
      <w:r>
        <w:rPr>
          <w:rFonts w:ascii="Times New Roman" w:hAnsi="Times New Roman" w:cs="Times New Roman"/>
          <w:b/>
          <w:bCs/>
          <w:color w:val="000000"/>
          <w:szCs w:val="21"/>
        </w:rPr>
      </w:r>
      <w:r/>
    </w:p>
    <w:p>
      <w:pPr>
        <w:pStyle w:val="1561"/>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561"/>
        <w:jc w:val="center"/>
        <w:keepLines/>
        <w:keepNext/>
        <w:spacing w:line="360" w:lineRule="auto"/>
        <w:rPr>
          <w:rFonts w:ascii="Times New Roman" w:hAnsi="Times New Roman" w:cs="Times New Roman"/>
          <w:b/>
          <w:sz w:val="24"/>
        </w:rPr>
        <w:outlineLvl w:val="9"/>
      </w:pPr>
      <w:r/>
      <w:bookmarkStart w:id="344" w:name="_Toc24678"/>
      <w:r/>
      <w:bookmarkStart w:id="345" w:name="_Toc3682"/>
      <w:r/>
      <w:bookmarkStart w:id="346" w:name="_Toc14535"/>
      <w:r/>
      <w:bookmarkStart w:id="347" w:name="_Toc30239"/>
      <w:r>
        <w:rPr>
          <w:rFonts w:ascii="Times New Roman" w:hAnsi="Times New Roman" w:cs="Times New Roman"/>
          <w:b/>
          <w:sz w:val="24"/>
        </w:rPr>
        <w:t xml:space="preserve">关于符合本国产品标准的声明函</w:t>
      </w:r>
      <w:bookmarkEnd w:id="344"/>
      <w:r/>
      <w:bookmarkEnd w:id="345"/>
      <w:r>
        <w:rPr>
          <w:rFonts w:ascii="Times New Roman" w:hAnsi="Times New Roman" w:cs="Times New Roman"/>
          <w:b/>
          <w:bCs/>
          <w:color w:val="ff0000"/>
          <w:sz w:val="22"/>
          <w:szCs w:val="22"/>
          <w:shd w:val="clear" w:color="auto" w:fill="ffffff"/>
        </w:rPr>
        <w:t xml:space="preserve">（依据所投</w:t>
      </w:r>
      <w:r>
        <w:rPr>
          <w:rFonts w:hint="eastAsia" w:ascii="Times New Roman" w:hAnsi="Times New Roman" w:cs="Times New Roman"/>
          <w:b/>
          <w:bCs/>
          <w:color w:val="ff0000"/>
          <w:sz w:val="22"/>
          <w:szCs w:val="22"/>
          <w:shd w:val="clear" w:color="auto" w:fill="ffffff"/>
          <w:lang w:val="en-US" w:eastAsia="zh-CN"/>
        </w:rPr>
        <w:t xml:space="preserve">项目</w:t>
      </w:r>
      <w:r>
        <w:rPr>
          <w:rFonts w:ascii="Times New Roman" w:hAnsi="Times New Roman" w:cs="Times New Roman"/>
          <w:b/>
          <w:bCs/>
          <w:color w:val="ff0000"/>
          <w:sz w:val="22"/>
          <w:szCs w:val="22"/>
          <w:shd w:val="clear" w:color="auto" w:fill="ffffff"/>
        </w:rPr>
        <w:t xml:space="preserve">情况选择）</w:t>
      </w:r>
      <w:bookmarkEnd w:id="346"/>
      <w:r/>
      <w:bookmarkEnd w:id="347"/>
      <w:r>
        <w:rPr>
          <w:rFonts w:ascii="Times New Roman" w:hAnsi="Times New Roman" w:cs="Times New Roman"/>
          <w:b/>
          <w:sz w:val="24"/>
        </w:rPr>
      </w:r>
      <w:r/>
    </w:p>
    <w:p>
      <w:pPr>
        <w:pStyle w:val="1561"/>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561"/>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635"/>
          <w:rFonts w:ascii="Times New Roman" w:hAnsi="Times New Roman" w:cs="Times New Roman"/>
          <w:i w:val="0"/>
          <w:szCs w:val="21"/>
          <w:u w:val="single"/>
          <w:shd w:val="clear" w:color="auto" w:fill="ffffff"/>
        </w:rPr>
        <w:t xml:space="preserve">（    ）</w:t>
      </w:r>
      <w:r>
        <w:rPr>
          <w:rStyle w:val="1635"/>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635"/>
          <w:rFonts w:ascii="Times New Roman" w:hAnsi="Times New Roman" w:cs="Times New Roman"/>
          <w:i w:val="0"/>
          <w:szCs w:val="21"/>
          <w:u w:val="single"/>
          <w:shd w:val="clear" w:color="auto" w:fill="ffffff"/>
        </w:rPr>
        <w:t xml:space="preserve">（厂名）</w:t>
      </w:r>
      <w:r>
        <w:rPr>
          <w:rStyle w:val="1635"/>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635"/>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635"/>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635"/>
          <w:rFonts w:ascii="Times New Roman" w:hAnsi="Times New Roman" w:cs="Times New Roman"/>
          <w:i w:val="0"/>
          <w:szCs w:val="21"/>
          <w:u w:val="single"/>
          <w:shd w:val="clear" w:color="auto" w:fill="ffffff"/>
        </w:rPr>
        <w:t xml:space="preserve">（规定比例）</w:t>
      </w:r>
      <w:r>
        <w:rPr>
          <w:rStyle w:val="1635"/>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635"/>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35"/>
          <w:rFonts w:ascii="Times New Roman" w:hAnsi="Times New Roman" w:cs="Times New Roman"/>
          <w:i w:val="0"/>
          <w:szCs w:val="21"/>
          <w:u w:val="single"/>
          <w:shd w:val="clear" w:color="auto" w:fill="ffffff"/>
        </w:rPr>
        <w:t xml:space="preserve">（关键组件）</w:t>
      </w:r>
      <w:r>
        <w:rPr>
          <w:rStyle w:val="1635"/>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635"/>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35"/>
          <w:rFonts w:ascii="Times New Roman" w:hAnsi="Times New Roman" w:cs="Times New Roman"/>
          <w:i w:val="0"/>
          <w:szCs w:val="21"/>
          <w:u w:val="single"/>
          <w:shd w:val="clear" w:color="auto" w:fill="ffffff"/>
        </w:rPr>
        <w:t xml:space="preserve">（关键工序）</w:t>
      </w:r>
      <w:r>
        <w:rPr>
          <w:rStyle w:val="1635"/>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61"/>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635"/>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635"/>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635"/>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635"/>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635"/>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635"/>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635"/>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635"/>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35"/>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61"/>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561"/>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561"/>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561"/>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561"/>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561"/>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561"/>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561"/>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561"/>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561"/>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561"/>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561"/>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561"/>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561"/>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572"/>
      </w:pPr>
      <w:r/>
      <w:r/>
    </w:p>
    <w:p>
      <w:pPr>
        <w:pStyle w:val="1561"/>
        <w:ind w:firstLine="444"/>
        <w:jc w:val="righ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spacing w:val="6"/>
          <w:szCs w:val="21"/>
        </w:rPr>
      </w:r>
      <w:r/>
    </w:p>
    <w:p>
      <w:pPr>
        <w:pStyle w:val="1561"/>
        <w:spacing w:after="156" w:line="440" w:lineRule="exact"/>
        <w:rPr>
          <w:b/>
          <w:bCs/>
          <w:sz w:val="24"/>
          <w:szCs w:val="22"/>
          <w:lang w:val="zh-CN"/>
        </w:rPr>
        <w:outlineLvl w:val="1"/>
      </w:pPr>
      <w:r/>
      <w:bookmarkStart w:id="348" w:name="_Toc13916"/>
      <w:r/>
      <w:bookmarkStart w:id="349" w:name="_Toc1415"/>
      <w:r/>
      <w:bookmarkStart w:id="350" w:name="_Toc20221"/>
      <w:r/>
      <w:bookmarkStart w:id="351" w:name="_Toc509"/>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348"/>
      <w:r/>
      <w:bookmarkEnd w:id="349"/>
      <w:r/>
      <w:bookmarkEnd w:id="350"/>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61"/>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561"/>
              <w:spacing w:line="312" w:lineRule="atLeast"/>
              <w:rPr>
                <w:b/>
                <w:bCs/>
                <w:szCs w:val="21"/>
              </w:rPr>
            </w:pPr>
            <w:r>
              <w:rPr>
                <w:b/>
                <w:bCs/>
                <w:szCs w:val="21"/>
              </w:rPr>
            </w:r>
            <w:r/>
          </w:p>
        </w:tc>
      </w:tr>
      <w:tr>
        <w:trPr>
          <w:trHeight w:val="986"/>
        </w:trPr>
        <w:tc>
          <w:tcPr>
            <w:tcW w:w="1809" w:type="dxa"/>
            <w:vAlign w:val="center"/>
            <w:textDirection w:val="lrTb"/>
            <w:noWrap w:val="false"/>
          </w:tcPr>
          <w:p>
            <w:pPr>
              <w:pStyle w:val="1561"/>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561"/>
              <w:spacing w:line="312" w:lineRule="atLeast"/>
              <w:rPr>
                <w:b/>
                <w:bCs/>
                <w:szCs w:val="21"/>
              </w:rPr>
            </w:pPr>
            <w:r>
              <w:rPr>
                <w:b/>
                <w:bCs/>
                <w:szCs w:val="21"/>
              </w:rPr>
            </w:r>
            <w:r/>
          </w:p>
        </w:tc>
      </w:tr>
      <w:tr>
        <w:trPr>
          <w:trHeight w:val="1114"/>
        </w:trPr>
        <w:tc>
          <w:tcPr>
            <w:tcW w:w="1809" w:type="dxa"/>
            <w:vAlign w:val="center"/>
            <w:textDirection w:val="lrTb"/>
            <w:noWrap w:val="false"/>
          </w:tcPr>
          <w:p>
            <w:pPr>
              <w:pStyle w:val="1561"/>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561"/>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561"/>
              <w:jc w:val="center"/>
              <w:rPr>
                <w:b/>
                <w:bCs/>
                <w:lang w:val="zh-CN"/>
              </w:rPr>
            </w:pPr>
            <w:r>
              <w:rPr>
                <w:b/>
                <w:bCs/>
                <w:lang w:val="zh-CN"/>
              </w:rPr>
              <w:t xml:space="preserve">供应商所在区域</w:t>
            </w:r>
            <w:r>
              <w:rPr>
                <w:b/>
                <w:bCs/>
                <w:lang w:val="zh-CN"/>
              </w:rPr>
            </w:r>
            <w:r/>
          </w:p>
          <w:p>
            <w:pPr>
              <w:pStyle w:val="1561"/>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561"/>
              <w:spacing w:line="312" w:lineRule="atLeast"/>
              <w:rPr>
                <w:b/>
                <w:bCs/>
                <w:szCs w:val="21"/>
              </w:rPr>
            </w:pPr>
            <w:r>
              <w:rPr>
                <w:b/>
                <w:bCs/>
                <w:szCs w:val="21"/>
              </w:rPr>
            </w:r>
            <w:r/>
          </w:p>
        </w:tc>
      </w:tr>
      <w:tr>
        <w:trPr>
          <w:trHeight w:val="835"/>
        </w:trPr>
        <w:tc>
          <w:tcPr>
            <w:tcW w:w="1809" w:type="dxa"/>
            <w:vAlign w:val="center"/>
            <w:textDirection w:val="lrTb"/>
            <w:noWrap w:val="false"/>
          </w:tcPr>
          <w:p>
            <w:pPr>
              <w:pStyle w:val="1561"/>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561"/>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561"/>
        <w:rPr>
          <w:lang w:val="zh-CN"/>
        </w:rPr>
      </w:pPr>
      <w:r>
        <w:rPr>
          <w:lang w:val="zh-CN"/>
        </w:rPr>
        <w:t xml:space="preserve">注：</w:t>
      </w:r>
      <w:r>
        <w:rPr>
          <w:lang w:val="zh-CN"/>
        </w:rPr>
      </w:r>
      <w:r/>
    </w:p>
    <w:p>
      <w:pPr>
        <w:pStyle w:val="1561"/>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561"/>
        <w:ind w:firstLine="218"/>
        <w:spacing w:line="360" w:lineRule="auto"/>
      </w:pPr>
      <w:r>
        <w:t xml:space="preserve">2、供应商所在区域：指供应商注册地所在地区，具体细化到省份；</w:t>
      </w:r>
      <w:r/>
    </w:p>
    <w:p>
      <w:pPr>
        <w:pStyle w:val="1561"/>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561"/>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bookmarkStart w:id="352" w:name="_Toc15999"/>
      <w:r/>
      <w:bookmarkStart w:id="353" w:name="_Toc22359"/>
      <w:r>
        <w:rPr>
          <w:b/>
          <w:bCs/>
          <w:color w:val="000000"/>
          <w:sz w:val="24"/>
          <w:szCs w:val="22"/>
          <w:lang w:val="zh-CN"/>
        </w:rPr>
      </w:r>
      <w:r/>
    </w:p>
    <w:p>
      <w:pPr>
        <w:pStyle w:val="1561"/>
        <w:spacing w:after="156" w:line="440" w:lineRule="exact"/>
        <w:rPr>
          <w:b/>
          <w:bCs/>
          <w:color w:val="000000"/>
          <w:sz w:val="24"/>
          <w:szCs w:val="22"/>
        </w:rPr>
        <w:outlineLvl w:val="1"/>
      </w:pPr>
      <w:r/>
      <w:bookmarkEnd w:id="352"/>
      <w:r/>
      <w:bookmarkEnd w:id="353"/>
      <w:r/>
      <w:bookmarkStart w:id="354" w:name="_Toc7079"/>
      <w:r/>
      <w:bookmarkStart w:id="355" w:name="_Toc23665"/>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354"/>
      <w:r/>
      <w:bookmarkEnd w:id="355"/>
      <w:r>
        <w:rPr>
          <w:b/>
          <w:bCs/>
          <w:color w:val="000000"/>
          <w:sz w:val="24"/>
          <w:szCs w:val="22"/>
        </w:rPr>
      </w:r>
      <w:r/>
    </w:p>
    <w:p>
      <w:pPr>
        <w:pStyle w:val="1561"/>
        <w:ind w:firstLine="422"/>
        <w:jc w:val="center"/>
        <w:spacing w:line="360" w:lineRule="auto"/>
        <w:rPr>
          <w:b/>
          <w:bCs/>
          <w:szCs w:val="21"/>
        </w:rPr>
      </w:pPr>
      <w:r>
        <w:rPr>
          <w:b/>
          <w:bCs/>
          <w:szCs w:val="21"/>
        </w:rPr>
        <w:t xml:space="preserve">中小企业划型标准规定</w:t>
      </w:r>
      <w:r>
        <w:rPr>
          <w:b/>
          <w:bCs/>
          <w:szCs w:val="21"/>
        </w:rPr>
      </w:r>
      <w:r/>
    </w:p>
    <w:p>
      <w:pPr>
        <w:pStyle w:val="1561"/>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561"/>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561"/>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561"/>
        <w:ind w:firstLine="420"/>
        <w:jc w:val="left"/>
        <w:spacing w:line="360" w:lineRule="auto"/>
        <w:rPr>
          <w:szCs w:val="21"/>
        </w:rPr>
      </w:pPr>
      <w:r>
        <w:rPr>
          <w:szCs w:val="21"/>
        </w:rPr>
        <w:t xml:space="preserve">四、各行业划型标准为：</w:t>
      </w:r>
      <w:r>
        <w:rPr>
          <w:szCs w:val="21"/>
        </w:rPr>
      </w:r>
      <w:r/>
    </w:p>
    <w:p>
      <w:pPr>
        <w:pStyle w:val="1561"/>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561"/>
        <w:ind w:firstLine="420"/>
        <w:jc w:val="left"/>
        <w:spacing w:line="360" w:lineRule="auto"/>
        <w:rPr>
          <w:b w:val="0"/>
          <w:bCs w:val="0"/>
          <w:szCs w:val="21"/>
        </w:rPr>
      </w:pPr>
      <w:r>
        <w:rPr>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val="0"/>
          <w:bCs w:val="0"/>
          <w:szCs w:val="21"/>
        </w:rPr>
      </w:r>
      <w:r/>
    </w:p>
    <w:p>
      <w:pPr>
        <w:pStyle w:val="1561"/>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561"/>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561"/>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561"/>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561"/>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561"/>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561"/>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561"/>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561"/>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561"/>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561"/>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561"/>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561"/>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561"/>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561"/>
        <w:ind w:firstLine="420"/>
        <w:jc w:val="left"/>
        <w:spacing w:line="360" w:lineRule="auto"/>
        <w:rPr>
          <w:szCs w:val="21"/>
        </w:rPr>
      </w:pPr>
      <w:r>
        <w:rPr>
          <w:szCs w:val="21"/>
        </w:rPr>
        <w:t xml:space="preserve">五、企业类型的划分以统计部门的统计数据为依据。</w:t>
      </w:r>
      <w:r>
        <w:rPr>
          <w:szCs w:val="21"/>
        </w:rPr>
      </w:r>
      <w:r/>
    </w:p>
    <w:p>
      <w:pPr>
        <w:pStyle w:val="1561"/>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561"/>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561"/>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561"/>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561"/>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561"/>
        <w:spacing w:after="156" w:line="440" w:lineRule="exact"/>
        <w:rPr>
          <w:b/>
        </w:rPr>
        <w:outlineLvl w:val="1"/>
      </w:pPr>
      <w:r>
        <w:rPr>
          <w:b/>
          <w:bCs/>
          <w:sz w:val="24"/>
          <w:szCs w:val="22"/>
          <w:lang w:val="zh-CN"/>
        </w:rPr>
        <w:br w:type="page" w:clear="all"/>
      </w:r>
      <w:bookmarkEnd w:id="351"/>
      <w:r/>
      <w:bookmarkStart w:id="356" w:name="_Toc3450"/>
      <w:r/>
      <w:bookmarkStart w:id="357" w:name="_Toc17421"/>
      <w:r/>
      <w:bookmarkStart w:id="358" w:name="_Toc10214"/>
      <w:r/>
      <w:bookmarkStart w:id="359" w:name="_Toc100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356"/>
      <w:r/>
      <w:bookmarkEnd w:id="357"/>
      <w:r/>
      <w:bookmarkEnd w:id="358"/>
      <w:r/>
      <w:bookmarkEnd w:id="359"/>
      <w:r>
        <w:rPr>
          <w:b/>
        </w:rPr>
      </w:r>
      <w:r/>
    </w:p>
    <w:p>
      <w:pPr>
        <w:pStyle w:val="1561"/>
        <w:jc w:val="left"/>
        <w:spacing w:line="360" w:lineRule="auto"/>
        <w:rPr>
          <w:b/>
          <w:bCs/>
          <w:szCs w:val="21"/>
          <w:lang w:val="zh-CN"/>
        </w:rPr>
        <w:outlineLvl w:val="2"/>
      </w:pPr>
      <w:r/>
      <w:bookmarkStart w:id="360" w:name="_Toc27229"/>
      <w:r/>
      <w:bookmarkStart w:id="361" w:name="_Toc28163"/>
      <w:r/>
      <w:bookmarkStart w:id="362" w:name="_Toc922"/>
      <w:r/>
      <w:bookmarkStart w:id="363" w:name="_Toc16886"/>
      <w:r>
        <w:rPr>
          <w:b/>
          <w:bCs/>
          <w:szCs w:val="21"/>
          <w:lang w:val="zh-CN"/>
        </w:rPr>
        <w:t xml:space="preserve">1、法人或其他组织的营业执照等证明文件（复印件加盖公章）</w:t>
      </w:r>
      <w:bookmarkEnd w:id="360"/>
      <w:r/>
      <w:bookmarkEnd w:id="361"/>
      <w:r/>
      <w:bookmarkEnd w:id="362"/>
      <w:r/>
      <w:bookmarkEnd w:id="363"/>
      <w:r>
        <w:rPr>
          <w:b/>
          <w:bCs/>
          <w:szCs w:val="21"/>
          <w:lang w:val="zh-CN"/>
        </w:rPr>
      </w:r>
      <w:r/>
    </w:p>
    <w:p>
      <w:pPr>
        <w:pStyle w:val="1561"/>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szCs w:val="21"/>
        </w:rPr>
      </w:r>
      <w:r/>
    </w:p>
    <w:p>
      <w:pPr>
        <w:pStyle w:val="1561"/>
        <w:spacing w:line="440" w:lineRule="exact"/>
        <w:rPr>
          <w:szCs w:val="21"/>
        </w:rPr>
      </w:pPr>
      <w:r>
        <w:rPr>
          <w:szCs w:val="21"/>
        </w:rPr>
        <w:t xml:space="preserve">日期：</w:t>
      </w:r>
      <w:r>
        <w:rPr>
          <w:szCs w:val="21"/>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jc w:val="left"/>
        <w:spacing w:line="360" w:lineRule="auto"/>
        <w:rPr>
          <w:b/>
          <w:bCs/>
          <w:szCs w:val="21"/>
          <w:lang w:val="zh-CN"/>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2"/>
      </w:pPr>
      <w:r>
        <w:rPr>
          <w:b/>
          <w:bCs/>
          <w:szCs w:val="21"/>
          <w:lang w:val="zh-CN"/>
        </w:rPr>
      </w:r>
      <w:r/>
    </w:p>
    <w:p>
      <w:pPr>
        <w:pStyle w:val="1561"/>
        <w:jc w:val="left"/>
        <w:spacing w:line="360" w:lineRule="auto"/>
        <w:rPr>
          <w:b/>
          <w:bCs/>
          <w:szCs w:val="21"/>
          <w:lang w:val="zh-CN"/>
        </w:rPr>
        <w:outlineLvl w:val="2"/>
      </w:pPr>
      <w:r/>
      <w:bookmarkStart w:id="364" w:name="_Toc31899"/>
      <w:r/>
      <w:bookmarkStart w:id="365" w:name="_Toc24024"/>
      <w:r/>
      <w:bookmarkStart w:id="366" w:name="_Toc3569"/>
      <w:r/>
      <w:bookmarkStart w:id="367" w:name="_Toc4275"/>
      <w:r>
        <w:rPr>
          <w:b/>
          <w:bCs/>
          <w:szCs w:val="21"/>
          <w:lang w:val="zh-CN"/>
        </w:rPr>
        <w:t xml:space="preserve">2、法人代表授权书</w:t>
      </w:r>
      <w:bookmarkEnd w:id="364"/>
      <w:r/>
      <w:bookmarkEnd w:id="365"/>
      <w:r/>
      <w:bookmarkEnd w:id="366"/>
      <w:r/>
      <w:bookmarkEnd w:id="367"/>
      <w:r>
        <w:rPr>
          <w:b/>
          <w:bCs/>
          <w:szCs w:val="21"/>
          <w:lang w:val="zh-CN"/>
        </w:rPr>
      </w:r>
      <w:r/>
    </w:p>
    <w:p>
      <w:pPr>
        <w:pStyle w:val="1561"/>
        <w:spacing w:line="360" w:lineRule="auto"/>
        <w:rPr>
          <w:b/>
        </w:rPr>
      </w:pPr>
      <w:r>
        <w:rPr>
          <w:b/>
        </w:rPr>
        <w:t xml:space="preserve">致江苏苏美达仪器设备有限公司：</w:t>
      </w:r>
      <w:r>
        <w:rPr>
          <w:b/>
        </w:rPr>
      </w:r>
      <w:r/>
    </w:p>
    <w:p>
      <w:pPr>
        <w:pStyle w:val="1561"/>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561"/>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561"/>
        <w:spacing w:line="360" w:lineRule="auto"/>
        <w:rPr>
          <w:szCs w:val="21"/>
        </w:rPr>
      </w:pPr>
      <w:r>
        <w:rPr>
          <w:szCs w:val="21"/>
        </w:rPr>
      </w:r>
      <w:r/>
    </w:p>
    <w:p>
      <w:pPr>
        <w:pStyle w:val="1561"/>
        <w:spacing w:line="360" w:lineRule="auto"/>
        <w:rPr>
          <w:szCs w:val="21"/>
        </w:rPr>
      </w:pPr>
      <w:r>
        <w:rPr>
          <w:szCs w:val="21"/>
        </w:rPr>
        <w:t xml:space="preserve">法定代表人（签字或盖章）： </w:t>
      </w:r>
      <w:r>
        <w:rPr>
          <w:szCs w:val="21"/>
        </w:rPr>
      </w:r>
      <w:r/>
    </w:p>
    <w:p>
      <w:pPr>
        <w:pStyle w:val="1561"/>
        <w:spacing w:line="360" w:lineRule="auto"/>
        <w:rPr>
          <w:szCs w:val="21"/>
        </w:rPr>
      </w:pPr>
      <w:r>
        <w:rPr>
          <w:szCs w:val="21"/>
        </w:rPr>
        <w:t xml:space="preserve">授权代表（签字）： </w:t>
      </w:r>
      <w:r>
        <w:rPr>
          <w:szCs w:val="21"/>
        </w:rPr>
      </w:r>
      <w:r/>
    </w:p>
    <w:p>
      <w:pPr>
        <w:pStyle w:val="1561"/>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561"/>
        <w:spacing w:line="440" w:lineRule="exact"/>
        <w:rPr>
          <w:szCs w:val="21"/>
        </w:rPr>
      </w:pPr>
      <w:r>
        <w:rPr>
          <w:szCs w:val="21"/>
        </w:rPr>
        <w:t xml:space="preserve">日期：</w:t>
      </w:r>
      <w:r>
        <w:rPr>
          <w:szCs w:val="21"/>
        </w:rPr>
      </w:r>
      <w:r/>
    </w:p>
    <w:p>
      <w:pPr>
        <w:pStyle w:val="1561"/>
        <w:spacing w:line="360" w:lineRule="auto"/>
        <w:rPr>
          <w:b/>
          <w:szCs w:val="21"/>
        </w:rPr>
      </w:pPr>
      <w:r>
        <w:rPr>
          <w:color w:val="000000"/>
          <w:sz w:val="23"/>
        </w:rPr>
        <w:t xml:space="preserve"> </w:t>
      </w:r>
      <w:r>
        <w:rPr>
          <w:b/>
          <w:szCs w:val="21"/>
        </w:rPr>
      </w:r>
      <w:r/>
    </w:p>
    <w:p>
      <w:pPr>
        <w:pStyle w:val="1561"/>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61"/>
              <w:spacing w:line="440" w:lineRule="exact"/>
              <w:rPr>
                <w:b/>
              </w:rPr>
            </w:pPr>
            <w:r>
              <w:rPr>
                <w:b/>
              </w:rPr>
            </w:r>
            <w:r/>
          </w:p>
        </w:tc>
      </w:tr>
    </w:tbl>
    <w:p>
      <w:pPr>
        <w:pStyle w:val="1561"/>
        <w:spacing w:line="440" w:lineRule="exact"/>
        <w:rPr>
          <w:b/>
        </w:rPr>
      </w:pPr>
      <w:r>
        <w:rPr>
          <w:b/>
        </w:rPr>
      </w:r>
      <w:r/>
    </w:p>
    <w:p>
      <w:pPr>
        <w:pStyle w:val="1561"/>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color w:val="0000ff"/>
          <w:szCs w:val="21"/>
        </w:rPr>
      </w:r>
      <w:r/>
    </w:p>
    <w:p>
      <w:pPr>
        <w:pStyle w:val="1561"/>
        <w:ind w:right="-5"/>
        <w:spacing w:line="360" w:lineRule="auto"/>
        <w:rPr>
          <w:b/>
          <w:bCs/>
          <w:szCs w:val="21"/>
          <w:lang w:val="zh-CN"/>
        </w:rPr>
        <w:outlineLvl w:val="2"/>
      </w:pPr>
      <w:r/>
      <w:bookmarkStart w:id="368" w:name="_Toc8830"/>
      <w:r/>
      <w:bookmarkStart w:id="369" w:name="_Toc24273"/>
      <w:r/>
      <w:bookmarkStart w:id="370" w:name="_Toc5456"/>
      <w:r/>
      <w:bookmarkStart w:id="371" w:name="_Toc14715"/>
      <w:r>
        <w:rPr>
          <w:b/>
          <w:bCs/>
          <w:szCs w:val="21"/>
        </w:rPr>
        <w:t xml:space="preserve">3</w:t>
      </w:r>
      <w:r>
        <w:rPr>
          <w:b/>
          <w:bCs/>
          <w:szCs w:val="21"/>
          <w:lang w:val="zh-CN"/>
        </w:rPr>
        <w:t xml:space="preserve">、具有良好的商业信誉和健全的财务会计制度</w:t>
      </w:r>
      <w:bookmarkEnd w:id="368"/>
      <w:r/>
      <w:bookmarkEnd w:id="369"/>
      <w:r/>
      <w:bookmarkEnd w:id="370"/>
      <w:r/>
      <w:bookmarkEnd w:id="371"/>
      <w:r>
        <w:rPr>
          <w:b/>
          <w:bCs/>
          <w:szCs w:val="21"/>
          <w:lang w:val="zh-CN"/>
        </w:rPr>
      </w:r>
      <w:r/>
    </w:p>
    <w:p>
      <w:pPr>
        <w:pStyle w:val="1561"/>
        <w:ind w:left="-2" w:right="-5"/>
        <w:spacing w:line="440" w:lineRule="exact"/>
        <w:rPr>
          <w:sz w:val="24"/>
        </w:rPr>
      </w:pPr>
      <w:r>
        <w:rPr>
          <w:sz w:val="24"/>
        </w:rPr>
      </w:r>
      <w:r/>
    </w:p>
    <w:p>
      <w:pPr>
        <w:pStyle w:val="1561"/>
        <w:ind w:left="-2" w:right="-5"/>
        <w:spacing w:line="440" w:lineRule="exact"/>
        <w:rPr>
          <w:sz w:val="24"/>
        </w:rPr>
      </w:pPr>
      <w:r>
        <w:rPr>
          <w:szCs w:val="21"/>
        </w:rPr>
        <w:t xml:space="preserve">提供</w:t>
      </w:r>
      <w:r>
        <w:t xml:space="preserve">距开标时间六个月内任意一</w:t>
      </w:r>
      <w:r>
        <w:rPr>
          <w:rFonts w:hint="eastAsia"/>
          <w:lang w:val="en-US" w:eastAsia="zh-CN"/>
        </w:rPr>
        <w:t xml:space="preserve">个</w:t>
      </w:r>
      <w:r>
        <w:t xml:space="preserve">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 w:val="24"/>
        </w:rPr>
      </w:r>
      <w:r/>
    </w:p>
    <w:p>
      <w:pPr>
        <w:pStyle w:val="1561"/>
        <w:ind w:left="-2" w:right="-5"/>
        <w:spacing w:line="440" w:lineRule="exact"/>
        <w:rPr>
          <w:sz w:val="24"/>
        </w:rPr>
      </w:pPr>
      <w:r>
        <w:rPr>
          <w:sz w:val="24"/>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szCs w:val="21"/>
        </w:rPr>
      </w:r>
      <w:r/>
    </w:p>
    <w:p>
      <w:pPr>
        <w:pStyle w:val="1561"/>
        <w:spacing w:line="440" w:lineRule="exact"/>
        <w:rPr>
          <w:szCs w:val="21"/>
        </w:rPr>
      </w:pPr>
      <w:r>
        <w:rPr>
          <w:szCs w:val="21"/>
        </w:rPr>
        <w:t xml:space="preserve">日期：</w:t>
      </w:r>
      <w:r>
        <w:rPr>
          <w:szCs w:val="21"/>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Cs w:val="21"/>
        </w:rPr>
      </w:pPr>
      <w:r>
        <w:rPr>
          <w:szCs w:val="21"/>
        </w:rPr>
        <w:t xml:space="preserve">说明： </w:t>
      </w:r>
      <w:r>
        <w:rPr>
          <w:szCs w:val="21"/>
        </w:rPr>
      </w:r>
      <w:r/>
    </w:p>
    <w:p>
      <w:pPr>
        <w:pStyle w:val="1561"/>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561"/>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561"/>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561"/>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right="-5"/>
        <w:spacing w:line="440" w:lineRule="exact"/>
        <w:rPr>
          <w:sz w:val="24"/>
        </w:rPr>
      </w:pPr>
      <w:r>
        <w:rPr>
          <w:sz w:val="24"/>
        </w:rPr>
      </w:r>
      <w:r/>
    </w:p>
    <w:p>
      <w:pPr>
        <w:pStyle w:val="1561"/>
        <w:jc w:val="left"/>
        <w:spacing w:line="440" w:lineRule="exact"/>
        <w:rPr>
          <w:sz w:val="24"/>
          <w:szCs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sz w:val="24"/>
          <w:szCs w:val="24"/>
        </w:rPr>
      </w:r>
      <w:r/>
    </w:p>
    <w:p>
      <w:pPr>
        <w:pStyle w:val="1561"/>
        <w:jc w:val="left"/>
        <w:spacing w:line="360" w:lineRule="auto"/>
        <w:rPr>
          <w:b/>
          <w:bCs/>
          <w:szCs w:val="21"/>
          <w:lang w:val="zh-CN"/>
        </w:rPr>
        <w:outlineLvl w:val="2"/>
      </w:pPr>
      <w:r/>
      <w:bookmarkStart w:id="372" w:name="_Toc26222"/>
      <w:r/>
      <w:bookmarkStart w:id="373" w:name="_Toc5780"/>
      <w:r/>
      <w:bookmarkStart w:id="374" w:name="_Toc15262"/>
      <w:r/>
      <w:bookmarkStart w:id="375" w:name="_Toc31964"/>
      <w:r>
        <w:rPr>
          <w:b/>
          <w:bCs/>
          <w:szCs w:val="21"/>
        </w:rPr>
        <w:t xml:space="preserve">4、</w:t>
      </w:r>
      <w:r>
        <w:rPr>
          <w:b/>
          <w:bCs/>
          <w:szCs w:val="21"/>
          <w:lang w:val="zh-CN"/>
        </w:rPr>
        <w:t xml:space="preserve">具有履行合同所必需的设备和专业技术能力</w:t>
      </w:r>
      <w:bookmarkEnd w:id="372"/>
      <w:r/>
      <w:bookmarkEnd w:id="373"/>
      <w:r/>
      <w:bookmarkEnd w:id="374"/>
      <w:r/>
      <w:bookmarkEnd w:id="375"/>
      <w:r>
        <w:rPr>
          <w:b/>
          <w:bCs/>
          <w:szCs w:val="21"/>
          <w:lang w:val="zh-CN"/>
        </w:rPr>
      </w:r>
      <w:r/>
    </w:p>
    <w:p>
      <w:pPr>
        <w:pStyle w:val="1561"/>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630"/>
        <w:ind w:firstLine="280"/>
      </w:pPr>
      <w:r/>
      <w:r/>
    </w:p>
    <w:p>
      <w:pPr>
        <w:pStyle w:val="1561"/>
        <w:jc w:val="left"/>
        <w:spacing w:line="440" w:lineRule="exact"/>
      </w:pPr>
      <w:r>
        <w:t xml:space="preserve">承诺函参考格式：</w:t>
      </w:r>
      <w:r/>
    </w:p>
    <w:p>
      <w:pPr>
        <w:pStyle w:val="1630"/>
        <w:ind w:firstLine="321"/>
        <w:jc w:val="center"/>
        <w:rPr>
          <w:b/>
          <w:sz w:val="32"/>
          <w:szCs w:val="32"/>
        </w:rPr>
      </w:pPr>
      <w:r>
        <w:rPr>
          <w:b/>
          <w:sz w:val="32"/>
          <w:szCs w:val="32"/>
        </w:rPr>
        <w:t xml:space="preserve">承  诺  函</w:t>
      </w:r>
      <w:r>
        <w:rPr>
          <w:b/>
          <w:sz w:val="32"/>
          <w:szCs w:val="32"/>
        </w:rPr>
      </w:r>
      <w:r/>
    </w:p>
    <w:p>
      <w:pPr>
        <w:pStyle w:val="1630"/>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561"/>
        <w:jc w:val="left"/>
        <w:spacing w:line="440" w:lineRule="exact"/>
        <w:rPr>
          <w:sz w:val="24"/>
          <w:szCs w:val="24"/>
        </w:rPr>
      </w:pPr>
      <w:r>
        <w:rPr>
          <w:sz w:val="24"/>
          <w:szCs w:val="24"/>
        </w:rPr>
      </w:r>
      <w:r/>
    </w:p>
    <w:p>
      <w:pPr>
        <w:pStyle w:val="1561"/>
        <w:jc w:val="left"/>
        <w:spacing w:line="440" w:lineRule="exact"/>
        <w:rPr>
          <w:sz w:val="24"/>
          <w:szCs w:val="24"/>
        </w:rPr>
      </w:pPr>
      <w:r>
        <w:rPr>
          <w:sz w:val="24"/>
          <w:szCs w:val="24"/>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szCs w:val="21"/>
        </w:rPr>
      </w:r>
      <w:r/>
    </w:p>
    <w:p>
      <w:pPr>
        <w:pStyle w:val="1561"/>
        <w:spacing w:line="440" w:lineRule="exact"/>
        <w:rPr>
          <w:szCs w:val="21"/>
        </w:rPr>
      </w:pPr>
      <w:r>
        <w:rPr>
          <w:szCs w:val="21"/>
        </w:rPr>
        <w:t xml:space="preserve">日期：</w:t>
      </w:r>
      <w:r>
        <w:rPr>
          <w:szCs w:val="21"/>
        </w:rPr>
      </w:r>
      <w:r/>
    </w:p>
    <w:p>
      <w:pPr>
        <w:pStyle w:val="1561"/>
        <w:jc w:val="left"/>
        <w:spacing w:line="440" w:lineRule="exact"/>
        <w:rPr>
          <w:sz w:val="24"/>
          <w:szCs w:val="24"/>
        </w:rPr>
      </w:pPr>
      <w:r>
        <w:rPr>
          <w:sz w:val="24"/>
          <w:szCs w:val="24"/>
        </w:rPr>
      </w:r>
      <w:r/>
    </w:p>
    <w:p>
      <w:pPr>
        <w:pStyle w:val="1561"/>
        <w:jc w:val="left"/>
        <w:spacing w:line="440" w:lineRule="exact"/>
        <w:rPr>
          <w:sz w:val="24"/>
          <w:szCs w:val="24"/>
        </w:rPr>
      </w:pPr>
      <w:r>
        <w:rPr>
          <w:sz w:val="24"/>
          <w:szCs w:val="24"/>
        </w:rPr>
      </w:r>
      <w:r/>
    </w:p>
    <w:p>
      <w:pPr>
        <w:pStyle w:val="1561"/>
        <w:jc w:val="left"/>
        <w:spacing w:line="440" w:lineRule="exact"/>
        <w:rPr>
          <w:sz w:val="24"/>
          <w:szCs w:val="24"/>
        </w:rPr>
      </w:pPr>
      <w:r>
        <w:rPr>
          <w:sz w:val="24"/>
          <w:szCs w:val="24"/>
        </w:rPr>
      </w:r>
      <w:r/>
    </w:p>
    <w:p>
      <w:pPr>
        <w:pStyle w:val="1561"/>
        <w:jc w:val="left"/>
        <w:spacing w:line="440" w:lineRule="exact"/>
        <w:rPr>
          <w:sz w:val="24"/>
          <w:szCs w:val="24"/>
        </w:rPr>
      </w:pPr>
      <w:r>
        <w:rPr>
          <w:sz w:val="24"/>
          <w:szCs w:val="24"/>
        </w:rPr>
      </w:r>
      <w:r/>
    </w:p>
    <w:p>
      <w:pPr>
        <w:pStyle w:val="1561"/>
        <w:jc w:val="left"/>
        <w:spacing w:line="440" w:lineRule="exact"/>
        <w:rPr>
          <w:sz w:val="24"/>
          <w:szCs w:val="24"/>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sz w:val="24"/>
          <w:szCs w:val="24"/>
        </w:rPr>
      </w:r>
      <w:r/>
    </w:p>
    <w:p>
      <w:pPr>
        <w:pStyle w:val="1561"/>
        <w:jc w:val="left"/>
        <w:spacing w:line="360" w:lineRule="auto"/>
        <w:rPr>
          <w:b/>
          <w:bCs/>
          <w:szCs w:val="21"/>
        </w:rPr>
        <w:outlineLvl w:val="2"/>
      </w:pPr>
      <w:r/>
      <w:bookmarkStart w:id="376" w:name="_Toc1099"/>
      <w:r/>
      <w:bookmarkStart w:id="377" w:name="_Toc10033"/>
      <w:r/>
      <w:bookmarkStart w:id="378" w:name="_Toc12225"/>
      <w:r/>
      <w:bookmarkStart w:id="379" w:name="_Toc4995"/>
      <w:r>
        <w:rPr>
          <w:b/>
          <w:bCs/>
          <w:szCs w:val="21"/>
        </w:rPr>
        <w:t xml:space="preserve">5、</w:t>
      </w:r>
      <w:bookmarkEnd w:id="376"/>
      <w:r/>
      <w:bookmarkEnd w:id="377"/>
      <w:r>
        <w:rPr>
          <w:b/>
          <w:bCs/>
          <w:szCs w:val="21"/>
        </w:rPr>
        <w:t xml:space="preserve">参加政府采购活动近三年内（成立时间不足三年的、自成立时间起），在经营活动中没有重大违法记录</w:t>
      </w:r>
      <w:bookmarkEnd w:id="378"/>
      <w:r/>
      <w:bookmarkEnd w:id="379"/>
      <w:r>
        <w:rPr>
          <w:b/>
          <w:bCs/>
          <w:szCs w:val="21"/>
        </w:rPr>
      </w:r>
      <w:r/>
    </w:p>
    <w:p>
      <w:pPr>
        <w:pStyle w:val="1561"/>
        <w:spacing w:line="440" w:lineRule="exact"/>
        <w:tabs>
          <w:tab w:val="left" w:pos="972" w:leader="none"/>
        </w:tabs>
        <w:rPr>
          <w:szCs w:val="21"/>
        </w:rPr>
      </w:pPr>
      <w:r>
        <w:rPr>
          <w:szCs w:val="21"/>
        </w:rPr>
        <w:t xml:space="preserve">参考格式：</w:t>
      </w:r>
      <w:r>
        <w:rPr>
          <w:szCs w:val="21"/>
        </w:rPr>
        <w:tab/>
      </w:r>
      <w:r>
        <w:rPr>
          <w:szCs w:val="21"/>
        </w:rPr>
      </w:r>
      <w:r/>
    </w:p>
    <w:p>
      <w:pPr>
        <w:pStyle w:val="1561"/>
        <w:jc w:val="center"/>
        <w:rPr>
          <w:b/>
          <w:sz w:val="32"/>
          <w:szCs w:val="32"/>
        </w:rPr>
      </w:pPr>
      <w:r>
        <w:rPr>
          <w:b/>
          <w:sz w:val="32"/>
          <w:szCs w:val="32"/>
        </w:rPr>
        <w:t xml:space="preserve">无重大违法记录声明</w:t>
      </w:r>
      <w:r>
        <w:rPr>
          <w:b/>
          <w:sz w:val="32"/>
          <w:szCs w:val="32"/>
        </w:rPr>
      </w:r>
      <w:r/>
    </w:p>
    <w:p>
      <w:pPr>
        <w:pStyle w:val="1561"/>
        <w:rPr>
          <w:sz w:val="30"/>
          <w:szCs w:val="30"/>
        </w:rPr>
      </w:pPr>
      <w:r>
        <w:rPr>
          <w:sz w:val="30"/>
          <w:szCs w:val="30"/>
        </w:rPr>
      </w:r>
      <w:r/>
    </w:p>
    <w:p>
      <w:pPr>
        <w:pStyle w:val="1561"/>
        <w:ind w:firstLine="420"/>
        <w:spacing w:line="360" w:lineRule="auto"/>
      </w:pPr>
      <w:r>
        <w:rPr>
          <w:szCs w:val="21"/>
        </w:rPr>
        <w:t xml:space="preserve">江苏苏美达仪器设备有限公司</w:t>
      </w:r>
      <w:r>
        <w:t xml:space="preserve">：</w:t>
      </w:r>
      <w:r/>
    </w:p>
    <w:p>
      <w:pPr>
        <w:pStyle w:val="1561"/>
        <w:ind w:firstLine="420"/>
        <w:spacing w:line="360" w:lineRule="auto"/>
      </w:pPr>
      <w:r/>
      <w:r/>
    </w:p>
    <w:p>
      <w:pPr>
        <w:pStyle w:val="1561"/>
        <w:ind w:firstLine="420"/>
        <w:spacing w:line="360" w:lineRule="auto"/>
      </w:pPr>
      <w:r>
        <w:t xml:space="preserve">我单位</w:t>
      </w:r>
      <w:r>
        <w:rPr>
          <w:u w:val="single"/>
        </w:rPr>
        <w:t xml:space="preserve">                </w:t>
      </w:r>
      <w:r>
        <w:t xml:space="preserve">（供应商名称）郑重声明：</w:t>
      </w:r>
      <w:r/>
    </w:p>
    <w:p>
      <w:pPr>
        <w:pStyle w:val="1561"/>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561"/>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561"/>
        <w:jc w:val="left"/>
        <w:spacing w:line="440" w:lineRule="exact"/>
        <w:rPr>
          <w:sz w:val="24"/>
          <w:szCs w:val="24"/>
        </w:rPr>
      </w:pPr>
      <w:r>
        <w:rPr>
          <w:sz w:val="24"/>
          <w:szCs w:val="24"/>
        </w:rPr>
      </w:r>
      <w:r/>
    </w:p>
    <w:p>
      <w:pPr>
        <w:pStyle w:val="1561"/>
        <w:jc w:val="left"/>
        <w:spacing w:line="440" w:lineRule="exact"/>
        <w:rPr>
          <w:sz w:val="24"/>
          <w:szCs w:val="24"/>
        </w:rPr>
      </w:pPr>
      <w:r>
        <w:rPr>
          <w:sz w:val="24"/>
          <w:szCs w:val="24"/>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rFonts w:hint="eastAsia"/>
          <w:szCs w:val="21"/>
          <w:lang w:val="en-US" w:eastAsia="zh-CN"/>
        </w:rPr>
        <w:t xml:space="preserve">或盖章</w:t>
      </w:r>
      <w:r>
        <w:rPr>
          <w:szCs w:val="21"/>
        </w:rPr>
        <w:t xml:space="preserve">）：</w:t>
      </w:r>
      <w:r>
        <w:rPr>
          <w:szCs w:val="21"/>
        </w:rPr>
      </w:r>
      <w:r/>
    </w:p>
    <w:p>
      <w:pPr>
        <w:pStyle w:val="1561"/>
        <w:spacing w:line="440" w:lineRule="exact"/>
        <w:rPr>
          <w:sz w:val="24"/>
          <w:szCs w:val="24"/>
        </w:rPr>
      </w:pPr>
      <w:r>
        <w:rPr>
          <w:szCs w:val="21"/>
        </w:rPr>
        <w:t xml:space="preserve">日期：</w:t>
      </w:r>
      <w:r>
        <w:rPr>
          <w:sz w:val="24"/>
          <w:szCs w:val="24"/>
        </w:rPr>
      </w:r>
      <w:r/>
    </w:p>
    <w:p>
      <w:pPr>
        <w:pStyle w:val="1561"/>
        <w:spacing w:line="440" w:lineRule="exact"/>
        <w:rPr>
          <w:sz w:val="24"/>
          <w:szCs w:val="24"/>
        </w:rPr>
      </w:pPr>
      <w:r>
        <w:rPr>
          <w:sz w:val="24"/>
          <w:szCs w:val="24"/>
        </w:rPr>
      </w:r>
      <w:r/>
    </w:p>
    <w:p>
      <w:pPr>
        <w:pStyle w:val="1561"/>
        <w:spacing w:line="440" w:lineRule="exact"/>
        <w:rPr>
          <w:szCs w:val="21"/>
        </w:rPr>
      </w:pPr>
      <w:r>
        <w:rPr>
          <w:szCs w:val="21"/>
        </w:rPr>
      </w:r>
      <w:r/>
    </w:p>
    <w:p>
      <w:pPr>
        <w:pStyle w:val="1561"/>
        <w:spacing w:line="440" w:lineRule="exact"/>
        <w:rPr>
          <w:szCs w:val="21"/>
        </w:rPr>
      </w:pPr>
      <w:r>
        <w:rPr>
          <w:szCs w:val="21"/>
        </w:rPr>
      </w:r>
      <w:r/>
    </w:p>
    <w:p>
      <w:pPr>
        <w:pStyle w:val="1561"/>
        <w:spacing w:line="440" w:lineRule="exact"/>
        <w:rPr>
          <w:szCs w:val="21"/>
        </w:rPr>
      </w:pPr>
      <w:r>
        <w:rPr>
          <w:szCs w:val="21"/>
        </w:rPr>
      </w:r>
      <w:r/>
    </w:p>
    <w:p>
      <w:pPr>
        <w:pStyle w:val="1561"/>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561"/>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561"/>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561"/>
        <w:spacing w:line="440" w:lineRule="exact"/>
        <w:rPr>
          <w:sz w:val="24"/>
          <w:szCs w:val="24"/>
        </w:rPr>
      </w:pPr>
      <w:r>
        <w:rPr>
          <w:sz w:val="24"/>
          <w:szCs w:val="24"/>
        </w:rPr>
      </w:r>
      <w:r/>
    </w:p>
    <w:p>
      <w:pPr>
        <w:pStyle w:val="1561"/>
        <w:spacing w:line="440" w:lineRule="exact"/>
        <w:rPr>
          <w:sz w:val="24"/>
          <w:szCs w:val="24"/>
        </w:rPr>
      </w:pPr>
      <w:r>
        <w:rPr>
          <w:sz w:val="24"/>
          <w:szCs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left="-2" w:right="-5"/>
        <w:spacing w:line="440" w:lineRule="exact"/>
        <w:rPr>
          <w:sz w:val="24"/>
        </w:rPr>
      </w:pPr>
      <w:r>
        <w:rPr>
          <w:sz w:val="24"/>
        </w:rPr>
      </w:r>
      <w:r/>
    </w:p>
    <w:p>
      <w:pPr>
        <w:pStyle w:val="1561"/>
        <w:ind w:right="-5"/>
        <w:spacing w:line="440" w:lineRule="exact"/>
        <w:rPr>
          <w:sz w:val="24"/>
        </w:rPr>
      </w:pPr>
      <w:r>
        <w:rPr>
          <w:sz w:val="24"/>
        </w:rPr>
      </w:r>
      <w:r/>
    </w:p>
    <w:p>
      <w:pPr>
        <w:pStyle w:val="1561"/>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pgNumType w:start="1"/>
          <w:cols w:num="1" w:sep="0" w:space="1701" w:equalWidth="1"/>
          <w:docGrid w:linePitch="360"/>
          <w:titlePg/>
        </w:sectPr>
        <w:outlineLvl w:val="2"/>
      </w:pPr>
      <w:r/>
      <w:bookmarkStart w:id="380" w:name="_Toc13811"/>
      <w:r>
        <w:rPr>
          <w:b/>
          <w:bCs/>
          <w:szCs w:val="21"/>
        </w:rPr>
      </w:r>
      <w:r/>
    </w:p>
    <w:p>
      <w:pPr>
        <w:pStyle w:val="1561"/>
        <w:jc w:val="left"/>
        <w:spacing w:line="360" w:lineRule="auto"/>
        <w:rPr>
          <w:b/>
          <w:bCs/>
          <w:szCs w:val="21"/>
        </w:rPr>
        <w:outlineLvl w:val="2"/>
      </w:pPr>
      <w:r/>
      <w:bookmarkStart w:id="381" w:name="_Toc12757"/>
      <w:r/>
      <w:bookmarkStart w:id="382" w:name="_Toc14470"/>
      <w:r/>
      <w:bookmarkStart w:id="383" w:name="_Toc15719"/>
      <w:r>
        <w:rPr>
          <w:b/>
          <w:bCs/>
          <w:szCs w:val="21"/>
        </w:rPr>
        <w:t xml:space="preserve">6、依法缴纳税收的记录</w:t>
      </w:r>
      <w:bookmarkEnd w:id="380"/>
      <w:r/>
      <w:bookmarkEnd w:id="381"/>
      <w:r/>
      <w:bookmarkEnd w:id="382"/>
      <w:r/>
      <w:bookmarkEnd w:id="383"/>
      <w:r>
        <w:rPr>
          <w:b/>
          <w:bCs/>
          <w:szCs w:val="21"/>
        </w:rPr>
      </w:r>
      <w:r/>
    </w:p>
    <w:p>
      <w:pPr>
        <w:pStyle w:val="1561"/>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rFonts w:hint="eastAsia"/>
          <w:szCs w:val="21"/>
          <w:lang w:val="en-US" w:eastAsia="zh-CN"/>
        </w:rPr>
        <w:t xml:space="preserve">或盖章</w:t>
      </w:r>
      <w:r>
        <w:rPr>
          <w:szCs w:val="21"/>
        </w:rPr>
        <w:t xml:space="preserve">）：</w:t>
      </w:r>
      <w:r>
        <w:rPr>
          <w:szCs w:val="21"/>
        </w:rPr>
      </w:r>
      <w:r/>
    </w:p>
    <w:p>
      <w:pPr>
        <w:pStyle w:val="1561"/>
        <w:spacing w:line="440" w:lineRule="exact"/>
        <w:rPr>
          <w:sz w:val="24"/>
          <w:szCs w:val="24"/>
        </w:rPr>
      </w:pPr>
      <w:r>
        <w:rPr>
          <w:szCs w:val="21"/>
        </w:rPr>
        <w:t xml:space="preserve">日期：</w:t>
      </w:r>
      <w:r>
        <w:rPr>
          <w:sz w:val="24"/>
          <w:szCs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spacing w:line="440" w:lineRule="exact"/>
        <w:rPr>
          <w:sz w:val="24"/>
        </w:rPr>
      </w:pPr>
      <w:r>
        <w:rPr>
          <w:sz w:val="24"/>
        </w:rPr>
      </w:r>
      <w:r/>
    </w:p>
    <w:p>
      <w:pPr>
        <w:pStyle w:val="1561"/>
        <w:jc w:val="left"/>
        <w:spacing w:line="360" w:lineRule="auto"/>
        <w:rPr>
          <w:b/>
          <w:bCs/>
          <w:szCs w:val="21"/>
        </w:rPr>
        <w:outlineLvl w:val="2"/>
      </w:pPr>
      <w:r/>
      <w:bookmarkStart w:id="384" w:name="_Toc17181"/>
      <w:r>
        <w:rPr>
          <w:b/>
          <w:bCs/>
          <w:szCs w:val="21"/>
        </w:rPr>
        <w:br w:type="page" w:clear="all"/>
      </w:r>
      <w:bookmarkStart w:id="385" w:name="_Toc30066"/>
      <w:r/>
      <w:bookmarkStart w:id="386" w:name="_Toc31194"/>
      <w:r/>
      <w:bookmarkStart w:id="387" w:name="_Toc2339"/>
      <w:r>
        <w:rPr>
          <w:b/>
          <w:bCs/>
          <w:szCs w:val="21"/>
        </w:rPr>
        <w:t xml:space="preserve">7、依法缴纳社会保障资金的记录</w:t>
      </w:r>
      <w:bookmarkEnd w:id="384"/>
      <w:r/>
      <w:bookmarkEnd w:id="385"/>
      <w:r/>
      <w:bookmarkEnd w:id="386"/>
      <w:r/>
      <w:bookmarkEnd w:id="387"/>
      <w:r>
        <w:rPr>
          <w:b/>
          <w:bCs/>
          <w:szCs w:val="21"/>
        </w:rPr>
      </w:r>
      <w:r/>
    </w:p>
    <w:p>
      <w:pPr>
        <w:pStyle w:val="1561"/>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561"/>
        <w:spacing w:after="120" w:line="440" w:lineRule="exact"/>
      </w:pPr>
      <w:r>
        <w:t xml:space="preserve">（2）依法不需要缴纳社会保障资金的，应提供相应的文件证明。 </w:t>
      </w:r>
      <w:r/>
    </w:p>
    <w:p>
      <w:pPr>
        <w:pStyle w:val="1561"/>
        <w:spacing w:line="440" w:lineRule="exact"/>
        <w:rPr>
          <w:sz w:val="24"/>
        </w:rPr>
      </w:pPr>
      <w:r>
        <w:rPr>
          <w:sz w:val="24"/>
        </w:rPr>
      </w:r>
      <w:r/>
    </w:p>
    <w:p>
      <w:pPr>
        <w:pStyle w:val="1561"/>
        <w:spacing w:line="440" w:lineRule="exact"/>
        <w:rPr>
          <w:b/>
        </w:rPr>
      </w:pPr>
      <w:r>
        <w:rPr>
          <w:b/>
        </w:rPr>
        <w:t xml:space="preserve">  </w:t>
      </w:r>
      <w:r>
        <w:rPr>
          <w:b/>
        </w:rPr>
      </w:r>
      <w:r/>
    </w:p>
    <w:p>
      <w:pPr>
        <w:pStyle w:val="1561"/>
        <w:spacing w:line="440" w:lineRule="exact"/>
        <w:rPr>
          <w:b/>
        </w:rPr>
      </w:pPr>
      <w:r>
        <w:rPr>
          <w:b/>
        </w:rPr>
      </w:r>
      <w:r/>
    </w:p>
    <w:p>
      <w:pPr>
        <w:pStyle w:val="1561"/>
        <w:spacing w:line="440" w:lineRule="exact"/>
        <w:rPr>
          <w:sz w:val="24"/>
        </w:rPr>
      </w:pPr>
      <w:r>
        <w:rPr>
          <w:sz w:val="24"/>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szCs w:val="21"/>
        </w:rPr>
      </w:r>
      <w:r/>
    </w:p>
    <w:p>
      <w:pPr>
        <w:pStyle w:val="1561"/>
        <w:spacing w:line="440" w:lineRule="exact"/>
        <w:rPr>
          <w:sz w:val="24"/>
          <w:szCs w:val="24"/>
        </w:rPr>
      </w:pPr>
      <w:r>
        <w:rPr>
          <w:szCs w:val="21"/>
        </w:rPr>
        <w:t xml:space="preserve">日期：</w:t>
      </w:r>
      <w:r>
        <w:rPr>
          <w:sz w:val="24"/>
          <w:szCs w:val="24"/>
        </w:rPr>
      </w:r>
      <w:r/>
    </w:p>
    <w:p>
      <w:pPr>
        <w:pStyle w:val="1561"/>
        <w:spacing w:line="440" w:lineRule="exact"/>
        <w:rPr>
          <w:sz w:val="24"/>
        </w:rPr>
      </w:pPr>
      <w:r>
        <w:rPr>
          <w:sz w:val="24"/>
        </w:rPr>
      </w:r>
      <w:r/>
    </w:p>
    <w:p>
      <w:pPr>
        <w:pStyle w:val="1561"/>
        <w:spacing w:line="440" w:lineRule="exact"/>
        <w:rPr>
          <w:b/>
        </w:rPr>
      </w:pPr>
      <w:r>
        <w:rPr>
          <w:b/>
        </w:rPr>
      </w:r>
      <w:r/>
    </w:p>
    <w:p>
      <w:pPr>
        <w:pStyle w:val="1561"/>
        <w:jc w:val="center"/>
        <w:spacing w:line="440" w:lineRule="exact"/>
      </w:pPr>
      <w:r/>
      <w:r/>
    </w:p>
    <w:p>
      <w:pPr>
        <w:pStyle w:val="1561"/>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b/>
        </w:rPr>
      </w:r>
      <w:r/>
    </w:p>
    <w:p>
      <w:pPr>
        <w:pStyle w:val="1561"/>
        <w:jc w:val="left"/>
        <w:spacing w:line="360" w:lineRule="auto"/>
        <w:rPr>
          <w:b/>
          <w:bCs/>
          <w:szCs w:val="21"/>
        </w:rPr>
        <w:outlineLvl w:val="2"/>
      </w:pPr>
      <w:r/>
      <w:bookmarkStart w:id="388" w:name="_Toc9645"/>
      <w:r/>
      <w:bookmarkStart w:id="389" w:name="_Toc29966"/>
      <w:r/>
      <w:bookmarkStart w:id="390" w:name="_Toc17743"/>
      <w:r/>
      <w:bookmarkStart w:id="391" w:name="_Toc20695"/>
      <w:r>
        <w:rPr>
          <w:b/>
          <w:bCs/>
          <w:szCs w:val="21"/>
        </w:rPr>
        <w:t xml:space="preserve">8、</w:t>
      </w:r>
      <w:bookmarkEnd w:id="388"/>
      <w:r>
        <w:rPr>
          <w:b/>
          <w:bCs/>
          <w:color w:val="000000"/>
          <w:szCs w:val="21"/>
        </w:rPr>
        <w:t xml:space="preserve">针对</w:t>
      </w:r>
      <w:r>
        <w:rPr>
          <w:b/>
          <w:bCs/>
          <w:szCs w:val="21"/>
        </w:rPr>
        <w:t xml:space="preserve">本项目的特定资格要求</w:t>
      </w:r>
      <w:bookmarkEnd w:id="389"/>
      <w:r/>
      <w:bookmarkEnd w:id="390"/>
      <w:r/>
      <w:bookmarkEnd w:id="391"/>
      <w:r>
        <w:rPr>
          <w:b/>
          <w:bCs/>
          <w:szCs w:val="21"/>
        </w:rPr>
      </w:r>
      <w:r/>
    </w:p>
    <w:p>
      <w:pPr>
        <w:pStyle w:val="1561"/>
        <w:spacing w:line="440" w:lineRule="exact"/>
        <w:rPr>
          <w:b/>
        </w:rPr>
      </w:pPr>
      <w:r>
        <w:rPr>
          <w:b/>
        </w:rPr>
        <w:t xml:space="preserve">（</w:t>
      </w:r>
      <w:r>
        <w:rPr>
          <w:rFonts w:hint="eastAsia"/>
          <w:b/>
        </w:rPr>
        <w:t xml:space="preserve">1</w:t>
      </w:r>
      <w:r>
        <w:rPr>
          <w:b/>
        </w:rPr>
        <w:t xml:space="preserve">）声明函（参考格式）</w:t>
      </w:r>
      <w:r>
        <w:rPr>
          <w:b/>
        </w:rPr>
      </w:r>
      <w:r/>
    </w:p>
    <w:p>
      <w:pPr>
        <w:pStyle w:val="1561"/>
        <w:spacing w:line="440" w:lineRule="exact"/>
        <w:rPr>
          <w:b/>
        </w:rPr>
      </w:pPr>
      <w:r>
        <w:rPr>
          <w:b/>
        </w:rPr>
      </w:r>
      <w:r/>
    </w:p>
    <w:p>
      <w:pPr>
        <w:pStyle w:val="1561"/>
        <w:jc w:val="center"/>
        <w:spacing w:line="360" w:lineRule="auto"/>
        <w:rPr>
          <w:b/>
          <w:bCs/>
          <w:szCs w:val="21"/>
        </w:rPr>
      </w:pPr>
      <w:r>
        <w:rPr>
          <w:b/>
          <w:bCs/>
          <w:szCs w:val="21"/>
        </w:rPr>
        <w:t xml:space="preserve">声明函</w:t>
      </w:r>
      <w:r>
        <w:rPr>
          <w:b/>
          <w:bCs/>
          <w:szCs w:val="21"/>
        </w:rPr>
      </w:r>
      <w:r/>
    </w:p>
    <w:p>
      <w:pPr>
        <w:pStyle w:val="1561"/>
        <w:jc w:val="left"/>
        <w:spacing w:line="360" w:lineRule="auto"/>
        <w:rPr>
          <w:b/>
          <w:bCs/>
          <w:szCs w:val="21"/>
        </w:rPr>
      </w:pPr>
      <w:r>
        <w:rPr>
          <w:b/>
          <w:bCs/>
          <w:szCs w:val="21"/>
        </w:rPr>
        <w:t xml:space="preserve">江苏苏美达仪器设备有限公司： </w:t>
      </w:r>
      <w:r>
        <w:rPr>
          <w:b/>
          <w:bCs/>
          <w:szCs w:val="21"/>
        </w:rPr>
      </w:r>
      <w:r/>
    </w:p>
    <w:p>
      <w:pPr>
        <w:pStyle w:val="1561"/>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561"/>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561"/>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561"/>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561"/>
        <w:ind w:firstLine="422"/>
        <w:spacing w:line="360" w:lineRule="auto"/>
        <w:widowControl/>
        <w:rPr>
          <w:b/>
          <w:bCs/>
          <w:szCs w:val="21"/>
        </w:rPr>
      </w:pPr>
      <w:r>
        <w:rPr>
          <w:b/>
          <w:bCs/>
          <w:szCs w:val="21"/>
        </w:rPr>
        <w:t xml:space="preserve">特此声明。 </w:t>
      </w:r>
      <w:r>
        <w:rPr>
          <w:b/>
          <w:bCs/>
          <w:szCs w:val="21"/>
        </w:rPr>
      </w:r>
      <w:r/>
    </w:p>
    <w:p>
      <w:pPr>
        <w:pStyle w:val="1561"/>
        <w:spacing w:line="440" w:lineRule="exact"/>
        <w:rPr>
          <w:b/>
        </w:rPr>
      </w:pPr>
      <w:r>
        <w:rPr>
          <w:b/>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rFonts w:hint="eastAsia"/>
          <w:szCs w:val="21"/>
          <w:lang w:val="en-US" w:eastAsia="zh-CN"/>
        </w:rPr>
        <w:t xml:space="preserve">或盖章</w:t>
      </w:r>
      <w:r>
        <w:rPr>
          <w:szCs w:val="21"/>
        </w:rPr>
        <w:t xml:space="preserve">）：</w:t>
      </w:r>
      <w:r>
        <w:rPr>
          <w:szCs w:val="21"/>
        </w:rPr>
      </w:r>
      <w:r/>
    </w:p>
    <w:p>
      <w:pPr>
        <w:pStyle w:val="1561"/>
        <w:jc w:val="left"/>
        <w:spacing w:line="360" w:lineRule="auto"/>
        <w:rPr>
          <w:b/>
        </w:rPr>
      </w:pPr>
      <w:r>
        <w:rPr>
          <w:szCs w:val="21"/>
        </w:rPr>
        <w:t xml:space="preserve">日期：</w:t>
      </w:r>
      <w:r>
        <w:rPr>
          <w:b/>
        </w:rPr>
      </w:r>
      <w:r/>
    </w:p>
    <w:p>
      <w:pPr>
        <w:pStyle w:val="1561"/>
        <w:jc w:val="left"/>
        <w:spacing w:line="360" w:lineRule="auto"/>
        <w:rPr>
          <w:b/>
        </w:rPr>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pgNumType w:start="1"/>
          <w:cols w:num="1" w:sep="0" w:space="1701" w:equalWidth="1"/>
          <w:docGrid w:linePitch="360"/>
          <w:titlePg/>
        </w:sectPr>
      </w:pPr>
      <w:r>
        <w:rPr>
          <w:b/>
        </w:rPr>
      </w:r>
      <w:r/>
    </w:p>
    <w:p>
      <w:pPr>
        <w:pStyle w:val="1561"/>
        <w:jc w:val="left"/>
        <w:spacing w:line="360" w:lineRule="auto"/>
        <w:rPr>
          <w:b/>
          <w:bCs/>
          <w:szCs w:val="21"/>
        </w:rPr>
        <w:outlineLvl w:val="2"/>
      </w:pPr>
      <w:r/>
      <w:bookmarkStart w:id="392" w:name="_Toc7731"/>
      <w:r/>
      <w:bookmarkStart w:id="393" w:name="_Toc9807"/>
      <w:r/>
      <w:bookmarkStart w:id="394" w:name="_Toc25676"/>
      <w:r/>
      <w:bookmarkStart w:id="395" w:name="_Toc20105"/>
      <w:r>
        <w:rPr>
          <w:b/>
          <w:bCs/>
          <w:szCs w:val="21"/>
        </w:rPr>
        <w:t xml:space="preserve">9、供应商认为其需要提供的其他资格证明文件。</w:t>
      </w:r>
      <w:bookmarkEnd w:id="392"/>
      <w:r/>
      <w:bookmarkEnd w:id="393"/>
      <w:r/>
      <w:bookmarkEnd w:id="394"/>
      <w:r/>
      <w:bookmarkEnd w:id="395"/>
      <w:r>
        <w:rPr>
          <w:b/>
          <w:bCs/>
          <w:szCs w:val="21"/>
        </w:rPr>
      </w:r>
      <w:r/>
    </w:p>
    <w:p>
      <w:pPr>
        <w:pStyle w:val="1561"/>
        <w:spacing w:line="440" w:lineRule="exact"/>
        <w:rPr>
          <w:b/>
        </w:rPr>
      </w:pPr>
      <w:r>
        <w:rPr>
          <w:sz w:val="24"/>
        </w:rPr>
        <w:t xml:space="preserve">    </w:t>
      </w:r>
      <w:r>
        <w:rPr>
          <w:b/>
        </w:rPr>
        <w:t xml:space="preserve">      </w:t>
      </w:r>
      <w:r>
        <w:rPr>
          <w:b/>
        </w:rPr>
      </w:r>
      <w:r/>
    </w:p>
    <w:p>
      <w:pPr>
        <w:pStyle w:val="1561"/>
        <w:spacing w:line="440" w:lineRule="exact"/>
        <w:rPr>
          <w:b/>
        </w:rPr>
      </w:pPr>
      <w:r>
        <w:rPr>
          <w:b/>
        </w:rPr>
      </w:r>
      <w:r/>
    </w:p>
    <w:p>
      <w:pPr>
        <w:pStyle w:val="1561"/>
        <w:spacing w:line="440" w:lineRule="exact"/>
        <w:rPr>
          <w:b/>
        </w:rPr>
      </w:pPr>
      <w:r>
        <w:rPr>
          <w:b/>
        </w:rPr>
      </w:r>
      <w:r/>
    </w:p>
    <w:p>
      <w:pPr>
        <w:pStyle w:val="1561"/>
        <w:spacing w:line="440" w:lineRule="exact"/>
        <w:rPr>
          <w:szCs w:val="21"/>
        </w:rPr>
      </w:pPr>
      <w:r>
        <w:rPr>
          <w:szCs w:val="21"/>
        </w:rPr>
        <w:t xml:space="preserve">投标人名称（公章）：</w:t>
      </w:r>
      <w:r>
        <w:rPr>
          <w:szCs w:val="21"/>
        </w:rPr>
      </w:r>
      <w:r/>
    </w:p>
    <w:p>
      <w:pPr>
        <w:pStyle w:val="1561"/>
        <w:spacing w:line="440" w:lineRule="exact"/>
        <w:rPr>
          <w:szCs w:val="21"/>
        </w:rPr>
      </w:pPr>
      <w:r>
        <w:rPr>
          <w:szCs w:val="21"/>
        </w:rPr>
        <w:t xml:space="preserve">授权代表（签字</w:t>
      </w:r>
      <w:r>
        <w:rPr>
          <w:rFonts w:hint="eastAsia"/>
          <w:szCs w:val="21"/>
          <w:lang w:val="en-US" w:eastAsia="zh-CN"/>
        </w:rPr>
        <w:t xml:space="preserve">或盖章</w:t>
      </w:r>
      <w:r>
        <w:rPr>
          <w:szCs w:val="21"/>
        </w:rPr>
        <w:t xml:space="preserve">）：</w:t>
      </w:r>
      <w:r>
        <w:rPr>
          <w:szCs w:val="21"/>
        </w:rPr>
      </w:r>
      <w:r/>
    </w:p>
    <w:p>
      <w:pPr>
        <w:pStyle w:val="1561"/>
        <w:spacing w:line="440" w:lineRule="exact"/>
        <w:rPr>
          <w:sz w:val="24"/>
          <w:szCs w:val="24"/>
        </w:rPr>
      </w:pPr>
      <w:r>
        <w:rPr>
          <w:szCs w:val="21"/>
        </w:rPr>
        <w:t xml:space="preserve">日期：</w:t>
      </w:r>
      <w:r>
        <w:rPr>
          <w:sz w:val="24"/>
          <w:szCs w:val="24"/>
        </w:rPr>
      </w:r>
      <w:r/>
    </w:p>
    <w:p>
      <w:pPr>
        <w:pStyle w:val="1561"/>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ind w:right="-5"/>
        <w:spacing w:line="440" w:lineRule="exact"/>
        <w:rPr>
          <w:b/>
        </w:rPr>
      </w:pPr>
      <w:r>
        <w:rPr>
          <w:b/>
        </w:rPr>
      </w:r>
      <w:r/>
    </w:p>
    <w:p>
      <w:pPr>
        <w:pStyle w:val="1561"/>
        <w:spacing w:after="156" w:line="440" w:lineRule="exact"/>
        <w:rPr>
          <w:rFonts w:ascii="Times New Roman" w:hAnsi="Times New Roman" w:eastAsia="宋体" w:cs="Times New Roman"/>
          <w:b/>
          <w:bCs/>
          <w:sz w:val="24"/>
          <w:szCs w:val="22"/>
          <w:lang w:val="zh-CN"/>
        </w:rPr>
        <w:outlineLvl w:val="1"/>
      </w:pPr>
      <w:r>
        <w:rPr>
          <w:b/>
          <w:color w:val="000000"/>
        </w:rPr>
        <w:br w:type="page" w:clear="all"/>
      </w:r>
      <w:bookmarkStart w:id="396" w:name="_Toc22079"/>
      <w:r/>
      <w:bookmarkStart w:id="397" w:name="_Toc6437"/>
      <w:r/>
      <w:bookmarkStart w:id="398" w:name="_Toc9228"/>
      <w:r/>
      <w:bookmarkStart w:id="399" w:name="_Toc9255"/>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96"/>
      <w:r/>
      <w:bookmarkEnd w:id="397"/>
      <w:r/>
      <w:bookmarkEnd w:id="398"/>
      <w:r/>
      <w:bookmarkEnd w:id="399"/>
      <w:r>
        <w:rPr>
          <w:rFonts w:ascii="Times New Roman" w:hAnsi="Times New Roman" w:eastAsia="宋体" w:cs="Times New Roman"/>
          <w:b/>
          <w:bCs/>
          <w:sz w:val="24"/>
          <w:szCs w:val="22"/>
          <w:lang w:val="zh-CN"/>
        </w:rPr>
      </w:r>
      <w:r/>
    </w:p>
    <w:p>
      <w:pPr>
        <w:pStyle w:val="1561"/>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561"/>
        <w:rPr>
          <w:b/>
          <w:color w:val="000000"/>
          <w:sz w:val="24"/>
          <w:lang w:val="zh-CN"/>
        </w:rPr>
      </w:pPr>
      <w:r>
        <w:rPr>
          <w:b/>
          <w:color w:val="000000"/>
          <w:sz w:val="24"/>
          <w:lang w:val="zh-CN"/>
        </w:rPr>
      </w:r>
      <w:r/>
    </w:p>
    <w:p>
      <w:pPr>
        <w:pStyle w:val="1561"/>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561"/>
        <w:spacing w:line="240" w:lineRule="atLeast"/>
        <w:rPr>
          <w:rFonts w:ascii="Arial" w:hAnsi="Arial" w:cs="Arial"/>
          <w:b/>
          <w:color w:val="000000"/>
          <w:sz w:val="24"/>
          <w:lang w:val="zh-CN"/>
        </w:rPr>
      </w:pPr>
      <w:r>
        <w:rPr>
          <w:rFonts w:ascii="Arial" w:hAnsi="Arial" w:cs="Arial"/>
          <w:b/>
          <w:color w:val="000000"/>
          <w:sz w:val="24"/>
          <w:lang w:val="zh-CN"/>
        </w:rPr>
      </w:r>
      <w:r/>
    </w:p>
    <w:p>
      <w:pPr>
        <w:pStyle w:val="1561"/>
        <w:spacing w:line="240" w:lineRule="atLeast"/>
        <w:rPr>
          <w:rFonts w:ascii="Arial" w:hAnsi="Arial" w:cs="Arial"/>
          <w:b/>
          <w:color w:val="000000"/>
          <w:sz w:val="24"/>
          <w:lang w:val="zh-CN"/>
        </w:rPr>
      </w:pPr>
      <w:r>
        <w:rPr>
          <w:rFonts w:ascii="Arial" w:hAnsi="Arial" w:cs="Arial"/>
          <w:b/>
          <w:color w:val="000000"/>
          <w:sz w:val="24"/>
          <w:lang w:val="zh-CN"/>
        </w:rPr>
      </w:r>
      <w:r/>
    </w:p>
    <w:p>
      <w:pPr>
        <w:pStyle w:val="1561"/>
        <w:spacing w:line="440" w:lineRule="exact"/>
        <w:rPr>
          <w:rFonts w:hint="eastAsia" w:ascii="宋体" w:hAnsi="宋体" w:cs="宋体"/>
          <w:szCs w:val="21"/>
        </w:rPr>
      </w:pPr>
      <w:r>
        <w:rPr>
          <w:rFonts w:hint="eastAsia" w:ascii="宋体" w:hAnsi="宋体" w:cs="宋体"/>
          <w:bCs/>
          <w:color w:val="000000"/>
          <w:szCs w:val="21"/>
          <w:lang w:val="en-US" w:eastAsia="zh-CN"/>
        </w:rPr>
        <w:t xml:space="preserve">1</w:t>
      </w:r>
      <w:r>
        <w:rPr>
          <w:rFonts w:hint="eastAsia" w:ascii="宋体" w:hAnsi="宋体" w:cs="宋体"/>
          <w:bCs/>
          <w:color w:val="000000"/>
          <w:szCs w:val="21"/>
        </w:rPr>
        <w:t xml:space="preserve">、业绩清单（参考格式）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561"/>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561"/>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561"/>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561"/>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561"/>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61"/>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61"/>
              <w:jc w:val="center"/>
              <w:rPr>
                <w:rFonts w:hint="eastAsia" w:ascii="宋体" w:hAnsi="宋体" w:cs="宋体"/>
                <w:szCs w:val="21"/>
              </w:rPr>
            </w:pPr>
            <w:r>
              <w:rPr>
                <w:rFonts w:hint="eastAsia" w:ascii="宋体" w:hAnsi="宋体" w:cs="宋体"/>
                <w:szCs w:val="21"/>
              </w:rPr>
            </w:r>
            <w:r/>
          </w:p>
        </w:tc>
      </w:tr>
    </w:tbl>
    <w:p>
      <w:pPr>
        <w:pStyle w:val="1561"/>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561"/>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en-US" w:eastAsia="zh-CN"/>
        </w:rPr>
        <w:t xml:space="preserve">2</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561"/>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561"/>
        <w:spacing w:line="440" w:lineRule="exact"/>
        <w:rPr>
          <w:rFonts w:ascii="Arial" w:hAnsi="Arial" w:cs="Arial"/>
          <w:sz w:val="24"/>
          <w:szCs w:val="24"/>
        </w:rPr>
      </w:pPr>
      <w:r>
        <w:rPr>
          <w:rFonts w:ascii="Arial" w:hAnsi="Arial" w:cs="Arial"/>
          <w:sz w:val="24"/>
          <w:szCs w:val="24"/>
        </w:rPr>
      </w:r>
      <w:r/>
    </w:p>
    <w:p>
      <w:pPr>
        <w:pStyle w:val="1561"/>
        <w:spacing w:line="440" w:lineRule="exact"/>
        <w:rPr>
          <w:b/>
          <w:szCs w:val="21"/>
        </w:rPr>
      </w:pPr>
      <w:r>
        <w:rPr>
          <w:b/>
          <w:szCs w:val="21"/>
        </w:rPr>
      </w:r>
      <w:r/>
    </w:p>
    <w:p>
      <w:pPr>
        <w:pStyle w:val="1625"/>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tabs>
        <w:tab w:val="center" w:pos="4153" w:leader="none"/>
        <w:tab w:val="right" w:pos="8306" w:leader="none"/>
      </w:tabs>
      <w:rPr>
        <w:rStyle w:val="1634"/>
      </w:rPr>
    </w:pPr>
    <w:r>
      <w:rPr>
        <w:rStyle w:val="1634"/>
      </w:rPr>
    </w:r>
    <w:r/>
  </w:p>
  <w:p>
    <w:pPr>
      <w:pStyle w:val="1609"/>
      <w:tabs>
        <w:tab w:val="center" w:pos="4153" w:leader="none"/>
        <w:tab w:val="right" w:pos="8306" w:leader="none"/>
      </w:tabs>
      <w:rPr>
        <w:rStyle w:val="1634"/>
      </w:rPr>
      <w:framePr w:wrap="around" w:vAnchor="text" w:hAnchor="page" w:x="6104" w:y="52"/>
    </w:pPr>
    <w:r>
      <w:rPr>
        <w:rStyle w:val="1634"/>
      </w:rPr>
    </w:r>
    <w:r/>
  </w:p>
  <w:p>
    <w:pPr>
      <w:pStyle w:val="160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6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tabs>
        <w:tab w:val="center" w:pos="4819" w:leader="none"/>
        <w:tab w:val="right" w:pos="8306" w:leader="none"/>
      </w:tabs>
      <w:rPr>
        <w:rStyle w:val="1634"/>
      </w:rPr>
    </w:pPr>
    <w:r>
      <w:rPr>
        <w:rStyle w:val="1634"/>
        <w:rFonts w:hint="eastAsia"/>
      </w:rPr>
      <w:tab/>
    </w:r>
    <w:r>
      <w:rPr>
        <w:rStyle w:val="1634"/>
      </w:rPr>
    </w:r>
    <w:r/>
  </w:p>
  <w:p>
    <w:pPr>
      <w:pStyle w:val="1609"/>
      <w:tabs>
        <w:tab w:val="center" w:pos="4153" w:leader="none"/>
        <w:tab w:val="right" w:pos="8306" w:leader="none"/>
      </w:tabs>
      <w:rPr>
        <w:rStyle w:val="1634"/>
      </w:rPr>
      <w:framePr w:wrap="around" w:vAnchor="text" w:hAnchor="page" w:x="6104" w:y="52"/>
    </w:pPr>
    <w:r>
      <w:rPr>
        <w:rStyle w:val="163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61"/>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61"/>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61"/>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61"/>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61"/>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6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561"/>
                          </w:pPr>
                          <w:r/>
                          <w:r/>
                        </w:p>
                      </w:txbxContent>
                    </wps:txbx>
                    <wps:bodyPr wrap="none" lIns="0" tIns="0" rIns="0" bIns="0" upright="1">
                      <a:spAutoFit/>
                    </wps:bodyPr>
                  </wps:wsp>
                </a:graphicData>
              </a:graphic>
            </wp:anchor>
          </w:drawing>
        </mc:Choice>
        <mc:Fallback>
          <w:pict>
            <v:shape id="shape 7" o:spid="_x0000_s7"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56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09"/>
                            <w:tabs>
                              <w:tab w:val="clear" w:pos="4153" w:leader="none"/>
                              <w:tab w:val="clear" w:pos="8306" w:leader="none"/>
                            </w:tabs>
                            <w:rPr>
                              <w:rFonts w:hint="eastAsia"/>
                            </w:rPr>
                          </w:pPr>
                          <w:r>
                            <w:rPr>
                              <w:rFonts w:hint="eastAsia"/>
                            </w:rPr>
                          </w:r>
                          <w:r/>
                        </w:p>
                        <w:p>
                          <w:pPr>
                            <w:pStyle w:val="1561"/>
                          </w:pPr>
                          <w:r/>
                          <w:r/>
                        </w:p>
                      </w:txbxContent>
                    </wps:txbx>
                    <wps:bodyPr wrap="none" lIns="0" tIns="0" rIns="0" bIns="0" upright="1">
                      <a:spAutoFit/>
                    </wps:bodyPr>
                  </wps:wsp>
                </a:graphicData>
              </a:graphic>
            </wp:anchor>
          </w:drawing>
        </mc:Choice>
        <mc:Fallback>
          <w:pict>
            <v:shape id="shape 8" o:spid="_x0000_s8"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09"/>
                      <w:tabs>
                        <w:tab w:val="clear" w:pos="4153" w:leader="none"/>
                        <w:tab w:val="clear" w:pos="8306" w:leader="none"/>
                      </w:tabs>
                      <w:rPr>
                        <w:rFonts w:hint="eastAsia"/>
                      </w:rPr>
                    </w:pPr>
                    <w:r>
                      <w:rPr>
                        <w:rFonts w:hint="eastAsia"/>
                      </w:rPr>
                    </w:r>
                    <w:r/>
                  </w:p>
                  <w:p>
                    <w:pPr>
                      <w:pStyle w:val="1561"/>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61"/>
                          </w:pPr>
                          <w:r/>
                          <w:r/>
                        </w:p>
                      </w:txbxContent>
                    </wps:txbx>
                    <wps:bodyPr wrap="none" lIns="0" tIns="0" rIns="0" bIns="0" upright="1">
                      <a:spAutoFit/>
                    </wps:bodyPr>
                  </wps:wsp>
                </a:graphicData>
              </a:graphic>
            </wp:anchor>
          </w:drawing>
        </mc:Choice>
        <mc:Fallback>
          <w:pict>
            <v:shape id="shape 9" o:spid="_x0000_s9"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6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posOffset>3002280</wp:posOffset>
              </wp:positionH>
              <wp:positionV relativeFrom="paragraph">
                <wp:posOffset>0</wp:posOffset>
              </wp:positionV>
              <wp:extent cx="11493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609"/>
                            <w:tabs>
                              <w:tab w:val="clear" w:pos="4153" w:leader="none"/>
                              <w:tab w:val="clear" w:pos="8306" w:leader="none"/>
                            </w:tabs>
                            <w:rPr>
                              <w:rFonts w:hint="eastAsia"/>
                            </w:rPr>
                          </w:pPr>
                          <w:r>
                            <w:rPr>
                              <w:rFonts w:hint="eastAsia"/>
                            </w:rPr>
                          </w:r>
                          <w:r/>
                        </w:p>
                        <w:p>
                          <w:pPr>
                            <w:pStyle w:val="1561"/>
                          </w:pPr>
                          <w:r/>
                          <w:r/>
                        </w:p>
                      </w:txbxContent>
                    </wps:txbx>
                    <wps:bodyPr wrap="square" lIns="0" tIns="0" rIns="0" bIns="0" upright="1"/>
                  </wps:wsp>
                </a:graphicData>
              </a:graphic>
            </wp:anchor>
          </w:drawing>
        </mc:Choice>
        <mc:Fallback>
          <w:pict>
            <v:shape id="shape 10" o:spid="_x0000_s10" o:spt="202" type="#_x0000_t202" style="position:absolute;z-index:251658255;o:allowoverlap:true;o:allowincell:true;mso-position-horizontal-relative:margin;margin-left:236.4pt;mso-position-horizontal:absolute;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609"/>
                      <w:tabs>
                        <w:tab w:val="clear" w:pos="4153" w:leader="none"/>
                        <w:tab w:val="clear" w:pos="8306" w:leader="none"/>
                      </w:tabs>
                      <w:rPr>
                        <w:rFonts w:hint="eastAsia"/>
                      </w:rPr>
                    </w:pPr>
                    <w:r>
                      <w:rPr>
                        <w:rFonts w:hint="eastAsia"/>
                      </w:rPr>
                    </w:r>
                    <w:r/>
                  </w:p>
                  <w:p>
                    <w:pPr>
                      <w:pStyle w:val="1561"/>
                    </w:pPr>
                    <w:r/>
                    <w:r/>
                  </w:p>
                </w:txbxContent>
              </v:textbox>
            </v:shape>
          </w:pict>
        </mc:Fallback>
      </mc:AlternateConten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1"/>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61"/>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61"/>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61"/>
                          </w:pPr>
                          <w:r/>
                          <w:r/>
                        </w:p>
                      </w:txbxContent>
                    </wps:txbx>
                    <wps:bodyPr wrap="none" lIns="0" tIns="0" rIns="0" bIns="0" upright="1">
                      <a:spAutoFit/>
                    </wps:bodyPr>
                  </wps:wsp>
                </a:graphicData>
              </a:graphic>
            </wp:anchor>
          </w:drawing>
        </mc:Choice>
        <mc:Fallback>
          <w:pict>
            <v:shape id="shape 12" o:spid="_x0000_s1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6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09"/>
                            <w:tabs>
                              <w:tab w:val="clear" w:pos="4153" w:leader="none"/>
                              <w:tab w:val="clear" w:pos="8306" w:leader="none"/>
                            </w:tabs>
                            <w:rPr>
                              <w:rFonts w:hint="eastAsia"/>
                            </w:rPr>
                          </w:pPr>
                          <w:r>
                            <w:rPr>
                              <w:rFonts w:hint="eastAsia"/>
                            </w:rPr>
                          </w:r>
                          <w:r/>
                        </w:p>
                        <w:p>
                          <w:pPr>
                            <w:pStyle w:val="1561"/>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09"/>
                      <w:tabs>
                        <w:tab w:val="clear" w:pos="4153" w:leader="none"/>
                        <w:tab w:val="clear" w:pos="8306" w:leader="none"/>
                      </w:tabs>
                      <w:rPr>
                        <w:rFonts w:hint="eastAsia"/>
                      </w:rPr>
                    </w:pPr>
                    <w:r>
                      <w:rPr>
                        <w:rFonts w:hint="eastAsia"/>
                      </w:rPr>
                    </w:r>
                    <w:r/>
                  </w:p>
                  <w:p>
                    <w:pPr>
                      <w:pStyle w:val="1561"/>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1"/>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61"/>
                          </w:pPr>
                          <w:r/>
                          <w:r/>
                        </w:p>
                      </w:txbxContent>
                    </wps:txbx>
                    <wps:bodyPr wrap="none" lIns="0" tIns="0" rIns="0" bIns="0" upright="1">
                      <a:spAutoFit/>
                    </wps:bodyPr>
                  </wps:wsp>
                </a:graphicData>
              </a:graphic>
            </wp:anchor>
          </w:drawing>
        </mc:Choice>
        <mc:Fallback>
          <w:pict>
            <v:shape id="shape 14" o:spid="_x0000_s14"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61"/>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61"/>
                          </w:pPr>
                          <w:r/>
                          <w:r/>
                        </w:p>
                      </w:txbxContent>
                    </wps:txbx>
                    <wps:bodyPr wrap="none" lIns="0" tIns="0" rIns="0" bIns="0" upright="1">
                      <a:spAutoFit/>
                    </wps:bodyPr>
                  </wps:wsp>
                </a:graphicData>
              </a:graphic>
            </wp:anchor>
          </w:drawing>
        </mc:Choice>
        <mc:Fallback>
          <w:pict>
            <v:shape id="shape 15" o:spid="_x0000_s15"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6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09"/>
                            <w:tabs>
                              <w:tab w:val="clear" w:pos="4153" w:leader="none"/>
                              <w:tab w:val="clear" w:pos="8306" w:leader="none"/>
                            </w:tabs>
                            <w:rPr>
                              <w:rFonts w:hint="eastAsia"/>
                            </w:rPr>
                          </w:pPr>
                          <w:r>
                            <w:rPr>
                              <w:rFonts w:hint="eastAsia"/>
                            </w:rPr>
                          </w:r>
                          <w:r/>
                        </w:p>
                        <w:p>
                          <w:pPr>
                            <w:pStyle w:val="1561"/>
                          </w:pPr>
                          <w:r/>
                          <w:r/>
                        </w:p>
                      </w:txbxContent>
                    </wps:txbx>
                    <wps:bodyPr wrap="none" lIns="0" tIns="0" rIns="0" bIns="0" upright="1">
                      <a:spAutoFit/>
                    </wps:bodyPr>
                  </wps:wsp>
                </a:graphicData>
              </a:graphic>
            </wp:anchor>
          </w:drawing>
        </mc:Choice>
        <mc:Fallback>
          <w:pict>
            <v:shape id="shape 16" o:spid="_x0000_s1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09"/>
                      <w:tabs>
                        <w:tab w:val="clear" w:pos="4153" w:leader="none"/>
                        <w:tab w:val="clear" w:pos="8306" w:leader="none"/>
                      </w:tabs>
                      <w:rPr>
                        <w:rFonts w:hint="eastAsia"/>
                      </w:rPr>
                    </w:pPr>
                    <w:r>
                      <w:rPr>
                        <w:rFonts w:hint="eastAsia"/>
                      </w:rPr>
                    </w:r>
                    <w:r/>
                  </w:p>
                  <w:p>
                    <w:pPr>
                      <w:pStyle w:val="1561"/>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61"/>
                          </w:pPr>
                          <w:r/>
                          <w:r/>
                        </w:p>
                      </w:txbxContent>
                    </wps:txbx>
                    <wps:bodyPr wrap="none" lIns="0" tIns="0" rIns="0" bIns="0" upright="1">
                      <a:spAutoFit/>
                    </wps:bodyPr>
                  </wps:wsp>
                </a:graphicData>
              </a:graphic>
            </wp:anchor>
          </w:drawing>
        </mc:Choice>
        <mc:Fallback>
          <w:pict>
            <v:shape id="shape 17" o:spid="_x0000_s17"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61"/>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61"/>
                          </w:pPr>
                          <w:r/>
                          <w:r/>
                        </w:p>
                      </w:txbxContent>
                    </wps:txbx>
                    <wps:bodyPr wrap="none" lIns="0" tIns="0" rIns="0" bIns="0" upright="1">
                      <a:spAutoFit/>
                    </wps:bodyPr>
                  </wps:wsp>
                </a:graphicData>
              </a:graphic>
            </wp:anchor>
          </w:drawing>
        </mc:Choice>
        <mc:Fallback>
          <w:pict>
            <v:shape id="shape 18" o:spid="_x0000_s18"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61"/>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61"/>
                          </w:pPr>
                          <w:r/>
                          <w:r/>
                        </w:p>
                      </w:txbxContent>
                    </wps:txbx>
                    <wps:bodyPr wrap="none" lIns="0" tIns="0" rIns="0" bIns="0" upright="1">
                      <a:spAutoFit/>
                    </wps:bodyPr>
                  </wps:wsp>
                </a:graphicData>
              </a:graphic>
            </wp:anchor>
          </w:drawing>
        </mc:Choice>
        <mc:Fallback>
          <w:pict>
            <v:shape id="shape 19" o:spid="_x0000_s19"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61"/>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61"/>
                          </w:pPr>
                          <w:r/>
                          <w:r/>
                        </w:p>
                      </w:txbxContent>
                    </wps:txbx>
                    <wps:bodyPr wrap="none" lIns="0" tIns="0" rIns="0" bIns="0" upright="1">
                      <a:spAutoFit/>
                    </wps:bodyPr>
                  </wps:wsp>
                </a:graphicData>
              </a:graphic>
            </wp:anchor>
          </w:drawing>
        </mc:Choice>
        <mc:Fallback>
          <w:pict>
            <v:shape id="shape 20" o:spid="_x0000_s20"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9"/>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2"/>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2"/>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2"/>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5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5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5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84">
    <w:name w:val="Heading 1"/>
    <w:basedOn w:val="1561"/>
    <w:next w:val="1561"/>
    <w:link w:val="1385"/>
    <w:uiPriority w:val="9"/>
    <w:qFormat/>
    <w:pPr>
      <w:keepLines/>
      <w:keepNext/>
      <w:spacing w:before="480" w:after="200"/>
      <w:outlineLvl w:val="0"/>
    </w:pPr>
    <w:rPr>
      <w:rFonts w:ascii="Arial" w:hAnsi="Arial" w:eastAsia="Arial" w:cs="Arial"/>
      <w:sz w:val="40"/>
      <w:szCs w:val="40"/>
    </w:rPr>
  </w:style>
  <w:style w:type="character" w:styleId="1385">
    <w:name w:val="Heading 1 Char"/>
    <w:link w:val="1384"/>
    <w:uiPriority w:val="9"/>
    <w:rPr>
      <w:rFonts w:ascii="Arial" w:hAnsi="Arial" w:eastAsia="Arial" w:cs="Arial"/>
      <w:sz w:val="40"/>
      <w:szCs w:val="40"/>
    </w:rPr>
  </w:style>
  <w:style w:type="paragraph" w:styleId="1386">
    <w:name w:val="Heading 2"/>
    <w:basedOn w:val="1561"/>
    <w:next w:val="1561"/>
    <w:link w:val="1387"/>
    <w:uiPriority w:val="9"/>
    <w:unhideWhenUsed/>
    <w:qFormat/>
    <w:pPr>
      <w:keepLines/>
      <w:keepNext/>
      <w:spacing w:before="360" w:after="200"/>
      <w:outlineLvl w:val="1"/>
    </w:pPr>
    <w:rPr>
      <w:rFonts w:ascii="Arial" w:hAnsi="Arial" w:eastAsia="Arial" w:cs="Arial"/>
      <w:sz w:val="34"/>
    </w:rPr>
  </w:style>
  <w:style w:type="character" w:styleId="1387">
    <w:name w:val="Heading 2 Char"/>
    <w:link w:val="1386"/>
    <w:uiPriority w:val="9"/>
    <w:rPr>
      <w:rFonts w:ascii="Arial" w:hAnsi="Arial" w:eastAsia="Arial" w:cs="Arial"/>
      <w:sz w:val="34"/>
    </w:rPr>
  </w:style>
  <w:style w:type="paragraph" w:styleId="1388">
    <w:name w:val="Heading 3"/>
    <w:basedOn w:val="1561"/>
    <w:next w:val="1561"/>
    <w:link w:val="1389"/>
    <w:uiPriority w:val="9"/>
    <w:unhideWhenUsed/>
    <w:qFormat/>
    <w:pPr>
      <w:keepLines/>
      <w:keepNext/>
      <w:spacing w:before="320" w:after="200"/>
      <w:outlineLvl w:val="2"/>
    </w:pPr>
    <w:rPr>
      <w:rFonts w:ascii="Arial" w:hAnsi="Arial" w:eastAsia="Arial" w:cs="Arial"/>
      <w:sz w:val="30"/>
      <w:szCs w:val="30"/>
    </w:rPr>
  </w:style>
  <w:style w:type="character" w:styleId="1389">
    <w:name w:val="Heading 3 Char"/>
    <w:link w:val="1388"/>
    <w:uiPriority w:val="9"/>
    <w:rPr>
      <w:rFonts w:ascii="Arial" w:hAnsi="Arial" w:eastAsia="Arial" w:cs="Arial"/>
      <w:sz w:val="30"/>
      <w:szCs w:val="30"/>
    </w:rPr>
  </w:style>
  <w:style w:type="paragraph" w:styleId="1390">
    <w:name w:val="Heading 4"/>
    <w:basedOn w:val="1561"/>
    <w:next w:val="1561"/>
    <w:link w:val="1391"/>
    <w:uiPriority w:val="9"/>
    <w:unhideWhenUsed/>
    <w:qFormat/>
    <w:pPr>
      <w:keepLines/>
      <w:keepNext/>
      <w:spacing w:before="320" w:after="200"/>
      <w:outlineLvl w:val="3"/>
    </w:pPr>
    <w:rPr>
      <w:rFonts w:ascii="Arial" w:hAnsi="Arial" w:eastAsia="Arial" w:cs="Arial"/>
      <w:b/>
      <w:bCs/>
      <w:sz w:val="26"/>
      <w:szCs w:val="26"/>
    </w:rPr>
  </w:style>
  <w:style w:type="character" w:styleId="1391">
    <w:name w:val="Heading 4 Char"/>
    <w:link w:val="1390"/>
    <w:uiPriority w:val="9"/>
    <w:rPr>
      <w:rFonts w:ascii="Arial" w:hAnsi="Arial" w:eastAsia="Arial" w:cs="Arial"/>
      <w:b/>
      <w:bCs/>
      <w:sz w:val="26"/>
      <w:szCs w:val="26"/>
    </w:rPr>
  </w:style>
  <w:style w:type="paragraph" w:styleId="1392">
    <w:name w:val="Heading 5"/>
    <w:basedOn w:val="1561"/>
    <w:next w:val="1561"/>
    <w:link w:val="1393"/>
    <w:uiPriority w:val="9"/>
    <w:unhideWhenUsed/>
    <w:qFormat/>
    <w:pPr>
      <w:keepLines/>
      <w:keepNext/>
      <w:spacing w:before="320" w:after="200"/>
      <w:outlineLvl w:val="4"/>
    </w:pPr>
    <w:rPr>
      <w:rFonts w:ascii="Arial" w:hAnsi="Arial" w:eastAsia="Arial" w:cs="Arial"/>
      <w:b/>
      <w:bCs/>
      <w:sz w:val="24"/>
      <w:szCs w:val="24"/>
    </w:rPr>
  </w:style>
  <w:style w:type="character" w:styleId="1393">
    <w:name w:val="Heading 5 Char"/>
    <w:link w:val="1392"/>
    <w:uiPriority w:val="9"/>
    <w:rPr>
      <w:rFonts w:ascii="Arial" w:hAnsi="Arial" w:eastAsia="Arial" w:cs="Arial"/>
      <w:b/>
      <w:bCs/>
      <w:sz w:val="24"/>
      <w:szCs w:val="24"/>
    </w:rPr>
  </w:style>
  <w:style w:type="paragraph" w:styleId="1394">
    <w:name w:val="Heading 6"/>
    <w:basedOn w:val="1561"/>
    <w:next w:val="1561"/>
    <w:link w:val="1395"/>
    <w:uiPriority w:val="9"/>
    <w:unhideWhenUsed/>
    <w:qFormat/>
    <w:pPr>
      <w:keepLines/>
      <w:keepNext/>
      <w:spacing w:before="320" w:after="200"/>
      <w:outlineLvl w:val="5"/>
    </w:pPr>
    <w:rPr>
      <w:rFonts w:ascii="Arial" w:hAnsi="Arial" w:eastAsia="Arial" w:cs="Arial"/>
      <w:b/>
      <w:bCs/>
      <w:sz w:val="22"/>
      <w:szCs w:val="22"/>
    </w:rPr>
  </w:style>
  <w:style w:type="character" w:styleId="1395">
    <w:name w:val="Heading 6 Char"/>
    <w:link w:val="1394"/>
    <w:uiPriority w:val="9"/>
    <w:rPr>
      <w:rFonts w:ascii="Arial" w:hAnsi="Arial" w:eastAsia="Arial" w:cs="Arial"/>
      <w:b/>
      <w:bCs/>
      <w:sz w:val="22"/>
      <w:szCs w:val="22"/>
    </w:rPr>
  </w:style>
  <w:style w:type="paragraph" w:styleId="1396">
    <w:name w:val="Heading 7"/>
    <w:basedOn w:val="1561"/>
    <w:next w:val="1561"/>
    <w:link w:val="1397"/>
    <w:uiPriority w:val="9"/>
    <w:unhideWhenUsed/>
    <w:qFormat/>
    <w:pPr>
      <w:keepLines/>
      <w:keepNext/>
      <w:spacing w:before="320" w:after="200"/>
      <w:outlineLvl w:val="6"/>
    </w:pPr>
    <w:rPr>
      <w:rFonts w:ascii="Arial" w:hAnsi="Arial" w:eastAsia="Arial" w:cs="Arial"/>
      <w:b/>
      <w:bCs/>
      <w:i/>
      <w:iCs/>
      <w:sz w:val="22"/>
      <w:szCs w:val="22"/>
    </w:rPr>
  </w:style>
  <w:style w:type="character" w:styleId="1397">
    <w:name w:val="Heading 7 Char"/>
    <w:link w:val="1396"/>
    <w:uiPriority w:val="9"/>
    <w:rPr>
      <w:rFonts w:ascii="Arial" w:hAnsi="Arial" w:eastAsia="Arial" w:cs="Arial"/>
      <w:b/>
      <w:bCs/>
      <w:i/>
      <w:iCs/>
      <w:sz w:val="22"/>
      <w:szCs w:val="22"/>
    </w:rPr>
  </w:style>
  <w:style w:type="paragraph" w:styleId="1398">
    <w:name w:val="Heading 8"/>
    <w:basedOn w:val="1561"/>
    <w:next w:val="1561"/>
    <w:link w:val="1399"/>
    <w:uiPriority w:val="9"/>
    <w:unhideWhenUsed/>
    <w:qFormat/>
    <w:pPr>
      <w:keepLines/>
      <w:keepNext/>
      <w:spacing w:before="320" w:after="200"/>
      <w:outlineLvl w:val="7"/>
    </w:pPr>
    <w:rPr>
      <w:rFonts w:ascii="Arial" w:hAnsi="Arial" w:eastAsia="Arial" w:cs="Arial"/>
      <w:i/>
      <w:iCs/>
      <w:sz w:val="22"/>
      <w:szCs w:val="22"/>
    </w:rPr>
  </w:style>
  <w:style w:type="character" w:styleId="1399">
    <w:name w:val="Heading 8 Char"/>
    <w:link w:val="1398"/>
    <w:uiPriority w:val="9"/>
    <w:rPr>
      <w:rFonts w:ascii="Arial" w:hAnsi="Arial" w:eastAsia="Arial" w:cs="Arial"/>
      <w:i/>
      <w:iCs/>
      <w:sz w:val="22"/>
      <w:szCs w:val="22"/>
    </w:rPr>
  </w:style>
  <w:style w:type="paragraph" w:styleId="1400">
    <w:name w:val="Heading 9"/>
    <w:basedOn w:val="1561"/>
    <w:next w:val="1561"/>
    <w:link w:val="1401"/>
    <w:uiPriority w:val="9"/>
    <w:unhideWhenUsed/>
    <w:qFormat/>
    <w:pPr>
      <w:keepLines/>
      <w:keepNext/>
      <w:spacing w:before="320" w:after="200"/>
      <w:outlineLvl w:val="8"/>
    </w:pPr>
    <w:rPr>
      <w:rFonts w:ascii="Arial" w:hAnsi="Arial" w:eastAsia="Arial" w:cs="Arial"/>
      <w:i/>
      <w:iCs/>
      <w:sz w:val="21"/>
      <w:szCs w:val="21"/>
    </w:rPr>
  </w:style>
  <w:style w:type="character" w:styleId="1401">
    <w:name w:val="Heading 9 Char"/>
    <w:link w:val="1400"/>
    <w:uiPriority w:val="9"/>
    <w:rPr>
      <w:rFonts w:ascii="Arial" w:hAnsi="Arial" w:eastAsia="Arial" w:cs="Arial"/>
      <w:i/>
      <w:iCs/>
      <w:sz w:val="21"/>
      <w:szCs w:val="21"/>
    </w:rPr>
  </w:style>
  <w:style w:type="paragraph" w:styleId="1402">
    <w:name w:val="List Paragraph"/>
    <w:basedOn w:val="1561"/>
    <w:uiPriority w:val="34"/>
    <w:qFormat/>
    <w:pPr>
      <w:contextualSpacing/>
      <w:ind w:left="720"/>
    </w:pPr>
  </w:style>
  <w:style w:type="paragraph" w:styleId="1403">
    <w:name w:val="Title"/>
    <w:basedOn w:val="1561"/>
    <w:next w:val="1561"/>
    <w:link w:val="1404"/>
    <w:uiPriority w:val="10"/>
    <w:qFormat/>
    <w:pPr>
      <w:contextualSpacing/>
      <w:spacing w:before="300" w:after="200"/>
    </w:pPr>
    <w:rPr>
      <w:sz w:val="48"/>
      <w:szCs w:val="48"/>
    </w:rPr>
  </w:style>
  <w:style w:type="character" w:styleId="1404">
    <w:name w:val="Title Char"/>
    <w:link w:val="1403"/>
    <w:uiPriority w:val="10"/>
    <w:rPr>
      <w:sz w:val="48"/>
      <w:szCs w:val="48"/>
    </w:rPr>
  </w:style>
  <w:style w:type="paragraph" w:styleId="1405">
    <w:name w:val="Subtitle"/>
    <w:basedOn w:val="1561"/>
    <w:next w:val="1561"/>
    <w:link w:val="1406"/>
    <w:uiPriority w:val="11"/>
    <w:qFormat/>
    <w:pPr>
      <w:spacing w:before="200" w:after="200"/>
    </w:pPr>
    <w:rPr>
      <w:sz w:val="24"/>
      <w:szCs w:val="24"/>
    </w:rPr>
  </w:style>
  <w:style w:type="character" w:styleId="1406">
    <w:name w:val="Subtitle Char"/>
    <w:link w:val="1405"/>
    <w:uiPriority w:val="11"/>
    <w:rPr>
      <w:sz w:val="24"/>
      <w:szCs w:val="24"/>
    </w:rPr>
  </w:style>
  <w:style w:type="paragraph" w:styleId="1407">
    <w:name w:val="Quote"/>
    <w:basedOn w:val="1561"/>
    <w:next w:val="1561"/>
    <w:link w:val="1408"/>
    <w:uiPriority w:val="29"/>
    <w:qFormat/>
    <w:pPr>
      <w:ind w:left="720" w:right="720"/>
    </w:pPr>
    <w:rPr>
      <w:i/>
    </w:rPr>
  </w:style>
  <w:style w:type="character" w:styleId="1408">
    <w:name w:val="Quote Char"/>
    <w:link w:val="1407"/>
    <w:uiPriority w:val="29"/>
    <w:rPr>
      <w:i/>
    </w:rPr>
  </w:style>
  <w:style w:type="paragraph" w:styleId="1409">
    <w:name w:val="Intense Quote"/>
    <w:basedOn w:val="1561"/>
    <w:next w:val="1561"/>
    <w:link w:val="14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10">
    <w:name w:val="Intense Quote Char"/>
    <w:link w:val="1409"/>
    <w:uiPriority w:val="30"/>
    <w:rPr>
      <w:i/>
    </w:rPr>
  </w:style>
  <w:style w:type="paragraph" w:styleId="1411">
    <w:name w:val="Header"/>
    <w:basedOn w:val="1561"/>
    <w:link w:val="1412"/>
    <w:uiPriority w:val="99"/>
    <w:unhideWhenUsed/>
    <w:pPr>
      <w:spacing w:after="0" w:line="240" w:lineRule="auto"/>
      <w:tabs>
        <w:tab w:val="center" w:pos="7143" w:leader="none"/>
        <w:tab w:val="right" w:pos="14287" w:leader="none"/>
      </w:tabs>
    </w:pPr>
  </w:style>
  <w:style w:type="character" w:styleId="1412">
    <w:name w:val="Header Char"/>
    <w:link w:val="1411"/>
    <w:uiPriority w:val="99"/>
  </w:style>
  <w:style w:type="paragraph" w:styleId="1413">
    <w:name w:val="Footer"/>
    <w:basedOn w:val="1561"/>
    <w:link w:val="1416"/>
    <w:uiPriority w:val="99"/>
    <w:unhideWhenUsed/>
    <w:pPr>
      <w:spacing w:after="0" w:line="240" w:lineRule="auto"/>
      <w:tabs>
        <w:tab w:val="center" w:pos="7143" w:leader="none"/>
        <w:tab w:val="right" w:pos="14287" w:leader="none"/>
      </w:tabs>
    </w:pPr>
  </w:style>
  <w:style w:type="character" w:styleId="1414">
    <w:name w:val="Footer Char"/>
    <w:link w:val="1413"/>
    <w:uiPriority w:val="99"/>
  </w:style>
  <w:style w:type="paragraph" w:styleId="1415">
    <w:name w:val="Caption"/>
    <w:basedOn w:val="1561"/>
    <w:next w:val="1561"/>
    <w:uiPriority w:val="35"/>
    <w:semiHidden/>
    <w:unhideWhenUsed/>
    <w:qFormat/>
    <w:pPr>
      <w:spacing w:line="276" w:lineRule="auto"/>
    </w:pPr>
    <w:rPr>
      <w:b/>
      <w:bCs/>
      <w:color w:val="4f81bd" w:themeColor="accent1"/>
      <w:sz w:val="18"/>
      <w:szCs w:val="18"/>
    </w:rPr>
  </w:style>
  <w:style w:type="character" w:styleId="1416">
    <w:name w:val="Caption Char"/>
    <w:basedOn w:val="1415"/>
    <w:link w:val="1413"/>
    <w:uiPriority w:val="99"/>
  </w:style>
  <w:style w:type="table" w:styleId="14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5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5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43">
    <w:name w:val="Hyperlink"/>
    <w:uiPriority w:val="99"/>
    <w:unhideWhenUsed/>
    <w:rPr>
      <w:color w:val="0000ff" w:themeColor="hyperlink"/>
      <w:u w:val="single"/>
    </w:rPr>
  </w:style>
  <w:style w:type="paragraph" w:styleId="1544">
    <w:name w:val="footnote text"/>
    <w:basedOn w:val="1561"/>
    <w:link w:val="1545"/>
    <w:uiPriority w:val="99"/>
    <w:semiHidden/>
    <w:unhideWhenUsed/>
    <w:pPr>
      <w:spacing w:after="40" w:line="240" w:lineRule="auto"/>
    </w:pPr>
    <w:rPr>
      <w:sz w:val="18"/>
    </w:rPr>
  </w:style>
  <w:style w:type="character" w:styleId="1545">
    <w:name w:val="Footnote Text Char"/>
    <w:link w:val="1544"/>
    <w:uiPriority w:val="99"/>
    <w:rPr>
      <w:sz w:val="18"/>
    </w:rPr>
  </w:style>
  <w:style w:type="character" w:styleId="1546">
    <w:name w:val="footnote reference"/>
    <w:uiPriority w:val="99"/>
    <w:unhideWhenUsed/>
    <w:rPr>
      <w:vertAlign w:val="superscript"/>
    </w:rPr>
  </w:style>
  <w:style w:type="paragraph" w:styleId="1547">
    <w:name w:val="endnote text"/>
    <w:basedOn w:val="1561"/>
    <w:link w:val="1548"/>
    <w:uiPriority w:val="99"/>
    <w:semiHidden/>
    <w:unhideWhenUsed/>
    <w:pPr>
      <w:spacing w:after="0" w:line="240" w:lineRule="auto"/>
    </w:pPr>
    <w:rPr>
      <w:sz w:val="20"/>
    </w:rPr>
  </w:style>
  <w:style w:type="character" w:styleId="1548">
    <w:name w:val="Endnote Text Char"/>
    <w:link w:val="1547"/>
    <w:uiPriority w:val="99"/>
    <w:rPr>
      <w:sz w:val="20"/>
    </w:rPr>
  </w:style>
  <w:style w:type="character" w:styleId="1549">
    <w:name w:val="endnote reference"/>
    <w:uiPriority w:val="99"/>
    <w:semiHidden/>
    <w:unhideWhenUsed/>
    <w:rPr>
      <w:vertAlign w:val="superscript"/>
    </w:rPr>
  </w:style>
  <w:style w:type="paragraph" w:styleId="1550">
    <w:name w:val="toc 1"/>
    <w:basedOn w:val="1561"/>
    <w:next w:val="1561"/>
    <w:uiPriority w:val="39"/>
    <w:unhideWhenUsed/>
    <w:pPr>
      <w:ind w:left="0" w:right="0" w:firstLine="0"/>
      <w:spacing w:after="57"/>
    </w:pPr>
  </w:style>
  <w:style w:type="paragraph" w:styleId="1551">
    <w:name w:val="toc 2"/>
    <w:basedOn w:val="1561"/>
    <w:next w:val="1561"/>
    <w:uiPriority w:val="39"/>
    <w:unhideWhenUsed/>
    <w:pPr>
      <w:ind w:left="283" w:right="0" w:firstLine="0"/>
      <w:spacing w:after="57"/>
    </w:pPr>
  </w:style>
  <w:style w:type="paragraph" w:styleId="1552">
    <w:name w:val="toc 3"/>
    <w:basedOn w:val="1561"/>
    <w:next w:val="1561"/>
    <w:uiPriority w:val="39"/>
    <w:unhideWhenUsed/>
    <w:pPr>
      <w:ind w:left="567" w:right="0" w:firstLine="0"/>
      <w:spacing w:after="57"/>
    </w:pPr>
  </w:style>
  <w:style w:type="paragraph" w:styleId="1553">
    <w:name w:val="toc 4"/>
    <w:basedOn w:val="1561"/>
    <w:next w:val="1561"/>
    <w:uiPriority w:val="39"/>
    <w:unhideWhenUsed/>
    <w:pPr>
      <w:ind w:left="850" w:right="0" w:firstLine="0"/>
      <w:spacing w:after="57"/>
    </w:pPr>
  </w:style>
  <w:style w:type="paragraph" w:styleId="1554">
    <w:name w:val="toc 5"/>
    <w:basedOn w:val="1561"/>
    <w:next w:val="1561"/>
    <w:uiPriority w:val="39"/>
    <w:unhideWhenUsed/>
    <w:pPr>
      <w:ind w:left="1134" w:right="0" w:firstLine="0"/>
      <w:spacing w:after="57"/>
    </w:pPr>
  </w:style>
  <w:style w:type="paragraph" w:styleId="1555">
    <w:name w:val="toc 6"/>
    <w:basedOn w:val="1561"/>
    <w:next w:val="1561"/>
    <w:uiPriority w:val="39"/>
    <w:unhideWhenUsed/>
    <w:pPr>
      <w:ind w:left="1417" w:right="0" w:firstLine="0"/>
      <w:spacing w:after="57"/>
    </w:pPr>
  </w:style>
  <w:style w:type="paragraph" w:styleId="1556">
    <w:name w:val="toc 7"/>
    <w:basedOn w:val="1561"/>
    <w:next w:val="1561"/>
    <w:uiPriority w:val="39"/>
    <w:unhideWhenUsed/>
    <w:pPr>
      <w:ind w:left="1701" w:right="0" w:firstLine="0"/>
      <w:spacing w:after="57"/>
    </w:pPr>
  </w:style>
  <w:style w:type="paragraph" w:styleId="1557">
    <w:name w:val="toc 8"/>
    <w:basedOn w:val="1561"/>
    <w:next w:val="1561"/>
    <w:uiPriority w:val="39"/>
    <w:unhideWhenUsed/>
    <w:pPr>
      <w:ind w:left="1984" w:right="0" w:firstLine="0"/>
      <w:spacing w:after="57"/>
    </w:pPr>
  </w:style>
  <w:style w:type="paragraph" w:styleId="1558">
    <w:name w:val="toc 9"/>
    <w:basedOn w:val="1561"/>
    <w:next w:val="1561"/>
    <w:uiPriority w:val="39"/>
    <w:unhideWhenUsed/>
    <w:pPr>
      <w:ind w:left="2268" w:right="0" w:firstLine="0"/>
      <w:spacing w:after="57"/>
    </w:pPr>
  </w:style>
  <w:style w:type="paragraph" w:styleId="1559">
    <w:name w:val="TOC Heading"/>
    <w:uiPriority w:val="39"/>
    <w:unhideWhenUsed/>
  </w:style>
  <w:style w:type="paragraph" w:styleId="1560">
    <w:name w:val="table of figures"/>
    <w:basedOn w:val="1561"/>
    <w:next w:val="1561"/>
    <w:uiPriority w:val="99"/>
    <w:unhideWhenUsed/>
    <w:pPr>
      <w:spacing w:after="0" w:afterAutospacing="0"/>
    </w:pPr>
  </w:style>
  <w:style w:type="paragraph" w:styleId="1561" w:default="1">
    <w:name w:val="Normal"/>
    <w:next w:val="1572"/>
    <w:link w:val="1561"/>
    <w:qFormat/>
    <w:pPr>
      <w:jc w:val="both"/>
      <w:widowControl w:val="off"/>
    </w:pPr>
    <w:rPr>
      <w:sz w:val="21"/>
      <w:lang w:val="en-US" w:eastAsia="zh-CN" w:bidi="ar-SA"/>
    </w:rPr>
  </w:style>
  <w:style w:type="paragraph" w:styleId="1562">
    <w:name w:val="标题 1"/>
    <w:basedOn w:val="1561"/>
    <w:next w:val="1561"/>
    <w:link w:val="1574"/>
    <w:qFormat/>
    <w:pPr>
      <w:jc w:val="center"/>
      <w:keepNext/>
      <w:spacing w:line="440" w:lineRule="exact"/>
      <w:outlineLvl w:val="0"/>
    </w:pPr>
    <w:rPr>
      <w:rFonts w:ascii="宋体"/>
      <w:sz w:val="28"/>
    </w:rPr>
  </w:style>
  <w:style w:type="paragraph" w:styleId="1563">
    <w:name w:val="标题 2"/>
    <w:basedOn w:val="1561"/>
    <w:next w:val="1561"/>
    <w:link w:val="1575"/>
    <w:qFormat/>
    <w:pPr>
      <w:keepLines/>
      <w:keepNext/>
      <w:spacing w:before="260" w:after="260" w:line="416" w:lineRule="auto"/>
      <w:outlineLvl w:val="1"/>
    </w:pPr>
    <w:rPr>
      <w:rFonts w:ascii="Arial" w:hAnsi="Arial" w:eastAsia="黑体"/>
      <w:b/>
      <w:bCs/>
      <w:sz w:val="32"/>
      <w:szCs w:val="32"/>
    </w:rPr>
  </w:style>
  <w:style w:type="paragraph" w:styleId="1564">
    <w:name w:val="标题 3"/>
    <w:basedOn w:val="1561"/>
    <w:next w:val="1561"/>
    <w:link w:val="1576"/>
    <w:qFormat/>
    <w:pPr>
      <w:ind w:left="480" w:hanging="480"/>
      <w:jc w:val="center"/>
      <w:keepNext/>
      <w:spacing w:line="400" w:lineRule="exact"/>
      <w:tabs>
        <w:tab w:val="left" w:pos="480" w:leader="none"/>
      </w:tabs>
      <w:outlineLvl w:val="2"/>
    </w:pPr>
    <w:rPr>
      <w:rFonts w:ascii="仿宋_GB2312" w:eastAsia="仿宋_GB2312"/>
      <w:sz w:val="32"/>
    </w:rPr>
  </w:style>
  <w:style w:type="paragraph" w:styleId="1565">
    <w:name w:val="标题 4"/>
    <w:basedOn w:val="1561"/>
    <w:next w:val="1578"/>
    <w:link w:val="1577"/>
    <w:qFormat/>
    <w:pPr>
      <w:keepLines/>
      <w:keepNext/>
      <w:spacing w:before="280" w:after="290" w:line="372" w:lineRule="auto"/>
      <w:outlineLvl w:val="3"/>
    </w:pPr>
    <w:rPr>
      <w:rFonts w:ascii="Arial" w:hAnsi="Arial" w:eastAsia="黑体"/>
      <w:b/>
      <w:bCs/>
      <w:sz w:val="28"/>
      <w:szCs w:val="28"/>
    </w:rPr>
  </w:style>
  <w:style w:type="paragraph" w:styleId="1566">
    <w:name w:val="标题 5"/>
    <w:basedOn w:val="1561"/>
    <w:next w:val="1561"/>
    <w:link w:val="1580"/>
    <w:qFormat/>
    <w:pPr>
      <w:jc w:val="left"/>
      <w:keepLines/>
      <w:keepNext/>
      <w:spacing w:before="280" w:after="290" w:line="376" w:lineRule="auto"/>
      <w:outlineLvl w:val="4"/>
    </w:pPr>
    <w:rPr>
      <w:rFonts w:ascii="宋体"/>
      <w:b/>
      <w:bCs/>
      <w:sz w:val="28"/>
      <w:szCs w:val="28"/>
    </w:rPr>
  </w:style>
  <w:style w:type="paragraph" w:styleId="1567">
    <w:name w:val="标题 6"/>
    <w:basedOn w:val="1561"/>
    <w:next w:val="1561"/>
    <w:link w:val="1581"/>
    <w:qFormat/>
    <w:pPr>
      <w:jc w:val="left"/>
      <w:keepLines/>
      <w:keepNext/>
      <w:spacing w:before="240" w:after="64" w:line="320" w:lineRule="auto"/>
      <w:outlineLvl w:val="5"/>
    </w:pPr>
    <w:rPr>
      <w:rFonts w:ascii="Arial" w:hAnsi="Arial" w:eastAsia="黑体"/>
      <w:b/>
      <w:bCs/>
      <w:sz w:val="24"/>
      <w:szCs w:val="24"/>
    </w:rPr>
  </w:style>
  <w:style w:type="paragraph" w:styleId="1568">
    <w:name w:val="标题 8"/>
    <w:basedOn w:val="1561"/>
    <w:next w:val="1561"/>
    <w:link w:val="1582"/>
    <w:qFormat/>
    <w:pPr>
      <w:jc w:val="left"/>
      <w:keepLines/>
      <w:keepNext/>
      <w:spacing w:before="240" w:after="64" w:line="320" w:lineRule="auto"/>
      <w:outlineLvl w:val="7"/>
    </w:pPr>
    <w:rPr>
      <w:rFonts w:ascii="Arial" w:hAnsi="Arial" w:eastAsia="黑体"/>
      <w:sz w:val="24"/>
      <w:szCs w:val="24"/>
    </w:rPr>
  </w:style>
  <w:style w:type="paragraph" w:styleId="1569">
    <w:name w:val="标题 9"/>
    <w:basedOn w:val="1561"/>
    <w:next w:val="1561"/>
    <w:link w:val="1583"/>
    <w:qFormat/>
    <w:pPr>
      <w:jc w:val="left"/>
      <w:keepLines/>
      <w:keepNext/>
      <w:spacing w:before="240" w:after="64" w:line="320" w:lineRule="auto"/>
      <w:outlineLvl w:val="8"/>
    </w:pPr>
    <w:rPr>
      <w:rFonts w:ascii="Arial" w:hAnsi="Arial" w:eastAsia="黑体"/>
      <w:szCs w:val="21"/>
    </w:rPr>
  </w:style>
  <w:style w:type="character" w:styleId="1570">
    <w:name w:val="默认段落字体"/>
    <w:next w:val="1570"/>
    <w:link w:val="1561"/>
    <w:uiPriority w:val="1"/>
    <w:unhideWhenUsed/>
  </w:style>
  <w:style w:type="table" w:styleId="1571">
    <w:name w:val="普通表格"/>
    <w:next w:val="1571"/>
    <w:link w:val="156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572">
    <w:name w:val="正文文本"/>
    <w:basedOn w:val="1561"/>
    <w:next w:val="1561"/>
    <w:link w:val="1573"/>
    <w:qFormat/>
    <w:rPr>
      <w:rFonts w:ascii="宋体"/>
      <w:sz w:val="28"/>
    </w:rPr>
  </w:style>
  <w:style w:type="character" w:styleId="1573">
    <w:name w:val="正文文本 字符"/>
    <w:next w:val="1573"/>
    <w:link w:val="1572"/>
    <w:qFormat/>
    <w:rPr>
      <w:rFonts w:ascii="宋体" w:eastAsia="宋体"/>
      <w:sz w:val="28"/>
      <w:lang w:val="en-US" w:eastAsia="zh-CN" w:bidi="ar-SA"/>
    </w:rPr>
  </w:style>
  <w:style w:type="character" w:styleId="1574">
    <w:name w:val="标题 1 字符"/>
    <w:next w:val="1574"/>
    <w:link w:val="1562"/>
    <w:qFormat/>
    <w:rPr>
      <w:rFonts w:ascii="宋体"/>
      <w:sz w:val="28"/>
    </w:rPr>
  </w:style>
  <w:style w:type="character" w:styleId="1575">
    <w:name w:val="标题 2 字符"/>
    <w:next w:val="1575"/>
    <w:link w:val="1563"/>
    <w:qFormat/>
    <w:rPr>
      <w:rFonts w:ascii="Arial" w:hAnsi="Arial" w:eastAsia="黑体"/>
      <w:b/>
      <w:bCs/>
      <w:sz w:val="32"/>
      <w:szCs w:val="32"/>
    </w:rPr>
  </w:style>
  <w:style w:type="character" w:styleId="1576">
    <w:name w:val="标题 3 字符"/>
    <w:next w:val="1576"/>
    <w:link w:val="1564"/>
    <w:qFormat/>
    <w:rPr>
      <w:rFonts w:ascii="仿宋_GB2312" w:eastAsia="仿宋_GB2312"/>
      <w:sz w:val="32"/>
    </w:rPr>
  </w:style>
  <w:style w:type="character" w:styleId="1577">
    <w:name w:val="标题 4 字符"/>
    <w:next w:val="1577"/>
    <w:link w:val="1565"/>
    <w:qFormat/>
    <w:rPr>
      <w:rFonts w:ascii="Arial" w:hAnsi="Arial" w:eastAsia="黑体" w:cs="Arial"/>
      <w:b/>
      <w:bCs/>
      <w:sz w:val="28"/>
      <w:szCs w:val="28"/>
    </w:rPr>
  </w:style>
  <w:style w:type="paragraph" w:styleId="1578">
    <w:name w:val="正文缩进"/>
    <w:basedOn w:val="1561"/>
    <w:next w:val="1578"/>
    <w:link w:val="1579"/>
    <w:qFormat/>
    <w:pPr>
      <w:ind w:firstLine="420"/>
    </w:pPr>
    <w:rPr>
      <w:b/>
      <w:sz w:val="24"/>
    </w:rPr>
  </w:style>
  <w:style w:type="character" w:styleId="1579">
    <w:name w:val="正文缩进 字符"/>
    <w:next w:val="1579"/>
    <w:link w:val="1578"/>
    <w:qFormat/>
    <w:rPr>
      <w:b/>
      <w:sz w:val="24"/>
    </w:rPr>
  </w:style>
  <w:style w:type="character" w:styleId="1580">
    <w:name w:val="标题 5 字符"/>
    <w:next w:val="1580"/>
    <w:link w:val="1566"/>
    <w:qFormat/>
    <w:rPr>
      <w:rFonts w:ascii="宋体"/>
      <w:b/>
      <w:bCs/>
      <w:sz w:val="28"/>
      <w:szCs w:val="28"/>
    </w:rPr>
  </w:style>
  <w:style w:type="character" w:styleId="1581">
    <w:name w:val="标题 6 字符"/>
    <w:next w:val="1581"/>
    <w:link w:val="1567"/>
    <w:qFormat/>
    <w:rPr>
      <w:rFonts w:ascii="Arial" w:hAnsi="Arial" w:eastAsia="黑体"/>
      <w:b/>
      <w:bCs/>
      <w:sz w:val="24"/>
      <w:szCs w:val="24"/>
    </w:rPr>
  </w:style>
  <w:style w:type="character" w:styleId="1582">
    <w:name w:val="标题 8 字符"/>
    <w:next w:val="1582"/>
    <w:link w:val="1568"/>
    <w:qFormat/>
    <w:rPr>
      <w:rFonts w:ascii="Arial" w:hAnsi="Arial" w:eastAsia="黑体"/>
      <w:sz w:val="24"/>
      <w:szCs w:val="24"/>
    </w:rPr>
  </w:style>
  <w:style w:type="character" w:styleId="1583">
    <w:name w:val="标题 9 字符"/>
    <w:next w:val="1583"/>
    <w:link w:val="1569"/>
    <w:qFormat/>
    <w:rPr>
      <w:rFonts w:ascii="Arial" w:hAnsi="Arial" w:eastAsia="黑体"/>
      <w:sz w:val="21"/>
      <w:szCs w:val="21"/>
    </w:rPr>
  </w:style>
  <w:style w:type="paragraph" w:styleId="1584">
    <w:name w:val="列表 3"/>
    <w:basedOn w:val="1561"/>
    <w:next w:val="1584"/>
    <w:link w:val="1561"/>
    <w:qFormat/>
    <w:pPr>
      <w:contextualSpacing/>
      <w:ind w:left="100" w:hanging="200"/>
    </w:pPr>
  </w:style>
  <w:style w:type="paragraph" w:styleId="1585">
    <w:name w:val="目录 7"/>
    <w:basedOn w:val="1561"/>
    <w:next w:val="1561"/>
    <w:link w:val="1561"/>
    <w:uiPriority w:val="39"/>
    <w:qFormat/>
    <w:pPr>
      <w:ind w:left="2520"/>
    </w:pPr>
  </w:style>
  <w:style w:type="paragraph" w:styleId="1586">
    <w:name w:val="题注"/>
    <w:basedOn w:val="1561"/>
    <w:next w:val="1561"/>
    <w:link w:val="1561"/>
    <w:qFormat/>
    <w:pPr>
      <w:ind w:firstLine="200"/>
      <w:spacing w:line="360" w:lineRule="auto"/>
    </w:pPr>
    <w:rPr>
      <w:rFonts w:ascii="Cambria" w:hAnsi="Cambria" w:eastAsia="黑体"/>
      <w:sz w:val="20"/>
    </w:rPr>
  </w:style>
  <w:style w:type="paragraph" w:styleId="1587">
    <w:name w:val="列表项目符号"/>
    <w:basedOn w:val="1561"/>
    <w:next w:val="1587"/>
    <w:link w:val="1561"/>
    <w:qFormat/>
    <w:pPr>
      <w:ind w:firstLine="288"/>
      <w:spacing w:line="360" w:lineRule="atLeast"/>
      <w:tabs>
        <w:tab w:val="left" w:pos="0" w:leader="none"/>
        <w:tab w:val="left" w:pos="360" w:leader="none"/>
      </w:tabs>
    </w:pPr>
    <w:rPr>
      <w:rFonts w:ascii="Arial" w:hAnsi="Arial"/>
      <w:szCs w:val="21"/>
    </w:rPr>
  </w:style>
  <w:style w:type="paragraph" w:styleId="1588">
    <w:name w:val="文档结构图"/>
    <w:basedOn w:val="1561"/>
    <w:next w:val="1588"/>
    <w:link w:val="1589"/>
    <w:qFormat/>
    <w:pPr>
      <w:jc w:val="left"/>
    </w:pPr>
    <w:rPr>
      <w:rFonts w:ascii="宋体" w:eastAsia="仿宋_GB2312"/>
      <w:sz w:val="18"/>
      <w:szCs w:val="18"/>
    </w:rPr>
  </w:style>
  <w:style w:type="character" w:styleId="1589">
    <w:name w:val="文档结构图 字符"/>
    <w:next w:val="1589"/>
    <w:link w:val="1588"/>
    <w:qFormat/>
    <w:rPr>
      <w:rFonts w:ascii="宋体" w:eastAsia="仿宋_GB2312"/>
      <w:sz w:val="18"/>
      <w:szCs w:val="18"/>
    </w:rPr>
  </w:style>
  <w:style w:type="paragraph" w:styleId="1590">
    <w:name w:val="引文目录标题"/>
    <w:basedOn w:val="1561"/>
    <w:next w:val="1561"/>
    <w:link w:val="1561"/>
    <w:qFormat/>
    <w:pPr>
      <w:spacing w:before="120"/>
    </w:pPr>
    <w:rPr>
      <w:rFonts w:ascii="Arial" w:hAnsi="Arial" w:cs="Arial"/>
      <w:sz w:val="24"/>
      <w:szCs w:val="24"/>
    </w:rPr>
  </w:style>
  <w:style w:type="paragraph" w:styleId="1591">
    <w:name w:val="批注文字"/>
    <w:basedOn w:val="1561"/>
    <w:next w:val="1591"/>
    <w:link w:val="1592"/>
    <w:qFormat/>
    <w:pPr>
      <w:jc w:val="left"/>
    </w:pPr>
  </w:style>
  <w:style w:type="character" w:styleId="1592">
    <w:name w:val="批注文字 字符"/>
    <w:next w:val="1592"/>
    <w:link w:val="1591"/>
    <w:qFormat/>
    <w:rPr>
      <w:sz w:val="21"/>
    </w:rPr>
  </w:style>
  <w:style w:type="paragraph" w:styleId="1593">
    <w:name w:val="正文文本缩进"/>
    <w:basedOn w:val="1561"/>
    <w:next w:val="1593"/>
    <w:link w:val="1594"/>
    <w:qFormat/>
    <w:pPr>
      <w:ind w:firstLine="420"/>
      <w:spacing w:line="360" w:lineRule="auto"/>
    </w:pPr>
    <w:rPr>
      <w:rFonts w:ascii="宋体"/>
      <w:sz w:val="24"/>
    </w:rPr>
  </w:style>
  <w:style w:type="character" w:styleId="1594">
    <w:name w:val="正文文本缩进 字符"/>
    <w:next w:val="1594"/>
    <w:link w:val="1593"/>
    <w:qFormat/>
    <w:rPr>
      <w:rFonts w:ascii="宋体"/>
      <w:sz w:val="24"/>
    </w:rPr>
  </w:style>
  <w:style w:type="paragraph" w:styleId="1595">
    <w:name w:val="列表 2"/>
    <w:basedOn w:val="1561"/>
    <w:next w:val="1595"/>
    <w:link w:val="1561"/>
    <w:qFormat/>
    <w:pPr>
      <w:ind w:left="100" w:hanging="200"/>
    </w:pPr>
  </w:style>
  <w:style w:type="paragraph" w:styleId="1596">
    <w:name w:val="文本块"/>
    <w:basedOn w:val="1561"/>
    <w:next w:val="1596"/>
    <w:link w:val="1561"/>
    <w:uiPriority w:val="99"/>
    <w:unhideWhenUsed/>
    <w:qFormat/>
    <w:pPr>
      <w:ind w:left="1440" w:right="1440"/>
      <w:spacing w:after="120"/>
    </w:pPr>
  </w:style>
  <w:style w:type="paragraph" w:styleId="1597">
    <w:name w:val="索引 4"/>
    <w:basedOn w:val="1561"/>
    <w:next w:val="1561"/>
    <w:link w:val="1561"/>
    <w:uiPriority w:val="99"/>
    <w:unhideWhenUsed/>
    <w:qFormat/>
    <w:pPr>
      <w:ind w:left="600"/>
    </w:pPr>
    <w:rPr>
      <w:rFonts w:ascii="Verdana" w:hAnsi="Verdana"/>
      <w:szCs w:val="20"/>
    </w:rPr>
  </w:style>
  <w:style w:type="paragraph" w:styleId="1598">
    <w:name w:val="目录 5"/>
    <w:basedOn w:val="1561"/>
    <w:next w:val="1561"/>
    <w:link w:val="1561"/>
    <w:uiPriority w:val="39"/>
    <w:qFormat/>
    <w:pPr>
      <w:ind w:left="1680"/>
    </w:pPr>
  </w:style>
  <w:style w:type="paragraph" w:styleId="1599">
    <w:name w:val="目录 3"/>
    <w:basedOn w:val="1561"/>
    <w:next w:val="1561"/>
    <w:link w:val="1561"/>
    <w:uiPriority w:val="39"/>
    <w:qFormat/>
    <w:pPr>
      <w:ind w:left="840"/>
    </w:pPr>
  </w:style>
  <w:style w:type="paragraph" w:styleId="1600">
    <w:name w:val="纯文本"/>
    <w:basedOn w:val="1561"/>
    <w:next w:val="1600"/>
    <w:link w:val="1601"/>
    <w:qFormat/>
    <w:rPr>
      <w:rFonts w:ascii="宋体" w:hAnsi="Courier New"/>
    </w:rPr>
  </w:style>
  <w:style w:type="character" w:styleId="1601">
    <w:name w:val="纯文本 字符"/>
    <w:next w:val="1601"/>
    <w:link w:val="1600"/>
    <w:qFormat/>
    <w:rPr>
      <w:rFonts w:ascii="宋体" w:hAnsi="Courier New" w:eastAsia="宋体"/>
      <w:sz w:val="21"/>
      <w:lang w:val="en-US" w:eastAsia="zh-CN" w:bidi="ar-SA"/>
    </w:rPr>
  </w:style>
  <w:style w:type="paragraph" w:styleId="1602">
    <w:name w:val="目录 8"/>
    <w:basedOn w:val="1561"/>
    <w:next w:val="1561"/>
    <w:link w:val="1561"/>
    <w:uiPriority w:val="39"/>
    <w:qFormat/>
    <w:pPr>
      <w:ind w:left="2940"/>
    </w:pPr>
  </w:style>
  <w:style w:type="paragraph" w:styleId="1603">
    <w:name w:val="日期"/>
    <w:basedOn w:val="1561"/>
    <w:next w:val="1561"/>
    <w:link w:val="1604"/>
    <w:qFormat/>
    <w:rPr>
      <w:rFonts w:ascii="宋体"/>
    </w:rPr>
  </w:style>
  <w:style w:type="character" w:styleId="1604">
    <w:name w:val="日期 字符"/>
    <w:next w:val="1604"/>
    <w:link w:val="1603"/>
    <w:qFormat/>
    <w:rPr>
      <w:rFonts w:ascii="宋体"/>
      <w:sz w:val="21"/>
    </w:rPr>
  </w:style>
  <w:style w:type="paragraph" w:styleId="1605">
    <w:name w:val="正文文本缩进 2"/>
    <w:basedOn w:val="1561"/>
    <w:next w:val="1605"/>
    <w:link w:val="1606"/>
    <w:qFormat/>
    <w:pPr>
      <w:ind w:firstLine="525"/>
      <w:spacing w:line="420" w:lineRule="exact"/>
    </w:pPr>
    <w:rPr>
      <w:rFonts w:ascii="宋体"/>
    </w:rPr>
  </w:style>
  <w:style w:type="character" w:styleId="1606">
    <w:name w:val="正文文本缩进 2 字符"/>
    <w:next w:val="1606"/>
    <w:link w:val="1605"/>
    <w:qFormat/>
    <w:rPr>
      <w:rFonts w:ascii="宋体"/>
      <w:sz w:val="21"/>
    </w:rPr>
  </w:style>
  <w:style w:type="paragraph" w:styleId="1607">
    <w:name w:val="批注框文本"/>
    <w:basedOn w:val="1561"/>
    <w:next w:val="1607"/>
    <w:link w:val="1608"/>
    <w:uiPriority w:val="99"/>
    <w:qFormat/>
    <w:rPr>
      <w:sz w:val="18"/>
      <w:szCs w:val="18"/>
    </w:rPr>
  </w:style>
  <w:style w:type="character" w:styleId="1608">
    <w:name w:val="批注框文本 字符"/>
    <w:next w:val="1608"/>
    <w:link w:val="1607"/>
    <w:uiPriority w:val="99"/>
    <w:semiHidden/>
    <w:qFormat/>
    <w:rPr>
      <w:sz w:val="18"/>
      <w:szCs w:val="18"/>
    </w:rPr>
  </w:style>
  <w:style w:type="paragraph" w:styleId="1609">
    <w:name w:val="页脚"/>
    <w:basedOn w:val="1561"/>
    <w:next w:val="1609"/>
    <w:link w:val="1610"/>
    <w:uiPriority w:val="99"/>
    <w:qFormat/>
    <w:pPr>
      <w:jc w:val="left"/>
      <w:tabs>
        <w:tab w:val="center" w:pos="4153" w:leader="none"/>
        <w:tab w:val="right" w:pos="8306" w:leader="none"/>
      </w:tabs>
    </w:pPr>
    <w:rPr>
      <w:sz w:val="18"/>
    </w:rPr>
  </w:style>
  <w:style w:type="character" w:styleId="1610">
    <w:name w:val="页脚 字符"/>
    <w:next w:val="1610"/>
    <w:link w:val="1609"/>
    <w:uiPriority w:val="99"/>
    <w:qFormat/>
    <w:rPr>
      <w:sz w:val="18"/>
    </w:rPr>
  </w:style>
  <w:style w:type="paragraph" w:styleId="1611">
    <w:name w:val="寄信人地址"/>
    <w:basedOn w:val="1561"/>
    <w:next w:val="1611"/>
    <w:link w:val="1561"/>
    <w:qFormat/>
    <w:rPr>
      <w:rFonts w:ascii="Arial" w:hAnsi="Arial"/>
    </w:rPr>
  </w:style>
  <w:style w:type="paragraph" w:styleId="1612">
    <w:name w:val="页眉"/>
    <w:basedOn w:val="1561"/>
    <w:next w:val="1612"/>
    <w:link w:val="1613"/>
    <w:uiPriority w:val="99"/>
    <w:qFormat/>
    <w:pPr>
      <w:jc w:val="center"/>
      <w:tabs>
        <w:tab w:val="center" w:pos="4153" w:leader="none"/>
        <w:tab w:val="right" w:pos="8306" w:leader="none"/>
      </w:tabs>
      <w:pBdr>
        <w:bottom w:val="single" w:color="000000" w:sz="6" w:space="1"/>
      </w:pBdr>
    </w:pPr>
    <w:rPr>
      <w:sz w:val="18"/>
    </w:rPr>
  </w:style>
  <w:style w:type="character" w:styleId="1613">
    <w:name w:val="页眉 字符"/>
    <w:next w:val="1613"/>
    <w:link w:val="1612"/>
    <w:uiPriority w:val="99"/>
    <w:qFormat/>
    <w:rPr>
      <w:sz w:val="18"/>
    </w:rPr>
  </w:style>
  <w:style w:type="paragraph" w:styleId="1614">
    <w:name w:val="目录 1"/>
    <w:basedOn w:val="1561"/>
    <w:next w:val="1561"/>
    <w:link w:val="1561"/>
    <w:uiPriority w:val="39"/>
    <w:qFormat/>
  </w:style>
  <w:style w:type="paragraph" w:styleId="1615">
    <w:name w:val="目录 4"/>
    <w:basedOn w:val="1561"/>
    <w:next w:val="1561"/>
    <w:link w:val="1561"/>
    <w:uiPriority w:val="39"/>
    <w:qFormat/>
    <w:pPr>
      <w:ind w:left="1260"/>
    </w:pPr>
  </w:style>
  <w:style w:type="paragraph" w:styleId="1616">
    <w:name w:val="副标题"/>
    <w:basedOn w:val="1561"/>
    <w:next w:val="1561"/>
    <w:link w:val="1617"/>
    <w:qFormat/>
    <w:pPr>
      <w:jc w:val="center"/>
      <w:spacing w:before="240" w:after="60" w:line="312" w:lineRule="auto"/>
      <w:outlineLvl w:val="1"/>
    </w:pPr>
    <w:rPr>
      <w:rFonts w:ascii="Cambria" w:hAnsi="Cambria"/>
      <w:b/>
      <w:bCs/>
      <w:sz w:val="32"/>
      <w:szCs w:val="32"/>
    </w:rPr>
  </w:style>
  <w:style w:type="character" w:styleId="1617">
    <w:name w:val="副标题 字符"/>
    <w:next w:val="1617"/>
    <w:link w:val="1616"/>
    <w:qFormat/>
    <w:rPr>
      <w:rFonts w:ascii="Cambria" w:hAnsi="Cambria"/>
      <w:b/>
      <w:bCs/>
      <w:sz w:val="32"/>
      <w:szCs w:val="32"/>
    </w:rPr>
  </w:style>
  <w:style w:type="paragraph" w:styleId="1618">
    <w:name w:val="目录 6"/>
    <w:basedOn w:val="1561"/>
    <w:next w:val="1561"/>
    <w:link w:val="1561"/>
    <w:uiPriority w:val="39"/>
    <w:qFormat/>
    <w:pPr>
      <w:ind w:left="2100"/>
    </w:pPr>
  </w:style>
  <w:style w:type="paragraph" w:styleId="1619">
    <w:name w:val="正文文本缩进 3"/>
    <w:basedOn w:val="1561"/>
    <w:next w:val="1619"/>
    <w:link w:val="1620"/>
    <w:qFormat/>
    <w:pPr>
      <w:ind w:firstLine="841"/>
    </w:pPr>
    <w:rPr>
      <w:rFonts w:eastAsia="华文新魏"/>
      <w:b/>
      <w:bCs/>
      <w:sz w:val="84"/>
    </w:rPr>
  </w:style>
  <w:style w:type="character" w:styleId="1620">
    <w:name w:val="正文文本缩进 3 字符"/>
    <w:next w:val="1620"/>
    <w:link w:val="1619"/>
    <w:qFormat/>
    <w:rPr>
      <w:rFonts w:eastAsia="华文新魏"/>
      <w:b/>
      <w:bCs/>
      <w:sz w:val="84"/>
    </w:rPr>
  </w:style>
  <w:style w:type="paragraph" w:styleId="1621">
    <w:name w:val="目录 2"/>
    <w:basedOn w:val="1561"/>
    <w:next w:val="1561"/>
    <w:link w:val="1561"/>
    <w:uiPriority w:val="39"/>
    <w:qFormat/>
    <w:pPr>
      <w:ind w:left="420"/>
    </w:pPr>
  </w:style>
  <w:style w:type="paragraph" w:styleId="1622">
    <w:name w:val="目录 9"/>
    <w:basedOn w:val="1561"/>
    <w:next w:val="1561"/>
    <w:link w:val="1561"/>
    <w:uiPriority w:val="39"/>
    <w:qFormat/>
    <w:pPr>
      <w:ind w:left="3360"/>
    </w:pPr>
  </w:style>
  <w:style w:type="paragraph" w:styleId="1623">
    <w:name w:val="HTML 预设格式"/>
    <w:basedOn w:val="1561"/>
    <w:next w:val="1623"/>
    <w:link w:val="16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624">
    <w:name w:val="HTML 预设格式 字符"/>
    <w:next w:val="1624"/>
    <w:link w:val="1623"/>
    <w:qFormat/>
    <w:rPr>
      <w:rFonts w:ascii="黑体" w:hAnsi="Courier New" w:eastAsia="黑体" w:cs="Courier New"/>
    </w:rPr>
  </w:style>
  <w:style w:type="paragraph" w:styleId="1625">
    <w:name w:val="普通(网站)"/>
    <w:basedOn w:val="1561"/>
    <w:next w:val="1625"/>
    <w:link w:val="1561"/>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26">
    <w:name w:val="标题"/>
    <w:basedOn w:val="1561"/>
    <w:next w:val="1626"/>
    <w:link w:val="1627"/>
    <w:uiPriority w:val="10"/>
    <w:qFormat/>
    <w:pPr>
      <w:jc w:val="center"/>
    </w:pPr>
    <w:rPr>
      <w:sz w:val="30"/>
      <w:szCs w:val="24"/>
    </w:rPr>
  </w:style>
  <w:style w:type="character" w:styleId="1627">
    <w:name w:val="标题 字符"/>
    <w:next w:val="1627"/>
    <w:link w:val="1626"/>
    <w:uiPriority w:val="10"/>
    <w:qFormat/>
    <w:rPr>
      <w:sz w:val="30"/>
      <w:szCs w:val="24"/>
    </w:rPr>
  </w:style>
  <w:style w:type="paragraph" w:styleId="1628">
    <w:name w:val="批注主题"/>
    <w:basedOn w:val="1591"/>
    <w:next w:val="1591"/>
    <w:link w:val="1629"/>
    <w:qFormat/>
    <w:rPr>
      <w:b/>
      <w:bCs/>
    </w:rPr>
  </w:style>
  <w:style w:type="character" w:styleId="1629">
    <w:name w:val="批注主题 字符"/>
    <w:next w:val="1629"/>
    <w:link w:val="1628"/>
    <w:qFormat/>
    <w:rPr>
      <w:b/>
      <w:bCs/>
      <w:sz w:val="21"/>
    </w:rPr>
  </w:style>
  <w:style w:type="paragraph" w:styleId="1630">
    <w:name w:val="正文首行缩进"/>
    <w:basedOn w:val="1572"/>
    <w:next w:val="1630"/>
    <w:link w:val="1561"/>
    <w:qFormat/>
    <w:pPr>
      <w:ind w:firstLine="420"/>
      <w:spacing w:line="360" w:lineRule="auto"/>
    </w:pPr>
    <w:rPr>
      <w:rFonts w:ascii="Times New Roman"/>
      <w:szCs w:val="21"/>
    </w:rPr>
  </w:style>
  <w:style w:type="paragraph" w:styleId="1631">
    <w:name w:val="正文首行缩进 2"/>
    <w:basedOn w:val="1593"/>
    <w:next w:val="1631"/>
    <w:link w:val="1561"/>
    <w:qFormat/>
    <w:pPr>
      <w:ind w:firstLine="420"/>
    </w:pPr>
  </w:style>
  <w:style w:type="table" w:styleId="1632">
    <w:name w:val="网格型"/>
    <w:basedOn w:val="1571"/>
    <w:next w:val="1632"/>
    <w:link w:val="1561"/>
    <w:qFormat/>
    <w:rPr>
      <w:sz w:val="21"/>
      <w:szCs w:val="22"/>
    </w:rPr>
    <w:tblPr/>
  </w:style>
  <w:style w:type="character" w:styleId="1633">
    <w:name w:val="要点"/>
    <w:next w:val="1633"/>
    <w:link w:val="1561"/>
    <w:qFormat/>
    <w:rPr>
      <w:b/>
      <w:bCs/>
    </w:rPr>
  </w:style>
  <w:style w:type="character" w:styleId="1634">
    <w:name w:val="页码"/>
    <w:next w:val="1634"/>
    <w:link w:val="1561"/>
    <w:qFormat/>
  </w:style>
  <w:style w:type="character" w:styleId="1635">
    <w:name w:val="强调"/>
    <w:next w:val="1635"/>
    <w:link w:val="1561"/>
    <w:uiPriority w:val="20"/>
    <w:qFormat/>
    <w:rPr>
      <w:i/>
    </w:rPr>
  </w:style>
  <w:style w:type="character" w:styleId="1636">
    <w:name w:val="超链接"/>
    <w:next w:val="1636"/>
    <w:link w:val="1561"/>
    <w:uiPriority w:val="99"/>
    <w:qFormat/>
    <w:rPr>
      <w:color w:val="333333"/>
      <w:u w:val="none"/>
    </w:rPr>
  </w:style>
  <w:style w:type="character" w:styleId="1637">
    <w:name w:val="批注引用"/>
    <w:next w:val="1637"/>
    <w:link w:val="1561"/>
    <w:qFormat/>
    <w:rPr>
      <w:sz w:val="21"/>
      <w:szCs w:val="21"/>
    </w:rPr>
  </w:style>
  <w:style w:type="paragraph" w:styleId="1638">
    <w:name w:val="正文文本1"/>
    <w:basedOn w:val="1561"/>
    <w:next w:val="1561"/>
    <w:link w:val="1561"/>
    <w:uiPriority w:val="99"/>
    <w:qFormat/>
    <w:rPr>
      <w:rFonts w:ascii="宋体"/>
      <w:sz w:val="28"/>
      <w:lang w:val="en-US" w:eastAsia="en-US"/>
    </w:rPr>
  </w:style>
  <w:style w:type="character" w:styleId="1639">
    <w:name w:val="标题 8 Char"/>
    <w:next w:val="1639"/>
    <w:link w:val="1561"/>
    <w:qFormat/>
    <w:rPr>
      <w:rFonts w:ascii="Arial" w:hAnsi="Arial" w:eastAsia="黑体"/>
      <w:sz w:val="24"/>
      <w:szCs w:val="24"/>
    </w:rPr>
  </w:style>
  <w:style w:type="character" w:styleId="1640">
    <w:name w:val="日期 Char"/>
    <w:next w:val="1640"/>
    <w:link w:val="1561"/>
    <w:qFormat/>
    <w:rPr>
      <w:rFonts w:ascii="宋体" w:hAnsi="Times New Roman" w:eastAsia="宋体" w:cs="Times New Roman"/>
      <w:sz w:val="20"/>
      <w:szCs w:val="20"/>
    </w:rPr>
  </w:style>
  <w:style w:type="character" w:styleId="1641">
    <w:name w:val="页脚 Char1"/>
    <w:next w:val="1641"/>
    <w:link w:val="1561"/>
    <w:uiPriority w:val="99"/>
    <w:qFormat/>
    <w:rPr>
      <w:sz w:val="18"/>
    </w:rPr>
  </w:style>
  <w:style w:type="character" w:styleId="1642">
    <w:name w:val="标题 6 Char"/>
    <w:next w:val="1642"/>
    <w:link w:val="1561"/>
    <w:qFormat/>
    <w:rPr>
      <w:rFonts w:ascii="Arial" w:hAnsi="Arial" w:eastAsia="黑体"/>
      <w:b/>
      <w:bCs/>
      <w:sz w:val="24"/>
      <w:szCs w:val="24"/>
    </w:rPr>
  </w:style>
  <w:style w:type="character" w:styleId="1643">
    <w:name w:val="apple-style-span"/>
    <w:next w:val="1643"/>
    <w:link w:val="1561"/>
    <w:qFormat/>
  </w:style>
  <w:style w:type="character" w:styleId="1644">
    <w:name w:val="页眉 Char"/>
    <w:next w:val="1644"/>
    <w:link w:val="1561"/>
    <w:qFormat/>
    <w:rPr>
      <w:rFonts w:ascii="宋体" w:hAnsi="Times New Roman" w:eastAsia="宋体" w:cs="Times New Roman"/>
      <w:sz w:val="18"/>
      <w:szCs w:val="18"/>
    </w:rPr>
  </w:style>
  <w:style w:type="character" w:styleId="1645">
    <w:name w:val="纯文本 Char"/>
    <w:next w:val="1645"/>
    <w:link w:val="1561"/>
    <w:qFormat/>
    <w:rPr>
      <w:rFonts w:ascii="宋体" w:hAnsi="Courier New" w:eastAsia="宋体" w:cs="Courier New"/>
      <w:szCs w:val="21"/>
    </w:rPr>
  </w:style>
  <w:style w:type="character" w:styleId="1646">
    <w:name w:val="批注框文本 Char"/>
    <w:next w:val="1646"/>
    <w:link w:val="1561"/>
    <w:uiPriority w:val="99"/>
    <w:semiHidden/>
    <w:qFormat/>
    <w:rPr>
      <w:rFonts w:ascii="宋体" w:hAnsi="Times New Roman" w:eastAsia="宋体" w:cs="Times New Roman"/>
      <w:sz w:val="18"/>
      <w:szCs w:val="18"/>
    </w:rPr>
  </w:style>
  <w:style w:type="character" w:styleId="1647">
    <w:name w:val="font21"/>
    <w:next w:val="1647"/>
    <w:link w:val="1561"/>
    <w:qFormat/>
    <w:rPr>
      <w:rFonts w:hint="eastAsia" w:ascii="新宋体" w:hAnsi="新宋体" w:eastAsia="新宋体" w:cs="新宋体"/>
      <w:color w:val="000000"/>
      <w:sz w:val="18"/>
      <w:szCs w:val="18"/>
      <w:u w:val="none"/>
    </w:rPr>
  </w:style>
  <w:style w:type="character" w:styleId="1648">
    <w:name w:val="style21"/>
    <w:next w:val="1648"/>
    <w:link w:val="1561"/>
    <w:qFormat/>
    <w:rPr>
      <w:sz w:val="18"/>
      <w:szCs w:val="18"/>
    </w:rPr>
  </w:style>
  <w:style w:type="character" w:styleId="1649">
    <w:name w:val="文档结构图 Char"/>
    <w:next w:val="1649"/>
    <w:link w:val="1561"/>
    <w:qFormat/>
    <w:rPr>
      <w:rFonts w:ascii="宋体" w:hAnsi="Times New Roman" w:eastAsia="宋体" w:cs="Times New Roman"/>
      <w:sz w:val="18"/>
      <w:szCs w:val="18"/>
    </w:rPr>
  </w:style>
  <w:style w:type="character" w:styleId="1650">
    <w:name w:val="标题 2 Char1"/>
    <w:next w:val="1650"/>
    <w:link w:val="1561"/>
    <w:qFormat/>
    <w:rPr>
      <w:rFonts w:ascii="Arial" w:hAnsi="Arial" w:eastAsia="黑体"/>
      <w:b/>
      <w:bCs/>
      <w:sz w:val="32"/>
      <w:szCs w:val="32"/>
    </w:rPr>
  </w:style>
  <w:style w:type="character" w:styleId="1651">
    <w:name w:val="批注框文本 Char1"/>
    <w:next w:val="1651"/>
    <w:link w:val="1561"/>
    <w:uiPriority w:val="99"/>
    <w:semiHidden/>
    <w:qFormat/>
    <w:rPr>
      <w:sz w:val="18"/>
      <w:szCs w:val="18"/>
    </w:rPr>
  </w:style>
  <w:style w:type="character" w:styleId="1652">
    <w:name w:val="yy1"/>
    <w:next w:val="1652"/>
    <w:link w:val="1561"/>
    <w:qFormat/>
    <w:rPr>
      <w:rFonts w:ascii="宋体" w:hAnsi="宋体" w:eastAsia="宋体"/>
      <w:b/>
      <w:bCs/>
      <w:sz w:val="28"/>
    </w:rPr>
  </w:style>
  <w:style w:type="character" w:styleId="1653">
    <w:name w:val="标题 Char"/>
    <w:next w:val="1653"/>
    <w:link w:val="1561"/>
    <w:qFormat/>
    <w:rPr>
      <w:rFonts w:ascii="Cambria" w:hAnsi="Cambria" w:eastAsia="宋体" w:cs="Times New Roman"/>
      <w:b/>
      <w:bCs/>
      <w:sz w:val="32"/>
      <w:szCs w:val="32"/>
    </w:rPr>
  </w:style>
  <w:style w:type="character" w:styleId="1654">
    <w:name w:val="c lh15"/>
    <w:next w:val="1654"/>
    <w:link w:val="1561"/>
    <w:qFormat/>
  </w:style>
  <w:style w:type="character" w:styleId="1655">
    <w:name w:val="ask-title2"/>
    <w:next w:val="1655"/>
    <w:link w:val="1561"/>
    <w:qFormat/>
  </w:style>
  <w:style w:type="character" w:styleId="1656">
    <w:name w:val="页脚 Char"/>
    <w:next w:val="1656"/>
    <w:link w:val="1561"/>
    <w:uiPriority w:val="99"/>
    <w:qFormat/>
    <w:rPr>
      <w:rFonts w:ascii="宋体" w:hAnsi="Times New Roman" w:eastAsia="宋体" w:cs="Times New Roman"/>
      <w:sz w:val="18"/>
      <w:szCs w:val="18"/>
    </w:rPr>
  </w:style>
  <w:style w:type="character" w:styleId="1657">
    <w:name w:val="正文文本缩进 Char"/>
    <w:next w:val="1657"/>
    <w:link w:val="1561"/>
    <w:uiPriority w:val="99"/>
    <w:semiHidden/>
    <w:qFormat/>
    <w:rPr>
      <w:rFonts w:ascii="宋体" w:hAnsi="Times New Roman" w:eastAsia="宋体" w:cs="Times New Roman"/>
      <w:sz w:val="20"/>
      <w:szCs w:val="20"/>
    </w:rPr>
  </w:style>
  <w:style w:type="character" w:styleId="1658">
    <w:name w:val="NormalCharacter1"/>
    <w:next w:val="1658"/>
    <w:link w:val="1561"/>
    <w:semiHidden/>
    <w:rPr>
      <w:sz w:val="21"/>
      <w:lang w:val="en-US" w:eastAsia="zh-CN" w:bidi="ar-SA"/>
    </w:rPr>
  </w:style>
  <w:style w:type="character" w:styleId="1659">
    <w:name w:val="font31"/>
    <w:next w:val="1659"/>
    <w:link w:val="1561"/>
    <w:qFormat/>
    <w:rPr>
      <w:rFonts w:hint="eastAsia" w:ascii="宋体" w:hAnsi="宋体" w:eastAsia="宋体" w:cs="宋体"/>
      <w:color w:val="000000"/>
      <w:sz w:val="22"/>
      <w:szCs w:val="22"/>
      <w:u w:val="none"/>
    </w:rPr>
  </w:style>
  <w:style w:type="character" w:styleId="1660">
    <w:name w:val="页眉 Char1"/>
    <w:next w:val="1660"/>
    <w:link w:val="1561"/>
    <w:uiPriority w:val="99"/>
    <w:qFormat/>
    <w:rPr>
      <w:sz w:val="18"/>
    </w:rPr>
  </w:style>
  <w:style w:type="character" w:styleId="1661">
    <w:name w:val="正文文本 (8)_"/>
    <w:next w:val="1661"/>
    <w:link w:val="1662"/>
    <w:qFormat/>
    <w:rPr>
      <w:rFonts w:ascii="Gulim" w:hAnsi="Gulim" w:eastAsia="Gulim" w:cs="Gulim"/>
      <w:b/>
      <w:sz w:val="15"/>
      <w:szCs w:val="15"/>
      <w:shd w:val="clear" w:color="auto" w:fill="ffffff"/>
      <w:lang w:eastAsia="en-US" w:bidi="en-US"/>
    </w:rPr>
  </w:style>
  <w:style w:type="paragraph" w:styleId="1662">
    <w:name w:val="正文文本 (8)"/>
    <w:basedOn w:val="1561"/>
    <w:next w:val="1662"/>
    <w:link w:val="1661"/>
    <w:qFormat/>
    <w:pPr>
      <w:jc w:val="left"/>
      <w:spacing w:line="0" w:lineRule="atLeast"/>
      <w:shd w:val="clear" w:color="auto" w:fill="ffffff"/>
    </w:pPr>
    <w:rPr>
      <w:rFonts w:ascii="Gulim" w:hAnsi="Gulim" w:eastAsia="Gulim" w:cs="Gulim"/>
      <w:b/>
      <w:sz w:val="15"/>
      <w:szCs w:val="15"/>
      <w:lang w:eastAsia="en-US" w:bidi="en-US"/>
    </w:rPr>
  </w:style>
  <w:style w:type="character" w:styleId="1663">
    <w:name w:val="标题 Char2"/>
    <w:next w:val="1663"/>
    <w:link w:val="1561"/>
    <w:uiPriority w:val="10"/>
    <w:qFormat/>
    <w:rPr>
      <w:sz w:val="30"/>
      <w:szCs w:val="24"/>
    </w:rPr>
  </w:style>
  <w:style w:type="character" w:styleId="1664">
    <w:name w:val="Andy_正文格式 Char"/>
    <w:next w:val="1664"/>
    <w:link w:val="1665"/>
    <w:qFormat/>
    <w:rPr>
      <w:rFonts w:ascii="仿宋_GB2312" w:eastAsia="仿宋_GB2312"/>
      <w:sz w:val="28"/>
      <w:szCs w:val="28"/>
    </w:rPr>
  </w:style>
  <w:style w:type="paragraph" w:styleId="1665">
    <w:name w:val="Andy_正文格式"/>
    <w:basedOn w:val="1561"/>
    <w:next w:val="1665"/>
    <w:link w:val="1664"/>
    <w:qFormat/>
    <w:pPr>
      <w:ind w:firstLine="560"/>
    </w:pPr>
    <w:rPr>
      <w:rFonts w:ascii="仿宋_GB2312" w:eastAsia="仿宋_GB2312"/>
      <w:sz w:val="28"/>
      <w:szCs w:val="28"/>
    </w:rPr>
  </w:style>
  <w:style w:type="character" w:styleId="1666">
    <w:name w:val="标题 1 Char1"/>
    <w:next w:val="1666"/>
    <w:link w:val="1561"/>
    <w:qFormat/>
    <w:rPr>
      <w:rFonts w:ascii="宋体"/>
      <w:sz w:val="28"/>
    </w:rPr>
  </w:style>
  <w:style w:type="character" w:styleId="1667">
    <w:name w:val="批注文字 Char"/>
    <w:next w:val="1667"/>
    <w:link w:val="1561"/>
    <w:qFormat/>
    <w:rPr>
      <w:sz w:val="21"/>
    </w:rPr>
  </w:style>
  <w:style w:type="character" w:styleId="1668">
    <w:name w:val="新正文 Char Char"/>
    <w:next w:val="1668"/>
    <w:link w:val="1669"/>
    <w:qFormat/>
    <w:rPr>
      <w:rFonts w:ascii="宋体" w:hAnsi="宋体" w:cs="宋体"/>
      <w:b/>
      <w:bCs/>
      <w:color w:val="000000"/>
      <w:sz w:val="24"/>
      <w:szCs w:val="21"/>
    </w:rPr>
  </w:style>
  <w:style w:type="paragraph" w:styleId="1669">
    <w:name w:val="新正文"/>
    <w:basedOn w:val="1561"/>
    <w:next w:val="1669"/>
    <w:link w:val="1668"/>
    <w:qFormat/>
    <w:pPr>
      <w:ind w:firstLine="200"/>
      <w:spacing w:line="480" w:lineRule="exact"/>
    </w:pPr>
    <w:rPr>
      <w:rFonts w:ascii="宋体" w:hAnsi="宋体"/>
      <w:b/>
      <w:bCs/>
      <w:color w:val="000000"/>
      <w:sz w:val="24"/>
      <w:szCs w:val="21"/>
    </w:rPr>
  </w:style>
  <w:style w:type="character" w:styleId="1670">
    <w:name w:val="Char Char3"/>
    <w:next w:val="1670"/>
    <w:link w:val="1561"/>
    <w:qFormat/>
    <w:rPr>
      <w:rFonts w:ascii="宋体" w:hAnsi="宋体" w:eastAsia="宋体"/>
      <w:sz w:val="24"/>
      <w:szCs w:val="24"/>
      <w:lang w:val="en-US" w:eastAsia="zh-CN" w:bidi="ar-SA"/>
    </w:rPr>
  </w:style>
  <w:style w:type="character" w:styleId="1671">
    <w:name w:val="font41"/>
    <w:next w:val="1671"/>
    <w:link w:val="1561"/>
    <w:qFormat/>
    <w:rPr>
      <w:rFonts w:hint="eastAsia" w:ascii="宋体" w:hAnsi="宋体" w:eastAsia="宋体" w:cs="宋体"/>
      <w:color w:val="000000"/>
      <w:sz w:val="22"/>
      <w:szCs w:val="22"/>
      <w:u w:val="none"/>
    </w:rPr>
  </w:style>
  <w:style w:type="character" w:styleId="1672">
    <w:name w:val="标题 3 Char Char Char Char Char Char Char Char Char"/>
    <w:next w:val="1672"/>
    <w:link w:val="1561"/>
    <w:qFormat/>
    <w:rPr>
      <w:rFonts w:eastAsia="宋体"/>
      <w:b/>
      <w:sz w:val="32"/>
      <w:lang w:val="en-US" w:eastAsia="zh-CN"/>
    </w:rPr>
  </w:style>
  <w:style w:type="character" w:styleId="1673">
    <w:name w:val="列出段落 Char1"/>
    <w:next w:val="1673"/>
    <w:link w:val="1674"/>
    <w:qFormat/>
    <w:rPr>
      <w:rFonts w:ascii="Calibri" w:hAnsi="Calibri"/>
      <w:sz w:val="21"/>
      <w:szCs w:val="22"/>
    </w:rPr>
  </w:style>
  <w:style w:type="paragraph" w:styleId="1674">
    <w:name w:val="列出段落1"/>
    <w:basedOn w:val="1561"/>
    <w:next w:val="1674"/>
    <w:link w:val="1673"/>
    <w:qFormat/>
    <w:pPr>
      <w:ind w:firstLine="420"/>
    </w:pPr>
    <w:rPr>
      <w:rFonts w:ascii="Calibri" w:hAnsi="Calibri"/>
      <w:szCs w:val="22"/>
    </w:rPr>
  </w:style>
  <w:style w:type="character" w:styleId="1675">
    <w:name w:val="正文文本缩进 Char1"/>
    <w:next w:val="1675"/>
    <w:link w:val="1561"/>
    <w:qFormat/>
    <w:rPr>
      <w:rFonts w:ascii="宋体"/>
      <w:sz w:val="24"/>
    </w:rPr>
  </w:style>
  <w:style w:type="character" w:styleId="1676">
    <w:name w:val="标题 2 Char Char Char"/>
    <w:next w:val="1676"/>
    <w:link w:val="1561"/>
    <w:qFormat/>
    <w:rPr>
      <w:rFonts w:ascii="Arial" w:hAnsi="Arial" w:eastAsia="黑体"/>
      <w:b/>
      <w:bCs/>
      <w:sz w:val="32"/>
      <w:szCs w:val="32"/>
      <w:lang w:val="en-US" w:eastAsia="zh-CN" w:bidi="ar-SA"/>
    </w:rPr>
  </w:style>
  <w:style w:type="character" w:styleId="1677">
    <w:name w:val="样式 样式 标题 3 + (中文) 黑体 Char + (中文) 宋体 小四 Char Char Char Char Char Char"/>
    <w:next w:val="1677"/>
    <w:link w:val="1561"/>
    <w:qFormat/>
    <w:rPr>
      <w:rFonts w:ascii="宋体" w:hAnsi="Courier New" w:eastAsia="宋体" w:cs="Courier New"/>
      <w:sz w:val="24"/>
      <w:szCs w:val="21"/>
      <w:lang w:val="en-US" w:eastAsia="zh-CN" w:bidi="ar-SA"/>
    </w:rPr>
  </w:style>
  <w:style w:type="character" w:styleId="1678">
    <w:name w:val="标题 2 Char"/>
    <w:next w:val="1678"/>
    <w:link w:val="1561"/>
    <w:uiPriority w:val="9"/>
    <w:semiHidden/>
    <w:qFormat/>
    <w:rPr>
      <w:rFonts w:ascii="Cambria" w:hAnsi="Cambria" w:eastAsia="宋体" w:cs="Times New Roman"/>
      <w:b/>
      <w:bCs/>
      <w:sz w:val="32"/>
      <w:szCs w:val="32"/>
    </w:rPr>
  </w:style>
  <w:style w:type="character" w:styleId="1679">
    <w:name w:val="identication Char"/>
    <w:next w:val="1679"/>
    <w:link w:val="1561"/>
    <w:qFormat/>
    <w:rPr>
      <w:rFonts w:eastAsia="宋体"/>
      <w:sz w:val="21"/>
      <w:szCs w:val="24"/>
      <w:lang w:val="en-US" w:eastAsia="zh-CN" w:bidi="ar-SA"/>
    </w:rPr>
  </w:style>
  <w:style w:type="character" w:styleId="1680">
    <w:name w:val="HTML 预设格式 Char"/>
    <w:next w:val="1680"/>
    <w:link w:val="1561"/>
    <w:qFormat/>
    <w:rPr>
      <w:rFonts w:ascii="黑体" w:hAnsi="Courier New" w:eastAsia="黑体" w:cs="Courier New"/>
    </w:rPr>
  </w:style>
  <w:style w:type="character" w:styleId="1681">
    <w:name w:val="表格标题 + SimSun"/>
    <w:next w:val="1681"/>
    <w:link w:val="1561"/>
    <w:qFormat/>
    <w:rPr>
      <w:rFonts w:ascii="宋体" w:hAnsi="宋体" w:eastAsia="宋体" w:cs="宋体"/>
      <w:b/>
      <w:color w:val="000000"/>
      <w:spacing w:val="0"/>
      <w:position w:val="0"/>
      <w:sz w:val="17"/>
      <w:szCs w:val="17"/>
      <w:shd w:val="clear" w:color="auto" w:fill="ffffff"/>
      <w:lang w:val="zh-CN" w:eastAsia="zh-CN" w:bidi="zh-CN"/>
    </w:rPr>
  </w:style>
  <w:style w:type="character" w:styleId="1682">
    <w:name w:val="批注主题 Char"/>
    <w:next w:val="1682"/>
    <w:link w:val="1561"/>
    <w:qFormat/>
    <w:rPr>
      <w:b/>
      <w:bCs/>
      <w:sz w:val="21"/>
    </w:rPr>
  </w:style>
  <w:style w:type="character" w:styleId="1683">
    <w:name w:val="批注文字 字符1"/>
    <w:next w:val="1683"/>
    <w:link w:val="1561"/>
    <w:uiPriority w:val="99"/>
    <w:semiHidden/>
    <w:qFormat/>
    <w:rPr>
      <w:rFonts w:ascii="宋体" w:hAnsi="Times New Roman" w:eastAsia="宋体" w:cs="Times New Roman"/>
      <w:sz w:val="20"/>
      <w:szCs w:val="20"/>
    </w:rPr>
  </w:style>
  <w:style w:type="character" w:styleId="1684">
    <w:name w:val="正文缩进 Char"/>
    <w:next w:val="1684"/>
    <w:link w:val="1561"/>
    <w:qFormat/>
    <w:rPr>
      <w:b/>
      <w:sz w:val="24"/>
    </w:rPr>
  </w:style>
  <w:style w:type="character" w:styleId="1685">
    <w:name w:val="font211"/>
    <w:next w:val="1685"/>
    <w:link w:val="1561"/>
    <w:qFormat/>
    <w:rPr>
      <w:rFonts w:hint="eastAsia" w:ascii="新宋体" w:hAnsi="新宋体" w:eastAsia="新宋体" w:cs="新宋体"/>
      <w:color w:val="000000"/>
      <w:sz w:val="18"/>
      <w:szCs w:val="18"/>
      <w:u w:val="none"/>
    </w:rPr>
  </w:style>
  <w:style w:type="character" w:styleId="1686">
    <w:name w:val="标题 4 Char1"/>
    <w:next w:val="1686"/>
    <w:link w:val="1561"/>
    <w:qFormat/>
    <w:rPr>
      <w:rFonts w:ascii="Arial" w:hAnsi="Arial" w:eastAsia="黑体" w:cs="Arial"/>
      <w:b/>
      <w:bCs/>
      <w:sz w:val="28"/>
      <w:szCs w:val="28"/>
    </w:rPr>
  </w:style>
  <w:style w:type="character" w:styleId="1687">
    <w:name w:val="正文文本 Char"/>
    <w:next w:val="1687"/>
    <w:link w:val="1561"/>
    <w:qFormat/>
    <w:rPr>
      <w:rFonts w:ascii="宋体" w:eastAsia="宋体"/>
      <w:sz w:val="28"/>
      <w:lang w:val="en-US" w:eastAsia="zh-CN" w:bidi="ar-SA"/>
    </w:rPr>
  </w:style>
  <w:style w:type="character" w:styleId="1688">
    <w:name w:val="标题 Char1"/>
    <w:next w:val="1688"/>
    <w:link w:val="1561"/>
    <w:qFormat/>
    <w:rPr>
      <w:rFonts w:ascii="Cambria" w:hAnsi="Cambria" w:eastAsia="仿宋_GB2312" w:cs="Times New Roman"/>
      <w:b/>
      <w:bCs/>
      <w:sz w:val="32"/>
      <w:szCs w:val="32"/>
      <w:lang w:val="en-US" w:eastAsia="zh-CN" w:bidi="ar-SA"/>
    </w:rPr>
  </w:style>
  <w:style w:type="character" w:styleId="1689">
    <w:name w:val="纯文本 Char2"/>
    <w:next w:val="1689"/>
    <w:link w:val="1561"/>
    <w:qFormat/>
    <w:rPr>
      <w:rFonts w:ascii="宋体" w:hAnsi="Courier New" w:eastAsia="宋体"/>
      <w:sz w:val="21"/>
      <w:lang w:val="en-US" w:eastAsia="zh-CN" w:bidi="ar-SA"/>
    </w:rPr>
  </w:style>
  <w:style w:type="character" w:styleId="1690">
    <w:name w:val="列出段落 Char"/>
    <w:next w:val="1690"/>
    <w:link w:val="1561"/>
    <w:qFormat/>
    <w:rPr>
      <w:rFonts w:ascii="Calibri" w:hAnsi="Calibri"/>
      <w:sz w:val="21"/>
      <w:szCs w:val="22"/>
    </w:rPr>
  </w:style>
  <w:style w:type="character" w:styleId="1691">
    <w:name w:val="文档结构图 字符1"/>
    <w:next w:val="1691"/>
    <w:link w:val="1561"/>
    <w:qFormat/>
    <w:rPr>
      <w:rFonts w:ascii="Microsoft YaHei UI" w:eastAsia="Microsoft YaHei UI"/>
      <w:sz w:val="18"/>
      <w:szCs w:val="18"/>
    </w:rPr>
  </w:style>
  <w:style w:type="character" w:styleId="1692">
    <w:name w:val="日期 Char1"/>
    <w:next w:val="1692"/>
    <w:link w:val="1561"/>
    <w:qFormat/>
    <w:rPr>
      <w:rFonts w:ascii="宋体"/>
      <w:sz w:val="21"/>
    </w:rPr>
  </w:style>
  <w:style w:type="character" w:styleId="1693">
    <w:name w:val="副标题 Char"/>
    <w:next w:val="1693"/>
    <w:link w:val="1561"/>
    <w:qFormat/>
    <w:rPr>
      <w:rFonts w:ascii="Cambria" w:hAnsi="Cambria"/>
      <w:b/>
      <w:bCs/>
      <w:sz w:val="32"/>
      <w:szCs w:val="32"/>
    </w:rPr>
  </w:style>
  <w:style w:type="character" w:styleId="1694">
    <w:name w:val="表格标题_"/>
    <w:next w:val="1694"/>
    <w:link w:val="1695"/>
    <w:qFormat/>
    <w:rPr>
      <w:rFonts w:ascii="Gulim" w:hAnsi="Gulim" w:eastAsia="Gulim" w:cs="Gulim"/>
      <w:b/>
      <w:sz w:val="15"/>
      <w:szCs w:val="15"/>
      <w:shd w:val="clear" w:color="auto" w:fill="ffffff"/>
      <w:lang w:eastAsia="en-US" w:bidi="en-US"/>
    </w:rPr>
  </w:style>
  <w:style w:type="paragraph" w:styleId="1695">
    <w:name w:val="表格标题"/>
    <w:basedOn w:val="1561"/>
    <w:next w:val="1695"/>
    <w:link w:val="1694"/>
    <w:qFormat/>
    <w:pPr>
      <w:jc w:val="left"/>
      <w:spacing w:line="0" w:lineRule="atLeast"/>
      <w:shd w:val="clear" w:color="auto" w:fill="ffffff"/>
    </w:pPr>
    <w:rPr>
      <w:rFonts w:ascii="Gulim" w:hAnsi="Gulim" w:eastAsia="Gulim" w:cs="Gulim"/>
      <w:b/>
      <w:sz w:val="15"/>
      <w:szCs w:val="15"/>
      <w:lang w:eastAsia="en-US" w:bidi="en-US"/>
    </w:rPr>
  </w:style>
  <w:style w:type="character" w:styleId="1696">
    <w:name w:val="正文文本 (2)_"/>
    <w:next w:val="1696"/>
    <w:link w:val="1561"/>
    <w:qFormat/>
    <w:rPr>
      <w:rFonts w:ascii="宋体" w:hAnsi="宋体" w:eastAsia="宋体" w:cs="宋体"/>
      <w:b/>
      <w:sz w:val="17"/>
      <w:szCs w:val="17"/>
      <w:u w:val="none"/>
      <w:lang w:val="en-US" w:eastAsia="zh-CN" w:bidi="ar-SA"/>
    </w:rPr>
  </w:style>
  <w:style w:type="character" w:styleId="1697">
    <w:name w:val="正文文本缩进 2 Char"/>
    <w:next w:val="1697"/>
    <w:link w:val="1561"/>
    <w:qFormat/>
    <w:rPr>
      <w:rFonts w:ascii="宋体"/>
      <w:sz w:val="21"/>
    </w:rPr>
  </w:style>
  <w:style w:type="character" w:styleId="1698">
    <w:name w:val="fontstyle01"/>
    <w:next w:val="1698"/>
    <w:link w:val="1561"/>
    <w:rPr>
      <w:rFonts w:hint="eastAsia" w:ascii="宋体" w:hAnsi="宋体" w:eastAsia="宋体"/>
      <w:color w:val="000000"/>
      <w:sz w:val="24"/>
      <w:szCs w:val="24"/>
    </w:rPr>
  </w:style>
  <w:style w:type="character" w:styleId="1699">
    <w:name w:val="标准文本 Char"/>
    <w:next w:val="1699"/>
    <w:link w:val="1700"/>
    <w:qFormat/>
    <w:rPr>
      <w:rFonts w:ascii="宋体" w:hAnsi="宋体" w:eastAsia="宋体" w:cs="宋体"/>
      <w:sz w:val="21"/>
      <w:szCs w:val="21"/>
      <w:lang w:val="en-US" w:eastAsia="zh-CN" w:bidi="ar-SA"/>
    </w:rPr>
  </w:style>
  <w:style w:type="paragraph" w:styleId="1700">
    <w:name w:val="标准文本"/>
    <w:basedOn w:val="1561"/>
    <w:next w:val="1700"/>
    <w:link w:val="1699"/>
    <w:qFormat/>
    <w:pPr>
      <w:ind w:firstLine="420"/>
      <w:spacing w:line="300" w:lineRule="auto"/>
    </w:pPr>
    <w:rPr>
      <w:rFonts w:ascii="宋体" w:hAnsi="宋体" w:cs="宋体"/>
      <w:szCs w:val="21"/>
    </w:rPr>
  </w:style>
  <w:style w:type="character" w:styleId="1701">
    <w:name w:val="news"/>
    <w:next w:val="1701"/>
    <w:link w:val="1561"/>
    <w:qFormat/>
    <w:rPr>
      <w:rFonts w:ascii="仿宋_GB2312" w:eastAsia="仿宋_GB2312"/>
      <w:sz w:val="24"/>
      <w:szCs w:val="24"/>
      <w:lang w:val="en-US" w:eastAsia="zh-CN" w:bidi="ar-SA"/>
    </w:rPr>
  </w:style>
  <w:style w:type="character" w:styleId="1702">
    <w:name w:val="font71"/>
    <w:next w:val="1702"/>
    <w:link w:val="1561"/>
    <w:qFormat/>
    <w:rPr>
      <w:rFonts w:hint="eastAsia" w:ascii="宋体" w:hAnsi="宋体" w:eastAsia="宋体" w:cs="宋体"/>
      <w:color w:val="000000"/>
      <w:sz w:val="18"/>
      <w:szCs w:val="18"/>
      <w:u w:val="none"/>
    </w:rPr>
  </w:style>
  <w:style w:type="character" w:styleId="1703">
    <w:name w:val="标题 4 Char"/>
    <w:next w:val="1703"/>
    <w:link w:val="1561"/>
    <w:qFormat/>
    <w:rPr>
      <w:rFonts w:ascii="Cambria" w:hAnsi="Cambria" w:eastAsia="宋体" w:cs="Times New Roman"/>
      <w:b/>
      <w:bCs/>
      <w:sz w:val="28"/>
      <w:szCs w:val="28"/>
    </w:rPr>
  </w:style>
  <w:style w:type="character" w:styleId="1704">
    <w:name w:val="报告正文 Char"/>
    <w:next w:val="1704"/>
    <w:link w:val="1705"/>
    <w:qFormat/>
    <w:rPr>
      <w:rFonts w:eastAsia="仿宋_GB2312"/>
      <w:sz w:val="24"/>
      <w:szCs w:val="24"/>
    </w:rPr>
  </w:style>
  <w:style w:type="paragraph" w:styleId="1705">
    <w:name w:val="报告正文"/>
    <w:basedOn w:val="1561"/>
    <w:next w:val="1705"/>
    <w:link w:val="1704"/>
    <w:qFormat/>
    <w:pPr>
      <w:ind w:firstLine="480"/>
      <w:spacing w:line="360" w:lineRule="auto"/>
    </w:pPr>
    <w:rPr>
      <w:rFonts w:eastAsia="仿宋_GB2312"/>
      <w:sz w:val="24"/>
      <w:szCs w:val="24"/>
    </w:rPr>
  </w:style>
  <w:style w:type="character" w:styleId="1706">
    <w:name w:val="标题 1 Char"/>
    <w:next w:val="1706"/>
    <w:link w:val="1561"/>
    <w:qFormat/>
    <w:rPr>
      <w:rFonts w:ascii="宋体" w:hAnsi="Times New Roman" w:eastAsia="宋体" w:cs="Times New Roman"/>
      <w:b/>
      <w:bCs/>
      <w:sz w:val="44"/>
      <w:szCs w:val="44"/>
    </w:rPr>
  </w:style>
  <w:style w:type="character" w:styleId="1707">
    <w:name w:val="访问过的超链接1"/>
    <w:next w:val="1707"/>
    <w:link w:val="1561"/>
    <w:uiPriority w:val="99"/>
    <w:qFormat/>
    <w:rPr>
      <w:color w:val="333333"/>
      <w:u w:val="none"/>
    </w:rPr>
  </w:style>
  <w:style w:type="character" w:styleId="1708">
    <w:name w:val="标题 9 Char"/>
    <w:next w:val="1708"/>
    <w:link w:val="1561"/>
    <w:qFormat/>
    <w:rPr>
      <w:rFonts w:ascii="Arial" w:hAnsi="Arial" w:eastAsia="黑体"/>
      <w:sz w:val="21"/>
      <w:szCs w:val="21"/>
    </w:rPr>
  </w:style>
  <w:style w:type="character" w:styleId="1709">
    <w:name w:val="font241"/>
    <w:next w:val="1709"/>
    <w:link w:val="1561"/>
    <w:qFormat/>
    <w:rPr>
      <w:rFonts w:hint="eastAsia" w:ascii="宋体" w:hAnsi="宋体" w:eastAsia="宋体" w:cs="宋体"/>
      <w:color w:val="000000"/>
      <w:sz w:val="18"/>
      <w:szCs w:val="18"/>
      <w:u w:val="none"/>
    </w:rPr>
  </w:style>
  <w:style w:type="character" w:styleId="1710">
    <w:name w:val="B正文 Char"/>
    <w:next w:val="1710"/>
    <w:link w:val="1711"/>
    <w:qFormat/>
    <w:rPr>
      <w:sz w:val="28"/>
      <w:szCs w:val="24"/>
    </w:rPr>
  </w:style>
  <w:style w:type="paragraph" w:styleId="1711">
    <w:name w:val="B正文"/>
    <w:basedOn w:val="1561"/>
    <w:next w:val="1711"/>
    <w:link w:val="1710"/>
    <w:qFormat/>
    <w:pPr>
      <w:ind w:firstLine="560"/>
      <w:spacing w:line="500" w:lineRule="exact"/>
    </w:pPr>
    <w:rPr>
      <w:sz w:val="28"/>
      <w:szCs w:val="24"/>
    </w:rPr>
  </w:style>
  <w:style w:type="character" w:styleId="1712">
    <w:name w:val="font01"/>
    <w:next w:val="1712"/>
    <w:link w:val="1561"/>
    <w:qFormat/>
    <w:rPr>
      <w:rFonts w:hint="eastAsia" w:ascii="宋体" w:hAnsi="宋体" w:eastAsia="宋体" w:cs="宋体"/>
      <w:color w:val="000000"/>
      <w:sz w:val="20"/>
      <w:szCs w:val="20"/>
      <w:u w:val="none"/>
    </w:rPr>
  </w:style>
  <w:style w:type="character" w:styleId="1713">
    <w:name w:val="apple-converted-space"/>
    <w:next w:val="1713"/>
    <w:link w:val="1561"/>
    <w:qFormat/>
  </w:style>
  <w:style w:type="character" w:styleId="1714">
    <w:name w:val="标题 3 Char"/>
    <w:next w:val="1714"/>
    <w:link w:val="1561"/>
    <w:qFormat/>
    <w:rPr>
      <w:rFonts w:ascii="仿宋_GB2312" w:eastAsia="仿宋_GB2312"/>
      <w:sz w:val="32"/>
    </w:rPr>
  </w:style>
  <w:style w:type="character" w:styleId="1715">
    <w:name w:val="纯文本 Char1"/>
    <w:next w:val="1715"/>
    <w:link w:val="1561"/>
    <w:qFormat/>
    <w:rPr>
      <w:rFonts w:ascii="宋体" w:hAnsi="Courier New" w:eastAsia="宋体" w:cs="Times New Roman"/>
      <w:sz w:val="21"/>
      <w:szCs w:val="20"/>
    </w:rPr>
  </w:style>
  <w:style w:type="character" w:styleId="1716">
    <w:name w:val="正文文本 (2)"/>
    <w:next w:val="1716"/>
    <w:link w:val="1561"/>
    <w:qFormat/>
    <w:rPr>
      <w:rFonts w:ascii="宋体" w:hAnsi="宋体" w:eastAsia="宋体" w:cs="宋体"/>
      <w:b/>
      <w:color w:val="000000"/>
      <w:spacing w:val="0"/>
      <w:position w:val="0"/>
      <w:sz w:val="17"/>
      <w:szCs w:val="17"/>
      <w:u w:val="none"/>
      <w:lang w:val="zh-CN" w:eastAsia="zh-CN" w:bidi="zh-CN"/>
    </w:rPr>
  </w:style>
  <w:style w:type="character" w:styleId="1717">
    <w:name w:val="正文文本 (2) + MingLiU"/>
    <w:next w:val="1717"/>
    <w:link w:val="1561"/>
    <w:qFormat/>
    <w:rPr>
      <w:rFonts w:ascii="MingLiU" w:hAnsi="MingLiU" w:eastAsia="MingLiU" w:cs="MingLiU"/>
      <w:b/>
      <w:color w:val="000000"/>
      <w:spacing w:val="-20"/>
      <w:position w:val="0"/>
      <w:sz w:val="14"/>
      <w:szCs w:val="14"/>
      <w:u w:val="none"/>
      <w:lang w:val="zh-CN" w:eastAsia="zh-CN" w:bidi="zh-CN"/>
    </w:rPr>
  </w:style>
  <w:style w:type="character" w:styleId="1718">
    <w:name w:val="正文文本缩进 3 Char"/>
    <w:next w:val="1718"/>
    <w:link w:val="1561"/>
    <w:qFormat/>
    <w:rPr>
      <w:rFonts w:eastAsia="华文新魏"/>
      <w:b/>
      <w:bCs/>
      <w:sz w:val="84"/>
    </w:rPr>
  </w:style>
  <w:style w:type="character" w:styleId="1719">
    <w:name w:val="文档结构图 Char1"/>
    <w:next w:val="1719"/>
    <w:link w:val="1561"/>
    <w:qFormat/>
    <w:rPr>
      <w:rFonts w:ascii="宋体" w:eastAsia="仿宋_GB2312"/>
      <w:sz w:val="18"/>
      <w:szCs w:val="18"/>
    </w:rPr>
  </w:style>
  <w:style w:type="character" w:styleId="1720">
    <w:name w:val="正文文本 (2) + Gulim"/>
    <w:next w:val="1720"/>
    <w:link w:val="1561"/>
    <w:qFormat/>
    <w:rPr>
      <w:rFonts w:ascii="Gulim" w:hAnsi="Gulim" w:eastAsia="Gulim" w:cs="Gulim"/>
      <w:b/>
      <w:color w:val="000000"/>
      <w:spacing w:val="0"/>
      <w:position w:val="0"/>
      <w:sz w:val="15"/>
      <w:szCs w:val="15"/>
      <w:u w:val="none"/>
      <w:lang w:val="en-US" w:eastAsia="en-US" w:bidi="en-US"/>
    </w:rPr>
  </w:style>
  <w:style w:type="character" w:styleId="1721">
    <w:name w:val="标题 5 Char"/>
    <w:next w:val="1721"/>
    <w:link w:val="1561"/>
    <w:qFormat/>
    <w:rPr>
      <w:rFonts w:ascii="宋体"/>
      <w:b/>
      <w:bCs/>
      <w:sz w:val="28"/>
      <w:szCs w:val="28"/>
    </w:rPr>
  </w:style>
  <w:style w:type="character" w:styleId="1722">
    <w:name w:val="样式 仿宋_GB2312 小四 加粗 黑色"/>
    <w:next w:val="1722"/>
    <w:link w:val="1561"/>
    <w:qFormat/>
    <w:rPr>
      <w:rFonts w:ascii="仿宋_GB2312" w:eastAsia="仿宋_GB2312"/>
      <w:b/>
      <w:bCs/>
      <w:color w:val="000000"/>
      <w:sz w:val="24"/>
      <w:szCs w:val="24"/>
      <w:lang w:val="en-US" w:eastAsia="zh-CN" w:bidi="ar-SA"/>
    </w:rPr>
  </w:style>
  <w:style w:type="character" w:styleId="1723">
    <w:name w:val="fontstyle11"/>
    <w:next w:val="1723"/>
    <w:link w:val="1561"/>
    <w:rPr>
      <w:rFonts w:ascii="Times New Roman" w:hAnsi="Times New Roman" w:cs="Times New Roman"/>
      <w:color w:val="000000"/>
      <w:sz w:val="24"/>
      <w:szCs w:val="24"/>
    </w:rPr>
  </w:style>
  <w:style w:type="character" w:styleId="1724">
    <w:name w:val="Char Char4"/>
    <w:next w:val="1724"/>
    <w:link w:val="1561"/>
    <w:qFormat/>
    <w:rPr>
      <w:rFonts w:eastAsia="宋体"/>
      <w:sz w:val="18"/>
      <w:szCs w:val="18"/>
      <w:lang w:val="en-US" w:eastAsia="zh-CN" w:bidi="ar-SA"/>
    </w:rPr>
  </w:style>
  <w:style w:type="paragraph" w:styleId="1725">
    <w:name w:val="此正文"/>
    <w:basedOn w:val="1561"/>
    <w:next w:val="1725"/>
    <w:link w:val="1561"/>
    <w:qFormat/>
    <w:pPr>
      <w:ind w:firstLine="200"/>
      <w:spacing w:line="360" w:lineRule="auto"/>
    </w:pPr>
    <w:rPr>
      <w:sz w:val="24"/>
    </w:rPr>
  </w:style>
  <w:style w:type="paragraph" w:styleId="1726">
    <w:name w:val="flName"/>
    <w:basedOn w:val="1561"/>
    <w:next w:val="1726"/>
    <w:link w:val="1561"/>
    <w:qFormat/>
    <w:pPr>
      <w:jc w:val="center"/>
      <w:spacing w:before="320" w:after="160" w:line="360" w:lineRule="atLeast"/>
    </w:pPr>
    <w:rPr>
      <w:rFonts w:ascii="Arial" w:eastAsia="黑体"/>
      <w:sz w:val="32"/>
      <w:szCs w:val="24"/>
    </w:rPr>
  </w:style>
  <w:style w:type="paragraph" w:styleId="1727">
    <w:name w:val="xl75"/>
    <w:basedOn w:val="1561"/>
    <w:next w:val="1727"/>
    <w:link w:val="15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28">
    <w:name w:val="xl101"/>
    <w:basedOn w:val="1561"/>
    <w:next w:val="1728"/>
    <w:link w:val="15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29">
    <w:name w:val="无格式无间隔"/>
    <w:next w:val="1729"/>
    <w:link w:val="1561"/>
    <w:qFormat/>
    <w:rPr>
      <w:rFonts w:ascii="Calibri" w:hAnsi="Calibri"/>
      <w:sz w:val="21"/>
      <w:szCs w:val="21"/>
      <w:lang w:val="en-US" w:eastAsia="zh-CN" w:bidi="ar-SA"/>
    </w:rPr>
  </w:style>
  <w:style w:type="paragraph" w:styleId="1730">
    <w:name w:val="正文_1_0"/>
    <w:basedOn w:val="1731"/>
    <w:next w:val="1734"/>
    <w:link w:val="1561"/>
    <w:qFormat/>
    <w:rPr>
      <w:rFonts w:cs="Times New Roman"/>
      <w:szCs w:val="22"/>
    </w:rPr>
  </w:style>
  <w:style w:type="paragraph" w:styleId="1731">
    <w:name w:val="正文_1"/>
    <w:next w:val="1732"/>
    <w:link w:val="1561"/>
    <w:qFormat/>
    <w:pPr>
      <w:jc w:val="both"/>
      <w:widowControl w:val="off"/>
    </w:pPr>
    <w:rPr>
      <w:rFonts w:cs="Calibri"/>
      <w:sz w:val="21"/>
      <w:szCs w:val="21"/>
      <w:lang w:val="en-US" w:eastAsia="zh-CN" w:bidi="ar-SA"/>
    </w:rPr>
  </w:style>
  <w:style w:type="paragraph" w:styleId="1732">
    <w:name w:val="Plain Text1"/>
    <w:basedOn w:val="1733"/>
    <w:next w:val="1732"/>
    <w:link w:val="1561"/>
    <w:qFormat/>
    <w:rPr>
      <w:rFonts w:ascii="宋体" w:hAnsi="Courier New" w:cs="Courier New"/>
      <w:szCs w:val="21"/>
    </w:rPr>
  </w:style>
  <w:style w:type="paragraph" w:styleId="1733">
    <w:name w:val="正文_1_0_0"/>
    <w:basedOn w:val="1730"/>
    <w:next w:val="1734"/>
    <w:link w:val="1561"/>
    <w:qFormat/>
  </w:style>
  <w:style w:type="paragraph" w:styleId="1734">
    <w:name w:val="Plain Text2"/>
    <w:basedOn w:val="1733"/>
    <w:next w:val="1734"/>
    <w:link w:val="1561"/>
    <w:qFormat/>
    <w:rPr>
      <w:rFonts w:ascii="宋体" w:hAnsi="Courier New" w:cs="Courier New"/>
      <w:szCs w:val="21"/>
    </w:rPr>
  </w:style>
  <w:style w:type="paragraph" w:styleId="1735">
    <w:name w:val="修订1"/>
    <w:next w:val="1735"/>
    <w:link w:val="1561"/>
    <w:uiPriority w:val="99"/>
    <w:unhideWhenUsed/>
    <w:qFormat/>
    <w:rPr>
      <w:sz w:val="21"/>
      <w:lang w:val="en-US" w:eastAsia="zh-CN" w:bidi="ar-SA"/>
    </w:rPr>
  </w:style>
  <w:style w:type="paragraph" w:styleId="1736">
    <w:name w:val="Char"/>
    <w:basedOn w:val="1561"/>
    <w:next w:val="1736"/>
    <w:link w:val="1561"/>
    <w:qFormat/>
    <w:pPr>
      <w:tabs>
        <w:tab w:val="left" w:pos="360" w:leader="none"/>
      </w:tabs>
    </w:pPr>
    <w:rPr>
      <w:rFonts w:ascii="仿宋_GB2312" w:eastAsia="仿宋_GB2312"/>
      <w:b/>
      <w:sz w:val="24"/>
      <w:szCs w:val="24"/>
    </w:rPr>
  </w:style>
  <w:style w:type="paragraph" w:styleId="1737">
    <w:name w:val="Default"/>
    <w:basedOn w:val="1738"/>
    <w:next w:val="1737"/>
    <w:link w:val="1561"/>
    <w:qFormat/>
    <w:pPr>
      <w:widowControl w:val="off"/>
    </w:pPr>
    <w:rPr>
      <w:rFonts w:ascii="微软雅黑" w:eastAsia="微软雅黑" w:cs="微软雅黑"/>
      <w:color w:val="000000"/>
      <w:sz w:val="24"/>
      <w:szCs w:val="24"/>
      <w:lang w:val="en-US" w:eastAsia="zh-CN" w:bidi="ar-SA"/>
    </w:rPr>
  </w:style>
  <w:style w:type="paragraph" w:styleId="1738">
    <w:name w:val="正文_2"/>
    <w:next w:val="1734"/>
    <w:link w:val="1561"/>
    <w:qFormat/>
    <w:pPr>
      <w:jc w:val="both"/>
      <w:widowControl w:val="off"/>
    </w:pPr>
    <w:rPr>
      <w:sz w:val="21"/>
      <w:szCs w:val="22"/>
      <w:lang w:val="en-US" w:eastAsia="zh-CN" w:bidi="ar-SA"/>
    </w:rPr>
  </w:style>
  <w:style w:type="paragraph" w:styleId="1739">
    <w:name w:val="列出段落11"/>
    <w:basedOn w:val="1561"/>
    <w:next w:val="1739"/>
    <w:link w:val="1561"/>
    <w:uiPriority w:val="34"/>
    <w:qFormat/>
    <w:pPr>
      <w:ind w:firstLine="420"/>
    </w:pPr>
    <w:rPr>
      <w:rFonts w:ascii="Calibri" w:hAnsi="Calibri"/>
      <w:szCs w:val="22"/>
    </w:rPr>
  </w:style>
  <w:style w:type="paragraph" w:styleId="1740">
    <w:name w:val="xl72"/>
    <w:basedOn w:val="1561"/>
    <w:next w:val="1740"/>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41">
    <w:name w:val="标题5"/>
    <w:basedOn w:val="1566"/>
    <w:next w:val="1741"/>
    <w:link w:val="1561"/>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42">
    <w:name w:val="Char Char"/>
    <w:basedOn w:val="1561"/>
    <w:next w:val="1742"/>
    <w:link w:val="1561"/>
    <w:qFormat/>
    <w:pPr>
      <w:tabs>
        <w:tab w:val="left" w:pos="360" w:leader="none"/>
      </w:tabs>
    </w:pPr>
    <w:rPr>
      <w:sz w:val="24"/>
      <w:szCs w:val="24"/>
    </w:rPr>
  </w:style>
  <w:style w:type="paragraph" w:styleId="1743">
    <w:name w:val="默认段落字体 Para Char Char Char Char"/>
    <w:basedOn w:val="1561"/>
    <w:next w:val="1743"/>
    <w:link w:val="1561"/>
    <w:qFormat/>
  </w:style>
  <w:style w:type="paragraph" w:styleId="1744">
    <w:name w:val="p0"/>
    <w:basedOn w:val="1561"/>
    <w:next w:val="1744"/>
    <w:link w:val="1561"/>
    <w:qFormat/>
    <w:pPr>
      <w:jc w:val="left"/>
      <w:spacing w:before="100" w:beforeAutospacing="1" w:after="100" w:afterAutospacing="1"/>
      <w:widowControl/>
    </w:pPr>
    <w:rPr>
      <w:rFonts w:ascii="宋体" w:hAnsi="宋体" w:cs="宋体"/>
      <w:sz w:val="24"/>
      <w:szCs w:val="24"/>
    </w:rPr>
  </w:style>
  <w:style w:type="paragraph" w:styleId="1745">
    <w:name w:val="xl79"/>
    <w:basedOn w:val="1561"/>
    <w:next w:val="1745"/>
    <w:link w:val="1561"/>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46">
    <w:name w:val="font10"/>
    <w:basedOn w:val="1561"/>
    <w:next w:val="1746"/>
    <w:link w:val="1561"/>
    <w:qFormat/>
    <w:pPr>
      <w:jc w:val="left"/>
      <w:spacing w:before="100" w:beforeAutospacing="1" w:after="100" w:afterAutospacing="1"/>
      <w:widowControl/>
    </w:pPr>
    <w:rPr>
      <w:rFonts w:ascii="宋体" w:hAnsi="宋体" w:cs="宋体"/>
      <w:color w:val="000000"/>
      <w:sz w:val="22"/>
      <w:szCs w:val="22"/>
    </w:rPr>
  </w:style>
  <w:style w:type="paragraph" w:styleId="1747">
    <w:name w:val="Char Char Char"/>
    <w:basedOn w:val="1561"/>
    <w:next w:val="1747"/>
    <w:link w:val="1561"/>
    <w:qFormat/>
    <w:pPr>
      <w:jc w:val="center"/>
      <w:spacing w:line="400" w:lineRule="exact"/>
      <w:widowControl/>
    </w:pPr>
    <w:rPr>
      <w:szCs w:val="24"/>
    </w:rPr>
  </w:style>
  <w:style w:type="paragraph" w:styleId="1748">
    <w:name w:val="_Style 2"/>
    <w:basedOn w:val="1561"/>
    <w:next w:val="1748"/>
    <w:link w:val="1561"/>
    <w:uiPriority w:val="34"/>
    <w:qFormat/>
    <w:pPr>
      <w:ind w:firstLine="420"/>
    </w:pPr>
    <w:rPr>
      <w:szCs w:val="24"/>
    </w:rPr>
  </w:style>
  <w:style w:type="paragraph" w:styleId="1749">
    <w:name w:val="xl100"/>
    <w:basedOn w:val="1561"/>
    <w:next w:val="1749"/>
    <w:link w:val="156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0">
    <w:name w:val="标题3"/>
    <w:basedOn w:val="1564"/>
    <w:next w:val="1750"/>
    <w:link w:val="1561"/>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51">
    <w:name w:val="Char Char Char Char"/>
    <w:basedOn w:val="1588"/>
    <w:next w:val="1751"/>
    <w:link w:val="1561"/>
    <w:qFormat/>
    <w:pPr>
      <w:jc w:val="both"/>
      <w:spacing w:line="360" w:lineRule="auto"/>
      <w:shd w:val="clear" w:color="auto" w:fill="000080"/>
    </w:pPr>
    <w:rPr>
      <w:rFonts w:ascii="Tahoma" w:hAnsi="Tahoma"/>
      <w:sz w:val="24"/>
      <w:szCs w:val="24"/>
    </w:rPr>
  </w:style>
  <w:style w:type="paragraph" w:styleId="1752">
    <w:name w:val="样式 首行缩进:  2 字符"/>
    <w:basedOn w:val="1561"/>
    <w:next w:val="1752"/>
    <w:link w:val="1561"/>
    <w:qFormat/>
    <w:pPr>
      <w:ind w:firstLine="200"/>
      <w:spacing w:line="400" w:lineRule="exact"/>
    </w:pPr>
    <w:rPr>
      <w:rFonts w:cs="宋体"/>
      <w:sz w:val="24"/>
      <w:szCs w:val="24"/>
    </w:rPr>
  </w:style>
  <w:style w:type="paragraph" w:styleId="1753">
    <w:name w:val="xl66"/>
    <w:basedOn w:val="1561"/>
    <w:next w:val="1753"/>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4">
    <w:name w:val="样式 样式 标题1 + 行距: 单倍行距 + 段前: 7.8 磅 段后: 7.8 磅"/>
    <w:basedOn w:val="1561"/>
    <w:next w:val="1754"/>
    <w:link w:val="1561"/>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55">
    <w:name w:val="列出段落3"/>
    <w:basedOn w:val="1561"/>
    <w:next w:val="1755"/>
    <w:link w:val="1561"/>
    <w:qFormat/>
    <w:pPr>
      <w:ind w:firstLine="420"/>
    </w:pPr>
    <w:rPr>
      <w:rFonts w:ascii="Calibri" w:hAnsi="Calibri"/>
      <w:szCs w:val="22"/>
    </w:rPr>
  </w:style>
  <w:style w:type="paragraph" w:styleId="1756">
    <w:name w:val="xl69"/>
    <w:basedOn w:val="1561"/>
    <w:next w:val="1756"/>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7">
    <w:name w:val="font6"/>
    <w:basedOn w:val="1561"/>
    <w:next w:val="1757"/>
    <w:link w:val="1561"/>
    <w:qFormat/>
    <w:pPr>
      <w:jc w:val="left"/>
      <w:spacing w:before="100" w:beforeAutospacing="1" w:after="100" w:afterAutospacing="1"/>
      <w:widowControl/>
    </w:pPr>
    <w:rPr>
      <w:color w:val="000000"/>
      <w:szCs w:val="21"/>
    </w:rPr>
  </w:style>
  <w:style w:type="paragraph" w:styleId="1758">
    <w:name w:val="列出段落2"/>
    <w:basedOn w:val="1561"/>
    <w:next w:val="1758"/>
    <w:link w:val="1561"/>
    <w:uiPriority w:val="34"/>
    <w:qFormat/>
    <w:pPr>
      <w:ind w:firstLine="420"/>
    </w:pPr>
    <w:rPr>
      <w:rFonts w:ascii="Calibri" w:hAnsi="Calibri"/>
      <w:szCs w:val="21"/>
    </w:rPr>
  </w:style>
  <w:style w:type="paragraph" w:styleId="1759">
    <w:name w:val="格式1"/>
    <w:basedOn w:val="1561"/>
    <w:next w:val="1759"/>
    <w:link w:val="1561"/>
    <w:qFormat/>
    <w:pPr>
      <w:jc w:val="center"/>
    </w:pPr>
    <w:rPr>
      <w:rFonts w:ascii="黑体" w:hAnsi="宋体" w:eastAsia="黑体"/>
      <w:b/>
      <w:bCs/>
      <w:color w:val="000000"/>
      <w:sz w:val="32"/>
    </w:rPr>
  </w:style>
  <w:style w:type="paragraph" w:styleId="1760">
    <w:name w:val="修订"/>
    <w:next w:val="1760"/>
    <w:link w:val="1561"/>
    <w:uiPriority w:val="99"/>
    <w:unhideWhenUsed/>
    <w:rPr>
      <w:sz w:val="21"/>
      <w:lang w:val="en-US" w:eastAsia="zh-CN" w:bidi="ar-SA"/>
    </w:rPr>
  </w:style>
  <w:style w:type="paragraph" w:styleId="1761">
    <w:name w:val="正文宋体4"/>
    <w:basedOn w:val="1561"/>
    <w:next w:val="1761"/>
    <w:link w:val="1561"/>
    <w:qFormat/>
    <w:pPr>
      <w:ind w:firstLine="359"/>
      <w:tabs>
        <w:tab w:val="left" w:pos="0" w:leader="none"/>
      </w:tabs>
    </w:pPr>
    <w:rPr>
      <w:rFonts w:ascii="仿宋_GB2312" w:eastAsia="仿宋_GB2312"/>
      <w:b/>
      <w:color w:val="000000"/>
      <w:sz w:val="24"/>
      <w:szCs w:val="24"/>
    </w:rPr>
  </w:style>
  <w:style w:type="paragraph" w:styleId="1762">
    <w:name w:val="正文1"/>
    <w:next w:val="1762"/>
    <w:link w:val="1561"/>
    <w:qFormat/>
    <w:pPr>
      <w:jc w:val="both"/>
    </w:pPr>
    <w:rPr>
      <w:rFonts w:cs="宋体"/>
      <w:sz w:val="21"/>
      <w:szCs w:val="21"/>
      <w:lang w:val="en-US" w:eastAsia="zh-CN" w:bidi="ar-SA"/>
    </w:rPr>
  </w:style>
  <w:style w:type="paragraph" w:styleId="1763">
    <w:name w:val="简单回函地址"/>
    <w:basedOn w:val="1561"/>
    <w:next w:val="1763"/>
    <w:link w:val="1561"/>
    <w:qFormat/>
    <w:rPr>
      <w:szCs w:val="24"/>
    </w:rPr>
  </w:style>
  <w:style w:type="paragraph" w:styleId="1764">
    <w:name w:val="font11"/>
    <w:basedOn w:val="1561"/>
    <w:next w:val="1764"/>
    <w:link w:val="1561"/>
    <w:qFormat/>
    <w:pPr>
      <w:jc w:val="left"/>
      <w:spacing w:before="100" w:beforeAutospacing="1" w:after="100" w:afterAutospacing="1"/>
      <w:widowControl/>
    </w:pPr>
    <w:rPr>
      <w:rFonts w:ascii="宋体" w:hAnsi="宋体" w:cs="宋体"/>
      <w:color w:val="000000"/>
      <w:sz w:val="18"/>
      <w:szCs w:val="18"/>
    </w:rPr>
  </w:style>
  <w:style w:type="paragraph" w:styleId="1765">
    <w:name w:val="xl105"/>
    <w:basedOn w:val="1561"/>
    <w:next w:val="1765"/>
    <w:link w:val="1561"/>
    <w:qFormat/>
    <w:pPr>
      <w:jc w:val="left"/>
      <w:spacing w:before="100" w:beforeAutospacing="1" w:after="100" w:afterAutospacing="1"/>
      <w:widowControl/>
    </w:pPr>
    <w:rPr>
      <w:rFonts w:ascii="宋体" w:hAnsi="宋体" w:cs="宋体"/>
      <w:sz w:val="20"/>
    </w:rPr>
  </w:style>
  <w:style w:type="paragraph" w:styleId="1766">
    <w:name w:val="xl86"/>
    <w:basedOn w:val="1561"/>
    <w:next w:val="1766"/>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67">
    <w:name w:val="xl109"/>
    <w:basedOn w:val="1561"/>
    <w:next w:val="1767"/>
    <w:link w:val="1561"/>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8">
    <w:name w:val="节标题"/>
    <w:basedOn w:val="1561"/>
    <w:next w:val="1561"/>
    <w:link w:val="1561"/>
    <w:qFormat/>
    <w:pPr>
      <w:jc w:val="center"/>
      <w:spacing w:line="289" w:lineRule="atLeast"/>
    </w:pPr>
    <w:rPr>
      <w:sz w:val="28"/>
      <w:szCs w:val="24"/>
    </w:rPr>
  </w:style>
  <w:style w:type="paragraph" w:styleId="1769">
    <w:name w:val="xl103"/>
    <w:basedOn w:val="1561"/>
    <w:next w:val="1769"/>
    <w:link w:val="15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70">
    <w:name w:val="xl112"/>
    <w:basedOn w:val="1561"/>
    <w:next w:val="1770"/>
    <w:link w:val="1561"/>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71">
    <w:name w:val="2"/>
    <w:basedOn w:val="1561"/>
    <w:next w:val="1771"/>
    <w:link w:val="1561"/>
    <w:qFormat/>
    <w:pPr>
      <w:spacing w:line="360" w:lineRule="auto"/>
    </w:pPr>
    <w:rPr>
      <w:rFonts w:ascii="宋体" w:hAnsi="宋体"/>
      <w:b/>
      <w:sz w:val="24"/>
    </w:rPr>
  </w:style>
  <w:style w:type="paragraph" w:styleId="1772">
    <w:name w:val="BodyText1I1"/>
    <w:basedOn w:val="1773"/>
    <w:next w:val="1772"/>
    <w:link w:val="1561"/>
    <w:qFormat/>
    <w:pPr>
      <w:ind w:left="120" w:firstLine="420"/>
      <w:jc w:val="both"/>
      <w:spacing w:before="36"/>
    </w:pPr>
  </w:style>
  <w:style w:type="paragraph" w:styleId="1773">
    <w:name w:val="BodyText1"/>
    <w:basedOn w:val="1561"/>
    <w:next w:val="1561"/>
    <w:link w:val="1561"/>
    <w:qFormat/>
    <w:pPr>
      <w:ind w:left="120"/>
      <w:jc w:val="both"/>
      <w:spacing w:before="36"/>
    </w:pPr>
    <w:rPr>
      <w:rFonts w:ascii="宋体" w:hAnsi="宋体" w:eastAsia="宋体"/>
      <w:sz w:val="24"/>
      <w:szCs w:val="24"/>
      <w:lang w:val="en-US" w:eastAsia="zh-CN" w:bidi="ar-SA"/>
    </w:rPr>
  </w:style>
  <w:style w:type="paragraph" w:styleId="1774">
    <w:name w:val="font14"/>
    <w:basedOn w:val="1561"/>
    <w:next w:val="1774"/>
    <w:link w:val="1561"/>
    <w:qFormat/>
    <w:pPr>
      <w:jc w:val="left"/>
      <w:spacing w:before="100" w:beforeAutospacing="1" w:after="100" w:afterAutospacing="1"/>
      <w:widowControl/>
    </w:pPr>
    <w:rPr>
      <w:rFonts w:ascii="宋体" w:hAnsi="宋体" w:cs="宋体"/>
      <w:color w:val="000000"/>
      <w:szCs w:val="21"/>
    </w:rPr>
  </w:style>
  <w:style w:type="paragraph" w:styleId="1775">
    <w:name w:val="xl65"/>
    <w:basedOn w:val="1561"/>
    <w:next w:val="1775"/>
    <w:link w:val="15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76">
    <w:name w:val="Char Char Char Char Char Char Char1"/>
    <w:basedOn w:val="1561"/>
    <w:next w:val="1776"/>
    <w:link w:val="1561"/>
    <w:qFormat/>
    <w:pPr>
      <w:ind w:left="432" w:hanging="432"/>
      <w:jc w:val="center"/>
      <w:tabs>
        <w:tab w:val="left" w:pos="432" w:leader="none"/>
      </w:tabs>
    </w:pPr>
    <w:rPr>
      <w:rFonts w:ascii="仿宋_GB2312" w:hAnsi="Tahoma" w:eastAsia="仿宋_GB2312"/>
      <w:sz w:val="24"/>
      <w:szCs w:val="24"/>
    </w:rPr>
  </w:style>
  <w:style w:type="paragraph" w:styleId="1777">
    <w:name w:val="xl99"/>
    <w:basedOn w:val="1561"/>
    <w:next w:val="1777"/>
    <w:link w:val="156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78">
    <w:name w:val="xl80"/>
    <w:basedOn w:val="1561"/>
    <w:next w:val="1778"/>
    <w:link w:val="1561"/>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79">
    <w:name w:val="xl94"/>
    <w:basedOn w:val="1561"/>
    <w:next w:val="1779"/>
    <w:link w:val="1561"/>
    <w:qFormat/>
    <w:pPr>
      <w:jc w:val="center"/>
      <w:spacing w:before="100" w:beforeAutospacing="1" w:after="100" w:afterAutospacing="1"/>
      <w:widowControl/>
      <w:pBdr>
        <w:left w:val="single" w:color="000000" w:sz="4" w:space="0"/>
        <w:right w:val="single" w:color="000000" w:sz="4" w:space="0"/>
      </w:pBdr>
    </w:pPr>
    <w:rPr>
      <w:szCs w:val="21"/>
    </w:rPr>
  </w:style>
  <w:style w:type="paragraph" w:styleId="1780">
    <w:name w:val="标题9"/>
    <w:basedOn w:val="1569"/>
    <w:next w:val="1780"/>
    <w:link w:val="1561"/>
    <w:qFormat/>
    <w:pPr>
      <w:jc w:val="both"/>
      <w:keepLines w:val="0"/>
      <w:keepNext w:val="0"/>
      <w:spacing w:before="0" w:after="0" w:line="360" w:lineRule="auto"/>
      <w:tabs>
        <w:tab w:val="left" w:pos="0" w:leader="none"/>
      </w:tabs>
    </w:pPr>
    <w:rPr>
      <w:rFonts w:eastAsia="仿宋_GB2312"/>
      <w:sz w:val="30"/>
    </w:rPr>
  </w:style>
  <w:style w:type="paragraph" w:styleId="1781">
    <w:name w:val="正文缩进1"/>
    <w:basedOn w:val="1561"/>
    <w:next w:val="1781"/>
    <w:link w:val="1561"/>
    <w:qFormat/>
    <w:pPr>
      <w:ind w:firstLine="482"/>
      <w:spacing w:line="360" w:lineRule="atLeast"/>
    </w:pPr>
    <w:rPr>
      <w:sz w:val="24"/>
      <w:szCs w:val="24"/>
    </w:rPr>
  </w:style>
  <w:style w:type="paragraph" w:styleId="1782">
    <w:name w:val="_Style 53"/>
    <w:next w:val="1561"/>
    <w:link w:val="1561"/>
    <w:uiPriority w:val="99"/>
    <w:unhideWhenUsed/>
    <w:qFormat/>
    <w:pPr>
      <w:widowControl w:val="off"/>
    </w:pPr>
    <w:rPr>
      <w:rFonts w:ascii="宋体"/>
      <w:lang w:val="en-US" w:eastAsia="zh-CN" w:bidi="ar-SA"/>
    </w:rPr>
  </w:style>
  <w:style w:type="paragraph" w:styleId="1783">
    <w:name w:val="Char Char Char1"/>
    <w:basedOn w:val="1561"/>
    <w:next w:val="1783"/>
    <w:link w:val="1561"/>
    <w:qFormat/>
    <w:rPr>
      <w:szCs w:val="24"/>
    </w:rPr>
  </w:style>
  <w:style w:type="paragraph" w:styleId="1784">
    <w:name w:val="三级条我的分类标题"/>
    <w:basedOn w:val="1561"/>
    <w:next w:val="1784"/>
    <w:link w:val="1561"/>
    <w:uiPriority w:val="99"/>
    <w:qFormat/>
    <w:pPr>
      <w:ind w:left="992" w:hanging="567"/>
    </w:pPr>
    <w:rPr>
      <w:rFonts w:ascii="黑体" w:hAnsi="黑体" w:eastAsia="黑体"/>
      <w:b/>
      <w:sz w:val="28"/>
      <w:szCs w:val="28"/>
    </w:rPr>
  </w:style>
  <w:style w:type="paragraph" w:styleId="1785">
    <w:name w:val="yy一级标题"/>
    <w:basedOn w:val="1561"/>
    <w:next w:val="1785"/>
    <w:link w:val="1561"/>
    <w:qFormat/>
    <w:rPr>
      <w:rFonts w:ascii="宋体" w:hAnsi="宋体"/>
      <w:sz w:val="24"/>
      <w:szCs w:val="24"/>
    </w:rPr>
  </w:style>
  <w:style w:type="paragraph" w:styleId="1786">
    <w:name w:val="_Style 20"/>
    <w:basedOn w:val="1561"/>
    <w:next w:val="1787"/>
    <w:link w:val="1561"/>
    <w:uiPriority w:val="34"/>
    <w:qFormat/>
    <w:pPr>
      <w:ind w:firstLine="420"/>
    </w:pPr>
    <w:rPr>
      <w:szCs w:val="24"/>
    </w:rPr>
  </w:style>
  <w:style w:type="paragraph" w:styleId="1787">
    <w:name w:val="列出段落"/>
    <w:basedOn w:val="1561"/>
    <w:next w:val="1787"/>
    <w:link w:val="1561"/>
    <w:uiPriority w:val="34"/>
    <w:qFormat/>
    <w:pPr>
      <w:ind w:firstLine="420"/>
    </w:pPr>
  </w:style>
  <w:style w:type="paragraph" w:styleId="1788">
    <w:name w:val="标题8"/>
    <w:basedOn w:val="1568"/>
    <w:next w:val="1788"/>
    <w:link w:val="1561"/>
    <w:qFormat/>
    <w:pPr>
      <w:jc w:val="both"/>
      <w:keepLines w:val="0"/>
      <w:keepNext w:val="0"/>
      <w:spacing w:before="0" w:after="0" w:line="360" w:lineRule="auto"/>
      <w:tabs>
        <w:tab w:val="left" w:pos="0" w:leader="none"/>
      </w:tabs>
    </w:pPr>
    <w:rPr>
      <w:rFonts w:eastAsia="仿宋_GB2312"/>
      <w:sz w:val="30"/>
    </w:rPr>
  </w:style>
  <w:style w:type="paragraph" w:styleId="1789">
    <w:name w:val="xl93"/>
    <w:basedOn w:val="1561"/>
    <w:next w:val="1789"/>
    <w:link w:val="1561"/>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90">
    <w:name w:val="标题4"/>
    <w:basedOn w:val="1565"/>
    <w:next w:val="1790"/>
    <w:link w:val="1561"/>
    <w:qFormat/>
    <w:pPr>
      <w:keepLines w:val="0"/>
      <w:keepNext w:val="0"/>
      <w:spacing w:before="0" w:after="0" w:line="360" w:lineRule="auto"/>
      <w:tabs>
        <w:tab w:val="left" w:pos="0" w:leader="none"/>
      </w:tabs>
    </w:pPr>
    <w:rPr>
      <w:rFonts w:eastAsia="仿宋_GB2312"/>
      <w:b w:val="0"/>
      <w:sz w:val="30"/>
      <w:szCs w:val="30"/>
    </w:rPr>
  </w:style>
  <w:style w:type="paragraph" w:styleId="1791">
    <w:name w:val="标题6"/>
    <w:basedOn w:val="1567"/>
    <w:next w:val="1791"/>
    <w:link w:val="1561"/>
    <w:qFormat/>
    <w:pPr>
      <w:jc w:val="both"/>
      <w:keepLines w:val="0"/>
      <w:keepNext w:val="0"/>
      <w:spacing w:before="0" w:after="0" w:line="360" w:lineRule="auto"/>
      <w:tabs>
        <w:tab w:val="left" w:pos="0" w:leader="none"/>
      </w:tabs>
    </w:pPr>
    <w:rPr>
      <w:rFonts w:eastAsia="仿宋_GB2312"/>
      <w:b w:val="0"/>
      <w:sz w:val="30"/>
    </w:rPr>
  </w:style>
  <w:style w:type="paragraph" w:styleId="1792">
    <w:name w:val="xl97"/>
    <w:basedOn w:val="1561"/>
    <w:next w:val="1792"/>
    <w:link w:val="1561"/>
    <w:qFormat/>
    <w:pPr>
      <w:jc w:val="left"/>
      <w:spacing w:before="100" w:beforeAutospacing="1" w:after="100" w:afterAutospacing="1"/>
      <w:widowControl/>
    </w:pPr>
    <w:rPr>
      <w:rFonts w:ascii="宋体" w:hAnsi="宋体" w:cs="宋体"/>
      <w:szCs w:val="21"/>
    </w:rPr>
  </w:style>
  <w:style w:type="paragraph" w:styleId="1793">
    <w:name w:val="xl76"/>
    <w:basedOn w:val="1561"/>
    <w:next w:val="1793"/>
    <w:link w:val="15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94">
    <w:name w:val="yy标题"/>
    <w:basedOn w:val="1795"/>
    <w:next w:val="1794"/>
    <w:link w:val="1561"/>
    <w:qFormat/>
    <w:rPr>
      <w:sz w:val="24"/>
    </w:rPr>
  </w:style>
  <w:style w:type="paragraph" w:styleId="1795">
    <w:name w:val="yy目录"/>
    <w:basedOn w:val="1561"/>
    <w:next w:val="1795"/>
    <w:link w:val="1561"/>
    <w:qFormat/>
    <w:pPr>
      <w:spacing w:line="360" w:lineRule="auto"/>
    </w:pPr>
    <w:rPr>
      <w:rFonts w:ascii="楷体_GB2312"/>
      <w:bCs/>
      <w:sz w:val="28"/>
      <w:szCs w:val="72"/>
    </w:rPr>
  </w:style>
  <w:style w:type="paragraph" w:styleId="1796">
    <w:name w:val="xl70"/>
    <w:basedOn w:val="1561"/>
    <w:next w:val="1796"/>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97">
    <w:name w:val="_Style 4"/>
    <w:basedOn w:val="1561"/>
    <w:next w:val="1797"/>
    <w:link w:val="1561"/>
    <w:uiPriority w:val="99"/>
    <w:qFormat/>
    <w:pPr>
      <w:ind w:firstLine="420"/>
    </w:pPr>
  </w:style>
  <w:style w:type="paragraph" w:styleId="1798">
    <w:name w:val="Char1"/>
    <w:basedOn w:val="1561"/>
    <w:next w:val="1798"/>
    <w:link w:val="1561"/>
    <w:qFormat/>
    <w:pPr>
      <w:ind w:left="840" w:hanging="420"/>
      <w:tabs>
        <w:tab w:val="left" w:pos="840" w:leader="none"/>
      </w:tabs>
    </w:pPr>
    <w:rPr>
      <w:sz w:val="24"/>
      <w:szCs w:val="24"/>
    </w:rPr>
  </w:style>
  <w:style w:type="paragraph" w:styleId="1799">
    <w:name w:val="xl71"/>
    <w:basedOn w:val="1561"/>
    <w:next w:val="1799"/>
    <w:link w:val="15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00">
    <w:name w:val="三级条带序号我的标题"/>
    <w:basedOn w:val="1561"/>
    <w:next w:val="1800"/>
    <w:link w:val="1561"/>
    <w:uiPriority w:val="99"/>
    <w:qFormat/>
    <w:pPr>
      <w:ind w:left="420" w:hanging="420"/>
      <w:outlineLvl w:val="2"/>
    </w:pPr>
    <w:rPr>
      <w:rFonts w:ascii="黑体" w:hAnsi="黑体" w:eastAsia="黑体"/>
      <w:b/>
      <w:sz w:val="28"/>
      <w:szCs w:val="28"/>
    </w:rPr>
  </w:style>
  <w:style w:type="paragraph" w:styleId="1801">
    <w:name w:val="TOC 标题1"/>
    <w:basedOn w:val="1562"/>
    <w:next w:val="1561"/>
    <w:link w:val="1561"/>
    <w:uiPriority w:val="39"/>
    <w:qFormat/>
    <w:pPr>
      <w:jc w:val="left"/>
      <w:keepLines/>
      <w:spacing w:before="480" w:line="276" w:lineRule="auto"/>
      <w:widowControl/>
      <w:outlineLvl w:val="9"/>
    </w:pPr>
    <w:rPr>
      <w:rFonts w:ascii="Cambria" w:hAnsi="Cambria"/>
      <w:b/>
      <w:bCs/>
      <w:color w:val="365f91"/>
      <w:szCs w:val="28"/>
    </w:rPr>
  </w:style>
  <w:style w:type="paragraph" w:styleId="1802">
    <w:name w:val="xl96"/>
    <w:basedOn w:val="1561"/>
    <w:next w:val="1802"/>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803">
    <w:name w:val="xl102"/>
    <w:basedOn w:val="1561"/>
    <w:next w:val="1803"/>
    <w:link w:val="156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04">
    <w:name w:val="xl91"/>
    <w:basedOn w:val="1561"/>
    <w:next w:val="1804"/>
    <w:link w:val="1561"/>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805">
    <w:name w:val="xl67"/>
    <w:basedOn w:val="1561"/>
    <w:next w:val="1805"/>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06">
    <w:name w:val="默认段落字体 Para Char Char Char Char Char Char Char"/>
    <w:basedOn w:val="1561"/>
    <w:next w:val="1806"/>
    <w:link w:val="1561"/>
    <w:qFormat/>
    <w:pPr>
      <w:spacing w:line="360" w:lineRule="auto"/>
    </w:pPr>
    <w:rPr>
      <w:rFonts w:ascii="Arial" w:hAnsi="Arial" w:eastAsia="黑体" w:cs="Verdana"/>
      <w:b/>
      <w:sz w:val="30"/>
      <w:szCs w:val="24"/>
      <w:lang w:eastAsia="en-US"/>
    </w:rPr>
  </w:style>
  <w:style w:type="paragraph" w:styleId="1807">
    <w:name w:val="列出段落5"/>
    <w:basedOn w:val="1561"/>
    <w:next w:val="1807"/>
    <w:link w:val="1561"/>
    <w:uiPriority w:val="99"/>
    <w:unhideWhenUsed/>
    <w:qFormat/>
    <w:pPr>
      <w:ind w:firstLine="420"/>
    </w:pPr>
  </w:style>
  <w:style w:type="paragraph" w:styleId="1808">
    <w:name w:val="列出段落4"/>
    <w:basedOn w:val="1561"/>
    <w:next w:val="1808"/>
    <w:link w:val="1561"/>
    <w:uiPriority w:val="34"/>
    <w:qFormat/>
    <w:pPr>
      <w:ind w:firstLine="420"/>
    </w:pPr>
  </w:style>
  <w:style w:type="paragraph" w:styleId="1809">
    <w:name w:val="xl81"/>
    <w:basedOn w:val="1561"/>
    <w:next w:val="1809"/>
    <w:link w:val="1561"/>
    <w:qFormat/>
    <w:pPr>
      <w:jc w:val="left"/>
      <w:spacing w:before="100" w:beforeAutospacing="1" w:after="100" w:afterAutospacing="1"/>
      <w:widowControl/>
      <w:pBdr>
        <w:left w:val="single" w:color="000000" w:sz="4" w:space="0"/>
        <w:right w:val="single" w:color="000000" w:sz="4" w:space="0"/>
      </w:pBdr>
    </w:pPr>
    <w:rPr>
      <w:sz w:val="20"/>
    </w:rPr>
  </w:style>
  <w:style w:type="paragraph" w:styleId="1810">
    <w:name w:val="_Style 231"/>
    <w:next w:val="1810"/>
    <w:link w:val="1561"/>
    <w:uiPriority w:val="99"/>
    <w:qFormat/>
    <w:pPr>
      <w:jc w:val="both"/>
      <w:widowControl w:val="off"/>
    </w:pPr>
    <w:rPr>
      <w:sz w:val="21"/>
      <w:lang w:val="en-US" w:eastAsia="zh-CN" w:bidi="ar-SA"/>
    </w:rPr>
  </w:style>
  <w:style w:type="paragraph" w:styleId="1811">
    <w:name w:val="Table Paragraph"/>
    <w:basedOn w:val="1561"/>
    <w:next w:val="1811"/>
    <w:link w:val="1561"/>
    <w:uiPriority w:val="1"/>
    <w:qFormat/>
    <w:pPr>
      <w:spacing w:before="2"/>
    </w:pPr>
    <w:rPr>
      <w:rFonts w:ascii="宋体" w:hAnsi="宋体" w:eastAsia="宋体" w:cs="宋体"/>
      <w:lang w:val="zh-CN" w:eastAsia="zh-CN" w:bidi="zh-CN"/>
    </w:rPr>
  </w:style>
  <w:style w:type="paragraph" w:styleId="1812">
    <w:name w:val="xl68"/>
    <w:basedOn w:val="1561"/>
    <w:next w:val="1812"/>
    <w:link w:val="15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13">
    <w:name w:val="Body Text First Indent1"/>
    <w:basedOn w:val="1572"/>
    <w:next w:val="1813"/>
    <w:link w:val="1561"/>
    <w:qFormat/>
    <w:pPr>
      <w:ind w:firstLine="420"/>
    </w:pPr>
  </w:style>
  <w:style w:type="paragraph" w:styleId="1814">
    <w:name w:val="yy标题2"/>
    <w:basedOn w:val="1795"/>
    <w:next w:val="1814"/>
    <w:link w:val="1561"/>
    <w:qFormat/>
    <w:rPr>
      <w:bCs w:val="0"/>
      <w:color w:val="000000"/>
      <w:sz w:val="24"/>
    </w:rPr>
  </w:style>
  <w:style w:type="paragraph" w:styleId="1815">
    <w:name w:val="xl90"/>
    <w:basedOn w:val="1561"/>
    <w:next w:val="1815"/>
    <w:link w:val="15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816">
    <w:name w:val="xl108"/>
    <w:basedOn w:val="1561"/>
    <w:next w:val="1816"/>
    <w:link w:val="15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17">
    <w:name w:val="xl74"/>
    <w:basedOn w:val="1561"/>
    <w:next w:val="1817"/>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818">
    <w:name w:val="xl83"/>
    <w:basedOn w:val="1561"/>
    <w:next w:val="1818"/>
    <w:link w:val="1561"/>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819">
    <w:name w:val="彩色列表 - 强调文字颜色 11"/>
    <w:basedOn w:val="1561"/>
    <w:next w:val="1819"/>
    <w:link w:val="1561"/>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820">
    <w:name w:val="xl111"/>
    <w:basedOn w:val="1561"/>
    <w:next w:val="1820"/>
    <w:link w:val="1561"/>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821">
    <w:name w:val="xl77"/>
    <w:basedOn w:val="1561"/>
    <w:next w:val="1821"/>
    <w:link w:val="15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22">
    <w:name w:val="标题2"/>
    <w:basedOn w:val="1563"/>
    <w:next w:val="1822"/>
    <w:link w:val="1561"/>
    <w:qFormat/>
    <w:pPr>
      <w:keepLines w:val="0"/>
      <w:keepNext w:val="0"/>
      <w:spacing w:before="0" w:after="0" w:line="360" w:lineRule="auto"/>
      <w:tabs>
        <w:tab w:val="left" w:pos="0" w:leader="none"/>
      </w:tabs>
    </w:pPr>
    <w:rPr>
      <w:rFonts w:eastAsia="仿宋_GB2312"/>
      <w:b w:val="0"/>
      <w:sz w:val="30"/>
    </w:rPr>
  </w:style>
  <w:style w:type="paragraph" w:styleId="1823">
    <w:name w:val="正文2"/>
    <w:basedOn w:val="1561"/>
    <w:next w:val="1823"/>
    <w:link w:val="1561"/>
    <w:qFormat/>
    <w:pPr>
      <w:ind w:firstLine="200"/>
      <w:jc w:val="left"/>
      <w:spacing w:after="160" w:line="360" w:lineRule="auto"/>
      <w:widowControl/>
    </w:pPr>
    <w:rPr>
      <w:rFonts w:ascii="Verdana" w:hAnsi="Verdana" w:eastAsia="黑体"/>
      <w:lang w:eastAsia="en-US"/>
    </w:rPr>
  </w:style>
  <w:style w:type="paragraph" w:styleId="1824">
    <w:name w:val="xl107"/>
    <w:basedOn w:val="1561"/>
    <w:next w:val="1824"/>
    <w:link w:val="1561"/>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25">
    <w:name w:val="xl104"/>
    <w:basedOn w:val="1561"/>
    <w:next w:val="1825"/>
    <w:link w:val="1561"/>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26">
    <w:name w:val="xl95"/>
    <w:basedOn w:val="1561"/>
    <w:next w:val="1826"/>
    <w:link w:val="1561"/>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27">
    <w:name w:val="font13"/>
    <w:basedOn w:val="1561"/>
    <w:next w:val="1827"/>
    <w:link w:val="1561"/>
    <w:qFormat/>
    <w:pPr>
      <w:jc w:val="left"/>
      <w:spacing w:before="100" w:beforeAutospacing="1" w:after="100" w:afterAutospacing="1"/>
      <w:widowControl/>
    </w:pPr>
    <w:rPr>
      <w:rFonts w:ascii="宋体" w:hAnsi="宋体" w:cs="宋体"/>
      <w:sz w:val="18"/>
      <w:szCs w:val="18"/>
    </w:rPr>
  </w:style>
  <w:style w:type="paragraph" w:styleId="1828">
    <w:name w:val="font5"/>
    <w:basedOn w:val="1561"/>
    <w:next w:val="1828"/>
    <w:link w:val="1561"/>
    <w:qFormat/>
    <w:pPr>
      <w:jc w:val="left"/>
      <w:spacing w:before="100" w:beforeAutospacing="1" w:after="100" w:afterAutospacing="1"/>
      <w:widowControl/>
    </w:pPr>
    <w:rPr>
      <w:color w:val="000000"/>
      <w:sz w:val="20"/>
    </w:rPr>
  </w:style>
  <w:style w:type="paragraph" w:styleId="1829">
    <w:name w:val="xl98"/>
    <w:basedOn w:val="1561"/>
    <w:next w:val="1829"/>
    <w:link w:val="1561"/>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30">
    <w:name w:val="xl87"/>
    <w:basedOn w:val="1561"/>
    <w:next w:val="1830"/>
    <w:link w:val="1561"/>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31">
    <w:name w:val="xl110"/>
    <w:basedOn w:val="1561"/>
    <w:next w:val="1831"/>
    <w:link w:val="1561"/>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32">
    <w:name w:val="a"/>
    <w:basedOn w:val="1561"/>
    <w:next w:val="1832"/>
    <w:link w:val="1561"/>
    <w:qFormat/>
    <w:pPr>
      <w:jc w:val="left"/>
      <w:spacing w:before="100" w:beforeAutospacing="1" w:after="100" w:afterAutospacing="1"/>
    </w:pPr>
    <w:rPr>
      <w:rFonts w:ascii="宋体" w:hAnsi="宋体" w:cs="宋体"/>
      <w:sz w:val="24"/>
      <w:szCs w:val="24"/>
    </w:rPr>
  </w:style>
  <w:style w:type="paragraph" w:styleId="1833">
    <w:name w:val="font8"/>
    <w:basedOn w:val="1561"/>
    <w:next w:val="1833"/>
    <w:link w:val="1561"/>
    <w:qFormat/>
    <w:pPr>
      <w:jc w:val="left"/>
      <w:spacing w:before="100" w:beforeAutospacing="1" w:after="100" w:afterAutospacing="1"/>
      <w:widowControl/>
    </w:pPr>
    <w:rPr>
      <w:rFonts w:ascii="宋体" w:hAnsi="宋体" w:cs="宋体"/>
      <w:b/>
      <w:bCs/>
      <w:color w:val="000000"/>
      <w:szCs w:val="21"/>
    </w:rPr>
  </w:style>
  <w:style w:type="paragraph" w:styleId="1834">
    <w:name w:val="Char Char Char Char Char Char Char"/>
    <w:basedOn w:val="1561"/>
    <w:next w:val="1834"/>
    <w:link w:val="1561"/>
    <w:semiHidden/>
    <w:qFormat/>
    <w:rPr>
      <w:rFonts w:ascii="Tahoma" w:hAnsi="Tahoma" w:cs="仿宋_GB2312"/>
      <w:sz w:val="24"/>
      <w:szCs w:val="28"/>
    </w:rPr>
  </w:style>
  <w:style w:type="paragraph" w:styleId="1835">
    <w:name w:val="xl106"/>
    <w:basedOn w:val="1561"/>
    <w:next w:val="1835"/>
    <w:link w:val="1561"/>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36">
    <w:name w:val="_Style 1"/>
    <w:basedOn w:val="1561"/>
    <w:next w:val="1836"/>
    <w:link w:val="1561"/>
    <w:uiPriority w:val="99"/>
    <w:qFormat/>
    <w:pPr>
      <w:ind w:firstLine="420"/>
    </w:pPr>
    <w:rPr>
      <w:rFonts w:ascii="Calibri" w:hAnsi="Calibri"/>
      <w:szCs w:val="22"/>
    </w:rPr>
  </w:style>
  <w:style w:type="paragraph" w:styleId="1837">
    <w:name w:val="yy正文"/>
    <w:basedOn w:val="1795"/>
    <w:next w:val="1837"/>
    <w:link w:val="1561"/>
    <w:qFormat/>
    <w:pPr>
      <w:spacing w:line="300" w:lineRule="auto"/>
    </w:pPr>
    <w:rPr>
      <w:sz w:val="21"/>
    </w:rPr>
  </w:style>
  <w:style w:type="paragraph" w:styleId="1838">
    <w:name w:val="正文 A"/>
    <w:next w:val="1838"/>
    <w:link w:val="1561"/>
    <w:qFormat/>
    <w:pPr>
      <w:jc w:val="both"/>
      <w:widowControl w:val="off"/>
    </w:pPr>
    <w:rPr>
      <w:rFonts w:eastAsia="Times New Roman"/>
      <w:color w:val="000000"/>
      <w:sz w:val="21"/>
      <w:szCs w:val="21"/>
      <w:lang w:val="en-US" w:eastAsia="zh-CN" w:bidi="ar-SA"/>
    </w:rPr>
  </w:style>
  <w:style w:type="paragraph" w:styleId="1839">
    <w:name w:val="首行缩进"/>
    <w:basedOn w:val="1561"/>
    <w:next w:val="1839"/>
    <w:link w:val="1561"/>
    <w:qFormat/>
    <w:pPr>
      <w:ind w:firstLine="480"/>
    </w:pPr>
    <w:rPr>
      <w:lang w:val="zh-CN"/>
    </w:rPr>
  </w:style>
  <w:style w:type="paragraph" w:styleId="1840">
    <w:name w:val="font12"/>
    <w:basedOn w:val="1561"/>
    <w:next w:val="1840"/>
    <w:link w:val="1561"/>
    <w:qFormat/>
    <w:pPr>
      <w:jc w:val="left"/>
      <w:spacing w:before="100" w:beforeAutospacing="1" w:after="100" w:afterAutospacing="1"/>
      <w:widowControl/>
    </w:pPr>
    <w:rPr>
      <w:rFonts w:ascii="宋体" w:hAnsi="宋体" w:cs="宋体"/>
      <w:color w:val="000000"/>
      <w:sz w:val="20"/>
    </w:rPr>
  </w:style>
  <w:style w:type="paragraph" w:styleId="1841">
    <w:name w:val="Char Char2 Char"/>
    <w:basedOn w:val="1561"/>
    <w:next w:val="1841"/>
    <w:link w:val="1561"/>
    <w:qFormat/>
    <w:pPr>
      <w:ind w:left="390" w:hanging="390"/>
      <w:keepLines/>
      <w:keepNext/>
      <w:pageBreakBefore/>
      <w:tabs>
        <w:tab w:val="left" w:pos="390" w:leader="none"/>
      </w:tabs>
    </w:pPr>
    <w:rPr>
      <w:szCs w:val="24"/>
    </w:rPr>
  </w:style>
  <w:style w:type="paragraph" w:styleId="1842">
    <w:name w:val="xl88"/>
    <w:basedOn w:val="1561"/>
    <w:next w:val="1842"/>
    <w:link w:val="1561"/>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43">
    <w:name w:val="xl89"/>
    <w:basedOn w:val="1561"/>
    <w:next w:val="1843"/>
    <w:link w:val="1561"/>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44">
    <w:name w:val="font7"/>
    <w:basedOn w:val="1561"/>
    <w:next w:val="1844"/>
    <w:link w:val="1561"/>
    <w:qFormat/>
    <w:pPr>
      <w:jc w:val="left"/>
      <w:spacing w:before="100" w:beforeAutospacing="1" w:after="100" w:afterAutospacing="1"/>
      <w:widowControl/>
    </w:pPr>
    <w:rPr>
      <w:b/>
      <w:bCs/>
      <w:color w:val="000000"/>
      <w:szCs w:val="21"/>
    </w:rPr>
  </w:style>
  <w:style w:type="paragraph" w:styleId="1845">
    <w:name w:val="font9"/>
    <w:basedOn w:val="1561"/>
    <w:next w:val="1845"/>
    <w:link w:val="1561"/>
    <w:qFormat/>
    <w:pPr>
      <w:jc w:val="left"/>
      <w:spacing w:before="100" w:beforeAutospacing="1" w:after="100" w:afterAutospacing="1"/>
      <w:widowControl/>
    </w:pPr>
    <w:rPr>
      <w:rFonts w:ascii="宋体" w:hAnsi="宋体" w:cs="宋体"/>
      <w:color w:val="000000"/>
      <w:szCs w:val="21"/>
    </w:rPr>
  </w:style>
  <w:style w:type="paragraph" w:styleId="1846">
    <w:name w:val="xl92"/>
    <w:basedOn w:val="1561"/>
    <w:next w:val="1846"/>
    <w:link w:val="156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47">
    <w:name w:val="xl78"/>
    <w:basedOn w:val="1561"/>
    <w:next w:val="1847"/>
    <w:link w:val="15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48">
    <w:name w:val="xl82"/>
    <w:basedOn w:val="1561"/>
    <w:next w:val="1848"/>
    <w:link w:val="156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49">
    <w:name w:val="xl84"/>
    <w:basedOn w:val="1561"/>
    <w:next w:val="1849"/>
    <w:link w:val="15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50">
    <w:name w:val="缺省文本"/>
    <w:basedOn w:val="1561"/>
    <w:next w:val="1850"/>
    <w:link w:val="1561"/>
    <w:qFormat/>
    <w:pPr>
      <w:ind w:firstLine="504"/>
      <w:jc w:val="left"/>
      <w:spacing w:before="20" w:after="20" w:line="400" w:lineRule="exact"/>
    </w:pPr>
    <w:rPr>
      <w:sz w:val="24"/>
    </w:rPr>
  </w:style>
  <w:style w:type="paragraph" w:styleId="1851">
    <w:name w:val="xl85"/>
    <w:basedOn w:val="1561"/>
    <w:next w:val="1851"/>
    <w:link w:val="1561"/>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52">
    <w:name w:val="yy标题3"/>
    <w:basedOn w:val="1814"/>
    <w:next w:val="1852"/>
    <w:link w:val="1561"/>
    <w:qFormat/>
  </w:style>
  <w:style w:type="paragraph" w:styleId="1853">
    <w:name w:val="xl73"/>
    <w:basedOn w:val="1561"/>
    <w:next w:val="1853"/>
    <w:link w:val="15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54">
    <w:name w:val="列表段落1"/>
    <w:basedOn w:val="1561"/>
    <w:next w:val="1854"/>
    <w:link w:val="1561"/>
    <w:uiPriority w:val="34"/>
    <w:qFormat/>
  </w:style>
  <w:style w:type="paragraph" w:styleId="1855">
    <w:name w:val="Table Text"/>
    <w:basedOn w:val="1561"/>
    <w:next w:val="1855"/>
    <w:link w:val="1561"/>
    <w:semiHidden/>
    <w:qFormat/>
    <w:rPr>
      <w:rFonts w:ascii="宋体" w:hAnsi="宋体" w:eastAsia="宋体" w:cs="宋体"/>
      <w:sz w:val="20"/>
      <w:szCs w:val="20"/>
      <w:lang w:val="en-US" w:eastAsia="en-US" w:bidi="ar-SA"/>
    </w:rPr>
  </w:style>
  <w:style w:type="table" w:styleId="1856">
    <w:name w:val="Table Normal"/>
    <w:next w:val="1856"/>
    <w:link w:val="1561"/>
    <w:unhideWhenUsed/>
    <w:qFormat/>
    <w:rPr>
      <w:lang w:val="en-US" w:eastAsia="zh-CN" w:bidi="ar-SA"/>
    </w:rPr>
    <w:tblPr/>
  </w:style>
  <w:style w:type="paragraph" w:styleId="1857">
    <w:name w:val="正文首行缩进2"/>
    <w:basedOn w:val="1561"/>
    <w:next w:val="1857"/>
    <w:link w:val="1561"/>
    <w:qFormat/>
    <w:pPr>
      <w:ind w:firstLine="200"/>
    </w:pPr>
  </w:style>
  <w:style w:type="character" w:styleId="1858">
    <w:name w:val="font51"/>
    <w:next w:val="1858"/>
    <w:link w:val="1561"/>
    <w:rPr>
      <w:rFonts w:ascii="Times New Roman" w:hAnsi="Times New Roman" w:cs="Times New Roman"/>
      <w:i w:val="0"/>
      <w:iCs w:val="0"/>
      <w:color w:val="000000"/>
      <w:sz w:val="24"/>
      <w:szCs w:val="24"/>
      <w:u w:val="none"/>
    </w:rPr>
  </w:style>
  <w:style w:type="character" w:styleId="1859">
    <w:name w:val="font61"/>
    <w:next w:val="1859"/>
    <w:link w:val="1561"/>
    <w:rPr>
      <w:rFonts w:ascii="等线" w:hAnsi="等线" w:eastAsia="等线" w:cs="等线"/>
      <w:i w:val="0"/>
      <w:iCs w:val="0"/>
      <w:color w:val="000000"/>
      <w:sz w:val="24"/>
      <w:szCs w:val="24"/>
      <w:u w:val="none"/>
    </w:rPr>
  </w:style>
  <w:style w:type="character" w:styleId="1860">
    <w:name w:val="font81"/>
    <w:next w:val="1860"/>
    <w:link w:val="1561"/>
    <w:rPr>
      <w:rFonts w:ascii="Times New Roman" w:hAnsi="Times New Roman" w:cs="Times New Roman"/>
      <w:i w:val="0"/>
      <w:iCs w:val="0"/>
      <w:color w:val="000000"/>
      <w:sz w:val="24"/>
      <w:szCs w:val="24"/>
      <w:u w:val="none"/>
    </w:rPr>
  </w:style>
  <w:style w:type="character" w:styleId="1861">
    <w:name w:val="font91"/>
    <w:next w:val="1861"/>
    <w:link w:val="1561"/>
    <w:rPr>
      <w:rFonts w:ascii="等线" w:hAnsi="等线" w:eastAsia="等线" w:cs="等线"/>
      <w:i w:val="0"/>
      <w:iCs w:val="0"/>
      <w:color w:val="000000"/>
      <w:sz w:val="24"/>
      <w:szCs w:val="24"/>
      <w:u w:val="none"/>
    </w:rPr>
  </w:style>
  <w:style w:type="character" w:styleId="1862">
    <w:name w:val="font101"/>
    <w:next w:val="1862"/>
    <w:link w:val="1561"/>
    <w:rPr>
      <w:rFonts w:hint="eastAsia" w:ascii="宋体" w:hAnsi="宋体" w:eastAsia="宋体" w:cs="宋体"/>
      <w:i w:val="0"/>
      <w:iCs w:val="0"/>
      <w:color w:val="000000"/>
      <w:sz w:val="24"/>
      <w:szCs w:val="24"/>
      <w:u w:val="none"/>
    </w:rPr>
  </w:style>
  <w:style w:type="character" w:styleId="1863">
    <w:name w:val="font112"/>
    <w:next w:val="1863"/>
    <w:link w:val="1561"/>
    <w:rPr>
      <w:rFonts w:hint="eastAsia" w:ascii="宋体" w:hAnsi="宋体" w:eastAsia="宋体" w:cs="宋体"/>
      <w:i w:val="0"/>
      <w:iCs w:val="0"/>
      <w:color w:val="000000"/>
      <w:sz w:val="24"/>
      <w:szCs w:val="24"/>
      <w:u w:val="none"/>
    </w:rPr>
  </w:style>
  <w:style w:type="paragraph" w:styleId="1864">
    <w:name w:val="普通(网站)1"/>
    <w:basedOn w:val="1561"/>
    <w:next w:val="1864"/>
    <w:link w:val="156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65">
    <w:name w:val="段"/>
    <w:next w:val="1561"/>
    <w:link w:val="1561"/>
    <w:qFormat/>
    <w:pPr>
      <w:ind w:firstLine="200"/>
      <w:jc w:val="both"/>
    </w:pPr>
    <w:rPr>
      <w:rFonts w:ascii="宋体" w:hAnsi="Times New Roman" w:eastAsia="宋体" w:cs="Times New Roman"/>
      <w:sz w:val="21"/>
      <w:lang w:val="en-US" w:eastAsia="zh-CN" w:bidi="ar-SA"/>
    </w:rPr>
  </w:style>
  <w:style w:type="paragraph" w:styleId="1866">
    <w:name w:val="No Spacing"/>
    <w:basedOn w:val="1561"/>
    <w:next w:val="1866"/>
    <w:link w:val="1561"/>
    <w:uiPriority w:val="1"/>
    <w:qFormat/>
    <w:pPr>
      <w:jc w:val="left"/>
      <w:widowControl/>
    </w:pPr>
    <w:rPr>
      <w:rFonts w:ascii="Calibri" w:hAnsi="Calibri" w:eastAsia="Calibri" w:cs="Times New Roman"/>
      <w:sz w:val="20"/>
      <w:lang w:eastAsia="en-US"/>
    </w:rPr>
  </w:style>
  <w:style w:type="character" w:styleId="1867" w:default="1">
    <w:name w:val="Default Paragraph Font"/>
    <w:uiPriority w:val="1"/>
    <w:semiHidden/>
    <w:unhideWhenUsed/>
  </w:style>
  <w:style w:type="numbering" w:styleId="1868" w:default="1">
    <w:name w:val="No List"/>
    <w:uiPriority w:val="99"/>
    <w:semiHidden/>
    <w:unhideWhenUsed/>
  </w:style>
  <w:style w:type="table" w:styleId="1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2026-06-10T07:06:16Z</dcterms:modified>
</cp:coreProperties>
</file>