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eastAsia="宋体" w:cs="宋体"/>
          <w:b/>
          <w:color w:val="auto"/>
          <w:sz w:val="72"/>
          <w:szCs w:val="20"/>
          <w:highlight w:val="none"/>
          <w:shd w:val="clear" w:color="auto" w:fill="ffffff"/>
          <w:lang w:val="en-US" w:eastAsia="zh-CN"/>
        </w:rPr>
      </w:pPr>
      <w:r>
        <w:rPr>
          <w:rFonts w:hint="eastAsia" w:ascii="宋体" w:hAnsi="宋体" w:eastAsia="宋体" w:cs="宋体"/>
          <w:b/>
          <w:color w:val="auto"/>
          <w:sz w:val="72"/>
          <w:szCs w:val="20"/>
          <w:highlight w:val="none"/>
          <w:shd w:val="clear" w:color="auto" w:fill="ffffff"/>
          <w:lang w:val="en-US" w:eastAsia="zh-CN"/>
        </w:rPr>
        <w:t xml:space="preserve">                                                              </w:t>
      </w:r>
      <w:r/>
    </w:p>
    <w:p>
      <w:pPr>
        <w:jc w:val="both"/>
        <w:spacing w:line="360" w:lineRule="auto"/>
        <w:rPr>
          <w:rFonts w:hint="eastAsia"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r>
      <w:r/>
    </w:p>
    <w:p>
      <w:pPr>
        <w:jc w:val="both"/>
        <w:spacing w:line="360" w:lineRule="auto"/>
        <w:rPr>
          <w:rFonts w:hint="eastAsia"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t xml:space="preserve">   苏州</w:t>
      </w:r>
      <w:r>
        <w:rPr>
          <w:rFonts w:hint="eastAsia" w:ascii="宋体" w:hAnsi="宋体" w:eastAsia="宋体" w:cs="宋体"/>
          <w:b/>
          <w:color w:val="auto"/>
          <w:sz w:val="72"/>
          <w:szCs w:val="20"/>
          <w:highlight w:val="none"/>
          <w:shd w:val="clear" w:color="auto" w:fill="ffffff"/>
          <w:lang w:val="en-US" w:eastAsia="zh-CN"/>
        </w:rPr>
        <w:t xml:space="preserve">工业园区</w:t>
      </w:r>
      <w:r>
        <w:rPr>
          <w:rFonts w:hint="eastAsia" w:ascii="宋体" w:hAnsi="宋体" w:eastAsia="宋体" w:cs="宋体"/>
          <w:b/>
          <w:color w:val="auto"/>
          <w:sz w:val="72"/>
          <w:szCs w:val="20"/>
          <w:highlight w:val="none"/>
          <w:shd w:val="clear" w:color="auto" w:fill="ffffff"/>
        </w:rPr>
        <w:t xml:space="preserve">政府采购</w:t>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jc w:val="center"/>
        <w:spacing w:line="360" w:lineRule="auto"/>
        <w:rPr>
          <w:rFonts w:hint="eastAsia"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t xml:space="preserve">招 标 文 件</w:t>
      </w:r>
      <w:r/>
    </w:p>
    <w:p>
      <w:pPr>
        <w:jc w:val="center"/>
        <w:spacing w:line="360" w:lineRule="auto"/>
        <w:rPr>
          <w:rFonts w:hint="eastAsia" w:ascii="宋体" w:hAnsi="宋体" w:eastAsia="宋体" w:cs="宋体"/>
          <w:color w:val="auto"/>
          <w:sz w:val="26"/>
          <w:szCs w:val="26"/>
          <w:highlight w:val="none"/>
          <w:shd w:val="clear" w:color="auto" w:fill="ffffff"/>
        </w:rPr>
      </w:pPr>
      <w:r>
        <w:rPr>
          <w:rFonts w:hint="eastAsia" w:ascii="宋体" w:hAnsi="宋体" w:eastAsia="宋体" w:cs="宋体"/>
          <w:color w:val="auto"/>
          <w:sz w:val="26"/>
          <w:szCs w:val="26"/>
          <w:highlight w:val="none"/>
          <w:shd w:val="clear" w:color="auto" w:fill="ffffff"/>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606"/>
        <w:spacing w:line="360" w:lineRule="auto"/>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szCs w:val="20"/>
          <w:highlight w:val="none"/>
          <w:shd w:val="clear" w:color="auto" w:fill="ffffff"/>
        </w:rPr>
        <w:t xml:space="preserve">标    号：</w:t>
      </w:r>
      <w:r>
        <w:rPr>
          <w:rFonts w:hint="eastAsia" w:ascii="宋体" w:hAnsi="宋体" w:eastAsia="宋体" w:cs="宋体"/>
          <w:b/>
          <w:bCs/>
          <w:color w:val="auto"/>
          <w:sz w:val="32"/>
          <w:highlight w:val="none"/>
          <w:lang w:eastAsia="zh-CN"/>
        </w:rPr>
        <w:t xml:space="preserve">JSZC-320591-HXZJ-G2026-0015</w:t>
      </w:r>
      <w:r/>
    </w:p>
    <w:p>
      <w:pPr>
        <w:ind w:firstLine="1606"/>
        <w:spacing w:line="360" w:lineRule="auto"/>
        <w:rPr>
          <w:rFonts w:hint="eastAsia" w:ascii="宋体" w:hAnsi="宋体" w:eastAsia="宋体" w:cs="宋体"/>
          <w:b/>
          <w:bCs/>
          <w:color w:val="auto"/>
          <w:sz w:val="32"/>
          <w:szCs w:val="20"/>
          <w:highlight w:val="none"/>
          <w:shd w:val="clear" w:color="auto" w:fill="ffffff"/>
          <w:lang w:eastAsia="zh-CN"/>
        </w:rPr>
      </w:pPr>
      <w:r>
        <w:rPr>
          <w:rFonts w:hint="eastAsia" w:ascii="宋体" w:hAnsi="宋体" w:eastAsia="宋体" w:cs="宋体"/>
          <w:b/>
          <w:bCs/>
          <w:color w:val="auto"/>
          <w:sz w:val="32"/>
          <w:szCs w:val="20"/>
          <w:highlight w:val="none"/>
          <w:shd w:val="clear" w:color="auto" w:fill="ffffff"/>
        </w:rPr>
        <w:t xml:space="preserve">采 购 人：</w:t>
      </w:r>
      <w:r>
        <w:rPr>
          <w:rFonts w:hint="eastAsia" w:ascii="宋体" w:hAnsi="宋体" w:eastAsia="宋体" w:cs="宋体"/>
          <w:b/>
          <w:bCs/>
          <w:color w:val="auto"/>
          <w:sz w:val="32"/>
          <w:szCs w:val="20"/>
          <w:highlight w:val="none"/>
          <w:shd w:val="clear" w:color="auto" w:fill="ffffff"/>
          <w:lang w:eastAsia="zh-CN"/>
        </w:rPr>
        <w:t xml:space="preserve">苏州工业园区教育局</w:t>
      </w:r>
      <w:r/>
    </w:p>
    <w:p>
      <w:pPr>
        <w:ind w:firstLine="1606"/>
        <w:spacing w:line="360" w:lineRule="auto"/>
        <w:rPr>
          <w:rFonts w:hint="eastAsia" w:ascii="宋体" w:hAnsi="宋体" w:eastAsia="宋体" w:cs="宋体"/>
          <w:b/>
          <w:bCs/>
          <w:color w:val="auto"/>
          <w:sz w:val="32"/>
          <w:szCs w:val="20"/>
          <w:highlight w:val="none"/>
          <w:shd w:val="clear" w:color="auto" w:fill="ffffff"/>
          <w:lang w:eastAsia="zh-CN"/>
        </w:rPr>
      </w:pPr>
      <w:r>
        <w:rPr>
          <w:rFonts w:hint="eastAsia" w:ascii="宋体" w:hAnsi="宋体" w:eastAsia="宋体" w:cs="宋体"/>
          <w:b/>
          <w:bCs/>
          <w:color w:val="auto"/>
          <w:sz w:val="32"/>
          <w:szCs w:val="20"/>
          <w:highlight w:val="none"/>
          <w:shd w:val="clear" w:color="auto" w:fill="ffffff"/>
        </w:rPr>
        <w:t xml:space="preserve">采购内容：</w:t>
      </w:r>
      <w:r>
        <w:rPr>
          <w:rFonts w:hint="eastAsia" w:ascii="宋体" w:hAnsi="宋体" w:eastAsia="宋体" w:cs="宋体"/>
          <w:b/>
          <w:bCs/>
          <w:color w:val="auto"/>
          <w:sz w:val="32"/>
          <w:szCs w:val="20"/>
          <w:highlight w:val="none"/>
          <w:shd w:val="clear" w:color="auto" w:fill="ffffff"/>
          <w:lang w:eastAsia="zh-CN"/>
        </w:rPr>
        <w:t xml:space="preserve">斜塘学校改建修缮项目厨房设备采购</w:t>
      </w:r>
      <w:r/>
    </w:p>
    <w:p>
      <w:pPr>
        <w:ind w:firstLine="1606"/>
        <w:spacing w:line="360" w:lineRule="auto"/>
        <w:rPr>
          <w:rFonts w:hint="eastAsia" w:ascii="宋体" w:hAnsi="宋体" w:eastAsia="宋体" w:cs="宋体"/>
          <w:b/>
          <w:bCs/>
          <w:color w:val="auto"/>
          <w:sz w:val="32"/>
          <w:szCs w:val="20"/>
          <w:highlight w:val="none"/>
          <w:shd w:val="clear" w:color="auto" w:fill="ffffff"/>
          <w:lang w:val="en-US" w:eastAsia="zh-CN"/>
        </w:rPr>
      </w:pPr>
      <w:r>
        <w:rPr>
          <w:rFonts w:hint="eastAsia" w:ascii="宋体" w:hAnsi="宋体" w:eastAsia="宋体" w:cs="宋体"/>
          <w:b/>
          <w:bCs/>
          <w:color w:val="auto"/>
          <w:sz w:val="32"/>
          <w:szCs w:val="20"/>
          <w:highlight w:val="none"/>
          <w:shd w:val="clear" w:color="auto" w:fill="ffffff"/>
        </w:rPr>
        <w:t xml:space="preserve">采购类别：</w:t>
      </w:r>
      <w:r>
        <w:rPr>
          <w:rFonts w:hint="eastAsia" w:ascii="宋体" w:hAnsi="宋体" w:eastAsia="宋体" w:cs="宋体"/>
          <w:b/>
          <w:bCs/>
          <w:color w:val="auto"/>
          <w:sz w:val="32"/>
          <w:szCs w:val="20"/>
          <w:highlight w:val="none"/>
          <w:shd w:val="clear" w:color="auto" w:fill="ffffff"/>
          <w:lang w:val="en-US" w:eastAsia="zh-CN"/>
        </w:rPr>
        <w:t xml:space="preserve">货物</w:t>
      </w:r>
      <w:r>
        <w:rPr>
          <w:rFonts w:hint="eastAsia" w:ascii="宋体" w:hAnsi="宋体" w:eastAsia="宋体" w:cs="宋体"/>
          <w:b/>
          <w:bCs/>
          <w:color w:val="auto"/>
          <w:sz w:val="32"/>
          <w:szCs w:val="20"/>
          <w:highlight w:val="none"/>
          <w:shd w:val="clear" w:color="auto" w:fill="ffffff"/>
        </w:rPr>
        <w:t xml:space="preserve">类</w:t>
      </w:r>
      <w:r/>
    </w:p>
    <w:p>
      <w:pPr>
        <w:jc w:val="center"/>
        <w:spacing w:line="360" w:lineRule="auto"/>
        <w:rPr>
          <w:rFonts w:hint="eastAsia" w:ascii="宋体" w:hAnsi="宋体" w:eastAsia="宋体" w:cs="宋体"/>
          <w:color w:val="auto"/>
          <w:sz w:val="26"/>
          <w:szCs w:val="26"/>
          <w:highlight w:val="none"/>
          <w:shd w:val="clear" w:color="auto" w:fill="ffffff"/>
        </w:rPr>
      </w:pPr>
      <w:r>
        <w:rPr>
          <w:rFonts w:hint="eastAsia" w:ascii="宋体" w:hAnsi="宋体" w:eastAsia="宋体" w:cs="宋体"/>
          <w:color w:val="auto"/>
          <w:sz w:val="26"/>
          <w:szCs w:val="26"/>
          <w:highlight w:val="none"/>
          <w:shd w:val="clear" w:color="auto" w:fill="ffffff"/>
        </w:rPr>
      </w:r>
      <w:r/>
    </w:p>
    <w:p>
      <w:pPr>
        <w:jc w:val="center"/>
        <w:spacing w:line="360" w:lineRule="auto"/>
        <w:rPr>
          <w:rFonts w:hint="eastAsia" w:ascii="宋体" w:hAnsi="宋体" w:eastAsia="宋体" w:cs="宋体"/>
          <w:color w:val="auto"/>
          <w:sz w:val="26"/>
          <w:szCs w:val="26"/>
          <w:highlight w:val="none"/>
          <w:shd w:val="clear" w:color="auto" w:fill="ffffff"/>
        </w:rPr>
      </w:pPr>
      <w:r>
        <w:rPr>
          <w:rFonts w:hint="eastAsia" w:ascii="宋体" w:hAnsi="宋体" w:eastAsia="宋体" w:cs="宋体"/>
          <w:color w:val="auto"/>
          <w:sz w:val="26"/>
          <w:szCs w:val="26"/>
          <w:highlight w:val="none"/>
          <w:shd w:val="clear" w:color="auto" w:fill="ffffff"/>
        </w:rPr>
      </w:r>
      <w:r/>
    </w:p>
    <w:p>
      <w:pPr>
        <w:jc w:val="center"/>
        <w:spacing w:line="360" w:lineRule="auto"/>
        <w:rPr>
          <w:rFonts w:hint="eastAsia" w:ascii="宋体" w:hAnsi="宋体" w:eastAsia="宋体" w:cs="宋体"/>
          <w:b/>
          <w:color w:val="auto"/>
          <w:sz w:val="32"/>
          <w:szCs w:val="20"/>
          <w:highlight w:val="none"/>
          <w:shd w:val="clear" w:color="auto" w:fill="ffffff"/>
        </w:rPr>
      </w:pPr>
      <w:r>
        <w:rPr>
          <w:rFonts w:hint="eastAsia" w:ascii="宋体" w:hAnsi="宋体" w:eastAsia="宋体" w:cs="宋体"/>
          <w:b/>
          <w:color w:val="auto"/>
          <w:sz w:val="32"/>
          <w:szCs w:val="20"/>
          <w:highlight w:val="none"/>
          <w:shd w:val="clear" w:color="auto" w:fill="ffffff"/>
        </w:rPr>
      </w:r>
      <w:r/>
    </w:p>
    <w:p>
      <w:pPr>
        <w:jc w:val="center"/>
        <w:spacing w:line="360" w:lineRule="auto"/>
        <w:rPr>
          <w:rFonts w:hint="eastAsia" w:ascii="宋体" w:hAnsi="宋体" w:eastAsia="宋体" w:cs="宋体"/>
          <w:b/>
          <w:color w:val="auto"/>
          <w:sz w:val="32"/>
          <w:szCs w:val="20"/>
          <w:highlight w:val="none"/>
          <w:shd w:val="clear" w:color="auto" w:fill="ffffff"/>
        </w:rPr>
      </w:pPr>
      <w:r>
        <w:rPr>
          <w:rFonts w:hint="eastAsia" w:ascii="宋体" w:hAnsi="宋体" w:eastAsia="宋体" w:cs="宋体"/>
          <w:b/>
          <w:color w:val="auto"/>
          <w:sz w:val="32"/>
          <w:szCs w:val="20"/>
          <w:highlight w:val="none"/>
          <w:shd w:val="clear" w:color="auto" w:fill="ffffff"/>
        </w:rPr>
        <w:t xml:space="preserve">二○二</w:t>
      </w:r>
      <w:r>
        <w:rPr>
          <w:rFonts w:hint="eastAsia" w:ascii="宋体" w:hAnsi="宋体" w:eastAsia="宋体" w:cs="宋体"/>
          <w:b/>
          <w:color w:val="auto"/>
          <w:sz w:val="32"/>
          <w:szCs w:val="20"/>
          <w:highlight w:val="none"/>
          <w:shd w:val="clear" w:color="auto" w:fill="ffffff"/>
          <w:lang w:val="en-US" w:eastAsia="zh-CN"/>
        </w:rPr>
        <w:t xml:space="preserve">六</w:t>
      </w:r>
      <w:r>
        <w:rPr>
          <w:rFonts w:hint="eastAsia" w:ascii="宋体" w:hAnsi="宋体" w:eastAsia="宋体" w:cs="宋体"/>
          <w:b/>
          <w:color w:val="auto"/>
          <w:sz w:val="32"/>
          <w:szCs w:val="20"/>
          <w:highlight w:val="none"/>
          <w:shd w:val="clear" w:color="auto" w:fill="ffffff"/>
        </w:rPr>
        <w:t xml:space="preserve">年</w:t>
      </w:r>
      <w:r>
        <w:rPr>
          <w:rFonts w:hint="eastAsia" w:ascii="宋体" w:hAnsi="宋体" w:eastAsia="宋体" w:cs="宋体"/>
          <w:b/>
          <w:color w:val="auto"/>
          <w:sz w:val="32"/>
          <w:szCs w:val="20"/>
          <w:highlight w:val="none"/>
          <w:shd w:val="clear" w:color="auto" w:fill="ffffff"/>
          <w:lang w:val="en-US" w:eastAsia="zh-CN"/>
        </w:rPr>
        <w:t xml:space="preserve">七</w:t>
      </w:r>
      <w:r>
        <w:rPr>
          <w:rFonts w:hint="eastAsia" w:ascii="宋体" w:hAnsi="宋体" w:eastAsia="宋体" w:cs="宋体"/>
          <w:b/>
          <w:color w:val="auto"/>
          <w:sz w:val="32"/>
          <w:szCs w:val="20"/>
          <w:highlight w:val="none"/>
          <w:shd w:val="clear" w:color="auto" w:fill="ffffff"/>
        </w:rPr>
        <w:t xml:space="preserve">月</w:t>
      </w:r>
      <w:r/>
    </w:p>
    <w:p>
      <w:pPr>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r>
      <w:r/>
    </w:p>
    <w:p>
      <w:pPr>
        <w:jc w:val="center"/>
        <w:spacing w:line="360" w:lineRule="auto"/>
        <w:rPr>
          <w:rFonts w:hint="eastAsia" w:ascii="宋体" w:hAnsi="宋体" w:eastAsia="宋体" w:cs="宋体"/>
          <w:b/>
          <w:color w:val="auto"/>
          <w:sz w:val="32"/>
          <w:szCs w:val="32"/>
          <w:highlight w:val="none"/>
          <w:shd w:val="clear" w:color="auto" w:fill="ffffff"/>
        </w:rPr>
        <w:sectPr>
          <w:footnotePr/>
          <w:endnotePr/>
          <w:type w:val="nextPage"/>
          <w:pgSz w:w="11907" w:h="16840" w:orient="portrait"/>
          <w:pgMar w:top="1418" w:right="1418" w:bottom="1418" w:left="1418" w:header="851" w:footer="992" w:gutter="0"/>
          <w:cols w:num="1" w:sep="0" w:space="720" w:equalWidth="1"/>
          <w:docGrid w:linePitch="360"/>
        </w:sectPr>
      </w:pPr>
      <w:r>
        <w:rPr>
          <w:rFonts w:hint="eastAsia" w:ascii="宋体" w:hAnsi="宋体" w:eastAsia="宋体" w:cs="宋体"/>
          <w:b/>
          <w:color w:val="auto"/>
          <w:sz w:val="32"/>
          <w:szCs w:val="32"/>
          <w:highlight w:val="none"/>
          <w:shd w:val="clear" w:color="auto" w:fill="ffffff"/>
        </w:rPr>
      </w:r>
      <w:r/>
    </w:p>
    <w:p>
      <w:pPr>
        <w:jc w:val="center"/>
        <w:spacing w:line="360" w:lineRule="auto"/>
        <w:rPr>
          <w:rFonts w:hint="eastAsia"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 xml:space="preserve">前附表</w:t>
      </w:r>
      <w:r/>
    </w:p>
    <w:tbl>
      <w:tblPr>
        <w:tblStyle w:val="782"/>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序号</w:t>
            </w:r>
            <w:r/>
          </w:p>
        </w:tc>
        <w:tc>
          <w:tcPr>
            <w:tcW w:w="9144" w:type="dxa"/>
            <w:vAlign w:val="center"/>
            <w:textDirection w:val="lrTb"/>
            <w:noWrap w:val="false"/>
          </w:tcPr>
          <w:p>
            <w:pPr>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内容规定</w:t>
            </w:r>
            <w:r/>
          </w:p>
        </w:tc>
      </w:tr>
      <w:tr>
        <w:trPr>
          <w:jc w:val="center"/>
          <w:trHeight w:val="350"/>
        </w:trPr>
        <w:tc>
          <w:tcPr>
            <w:tcW w:w="664" w:type="dxa"/>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w:t>
            </w:r>
            <w:r/>
          </w:p>
        </w:tc>
        <w:tc>
          <w:tcPr>
            <w:tcW w:w="9144" w:type="dxa"/>
            <w:vAlign w:val="center"/>
            <w:textDirection w:val="lrTb"/>
            <w:noWrap w:val="false"/>
          </w:tcPr>
          <w:p>
            <w:pPr>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 xml:space="preserve">采购内容：</w:t>
            </w:r>
            <w:r>
              <w:rPr>
                <w:rFonts w:hint="eastAsia" w:ascii="宋体" w:hAnsi="宋体" w:eastAsia="宋体" w:cs="宋体"/>
                <w:color w:val="auto"/>
                <w:sz w:val="24"/>
                <w:szCs w:val="24"/>
                <w:highlight w:val="none"/>
                <w:shd w:val="clear" w:color="auto" w:fill="ffffff"/>
                <w:lang w:eastAsia="zh-CN"/>
              </w:rPr>
              <w:t xml:space="preserve">斜塘学校改建修缮项目厨房设备采购</w:t>
            </w:r>
            <w:r/>
          </w:p>
        </w:tc>
      </w:tr>
      <w:tr>
        <w:trPr>
          <w:jc w:val="center"/>
          <w:trHeight w:val="373"/>
        </w:trPr>
        <w:tc>
          <w:tcPr>
            <w:tcW w:w="664" w:type="dxa"/>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w:t>
            </w:r>
            <w:r/>
          </w:p>
        </w:tc>
        <w:tc>
          <w:tcPr>
            <w:tcW w:w="9144" w:type="dxa"/>
            <w:vAlign w:val="center"/>
            <w:textDirection w:val="lrTb"/>
            <w:noWrap w:val="false"/>
          </w:tcPr>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投标有效期：自投标截止日起</w:t>
            </w:r>
            <w:r>
              <w:rPr>
                <w:rFonts w:hint="eastAsia" w:ascii="宋体" w:hAnsi="宋体" w:eastAsia="宋体" w:cs="宋体"/>
                <w:b/>
                <w:bCs/>
                <w:color w:val="auto"/>
                <w:sz w:val="24"/>
                <w:szCs w:val="24"/>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w:t>
            </w:r>
            <w:r/>
          </w:p>
        </w:tc>
        <w:tc>
          <w:tcPr>
            <w:tcW w:w="9144" w:type="dxa"/>
            <w:vAlign w:val="center"/>
            <w:textDirection w:val="lrTb"/>
            <w:noWrap w:val="false"/>
          </w:tcPr>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投标保证金：</w:t>
            </w:r>
            <w:r>
              <w:rPr>
                <w:rFonts w:hint="eastAsia" w:ascii="宋体" w:hAnsi="宋体" w:eastAsia="宋体" w:cs="宋体"/>
                <w:color w:val="auto"/>
                <w:sz w:val="24"/>
                <w:szCs w:val="24"/>
                <w:highlight w:val="none"/>
              </w:rPr>
              <w:t xml:space="preserve">本项目不收取投标保证金。</w:t>
            </w:r>
            <w:r/>
          </w:p>
        </w:tc>
      </w:tr>
      <w:tr>
        <w:trPr>
          <w:jc w:val="center"/>
          <w:trHeight w:val="283"/>
        </w:trPr>
        <w:tc>
          <w:tcPr>
            <w:tcW w:w="664" w:type="dxa"/>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w:t>
            </w:r>
            <w:r/>
          </w:p>
        </w:tc>
        <w:tc>
          <w:tcPr>
            <w:tcW w:w="9144" w:type="dxa"/>
            <w:vAlign w:val="center"/>
            <w:textDirection w:val="lrTb"/>
            <w:noWrap w:val="false"/>
          </w:tcPr>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shd w:val="clear" w:color="auto" w:fill="ffffff"/>
              </w:rPr>
              <w:t xml:space="preserve">投标文件：本项目采用网上提交电子投标文件，不接受纸质投标文件。中标后7天内，中标供应商提交</w:t>
            </w:r>
            <w:r>
              <w:rPr>
                <w:rFonts w:hint="eastAsia" w:ascii="宋体" w:hAnsi="宋体" w:eastAsia="宋体" w:cs="宋体"/>
                <w:b/>
                <w:bCs/>
                <w:color w:val="auto"/>
                <w:sz w:val="24"/>
                <w:szCs w:val="24"/>
                <w:highlight w:val="none"/>
                <w:u w:val="single"/>
                <w:shd w:val="clear" w:color="auto" w:fill="ffffff"/>
              </w:rPr>
              <w:t xml:space="preserve">三份</w:t>
            </w:r>
            <w:r>
              <w:rPr>
                <w:rFonts w:hint="eastAsia" w:ascii="宋体" w:hAnsi="宋体" w:eastAsia="宋体" w:cs="宋体"/>
                <w:color w:val="auto"/>
                <w:sz w:val="24"/>
                <w:szCs w:val="24"/>
                <w:highlight w:val="none"/>
                <w:shd w:val="clear" w:color="auto" w:fill="ffffff"/>
              </w:rPr>
              <w:t xml:space="preserve">纸质投标文件至采购人处。</w:t>
            </w:r>
            <w:r/>
          </w:p>
        </w:tc>
      </w:tr>
      <w:tr>
        <w:trPr>
          <w:jc w:val="center"/>
          <w:trHeight w:val="45"/>
        </w:trPr>
        <w:tc>
          <w:tcPr>
            <w:tcW w:w="664" w:type="dxa"/>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w:t>
            </w:r>
            <w:r/>
          </w:p>
        </w:tc>
        <w:tc>
          <w:tcPr>
            <w:tcW w:w="9144" w:type="dxa"/>
            <w:vAlign w:val="center"/>
            <w:textDirection w:val="lrTb"/>
            <w:noWrap w:val="false"/>
          </w:tcPr>
          <w:p>
            <w:pPr>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Cs/>
                <w:color w:val="auto"/>
                <w:sz w:val="24"/>
                <w:szCs w:val="24"/>
                <w:highlight w:val="none"/>
                <w:shd w:val="clear" w:color="auto" w:fill="ffffff"/>
              </w:rPr>
              <w:t xml:space="preserve">开标信息</w:t>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投标截止时间：202</w:t>
            </w:r>
            <w:r>
              <w:rPr>
                <w:rFonts w:hint="eastAsia" w:ascii="宋体" w:hAnsi="宋体" w:eastAsia="宋体" w:cs="宋体"/>
                <w:color w:val="auto"/>
                <w:sz w:val="24"/>
                <w:szCs w:val="24"/>
                <w:highlight w:val="none"/>
                <w:shd w:val="clear" w:color="auto" w:fill="ffffff"/>
                <w:lang w:val="en-US" w:eastAsia="zh-CN"/>
              </w:rPr>
              <w:t xml:space="preserve">6</w:t>
            </w:r>
            <w:r>
              <w:rPr>
                <w:rFonts w:hint="eastAsia" w:ascii="宋体" w:hAnsi="宋体" w:eastAsia="宋体" w:cs="宋体"/>
                <w:color w:val="auto"/>
                <w:sz w:val="24"/>
                <w:szCs w:val="24"/>
                <w:highlight w:val="none"/>
                <w:shd w:val="clear" w:color="auto" w:fill="ffffff"/>
              </w:rPr>
              <w:t xml:space="preserve">年</w:t>
            </w:r>
            <w:r>
              <w:rPr>
                <w:rFonts w:hint="eastAsia" w:ascii="宋体" w:hAnsi="宋体" w:eastAsia="宋体" w:cs="宋体"/>
                <w:color w:val="auto"/>
                <w:sz w:val="24"/>
                <w:szCs w:val="24"/>
                <w:highlight w:val="none"/>
                <w:shd w:val="clear" w:color="auto" w:fill="ffffff"/>
                <w:lang w:val="en-US" w:eastAsia="zh-CN"/>
              </w:rPr>
              <w:t xml:space="preserve">08</w:t>
            </w:r>
            <w:r>
              <w:rPr>
                <w:rFonts w:hint="eastAsia" w:ascii="宋体" w:hAnsi="宋体" w:eastAsia="宋体" w:cs="宋体"/>
                <w:color w:val="auto"/>
                <w:sz w:val="24"/>
                <w:szCs w:val="24"/>
                <w:highlight w:val="none"/>
                <w:shd w:val="clear" w:color="auto" w:fill="ffffff"/>
              </w:rPr>
              <w:t xml:space="preserve">月</w:t>
            </w:r>
            <w:r>
              <w:rPr>
                <w:rFonts w:hint="eastAsia" w:ascii="宋体" w:hAnsi="宋体" w:eastAsia="宋体" w:cs="宋体"/>
                <w:color w:val="auto"/>
                <w:sz w:val="24"/>
                <w:szCs w:val="24"/>
                <w:highlight w:val="none"/>
                <w:shd w:val="clear" w:color="auto" w:fill="ffffff"/>
                <w:lang w:val="en-US" w:eastAsia="zh-CN"/>
              </w:rPr>
              <w:t xml:space="preserve">11</w:t>
            </w:r>
            <w:r>
              <w:rPr>
                <w:rFonts w:hint="eastAsia" w:ascii="宋体" w:hAnsi="宋体" w:eastAsia="宋体" w:cs="宋体"/>
                <w:color w:val="auto"/>
                <w:sz w:val="24"/>
                <w:szCs w:val="24"/>
                <w:highlight w:val="none"/>
                <w:shd w:val="clear" w:color="auto" w:fill="ffffff"/>
              </w:rPr>
              <w:t xml:space="preserve">日</w:t>
            </w:r>
            <w:r>
              <w:rPr>
                <w:rFonts w:hint="eastAsia" w:ascii="宋体" w:hAnsi="宋体" w:eastAsia="宋体" w:cs="宋体"/>
                <w:color w:val="auto"/>
                <w:sz w:val="24"/>
                <w:szCs w:val="24"/>
                <w:highlight w:val="none"/>
                <w:shd w:val="clear" w:color="auto" w:fill="ffffff"/>
                <w:lang w:val="en-US" w:eastAsia="zh-CN"/>
              </w:rPr>
              <w:t xml:space="preserve">09:30</w:t>
            </w:r>
            <w:r>
              <w:rPr>
                <w:rFonts w:hint="eastAsia" w:ascii="宋体" w:hAnsi="宋体" w:eastAsia="宋体" w:cs="宋体"/>
                <w:color w:val="auto"/>
                <w:sz w:val="24"/>
                <w:szCs w:val="24"/>
                <w:highlight w:val="none"/>
                <w:shd w:val="clear" w:color="auto" w:fill="ffffff"/>
              </w:rPr>
              <w:t xml:space="preserve"> 整</w:t>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开标时间：202</w:t>
            </w:r>
            <w:r>
              <w:rPr>
                <w:rFonts w:hint="eastAsia" w:ascii="宋体" w:hAnsi="宋体" w:eastAsia="宋体" w:cs="宋体"/>
                <w:color w:val="auto"/>
                <w:sz w:val="24"/>
                <w:szCs w:val="24"/>
                <w:highlight w:val="none"/>
                <w:shd w:val="clear" w:color="auto" w:fill="ffffff"/>
                <w:lang w:val="en-US" w:eastAsia="zh-CN"/>
              </w:rPr>
              <w:t xml:space="preserve">6</w:t>
            </w:r>
            <w:r>
              <w:rPr>
                <w:rFonts w:hint="eastAsia" w:ascii="宋体" w:hAnsi="宋体" w:eastAsia="宋体" w:cs="宋体"/>
                <w:color w:val="auto"/>
                <w:sz w:val="24"/>
                <w:szCs w:val="24"/>
                <w:highlight w:val="none"/>
                <w:shd w:val="clear" w:color="auto" w:fill="ffffff"/>
              </w:rPr>
              <w:t xml:space="preserve">年</w:t>
            </w:r>
            <w:r>
              <w:rPr>
                <w:rFonts w:hint="eastAsia" w:ascii="宋体" w:hAnsi="宋体" w:eastAsia="宋体" w:cs="宋体"/>
                <w:color w:val="auto"/>
                <w:sz w:val="24"/>
                <w:szCs w:val="24"/>
                <w:highlight w:val="none"/>
                <w:shd w:val="clear" w:color="auto" w:fill="ffffff"/>
                <w:lang w:val="en-US" w:eastAsia="zh-CN"/>
              </w:rPr>
              <w:t xml:space="preserve">08</w:t>
            </w:r>
            <w:r>
              <w:rPr>
                <w:rFonts w:hint="eastAsia" w:ascii="宋体" w:hAnsi="宋体" w:eastAsia="宋体" w:cs="宋体"/>
                <w:color w:val="auto"/>
                <w:sz w:val="24"/>
                <w:szCs w:val="24"/>
                <w:highlight w:val="none"/>
                <w:shd w:val="clear" w:color="auto" w:fill="ffffff"/>
              </w:rPr>
              <w:t xml:space="preserve">月</w:t>
            </w:r>
            <w:r>
              <w:rPr>
                <w:rFonts w:hint="eastAsia" w:ascii="宋体" w:hAnsi="宋体" w:eastAsia="宋体" w:cs="宋体"/>
                <w:color w:val="auto"/>
                <w:sz w:val="24"/>
                <w:szCs w:val="24"/>
                <w:highlight w:val="none"/>
                <w:shd w:val="clear" w:color="auto" w:fill="ffffff"/>
                <w:lang w:val="en-US" w:eastAsia="zh-CN"/>
              </w:rPr>
              <w:t xml:space="preserve">11</w:t>
            </w:r>
            <w:r>
              <w:rPr>
                <w:rFonts w:hint="eastAsia" w:ascii="宋体" w:hAnsi="宋体" w:eastAsia="宋体" w:cs="宋体"/>
                <w:color w:val="auto"/>
                <w:sz w:val="24"/>
                <w:szCs w:val="24"/>
                <w:highlight w:val="none"/>
                <w:shd w:val="clear" w:color="auto" w:fill="ffffff"/>
              </w:rPr>
              <w:t xml:space="preserve">日</w:t>
            </w:r>
            <w:r>
              <w:rPr>
                <w:rFonts w:hint="eastAsia" w:ascii="宋体" w:hAnsi="宋体" w:eastAsia="宋体" w:cs="宋体"/>
                <w:color w:val="auto"/>
                <w:sz w:val="24"/>
                <w:szCs w:val="24"/>
                <w:highlight w:val="none"/>
                <w:shd w:val="clear" w:color="auto" w:fill="ffffff"/>
                <w:lang w:val="en-US" w:eastAsia="zh-CN"/>
              </w:rPr>
              <w:t xml:space="preserve">09:30</w:t>
            </w:r>
            <w:r>
              <w:rPr>
                <w:rFonts w:hint="eastAsia" w:ascii="宋体" w:hAnsi="宋体" w:eastAsia="宋体" w:cs="宋体"/>
                <w:color w:val="auto"/>
                <w:sz w:val="24"/>
                <w:szCs w:val="24"/>
                <w:highlight w:val="none"/>
                <w:shd w:val="clear" w:color="auto" w:fill="ffffff"/>
              </w:rPr>
              <w:t xml:space="preserve"> 整</w:t>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开标地点：“苏采云”系统（网址：http://jszfcg.jsczt.cn/）</w:t>
            </w:r>
            <w:r/>
          </w:p>
          <w:p>
            <w:pPr>
              <w:spacing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本项目为不见面开标项目，开标阶段供应商在【供应商解密】环节必须使用CA证书解密电子投标文件，如在“苏采云”系统规定的时间内未能成功解密的视为放弃参与本项目投标。</w:t>
            </w:r>
            <w:r/>
          </w:p>
        </w:tc>
      </w:tr>
      <w:tr>
        <w:trPr>
          <w:jc w:val="center"/>
          <w:trHeight w:val="473"/>
        </w:trPr>
        <w:tc>
          <w:tcPr>
            <w:tcW w:w="664" w:type="dxa"/>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w:t>
            </w:r>
            <w:r/>
          </w:p>
        </w:tc>
        <w:tc>
          <w:tcPr>
            <w:tcW w:w="9144" w:type="dxa"/>
            <w:vAlign w:val="center"/>
            <w:textDirection w:val="lrTb"/>
            <w:noWrap w:val="false"/>
          </w:tcPr>
          <w:p>
            <w:pPr>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 xml:space="preserve">履约保证金：</w:t>
            </w:r>
            <w:r>
              <w:rPr>
                <w:rFonts w:hint="eastAsia" w:ascii="宋体" w:hAnsi="宋体" w:eastAsia="宋体" w:cs="宋体"/>
                <w:color w:val="auto"/>
                <w:sz w:val="24"/>
                <w:szCs w:val="24"/>
                <w:highlight w:val="none"/>
                <w:shd w:val="clear" w:color="auto" w:fill="ffffff"/>
                <w:lang w:val="en-US" w:eastAsia="zh-CN"/>
              </w:rPr>
              <w:t xml:space="preserve">无。</w:t>
            </w:r>
            <w:r/>
          </w:p>
        </w:tc>
      </w:tr>
      <w:tr>
        <w:trPr>
          <w:jc w:val="center"/>
          <w:trHeight w:val="566"/>
        </w:trPr>
        <w:tc>
          <w:tcPr>
            <w:tcW w:w="664" w:type="dxa"/>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val="en-US" w:eastAsia="zh-CN"/>
              </w:rPr>
              <w:t xml:space="preserve">7</w:t>
            </w:r>
            <w:r/>
          </w:p>
        </w:tc>
        <w:tc>
          <w:tcPr>
            <w:tcW w:w="9144" w:type="dxa"/>
            <w:vAlign w:val="center"/>
            <w:textDirection w:val="lrTb"/>
            <w:noWrap w:val="false"/>
          </w:tcPr>
          <w:p>
            <w:pPr>
              <w:ind w:right="18"/>
              <w:jc w:val="left"/>
              <w:spacing w:line="360" w:lineRule="auto"/>
              <w:tabs>
                <w:tab w:val="left" w:pos="7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代理服务费收费标准按照《关于苏州市级政府采购代理服务收费有关问题的通知》（苏财购字〔2016〕18号）执行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具体按照</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在“苏州市政府采购网”上公告的服务收费</w:t>
            </w:r>
            <w:r>
              <w:rPr>
                <w:rFonts w:hint="eastAsia" w:ascii="宋体" w:hAnsi="宋体" w:eastAsia="宋体" w:cs="宋体"/>
                <w:color w:val="auto"/>
                <w:sz w:val="24"/>
                <w:szCs w:val="24"/>
                <w:highlight w:val="none"/>
                <w:lang w:val="en-US" w:eastAsia="zh-CN"/>
              </w:rPr>
              <w:t xml:space="preserve">*60%收取</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预算金额100万元以下部分，费率为该部分预算金额的1.5%；</w:t>
            </w:r>
            <w:r/>
          </w:p>
          <w:p>
            <w:pPr>
              <w:ind w:left="0" w:right="0"/>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预算金额100万元（含）－500万元部分，费率为该部分预算金额的1.1%；</w:t>
            </w:r>
            <w:r/>
          </w:p>
          <w:p>
            <w:pPr>
              <w:ind w:left="0" w:right="0"/>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lang w:bidi="ar"/>
              </w:rPr>
              <w:suppressLineNumbers w:val="0"/>
            </w:pPr>
            <w:r>
              <w:rPr>
                <w:rFonts w:hint="eastAsia" w:ascii="宋体" w:hAnsi="宋体" w:eastAsia="宋体" w:cs="宋体"/>
                <w:color w:val="auto"/>
                <w:sz w:val="24"/>
                <w:szCs w:val="24"/>
                <w:highlight w:val="none"/>
                <w:lang w:bidi="ar"/>
              </w:rPr>
              <w:t xml:space="preserve">预算金额500万元（含）-1000万元部分，费率为该部分预算金额的0.8%；</w:t>
            </w:r>
            <w:r/>
          </w:p>
          <w:p>
            <w:pPr>
              <w:ind w:left="0" w:right="0"/>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预算金额1000万元（含）-5000万元部分，费率为该部分预算金额的0.5%；</w:t>
            </w:r>
            <w:r/>
          </w:p>
          <w:p>
            <w:pPr>
              <w:ind w:left="0" w:right="0"/>
              <w:keepLines w:val="0"/>
              <w:keepNext w:val="0"/>
              <w:spacing w:before="0" w:beforeAutospacing="0" w:after="0" w:afterAutospacing="0" w:line="360" w:lineRule="auto"/>
              <w:shd w:val="clear" w:color="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bidi="ar"/>
              </w:rPr>
              <w:t xml:space="preserve">预算金额5000万元以上部分，费率为该部分预算金额的0.25%。</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说明：代理服务费以采购预算金额为基数依据，按以上规定的标准和差额定率累进法进行计算收取。</w:t>
            </w:r>
            <w:r>
              <w:rPr>
                <w:rFonts w:hint="eastAsia" w:ascii="宋体" w:hAnsi="宋体" w:eastAsia="宋体" w:cs="宋体"/>
                <w:color w:val="auto"/>
                <w:sz w:val="24"/>
                <w:szCs w:val="24"/>
                <w:highlight w:val="none"/>
                <w:lang w:val="en-US" w:eastAsia="zh-CN" w:bidi="ar"/>
              </w:rPr>
              <w:t xml:space="preserve">收取方式：现金或转账。</w:t>
            </w:r>
            <w:r>
              <w:rPr>
                <w:rFonts w:hint="eastAsia" w:ascii="宋体" w:hAnsi="宋体" w:eastAsia="宋体" w:cs="宋体"/>
                <w:color w:val="auto"/>
                <w:sz w:val="24"/>
                <w:szCs w:val="24"/>
                <w:highlight w:val="none"/>
                <w:lang w:bidi="ar"/>
              </w:rPr>
              <w:t xml:space="preserve">例：如预算金额为150万元，则代理服务费＝</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100万元×1.5%＋（150万元－100万元）×1.1%</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bidi="ar"/>
              </w:rPr>
              <w:t xml:space="preserve">。如按上述方法计算的金额低于人民币4000元整的，则本项目代理服务费按人民币4000元整计收，最低不低于4000元。</w:t>
            </w:r>
            <w:r>
              <w:rPr>
                <w:rFonts w:hint="eastAsia" w:ascii="宋体" w:hAnsi="宋体" w:eastAsia="宋体" w:cs="宋体"/>
                <w:color w:val="auto"/>
                <w:sz w:val="24"/>
                <w:szCs w:val="24"/>
                <w:highlight w:val="none"/>
                <w:lang w:val="en-US" w:eastAsia="zh-CN" w:bidi="ar"/>
              </w:rPr>
              <w:t xml:space="preserve">本项目</w:t>
            </w:r>
            <w:r>
              <w:rPr>
                <w:rFonts w:hint="eastAsia" w:ascii="宋体" w:hAnsi="宋体" w:eastAsia="宋体" w:cs="宋体"/>
                <w:color w:val="auto"/>
                <w:sz w:val="24"/>
                <w:szCs w:val="24"/>
                <w:highlight w:val="none"/>
              </w:rPr>
              <w:t xml:space="preserve">代理服务费</w:t>
            </w:r>
            <w:r>
              <w:rPr>
                <w:rFonts w:hint="eastAsia" w:ascii="宋体" w:hAnsi="宋体" w:eastAsia="宋体" w:cs="宋体"/>
                <w:color w:val="auto"/>
                <w:sz w:val="24"/>
                <w:szCs w:val="24"/>
                <w:highlight w:val="none"/>
                <w:lang w:val="en-US" w:eastAsia="zh-CN"/>
              </w:rPr>
              <w:t xml:space="preserve">由于采购人未在采购预算中列支该项经费，由中标</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rPr>
              <w:t xml:space="preserve">领取</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通知书时向采购代理机构一次性付清。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本项目代理费金额：29234元</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收款单位：苏州华星工程造价咨询有限公司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银行账号：520958193351</w:t>
            </w:r>
            <w:r/>
          </w:p>
          <w:p>
            <w:pPr>
              <w:ind w:firstLine="480"/>
              <w:jc w:val="left"/>
              <w:spacing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开户银行：中国银行股份有限公司苏州东环路支行</w:t>
            </w:r>
            <w:r/>
          </w:p>
        </w:tc>
      </w:tr>
      <w:tr>
        <w:trPr>
          <w:jc w:val="center"/>
          <w:trHeight w:val="696"/>
        </w:trPr>
        <w:tc>
          <w:tcPr>
            <w:tcW w:w="664" w:type="dxa"/>
            <w:vAlign w:val="center"/>
            <w:textDirection w:val="lrTb"/>
            <w:noWrap w:val="false"/>
          </w:tcPr>
          <w:p>
            <w:pPr>
              <w:jc w:val="center"/>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val="en-US" w:eastAsia="zh-CN"/>
              </w:rPr>
              <w:t xml:space="preserve">8</w:t>
            </w:r>
            <w:r/>
          </w:p>
        </w:tc>
        <w:tc>
          <w:tcPr>
            <w:tcW w:w="9144" w:type="dxa"/>
            <w:vAlign w:val="center"/>
            <w:textDirection w:val="lrTb"/>
            <w:noWrap w:val="false"/>
          </w:tcPr>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苏州工业园区政府采购监督电话：0512-66681110</w:t>
            </w:r>
            <w:r/>
          </w:p>
        </w:tc>
      </w:tr>
    </w:tbl>
    <w:p>
      <w:pPr>
        <w:jc w:val="center"/>
        <w:spacing w:line="360" w:lineRule="auto"/>
        <w:rPr>
          <w:rFonts w:hint="eastAsia" w:ascii="宋体" w:hAnsi="宋体" w:eastAsia="宋体" w:cs="宋体"/>
          <w:color w:val="auto"/>
          <w:sz w:val="52"/>
          <w:szCs w:val="52"/>
          <w:highlight w:val="none"/>
          <w:shd w:val="clear" w:color="auto" w:fill="ffffff"/>
        </w:rPr>
      </w:pPr>
      <w:r>
        <w:rPr>
          <w:rFonts w:hint="eastAsia" w:ascii="宋体" w:hAnsi="宋体" w:eastAsia="宋体" w:cs="宋体"/>
          <w:color w:val="auto"/>
          <w:sz w:val="52"/>
          <w:szCs w:val="52"/>
          <w:highlight w:val="none"/>
          <w:shd w:val="clear" w:color="auto" w:fill="ffffff"/>
        </w:rPr>
        <w:br w:type="page" w:clear="all"/>
      </w:r>
      <w:r/>
    </w:p>
    <w:p>
      <w:pPr>
        <w:jc w:val="center"/>
        <w:spacing w:line="360" w:lineRule="auto"/>
        <w:rPr>
          <w:rFonts w:hint="eastAsia" w:ascii="宋体" w:hAnsi="宋体" w:eastAsia="宋体" w:cs="宋体"/>
          <w:b/>
          <w:color w:val="auto"/>
          <w:sz w:val="28"/>
          <w:szCs w:val="28"/>
          <w:highlight w:val="none"/>
          <w:shd w:val="clear" w:color="auto" w:fill="ffffff"/>
        </w:rPr>
      </w:pPr>
      <w:r>
        <w:rPr>
          <w:rFonts w:hint="eastAsia" w:ascii="宋体" w:hAnsi="宋体" w:eastAsia="宋体" w:cs="宋体"/>
          <w:b/>
          <w:color w:val="auto"/>
          <w:sz w:val="28"/>
          <w:szCs w:val="28"/>
          <w:highlight w:val="none"/>
          <w:shd w:val="clear" w:color="auto" w:fill="ffffff"/>
        </w:rPr>
        <w:t xml:space="preserve">总目录</w:t>
      </w:r>
      <w:r/>
    </w:p>
    <w:p>
      <w:pPr>
        <w:jc w:val="left"/>
        <w:spacing w:line="360" w:lineRule="auto"/>
        <w:tabs>
          <w:tab w:val="right" w:pos="9022" w:leader="dot"/>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shd w:val="clear" w:color="auto" w:fill="ffffff"/>
        </w:rPr>
        <w:fldChar w:fldCharType="begin"/>
      </w:r>
      <w:r>
        <w:rPr>
          <w:rFonts w:hint="eastAsia" w:ascii="宋体" w:hAnsi="宋体" w:eastAsia="宋体" w:cs="宋体"/>
          <w:b/>
          <w:bCs/>
          <w:color w:val="auto"/>
          <w:sz w:val="24"/>
          <w:szCs w:val="24"/>
          <w:highlight w:val="none"/>
          <w:shd w:val="clear" w:color="auto" w:fill="ffffff"/>
        </w:rPr>
        <w:instrText xml:space="preserve"> TOC \o "1-1"</w:instrText>
      </w:r>
      <w:r>
        <w:rPr>
          <w:rFonts w:hint="eastAsia" w:ascii="宋体" w:hAnsi="宋体" w:eastAsia="宋体" w:cs="宋体"/>
          <w:b/>
          <w:bCs/>
          <w:color w:val="auto"/>
          <w:sz w:val="24"/>
          <w:szCs w:val="24"/>
          <w:highlight w:val="none"/>
          <w:shd w:val="clear" w:color="auto" w:fill="ffffff"/>
        </w:rPr>
        <w:fldChar w:fldCharType="separate"/>
      </w:r>
      <w:r>
        <w:rPr>
          <w:rFonts w:hint="eastAsia" w:ascii="宋体" w:hAnsi="宋体" w:eastAsia="宋体" w:cs="宋体"/>
          <w:color w:val="auto"/>
          <w:sz w:val="24"/>
          <w:szCs w:val="24"/>
          <w:highlight w:val="none"/>
          <w:shd w:val="clear" w:color="auto" w:fill="ffffff"/>
        </w:rPr>
        <w:t xml:space="preserve">第一章投标邀请函</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4</w:t>
      </w:r>
      <w:r/>
    </w:p>
    <w:p>
      <w:pPr>
        <w:jc w:val="left"/>
        <w:spacing w:line="360" w:lineRule="auto"/>
        <w:tabs>
          <w:tab w:val="right" w:pos="9022"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第二章供应商须知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9</w:t>
      </w:r>
      <w:r/>
    </w:p>
    <w:p>
      <w:pPr>
        <w:jc w:val="left"/>
        <w:spacing w:line="360" w:lineRule="auto"/>
        <w:tabs>
          <w:tab w:val="right" w:pos="9022"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第三章投标文件格式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_Toc105940239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szCs w:val="24"/>
          <w:highlight w:val="none"/>
        </w:rPr>
        <w:fldChar w:fldCharType="end"/>
      </w:r>
      <w:r/>
    </w:p>
    <w:p>
      <w:pPr>
        <w:jc w:val="left"/>
        <w:spacing w:line="360" w:lineRule="auto"/>
        <w:tabs>
          <w:tab w:val="right" w:pos="9022"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第四章招标书</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_Toc105940240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47</w:t>
      </w:r>
      <w:r>
        <w:rPr>
          <w:rFonts w:hint="eastAsia" w:ascii="宋体" w:hAnsi="宋体" w:eastAsia="宋体" w:cs="宋体"/>
          <w:color w:val="auto"/>
          <w:sz w:val="24"/>
          <w:szCs w:val="24"/>
          <w:highlight w:val="none"/>
        </w:rPr>
        <w:fldChar w:fldCharType="end"/>
      </w:r>
      <w:r/>
    </w:p>
    <w:p>
      <w:pPr>
        <w:jc w:val="left"/>
        <w:spacing w:line="360" w:lineRule="auto"/>
        <w:tabs>
          <w:tab w:val="right" w:pos="9022"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rPr>
        <w:t xml:space="preserve">第五章合同主要条款</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96</w:t>
      </w:r>
      <w:r/>
    </w:p>
    <w:p>
      <w:pPr>
        <w:jc w:val="left"/>
        <w:spacing w:line="360" w:lineRule="auto"/>
        <w:tabs>
          <w:tab w:val="right" w:pos="9022"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rPr>
        <w:t xml:space="preserve">第六章评分标准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104</w:t>
      </w:r>
      <w:r/>
    </w:p>
    <w:p>
      <w:pPr>
        <w:spacing w:line="360" w:lineRule="auto"/>
        <w:rPr>
          <w:rFonts w:hint="eastAsia" w:ascii="宋体" w:hAnsi="宋体" w:eastAsia="宋体" w:cs="宋体"/>
          <w:b/>
          <w:color w:val="auto"/>
          <w:sz w:val="32"/>
          <w:szCs w:val="20"/>
          <w:highlight w:val="none"/>
          <w:shd w:val="clear" w:color="auto" w:fill="ffffff"/>
        </w:rPr>
      </w:pPr>
      <w:r>
        <w:rPr>
          <w:rFonts w:hint="eastAsia" w:ascii="宋体" w:hAnsi="宋体" w:eastAsia="宋体" w:cs="宋体"/>
          <w:bCs/>
          <w:color w:val="auto"/>
          <w:sz w:val="24"/>
          <w:szCs w:val="24"/>
          <w:highlight w:val="none"/>
          <w:shd w:val="clear" w:color="auto" w:fill="ffffff"/>
        </w:rPr>
        <w:fldChar w:fldCharType="end"/>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tabs>
          <w:tab w:val="left" w:pos="6398" w:leader="none"/>
        </w:tabs>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ab/>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color w:val="auto"/>
          <w:sz w:val="24"/>
          <w:szCs w:val="20"/>
          <w:highlight w:val="none"/>
          <w:shd w:val="clear" w:color="auto" w:fill="ffffff"/>
        </w:rPr>
        <w:br w:type="page" w:clear="all"/>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b/>
          <w:color w:val="auto"/>
          <w:sz w:val="30"/>
          <w:szCs w:val="30"/>
          <w:highlight w:val="none"/>
          <w:shd w:val="clear" w:color="auto" w:fill="ffffff"/>
        </w:rPr>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b/>
          <w:color w:val="auto"/>
          <w:sz w:val="30"/>
          <w:szCs w:val="30"/>
          <w:highlight w:val="none"/>
          <w:shd w:val="clear" w:color="auto" w:fill="ffffff"/>
        </w:rPr>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b/>
          <w:color w:val="auto"/>
          <w:sz w:val="30"/>
          <w:szCs w:val="30"/>
          <w:highlight w:val="none"/>
          <w:shd w:val="clear" w:color="auto" w:fill="ffffff"/>
        </w:rPr>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b/>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0" w:name="_Toc105940237"/>
      <w:r>
        <w:rPr>
          <w:rFonts w:hint="eastAsia" w:ascii="宋体" w:hAnsi="宋体" w:eastAsia="宋体" w:cs="宋体"/>
          <w:b/>
          <w:color w:val="auto"/>
          <w:sz w:val="52"/>
          <w:szCs w:val="20"/>
          <w:highlight w:val="none"/>
          <w:shd w:val="clear" w:color="auto" w:fill="ffffff"/>
        </w:rPr>
        <w:t xml:space="preserve">第一章投标邀请函</w:t>
      </w:r>
      <w:bookmarkEnd w:id="0"/>
      <w:r/>
      <w:r/>
    </w:p>
    <w:p>
      <w:pPr>
        <w:spacing w:line="360" w:lineRule="auto"/>
        <w:rPr>
          <w:rFonts w:hint="eastAsia" w:ascii="宋体" w:hAnsi="宋体" w:eastAsia="宋体" w:cs="宋体"/>
          <w:color w:val="auto"/>
          <w:sz w:val="24"/>
          <w:szCs w:val="24"/>
          <w:highlight w:val="none"/>
          <w:u w:val="single"/>
          <w:shd w:val="clear" w:color="auto" w:fill="ffffff"/>
        </w:rPr>
      </w:pPr>
      <w:r>
        <w:rPr>
          <w:rFonts w:hint="eastAsia" w:ascii="宋体" w:hAnsi="宋体" w:eastAsia="宋体" w:cs="宋体"/>
          <w:color w:val="auto"/>
          <w:sz w:val="24"/>
          <w:szCs w:val="24"/>
          <w:highlight w:val="none"/>
          <w:u w:val="single"/>
          <w:shd w:val="clear" w:color="auto" w:fill="ffffff"/>
        </w:rPr>
        <w:br w:type="page" w:clear="all"/>
      </w:r>
      <w:bookmarkStart w:id="1" w:name="_Hlk117242093"/>
      <w:r/>
      <w:bookmarkEnd w:id="1"/>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bl>
      <w:tblPr>
        <w:tblStyle w:val="782"/>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项目概况：</w:t>
            </w:r>
            <w:r/>
          </w:p>
          <w:p>
            <w:pPr>
              <w:ind w:firstLine="48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lang w:eastAsia="zh-CN"/>
              </w:rPr>
              <w:t xml:space="preserve">斜塘学校改建修缮项目厨房设备采购</w:t>
            </w:r>
            <w:r>
              <w:rPr>
                <w:rFonts w:hint="eastAsia" w:ascii="宋体" w:hAnsi="宋体" w:eastAsia="宋体" w:cs="宋体"/>
                <w:color w:val="auto"/>
                <w:sz w:val="24"/>
                <w:szCs w:val="24"/>
                <w:highlight w:val="none"/>
              </w:rPr>
              <w:t xml:space="preserve">的潜在供应商应在江苏省政府采购一体化平台“苏采云”系统自行免费下载招标文件，并于</w:t>
            </w:r>
            <w:r>
              <w:rPr>
                <w:rFonts w:hint="eastAsia" w:ascii="宋体" w:hAnsi="宋体" w:eastAsia="宋体" w:cs="宋体"/>
                <w:color w:val="auto"/>
                <w:sz w:val="24"/>
                <w:szCs w:val="24"/>
                <w:highlight w:val="none"/>
                <w:shd w:val="clear" w:color="auto" w:fill="ffffff"/>
                <w:lang w:val="en-US" w:eastAsia="zh-CN"/>
              </w:rPr>
              <w:t xml:space="preserve">2026年08月11 日</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分（北京时间）前递交投标文件。</w:t>
            </w:r>
            <w:r/>
          </w:p>
        </w:tc>
      </w:tr>
    </w:tbl>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一、项目基本情况</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JSZC-320591-HXZJ-G2026-0015</w:t>
      </w:r>
      <w:r/>
    </w:p>
    <w:p>
      <w:pPr>
        <w:pStyle w:val="792"/>
        <w:ind w:lef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斜塘学校改建修缮项目厨房设备采购</w:t>
      </w:r>
      <w:r/>
    </w:p>
    <w:p>
      <w:pPr>
        <w:pStyle w:val="792"/>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lang w:val="en-US" w:eastAsia="zh-CN"/>
        </w:rPr>
        <w:t xml:space="preserve">肆佰零陆万伍仟柒佰伍拾捌元整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人民币（小写）：</w:t>
      </w:r>
      <w:r>
        <w:rPr>
          <w:rFonts w:hint="eastAsia" w:ascii="宋体" w:hAnsi="宋体" w:eastAsia="宋体" w:cs="宋体"/>
          <w:color w:val="auto"/>
          <w:sz w:val="24"/>
          <w:szCs w:val="24"/>
          <w:highlight w:val="none"/>
          <w:lang w:val="en-US" w:eastAsia="zh-CN"/>
        </w:rPr>
        <w:t xml:space="preserve">4065758.00</w:t>
      </w:r>
      <w:r>
        <w:rPr>
          <w:rFonts w:hint="eastAsia" w:ascii="宋体" w:hAnsi="宋体" w:eastAsia="宋体" w:cs="宋体"/>
          <w:color w:val="auto"/>
          <w:sz w:val="24"/>
          <w:szCs w:val="24"/>
          <w:highlight w:val="none"/>
        </w:rPr>
        <w:t xml:space="preserve">元</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最高限价（如有）：</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lang w:val="en-US" w:eastAsia="zh-CN"/>
        </w:rPr>
        <w:t xml:space="preserve">肆佰零陆万伍仟柒佰伍拾捌元整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人民币（小写）：</w:t>
      </w:r>
      <w:r>
        <w:rPr>
          <w:rFonts w:hint="eastAsia" w:ascii="宋体" w:hAnsi="宋体" w:eastAsia="宋体" w:cs="宋体"/>
          <w:color w:val="auto"/>
          <w:sz w:val="24"/>
          <w:szCs w:val="24"/>
          <w:highlight w:val="none"/>
          <w:lang w:val="en-US" w:eastAsia="zh-CN"/>
        </w:rPr>
        <w:t xml:space="preserve">4065758.00</w:t>
      </w:r>
      <w:r>
        <w:rPr>
          <w:rFonts w:hint="eastAsia" w:ascii="宋体" w:hAnsi="宋体" w:eastAsia="宋体" w:cs="宋体"/>
          <w:color w:val="auto"/>
          <w:sz w:val="24"/>
          <w:szCs w:val="24"/>
          <w:highlight w:val="none"/>
        </w:rPr>
        <w:t xml:space="preserve">元</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pStyle w:val="792"/>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本项目为</w:t>
      </w:r>
      <w:r>
        <w:rPr>
          <w:rFonts w:hint="eastAsia" w:ascii="宋体" w:hAnsi="宋体" w:eastAsia="宋体" w:cs="宋体"/>
          <w:color w:val="auto"/>
          <w:sz w:val="24"/>
          <w:szCs w:val="24"/>
          <w:highlight w:val="none"/>
          <w:lang w:eastAsia="zh-CN"/>
        </w:rPr>
        <w:t xml:space="preserve">斜塘学校改建修缮项目</w:t>
      </w:r>
      <w:r>
        <w:rPr>
          <w:rFonts w:hint="eastAsia" w:ascii="宋体" w:hAnsi="宋体" w:eastAsia="宋体" w:cs="宋体"/>
          <w:color w:val="auto"/>
          <w:sz w:val="24"/>
          <w:szCs w:val="24"/>
          <w:highlight w:val="none"/>
          <w:lang w:val="en-US" w:eastAsia="zh-CN" w:bidi="ar-SA"/>
        </w:rPr>
        <w:t xml:space="preserve">厨房设备供货与安装采购。投标人应履行所投产品的生产供货、安装、调试、培训、质保等要求。</w:t>
      </w:r>
      <w:r/>
    </w:p>
    <w:p>
      <w:pPr>
        <w:pStyle w:val="792"/>
        <w:ind w:left="0"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合同履行期限：接到采购人通知后45天内完成安装及调试。</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本项目不接受联合体投标。</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pStyle w:val="785"/>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pStyle w:val="785"/>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pStyle w:val="785"/>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pStyle w:val="785"/>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pStyle w:val="785"/>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落实政府采购政策需满足的资格要求：根据《政府采购促进中小企业发展管理办法》的相关规定，本项目专门面向中小微企业，所属行业为工业，供应商所提供服务的承接单位应为中小微企业或监狱企业或残疾人福利性单位；</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3、本项目的特定资格要求：无。</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2" w:name="_Hlk97035982"/>
      <w:r>
        <w:rPr>
          <w:rFonts w:hint="eastAsia" w:ascii="宋体" w:hAnsi="宋体" w:eastAsia="宋体" w:cs="宋体"/>
          <w:color w:val="auto"/>
          <w:sz w:val="24"/>
          <w:szCs w:val="24"/>
          <w:highlight w:val="none"/>
        </w:rPr>
        <w:t xml:space="preserve">1、时间：自招标文件</w:t>
      </w:r>
      <w:bookmarkStart w:id="47" w:name="_GoBack"/>
      <w:r/>
      <w:bookmarkEnd w:id="47"/>
      <w:r>
        <w:rPr>
          <w:rFonts w:hint="eastAsia" w:ascii="宋体" w:hAnsi="宋体" w:eastAsia="宋体" w:cs="宋体"/>
          <w:color w:val="auto"/>
          <w:sz w:val="24"/>
          <w:szCs w:val="24"/>
          <w:highlight w:val="none"/>
        </w:rPr>
        <w:t xml:space="preserve">公告发布之日起5个工作日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w:t>
      </w:r>
      <w:r>
        <w:rPr>
          <w:rFonts w:hint="eastAsia" w:ascii="宋体" w:hAnsi="宋体" w:eastAsia="宋体" w:cs="宋体"/>
          <w:color w:val="auto"/>
          <w:sz w:val="24"/>
          <w:szCs w:val="24"/>
          <w:highlight w:val="none"/>
          <w:lang w:val="en-US" w:eastAsia="zh-CN"/>
        </w:rPr>
        <w:t xml:space="preserve">系统</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获取方式</w:t>
      </w:r>
      <w:r>
        <w:rPr>
          <w:rFonts w:hint="eastAsia" w:ascii="宋体" w:hAnsi="宋体" w:eastAsia="宋体" w:cs="宋体"/>
          <w:color w:val="auto"/>
          <w:sz w:val="24"/>
          <w:szCs w:val="24"/>
          <w:highlight w:val="none"/>
        </w:rPr>
        <w:t xml:space="preserve">：在苏采云系统获取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售价：0元</w:t>
      </w:r>
      <w:bookmarkEnd w:id="2"/>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shd w:val="clear" w:color="auto" w:fill="ffffff"/>
          <w:lang w:val="en-US" w:eastAsia="zh-CN"/>
        </w:rPr>
        <w:t xml:space="preserve">2026年08月11日09:30</w:t>
      </w:r>
      <w:r>
        <w:rPr>
          <w:rFonts w:hint="eastAsia" w:ascii="宋体" w:hAnsi="宋体" w:eastAsia="宋体" w:cs="宋体"/>
          <w:color w:val="auto"/>
          <w:sz w:val="24"/>
          <w:szCs w:val="24"/>
          <w:highlight w:val="none"/>
          <w:lang w:val="en-US" w:eastAsia="zh-CN"/>
        </w:rPr>
        <w:t xml:space="preserve">（北京时间）</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地点：“苏采云”系统 </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五、公告期限：自本公告发布之日起五个工作日。</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1、为本项目提供整体设计、规范编制等服务的供应商：无。</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3、为本项目提供整体设计、规范编制或者项目管理、监理、监测等服务的供应商，不得再参加该采购项目及其他相关的采购活动。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4、本公告同时在苏州市政府采购网、江苏省政府采购网、中国政府采购网上发布。</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5、本项目获取招标文件截止日期之后仍可以下载招标文件，但截止日期之后下载的招标文件，视为非有效方式且不作为供应商权益受到损害的证明材料和依据。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6、如不同投标文件制作机器码一致，则投标无效。</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7、制作电子投标文件：</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本项目采用电子招投标形式，请供应商按照《苏采云系统供应商操作手册》（http://www.ccgp-jiangsu.gov.cn/jiangsu/zlxz/ee/ee3a4bc5a3454aa2b0d9312230633ce9.html）进行制作、上传电子投标文件。</w:t>
      </w:r>
      <w:r>
        <w:rPr>
          <w:rFonts w:hint="eastAsia" w:ascii="宋体" w:hAnsi="宋体" w:eastAsia="宋体" w:cs="宋体"/>
          <w:b/>
          <w:color w:val="auto"/>
          <w:sz w:val="24"/>
          <w:szCs w:val="24"/>
          <w:highlight w:val="none"/>
        </w:rPr>
        <w:t xml:space="preserve">电子投标文件制作完成后请于投标文件递交截止时间前成功上传至“苏采云”系统，否则视为放弃参加该采购项目。</w:t>
      </w:r>
      <w:r>
        <w:rPr>
          <w:rFonts w:hint="eastAsia" w:ascii="宋体" w:hAnsi="宋体" w:eastAsia="宋体" w:cs="宋体"/>
          <w:color w:val="auto"/>
          <w:sz w:val="24"/>
          <w:szCs w:val="24"/>
          <w:highlight w:val="none"/>
        </w:rPr>
        <w:t xml:space="preserve">供应商应充分考虑到网络环境、网络带宽等风险因素，如因供应商自身原因造成的电子投标文件上传不成功由供应商自行承担全部责任。</w:t>
      </w:r>
      <w:r/>
    </w:p>
    <w:p>
      <w:pPr>
        <w:numPr>
          <w:ilvl w:val="0"/>
          <w:numId w:val="3"/>
        </w:num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供应商需保持“苏采云”系统不见面开标大厅在线状态，并按要求在规定时间内进行响应。在评审过程中系统如有特殊情况，工作人员会及时通过《投标供应商确认函》</w:t>
      </w:r>
      <w:bookmarkStart w:id="3" w:name="_Hlk154588759"/>
      <w:r>
        <w:rPr>
          <w:rFonts w:hint="eastAsia" w:ascii="宋体" w:hAnsi="宋体" w:eastAsia="宋体" w:cs="宋体"/>
          <w:color w:val="auto"/>
          <w:sz w:val="24"/>
          <w:szCs w:val="24"/>
          <w:highlight w:val="none"/>
        </w:rPr>
        <w:t xml:space="preserve">或法人授权委托书（如有）中</w:t>
      </w:r>
      <w:bookmarkEnd w:id="3"/>
      <w:r>
        <w:rPr>
          <w:rFonts w:hint="eastAsia" w:ascii="宋体" w:hAnsi="宋体" w:eastAsia="宋体" w:cs="宋体"/>
          <w:color w:val="auto"/>
          <w:sz w:val="24"/>
          <w:szCs w:val="24"/>
          <w:highlight w:val="none"/>
        </w:rPr>
        <w:t xml:space="preserve">留存的手机号与供应商联系。请供应商确保系统在线状态且该手机号开评标当日通讯畅通，否则导致的对供应商不利的后果由供应商自行承担。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、方式：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（1）CA证书办理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auto"/>
          <w:sz w:val="24"/>
          <w:szCs w:val="24"/>
          <w:highlight w:val="none"/>
        </w:rPr>
        <w:t xml:space="preserve">“苏采云”系统目前仅支持“苏采云”系统下的政务CA证书，江苏省内各地区办理的“苏采云”系统下的政务CA证书全省通用。</w:t>
      </w:r>
      <w:r>
        <w:rPr>
          <w:rFonts w:hint="eastAsia" w:ascii="宋体" w:hAnsi="宋体" w:eastAsia="宋体" w:cs="宋体"/>
          <w:color w:val="auto"/>
          <w:sz w:val="24"/>
          <w:szCs w:val="24"/>
          <w:highlight w:val="none"/>
        </w:rPr>
        <w:t xml:space="preserve">苏州现场办理地址：苏州高新区邓尉路105号狮山科技馆1楼服务大厅，咨询电话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0512-65737699。</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（2）依法获取招标文件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更正（补充）公告及附件的获取：供应商应及时关注政府采购信息发布媒体上发布的更正（补充）公告，同时在“苏采云”系统中下载更正（补充）资料，如有遗漏（包括但不限于文件未下载或下载不完整），可能无法解密投标文件，由此所造成的响应失败或损失由供应商自行负责。</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、线上参加开标会方式：供应商登录“苏采云”系统，点击“开标大厅”，选择对应项目，点击进入不见面开标系统。</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本项目为不见面开标项目，开标阶段供应商在【供应商解密】环节必须使用CA证书解密电子投标文件，如在“苏采云”系统规定的时间内未能成功解密的视为放弃参与本项目投标。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请供应商确保电脑、系统及其他设备（视频输入输出设备等）无误，且开标直至项目结束始终保持系统在线状态。</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技术支持：</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电子签章技术咨询服务电话：15380932027、15371015030 、13675197356、13675197221</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“苏采云”平台技术咨询电话：0512-69820854、0519-86722802、13914088964、18261002950</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、政府采购监督电话：0512-66681110。</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七、对本次招标提出询问，请按以下方式联系。</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苏州工业园区教育局</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苏州</w:t>
      </w:r>
      <w:r>
        <w:rPr>
          <w:rFonts w:hint="eastAsia" w:ascii="宋体" w:hAnsi="宋体" w:eastAsia="宋体" w:cs="宋体"/>
          <w:color w:val="auto"/>
          <w:sz w:val="24"/>
          <w:szCs w:val="24"/>
          <w:highlight w:val="none"/>
          <w:lang w:val="en-US" w:eastAsia="zh-CN"/>
        </w:rPr>
        <w:t xml:space="preserve">工业园区现代大道999号</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周律   0512-66606935</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称：苏州华星工程造价咨询有限公司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址：苏州工业园区苏雅路388号新天翔商业广场A座12楼1206室</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联系方式：0512-65200462</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项目联系人：田娟、吴皓东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话：0512-65200462</w:t>
      </w:r>
      <w:r/>
    </w:p>
    <w:p>
      <w:pPr>
        <w:ind w:firstLine="480"/>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92"/>
        <w:rPr>
          <w:rFonts w:hint="eastAsia" w:ascii="宋体" w:hAnsi="宋体" w:eastAsia="宋体" w:cs="宋体"/>
          <w:color w:val="auto"/>
          <w:highlight w:val="none"/>
        </w:rPr>
      </w:pPr>
      <w:r>
        <w:rPr>
          <w:rFonts w:hint="eastAsia" w:ascii="宋体" w:hAnsi="宋体" w:eastAsia="宋体" w:cs="宋体"/>
          <w:color w:val="auto"/>
          <w:highlight w:val="none"/>
        </w:rPr>
      </w:r>
      <w:r/>
    </w:p>
    <w:p>
      <w:pPr>
        <w:ind w:right="-159" w:firstLine="482"/>
        <w:jc w:val="righ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793"/>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793"/>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793"/>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793"/>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793"/>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793"/>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793"/>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793"/>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4" w:name="_Toc105940238"/>
      <w:r>
        <w:rPr>
          <w:rFonts w:hint="eastAsia" w:ascii="宋体" w:hAnsi="宋体" w:eastAsia="宋体" w:cs="宋体"/>
          <w:b/>
          <w:color w:val="auto"/>
          <w:sz w:val="52"/>
          <w:szCs w:val="20"/>
          <w:highlight w:val="none"/>
          <w:shd w:val="clear" w:color="auto" w:fill="ffffff"/>
        </w:rPr>
        <w:t xml:space="preserve">第二章供应商须知</w:t>
      </w:r>
      <w:bookmarkEnd w:id="4"/>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br w:type="page" w:clear="all"/>
      </w:r>
      <w:r/>
    </w:p>
    <w:p>
      <w:pPr>
        <w:ind w:left="0" w:firstLine="482"/>
        <w:keepLines w:val="0"/>
        <w:keepNext w:val="0"/>
        <w:pageBreakBefore w:val="0"/>
        <w:spacing w:line="360" w:lineRule="auto"/>
        <w:rPr>
          <w:rFonts w:hint="eastAsia" w:ascii="宋体" w:hAnsi="宋体" w:eastAsia="宋体" w:cs="宋体"/>
          <w:b/>
          <w:bCs/>
          <w:color w:val="auto"/>
          <w:sz w:val="24"/>
          <w:szCs w:val="20"/>
          <w:highlight w:val="none"/>
          <w:shd w:val="clear" w:color="auto" w:fill="ffffff"/>
        </w:rPr>
        <w:outlineLvl w:val="1"/>
      </w:pPr>
      <w:r>
        <w:rPr>
          <w:rFonts w:hint="eastAsia" w:ascii="宋体" w:hAnsi="宋体" w:eastAsia="宋体" w:cs="宋体"/>
          <w:b/>
          <w:bCs/>
          <w:color w:val="auto"/>
          <w:sz w:val="24"/>
          <w:szCs w:val="20"/>
          <w:highlight w:val="none"/>
          <w:shd w:val="clear" w:color="auto" w:fill="ffffff"/>
        </w:rPr>
        <w:t xml:space="preserve">一、说明和释义</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1.说明</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1.1本招标文件仅适用于本项目采购代理机构组织的招标活动。</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1.2本次招标活动及因本次招标产生的合同受中国法律制约和保护。</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1.3本招标文件的解释权属于本项目采购代理机构。</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2.词语释义</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2.1采购人：指依法进行政府采购的国家机关、事业单位、团体组织。</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2.2采购代理机构：指依法接受采购人委托，从事货物、工程和服务等政府采购代理业务的社会中介机构。本项目的采购代理机构为</w:t>
      </w:r>
      <w:r>
        <w:rPr>
          <w:rFonts w:hint="eastAsia" w:ascii="宋体" w:hAnsi="宋体" w:eastAsia="宋体" w:cs="宋体"/>
          <w:color w:val="auto"/>
          <w:sz w:val="24"/>
          <w:szCs w:val="24"/>
          <w:highlight w:val="none"/>
          <w:u w:val="single"/>
          <w:shd w:val="clear" w:color="auto" w:fill="ffffff"/>
        </w:rPr>
        <w:t xml:space="preserve">苏州华星工程造价咨询有限公司</w:t>
      </w:r>
      <w:r>
        <w:rPr>
          <w:rFonts w:hint="eastAsia" w:ascii="宋体" w:hAnsi="宋体" w:eastAsia="宋体" w:cs="宋体"/>
          <w:color w:val="auto"/>
          <w:sz w:val="24"/>
          <w:szCs w:val="24"/>
          <w:highlight w:val="none"/>
          <w:shd w:val="clear" w:color="auto" w:fill="ffffff"/>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w:t>
      </w:r>
      <w:r>
        <w:rPr>
          <w:rFonts w:hint="eastAsia" w:ascii="宋体" w:hAnsi="宋体" w:eastAsia="宋体" w:cs="宋体"/>
          <w:color w:val="auto"/>
          <w:sz w:val="24"/>
          <w:szCs w:val="24"/>
          <w:highlight w:val="none"/>
          <w:shd w:val="clear" w:color="auto" w:fill="ffffff"/>
          <w:lang w:val="en-US" w:eastAsia="zh-CN"/>
        </w:rPr>
        <w:t xml:space="preserve">投标人（供应商）</w:t>
      </w:r>
      <w:r>
        <w:rPr>
          <w:rFonts w:hint="eastAsia" w:ascii="宋体" w:hAnsi="宋体" w:eastAsia="宋体" w:cs="宋体"/>
          <w:color w:val="auto"/>
          <w:sz w:val="24"/>
          <w:szCs w:val="24"/>
          <w:highlight w:val="none"/>
          <w:shd w:val="clear" w:color="auto" w:fill="ffffff"/>
        </w:rPr>
        <w:t xml:space="preserve">：指响应招标、参加投标竞争的法人、其他组织或者自然人。</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2.4响应：供应商根据采购人或采购代理机构发布的招标文件，编制投标文件并按规定投标的行为。</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2.5合同：采供双方根据招标文件和中标的投标文件及中标通知书规定的内容签署的以书面形式所达成的协议，包括所有的附件、附录和构成协议的所有文件。</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2.6甲方（采购人）：合同中明确规定的实际购买货物和服务的法人或其他组织和自然人。</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2.7乙方（供应商）：合同中规定的向采购人提供货物和服务的法人或其他组织和自然人。</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2.8货物：系指乙方按招标文件规定，应向甲方提供的一切设备、备品、备件、工具、手册及其它有关技术资料和材料。</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2.9服务：系指本次招标文件规定乙方应承担的与提供货物和服务有关的辅助服务，比如运输、保险、安装、调试、提供技术援助、培训、配合措施、维修响应及合同中规定乙方应承担的其它义务。</w:t>
      </w:r>
      <w:r/>
    </w:p>
    <w:p>
      <w:pPr>
        <w:ind w:left="0" w:firstLine="480"/>
        <w:keepLines w:val="0"/>
        <w:keepNext w:val="0"/>
        <w:pageBreakBefore w:val="0"/>
        <w:spacing w:line="360" w:lineRule="auto"/>
        <w:tabs>
          <w:tab w:val="left" w:pos="54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2.11天：日历天。</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2.12时间：除特别说明，均指北京时间。</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2.13交货地点：合同中明确约定的乙方提交的货物和服务最终到达地点。</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2.14合同价款：根据合同规定，乙方在正确地履行合同义务后甲方应支付乙方的价款。</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2.15产地：货物开采、生长、生产、最终制造、加工或提供服务的来源地。</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2.16不可抗力：不能预见、不能避免并且不能克服的客观情况。</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2.17实质响应：满足有关本次采购标的、数量、质量、价款或者报酬、履行期限、履行地点和方式、违约责任和解决争议方法等要求。</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2.18进口产品：通过中国海关报关验放进入中国境内且产自关境外的产品。</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2.19书面形式：指合同书、信件、电报、电传、传真等可以有形地表现所载内容的形式。</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以电子数据交换、电子邮件等方式能够有形地表现所载内容,并可以随时调取查用的数据电文,视为书面形式。</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2.20核心产品：根据本项目技术构成、产品价格比重等合理确定的产品。</w:t>
      </w:r>
      <w:r/>
    </w:p>
    <w:p>
      <w:pPr>
        <w:ind w:left="0" w:firstLine="482"/>
        <w:keepLines w:val="0"/>
        <w:keepNext w:val="0"/>
        <w:pageBreakBefore w:val="0"/>
        <w:spacing w:line="360" w:lineRule="auto"/>
        <w:rPr>
          <w:rFonts w:hint="eastAsia" w:ascii="宋体" w:hAnsi="宋体" w:eastAsia="宋体" w:cs="宋体"/>
          <w:b/>
          <w:bCs/>
          <w:color w:val="auto"/>
          <w:sz w:val="24"/>
          <w:szCs w:val="20"/>
          <w:highlight w:val="none"/>
          <w:shd w:val="clear" w:color="auto" w:fill="ffffff"/>
        </w:rPr>
        <w:outlineLvl w:val="1"/>
      </w:pPr>
      <w:r>
        <w:rPr>
          <w:rFonts w:hint="eastAsia" w:ascii="宋体" w:hAnsi="宋体" w:eastAsia="宋体" w:cs="宋体"/>
          <w:b/>
          <w:bCs/>
          <w:color w:val="auto"/>
          <w:sz w:val="24"/>
          <w:szCs w:val="20"/>
          <w:highlight w:val="none"/>
          <w:shd w:val="clear" w:color="auto" w:fill="ffffff"/>
        </w:rPr>
        <w:t xml:space="preserve">二、供应商</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3、供应商资格要求</w:t>
      </w:r>
      <w:r/>
    </w:p>
    <w:p>
      <w:pPr>
        <w:pStyle w:val="834"/>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3.1 详见本项目招标公告中的“</w:t>
      </w:r>
      <w:r>
        <w:rPr>
          <w:rFonts w:hint="eastAsia" w:ascii="宋体" w:hAnsi="宋体" w:eastAsia="宋体" w:cs="宋体"/>
          <w:color w:val="auto"/>
          <w:sz w:val="24"/>
          <w:szCs w:val="24"/>
          <w:highlight w:val="none"/>
        </w:rPr>
        <w:t xml:space="preserve">申请人的资格要求</w:t>
      </w:r>
      <w:r>
        <w:rPr>
          <w:rFonts w:hint="eastAsia" w:ascii="宋体" w:hAnsi="宋体" w:eastAsia="宋体" w:cs="宋体"/>
          <w:color w:val="auto"/>
          <w:sz w:val="24"/>
          <w:szCs w:val="24"/>
          <w:highlight w:val="none"/>
          <w:lang w:val="en-US"/>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联合体投标（如有）</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本项目招标公告中若规定接受联合体投标的，联合体除应符合上述资格要求外，还应遵守以下规定：</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联合体各成员之间应签订《联合体协议书》（详见第三章统一格式）。供应商的投标文件及中标后签署的合同书，对联合体的每一成员均有法律约束力。联合体各成员之间签订的联合体协议书应与投标文件一起递交。</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（2）本项目接受联合投标，但一个联合体最多接受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个</w:t>
      </w:r>
      <w:r>
        <w:rPr>
          <w:rFonts w:hint="eastAsia" w:ascii="宋体" w:hAnsi="宋体" w:eastAsia="宋体" w:cs="宋体"/>
          <w:color w:val="auto"/>
          <w:sz w:val="24"/>
          <w:szCs w:val="24"/>
          <w:highlight w:val="none"/>
        </w:rPr>
        <w:t xml:space="preserve">单位进行联合投标。</w:t>
      </w:r>
      <w:r/>
    </w:p>
    <w:p>
      <w:pPr>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（3）关于联合体相关未尽事宜应按《政府采购促进中小企业发展管理办法》财库【2020】46号文、《苏州市政府采购促进中小企业发展实施意见》苏财购【2022】16号文以及其它相关法律、法规之规定解释。</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4.供应商代表</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指全权代表供应商参加投标活动并签署投标文件的人，如果供应商代表不是法人代表，须持有《法定代表人授权委托书》（详见统一格式）。</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5.投标费用</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5.1无论投标过程中的做法和结果如何，供应商自行承担所有与参加投标有关的全部费用。</w:t>
      </w:r>
      <w:r/>
    </w:p>
    <w:p>
      <w:pPr>
        <w:ind w:left="0" w:firstLine="482"/>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6.联合投标</w:t>
      </w:r>
      <w:r/>
    </w:p>
    <w:p>
      <w:pPr>
        <w:ind w:left="0"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0"/>
          <w:highlight w:val="none"/>
        </w:rPr>
        <w:t xml:space="preserve">本项目不接受联合体投标。</w:t>
      </w:r>
      <w:r/>
    </w:p>
    <w:p>
      <w:pPr>
        <w:ind w:left="0" w:firstLine="482"/>
        <w:keepLines w:val="0"/>
        <w:keepNext w:val="0"/>
        <w:pageBreakBefore w:val="0"/>
        <w:spacing w:line="360" w:lineRule="auto"/>
        <w:rPr>
          <w:rFonts w:hint="eastAsia" w:ascii="宋体" w:hAnsi="宋体" w:eastAsia="宋体" w:cs="宋体"/>
          <w:b/>
          <w:bCs/>
          <w:color w:val="auto"/>
          <w:sz w:val="24"/>
          <w:szCs w:val="20"/>
          <w:highlight w:val="none"/>
          <w:shd w:val="clear" w:color="auto" w:fill="ffffff"/>
        </w:rPr>
        <w:outlineLvl w:val="1"/>
      </w:pPr>
      <w:r>
        <w:rPr>
          <w:rFonts w:hint="eastAsia" w:ascii="宋体" w:hAnsi="宋体" w:eastAsia="宋体" w:cs="宋体"/>
          <w:b/>
          <w:bCs/>
          <w:color w:val="auto"/>
          <w:sz w:val="24"/>
          <w:szCs w:val="20"/>
          <w:highlight w:val="none"/>
          <w:shd w:val="clear" w:color="auto" w:fill="ffffff"/>
        </w:rPr>
        <w:t xml:space="preserve">三、招标文件和投标文件的说明</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7.招标文件</w:t>
      </w:r>
      <w:r/>
    </w:p>
    <w:p>
      <w:pPr>
        <w:ind w:left="0"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7.1招标文件由招标文件总目录所列内容组成，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w:t>
      </w:r>
      <w:r>
        <w:rPr>
          <w:rFonts w:hint="eastAsia" w:ascii="宋体" w:hAnsi="宋体" w:eastAsia="宋体" w:cs="宋体"/>
          <w:b/>
          <w:color w:val="auto"/>
          <w:sz w:val="24"/>
          <w:szCs w:val="24"/>
          <w:highlight w:val="none"/>
        </w:rPr>
        <w:t xml:space="preserve">该电子投标文件将被视为未实质性响应。</w:t>
      </w:r>
      <w:r/>
    </w:p>
    <w:p>
      <w:pPr>
        <w:ind w:left="0" w:firstLine="480"/>
        <w:jc w:val="left"/>
        <w:keepLines w:val="0"/>
        <w:keepNext w:val="0"/>
        <w:pageBreakBefore w:val="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4"/>
          <w:highlight w:val="none"/>
        </w:rPr>
        <w:t xml:space="preserve">7.2招标文件及其补充文件为未按规定的方式获得的，采购代理机构对招标文件及其补遗的真实性、完整性不承担任何责任。</w:t>
      </w:r>
      <w:r/>
    </w:p>
    <w:p>
      <w:pPr>
        <w:ind w:left="0" w:firstLine="482"/>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8.招标文件的询问</w:t>
      </w:r>
      <w:r/>
    </w:p>
    <w:p>
      <w:pPr>
        <w:ind w:left="0" w:firstLine="480"/>
        <w:keepLines w:val="0"/>
        <w:keepNext w:val="0"/>
        <w:pageBreakBefore w:val="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供应商在收到招标文件后，若有问题需要询问，应于下载招标文件后，可通过公告中的联系方式及时提出，采购人或采购代理机构将予以解答，但答复内容不得涉及商业秘密。</w:t>
      </w:r>
      <w:r/>
    </w:p>
    <w:p>
      <w:pPr>
        <w:ind w:left="0" w:firstLine="482"/>
        <w:keepLines w:val="0"/>
        <w:keepNext w:val="0"/>
        <w:pageBreakBefore w:val="0"/>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9.招标文件的澄清或修改</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9.1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9.2为保证供应商有足够时间修正投标文件，或出于其他合理原因，采购代理机构可依法顺延投标截止时间和开标时间。</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9.3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10.现场踏勘</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10.1根据自身投标需要，供应商对有关现场和周围环境进行踏勘，以获取编制投标文件和签署合同所需的信息。现场踏勘所发生的费用由供应商自己承担。</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10.2采购人或采购代理机构向供应商提供的有关现场的资料和数据，是采购人或采购代理机构现有的并认为能使供应商可利用的资料。采购人或采购代理机构对供应商由此而做出的推论、理解和结论概不负责。</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10.3经采购人允许，供应商可为踏勘目的进入采购人的项目现场，但供应商不得因此使采购人承担有关的责任和蒙受损失。供应商应承担因现场踏勘行为产生的一切责任和风险。</w:t>
      </w:r>
      <w:r/>
    </w:p>
    <w:p>
      <w:pPr>
        <w:ind w:left="0" w:firstLine="48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shd w:val="clear" w:color="auto" w:fill="ffffff"/>
        </w:rPr>
        <w:t xml:space="preserve">10.4供应商应在现场踏勘时，熟悉现场及周围交通道路等情况，以获得一切可能影响其投标的直接资料。供应商中标后，不得以不完全了解现场情况为理由而向采购人或采购代理机构提出任何索赔或增加合同费用的要求，对此采购人或采购代理机构不承担任何责任并将不作任何答复与考虑。</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11.提示与要求</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11.1供应商应仔细阅读招标文件的所有内容，按招标文件的要求提供投标文件，并保证所提供的全部资料的真实性，以使其投标对招标文件作出实质性响应，否则，其投标可能被拒绝。</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11.2无论是否递交投标文件，供应商都应将招标文件及以后的所有通知、文件等视为保密文件。</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12.投标文件计量单位和使用文字</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12.1投标文件中所使用的计量单位，除招标文件中有特殊要求外，均应使用中华人民共和国法定计量单位。</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12.2投标文件应使用中文编制，投标文件中必须使用其他文字的，必须附有中文译本。对于未附有中文译本和中文译本不准确的投标文件可能引起的对供应商不利的后果，采购人或采购代理机构概不负责。</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13.投标文件的组成</w:t>
      </w:r>
      <w:r/>
    </w:p>
    <w:p>
      <w:pPr>
        <w:ind w:left="0" w:firstLine="482"/>
        <w:keepLines w:val="0"/>
        <w:keepNext w:val="0"/>
        <w:pageBreakBefore w:val="0"/>
        <w:spacing w:line="360" w:lineRule="auto"/>
        <w:tabs>
          <w:tab w:val="left" w:pos="0" w:leader="none"/>
        </w:tabs>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13.1开标一览表（格式见第三章）；</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13.2投标报价明细表（格式见第三章）；</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13.3资格性审查文件</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13.3.1具有独立承担民事责任的能力的材料：包括法人或者其他组织的营业执照等证明文件，自然人的身份证明；</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13.3.2具有良好的商业信誉和健全的财务会计制度的材料：</w:t>
      </w:r>
      <w:bookmarkStart w:id="5" w:name="_Hlk92792283"/>
      <w:r>
        <w:rPr>
          <w:rFonts w:hint="eastAsia" w:ascii="宋体" w:hAnsi="宋体" w:eastAsia="宋体" w:cs="宋体"/>
          <w:color w:val="auto"/>
          <w:sz w:val="24"/>
          <w:szCs w:val="24"/>
          <w:highlight w:val="none"/>
          <w:shd w:val="clear" w:color="auto" w:fill="ffffff"/>
        </w:rPr>
        <w:t xml:space="preserve">最近一期的财务报告，或银行出具的资信证明，或财政部门认可的政府采购专业担保机构出具的投标担保函；</w:t>
      </w:r>
      <w:bookmarkEnd w:id="5"/>
      <w:r/>
      <w:r/>
    </w:p>
    <w:p>
      <w:pPr>
        <w:pStyle w:val="785"/>
        <w:ind w:left="0" w:firstLine="480"/>
        <w:jc w:val="both"/>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13.3.3具有履行合同所必需的设备和专业技术能力的证明材料</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证明材料或</w:t>
      </w:r>
      <w:r>
        <w:rPr>
          <w:rFonts w:hint="eastAsia" w:ascii="宋体" w:hAnsi="宋体" w:eastAsia="宋体" w:cs="宋体"/>
          <w:color w:val="auto"/>
          <w:sz w:val="24"/>
          <w:szCs w:val="24"/>
          <w:highlight w:val="none"/>
        </w:rPr>
        <w:t xml:space="preserve">承诺函(格式自拟)；</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13.3.4有依法缴纳税收和社会保障资金的良好记录的材料：</w:t>
      </w: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szCs w:val="24"/>
          <w:highlight w:val="none"/>
          <w:shd w:val="clear" w:color="auto" w:fill="ffffff"/>
        </w:rPr>
        <w:t xml:space="preserve">参加本次政府采购活动前半年（至少一个月）依法缴纳税收和社会保险的凭据；依法免税或不需要缴纳社会保障资金的</w:t>
      </w:r>
      <w:r>
        <w:rPr>
          <w:rFonts w:hint="eastAsia" w:ascii="宋体" w:hAnsi="宋体" w:eastAsia="宋体" w:cs="宋体"/>
          <w:bCs/>
          <w:color w:val="auto"/>
          <w:sz w:val="24"/>
          <w:szCs w:val="24"/>
          <w:highlight w:val="none"/>
        </w:rPr>
        <w:t xml:space="preserve">供应商</w:t>
      </w:r>
      <w:r>
        <w:rPr>
          <w:rFonts w:hint="eastAsia" w:ascii="宋体" w:hAnsi="宋体" w:eastAsia="宋体" w:cs="宋体"/>
          <w:color w:val="auto"/>
          <w:sz w:val="24"/>
          <w:szCs w:val="24"/>
          <w:highlight w:val="none"/>
          <w:shd w:val="clear" w:color="auto" w:fill="ffffff"/>
        </w:rPr>
        <w:t xml:space="preserve">，应提供相应证明资料证明其依法免税或不需要缴纳社会保障资金，</w:t>
      </w:r>
      <w:r>
        <w:rPr>
          <w:rFonts w:hint="eastAsia" w:ascii="宋体" w:hAnsi="宋体" w:eastAsia="宋体" w:cs="宋体"/>
          <w:b/>
          <w:bCs/>
          <w:color w:val="auto"/>
          <w:sz w:val="24"/>
          <w:szCs w:val="24"/>
          <w:highlight w:val="none"/>
          <w:shd w:val="clear" w:color="auto" w:fill="ffffff"/>
        </w:rPr>
        <w:t xml:space="preserve">否则不予认可</w:t>
      </w:r>
      <w:r>
        <w:rPr>
          <w:rFonts w:hint="eastAsia" w:ascii="宋体" w:hAnsi="宋体" w:eastAsia="宋体" w:cs="宋体"/>
          <w:color w:val="auto"/>
          <w:sz w:val="24"/>
          <w:szCs w:val="24"/>
          <w:highlight w:val="none"/>
          <w:shd w:val="clear" w:color="auto" w:fill="ffffff"/>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13.3.5参加政府采购活动前三年内在经营活动中没有重大违法记录的书面声明函（格式见第三章）；</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w:t>
      </w:r>
      <w:r>
        <w:rPr>
          <w:rFonts w:hint="eastAsia" w:ascii="宋体" w:hAnsi="宋体" w:eastAsia="宋体" w:cs="宋体"/>
          <w:color w:val="auto"/>
          <w:sz w:val="24"/>
          <w:szCs w:val="24"/>
          <w:highlight w:val="none"/>
          <w:shd w:val="clear" w:color="auto" w:fill="ffffff"/>
          <w:lang w:val="en-US" w:eastAsia="zh-CN"/>
        </w:rPr>
        <w:t xml:space="preserve">6</w:t>
      </w:r>
      <w:r>
        <w:rPr>
          <w:rFonts w:hint="eastAsia" w:ascii="宋体" w:hAnsi="宋体" w:eastAsia="宋体" w:cs="宋体"/>
          <w:color w:val="auto"/>
          <w:sz w:val="24"/>
          <w:szCs w:val="24"/>
          <w:highlight w:val="none"/>
          <w:shd w:val="clear" w:color="auto" w:fill="ffffff"/>
        </w:rPr>
        <w:t xml:space="preserve">中小企业声明函（格式见第三章），未提供视为非中小企业，不享受中小企业扶持政策；</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w:t>
      </w:r>
      <w:r>
        <w:rPr>
          <w:rFonts w:hint="eastAsia" w:ascii="宋体" w:hAnsi="宋体" w:eastAsia="宋体" w:cs="宋体"/>
          <w:color w:val="auto"/>
          <w:sz w:val="24"/>
          <w:szCs w:val="24"/>
          <w:highlight w:val="none"/>
          <w:shd w:val="clear" w:color="auto" w:fill="ffffff"/>
          <w:lang w:val="en-US" w:eastAsia="zh-CN"/>
        </w:rPr>
        <w:t xml:space="preserve">7</w:t>
      </w:r>
      <w:r>
        <w:rPr>
          <w:rFonts w:hint="eastAsia" w:ascii="宋体" w:hAnsi="宋体" w:eastAsia="宋体" w:cs="宋体"/>
          <w:color w:val="auto"/>
          <w:sz w:val="24"/>
          <w:szCs w:val="24"/>
          <w:highlight w:val="none"/>
          <w:shd w:val="clear" w:color="auto" w:fill="ffffff"/>
        </w:rPr>
        <w:t xml:space="preserve">残疾人福利性单位声明函（如有）（格式见第三章），未提供视为非残疾人福利性单位，不视同小微企业，不享受残疾人福利性单位政策；</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13.3.</w:t>
      </w:r>
      <w:r>
        <w:rPr>
          <w:rFonts w:hint="eastAsia" w:ascii="宋体" w:hAnsi="宋体" w:eastAsia="宋体" w:cs="宋体"/>
          <w:color w:val="auto"/>
          <w:sz w:val="24"/>
          <w:szCs w:val="24"/>
          <w:highlight w:val="none"/>
          <w:shd w:val="clear" w:color="auto" w:fill="ffffff"/>
          <w:lang w:val="en-US" w:eastAsia="zh-CN"/>
        </w:rPr>
        <w:t xml:space="preserve">8</w:t>
      </w:r>
      <w:r>
        <w:rPr>
          <w:rFonts w:hint="eastAsia" w:ascii="宋体" w:hAnsi="宋体" w:eastAsia="宋体" w:cs="宋体"/>
          <w:color w:val="auto"/>
          <w:sz w:val="24"/>
          <w:szCs w:val="24"/>
          <w:highlight w:val="none"/>
          <w:shd w:val="clear" w:color="auto" w:fill="ffffff"/>
        </w:rPr>
        <w:t xml:space="preserve">监狱企业证明文件（如有），由省级以上监狱管理局、戒毒管理局（含新疆生产建设兵团）出具，未提供视为非监狱企业，不视同小微企业，不享受监狱企业政策；</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u w:val="single"/>
          <w:shd w:val="clear" w:color="auto" w:fill="ffffff"/>
        </w:rPr>
      </w:pPr>
      <w:r/>
      <w:bookmarkStart w:id="6" w:name="_Hlk158127728"/>
      <w:r>
        <w:rPr>
          <w:rFonts w:hint="eastAsia" w:ascii="宋体" w:hAnsi="宋体" w:eastAsia="宋体" w:cs="宋体"/>
          <w:b/>
          <w:bCs/>
          <w:color w:val="auto"/>
          <w:sz w:val="24"/>
          <w:szCs w:val="24"/>
          <w:highlight w:val="none"/>
          <w:u w:val="single"/>
          <w:shd w:val="clear" w:color="auto" w:fill="ffffff"/>
        </w:rPr>
        <w:t xml:space="preserve">以上13.3.1—13.3.</w:t>
      </w:r>
      <w:r>
        <w:rPr>
          <w:rFonts w:hint="eastAsia" w:ascii="宋体" w:hAnsi="宋体" w:eastAsia="宋体" w:cs="宋体"/>
          <w:b/>
          <w:bCs/>
          <w:color w:val="auto"/>
          <w:sz w:val="24"/>
          <w:szCs w:val="24"/>
          <w:highlight w:val="none"/>
          <w:u w:val="single"/>
          <w:shd w:val="clear" w:color="auto" w:fill="ffffff"/>
          <w:lang w:val="en-US" w:eastAsia="zh-CN"/>
        </w:rPr>
        <w:t xml:space="preserve">5</w:t>
      </w:r>
      <w:r>
        <w:rPr>
          <w:rFonts w:hint="eastAsia" w:ascii="宋体" w:hAnsi="宋体" w:eastAsia="宋体" w:cs="宋体"/>
          <w:b/>
          <w:bCs/>
          <w:color w:val="auto"/>
          <w:sz w:val="24"/>
          <w:szCs w:val="24"/>
          <w:highlight w:val="none"/>
          <w:u w:val="single"/>
          <w:shd w:val="clear" w:color="auto" w:fill="ffffff"/>
        </w:rPr>
        <w:t xml:space="preserve">项是资格审查要求必须提供的材料。</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 xml:space="preserve">专门面向中小企业的采购项目，还必须提供13.3.</w:t>
      </w:r>
      <w:r>
        <w:rPr>
          <w:rFonts w:hint="eastAsia" w:ascii="宋体" w:hAnsi="宋体" w:eastAsia="宋体" w:cs="宋体"/>
          <w:b/>
          <w:bCs/>
          <w:color w:val="auto"/>
          <w:sz w:val="24"/>
          <w:szCs w:val="24"/>
          <w:highlight w:val="none"/>
          <w:u w:val="single"/>
          <w:shd w:val="clear" w:color="auto" w:fill="ffffff"/>
          <w:lang w:val="en-US" w:eastAsia="zh-CN"/>
        </w:rPr>
        <w:t xml:space="preserve">6</w:t>
      </w:r>
      <w:r>
        <w:rPr>
          <w:rFonts w:hint="eastAsia" w:ascii="宋体" w:hAnsi="宋体" w:eastAsia="宋体" w:cs="宋体"/>
          <w:b/>
          <w:bCs/>
          <w:color w:val="auto"/>
          <w:sz w:val="24"/>
          <w:szCs w:val="24"/>
          <w:highlight w:val="none"/>
          <w:u w:val="single"/>
          <w:shd w:val="clear" w:color="auto" w:fill="ffffff"/>
        </w:rPr>
        <w:t xml:space="preserve">或13.3.</w:t>
      </w:r>
      <w:r>
        <w:rPr>
          <w:rFonts w:hint="eastAsia" w:ascii="宋体" w:hAnsi="宋体" w:eastAsia="宋体" w:cs="宋体"/>
          <w:b/>
          <w:bCs/>
          <w:color w:val="auto"/>
          <w:sz w:val="24"/>
          <w:szCs w:val="24"/>
          <w:highlight w:val="none"/>
          <w:u w:val="single"/>
          <w:shd w:val="clear" w:color="auto" w:fill="ffffff"/>
          <w:lang w:val="en-US" w:eastAsia="zh-CN"/>
        </w:rPr>
        <w:t xml:space="preserve">7</w:t>
      </w:r>
      <w:r>
        <w:rPr>
          <w:rFonts w:hint="eastAsia" w:ascii="宋体" w:hAnsi="宋体" w:eastAsia="宋体" w:cs="宋体"/>
          <w:b/>
          <w:bCs/>
          <w:color w:val="auto"/>
          <w:sz w:val="24"/>
          <w:szCs w:val="24"/>
          <w:highlight w:val="none"/>
          <w:u w:val="single"/>
          <w:shd w:val="clear" w:color="auto" w:fill="ffffff"/>
        </w:rPr>
        <w:t xml:space="preserve">或13.3.</w:t>
      </w:r>
      <w:r>
        <w:rPr>
          <w:rFonts w:hint="eastAsia" w:ascii="宋体" w:hAnsi="宋体" w:eastAsia="宋体" w:cs="宋体"/>
          <w:b/>
          <w:bCs/>
          <w:color w:val="auto"/>
          <w:sz w:val="24"/>
          <w:szCs w:val="24"/>
          <w:highlight w:val="none"/>
          <w:u w:val="single"/>
          <w:shd w:val="clear" w:color="auto" w:fill="ffffff"/>
          <w:lang w:val="en-US" w:eastAsia="zh-CN"/>
        </w:rPr>
        <w:t xml:space="preserve">8</w:t>
      </w:r>
      <w:r>
        <w:rPr>
          <w:rFonts w:hint="eastAsia" w:ascii="宋体" w:hAnsi="宋体" w:eastAsia="宋体" w:cs="宋体"/>
          <w:b/>
          <w:bCs/>
          <w:color w:val="auto"/>
          <w:sz w:val="24"/>
          <w:szCs w:val="24"/>
          <w:highlight w:val="none"/>
          <w:u w:val="single"/>
          <w:shd w:val="clear" w:color="auto" w:fill="ffffff"/>
        </w:rPr>
        <w:t xml:space="preserve">项资料，否则投标无效</w:t>
      </w:r>
      <w:bookmarkEnd w:id="6"/>
      <w:r>
        <w:rPr>
          <w:rFonts w:hint="eastAsia" w:ascii="宋体" w:hAnsi="宋体" w:eastAsia="宋体" w:cs="宋体"/>
          <w:b/>
          <w:bCs/>
          <w:color w:val="auto"/>
          <w:sz w:val="24"/>
          <w:szCs w:val="24"/>
          <w:highlight w:val="none"/>
          <w:u w:val="single"/>
          <w:shd w:val="clear" w:color="auto" w:fill="ffffff"/>
        </w:rPr>
        <w:t xml:space="preserve">；</w:t>
      </w:r>
      <w:r/>
    </w:p>
    <w:p>
      <w:pPr>
        <w:ind w:left="0" w:firstLine="480"/>
        <w:keepLines w:val="0"/>
        <w:keepNext w:val="0"/>
        <w:pageBreakBefore w:val="0"/>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color w:val="auto"/>
          <w:sz w:val="24"/>
          <w:szCs w:val="24"/>
          <w:highlight w:val="none"/>
          <w:shd w:val="clear" w:color="auto" w:fill="ffffff"/>
          <w:lang w:val="en-US" w:eastAsia="zh-CN" w:bidi="ar-SA"/>
        </w:rPr>
        <w:t xml:space="preserve">13.3.9供应商对其提供的产品出具符合要求的《关于符合本国产品标准的声明函》（格式见第三章》）</w:t>
      </w:r>
      <w:bookmarkStart w:id="7" w:name="OLE_LINK9"/>
      <w:r/>
      <w:bookmarkStart w:id="8" w:name="OLE_LINK11"/>
      <w:r>
        <w:rPr>
          <w:rFonts w:hint="eastAsia" w:ascii="宋体" w:hAnsi="宋体" w:eastAsia="宋体" w:cs="宋体"/>
          <w:color w:val="auto"/>
          <w:sz w:val="24"/>
          <w:szCs w:val="24"/>
          <w:highlight w:val="none"/>
          <w:shd w:val="clear" w:color="auto" w:fill="ffffff"/>
          <w:lang w:val="en-US" w:eastAsia="zh-CN" w:bidi="ar-SA"/>
        </w:rPr>
        <w:t xml:space="preserve">或财政部会同有关部门规定的有关证明文件的，</w:t>
      </w:r>
      <w:bookmarkEnd w:id="7"/>
      <w:r/>
      <w:bookmarkEnd w:id="8"/>
      <w:r>
        <w:rPr>
          <w:rFonts w:hint="eastAsia" w:ascii="宋体" w:hAnsi="宋体" w:eastAsia="宋体" w:cs="宋体"/>
          <w:color w:val="auto"/>
          <w:sz w:val="24"/>
          <w:szCs w:val="24"/>
          <w:highlight w:val="none"/>
          <w:shd w:val="clear" w:color="auto" w:fill="ffffff"/>
          <w:lang w:val="en-US" w:eastAsia="zh-CN" w:bidi="ar-SA"/>
        </w:rPr>
        <w:t xml:space="preserve">将按照评定成交标准享受价格评审优惠政策。</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13.4符合性审查文件</w:t>
      </w:r>
      <w:r/>
    </w:p>
    <w:p>
      <w:pPr>
        <w:ind w:left="0"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13.4.1投标函（格式见第三章）；</w:t>
      </w:r>
      <w:r/>
    </w:p>
    <w:p>
      <w:pPr>
        <w:ind w:left="0"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rPr>
        <w:t xml:space="preserve">13.4.2法人</w:t>
      </w:r>
      <w:r>
        <w:rPr>
          <w:rFonts w:hint="eastAsia" w:ascii="宋体" w:hAnsi="宋体" w:eastAsia="宋体" w:cs="宋体"/>
          <w:color w:val="auto"/>
          <w:sz w:val="24"/>
          <w:szCs w:val="24"/>
          <w:highlight w:val="none"/>
        </w:rPr>
        <w:t xml:space="preserve">授权委托书、供应商授权代理人身份证复印件（如有授权）；</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13.4.3</w:t>
      </w:r>
      <w:r>
        <w:rPr>
          <w:rFonts w:hint="eastAsia" w:ascii="宋体" w:hAnsi="宋体" w:eastAsia="宋体" w:cs="宋体"/>
          <w:color w:val="auto"/>
          <w:sz w:val="24"/>
          <w:szCs w:val="24"/>
          <w:highlight w:val="none"/>
        </w:rPr>
        <w:t xml:space="preserve">供应商法定代表人身份证复印件；</w:t>
      </w:r>
      <w:r/>
    </w:p>
    <w:p>
      <w:pPr>
        <w:ind w:left="0" w:firstLine="480"/>
        <w:keepLines w:val="0"/>
        <w:keepNext w:val="0"/>
        <w:pageBreakBefore w:val="0"/>
        <w:spacing w:line="360" w:lineRule="auto"/>
        <w:tabs>
          <w:tab w:val="left" w:pos="0" w:leader="none"/>
        </w:tabs>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13.4.4《</w:t>
      </w:r>
      <w:r>
        <w:rPr>
          <w:rFonts w:hint="eastAsia" w:ascii="宋体" w:hAnsi="宋体" w:eastAsia="宋体" w:cs="宋体"/>
          <w:color w:val="auto"/>
          <w:sz w:val="24"/>
          <w:szCs w:val="24"/>
          <w:highlight w:val="none"/>
          <w:shd w:val="clear" w:color="auto" w:fill="ffffff"/>
        </w:rPr>
        <w:t xml:space="preserve">资格文件的声明函》</w:t>
      </w:r>
      <w:r>
        <w:rPr>
          <w:rFonts w:hint="eastAsia" w:ascii="宋体" w:hAnsi="宋体" w:eastAsia="宋体" w:cs="宋体"/>
          <w:color w:val="auto"/>
          <w:sz w:val="24"/>
          <w:szCs w:val="24"/>
          <w:highlight w:val="none"/>
        </w:rPr>
        <w:t xml:space="preserve">（格式见第三章）；</w:t>
      </w: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13.4.5《供应商与其他单位存在控股、管理关系情况表》（格式见第三章）；</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Cs/>
          <w:color w:val="auto"/>
          <w:sz w:val="24"/>
          <w:szCs w:val="24"/>
          <w:highlight w:val="none"/>
        </w:rPr>
        <w:t xml:space="preserve">13.4.6</w:t>
      </w:r>
      <w:r>
        <w:rPr>
          <w:rFonts w:hint="eastAsia" w:ascii="宋体" w:hAnsi="宋体" w:eastAsia="宋体" w:cs="宋体"/>
          <w:color w:val="auto"/>
          <w:sz w:val="24"/>
          <w:szCs w:val="24"/>
          <w:highlight w:val="none"/>
          <w:shd w:val="clear" w:color="auto" w:fill="ffffff"/>
        </w:rPr>
        <w:t xml:space="preserve">《服务或技术要求偏离表》、《商务条款偏离表》（格式见第三章）；</w:t>
      </w:r>
      <w:r/>
    </w:p>
    <w:p>
      <w:pPr>
        <w:ind w:left="0" w:firstLine="482"/>
        <w:keepLines w:val="0"/>
        <w:keepNext w:val="0"/>
        <w:pageBreakBefore w:val="0"/>
        <w:spacing w:line="360" w:lineRule="auto"/>
        <w:rPr>
          <w:rFonts w:hint="eastAsia" w:ascii="宋体" w:hAnsi="宋体" w:eastAsia="宋体" w:cs="宋体"/>
          <w:b/>
          <w:bCs w:val="0"/>
          <w:color w:val="auto"/>
          <w:sz w:val="24"/>
          <w:szCs w:val="24"/>
          <w:highlight w:val="none"/>
          <w:u w:val="single"/>
          <w:shd w:val="clear" w:color="auto" w:fill="ffffff"/>
        </w:rPr>
      </w:pPr>
      <w:r>
        <w:rPr>
          <w:rFonts w:hint="eastAsia" w:ascii="宋体" w:hAnsi="宋体" w:eastAsia="宋体" w:cs="宋体"/>
          <w:b/>
          <w:bCs w:val="0"/>
          <w:color w:val="auto"/>
          <w:sz w:val="24"/>
          <w:szCs w:val="24"/>
          <w:highlight w:val="none"/>
          <w:u w:val="single"/>
          <w:lang w:val="en-US" w:eastAsia="zh-CN"/>
        </w:rPr>
        <w:t xml:space="preserve">13.4.7相关证书说明表</w:t>
      </w:r>
      <w:r>
        <w:rPr>
          <w:rFonts w:hint="eastAsia" w:ascii="宋体" w:hAnsi="宋体" w:eastAsia="宋体" w:cs="宋体"/>
          <w:b/>
          <w:bCs w:val="0"/>
          <w:color w:val="auto"/>
          <w:sz w:val="24"/>
          <w:szCs w:val="24"/>
          <w:highlight w:val="none"/>
          <w:u w:val="single"/>
          <w:shd w:val="clear" w:color="auto" w:fill="ffffff"/>
        </w:rPr>
        <w:t xml:space="preserve">（格式见第三章）；</w:t>
      </w:r>
      <w:r/>
    </w:p>
    <w:p>
      <w:pPr>
        <w:ind w:left="0" w:firstLine="482"/>
        <w:keepLines w:val="0"/>
        <w:keepNext w:val="0"/>
        <w:pageBreakBefore w:val="0"/>
        <w:spacing w:line="360" w:lineRule="auto"/>
        <w:rPr>
          <w:rFonts w:hint="eastAsia" w:ascii="宋体" w:hAnsi="宋体" w:eastAsia="宋体" w:cs="宋体"/>
          <w:b/>
          <w:bCs w:val="0"/>
          <w:color w:val="auto"/>
          <w:sz w:val="24"/>
          <w:szCs w:val="24"/>
          <w:highlight w:val="none"/>
          <w:u w:val="single"/>
          <w:shd w:val="clear" w:color="auto" w:fill="ffffff"/>
          <w:lang w:val="en-US" w:eastAsia="zh-CN"/>
        </w:rPr>
      </w:pPr>
      <w:r>
        <w:rPr>
          <w:rFonts w:hint="eastAsia" w:ascii="宋体" w:hAnsi="宋体" w:eastAsia="宋体" w:cs="宋体"/>
          <w:b/>
          <w:bCs w:val="0"/>
          <w:color w:val="auto"/>
          <w:sz w:val="24"/>
          <w:szCs w:val="24"/>
          <w:highlight w:val="none"/>
          <w:u w:val="single"/>
          <w:shd w:val="clear" w:color="auto" w:fill="ffffff"/>
          <w:lang w:val="en-US" w:eastAsia="zh-CN"/>
        </w:rPr>
        <w:t xml:space="preserve">13.4.8《关于厨房设备采购项目的承诺函》</w:t>
      </w:r>
      <w:r>
        <w:rPr>
          <w:rFonts w:hint="eastAsia" w:ascii="宋体" w:hAnsi="宋体" w:eastAsia="宋体" w:cs="宋体"/>
          <w:b/>
          <w:bCs w:val="0"/>
          <w:color w:val="auto"/>
          <w:sz w:val="24"/>
          <w:szCs w:val="24"/>
          <w:highlight w:val="none"/>
          <w:u w:val="single"/>
          <w:shd w:val="clear" w:color="auto" w:fill="ffffff"/>
        </w:rPr>
        <w:t xml:space="preserve">（格式见第三章）</w:t>
      </w:r>
      <w:r>
        <w:rPr>
          <w:rFonts w:hint="eastAsia" w:ascii="宋体" w:hAnsi="宋体" w:eastAsia="宋体" w:cs="宋体"/>
          <w:b/>
          <w:bCs w:val="0"/>
          <w:color w:val="auto"/>
          <w:sz w:val="24"/>
          <w:szCs w:val="24"/>
          <w:highlight w:val="none"/>
          <w:u w:val="single"/>
          <w:shd w:val="clear" w:color="auto" w:fill="ffffff"/>
          <w:lang w:eastAsia="zh-CN"/>
        </w:rPr>
        <w:t xml:space="preserve">；</w:t>
      </w:r>
      <w:r/>
    </w:p>
    <w:p>
      <w:pPr>
        <w:pStyle w:val="864"/>
        <w:ind w:left="0" w:firstLine="480"/>
        <w:jc w:val="both"/>
        <w:keepLines w:val="0"/>
        <w:keepNext w:val="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13.4.</w:t>
      </w:r>
      <w:r>
        <w:rPr>
          <w:rFonts w:hint="eastAsia" w:hAnsi="宋体" w:eastAsia="宋体" w:cs="宋体"/>
          <w:bCs/>
          <w:color w:val="auto"/>
          <w:sz w:val="24"/>
          <w:szCs w:val="24"/>
          <w:highlight w:val="none"/>
          <w:lang w:val="en-US" w:eastAsia="zh-CN" w:bidi="ar-SA"/>
        </w:rPr>
        <w:t xml:space="preserve">9</w:t>
      </w:r>
      <w:r>
        <w:rPr>
          <w:rFonts w:hint="eastAsia" w:ascii="宋体" w:hAnsi="宋体" w:eastAsia="宋体" w:cs="宋体"/>
          <w:bCs/>
          <w:color w:val="auto"/>
          <w:sz w:val="24"/>
          <w:szCs w:val="24"/>
          <w:highlight w:val="none"/>
          <w:lang w:val="en-US" w:eastAsia="zh-CN" w:bidi="ar-SA"/>
        </w:rPr>
        <w:t xml:space="preserve">项目组人员一览表（格式见第三章）；</w:t>
      </w:r>
      <w:r/>
    </w:p>
    <w:p>
      <w:pPr>
        <w:ind w:left="0" w:firstLine="480"/>
        <w:jc w:val="both"/>
        <w:keepLines w:val="0"/>
        <w:keepNext w:val="0"/>
        <w:pageBreakBefore w:val="0"/>
        <w:spacing w:line="360" w:lineRule="auto"/>
        <w:tabs>
          <w:tab w:val="left" w:pos="132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13.4.10技术支持以及售后服务承诺（格式见第三章）；</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13.4.</w:t>
      </w:r>
      <w:r>
        <w:rPr>
          <w:rFonts w:hint="eastAsia" w:ascii="宋体" w:hAnsi="宋体" w:eastAsia="宋体" w:cs="宋体"/>
          <w:color w:val="auto"/>
          <w:sz w:val="24"/>
          <w:szCs w:val="24"/>
          <w:highlight w:val="none"/>
          <w:shd w:val="clear" w:color="auto" w:fill="ffffff"/>
          <w:lang w:val="en-US" w:eastAsia="zh-CN"/>
        </w:rPr>
        <w:t xml:space="preserve">11</w:t>
      </w:r>
      <w:r>
        <w:rPr>
          <w:rFonts w:hint="eastAsia" w:ascii="宋体" w:hAnsi="宋体" w:eastAsia="宋体" w:cs="宋体"/>
          <w:color w:val="auto"/>
          <w:sz w:val="24"/>
          <w:szCs w:val="24"/>
          <w:highlight w:val="none"/>
          <w:shd w:val="clear" w:color="auto" w:fill="ffffff"/>
        </w:rPr>
        <w:t xml:space="preserve">采购需求中所涉及到的或供应商认为需加以说明或证明的其他有关符合性证明材料、证明（如有）；</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 xml:space="preserve">以上13.4.1—13.4.</w:t>
      </w:r>
      <w:r>
        <w:rPr>
          <w:rFonts w:hint="eastAsia" w:ascii="宋体" w:hAnsi="宋体" w:eastAsia="宋体" w:cs="宋体"/>
          <w:b/>
          <w:bCs/>
          <w:color w:val="auto"/>
          <w:sz w:val="24"/>
          <w:szCs w:val="24"/>
          <w:highlight w:val="none"/>
          <w:u w:val="single"/>
          <w:shd w:val="clear" w:color="auto" w:fill="ffffff"/>
          <w:lang w:val="en-US" w:eastAsia="zh-CN"/>
        </w:rPr>
        <w:t xml:space="preserve">11</w:t>
      </w:r>
      <w:r>
        <w:rPr>
          <w:rFonts w:hint="eastAsia" w:ascii="宋体" w:hAnsi="宋体" w:eastAsia="宋体" w:cs="宋体"/>
          <w:b/>
          <w:bCs/>
          <w:color w:val="auto"/>
          <w:sz w:val="24"/>
          <w:szCs w:val="24"/>
          <w:highlight w:val="none"/>
          <w:u w:val="single"/>
          <w:shd w:val="clear" w:color="auto" w:fill="ffffff"/>
        </w:rPr>
        <w:t xml:space="preserve">为符合性审查必须提供的资料，否则投标无效。</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13.5综合评审文件</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 xml:space="preserve">13.5.1《类似业绩情况表》</w:t>
      </w:r>
      <w:r>
        <w:rPr>
          <w:rFonts w:hint="eastAsia" w:ascii="宋体" w:hAnsi="宋体" w:eastAsia="宋体" w:cs="宋体"/>
          <w:color w:val="auto"/>
          <w:sz w:val="24"/>
          <w:szCs w:val="24"/>
          <w:highlight w:val="none"/>
          <w:shd w:val="clear" w:color="auto" w:fill="ffffff"/>
          <w:lang w:eastAsia="zh-CN"/>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13.5.2评分标准中所涉及到针对本项目的各项服务实施方案、相关制度、证书、业绩、承诺函及其他材料、证明等（部分格式见第三章）。</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bookmarkStart w:id="9" w:name="_Hlk158131259"/>
      <w:r>
        <w:rPr>
          <w:rFonts w:hint="eastAsia" w:ascii="宋体" w:hAnsi="宋体" w:eastAsia="宋体" w:cs="宋体"/>
          <w:color w:val="auto"/>
          <w:sz w:val="24"/>
          <w:szCs w:val="24"/>
          <w:highlight w:val="none"/>
          <w:shd w:val="clear" w:color="auto" w:fill="ffffff"/>
        </w:rPr>
        <w:t xml:space="preserve">注：制作电子投标文件时请与电子投标文件制作软件目录一一对应，将相关资料上传至相应模块。供应商应保证上传的投标文件完整、清晰可辨认，若因上传资料过小或模糊不清等无法辨认的都视为该资料未提供。</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供应商必须保证全部投标资料的真实性，如有虚假或对招标文件所要求说明的情况故意隐瞒或虚报，视为不实质性响应招标文件，响应无效。</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如供应商投标文件中某些条款不响应招标文件提出的全部服务内容与要求，须在偏离表中逐条列出，未列出的视同响应。</w:t>
      </w:r>
      <w:bookmarkEnd w:id="9"/>
      <w:r/>
      <w:r/>
    </w:p>
    <w:p>
      <w:pPr>
        <w:ind w:left="0" w:firstLine="482"/>
        <w:keepLines w:val="0"/>
        <w:keepNext w:val="0"/>
        <w:pageBreakBefore w:val="0"/>
        <w:spacing w:line="360" w:lineRule="auto"/>
        <w:tabs>
          <w:tab w:val="left" w:pos="142"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14.电子投标文件的编制与</w:t>
      </w:r>
      <w:bookmarkStart w:id="10" w:name="_Hlk158131382"/>
      <w:r>
        <w:rPr>
          <w:rFonts w:hint="eastAsia" w:ascii="宋体" w:hAnsi="宋体" w:eastAsia="宋体" w:cs="宋体"/>
          <w:b/>
          <w:color w:val="auto"/>
          <w:sz w:val="24"/>
          <w:szCs w:val="24"/>
          <w:highlight w:val="none"/>
          <w:shd w:val="clear" w:color="auto" w:fill="ffffff"/>
        </w:rPr>
        <w:t xml:space="preserve">递交</w:t>
      </w:r>
      <w:bookmarkEnd w:id="10"/>
      <w:r/>
      <w:r/>
    </w:p>
    <w:p>
      <w:pPr>
        <w:ind w:left="0"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11" w:name="_Hlk140247794"/>
      <w:r>
        <w:rPr>
          <w:rFonts w:hint="eastAsia" w:ascii="宋体" w:hAnsi="宋体" w:eastAsia="宋体" w:cs="宋体"/>
          <w:color w:val="auto"/>
          <w:sz w:val="24"/>
          <w:szCs w:val="24"/>
          <w:highlight w:val="none"/>
        </w:rPr>
        <w:t xml:space="preserve">14.1电子投标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left="0"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投标文件上传不成功由供应商自行承担全部责任。</w:t>
      </w:r>
      <w:r/>
    </w:p>
    <w:p>
      <w:pPr>
        <w:ind w:left="0"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left="0"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left="0" w:firstLine="482"/>
        <w:jc w:val="left"/>
        <w:keepLines w:val="0"/>
        <w:keepNext w:val="0"/>
        <w:pageBreakBefore w:val="0"/>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14.3投标文件未按照招标文件要求加盖CA电子公章的，响应无效。</w:t>
      </w:r>
      <w:r/>
    </w:p>
    <w:p>
      <w:pPr>
        <w:ind w:left="0"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12" w:name="_Hlk158134955"/>
      <w:r>
        <w:rPr>
          <w:rFonts w:hint="eastAsia" w:ascii="宋体" w:hAnsi="宋体" w:eastAsia="宋体" w:cs="宋体"/>
          <w:color w:val="auto"/>
          <w:sz w:val="24"/>
          <w:szCs w:val="24"/>
          <w:highlight w:val="none"/>
        </w:rPr>
        <w:t xml:space="preserve">14.4联合体投标：如招标公告中允许联合体投标，联合体投标的投标文件制作上传操作如下：</w:t>
      </w:r>
      <w:r/>
    </w:p>
    <w:p>
      <w:pPr>
        <w:pStyle w:val="792"/>
        <w:ind w:left="0" w:firstLine="480"/>
        <w:keepLines w:val="0"/>
        <w:keepNext w:val="0"/>
        <w:pageBreakBefore w:val="0"/>
        <w:spacing w:line="360" w:lineRule="auto"/>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 xml:space="preserve">第一步：在投标文件中上传联合体投标协议书。</w:t>
      </w:r>
      <w:r>
        <w:rPr>
          <w:rFonts w:hint="eastAsia" w:ascii="宋体" w:hAnsi="宋体" w:eastAsia="宋体" w:cs="宋体"/>
          <w:bCs/>
          <w:color w:val="auto"/>
          <w:szCs w:val="24"/>
          <w:highlight w:val="none"/>
        </w:rPr>
        <w:t xml:space="preserve">（注:联合投标协议书须盖有联合体各方实体公章或电子章，否则投标无效。）</w:t>
      </w:r>
      <w:r/>
    </w:p>
    <w:p>
      <w:pPr>
        <w:ind w:left="0"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第二步；由联合体中的牵头人制作并上传投标文件。</w:t>
      </w:r>
      <w:bookmarkEnd w:id="12"/>
      <w:r/>
      <w:r/>
    </w:p>
    <w:p>
      <w:pPr>
        <w:ind w:left="0" w:firstLine="480"/>
        <w:jc w:val="left"/>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14.5如投标文件制作机器码信息一致，视为不同投标供应商使用同一台电脑编制投标文件，投标无效。</w:t>
      </w:r>
      <w:bookmarkEnd w:id="11"/>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15.投标报价（编制）要求的说明</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15.1投标报价包括完成本招标项目所需的一切费用。投标报价为最终报价，除非因特殊原因并经买卖双方协商同意，供应商不得再要求追加任何费用。同时，除非合同条款中另有规定，否则，供应商所报价格在合同实施期间不因市场变化因素而变动。</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15.2供应商应对招标文件内所要采购的全部内容进行报价，只投其中部分内容者或仅对部分内容进行报价的，其投标文件将被拒绝。但如果招标文件要求分标段投标的，则供应商可以按招标文件要求有选择地只投其中一个或几个标段，但各标段应分别计算填写单价和总价。</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15.3一项投标内容只允许一个报价，采购人或采购代理机构不接受任何有选择性的投标报价。</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15.4投标文件报价中的单价和总价全部采用人民币表示，除非合同的特殊条款另有规定。</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16.投标保证金：无。</w:t>
      </w:r>
      <w:r/>
    </w:p>
    <w:p>
      <w:pPr>
        <w:ind w:left="0" w:firstLine="482"/>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17.投标文件的有效期</w:t>
      </w:r>
      <w:r/>
    </w:p>
    <w:p>
      <w:pPr>
        <w:ind w:left="0" w:firstLine="480"/>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17.1自投标截止日起</w:t>
      </w:r>
      <w:r>
        <w:rPr>
          <w:rFonts w:hint="eastAsia" w:ascii="宋体" w:hAnsi="宋体" w:eastAsia="宋体" w:cs="宋体"/>
          <w:color w:val="auto"/>
          <w:sz w:val="24"/>
          <w:szCs w:val="24"/>
          <w:highlight w:val="none"/>
          <w:u w:val="single"/>
          <w:shd w:val="clear" w:color="auto" w:fill="ffffff"/>
        </w:rPr>
        <w:t xml:space="preserve">90</w:t>
      </w:r>
      <w:r>
        <w:rPr>
          <w:rFonts w:hint="eastAsia" w:ascii="宋体" w:hAnsi="宋体" w:eastAsia="宋体" w:cs="宋体"/>
          <w:color w:val="auto"/>
          <w:sz w:val="24"/>
          <w:szCs w:val="24"/>
          <w:highlight w:val="none"/>
          <w:shd w:val="clear" w:color="auto" w:fill="ffffff"/>
        </w:rPr>
        <w:t xml:space="preserve">天内，投标文件应保持有效。</w:t>
      </w:r>
      <w:r>
        <w:rPr>
          <w:rFonts w:hint="eastAsia" w:ascii="宋体" w:hAnsi="宋体" w:eastAsia="宋体" w:cs="宋体"/>
          <w:b/>
          <w:bCs/>
          <w:color w:val="auto"/>
          <w:sz w:val="24"/>
          <w:szCs w:val="24"/>
          <w:highlight w:val="none"/>
          <w:shd w:val="clear" w:color="auto" w:fill="ffffff"/>
        </w:rPr>
        <w:t xml:space="preserve">有效期短于规定期限的投标将被拒绝。</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17.2在特殊情况下，采购人或采购代理机构可与供应商协商延长投标文件的有效期。这种要求和答复都应以书面形式进行。同意延长有效期的供应商不能修改投标文件。拒绝接受延期要求的供应商的投标将被拒绝。</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18.</w:t>
      </w:r>
      <w:r>
        <w:rPr>
          <w:rFonts w:hint="eastAsia" w:ascii="宋体" w:hAnsi="宋体" w:eastAsia="宋体" w:cs="宋体"/>
          <w:b/>
          <w:color w:val="auto"/>
          <w:sz w:val="24"/>
          <w:szCs w:val="24"/>
          <w:highlight w:val="none"/>
        </w:rPr>
        <w:t xml:space="preserve">投标截止时间</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18.1采购人或采购代理机构推迟投标截止时间时，将发布更正（补充）公告。在这种情况下，采购人或采购代理机构和供应商的权利和义务将受到新的截止期的约束。</w:t>
      </w:r>
      <w:r/>
    </w:p>
    <w:p>
      <w:pPr>
        <w:ind w:left="0" w:firstLine="480"/>
        <w:keepLines w:val="0"/>
        <w:keepNext w:val="0"/>
        <w:pageBreakBefore w:val="0"/>
        <w:spacing w:line="360" w:lineRule="auto"/>
        <w:rPr>
          <w:rFonts w:hint="eastAsia" w:ascii="宋体" w:hAnsi="宋体" w:eastAsia="宋体" w:cs="宋体"/>
          <w:b/>
          <w:color w:val="auto"/>
          <w:sz w:val="24"/>
          <w:szCs w:val="21"/>
          <w:highlight w:val="none"/>
        </w:rPr>
      </w:pPr>
      <w:r>
        <w:rPr>
          <w:rFonts w:hint="eastAsia" w:ascii="宋体" w:hAnsi="宋体" w:eastAsia="宋体" w:cs="宋体"/>
          <w:color w:val="auto"/>
          <w:sz w:val="24"/>
          <w:szCs w:val="24"/>
          <w:highlight w:val="none"/>
        </w:rPr>
        <w:t xml:space="preserve">18.2在投标截止时间止采购人或采购代理机构收到的某标段投标文件少于三份，采购人或采购代理机构有权宣布该标段本次招标失败。</w:t>
      </w:r>
      <w:bookmarkStart w:id="13" w:name="_Hlk116314345"/>
      <w:r/>
      <w:bookmarkStart w:id="14" w:name="_Hlk117242692"/>
      <w:r/>
      <w:bookmarkEnd w:id="13"/>
      <w:bookmarkEnd w:id="14"/>
      <w:r/>
    </w:p>
    <w:p>
      <w:pPr>
        <w:ind w:left="0" w:firstLine="482"/>
        <w:keepLines w:val="0"/>
        <w:keepNext w:val="0"/>
        <w:pageBreakBefore w:val="0"/>
        <w:spacing w:line="360" w:lineRule="auto"/>
        <w:rPr>
          <w:rFonts w:hint="eastAsia" w:ascii="宋体" w:hAnsi="宋体" w:eastAsia="宋体" w:cs="宋体"/>
          <w:color w:val="auto"/>
          <w:highlight w:val="none"/>
        </w:rPr>
        <w:outlineLvl w:val="1"/>
      </w:pPr>
      <w:r>
        <w:rPr>
          <w:rFonts w:hint="eastAsia" w:ascii="宋体" w:hAnsi="宋体" w:eastAsia="宋体" w:cs="宋体"/>
          <w:b/>
          <w:bCs/>
          <w:color w:val="auto"/>
          <w:sz w:val="24"/>
          <w:szCs w:val="20"/>
          <w:highlight w:val="none"/>
          <w:shd w:val="clear" w:color="auto" w:fill="ffffff"/>
        </w:rPr>
        <w:t xml:space="preserve">四、开标和评标</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19.开标</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bookmarkStart w:id="15" w:name="_Hlk92794076"/>
      <w:r>
        <w:rPr>
          <w:rFonts w:hint="eastAsia" w:ascii="宋体" w:hAnsi="宋体" w:eastAsia="宋体" w:cs="宋体"/>
          <w:color w:val="auto"/>
          <w:sz w:val="24"/>
          <w:szCs w:val="24"/>
          <w:highlight w:val="none"/>
        </w:rPr>
        <w:t xml:space="preserve">19.1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bookmarkStart w:id="16" w:name="_Hlk90652960"/>
      <w:r>
        <w:rPr>
          <w:rFonts w:hint="eastAsia" w:ascii="宋体" w:hAnsi="宋体" w:eastAsia="宋体" w:cs="宋体"/>
          <w:color w:val="auto"/>
          <w:sz w:val="24"/>
          <w:szCs w:val="24"/>
          <w:highlight w:val="none"/>
        </w:rPr>
        <w:t xml:space="preserve">19.2线上参加（观看）开标（开启）会方式：登录“苏采云”系统，点击“开标大厅”，选择对应项目，点击进入不见面开标系统。</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16"/>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bookmarkStart w:id="17" w:name="_Hlk158135485"/>
      <w:r>
        <w:rPr>
          <w:rFonts w:hint="eastAsia" w:ascii="宋体" w:hAnsi="宋体" w:eastAsia="宋体" w:cs="宋体"/>
          <w:color w:val="auto"/>
          <w:sz w:val="24"/>
          <w:szCs w:val="24"/>
          <w:highlight w:val="none"/>
        </w:rPr>
        <w:t xml:space="preserve">19.4开标时，供应商应当按照《操作手册》规定，在“苏采云”系统规定的时间内对投标文件进行解密。等待开标流程进入“解锁环境”，点击“点击立即解密”进行标书解密，解锁完成后及时关注开标大厅，等待后续答疑澄清等提示，否则导致的对供应商不利的后果由供应商自行承担</w:t>
      </w:r>
      <w:bookmarkEnd w:id="17"/>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19.5供应商在“苏采云”系统规定的时间内未成功解密电子投标文件的，投标无效。</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19.6供应商电脑环境最低要求：谷歌浏览器，版本可直接网上下载最新版本即可。如需收听现场语音需配置放音设备，如视频直播、互动交流使用异常，请刷新网页，如仍无法解决，请联系技术支持。</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bookmarkStart w:id="18" w:name="_Hlk90653182"/>
      <w:r>
        <w:rPr>
          <w:rFonts w:hint="eastAsia" w:ascii="宋体" w:hAnsi="宋体" w:eastAsia="宋体" w:cs="宋体"/>
          <w:color w:val="auto"/>
          <w:sz w:val="24"/>
          <w:szCs w:val="24"/>
          <w:highlight w:val="none"/>
        </w:rPr>
        <w:t xml:space="preserve">19.7开标大厅系统出现故障、断电断网等特殊情形导致无法直播时，交易中心将通过微信直播对外公布相关情况，供应商可登录微信直播平台（微信-发现-直播-搜索视频号“园小易直播”）观看现场实况。</w:t>
      </w:r>
      <w:bookmarkEnd w:id="18"/>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19.8至投标文件提交截止时间，递交投标文件的供应商不足三家的，不得开标。</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19.9开标在招标文件规定的时间、地点进行，由采购人或采购代理机构主持，供应商参加（观看），评标委员会成员不得参加开标活动。</w:t>
      </w:r>
      <w:bookmarkEnd w:id="15"/>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20.信用查询</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根据政府采购法及相关法规，以及苏州市财政局《关于印发苏州市市级政府采购信用记录查询和使用工作试行办法的通知》（苏财购（2017）11号）文件的规定，采购人、采购代理机构对供应商进行信用查询。</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20.1查询时间：投标文件提交截止时间。</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20.2查询渠道：通过“信用中国”、“信用江苏”及“中国政府采购网”上的信用信息查询供应商的信用记录。</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bookmarkStart w:id="19" w:name="_Hlk92794284"/>
      <w:r>
        <w:rPr>
          <w:rFonts w:hint="eastAsia" w:ascii="宋体" w:hAnsi="宋体" w:eastAsia="宋体" w:cs="宋体"/>
          <w:color w:val="auto"/>
          <w:sz w:val="24"/>
          <w:szCs w:val="24"/>
          <w:highlight w:val="none"/>
        </w:rPr>
        <w:t xml:space="preserve">20.3查询证据留存方式：对存在失信信息的供应商，评审小组应填写《苏州市级政府采购供应商失信信息确认函》，由失信供应商签名（章）确认。</w:t>
      </w:r>
      <w:r>
        <w:rPr>
          <w:rFonts w:hint="eastAsia" w:ascii="宋体" w:hAnsi="宋体" w:eastAsia="宋体" w:cs="宋体"/>
          <w:color w:val="auto"/>
          <w:sz w:val="24"/>
          <w:szCs w:val="24"/>
          <w:highlight w:val="none"/>
          <w:lang w:val="zh-CN"/>
        </w:rPr>
        <w:t xml:space="preserve">采购代理机构工作人员应登陆到来源网站页面进行复核并打印，</w:t>
      </w:r>
      <w:r>
        <w:rPr>
          <w:rFonts w:hint="eastAsia" w:ascii="宋体" w:hAnsi="宋体" w:eastAsia="宋体" w:cs="宋体"/>
          <w:color w:val="auto"/>
          <w:sz w:val="24"/>
          <w:szCs w:val="24"/>
          <w:highlight w:val="none"/>
        </w:rPr>
        <w:t xml:space="preserve">作为证据留存。</w:t>
      </w:r>
      <w:bookmarkEnd w:id="19"/>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投标无效：</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（一）政府采购严重违法记录，即供应商被全国各级财政部门列入“政府采购严重违法失信行为记录名单”，且在处罚有效期内的。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（二）财政部门与法院、工商、税务等部门联合惩戒的失信信息，包括：</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（1）被列入失信被执行人名单；</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（2）被列入重大税收违法案件当事人名单；</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bookmarkStart w:id="20" w:name="_Hlk92794378"/>
      <w:r>
        <w:rPr>
          <w:rFonts w:hint="eastAsia" w:ascii="宋体" w:hAnsi="宋体" w:eastAsia="宋体" w:cs="宋体"/>
          <w:color w:val="auto"/>
          <w:sz w:val="24"/>
          <w:szCs w:val="24"/>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20.5接受联合体的项目，两个及以上的自然人、法人或者其他组织组成一个联合体，以一个供应商的身份共同参加政府采购活动的，联合体成员其中一名成员存在失信信息的，视同联合体存在失信信息。</w:t>
      </w:r>
      <w:bookmarkEnd w:id="20"/>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21.评标委员会</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21.1评标委员会由采购人或采购代理机构依法组建。</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21.2评标委员会负责具体的评标事务，并独立履行以下职责：</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21.2.1审查、评价投标文件是否符合招标文件的商务、技术等实质性要求；</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21.2.2要求供应商对投标文件有关事项作出澄清或者说明；</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21.2.3对投标文件进行比较和评价；</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21.2.4</w:t>
      </w:r>
      <w:r>
        <w:rPr>
          <w:rFonts w:hint="eastAsia" w:ascii="宋体" w:hAnsi="宋体" w:eastAsia="宋体" w:cs="宋体"/>
          <w:color w:val="auto"/>
          <w:sz w:val="24"/>
          <w:szCs w:val="24"/>
          <w:highlight w:val="none"/>
          <w:shd w:val="clear" w:color="auto" w:fill="ffffff"/>
          <w:lang w:val="zh-CN"/>
        </w:rPr>
        <w:t xml:space="preserve">按照评标办法和标准推荐不低于3家中标候选人，并根据采购人的委托及评审结果直接确定中标人；</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21.2.5向采购人、采购代理机构或者有关部门报告评标中发现的违法行为；</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21.3评标委员会成员应当履行下列义务：</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21.3.1遵纪守法，客观、公正、廉洁地履行职责；</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21.3.2按照招标文件规定的评标办法和评标标准进行评标，对评审意见承担个人责任；</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21.3.3对评标过程和结果，以及供应商的商业秘密保密；</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21.3.4参与评审报告的起草；</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21.3.5配合相关部门的投诉处理工作；</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21.3.6配合采购人或采购代理机构答复投标供应商提出的质疑。</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22.评标内容的保密</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22.1公开开标后，直到宣布授予中标供应商合同为止，凡属于审查、澄清、评价和比较投标的所有资料，有关授予合同的信息都不应向供应商或与评标无关的其他人泄露。</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22.2在投标文件的审查、澄清、评价和比较以及授予合同的过程中，供应商对采购人或采购代理机构和评标委员会成员施加影响的任何行为，都将取消其中标资格。</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22.3在评标期间，采购人或采购代理机构将通过指定联络人与供应商进行联系。</w:t>
      </w:r>
      <w:r/>
    </w:p>
    <w:p>
      <w:pPr>
        <w:ind w:left="0" w:firstLine="482"/>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23.对投标文件初审</w:t>
      </w:r>
      <w:r/>
    </w:p>
    <w:p>
      <w:pPr>
        <w:ind w:left="0" w:firstLine="480"/>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23.1开标结束后，采购人依法对供应商的资格进行审查。</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23.2资格审查后，评标委员会在初审过程中有权拒绝有下列情况之一的投标文件：</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23.2.1供应商的投标文件未按照本须知规定制作的；</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23.2.2与招标文件有重大偏离；</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23.2.3供应商拒绝修正错误；</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23.2.4供应商的报价是选择性的；</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23.2.5供应商的报价只投了部分内容；</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23.2.6供应商的投标文件出现了评标委员会认为不应当雷同的情况；</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shd w:val="clear" w:color="auto" w:fill="ffffff"/>
        </w:rPr>
        <w:t xml:space="preserve">23.2.7其他被评标委员会认定无效的情况。</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23.3在详细评标之前，评委会将首先审查每份投标文件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23.4评标委员会将允许修改投标中不构成重大偏离的微小的、非正规、不一致或不规则的地方，但这些修改不能影响任何供应商的名次相应排列。供应商不得对招标文件进行实质性修改，包括但不限于付款方式、付款条件等条款，否则投标文件将被拒绝。</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23.5评标委员会将拒绝被确定为非实质性响应的投标，供应商不能通过修正或撤销不符之处而使其投标成为实质性响应的投标。</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23.6评标委员会将对确定为实质性响应的投标进行审核，看其是否有计算上或累加上的算术错误。投标文件报价出现前后不一致的，除招标文件另有规定外，按照下列规定修正：</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（一）投标文件中开标一览表内容与投标文件中相应内容不一致的，以开标一览表为准；</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（二）大写金额和小写金额不一致的，以大写金额为准；</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（三）单价金额小数点或者百分比有明显错位的，以开标一览表的总价为准，并修改单价；</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（四）总价金额与按单价汇总金额不一致的，以单价金额计算结果为准。</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同时出现两种以上不一致的，按照前款规定的顺序修正。修正后的报价按照本须知24.1条的规定经供应商确认后产生约束力，供应商不确认的，其投标无效。</w:t>
      </w:r>
      <w:r/>
    </w:p>
    <w:p>
      <w:pPr>
        <w:ind w:left="0"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23.</w:t>
      </w:r>
      <w:r>
        <w:rPr>
          <w:rFonts w:hint="eastAsia" w:ascii="宋体" w:hAnsi="宋体" w:eastAsia="宋体" w:cs="宋体"/>
          <w:color w:val="auto"/>
          <w:sz w:val="24"/>
          <w:szCs w:val="24"/>
          <w:highlight w:val="none"/>
          <w:shd w:val="clear" w:color="auto" w:fill="ffffff"/>
          <w:lang w:val="en-US" w:eastAsia="zh-CN"/>
        </w:rPr>
        <w:t xml:space="preserve">7</w:t>
      </w:r>
      <w:r>
        <w:rPr>
          <w:rFonts w:hint="eastAsia" w:ascii="宋体" w:hAnsi="宋体" w:eastAsia="宋体" w:cs="宋体"/>
          <w:color w:val="auto"/>
          <w:sz w:val="24"/>
          <w:szCs w:val="24"/>
          <w:highlight w:val="none"/>
          <w:shd w:val="clear" w:color="auto" w:fill="ffffff"/>
        </w:rPr>
        <w:t xml:space="preserve">评标委员会对投标文件的判定，只依据投标内容本身，不依靠开标后的任何外来证明。</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24.投标的澄清</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24.1对于投标文件中含义不明确、同类问题表述不一致或者有明显文字和计算错误的内容，评标委员会应当要求供应商作出必要的澄清、说明或者补正。供应商的澄清、说明或者补正不得超出投标文件的范围或者改变投标文件的实质性内容。</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bookmarkStart w:id="21" w:name="_Hlk158140503"/>
      <w:r/>
      <w:bookmarkStart w:id="22" w:name="_Hlk158140452"/>
      <w:r/>
      <w:bookmarkStart w:id="23" w:name="_Hlk90656398"/>
      <w:r>
        <w:rPr>
          <w:rFonts w:hint="eastAsia" w:ascii="宋体" w:hAnsi="宋体" w:eastAsia="宋体" w:cs="宋体"/>
          <w:color w:val="auto"/>
          <w:sz w:val="24"/>
          <w:szCs w:val="24"/>
          <w:highlight w:val="none"/>
          <w:shd w:val="clear" w:color="auto" w:fill="ffffff"/>
        </w:rPr>
        <w:t xml:space="preserve">24.2本项目采用线上澄清</w:t>
      </w:r>
      <w:bookmarkEnd w:id="21"/>
      <w:r>
        <w:rPr>
          <w:rFonts w:hint="eastAsia" w:ascii="宋体" w:hAnsi="宋体" w:eastAsia="宋体" w:cs="宋体"/>
          <w:color w:val="auto"/>
          <w:sz w:val="24"/>
          <w:szCs w:val="24"/>
          <w:highlight w:val="none"/>
          <w:shd w:val="clear" w:color="auto" w:fill="ffffff"/>
        </w:rPr>
        <w:t xml:space="preserve">。</w:t>
      </w:r>
      <w:bookmarkEnd w:id="22"/>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24.2.1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left="0"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24.2.2接到评标委员会澄清、说明和更正要求的供应商如未按规定做出澄清、说明和更正，其风险由供应商自行承担。</w:t>
      </w:r>
      <w:bookmarkEnd w:id="23"/>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25.废标</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25.1在招标过程中，出现下列情况之一的，应予废标：</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25.1.1符合专业条件的供应商或者对招标文件作实质响应的供应商不足三家的；</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25.1.2出现影响采购公正的违法、违规行为的；</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25.1.3供应商的报价均超过了采购预算，采购人不能支付的；</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25.1.4因重大变故，采购任务取消的；</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25.2废标后，采购代理机构将把废标的理由通知所有供应商。</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26.投标文件的评价和比较</w:t>
      </w:r>
      <w:r/>
    </w:p>
    <w:p>
      <w:pPr>
        <w:ind w:left="0" w:firstLine="480"/>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26.1评标委员会应当严格按照招标文件的要求、条件、评分标准，对符合性审查合格的投标文件进行商务和技术评估，综合比较与评价。</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26.2本项目采用综合评分法，即指投标文件满足招标文件全部实质性要求，且按照评审因素的量化指标评审得分最高的供应商为排名第一的中标候选人的评标方法。</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26.2.1投标者的资信情况和履约能力；</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26.2.2投标者提供的其他优惠条件；</w:t>
      </w:r>
      <w:r/>
    </w:p>
    <w:p>
      <w:pPr>
        <w:ind w:left="0"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26.3最低的投标报价或最高的折扣比例是中标的重要条件，但不是唯一条件。</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27.中标供应商的确认</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27.1评标委员会根据供应商资格审查及符合性审查情况，按照评标办法和标准对通过资格审查及符合性审查的投标文件进行综合评审。并根据采购人的委托，按照中标候选人的顺序在中标候选人中直接确定</w:t>
      </w:r>
      <w:r>
        <w:rPr>
          <w:rFonts w:hint="eastAsia" w:ascii="宋体" w:hAnsi="宋体" w:eastAsia="宋体" w:cs="宋体"/>
          <w:color w:val="auto"/>
          <w:sz w:val="24"/>
          <w:szCs w:val="24"/>
          <w:highlight w:val="none"/>
          <w:shd w:val="clear" w:color="auto" w:fill="ffffff"/>
          <w:lang w:val="en-US" w:eastAsia="zh-CN"/>
        </w:rPr>
        <w:t xml:space="preserve">中标</w:t>
      </w:r>
      <w:r>
        <w:rPr>
          <w:rFonts w:hint="eastAsia" w:ascii="宋体" w:hAnsi="宋体" w:eastAsia="宋体" w:cs="宋体"/>
          <w:color w:val="auto"/>
          <w:sz w:val="24"/>
          <w:szCs w:val="24"/>
          <w:highlight w:val="none"/>
          <w:shd w:val="clear" w:color="auto" w:fill="ffffff"/>
        </w:rPr>
        <w:t xml:space="preserve">人。</w:t>
      </w:r>
      <w:r/>
    </w:p>
    <w:p>
      <w:pPr>
        <w:ind w:left="0" w:firstLine="48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27.2经评标委员会评审并确定中标供应商后，采购代理机构将在规定的时间内将中标结果在相关媒体上予以公告。各供应商如对公告结果有异议，应在中标公告期满后七个工作日内，以书面形式向采购代理机构提出质疑，同时该质疑应有供应商法定代表人或参加投标的代理人签署。采购代理机构将在收到经供应商法定代表人或参加投标的代理人签署的书面质疑后七个工作日内，对质疑内容作出答复。如供应商未在中标公告期满后七个工作日内向采购代理机构提出质疑或质疑未经供应商法定代表人或参加投标的代理人签署，采购代理机构有权对该质疑不予答复。</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bCs/>
          <w:color w:val="auto"/>
          <w:sz w:val="24"/>
          <w:szCs w:val="20"/>
          <w:highlight w:val="none"/>
          <w:shd w:val="clear" w:color="auto" w:fill="ffffff"/>
        </w:rPr>
        <w:t xml:space="preserve">五、授予合同</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28.合同授予标准</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28.1采购人将把合同授予其投标文件在实质上响应招标文件要求和按本须知规定评选出的供应商。确定为中标的供应商必须具有实施本合同的能力和资源。</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29.中标通知书</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29.1在公告中标结果的同时，采购人或者采购代理机构应当向中标人发出中标通知书（中标通知书将在“苏采云”系统中发出，中标通知书发出之日视为中标供应商领取之日），请中标人在中标结果公告届满</w:t>
      </w:r>
      <w:r>
        <w:rPr>
          <w:rFonts w:hint="eastAsia" w:ascii="宋体" w:hAnsi="宋体" w:eastAsia="宋体" w:cs="宋体"/>
          <w:color w:val="auto"/>
          <w:sz w:val="24"/>
          <w:szCs w:val="24"/>
          <w:highlight w:val="none"/>
          <w:shd w:val="clear" w:color="auto" w:fill="ffffff"/>
        </w:rPr>
        <w:t xml:space="preserve">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left="0" w:firstLine="48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29.2采购人或采购代理机构对未中标供应商不承担解释未中标原因的义务。</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29.3中标通知书将成为合同的组成部分。</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30.合同的签订</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30.1中标供应商应按中标通知书中规定的时间和地点，由法定代表人或授权代理人与采购人代表签订合同。</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30.2签订合同及合同条款应以招标文件和中标供应商的投标文件及其澄清文件为依据。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none"/>
          <w:shd w:val="clear" w:color="auto" w:fill="ffffff"/>
          <w:lang w:val="zh-CN"/>
        </w:rPr>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0</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lang w:val="zh-CN"/>
        </w:rPr>
        <w:t xml:space="preserve">根据《关于在全省政府采购领域推行电子履约保函（保险）的通知（苏财购〔2023〕150号）》规定，中标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t>
      </w:r>
      <w:r>
        <w:rPr>
          <w:rFonts w:hint="eastAsia" w:ascii="宋体" w:hAnsi="宋体" w:eastAsia="宋体" w:cs="宋体"/>
          <w:color w:val="auto"/>
          <w:sz w:val="24"/>
          <w:szCs w:val="24"/>
          <w:highlight w:val="none"/>
          <w:u w:val="none"/>
          <w:shd w:val="clear" w:color="auto" w:fill="ffffff"/>
          <w:lang w:val="zh-CN"/>
        </w:rPr>
        <w:t xml:space="preserve">www.ccgp-jiangsu.gov.cn/jiangsu/zlxz）下载“政府采购电子履约保函（保险）操作手册”。</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u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lang w:val="en-US" w:eastAsia="zh-CN"/>
        </w:rPr>
        <w:t xml:space="preserve">0.4 </w:t>
      </w:r>
      <w:r>
        <w:rPr>
          <w:rFonts w:hint="eastAsia" w:ascii="宋体" w:hAnsi="宋体" w:eastAsia="宋体" w:cs="宋体"/>
          <w:color w:val="auto"/>
          <w:sz w:val="24"/>
          <w:szCs w:val="24"/>
          <w:highlight w:val="none"/>
          <w:shd w:val="clear" w:color="auto" w:fill="ffffff"/>
          <w:lang w:val="zh-CN"/>
        </w:rPr>
        <w:t xml:space="preserve">根据苏州市财政局《关于深入开展苏州市政府采购合同信用融资业务的通知》相关要求，本项目支持政府采购合同信用融资。</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lang w:val="en-US" w:eastAsia="zh-CN"/>
        </w:rPr>
      </w:pPr>
      <w:r>
        <w:rPr>
          <w:rFonts w:hint="eastAsia" w:ascii="宋体" w:hAnsi="宋体" w:eastAsia="宋体" w:cs="宋体"/>
          <w:b/>
          <w:color w:val="auto"/>
          <w:sz w:val="24"/>
          <w:szCs w:val="24"/>
          <w:highlight w:val="none"/>
          <w:shd w:val="clear" w:color="auto" w:fill="ffffff"/>
        </w:rPr>
        <w:t xml:space="preserve">31.履约保证金</w:t>
      </w:r>
      <w:r>
        <w:rPr>
          <w:rFonts w:hint="eastAsia" w:ascii="宋体" w:hAnsi="宋体" w:eastAsia="宋体" w:cs="宋体"/>
          <w:b/>
          <w:color w:val="auto"/>
          <w:sz w:val="24"/>
          <w:szCs w:val="24"/>
          <w:highlight w:val="none"/>
          <w:shd w:val="clear" w:color="auto" w:fill="ffffff"/>
          <w:lang w:eastAsia="zh-CN"/>
        </w:rPr>
        <w:t xml:space="preserve">：</w:t>
      </w:r>
      <w:r>
        <w:rPr>
          <w:rFonts w:hint="eastAsia" w:ascii="宋体" w:hAnsi="宋体" w:eastAsia="宋体" w:cs="宋体"/>
          <w:b/>
          <w:color w:val="auto"/>
          <w:sz w:val="24"/>
          <w:szCs w:val="24"/>
          <w:highlight w:val="none"/>
          <w:shd w:val="clear" w:color="auto" w:fill="ffffff"/>
          <w:lang w:val="en-US" w:eastAsia="zh-CN"/>
        </w:rPr>
        <w:t xml:space="preserve">无</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bCs/>
          <w:color w:val="auto"/>
          <w:sz w:val="24"/>
          <w:szCs w:val="20"/>
          <w:highlight w:val="none"/>
          <w:shd w:val="clear" w:color="auto" w:fill="ffffff"/>
        </w:rPr>
        <w:t xml:space="preserve">六、其他事项</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32.质疑</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32.1质疑及答复遵守《政府采购质疑和投诉办法》（中华人民共和国财政部令第94号）规定。</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①对可以质疑的招标文件提出质疑的，为收到招标文件之日或者招标文件公告期限届满之日；</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②对采购过程提出质疑的，为各采购程序环节结束之日；</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③对中标结果提出质疑的，为中标结果公告期限届满之日。</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32.3供应商应当在法定质疑期内一次性提出针对同一采购程序环节的质疑。供应商如在法定期限内对同一采购程序环节提出多次质疑的，采购代理机构或采购人将只对供应商第一次质疑作出答复。</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32.4提出质疑的供应商应当是参与所质疑项目采购活动的供应商，未依照招标公告要求获取招标文件的供应商，视为未参与该项政府采购活动，不具备对该政府采购项目提出质疑的法定权利。</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32.5对招标文件内容质疑时，需提供在“苏采云”系统中下载本项目招标文件的《投标供应商确认函》，未提供的视为未依照招标公告要求获取招标文件的供应商，不具备对该政府采购项目提出质疑的法定权利。</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32.6接收质疑函的方式为书面形式（当场送达或邮寄方式）。供应商质疑函范本格式请参照“苏州市政府采购”网站——“下载中心”——“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shd w:val="clear" w:color="auto" w:fill="ffffff"/>
        </w:rPr>
        <w:t xml:space="preserve">政府采购供应商质疑函范本</w:t>
      </w:r>
      <w:r>
        <w:rPr>
          <w:rFonts w:hint="eastAsia" w:ascii="宋体" w:hAnsi="宋体" w:eastAsia="宋体" w:cs="宋体"/>
          <w:color w:val="auto"/>
          <w:sz w:val="24"/>
          <w:szCs w:val="24"/>
          <w:highlight w:val="none"/>
          <w:shd w:val="clear" w:color="auto" w:fill="ffffff"/>
        </w:rPr>
        <w:fldChar w:fldCharType="end"/>
      </w:r>
      <w:r>
        <w:rPr>
          <w:rFonts w:hint="eastAsia" w:ascii="宋体" w:hAnsi="宋体" w:eastAsia="宋体" w:cs="宋体"/>
          <w:color w:val="auto"/>
          <w:sz w:val="24"/>
          <w:szCs w:val="24"/>
          <w:highlight w:val="none"/>
          <w:shd w:val="clear" w:color="auto" w:fill="ffffff"/>
        </w:rPr>
        <w:t xml:space="preserve">”。供应商如组成联合体参加投标，则《质疑函范本》中要求签字、盖章、加盖公章之处，章。</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rPr>
        <w:t xml:space="preserve">32.7</w:t>
      </w:r>
      <w:r>
        <w:rPr>
          <w:rFonts w:hint="eastAsia" w:ascii="宋体" w:hAnsi="宋体" w:eastAsia="宋体" w:cs="宋体"/>
          <w:color w:val="auto"/>
          <w:sz w:val="24"/>
          <w:szCs w:val="24"/>
          <w:highlight w:val="none"/>
          <w:shd w:val="clear" w:color="auto" w:fill="ffffff"/>
          <w:lang w:val="zh-CN"/>
        </w:rPr>
        <w:t xml:space="preserve">质疑递交地点：</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联系地址：</w:t>
      </w:r>
      <w:r>
        <w:rPr>
          <w:rFonts w:hint="eastAsia" w:ascii="宋体" w:hAnsi="宋体" w:eastAsia="宋体" w:cs="宋体"/>
          <w:color w:val="auto"/>
          <w:sz w:val="24"/>
          <w:highlight w:val="none"/>
        </w:rPr>
        <w:t xml:space="preserve">苏州工业园区苏雅路388号新天翔商业广场A座12楼1206室</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zh-CN"/>
        </w:rPr>
        <w:t xml:space="preserve">电话：</w:t>
      </w:r>
      <w:r>
        <w:rPr>
          <w:rFonts w:hint="eastAsia" w:ascii="宋体" w:hAnsi="宋体" w:eastAsia="宋体" w:cs="宋体"/>
          <w:color w:val="auto"/>
          <w:sz w:val="24"/>
          <w:szCs w:val="24"/>
          <w:highlight w:val="none"/>
          <w:shd w:val="clear" w:color="auto" w:fill="ffffff"/>
        </w:rPr>
        <w:t xml:space="preserve">0512-65200462</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zh-CN"/>
        </w:rPr>
        <w:t xml:space="preserve">联系人：</w:t>
      </w:r>
      <w:r>
        <w:rPr>
          <w:rFonts w:hint="eastAsia" w:ascii="宋体" w:hAnsi="宋体" w:eastAsia="宋体" w:cs="宋体"/>
          <w:color w:val="auto"/>
          <w:sz w:val="24"/>
          <w:szCs w:val="24"/>
          <w:highlight w:val="none"/>
          <w:shd w:val="clear" w:color="auto" w:fill="ffffff"/>
        </w:rPr>
        <w:t xml:space="preserve">田娟</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33.代理服务费</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33.1中标供应商须按前附表的规定计算并支付代理服务费，该费用应在领取合同前付清。</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33.2中标供应商如果未按规定缴纳代理服务费，采购代理机构将不予退还其投标保证金，并保留诉讼的权利。</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34.监督</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34.1有关监督部门将对招投标全过程进行监督。</w:t>
      </w:r>
      <w:r/>
    </w:p>
    <w:p>
      <w:pPr>
        <w:ind w:left="0"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35.未尽事宜</w:t>
      </w:r>
      <w:r/>
    </w:p>
    <w:p>
      <w:pPr>
        <w:ind w:left="0"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未尽事宜应按《中华人民共和国民法典》、《中华人民共和国政府采购法》以及其它相关法律、法规之规定解释。</w:t>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26"/>
          <w:szCs w:val="20"/>
          <w:highlight w:val="none"/>
          <w:shd w:val="clear" w:color="auto" w:fill="ffffff"/>
        </w:rPr>
        <w:br w:type="page" w:clear="all"/>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jc w:val="center"/>
        <w:keepLines/>
        <w:keepNext/>
        <w:spacing w:before="340" w:after="330" w:line="360" w:lineRule="auto"/>
        <w:rPr>
          <w:rFonts w:hint="eastAsia" w:ascii="宋体" w:hAnsi="宋体" w:eastAsia="宋体" w:cs="宋体"/>
          <w:color w:val="auto"/>
          <w:sz w:val="52"/>
          <w:szCs w:val="20"/>
          <w:highlight w:val="none"/>
          <w:shd w:val="clear" w:color="auto" w:fill="ffffff"/>
        </w:rPr>
        <w:outlineLvl w:val="0"/>
      </w:pPr>
      <w:r/>
      <w:bookmarkStart w:id="24" w:name="_Toc105940239"/>
      <w:r>
        <w:rPr>
          <w:rFonts w:hint="eastAsia" w:ascii="宋体" w:hAnsi="宋体" w:eastAsia="宋体" w:cs="宋体"/>
          <w:b/>
          <w:color w:val="auto"/>
          <w:sz w:val="52"/>
          <w:szCs w:val="20"/>
          <w:highlight w:val="none"/>
          <w:shd w:val="clear" w:color="auto" w:fill="ffffff"/>
        </w:rPr>
        <w:t xml:space="preserve">第三章投标文件格式</w:t>
      </w:r>
      <w:bookmarkEnd w:id="24"/>
      <w:r/>
      <w:r/>
    </w:p>
    <w:p>
      <w:pPr>
        <w:jc w:val="left"/>
        <w:spacing w:line="360" w:lineRule="auto"/>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t xml:space="preserve">说明：</w:t>
      </w:r>
      <w:r/>
    </w:p>
    <w:p>
      <w:pPr>
        <w:ind w:firstLine="482"/>
        <w:jc w:val="left"/>
        <w:spacing w:line="360" w:lineRule="auto"/>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1"/>
          <w:highlight w:val="none"/>
          <w:shd w:val="clear" w:color="auto" w:fill="ffffff"/>
        </w:rPr>
        <w:t xml:space="preserve">对本章所有的投标文件格式 ，除注明允许修改的文件外，</w:t>
      </w:r>
      <w:r>
        <w:rPr>
          <w:rFonts w:hint="eastAsia" w:ascii="宋体" w:hAnsi="宋体" w:eastAsia="宋体" w:cs="宋体"/>
          <w:b/>
          <w:color w:val="auto"/>
          <w:sz w:val="24"/>
          <w:szCs w:val="21"/>
          <w:highlight w:val="none"/>
          <w:shd w:val="clear" w:color="auto" w:fill="ffffff"/>
          <w:lang w:val="en-US" w:eastAsia="zh-CN"/>
        </w:rPr>
        <w:t xml:space="preserve">投标人</w:t>
      </w:r>
      <w:r>
        <w:rPr>
          <w:rFonts w:hint="eastAsia" w:ascii="宋体" w:hAnsi="宋体" w:eastAsia="宋体" w:cs="宋体"/>
          <w:b/>
          <w:color w:val="auto"/>
          <w:sz w:val="24"/>
          <w:szCs w:val="21"/>
          <w:highlight w:val="none"/>
          <w:shd w:val="clear" w:color="auto" w:fill="ffffff"/>
        </w:rPr>
        <w:t xml:space="preserve">均应按照本章提供的格式填写，否则作为无效标。允许修改的文件，投标</w:t>
      </w:r>
      <w:r>
        <w:rPr>
          <w:rFonts w:hint="eastAsia" w:ascii="宋体" w:hAnsi="宋体" w:eastAsia="宋体" w:cs="宋体"/>
          <w:b/>
          <w:color w:val="auto"/>
          <w:sz w:val="24"/>
          <w:szCs w:val="21"/>
          <w:highlight w:val="none"/>
          <w:shd w:val="clear" w:color="auto" w:fill="ffffff"/>
          <w:lang w:val="en-US" w:eastAsia="zh-CN"/>
        </w:rPr>
        <w:t xml:space="preserve">人</w:t>
      </w:r>
      <w:r>
        <w:rPr>
          <w:rFonts w:hint="eastAsia" w:ascii="宋体" w:hAnsi="宋体" w:eastAsia="宋体" w:cs="宋体"/>
          <w:b/>
          <w:color w:val="auto"/>
          <w:sz w:val="24"/>
          <w:szCs w:val="21"/>
          <w:highlight w:val="none"/>
          <w:shd w:val="clear" w:color="auto" w:fill="ffffff"/>
        </w:rPr>
        <w:t xml:space="preserve">可根据自身情况进行补充和修改，但补充和修改不得造成与原格式内容有实质性的违背</w:t>
      </w:r>
      <w:r>
        <w:rPr>
          <w:rFonts w:hint="eastAsia" w:ascii="宋体" w:hAnsi="宋体" w:eastAsia="宋体" w:cs="宋体"/>
          <w:b/>
          <w:color w:val="auto"/>
          <w:sz w:val="24"/>
          <w:szCs w:val="20"/>
          <w:highlight w:val="none"/>
          <w:shd w:val="clear" w:color="auto" w:fill="ffffff"/>
        </w:rPr>
        <w:t xml:space="preserve">。</w:t>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8"/>
          <w:szCs w:val="20"/>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 xml:space="preserve">1、（供应商）法定代表人授权委托书</w:t>
      </w:r>
      <w:r/>
    </w:p>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授权委托书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bookmarkStart w:id="25" w:name="_Hlk117242496"/>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（姓名+手机号码）为本公司代理人，以本公司的名义参加本项目采购代理机构组织实施的编号为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号的招标活动。代理人在开标、评标、合同招标过程中所签署的一切文件和处理与这有关的一切事务，我均予以承认。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代理人无转委托权。特此委托。</w:t>
      </w:r>
      <w:bookmarkEnd w:id="25"/>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left"/>
        <w:spacing w:line="360" w:lineRule="auto"/>
        <w:rPr>
          <w:rFonts w:hint="eastAsia" w:ascii="宋体" w:hAnsi="宋体" w:eastAsia="宋体" w:cs="宋体"/>
          <w:bCs/>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 2、投标函</w:t>
      </w:r>
      <w:r/>
    </w:p>
    <w:p>
      <w:pPr>
        <w:jc w:val="center"/>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b/>
          <w:color w:val="auto"/>
          <w:sz w:val="24"/>
          <w:szCs w:val="24"/>
          <w:highlight w:val="none"/>
          <w:shd w:val="clear" w:color="auto" w:fill="ffffff"/>
        </w:rPr>
        <w:t xml:space="preserve">投标函</w:t>
      </w:r>
      <w:r/>
    </w:p>
    <w:p>
      <w:pPr>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eastAsia="zh-CN"/>
        </w:rPr>
        <w:t xml:space="preserve">苏州工业园区教育局</w:t>
      </w:r>
      <w:r>
        <w:rPr>
          <w:rFonts w:hint="eastAsia" w:ascii="宋体" w:hAnsi="宋体" w:eastAsia="宋体" w:cs="宋体"/>
          <w:b/>
          <w:bCs/>
          <w:color w:val="auto"/>
          <w:sz w:val="24"/>
          <w:szCs w:val="24"/>
          <w:highlight w:val="none"/>
          <w:u w:val="singl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本公司收到贵司</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号招标文件，经仔细阅读和研究，本公司决定参加投标。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本公司愿意按照招标文件的一切要求，提供完成该项目的全部内容，本公司的投标报价包括设备、随机备品备件、易损件（包括保障设备正常运行三年所需的备品备件、易损件）、降噪、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零星工程费、培训费、质保期内维护保养费</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rPr>
        <w:t xml:space="preserve">代理服务费</w:t>
      </w:r>
      <w:r>
        <w:rPr>
          <w:rFonts w:hint="eastAsia" w:ascii="宋体" w:hAnsi="宋体" w:eastAsia="宋体" w:cs="宋体"/>
          <w:color w:val="auto"/>
          <w:sz w:val="24"/>
          <w:szCs w:val="24"/>
          <w:highlight w:val="none"/>
          <w:shd w:val="clear" w:color="auto" w:fill="ffffff"/>
        </w:rPr>
        <w:t xml:space="preserve">，以及相关税费等保证本项目正常实施和运行所需的一切相关费用）。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2、如果本公司的投标文件被接受，本公司将严格履行招标文件中规定的每一项要求，按期、按质、按量履行合同的义务。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3、本公司已详细审查全部招标文件，包括补充文件（更正公告）(如有)。本公司完全理解并同意放弃对这方面有不明及误解的权力。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4、本公司同意按招标文件中的规定，本投标文件的有效期限为投标截止日起</w:t>
      </w:r>
      <w:r>
        <w:rPr>
          <w:rFonts w:hint="eastAsia" w:ascii="宋体" w:hAnsi="宋体" w:eastAsia="宋体" w:cs="宋体"/>
          <w:color w:val="auto"/>
          <w:sz w:val="24"/>
          <w:szCs w:val="24"/>
          <w:highlight w:val="none"/>
          <w:u w:val="single"/>
          <w:shd w:val="clear" w:color="auto" w:fill="ffffff"/>
        </w:rPr>
        <w:t xml:space="preserve">90</w:t>
      </w:r>
      <w:r>
        <w:rPr>
          <w:rFonts w:hint="eastAsia" w:ascii="宋体" w:hAnsi="宋体" w:eastAsia="宋体" w:cs="宋体"/>
          <w:color w:val="auto"/>
          <w:sz w:val="24"/>
          <w:szCs w:val="24"/>
          <w:highlight w:val="none"/>
          <w:shd w:val="clear" w:color="auto" w:fill="ffffff"/>
        </w:rPr>
        <w:t xml:space="preserve">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5、本公司愿意提供采购人或采购代理机构在招标文件中要求的所有资料。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w:t>
      </w:r>
      <w:r>
        <w:rPr>
          <w:rFonts w:hint="eastAsia" w:ascii="宋体" w:hAnsi="宋体" w:eastAsia="宋体" w:cs="宋体"/>
          <w:color w:val="auto"/>
          <w:sz w:val="24"/>
          <w:szCs w:val="24"/>
          <w:highlight w:val="none"/>
          <w:shd w:val="clear" w:color="auto" w:fill="ffffff"/>
        </w:rPr>
        <w:t xml:space="preserve">本公司声明：本公司在参加本次政府采购活动前3年内在经营活动中没有重大违法记录。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7、本公司愿意遵守招标公告及招标文件中所列的收费标准。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8、本公司承诺该项投标在开标后的全过程中保持有效，不作任何更改和变动。</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9、我方同意并接受采购人在招标文件、签约合同以及未来合同履行过程中设定的所有日常考核及综合考核制度，并无条件接受及承担因考核不达标或不合格产生的一切责任及后果。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10、如果本公司中标，本公司愿意按招标文件规定支付代理服务费。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11、本公司承诺符合</w:t>
      </w:r>
      <w:r>
        <w:rPr>
          <w:rFonts w:hint="eastAsia" w:ascii="宋体" w:hAnsi="宋体" w:eastAsia="宋体" w:cs="宋体"/>
          <w:color w:val="auto"/>
          <w:sz w:val="24"/>
          <w:szCs w:val="24"/>
          <w:highlight w:val="none"/>
        </w:rPr>
        <w:t xml:space="preserve">招标公告中的“申请人的资格要求”</w:t>
      </w:r>
      <w:r>
        <w:rPr>
          <w:rFonts w:hint="eastAsia" w:ascii="宋体" w:hAnsi="宋体" w:eastAsia="宋体" w:cs="宋体"/>
          <w:color w:val="auto"/>
          <w:sz w:val="24"/>
          <w:szCs w:val="24"/>
          <w:highlight w:val="none"/>
          <w:shd w:val="clear" w:color="auto" w:fill="ffffff"/>
        </w:rPr>
        <w:t xml:space="preserve">的要求，若与真实情况不符，本公司愿意承担由此而产生的一切后果。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12、综合说明：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（1）伴随服务及配合措施；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（2）要求甲方提供的配合；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（3）对招标文件有不同意见的偏离说明；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（4）其它说明。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所有有关标书的函电，请按下列地址联系：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w:t>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shd w:val="clear" w:color="auto" w:fill="ffffff"/>
        </w:rPr>
        <w:t xml:space="preserve">联系人：</w:t>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地址：</w:t>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shd w:val="clear" w:color="auto" w:fill="ffffff"/>
        </w:rPr>
        <w:t xml:space="preserve">邮政编码：</w:t>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rPr>
          <w:rFonts w:hint="eastAsia" w:ascii="宋体" w:hAnsi="宋体" w:eastAsia="宋体" w:cs="宋体"/>
          <w:color w:val="auto"/>
          <w:sz w:val="24"/>
          <w:szCs w:val="24"/>
          <w:highlight w:val="none"/>
          <w:u w:val="single"/>
          <w:shd w:val="clear" w:color="auto" w:fill="ffffff"/>
        </w:rPr>
        <w:tab/>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u w:val="single"/>
          <w:shd w:val="clear" w:color="auto" w:fill="ffffff"/>
          <w:lang w:val="en-US" w:eastAsia="zh-CN"/>
        </w:rPr>
      </w:pPr>
      <w:r>
        <w:rPr>
          <w:rFonts w:hint="eastAsia" w:ascii="宋体" w:hAnsi="宋体" w:eastAsia="宋体" w:cs="宋体"/>
          <w:color w:val="auto"/>
          <w:sz w:val="24"/>
          <w:szCs w:val="24"/>
          <w:highlight w:val="none"/>
          <w:shd w:val="clear" w:color="auto" w:fill="ffffff"/>
        </w:rPr>
        <w:t xml:space="preserve">联系电话</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lang w:val="en-US" w:eastAsia="zh-CN"/>
        </w:rPr>
        <w:t xml:space="preserve">手机</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ab/>
      </w:r>
      <w:r>
        <w:rPr>
          <w:rFonts w:hint="eastAsia" w:ascii="宋体" w:hAnsi="宋体" w:eastAsia="宋体" w:cs="宋体"/>
          <w:color w:val="auto"/>
          <w:sz w:val="24"/>
          <w:szCs w:val="24"/>
          <w:highlight w:val="none"/>
          <w:shd w:val="clear" w:color="auto" w:fill="ffffff"/>
        </w:rPr>
        <w:t xml:space="preserve">传真：</w:t>
      </w:r>
      <w:r>
        <w:rPr>
          <w:rFonts w:hint="eastAsia" w:ascii="宋体" w:hAnsi="宋体" w:eastAsia="宋体" w:cs="宋体"/>
          <w:color w:val="auto"/>
          <w:sz w:val="24"/>
          <w:szCs w:val="24"/>
          <w:highlight w:val="none"/>
          <w:u w:val="single"/>
          <w:shd w:val="clear" w:color="auto" w:fill="ffffff"/>
          <w:lang w:val="en-US" w:eastAsia="zh-CN"/>
        </w:rPr>
        <w:t xml:space="preserve">                                 </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u w:val="single"/>
          <w:shd w:val="clear" w:color="auto" w:fill="ffffff"/>
          <w:lang w:val="en-US" w:eastAsia="zh-CN"/>
        </w:rPr>
      </w:pPr>
      <w:r>
        <w:rPr>
          <w:rFonts w:hint="eastAsia" w:ascii="宋体" w:hAnsi="宋体" w:eastAsia="宋体" w:cs="宋体"/>
          <w:color w:val="auto"/>
          <w:sz w:val="24"/>
          <w:szCs w:val="24"/>
          <w:highlight w:val="none"/>
          <w:shd w:val="clear" w:color="auto" w:fill="ffffff"/>
        </w:rPr>
        <w:t xml:space="preserve">公司电子邮箱：</w:t>
      </w:r>
      <w:r>
        <w:rPr>
          <w:rFonts w:hint="eastAsia" w:ascii="宋体" w:hAnsi="宋体" w:eastAsia="宋体" w:cs="宋体"/>
          <w:color w:val="auto"/>
          <w:sz w:val="24"/>
          <w:szCs w:val="24"/>
          <w:highlight w:val="none"/>
          <w:u w:val="single"/>
          <w:shd w:val="clear" w:color="auto" w:fill="ffffff"/>
          <w:lang w:val="en-US" w:eastAsia="zh-CN"/>
        </w:rPr>
        <w:t xml:space="preserve">                      </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pStyle w:val="823"/>
        <w:ind w:firstLine="5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785"/>
        <w:ind w:firstLine="0"/>
        <w:jc w:val="both"/>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3、开标一览表</w:t>
      </w:r>
      <w:r/>
    </w:p>
    <w:p>
      <w:pPr>
        <w:pStyle w:val="927"/>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开标一览表（总报价）</w:t>
      </w:r>
      <w:r/>
    </w:p>
    <w:p>
      <w:pPr>
        <w:ind w:firstLine="420"/>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供应商全称：</w:t>
      </w:r>
      <w:bookmarkStart w:id="26" w:name="TBR"/>
      <w:r/>
      <w:bookmarkEnd w:id="26"/>
      <w:r/>
      <w:r/>
    </w:p>
    <w:p>
      <w:pPr>
        <w:ind w:firstLine="420"/>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项目编号：</w:t>
      </w:r>
      <w:bookmarkStart w:id="27" w:name="XMBH"/>
      <w:r/>
      <w:bookmarkEnd w:id="27"/>
      <w:r/>
      <w:r/>
    </w:p>
    <w:p>
      <w:pPr>
        <w:ind w:firstLine="42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bl>
      <w:tblPr>
        <w:tblStyle w:val="782"/>
        <w:tblW w:w="918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68"/>
        <w:gridCol w:w="4719"/>
      </w:tblGrid>
      <w:tr>
        <w:trPr>
          <w:cantSplit/>
          <w:trHeight w:val="1098"/>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bookmarkStart w:id="28" w:name="FBH"/>
            <w:r/>
            <w:bookmarkEnd w:id="28"/>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4719" w:type="dxa"/>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widowControl/>
              <w:rPr>
                <w:rFonts w:hint="eastAsia" w:ascii="宋体" w:hAnsi="宋体" w:eastAsia="宋体" w:cs="宋体"/>
                <w:color w:val="auto"/>
                <w:sz w:val="24"/>
                <w:szCs w:val="24"/>
                <w:highlight w:val="none"/>
              </w:rPr>
            </w:pPr>
            <w:r/>
            <w:bookmarkStart w:id="29" w:name="XMMC"/>
            <w:r/>
            <w:bookmarkEnd w:id="29"/>
            <w:r>
              <w:rPr>
                <w:rFonts w:hint="eastAsia" w:ascii="宋体" w:hAnsi="宋体" w:eastAsia="宋体" w:cs="宋体"/>
                <w:color w:val="auto"/>
                <w:sz w:val="24"/>
                <w:szCs w:val="24"/>
                <w:highlight w:val="none"/>
                <w:lang w:eastAsia="zh-CN"/>
              </w:rPr>
              <w:t xml:space="preserve">斜塘学校改建修缮项目厨房设备采购</w:t>
            </w:r>
            <w:r/>
          </w:p>
        </w:tc>
        <w:tc>
          <w:tcPr>
            <w:tcBorders>
              <w:top w:val="single" w:color="auto" w:sz="4" w:space="0"/>
              <w:left w:val="single" w:color="auto" w:sz="4" w:space="0"/>
              <w:bottom w:val="single" w:color="auto" w:sz="4" w:space="0"/>
              <w:right w:val="single" w:color="auto" w:sz="4" w:space="0"/>
            </w:tcBorders>
            <w:tcW w:w="4719" w:type="dxa"/>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bookmarkStart w:id="30" w:name="JEXX"/>
            <w:r/>
            <w:bookmarkEnd w:id="30"/>
            <w:r>
              <w:rPr>
                <w:rFonts w:hint="eastAsia" w:ascii="宋体" w:hAnsi="宋体" w:eastAsia="宋体" w:cs="宋体"/>
                <w:color w:val="auto"/>
                <w:sz w:val="24"/>
                <w:szCs w:val="24"/>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4468" w:type="dxa"/>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4719" w:type="dxa"/>
            <w:vAlign w:val="center"/>
            <w:textDirection w:val="lrTb"/>
            <w:noWrap w:val="false"/>
          </w:tcPr>
          <w:p>
            <w:pPr>
              <w:spacing w:line="600" w:lineRule="exact"/>
              <w:widowControl/>
              <w:rPr>
                <w:rFonts w:hint="eastAsia" w:ascii="宋体" w:hAnsi="宋体" w:eastAsia="宋体" w:cs="宋体"/>
                <w:color w:val="auto"/>
                <w:sz w:val="24"/>
                <w:szCs w:val="24"/>
                <w:highlight w:val="none"/>
              </w:rPr>
            </w:pPr>
            <w:r/>
            <w:bookmarkStart w:id="31" w:name="JEDX"/>
            <w:r/>
            <w:bookmarkEnd w:id="31"/>
            <w:r/>
            <w:r/>
          </w:p>
        </w:tc>
      </w:tr>
    </w:tbl>
    <w:p>
      <w:pPr>
        <w:ind w:left="1024"/>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rPr>
        <w:t xml:space="preserve">4、</w:t>
      </w:r>
      <w:r>
        <w:rPr>
          <w:rFonts w:hint="eastAsia" w:ascii="宋体" w:hAnsi="宋体" w:eastAsia="宋体" w:cs="宋体"/>
          <w:b/>
          <w:bCs/>
          <w:color w:val="auto"/>
          <w:sz w:val="24"/>
          <w:szCs w:val="24"/>
          <w:highlight w:val="none"/>
          <w:shd w:val="clear" w:color="auto" w:fill="ffffff"/>
        </w:rPr>
        <w:t xml:space="preserve">投标报价明细表</w:t>
      </w:r>
      <w:r/>
    </w:p>
    <w:p>
      <w:pPr>
        <w:pStyle w:val="793"/>
        <w:ind w:left="0" w:right="-607" w:firstLine="0"/>
        <w:jc w:val="center"/>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投标报价明细表</w:t>
      </w:r>
      <w:r/>
    </w:p>
    <w:tbl>
      <w:tblPr>
        <w:tblStyle w:val="8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7"/>
        <w:gridCol w:w="897"/>
        <w:gridCol w:w="976"/>
        <w:gridCol w:w="976"/>
        <w:gridCol w:w="982"/>
        <w:gridCol w:w="977"/>
        <w:gridCol w:w="978"/>
        <w:gridCol w:w="1056"/>
        <w:gridCol w:w="1056"/>
        <w:gridCol w:w="979"/>
      </w:tblGrid>
      <w:tr>
        <w:trPr/>
        <w:tc>
          <w:tcPr>
            <w:tcW w:w="977" w:type="dxa"/>
            <w:vAlign w:val="center"/>
            <w:textDirection w:val="lrTb"/>
            <w:noWrap w:val="false"/>
          </w:tcPr>
          <w:p>
            <w:pPr>
              <w:jc w:val="center"/>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序号</w:t>
            </w:r>
            <w:r/>
          </w:p>
        </w:tc>
        <w:tc>
          <w:tcPr>
            <w:tcW w:w="897" w:type="dxa"/>
            <w:vAlign w:val="center"/>
            <w:textDirection w:val="lrTb"/>
            <w:noWrap w:val="false"/>
          </w:tcPr>
          <w:p>
            <w:pPr>
              <w:jc w:val="center"/>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产品名称</w:t>
            </w:r>
            <w:r/>
          </w:p>
        </w:tc>
        <w:tc>
          <w:tcPr>
            <w:tcW w:w="976" w:type="dxa"/>
            <w:vAlign w:val="center"/>
            <w:textDirection w:val="lrTb"/>
            <w:noWrap w:val="false"/>
          </w:tcPr>
          <w:p>
            <w:pPr>
              <w:jc w:val="center"/>
              <w:rPr>
                <w:rFonts w:hint="default" w:eastAsiaTheme="minorEastAsia"/>
                <w:b/>
                <w:bCs/>
                <w:color w:val="auto"/>
                <w:highlight w:val="none"/>
                <w:vertAlign w:val="baseline"/>
                <w:lang w:val="en-US" w:eastAsia="zh-CN"/>
              </w:rPr>
            </w:pPr>
            <w:r>
              <w:rPr>
                <w:rFonts w:hint="eastAsia"/>
                <w:b w:val="0"/>
                <w:bCs w:val="0"/>
                <w:color w:val="auto"/>
                <w:highlight w:val="none"/>
                <w:vertAlign w:val="baseline"/>
                <w:lang w:val="en-US" w:eastAsia="zh-CN"/>
              </w:rPr>
              <w:t xml:space="preserve">品牌</w:t>
            </w:r>
            <w:r/>
          </w:p>
        </w:tc>
        <w:tc>
          <w:tcPr>
            <w:tcW w:w="976" w:type="dxa"/>
            <w:vAlign w:val="center"/>
            <w:textDirection w:val="lrTb"/>
            <w:noWrap w:val="false"/>
          </w:tcPr>
          <w:p>
            <w:pPr>
              <w:jc w:val="center"/>
              <w:rPr>
                <w:rFonts w:hint="eastAsia"/>
                <w:b/>
                <w:bCs/>
                <w:color w:val="auto"/>
                <w:highlight w:val="none"/>
                <w:vertAlign w:val="baseline"/>
                <w:lang w:val="en-US" w:eastAsia="zh-CN"/>
              </w:rPr>
            </w:pPr>
            <w:r>
              <w:rPr>
                <w:rFonts w:hint="eastAsia"/>
                <w:b/>
                <w:bCs/>
                <w:color w:val="auto"/>
                <w:highlight w:val="none"/>
                <w:vertAlign w:val="baseline"/>
                <w:lang w:val="en-US" w:eastAsia="zh-CN"/>
              </w:rPr>
              <w:t xml:space="preserve">生产</w:t>
            </w:r>
            <w:r/>
          </w:p>
          <w:p>
            <w:pPr>
              <w:jc w:val="center"/>
              <w:rPr>
                <w:rFonts w:hint="default" w:eastAsiaTheme="minorEastAsia"/>
                <w:b/>
                <w:bCs/>
                <w:color w:val="auto"/>
                <w:highlight w:val="none"/>
                <w:vertAlign w:val="baseline"/>
                <w:lang w:val="en-US" w:eastAsia="zh-CN"/>
              </w:rPr>
            </w:pPr>
            <w:r>
              <w:rPr>
                <w:rFonts w:hint="eastAsia"/>
                <w:b/>
                <w:bCs/>
                <w:color w:val="auto"/>
                <w:highlight w:val="none"/>
                <w:vertAlign w:val="baseline"/>
                <w:lang w:val="en-US" w:eastAsia="zh-CN"/>
              </w:rPr>
              <w:t xml:space="preserve">厂家</w:t>
            </w:r>
            <w:r/>
          </w:p>
        </w:tc>
        <w:tc>
          <w:tcPr>
            <w:tcW w:w="982"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规格</w:t>
            </w:r>
            <w:r>
              <w:rPr>
                <w:rFonts w:hint="eastAsia" w:ascii="宋体" w:hAnsi="宋体" w:eastAsia="宋体" w:cs="宋体"/>
                <w:color w:val="auto"/>
                <w:spacing w:val="20"/>
                <w:sz w:val="24"/>
                <w:szCs w:val="24"/>
                <w:highlight w:val="none"/>
                <w:lang w:val="en-US" w:eastAsia="zh-CN"/>
              </w:rPr>
              <w:t xml:space="preserve">/</w:t>
            </w:r>
            <w:r>
              <w:rPr>
                <w:rFonts w:hint="eastAsia" w:ascii="宋体" w:hAnsi="宋体" w:eastAsia="宋体" w:cs="宋体"/>
                <w:color w:val="auto"/>
                <w:spacing w:val="20"/>
                <w:sz w:val="24"/>
                <w:szCs w:val="24"/>
                <w:highlight w:val="none"/>
              </w:rPr>
              <w:t xml:space="preserve">型号</w:t>
            </w:r>
            <w:r/>
          </w:p>
          <w:p>
            <w:pPr>
              <w:jc w:val="center"/>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（如有）</w:t>
            </w:r>
            <w:r/>
          </w:p>
        </w:tc>
        <w:tc>
          <w:tcPr>
            <w:tcW w:w="977" w:type="dxa"/>
            <w:vAlign w:val="center"/>
            <w:textDirection w:val="lrTb"/>
            <w:noWrap w:val="false"/>
          </w:tcPr>
          <w:p>
            <w:pPr>
              <w:jc w:val="center"/>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数量</w:t>
            </w:r>
            <w:r/>
          </w:p>
        </w:tc>
        <w:tc>
          <w:tcPr>
            <w:tcW w:w="978" w:type="dxa"/>
            <w:vAlign w:val="center"/>
            <w:textDirection w:val="lrTb"/>
            <w:noWrap w:val="false"/>
          </w:tcPr>
          <w:p>
            <w:pPr>
              <w:jc w:val="center"/>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单位</w:t>
            </w:r>
            <w:r/>
          </w:p>
        </w:tc>
        <w:tc>
          <w:tcPr>
            <w:tcW w:w="1056" w:type="dxa"/>
            <w:vAlign w:val="center"/>
            <w:textDirection w:val="lrTb"/>
            <w:noWrap w:val="false"/>
          </w:tcPr>
          <w:p>
            <w:pPr>
              <w:jc w:val="center"/>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单价（元）</w:t>
            </w:r>
            <w:r/>
          </w:p>
        </w:tc>
        <w:tc>
          <w:tcPr>
            <w:tcW w:w="1056" w:type="dxa"/>
            <w:vAlign w:val="center"/>
            <w:textDirection w:val="lrTb"/>
            <w:noWrap w:val="false"/>
          </w:tcPr>
          <w:p>
            <w:pPr>
              <w:jc w:val="center"/>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总价（元）</w:t>
            </w:r>
            <w:r/>
          </w:p>
        </w:tc>
        <w:tc>
          <w:tcPr>
            <w:tcW w:w="979" w:type="dxa"/>
            <w:vAlign w:val="center"/>
            <w:textDirection w:val="lrTb"/>
            <w:noWrap w:val="false"/>
          </w:tcPr>
          <w:p>
            <w:pPr>
              <w:jc w:val="center"/>
              <w:spacing w:line="360" w:lineRule="auto"/>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备注</w:t>
            </w:r>
            <w:r/>
          </w:p>
        </w:tc>
      </w:tr>
      <w:tr>
        <w:trPr>
          <w:trHeight w:val="497"/>
        </w:trPr>
        <w:tc>
          <w:tcPr>
            <w:tcW w:w="977" w:type="dxa"/>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1</w:t>
            </w:r>
            <w:r/>
          </w:p>
        </w:tc>
        <w:tc>
          <w:tcPr>
            <w:tcW w:w="89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82"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8"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9" w:type="dxa"/>
            <w:textDirection w:val="lrTb"/>
            <w:noWrap w:val="false"/>
          </w:tcPr>
          <w:p>
            <w:pPr>
              <w:rPr>
                <w:rFonts w:hint="eastAsia"/>
                <w:color w:val="auto"/>
                <w:highlight w:val="none"/>
                <w:vertAlign w:val="baseline"/>
              </w:rPr>
            </w:pPr>
            <w:r>
              <w:rPr>
                <w:rFonts w:hint="eastAsia"/>
                <w:color w:val="auto"/>
                <w:highlight w:val="none"/>
                <w:vertAlign w:val="baseline"/>
              </w:rPr>
            </w:r>
            <w:r/>
          </w:p>
        </w:tc>
      </w:tr>
      <w:tr>
        <w:trPr>
          <w:trHeight w:val="519"/>
        </w:trPr>
        <w:tc>
          <w:tcPr>
            <w:tcW w:w="977" w:type="dxa"/>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2</w:t>
            </w:r>
            <w:r/>
          </w:p>
        </w:tc>
        <w:tc>
          <w:tcPr>
            <w:tcW w:w="89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82"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8"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9" w:type="dxa"/>
            <w:textDirection w:val="lrTb"/>
            <w:noWrap w:val="false"/>
          </w:tcPr>
          <w:p>
            <w:pPr>
              <w:rPr>
                <w:rFonts w:hint="eastAsia"/>
                <w:color w:val="auto"/>
                <w:highlight w:val="none"/>
                <w:vertAlign w:val="baseline"/>
              </w:rPr>
            </w:pPr>
            <w:r>
              <w:rPr>
                <w:rFonts w:hint="eastAsia"/>
                <w:color w:val="auto"/>
                <w:highlight w:val="none"/>
                <w:vertAlign w:val="baseline"/>
              </w:rPr>
            </w:r>
            <w:r/>
          </w:p>
        </w:tc>
      </w:tr>
      <w:tr>
        <w:trPr>
          <w:trHeight w:val="486"/>
        </w:trPr>
        <w:tc>
          <w:tcPr>
            <w:tcW w:w="977" w:type="dxa"/>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3</w:t>
            </w:r>
            <w:r/>
          </w:p>
        </w:tc>
        <w:tc>
          <w:tcPr>
            <w:tcW w:w="89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82"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8"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9" w:type="dxa"/>
            <w:textDirection w:val="lrTb"/>
            <w:noWrap w:val="false"/>
          </w:tcPr>
          <w:p>
            <w:pPr>
              <w:rPr>
                <w:rFonts w:hint="eastAsia"/>
                <w:color w:val="auto"/>
                <w:highlight w:val="none"/>
                <w:vertAlign w:val="baseline"/>
              </w:rPr>
            </w:pPr>
            <w:r>
              <w:rPr>
                <w:rFonts w:hint="eastAsia"/>
                <w:color w:val="auto"/>
                <w:highlight w:val="none"/>
                <w:vertAlign w:val="baseline"/>
              </w:rPr>
            </w:r>
            <w:r/>
          </w:p>
        </w:tc>
      </w:tr>
      <w:tr>
        <w:trPr>
          <w:trHeight w:val="496"/>
        </w:trPr>
        <w:tc>
          <w:tcPr>
            <w:tcW w:w="977" w:type="dxa"/>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4</w:t>
            </w:r>
            <w:r/>
          </w:p>
        </w:tc>
        <w:tc>
          <w:tcPr>
            <w:tcW w:w="89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82"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8"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9" w:type="dxa"/>
            <w:textDirection w:val="lrTb"/>
            <w:noWrap w:val="false"/>
          </w:tcPr>
          <w:p>
            <w:pPr>
              <w:rPr>
                <w:rFonts w:hint="eastAsia"/>
                <w:color w:val="auto"/>
                <w:highlight w:val="none"/>
                <w:vertAlign w:val="baseline"/>
              </w:rPr>
            </w:pPr>
            <w:r>
              <w:rPr>
                <w:rFonts w:hint="eastAsia"/>
                <w:color w:val="auto"/>
                <w:highlight w:val="none"/>
                <w:vertAlign w:val="baseline"/>
              </w:rPr>
            </w:r>
            <w:r/>
          </w:p>
        </w:tc>
      </w:tr>
      <w:tr>
        <w:trPr>
          <w:trHeight w:val="508"/>
        </w:trPr>
        <w:tc>
          <w:tcPr>
            <w:tcW w:w="977" w:type="dxa"/>
            <w:textDirection w:val="lrTb"/>
            <w:noWrap w:val="false"/>
          </w:tcPr>
          <w:p>
            <w:pPr>
              <w:jc w:val="center"/>
              <w:rPr>
                <w:rFonts w:hint="default"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w:t>
            </w:r>
            <w:r/>
          </w:p>
        </w:tc>
        <w:tc>
          <w:tcPr>
            <w:tcW w:w="89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82"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8"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9" w:type="dxa"/>
            <w:textDirection w:val="lrTb"/>
            <w:noWrap w:val="false"/>
          </w:tcPr>
          <w:p>
            <w:pPr>
              <w:rPr>
                <w:rFonts w:hint="eastAsia"/>
                <w:color w:val="auto"/>
                <w:highlight w:val="none"/>
                <w:vertAlign w:val="baseline"/>
              </w:rPr>
            </w:pPr>
            <w:r>
              <w:rPr>
                <w:rFonts w:hint="eastAsia"/>
                <w:color w:val="auto"/>
                <w:highlight w:val="none"/>
                <w:vertAlign w:val="baseline"/>
              </w:rPr>
            </w:r>
            <w:r/>
          </w:p>
        </w:tc>
      </w:tr>
      <w:tr>
        <w:trPr>
          <w:trHeight w:val="552"/>
        </w:trPr>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89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82"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8"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9" w:type="dxa"/>
            <w:textDirection w:val="lrTb"/>
            <w:noWrap w:val="false"/>
          </w:tcPr>
          <w:p>
            <w:pPr>
              <w:rPr>
                <w:rFonts w:hint="eastAsia"/>
                <w:color w:val="auto"/>
                <w:highlight w:val="none"/>
                <w:vertAlign w:val="baseline"/>
              </w:rPr>
            </w:pPr>
            <w:r>
              <w:rPr>
                <w:rFonts w:hint="eastAsia"/>
                <w:color w:val="auto"/>
                <w:highlight w:val="none"/>
                <w:vertAlign w:val="baseline"/>
              </w:rPr>
            </w:r>
            <w:r/>
          </w:p>
        </w:tc>
      </w:tr>
      <w:tr>
        <w:trPr>
          <w:trHeight w:val="540"/>
        </w:trPr>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89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82"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8"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9" w:type="dxa"/>
            <w:textDirection w:val="lrTb"/>
            <w:noWrap w:val="false"/>
          </w:tcPr>
          <w:p>
            <w:pPr>
              <w:rPr>
                <w:rFonts w:hint="eastAsia"/>
                <w:color w:val="auto"/>
                <w:highlight w:val="none"/>
                <w:vertAlign w:val="baseline"/>
              </w:rPr>
            </w:pPr>
            <w:r>
              <w:rPr>
                <w:rFonts w:hint="eastAsia"/>
                <w:color w:val="auto"/>
                <w:highlight w:val="none"/>
                <w:vertAlign w:val="baseline"/>
              </w:rPr>
            </w:r>
            <w:r/>
          </w:p>
        </w:tc>
      </w:tr>
      <w:tr>
        <w:trPr>
          <w:trHeight w:val="737"/>
        </w:trPr>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89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82"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7"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8"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1056" w:type="dxa"/>
            <w:textDirection w:val="lrTb"/>
            <w:noWrap w:val="false"/>
          </w:tcPr>
          <w:p>
            <w:pPr>
              <w:rPr>
                <w:rFonts w:hint="eastAsia"/>
                <w:color w:val="auto"/>
                <w:highlight w:val="none"/>
                <w:vertAlign w:val="baseline"/>
              </w:rPr>
            </w:pPr>
            <w:r>
              <w:rPr>
                <w:rFonts w:hint="eastAsia"/>
                <w:color w:val="auto"/>
                <w:highlight w:val="none"/>
                <w:vertAlign w:val="baseline"/>
              </w:rPr>
            </w:r>
            <w:r/>
          </w:p>
        </w:tc>
        <w:tc>
          <w:tcPr>
            <w:tcW w:w="979" w:type="dxa"/>
            <w:textDirection w:val="lrTb"/>
            <w:noWrap w:val="false"/>
          </w:tcPr>
          <w:p>
            <w:pPr>
              <w:rPr>
                <w:rFonts w:hint="eastAsia"/>
                <w:color w:val="auto"/>
                <w:highlight w:val="none"/>
                <w:vertAlign w:val="baseline"/>
              </w:rPr>
            </w:pPr>
            <w:r>
              <w:rPr>
                <w:rFonts w:hint="eastAsia"/>
                <w:color w:val="auto"/>
                <w:highlight w:val="none"/>
                <w:vertAlign w:val="baseline"/>
              </w:rPr>
            </w:r>
            <w:r/>
          </w:p>
        </w:tc>
      </w:tr>
      <w:tr>
        <w:trPr/>
        <w:tc>
          <w:tcPr>
            <w:gridSpan w:val="10"/>
            <w:tcW w:w="9854" w:type="dxa"/>
            <w:vAlign w:val="center"/>
            <w:textDirection w:val="lrTb"/>
            <w:noWrap w:val="false"/>
          </w:tcPr>
          <w:p>
            <w:pPr>
              <w:jc w:val="both"/>
              <w:spacing w:line="360" w:lineRule="auto"/>
              <w:rPr>
                <w:rFonts w:hint="eastAsia"/>
                <w:color w:val="auto"/>
                <w:highlight w:val="none"/>
                <w:vertAlign w:val="baseline"/>
              </w:rPr>
            </w:pPr>
            <w:r>
              <w:rPr>
                <w:rFonts w:hint="eastAsia" w:ascii="宋体" w:hAnsi="宋体" w:eastAsia="宋体" w:cs="宋体"/>
                <w:color w:val="auto"/>
                <w:spacing w:val="20"/>
                <w:sz w:val="24"/>
                <w:szCs w:val="24"/>
                <w:highlight w:val="none"/>
              </w:rPr>
              <w:t xml:space="preserve">合计（人民币大写）：     </w:t>
            </w:r>
            <w:r>
              <w:rPr>
                <w:rFonts w:hint="eastAsia" w:ascii="宋体" w:hAnsi="宋体" w:eastAsia="宋体" w:cs="宋体"/>
                <w:color w:val="auto"/>
                <w:spacing w:val="20"/>
                <w:sz w:val="24"/>
                <w:szCs w:val="24"/>
                <w:highlight w:val="none"/>
                <w:lang w:val="en-US" w:eastAsia="zh-CN"/>
              </w:rPr>
              <w:t xml:space="preserve">        </w:t>
            </w:r>
            <w:r>
              <w:rPr>
                <w:rFonts w:hint="eastAsia" w:ascii="宋体" w:hAnsi="宋体" w:eastAsia="宋体" w:cs="宋体"/>
                <w:color w:val="auto"/>
                <w:spacing w:val="20"/>
                <w:sz w:val="24"/>
                <w:szCs w:val="24"/>
                <w:highlight w:val="none"/>
              </w:rPr>
              <w:t xml:space="preserve">小写：</w:t>
            </w:r>
            <w:r/>
          </w:p>
        </w:tc>
      </w:tr>
      <w:tr>
        <w:trPr/>
        <w:tc>
          <w:tcPr>
            <w:gridSpan w:val="10"/>
            <w:tcW w:w="9854" w:type="dxa"/>
            <w:vAlign w:val="center"/>
            <w:textDirection w:val="lrTb"/>
            <w:noWrap w:val="false"/>
          </w:tcPr>
          <w:p>
            <w:pPr>
              <w:jc w:val="left"/>
              <w:spacing w:line="360" w:lineRule="auto"/>
              <w:rPr>
                <w:rFonts w:hint="eastAsia"/>
                <w:color w:val="auto"/>
                <w:highlight w:val="none"/>
                <w:vertAlign w:val="baseline"/>
              </w:rPr>
            </w:pPr>
            <w:r>
              <w:rPr>
                <w:rFonts w:hint="eastAsia" w:ascii="宋体" w:hAnsi="宋体" w:eastAsia="宋体" w:cs="宋体"/>
                <w:b/>
                <w:bCs/>
                <w:color w:val="auto"/>
                <w:spacing w:val="2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pacing w:val="20"/>
                <w:sz w:val="24"/>
                <w:szCs w:val="24"/>
                <w:highlight w:val="none"/>
                <w:u w:val="single"/>
              </w:rPr>
              <w:t xml:space="preserve">   </w:t>
            </w:r>
            <w:r>
              <w:rPr>
                <w:rFonts w:hint="eastAsia" w:ascii="宋体" w:hAnsi="宋体" w:eastAsia="宋体" w:cs="宋体"/>
                <w:b/>
                <w:bCs/>
                <w:color w:val="auto"/>
                <w:spacing w:val="20"/>
                <w:sz w:val="24"/>
                <w:szCs w:val="24"/>
                <w:highlight w:val="none"/>
              </w:rPr>
              <w:t xml:space="preserve">%</w:t>
            </w:r>
            <w:r/>
          </w:p>
        </w:tc>
      </w:tr>
    </w:tbl>
    <w:p>
      <w:pPr>
        <w:rPr>
          <w:rFonts w:hint="eastAsia"/>
          <w:color w:val="auto"/>
          <w:highlight w:val="none"/>
        </w:rPr>
      </w:pPr>
      <w:r>
        <w:rPr>
          <w:rFonts w:hint="eastAsia"/>
          <w:color w:val="auto"/>
          <w:highlight w:val="none"/>
        </w:rPr>
      </w:r>
      <w:r/>
    </w:p>
    <w:p>
      <w:pPr>
        <w:numPr>
          <w:ilvl w:val="0"/>
          <w:numId w:val="0"/>
        </w:numPr>
        <w:ind w:firstLine="723"/>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p>
    <w:p>
      <w:pPr>
        <w:numPr>
          <w:ilvl w:val="0"/>
          <w:numId w:val="0"/>
        </w:numPr>
        <w:ind w:firstLine="723"/>
        <w:spacing w:line="400" w:lineRule="exact"/>
        <w:rPr>
          <w:rFonts w:hint="default"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1、请按本表格详细列明所投产品的品牌和生产厂家等信息。</w:t>
      </w:r>
      <w:r/>
    </w:p>
    <w:p>
      <w:pPr>
        <w:numPr>
          <w:ilvl w:val="0"/>
          <w:numId w:val="0"/>
        </w:numPr>
        <w:ind w:firstLine="723"/>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22"/>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pStyle w:val="942"/>
        <w:ind w:firstLine="42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r>
      <w:r/>
    </w:p>
    <w:p>
      <w:pPr>
        <w:spacing w:line="360" w:lineRule="auto"/>
        <w:rPr>
          <w:rFonts w:hint="default"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t xml:space="preserve">5、相关证书说明表</w:t>
      </w:r>
      <w:r/>
    </w:p>
    <w:p>
      <w:pPr>
        <w:ind w:firstLine="4096"/>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t xml:space="preserve">相关证书说明表</w:t>
      </w:r>
      <w:r/>
    </w:p>
    <w:tbl>
      <w:tblPr>
        <w:tblStyle w:val="8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1459"/>
        <w:gridCol w:w="1316"/>
        <w:gridCol w:w="3980"/>
        <w:gridCol w:w="1887"/>
      </w:tblGrid>
      <w:tr>
        <w:trPr/>
        <w:tc>
          <w:tcPr>
            <w:gridSpan w:val="5"/>
            <w:shd w:val="clear" w:color="auto" w:fill="auto"/>
            <w:tcW w:w="9591" w:type="dxa"/>
            <w:vAlign w:val="center"/>
            <w:textDirection w:val="lrTb"/>
            <w:noWrap w:val="false"/>
          </w:tcPr>
          <w:p>
            <w:pPr>
              <w:jc w:val="center"/>
              <w:spacing w:line="360" w:lineRule="auto"/>
              <w:rPr>
                <w:rFonts w:hint="eastAsia" w:asciiTheme="minorHAnsi" w:hAnsiTheme="minorHAnsi" w:eastAsiaTheme="minorEastAsia" w:cstheme="minorBidi"/>
                <w:color w:val="auto"/>
                <w:sz w:val="21"/>
                <w:szCs w:val="22"/>
                <w:highlight w:val="none"/>
                <w:vertAlign w:val="baseline"/>
                <w:lang w:val="en-US" w:eastAsia="zh-CN" w:bidi="ar-SA"/>
              </w:rPr>
            </w:pPr>
            <w:r>
              <w:rPr>
                <w:rFonts w:hint="eastAsia" w:ascii="宋体" w:hAnsi="宋体" w:eastAsia="宋体" w:cs="宋体"/>
                <w:b/>
                <w:bCs/>
                <w:color w:val="auto"/>
                <w:spacing w:val="20"/>
                <w:sz w:val="24"/>
                <w:szCs w:val="24"/>
                <w:highlight w:val="none"/>
                <w:lang w:val="en-US" w:eastAsia="zh-CN"/>
              </w:rPr>
              <w:t xml:space="preserve">      一、</w:t>
            </w:r>
            <w:r>
              <w:rPr>
                <w:rFonts w:hint="eastAsia" w:ascii="宋体" w:hAnsi="宋体" w:eastAsia="宋体" w:cs="宋体"/>
                <w:b/>
                <w:bCs/>
                <w:color w:val="auto"/>
                <w:spacing w:val="20"/>
                <w:sz w:val="24"/>
                <w:szCs w:val="24"/>
                <w:highlight w:val="none"/>
                <w:lang w:eastAsia="zh-CN"/>
              </w:rPr>
              <w:t xml:space="preserve">有效期内的《全国工业产品生产许可证(工业和商用电热食品加工设备)》或《全国工业产品生产许可证(电热食品加工设备)》</w:t>
            </w:r>
            <w:r/>
          </w:p>
        </w:tc>
      </w:tr>
      <w:tr>
        <w:trPr/>
        <w:tc>
          <w:tcPr>
            <w:shd w:val="clear" w:color="auto" w:fill="auto"/>
            <w:tcW w:w="949" w:type="dxa"/>
            <w:vAlign w:val="center"/>
            <w:textDirection w:val="lrTb"/>
            <w:noWrap w:val="false"/>
          </w:tcPr>
          <w:p>
            <w:pPr>
              <w:jc w:val="center"/>
              <w:rPr>
                <w:rFonts w:hint="default" w:ascii="宋体" w:hAnsi="宋体" w:eastAsia="宋体" w:cs="宋体"/>
                <w:b/>
                <w:bCs/>
                <w:color w:val="auto"/>
                <w:spacing w:val="20"/>
                <w:sz w:val="24"/>
                <w:szCs w:val="24"/>
                <w:highlight w:val="none"/>
                <w:lang w:val="en-US" w:eastAsia="zh-CN" w:bidi="ar-SA"/>
              </w:rPr>
            </w:pPr>
            <w:r>
              <w:rPr>
                <w:rFonts w:hint="eastAsia" w:ascii="宋体" w:hAnsi="宋体" w:eastAsia="宋体" w:cs="宋体"/>
                <w:b/>
                <w:bCs/>
                <w:color w:val="auto"/>
                <w:spacing w:val="20"/>
                <w:sz w:val="24"/>
                <w:szCs w:val="24"/>
                <w:highlight w:val="none"/>
                <w:lang w:val="en-US" w:eastAsia="zh-CN" w:bidi="ar-SA"/>
              </w:rPr>
              <w:t xml:space="preserve">采购清单对应序号</w:t>
            </w:r>
            <w:r/>
          </w:p>
        </w:tc>
        <w:tc>
          <w:tcPr>
            <w:shd w:val="clear" w:color="auto" w:fill="auto"/>
            <w:tcW w:w="1459" w:type="dxa"/>
            <w:vAlign w:val="center"/>
            <w:textDirection w:val="lrTb"/>
            <w:noWrap w:val="false"/>
          </w:tcPr>
          <w:p>
            <w:pPr>
              <w:jc w:val="center"/>
              <w:rPr>
                <w:rFonts w:hint="eastAsia" w:ascii="宋体" w:hAnsi="宋体" w:eastAsia="宋体" w:cs="宋体"/>
                <w:b/>
                <w:bCs/>
                <w:color w:val="auto"/>
                <w:spacing w:val="20"/>
                <w:sz w:val="24"/>
                <w:szCs w:val="24"/>
                <w:highlight w:val="none"/>
                <w:lang w:val="en-US" w:eastAsia="zh-CN" w:bidi="ar-SA"/>
              </w:rPr>
            </w:pPr>
            <w:r>
              <w:rPr>
                <w:rFonts w:hint="eastAsia" w:ascii="宋体" w:hAnsi="宋体" w:eastAsia="宋体" w:cs="宋体"/>
                <w:b/>
                <w:bCs/>
                <w:color w:val="auto"/>
                <w:spacing w:val="20"/>
                <w:sz w:val="24"/>
                <w:szCs w:val="24"/>
                <w:highlight w:val="none"/>
              </w:rPr>
              <w:t xml:space="preserve">产品名称</w:t>
            </w:r>
            <w:r/>
          </w:p>
        </w:tc>
        <w:tc>
          <w:tcPr>
            <w:shd w:val="clear" w:color="auto" w:fill="auto"/>
            <w:tcW w:w="1316" w:type="dxa"/>
            <w:vAlign w:val="center"/>
            <w:textDirection w:val="lrTb"/>
            <w:noWrap w:val="false"/>
          </w:tcPr>
          <w:p>
            <w:pPr>
              <w:jc w:val="center"/>
              <w:rPr>
                <w:rFonts w:hint="eastAsia" w:ascii="宋体" w:hAnsi="宋体" w:eastAsia="宋体" w:cs="宋体"/>
                <w:b/>
                <w:bCs/>
                <w:color w:val="auto"/>
                <w:sz w:val="24"/>
                <w:szCs w:val="24"/>
                <w:highlight w:val="none"/>
                <w:vertAlign w:val="baseline"/>
                <w:lang w:val="en-US" w:eastAsia="zh-CN" w:bidi="ar-SA"/>
              </w:rPr>
            </w:pPr>
            <w:r>
              <w:rPr>
                <w:rFonts w:hint="eastAsia" w:ascii="宋体" w:hAnsi="宋体" w:eastAsia="宋体" w:cs="宋体"/>
                <w:b/>
                <w:bCs/>
                <w:color w:val="auto"/>
                <w:sz w:val="24"/>
                <w:szCs w:val="24"/>
                <w:highlight w:val="none"/>
                <w:vertAlign w:val="baseline"/>
                <w:lang w:val="en-US" w:eastAsia="zh-CN"/>
              </w:rPr>
              <w:t xml:space="preserve">所投产品品牌</w:t>
            </w:r>
            <w:r/>
          </w:p>
        </w:tc>
        <w:tc>
          <w:tcPr>
            <w:shd w:val="clear" w:color="auto" w:fill="auto"/>
            <w:tcW w:w="3980" w:type="dxa"/>
            <w:vAlign w:val="center"/>
            <w:textDirection w:val="lrTb"/>
            <w:noWrap w:val="false"/>
          </w:tcPr>
          <w:p>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所投产品</w:t>
            </w:r>
            <w:r/>
          </w:p>
          <w:p>
            <w:pPr>
              <w:jc w:val="center"/>
              <w:rPr>
                <w:rFonts w:hint="eastAsia" w:ascii="宋体" w:hAnsi="宋体" w:eastAsia="宋体" w:cs="宋体"/>
                <w:b/>
                <w:bCs/>
                <w:color w:val="auto"/>
                <w:sz w:val="24"/>
                <w:szCs w:val="24"/>
                <w:highlight w:val="none"/>
                <w:vertAlign w:val="baseline"/>
                <w:lang w:val="en-US" w:eastAsia="zh-CN" w:bidi="ar-SA"/>
              </w:rPr>
            </w:pPr>
            <w:r>
              <w:rPr>
                <w:rFonts w:hint="eastAsia" w:ascii="宋体" w:hAnsi="宋体" w:eastAsia="宋体" w:cs="宋体"/>
                <w:b/>
                <w:bCs/>
                <w:color w:val="auto"/>
                <w:sz w:val="24"/>
                <w:szCs w:val="24"/>
                <w:highlight w:val="none"/>
                <w:vertAlign w:val="baseline"/>
                <w:lang w:val="en-US" w:eastAsia="zh-CN"/>
              </w:rPr>
              <w:t xml:space="preserve">生产厂家</w:t>
            </w:r>
            <w:r/>
          </w:p>
        </w:tc>
        <w:tc>
          <w:tcPr>
            <w:shd w:val="clear" w:color="auto" w:fill="auto"/>
            <w:tcW w:w="1887"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vertAlign w:val="baseline"/>
                <w:lang w:val="en-US" w:eastAsia="zh-CN" w:bidi="ar-SA"/>
              </w:rPr>
            </w:pPr>
            <w:r>
              <w:rPr>
                <w:rFonts w:hint="eastAsia" w:ascii="宋体" w:hAnsi="宋体" w:eastAsia="宋体" w:cs="宋体"/>
                <w:b/>
                <w:bCs/>
                <w:i w:val="0"/>
                <w:iCs w:val="0"/>
                <w:color w:val="auto"/>
                <w:sz w:val="24"/>
                <w:szCs w:val="24"/>
                <w:highlight w:val="none"/>
                <w:u w:val="none"/>
                <w:lang w:val="en-US" w:eastAsia="zh-CN" w:bidi="ar"/>
              </w:rPr>
              <w:t xml:space="preserve">许可内容</w:t>
            </w:r>
            <w:r/>
          </w:p>
        </w:tc>
      </w:tr>
      <w:tr>
        <w:trPr>
          <w:trHeight w:val="90"/>
        </w:trPr>
        <w:tc>
          <w:tcPr>
            <w:tcW w:w="94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180</w:t>
            </w:r>
            <w:r/>
          </w:p>
        </w:tc>
        <w:tc>
          <w:tcPr>
            <w:tcW w:w="1459" w:type="dxa"/>
            <w:vAlign w:val="center"/>
            <w:textDirection w:val="lrTb"/>
            <w:noWrap w:val="false"/>
          </w:tcPr>
          <w:p>
            <w:pPr>
              <w:jc w:val="center"/>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lang w:val="en-US" w:eastAsia="zh-CN"/>
              </w:rPr>
              <w:t xml:space="preserve">三层六盘电烤箱</w:t>
            </w:r>
            <w:r/>
          </w:p>
        </w:tc>
        <w:tc>
          <w:tcPr>
            <w:tcW w:w="131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电烤箱</w:t>
            </w:r>
            <w:r/>
          </w:p>
        </w:tc>
      </w:tr>
      <w:tr>
        <w:trPr>
          <w:trHeight w:val="519"/>
        </w:trPr>
        <w:tc>
          <w:tcPr>
            <w:tcW w:w="94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168</w:t>
            </w:r>
            <w:r/>
          </w:p>
        </w:tc>
        <w:tc>
          <w:tcPr>
            <w:tcW w:w="145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电热铛</w:t>
            </w:r>
            <w:r/>
          </w:p>
        </w:tc>
        <w:tc>
          <w:tcPr>
            <w:tcW w:w="1316"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3980" w:type="dxa"/>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1887"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电热铛</w:t>
            </w:r>
            <w:r/>
          </w:p>
        </w:tc>
      </w:tr>
      <w:tr>
        <w:trPr>
          <w:trHeight w:val="486"/>
        </w:trPr>
        <w:tc>
          <w:tcPr>
            <w:shd w:val="clear" w:color="auto" w:fill="auto"/>
            <w:tcW w:w="94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162</w:t>
            </w:r>
            <w:r/>
          </w:p>
        </w:tc>
        <w:tc>
          <w:tcPr>
            <w:tcW w:w="145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电磁单眼大锅灶</w:t>
            </w:r>
            <w:r/>
          </w:p>
        </w:tc>
        <w:tc>
          <w:tcPr>
            <w:tcW w:w="1316"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3980" w:type="dxa"/>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1887" w:type="dxa"/>
            <w:vAlign w:val="center"/>
            <w:vMerge w:val="restart"/>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电磁灶</w:t>
            </w:r>
            <w:r/>
          </w:p>
        </w:tc>
      </w:tr>
      <w:tr>
        <w:trPr>
          <w:trHeight w:val="496"/>
        </w:trPr>
        <w:tc>
          <w:tcPr>
            <w:shd w:val="clear" w:color="auto" w:fill="auto"/>
            <w:tcW w:w="94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163</w:t>
            </w:r>
            <w:r/>
          </w:p>
        </w:tc>
        <w:tc>
          <w:tcPr>
            <w:tcW w:w="145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电磁单眼矮汤炉</w:t>
            </w:r>
            <w:r/>
          </w:p>
        </w:tc>
        <w:tc>
          <w:tcPr>
            <w:tcW w:w="1316"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3980" w:type="dxa"/>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1887" w:type="dxa"/>
            <w:vMerge w:val="continue"/>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r>
      <w:tr>
        <w:trPr>
          <w:trHeight w:val="601"/>
        </w:trPr>
        <w:tc>
          <w:tcPr>
            <w:shd w:val="clear" w:color="auto" w:fill="auto"/>
            <w:tcW w:w="94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165</w:t>
            </w:r>
            <w:r/>
          </w:p>
        </w:tc>
        <w:tc>
          <w:tcPr>
            <w:tcW w:w="145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电磁单眼炒灶</w:t>
            </w:r>
            <w:r/>
          </w:p>
        </w:tc>
        <w:tc>
          <w:tcPr>
            <w:tcW w:w="1316"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3980" w:type="dxa"/>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1887" w:type="dxa"/>
            <w:vMerge w:val="continue"/>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r>
      <w:tr>
        <w:trPr>
          <w:trHeight w:val="552"/>
        </w:trPr>
        <w:tc>
          <w:tcPr>
            <w:tcW w:w="94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179</w:t>
            </w:r>
            <w:r/>
          </w:p>
        </w:tc>
        <w:tc>
          <w:tcPr>
            <w:tcW w:w="1459"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双门蒸柜</w:t>
            </w:r>
            <w:r/>
          </w:p>
        </w:tc>
        <w:tc>
          <w:tcPr>
            <w:tcW w:w="1316"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c>
          <w:tcPr>
            <w:tcW w:w="3980" w:type="dxa"/>
            <w:textDirection w:val="lrTb"/>
            <w:noWrap w:val="false"/>
          </w:tcPr>
          <w:p>
            <w:pPr>
              <w:jc w:val="center"/>
              <w:rPr>
                <w:rFonts w:hint="default" w:ascii="宋体" w:hAnsi="宋体" w:eastAsia="宋体" w:cs="宋体"/>
                <w:color w:val="auto"/>
                <w:spacing w:val="20"/>
                <w:sz w:val="24"/>
                <w:szCs w:val="24"/>
                <w:highlight w:val="none"/>
                <w:lang w:val="en-US" w:eastAsia="zh-CN"/>
              </w:rPr>
            </w:pPr>
            <w:r>
              <w:rPr>
                <w:rFonts w:hint="default" w:ascii="宋体" w:hAnsi="宋体" w:eastAsia="宋体" w:cs="宋体"/>
                <w:color w:val="auto"/>
                <w:spacing w:val="20"/>
                <w:sz w:val="24"/>
                <w:szCs w:val="24"/>
                <w:highlight w:val="none"/>
                <w:lang w:val="en-US" w:eastAsia="zh-CN"/>
              </w:rPr>
            </w:r>
            <w:r/>
          </w:p>
        </w:tc>
        <w:tc>
          <w:tcPr>
            <w:tcW w:w="1887" w:type="dxa"/>
            <w:vAlign w:val="center"/>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蒸汽炊具</w:t>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36</w:t>
            </w:r>
            <w:r/>
          </w:p>
        </w:tc>
        <w:tc>
          <w:tcPr>
            <w:tcW w:w="1459"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i w:val="0"/>
                <w:iCs w:val="0"/>
                <w:color w:val="auto"/>
                <w:sz w:val="24"/>
                <w:szCs w:val="24"/>
                <w:highlight w:val="none"/>
                <w:u w:val="none"/>
                <w:lang w:val="en-US" w:eastAsia="zh-CN" w:bidi="ar"/>
              </w:rPr>
              <w:t xml:space="preserve">开水器连底座</w:t>
            </w:r>
            <w:r/>
          </w:p>
        </w:tc>
        <w:tc>
          <w:tcPr>
            <w:tcW w:w="131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Align w:val="center"/>
            <w:vMerge w:val="restart"/>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开水器</w:t>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116</w:t>
            </w:r>
            <w:r/>
          </w:p>
        </w:tc>
        <w:tc>
          <w:tcPr>
            <w:tcW w:w="1459"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开水器连底座</w:t>
            </w:r>
            <w:r/>
          </w:p>
        </w:tc>
        <w:tc>
          <w:tcPr>
            <w:tcW w:w="1316"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154</w:t>
            </w:r>
            <w:r/>
          </w:p>
        </w:tc>
        <w:tc>
          <w:tcPr>
            <w:tcW w:w="1459" w:type="dxa"/>
            <w:textDirection w:val="lrTb"/>
            <w:noWrap w:val="false"/>
          </w:tcPr>
          <w:p>
            <w:pP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开水器连底座</w:t>
            </w:r>
            <w:r/>
          </w:p>
        </w:tc>
        <w:tc>
          <w:tcPr>
            <w:tcW w:w="1316"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r>
            <w:r/>
          </w:p>
        </w:tc>
      </w:tr>
      <w:tr>
        <w:trPr>
          <w:trHeight w:val="552"/>
        </w:trPr>
        <w:tc>
          <w:tcPr>
            <w:gridSpan w:val="5"/>
            <w:tcW w:w="9591"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lang w:val="en-US" w:eastAsia="zh-CN"/>
              </w:rPr>
            </w:pPr>
            <w:r>
              <w:rPr>
                <w:rFonts w:hint="eastAsia" w:ascii="宋体" w:hAnsi="宋体" w:eastAsia="宋体" w:cs="宋体"/>
                <w:b/>
                <w:bCs/>
                <w:color w:val="auto"/>
                <w:spacing w:val="20"/>
                <w:sz w:val="24"/>
                <w:szCs w:val="24"/>
                <w:highlight w:val="none"/>
                <w:lang w:val="en-US" w:eastAsia="zh-CN"/>
              </w:rPr>
              <w:t xml:space="preserve">二、</w:t>
            </w:r>
            <w:r>
              <w:rPr>
                <w:rFonts w:hint="eastAsia" w:ascii="宋体" w:hAnsi="宋体" w:eastAsia="宋体" w:cs="宋体"/>
                <w:b/>
                <w:bCs/>
                <w:color w:val="auto"/>
                <w:spacing w:val="20"/>
                <w:sz w:val="24"/>
                <w:szCs w:val="24"/>
                <w:highlight w:val="none"/>
                <w:lang w:eastAsia="zh-CN"/>
              </w:rPr>
              <w:t xml:space="preserve">有效期内的《消毒产品生产企业卫生许可证》</w:t>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b/>
                <w:bCs/>
                <w:color w:val="auto"/>
                <w:spacing w:val="20"/>
                <w:sz w:val="24"/>
                <w:szCs w:val="24"/>
                <w:highlight w:val="none"/>
                <w:lang w:val="en-US" w:eastAsia="zh-CN" w:bidi="ar-SA"/>
              </w:rPr>
              <w:t xml:space="preserve">采购清单对应序号</w:t>
            </w:r>
            <w:r/>
          </w:p>
        </w:tc>
        <w:tc>
          <w:tcPr>
            <w:tcW w:w="1459"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b/>
                <w:bCs/>
                <w:color w:val="auto"/>
                <w:spacing w:val="20"/>
                <w:sz w:val="24"/>
                <w:szCs w:val="24"/>
                <w:highlight w:val="none"/>
              </w:rPr>
              <w:t xml:space="preserve">产品名称</w:t>
            </w:r>
            <w:r/>
          </w:p>
        </w:tc>
        <w:tc>
          <w:tcPr>
            <w:tcW w:w="1316"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b/>
                <w:bCs/>
                <w:color w:val="auto"/>
                <w:sz w:val="24"/>
                <w:szCs w:val="24"/>
                <w:highlight w:val="none"/>
                <w:vertAlign w:val="baseline"/>
                <w:lang w:val="en-US" w:eastAsia="zh-CN"/>
              </w:rPr>
              <w:t xml:space="preserve">所投产品品牌</w:t>
            </w:r>
            <w:r/>
          </w:p>
        </w:tc>
        <w:tc>
          <w:tcPr>
            <w:tcW w:w="3980" w:type="dxa"/>
            <w:vAlign w:val="center"/>
            <w:textDirection w:val="lrTb"/>
            <w:noWrap w:val="false"/>
          </w:tcPr>
          <w:p>
            <w:pPr>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所投产品</w:t>
            </w:r>
            <w:r/>
          </w:p>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b/>
                <w:bCs/>
                <w:color w:val="auto"/>
                <w:sz w:val="24"/>
                <w:szCs w:val="24"/>
                <w:highlight w:val="none"/>
                <w:vertAlign w:val="baseline"/>
                <w:lang w:val="en-US" w:eastAsia="zh-CN"/>
              </w:rPr>
              <w:t xml:space="preserve">生产厂家</w:t>
            </w:r>
            <w:r/>
          </w:p>
        </w:tc>
        <w:tc>
          <w:tcPr>
            <w:tcW w:w="1887" w:type="dxa"/>
            <w:vAlign w:val="center"/>
            <w:textDirection w:val="lrTb"/>
            <w:noWrap w:val="false"/>
          </w:tcPr>
          <w:p>
            <w:pPr>
              <w:jc w:val="center"/>
              <w:spacing w:line="360" w:lineRule="auto"/>
              <w:rPr>
                <w:rFonts w:hint="eastAsia" w:ascii="宋体" w:hAnsi="宋体" w:eastAsia="宋体" w:cs="宋体"/>
                <w:color w:val="auto"/>
                <w:spacing w:val="20"/>
                <w:sz w:val="24"/>
                <w:szCs w:val="24"/>
                <w:highlight w:val="none"/>
                <w:lang w:val="en-US" w:eastAsia="zh-CN"/>
              </w:rPr>
            </w:pPr>
            <w:r>
              <w:rPr>
                <w:rFonts w:hint="eastAsia" w:ascii="宋体" w:hAnsi="宋体" w:eastAsia="宋体" w:cs="宋体"/>
                <w:b/>
                <w:bCs/>
                <w:i w:val="0"/>
                <w:iCs w:val="0"/>
                <w:color w:val="auto"/>
                <w:sz w:val="24"/>
                <w:szCs w:val="24"/>
                <w:highlight w:val="none"/>
                <w:u w:val="none"/>
                <w:lang w:val="en-US" w:eastAsia="zh-CN" w:bidi="ar"/>
              </w:rPr>
              <w:t xml:space="preserve">许可内容</w:t>
            </w:r>
            <w:r/>
          </w:p>
        </w:tc>
      </w:tr>
      <w:tr>
        <w:trPr>
          <w:trHeight w:val="552"/>
        </w:trPr>
        <w:tc>
          <w:tcPr>
            <w:shd w:val="clear" w:color="auto" w:fill="auto"/>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p>
            <w:pPr>
              <w:jc w:val="center"/>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双门热风循环消毒柜</w:t>
            </w:r>
            <w:r/>
          </w:p>
        </w:tc>
        <w:tc>
          <w:tcPr>
            <w:tcW w:w="131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Align w:val="center"/>
            <w:vMerge w:val="restart"/>
            <w:textDirection w:val="lrTb"/>
            <w:noWrap w:val="false"/>
          </w:tcPr>
          <w:p>
            <w:pPr>
              <w:jc w:val="center"/>
              <w:rPr>
                <w:rFonts w:hint="eastAsia" w:ascii="宋体" w:hAnsi="宋体" w:eastAsia="宋体" w:cs="宋体"/>
                <w:color w:val="auto"/>
                <w:spacing w:val="20"/>
                <w:sz w:val="24"/>
                <w:szCs w:val="24"/>
                <w:highlight w:val="none"/>
                <w:lang w:val="en-US" w:eastAsia="zh-CN"/>
              </w:rPr>
            </w:pPr>
            <w:r>
              <w:rPr>
                <w:rFonts w:hint="eastAsia" w:ascii="宋体" w:hAnsi="宋体" w:eastAsia="宋体" w:cs="宋体"/>
                <w:color w:val="auto"/>
                <w:spacing w:val="20"/>
                <w:sz w:val="24"/>
                <w:szCs w:val="24"/>
                <w:highlight w:val="none"/>
                <w:lang w:val="en-US" w:eastAsia="zh-CN"/>
              </w:rPr>
              <w:t xml:space="preserve">电热消毒柜</w:t>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86</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双门热风循环消毒柜</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104</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双门热风循环消毒柜</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121</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双门热风循环消毒柜</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141</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双门热风循环消毒柜</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155</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双门热风循环消毒柜</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17</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刀具砧板消毒柜</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28</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刀具砧板消毒柜</w:t>
            </w:r>
            <w:r/>
          </w:p>
        </w:tc>
        <w:tc>
          <w:tcPr>
            <w:tcW w:w="131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38</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刀具砧板消毒柜</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282</w:t>
            </w:r>
            <w:r/>
          </w:p>
        </w:tc>
        <w:tc>
          <w:tcPr>
            <w:tcW w:w="14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筷子消毒机</w:t>
            </w:r>
            <w:r/>
          </w:p>
        </w:tc>
        <w:tc>
          <w:tcPr>
            <w:tcW w:w="131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textDirection w:val="lrTb"/>
            <w:noWrap w:val="false"/>
          </w:tcPr>
          <w:p>
            <w:pP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其他的消毒器械/消毒器械</w:t>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64</w:t>
            </w:r>
            <w:r/>
          </w:p>
        </w:tc>
        <w:tc>
          <w:tcPr>
            <w:tcW w:w="14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紫外线杀菌灯</w:t>
            </w:r>
            <w:r/>
          </w:p>
        </w:tc>
        <w:tc>
          <w:tcPr>
            <w:tcW w:w="1316" w:type="dxa"/>
            <w:vAlign w:val="center"/>
            <w:textDirection w:val="lrTb"/>
            <w:noWrap w:val="false"/>
          </w:tcPr>
          <w:p>
            <w:pPr>
              <w:jc w:val="left"/>
              <w:keepLines w:val="0"/>
              <w:keepNext w:val="0"/>
              <w:widowControl/>
              <w:rPr>
                <w:rFonts w:hint="eastAsia" w:ascii="宋体" w:hAnsi="宋体" w:eastAsia="宋体" w:cs="宋体"/>
                <w:color w:val="auto"/>
                <w:sz w:val="24"/>
                <w:szCs w:val="24"/>
                <w:highlight w:val="none"/>
                <w:vertAlign w:val="baseline"/>
              </w:rPr>
              <w:suppressLineNumbers w:val="0"/>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Align w:val="center"/>
            <w:vMerge w:val="restart"/>
            <w:textDirection w:val="lrTb"/>
            <w:noWrap w:val="false"/>
          </w:tcPr>
          <w:p>
            <w:pPr>
              <w:jc w:val="cente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 xml:space="preserve">紫外线杀菌灯</w:t>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96</w:t>
            </w:r>
            <w:r/>
          </w:p>
        </w:tc>
        <w:tc>
          <w:tcPr>
            <w:tcW w:w="14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紫外线杀菌灯</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5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122</w:t>
            </w:r>
            <w:r/>
          </w:p>
        </w:tc>
        <w:tc>
          <w:tcPr>
            <w:tcW w:w="145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紫外线杀菌灯</w:t>
            </w:r>
            <w:r/>
          </w:p>
        </w:tc>
        <w:tc>
          <w:tcPr>
            <w:tcW w:w="1316"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652"/>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133</w:t>
            </w:r>
            <w:r/>
          </w:p>
        </w:tc>
        <w:tc>
          <w:tcPr>
            <w:tcW w:w="1459" w:type="dxa"/>
            <w:textDirection w:val="lrTb"/>
            <w:noWrap w:val="false"/>
          </w:tcPr>
          <w:p>
            <w:pPr>
              <w:jc w:val="left"/>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紫外线杀菌灯</w:t>
            </w:r>
            <w:r/>
          </w:p>
        </w:tc>
        <w:tc>
          <w:tcPr>
            <w:tcW w:w="1316"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r>
        <w:trPr>
          <w:trHeight w:val="737"/>
        </w:trPr>
        <w:tc>
          <w:tcPr>
            <w:tcW w:w="949" w:type="dxa"/>
            <w:vAlign w:val="center"/>
            <w:textDirection w:val="lrTb"/>
            <w:noWrap w:val="false"/>
          </w:tcPr>
          <w:p>
            <w:pPr>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156</w:t>
            </w:r>
            <w:r/>
          </w:p>
        </w:tc>
        <w:tc>
          <w:tcPr>
            <w:tcW w:w="1459" w:type="dxa"/>
            <w:textDirection w:val="lrTb"/>
            <w:noWrap w:val="false"/>
          </w:tcPr>
          <w:p>
            <w:pPr>
              <w:jc w:val="left"/>
              <w:rPr>
                <w:rFonts w:hint="eastAsia" w:ascii="宋体" w:hAnsi="宋体" w:eastAsia="宋体" w:cs="宋体"/>
                <w:color w:val="auto"/>
                <w:sz w:val="24"/>
                <w:szCs w:val="24"/>
                <w:highlight w:val="none"/>
                <w:vertAlign w:val="baseline"/>
              </w:rPr>
            </w:pPr>
            <w:r>
              <w:rPr>
                <w:rFonts w:hint="eastAsia" w:ascii="宋体" w:hAnsi="宋体" w:eastAsia="宋体" w:cs="宋体"/>
                <w:i w:val="0"/>
                <w:iCs w:val="0"/>
                <w:color w:val="auto"/>
                <w:sz w:val="24"/>
                <w:szCs w:val="24"/>
                <w:highlight w:val="none"/>
                <w:u w:val="none"/>
                <w:lang w:val="en-US" w:eastAsia="zh-CN" w:bidi="ar"/>
              </w:rPr>
              <w:t xml:space="preserve">紫外线杀菌灯</w:t>
            </w:r>
            <w:r/>
          </w:p>
        </w:tc>
        <w:tc>
          <w:tcPr>
            <w:tcW w:w="1316"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3980" w:type="dxa"/>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c>
          <w:tcPr>
            <w:tcW w:w="1887" w:type="dxa"/>
            <w:vMerge w:val="continue"/>
            <w:textDirection w:val="lrTb"/>
            <w:noWrap w:val="false"/>
          </w:tcPr>
          <w:p>
            <w:pPr>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r>
            <w:r/>
          </w:p>
        </w:tc>
      </w:tr>
    </w:tbl>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numPr>
          <w:ilvl w:val="0"/>
          <w:numId w:val="0"/>
        </w:numPr>
        <w:ind w:firstLine="723"/>
        <w:spacing w:line="400" w:lineRule="exact"/>
        <w:rPr>
          <w:rFonts w:hint="default"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注1、请在本表格中列明所投产品的品牌和生产厂家。</w:t>
      </w:r>
      <w:r/>
    </w:p>
    <w:p>
      <w:pPr>
        <w:ind w:right="105" w:firstLine="210"/>
        <w:jc w:val="righ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05" w:firstLine="210"/>
        <w:jc w:val="righ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r>
      <w:r/>
    </w:p>
    <w:p>
      <w:pPr>
        <w:spacing w:line="360" w:lineRule="auto"/>
        <w:rPr>
          <w:rFonts w:hint="eastAsia" w:ascii="宋体" w:hAnsi="宋体" w:eastAsia="宋体" w:cs="宋体"/>
          <w:bCs/>
          <w:color w:val="auto"/>
          <w:sz w:val="24"/>
          <w:szCs w:val="24"/>
          <w:highlight w:val="none"/>
          <w:shd w:val="clear" w:color="auto" w:fill="ffffff"/>
          <w:lang w:val="zh-CN"/>
        </w:rPr>
        <w:outlineLvl w:val="1"/>
      </w:pPr>
      <w:r>
        <w:rPr>
          <w:rFonts w:hint="eastAsia" w:ascii="宋体" w:hAnsi="宋体" w:eastAsia="宋体" w:cs="宋体"/>
          <w:b/>
          <w:color w:val="auto"/>
          <w:sz w:val="24"/>
          <w:szCs w:val="24"/>
          <w:highlight w:val="none"/>
          <w:shd w:val="clear" w:color="auto" w:fill="ffffff"/>
          <w:lang w:val="en-US" w:eastAsia="zh-CN"/>
        </w:rPr>
        <w:t xml:space="preserve">6</w:t>
      </w:r>
      <w:r>
        <w:rPr>
          <w:rFonts w:hint="eastAsia" w:ascii="宋体" w:hAnsi="宋体" w:eastAsia="宋体" w:cs="宋体"/>
          <w:b/>
          <w:color w:val="auto"/>
          <w:sz w:val="24"/>
          <w:szCs w:val="24"/>
          <w:highlight w:val="none"/>
          <w:shd w:val="clear" w:color="auto" w:fill="ffffff"/>
        </w:rPr>
        <w:t xml:space="preserve">、服务或技术要求偏离表</w:t>
      </w:r>
      <w:r/>
    </w:p>
    <w:p>
      <w:pPr>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服务或技术要求偏离表</w:t>
      </w:r>
      <w:r/>
    </w:p>
    <w:tbl>
      <w:tblPr>
        <w:tblStyle w:val="78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序号</w:t>
            </w:r>
            <w:r/>
          </w:p>
        </w:tc>
        <w:tc>
          <w:tcPr>
            <w:tcW w:w="1800" w:type="dxa"/>
            <w:vAlign w:val="center"/>
            <w:textDirection w:val="lrTb"/>
            <w:noWrap w:val="false"/>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项目名称</w:t>
            </w:r>
            <w:r/>
          </w:p>
        </w:tc>
        <w:tc>
          <w:tcPr>
            <w:tcW w:w="1620" w:type="dxa"/>
            <w:vAlign w:val="center"/>
            <w:textDirection w:val="lrTb"/>
            <w:noWrap w:val="false"/>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招标要求</w:t>
            </w:r>
            <w:r/>
          </w:p>
        </w:tc>
        <w:tc>
          <w:tcPr>
            <w:tcW w:w="1440" w:type="dxa"/>
            <w:vAlign w:val="center"/>
            <w:textDirection w:val="lrTb"/>
            <w:noWrap w:val="false"/>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投标要求</w:t>
            </w:r>
            <w:r/>
          </w:p>
        </w:tc>
        <w:tc>
          <w:tcPr>
            <w:tcW w:w="1699" w:type="dxa"/>
            <w:vAlign w:val="center"/>
            <w:textDirection w:val="lrTb"/>
            <w:noWrap w:val="false"/>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偏离/响应</w:t>
            </w:r>
            <w:r/>
          </w:p>
        </w:tc>
        <w:tc>
          <w:tcPr>
            <w:tcW w:w="1757" w:type="dxa"/>
            <w:vAlign w:val="center"/>
            <w:textDirection w:val="lrTb"/>
            <w:noWrap w:val="false"/>
          </w:tcPr>
          <w:p>
            <w:pPr>
              <w:jc w:val="cente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说明</w:t>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828"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80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2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40"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699"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757" w:type="dxa"/>
            <w:textDirection w:val="lrTb"/>
            <w:noWrap w:val="false"/>
          </w:tcPr>
          <w:p>
            <w:pPr>
              <w:spacing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ind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注：</w:t>
      </w:r>
      <w:r>
        <w:rPr>
          <w:rFonts w:hint="eastAsia" w:ascii="宋体" w:hAnsi="宋体" w:eastAsia="宋体" w:cs="宋体"/>
          <w:b/>
          <w:color w:val="auto"/>
          <w:sz w:val="24"/>
          <w:szCs w:val="24"/>
          <w:highlight w:val="none"/>
          <w:shd w:val="clear" w:color="auto" w:fill="ffffff"/>
          <w:lang w:val="en-US" w:eastAsia="zh-CN"/>
        </w:rPr>
        <w:t xml:space="preserve">投标人</w:t>
      </w:r>
      <w:r>
        <w:rPr>
          <w:rFonts w:hint="eastAsia" w:ascii="宋体" w:hAnsi="宋体" w:eastAsia="宋体" w:cs="宋体"/>
          <w:b/>
          <w:color w:val="auto"/>
          <w:sz w:val="24"/>
          <w:szCs w:val="24"/>
          <w:highlight w:val="none"/>
          <w:shd w:val="clear" w:color="auto" w:fill="ffffff"/>
        </w:rPr>
        <w:t xml:space="preserve">应对照招标文件要求，所提供的服务与招标文件的规定有偏离的，应在此表中</w:t>
      </w:r>
      <w:r>
        <w:rPr>
          <w:rFonts w:hint="eastAsia" w:ascii="宋体" w:hAnsi="宋体" w:eastAsia="宋体" w:cs="宋体"/>
          <w:b/>
          <w:color w:val="auto"/>
          <w:sz w:val="24"/>
          <w:szCs w:val="24"/>
          <w:highlight w:val="none"/>
          <w:shd w:val="clear" w:color="auto" w:fill="ffffff"/>
          <w:lang w:val="en-US" w:eastAsia="zh-CN"/>
        </w:rPr>
        <w:t xml:space="preserve">说</w:t>
      </w:r>
      <w:r>
        <w:rPr>
          <w:rFonts w:hint="eastAsia" w:ascii="宋体" w:hAnsi="宋体" w:eastAsia="宋体" w:cs="宋体"/>
          <w:b/>
          <w:color w:val="auto"/>
          <w:sz w:val="24"/>
          <w:szCs w:val="24"/>
          <w:highlight w:val="none"/>
          <w:shd w:val="clear" w:color="auto" w:fill="ffffff"/>
        </w:rPr>
        <w:t xml:space="preserve">明与招标要求的偏差和例外</w:t>
      </w:r>
      <w:r>
        <w:rPr>
          <w:rFonts w:hint="eastAsia" w:ascii="宋体" w:hAnsi="宋体" w:eastAsia="宋体" w:cs="宋体"/>
          <w:b/>
          <w:color w:val="auto"/>
          <w:sz w:val="24"/>
          <w:szCs w:val="24"/>
          <w:highlight w:val="none"/>
          <w:shd w:val="clear" w:color="auto" w:fill="ffffff"/>
          <w:lang w:eastAsia="zh-CN"/>
        </w:rPr>
        <w:t xml:space="preserve">，</w:t>
      </w:r>
      <w:r>
        <w:rPr>
          <w:rFonts w:hint="eastAsia" w:ascii="宋体" w:hAnsi="宋体" w:eastAsia="宋体" w:cs="宋体"/>
          <w:b/>
          <w:color w:val="auto"/>
          <w:sz w:val="24"/>
          <w:szCs w:val="24"/>
          <w:highlight w:val="none"/>
          <w:shd w:val="clear" w:color="auto" w:fill="ffffff"/>
        </w:rPr>
        <w:t xml:space="preserve">否则将被认为完全响应招标文件的规定。</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lang w:val="en-US" w:eastAsia="zh-CN"/>
        </w:rPr>
        <w:t xml:space="preserve">7</w:t>
      </w:r>
      <w:r>
        <w:rPr>
          <w:rFonts w:hint="eastAsia" w:ascii="宋体" w:hAnsi="宋体" w:eastAsia="宋体" w:cs="宋体"/>
          <w:b/>
          <w:color w:val="auto"/>
          <w:sz w:val="24"/>
          <w:szCs w:val="24"/>
          <w:highlight w:val="none"/>
          <w:shd w:val="clear" w:color="auto" w:fill="ffffff"/>
        </w:rPr>
        <w:t xml:space="preserve">、商务条款偏离表</w:t>
      </w:r>
      <w:r/>
    </w:p>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商务条款偏离表</w:t>
      </w:r>
      <w:r/>
    </w:p>
    <w:tbl>
      <w:tblPr>
        <w:tblStyle w:val="78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0"/>
        <w:gridCol w:w="1920"/>
        <w:gridCol w:w="2400"/>
        <w:gridCol w:w="2400"/>
        <w:gridCol w:w="1097"/>
      </w:tblGrid>
      <w:tr>
        <w:trPr>
          <w:jc w:val="center"/>
        </w:trPr>
        <w:tc>
          <w:tcPr>
            <w:tcW w:w="143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序号</w:t>
            </w:r>
            <w:r/>
          </w:p>
        </w:tc>
        <w:tc>
          <w:tcPr>
            <w:tcW w:w="192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招标文件条目号</w:t>
            </w:r>
            <w:r/>
          </w:p>
        </w:tc>
        <w:tc>
          <w:tcPr>
            <w:tcW w:w="240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招标文件的商务条款</w:t>
            </w:r>
            <w:r/>
          </w:p>
        </w:tc>
        <w:tc>
          <w:tcPr>
            <w:tcW w:w="240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投标文件的商务条款</w:t>
            </w:r>
            <w:r/>
          </w:p>
        </w:tc>
        <w:tc>
          <w:tcPr>
            <w:tcW w:w="1097"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说明</w:t>
            </w:r>
            <w:r/>
          </w:p>
        </w:tc>
      </w:tr>
      <w:tr>
        <w:trPr>
          <w:jc w:val="center"/>
        </w:trPr>
        <w:tc>
          <w:tcPr>
            <w:tcW w:w="143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1</w:t>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付款方式</w:t>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jc w:val="center"/>
              <w:spacing w:before="240" w:after="240" w:line="300" w:lineRule="exact"/>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2</w:t>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lang w:eastAsia="zh-CN"/>
              </w:rPr>
              <w:t xml:space="preserve">合同履行期限</w:t>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jc w:val="center"/>
        </w:trPr>
        <w:tc>
          <w:tcPr>
            <w:tcW w:w="143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92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2400"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097" w:type="dxa"/>
            <w:textDirection w:val="lrTb"/>
            <w:noWrap w:val="false"/>
          </w:tcPr>
          <w:p>
            <w:pPr>
              <w:spacing w:before="240" w:after="240" w:line="30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注：</w:t>
      </w:r>
      <w:r>
        <w:rPr>
          <w:rFonts w:hint="eastAsia" w:ascii="宋体" w:hAnsi="宋体" w:eastAsia="宋体" w:cs="宋体"/>
          <w:b/>
          <w:color w:val="auto"/>
          <w:sz w:val="24"/>
          <w:szCs w:val="24"/>
          <w:highlight w:val="none"/>
          <w:shd w:val="clear" w:color="auto" w:fill="ffffff"/>
          <w:lang w:val="en-US" w:eastAsia="zh-CN"/>
        </w:rPr>
        <w:t xml:space="preserve">投标人</w:t>
      </w:r>
      <w:r>
        <w:rPr>
          <w:rFonts w:hint="eastAsia" w:ascii="宋体" w:hAnsi="宋体" w:eastAsia="宋体" w:cs="宋体"/>
          <w:b/>
          <w:bCs/>
          <w:color w:val="auto"/>
          <w:sz w:val="24"/>
          <w:szCs w:val="24"/>
          <w:highlight w:val="none"/>
          <w:shd w:val="clear" w:color="auto" w:fill="ffffff"/>
        </w:rPr>
        <w:t xml:space="preserve">的投标文件（除服务要求部分）与招标文件规定的有偏离的，应在此表中说明，否则，将被认为完全响应招标文件的规定。</w:t>
      </w:r>
      <w:r/>
    </w:p>
    <w:p>
      <w:pP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lang w:val="en-US" w:eastAsia="zh-CN"/>
        </w:rPr>
        <w:t xml:space="preserve">8</w:t>
      </w:r>
      <w:r>
        <w:rPr>
          <w:rFonts w:hint="eastAsia" w:ascii="宋体" w:hAnsi="宋体" w:eastAsia="宋体" w:cs="宋体"/>
          <w:b/>
          <w:color w:val="auto"/>
          <w:sz w:val="24"/>
          <w:szCs w:val="24"/>
          <w:highlight w:val="none"/>
          <w:shd w:val="clear" w:color="auto" w:fill="ffffff"/>
        </w:rPr>
        <w:t xml:space="preserve">、拟投入项目组人员一览表</w:t>
      </w:r>
      <w:r/>
    </w:p>
    <w:p>
      <w:pPr>
        <w:pStyle w:val="864"/>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项目组人员一览表</w:t>
      </w:r>
      <w:r/>
    </w:p>
    <w:tbl>
      <w:tblPr>
        <w:tblStyle w:val="782"/>
        <w:tblpPr w:horzAnchor="margin" w:tblpXSpec="center" w:vertAnchor="text" w:tblpY="28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1989"/>
        <w:gridCol w:w="1171"/>
        <w:gridCol w:w="867"/>
        <w:gridCol w:w="900"/>
        <w:gridCol w:w="2556"/>
      </w:tblGrid>
      <w:tr>
        <w:trPr>
          <w:trHeight w:val="555"/>
        </w:trPr>
        <w:tc>
          <w:tcPr>
            <w:tcW w:w="1123"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989"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本项目拟任职务</w:t>
            </w:r>
            <w:r/>
          </w:p>
        </w:tc>
        <w:tc>
          <w:tcPr>
            <w:tcW w:w="1171"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867"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900"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2556" w:type="dxa"/>
            <w:vAlign w:val="center"/>
            <w:textDirection w:val="lrTb"/>
            <w:noWrap w:val="false"/>
          </w:tcPr>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主要资历及担任过的职务</w:t>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9"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7"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6"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9"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7"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6"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9"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7"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6"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9"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7"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6"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5"/>
        </w:trPr>
        <w:tc>
          <w:tcPr>
            <w:tcW w:w="1123"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9"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1"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67"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00"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6" w:type="dxa"/>
            <w:vAlign w:val="center"/>
            <w:textDirection w:val="lrTb"/>
            <w:noWrap w:val="false"/>
          </w:tcPr>
          <w:p>
            <w:pPr>
              <w:jc w:val="center"/>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注：人员必须按本表承诺人员</w:t>
      </w:r>
      <w:r>
        <w:rPr>
          <w:rFonts w:hint="eastAsia" w:ascii="宋体" w:hAnsi="宋体" w:eastAsia="宋体" w:cs="宋体"/>
          <w:color w:val="auto"/>
          <w:sz w:val="24"/>
          <w:szCs w:val="24"/>
          <w:highlight w:val="none"/>
          <w:lang w:eastAsia="zh-CN"/>
        </w:rPr>
        <w:t xml:space="preserve">执行，</w:t>
      </w:r>
      <w:r>
        <w:rPr>
          <w:rFonts w:hint="eastAsia" w:ascii="宋体" w:hAnsi="宋体" w:eastAsia="宋体" w:cs="宋体"/>
          <w:color w:val="auto"/>
          <w:sz w:val="24"/>
          <w:szCs w:val="24"/>
          <w:highlight w:val="none"/>
        </w:rPr>
        <w:t xml:space="preserve">不得随意更换。</w:t>
      </w:r>
      <w:r/>
    </w:p>
    <w:p>
      <w:pPr>
        <w:ind w:left="42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ind w:firstLine="680"/>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0"/>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0"/>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0"/>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0"/>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0"/>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2"/>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2"/>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2"/>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2"/>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ind w:firstLine="682"/>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lang w:val="en-US" w:eastAsia="zh-CN"/>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、类似业绩情况表</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类似业绩情况表</w:t>
      </w:r>
      <w:r/>
    </w:p>
    <w:tbl>
      <w:tblPr>
        <w:tblStyle w:val="782"/>
        <w:tblpPr w:horzAnchor="page" w:tblpX="1746" w:vertAnchor="text" w:tblpY="47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1980"/>
        <w:gridCol w:w="1093"/>
        <w:gridCol w:w="1304"/>
        <w:gridCol w:w="1709"/>
        <w:gridCol w:w="1113"/>
      </w:tblGrid>
      <w:tr>
        <w:trPr>
          <w:trHeight w:val="567"/>
        </w:trPr>
        <w:tc>
          <w:tcPr>
            <w:tcW w:w="120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98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项目名称</w:t>
            </w:r>
            <w:r/>
          </w:p>
        </w:tc>
        <w:tc>
          <w:tcPr>
            <w:tcW w:w="109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项目时间</w:t>
            </w:r>
            <w:r/>
          </w:p>
        </w:tc>
        <w:tc>
          <w:tcPr>
            <w:tcW w:w="1304"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项目规模</w:t>
            </w:r>
            <w:r/>
          </w:p>
        </w:tc>
        <w:tc>
          <w:tcPr>
            <w:tcW w:w="170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业主单位</w:t>
            </w:r>
            <w:r/>
          </w:p>
        </w:tc>
        <w:tc>
          <w:tcPr>
            <w:tcW w:w="111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567"/>
        </w:trPr>
        <w:tc>
          <w:tcPr>
            <w:tcW w:w="12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9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09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both"/>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10、</w:t>
      </w:r>
      <w:r>
        <w:rPr>
          <w:rFonts w:hint="eastAsia" w:ascii="宋体" w:hAnsi="宋体" w:eastAsia="宋体" w:cs="宋体"/>
          <w:b/>
          <w:color w:val="auto"/>
          <w:sz w:val="24"/>
          <w:szCs w:val="24"/>
          <w:highlight w:val="none"/>
        </w:rPr>
        <w:t xml:space="preserve">技术支持以及售后服务承诺</w:t>
      </w:r>
      <w:r/>
    </w:p>
    <w:p>
      <w:pPr>
        <w:jc w:val="center"/>
        <w:spacing w:line="360" w:lineRule="auto"/>
        <w:tabs>
          <w:tab w:val="left" w:pos="1320"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cente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tabs>
          <w:tab w:val="left" w:pos="132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技术支持以及售后服务承诺</w:t>
      </w:r>
      <w:r/>
    </w:p>
    <w:tbl>
      <w:tblPr>
        <w:tblStyle w:val="78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2949"/>
        <w:gridCol w:w="3123"/>
        <w:gridCol w:w="1562"/>
      </w:tblGrid>
      <w:tr>
        <w:trPr>
          <w:trHeight w:val="850"/>
        </w:trPr>
        <w:tc>
          <w:tcPr>
            <w:tcW w:w="9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3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投标承诺</w:t>
            </w:r>
            <w:r/>
          </w:p>
        </w:tc>
        <w:tc>
          <w:tcPr>
            <w:tcW w:w="1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850"/>
        </w:trPr>
        <w:tc>
          <w:tcPr>
            <w:tcW w:w="9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服务响应时间</w:t>
            </w:r>
            <w:r/>
          </w:p>
        </w:tc>
        <w:tc>
          <w:tcPr>
            <w:tcW w:w="3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trPr>
        <w:tc>
          <w:tcPr>
            <w:tcW w:w="9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到达现场时间</w:t>
            </w:r>
            <w:r/>
          </w:p>
        </w:tc>
        <w:tc>
          <w:tcPr>
            <w:tcW w:w="3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trPr>
        <w:tc>
          <w:tcPr>
            <w:tcW w:w="9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解决问题时间</w:t>
            </w:r>
            <w:r/>
          </w:p>
        </w:tc>
        <w:tc>
          <w:tcPr>
            <w:tcW w:w="3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0"/>
        </w:trPr>
        <w:tc>
          <w:tcPr>
            <w:tcW w:w="9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9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免费质保期</w:t>
            </w:r>
            <w:r/>
          </w:p>
        </w:tc>
        <w:tc>
          <w:tcPr>
            <w:tcW w:w="312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42"/>
        <w:spacing w:line="360" w:lineRule="auto"/>
        <w:rPr>
          <w:rFonts w:hint="eastAsia"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lang w:val="en-US" w:eastAsia="zh-CN"/>
        </w:rPr>
        <w:t xml:space="preserve">11</w:t>
      </w:r>
      <w:r>
        <w:rPr>
          <w:rFonts w:hint="eastAsia" w:ascii="宋体" w:hAnsi="宋体" w:eastAsia="宋体" w:cs="宋体"/>
          <w:b/>
          <w:color w:val="auto"/>
          <w:sz w:val="24"/>
          <w:szCs w:val="24"/>
          <w:highlight w:val="none"/>
        </w:rPr>
        <w:t xml:space="preserve">、资格证明文件</w:t>
      </w:r>
      <w:r/>
    </w:p>
    <w:p>
      <w:pP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（1）资格文件的声明函</w:t>
      </w:r>
      <w:r/>
    </w:p>
    <w:p>
      <w:pPr>
        <w:jc w:val="center"/>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资格文件的声明函</w:t>
      </w:r>
      <w:r/>
    </w:p>
    <w:p>
      <w:pPr>
        <w:pStyle w:val="834"/>
        <w:ind w:firstLine="42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u w:val="single"/>
          <w:lang w:eastAsia="zh-CN"/>
        </w:rPr>
        <w:t xml:space="preserve">苏州工业园区教育局</w:t>
      </w:r>
      <w:r>
        <w:rPr>
          <w:rFonts w:hint="eastAsia" w:ascii="宋体" w:hAnsi="宋体" w:eastAsia="宋体" w:cs="宋体"/>
          <w:b/>
          <w:bCs/>
          <w:color w:val="auto"/>
          <w:sz w:val="24"/>
          <w:szCs w:val="24"/>
          <w:highlight w:val="none"/>
          <w:u w:val="single"/>
        </w:rPr>
        <w:t xml:space="preserve">：</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本公司愿就由贵司组织实施的编号为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（2）中小企业声明函</w:t>
      </w:r>
      <w:r/>
    </w:p>
    <w:p>
      <w:pPr>
        <w:ind w:firstLine="630"/>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shd w:val="clear" w:color="auto" w:fill="ffffff"/>
        </w:rPr>
        <w:t xml:space="preserve">中小企业声明函</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63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本公司郑重声明，根据《政府采购促进中小企业发展管理办法》（财库﹝2020﹞46 号）的规定，本公司参加</w:t>
      </w:r>
      <w:r>
        <w:rPr>
          <w:rFonts w:hint="eastAsia" w:ascii="宋体" w:hAnsi="宋体" w:eastAsia="宋体" w:cs="宋体"/>
          <w:color w:val="auto"/>
          <w:sz w:val="24"/>
          <w:szCs w:val="24"/>
          <w:highlight w:val="none"/>
          <w:u w:val="single"/>
          <w:lang w:val="zh-CN"/>
        </w:rPr>
        <w:t xml:space="preserve">（单位名称）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32"/>
          <w:szCs w:val="20"/>
          <w:highlight w:val="none"/>
          <w:shd w:val="clear" w:color="auto" w:fill="ffffff"/>
          <w:lang w:val="en-US" w:eastAsia="zh-CN"/>
        </w:rPr>
        <w:t xml:space="preserve"> </w:t>
      </w:r>
      <w:r>
        <w:rPr>
          <w:rFonts w:hint="eastAsia" w:ascii="宋体" w:hAnsi="宋体" w:eastAsia="宋体" w:cs="宋体"/>
          <w:color w:val="auto"/>
          <w:sz w:val="24"/>
          <w:szCs w:val="24"/>
          <w:highlight w:val="none"/>
          <w:lang w:val="zh-CN"/>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采购活动，</w:t>
      </w:r>
      <w:r>
        <w:rPr>
          <w:rFonts w:hint="eastAsia" w:ascii="宋体" w:hAnsi="宋体" w:eastAsia="宋体" w:cs="宋体"/>
          <w:color w:val="auto"/>
          <w:sz w:val="24"/>
          <w:szCs w:val="24"/>
          <w:highlight w:val="none"/>
        </w:rPr>
        <w:t xml:space="preserve">提供的货物全部由符合政策要求的中小企业制造。</w:t>
      </w:r>
      <w:r>
        <w:rPr>
          <w:rFonts w:hint="eastAsia" w:ascii="宋体" w:hAnsi="宋体" w:eastAsia="宋体" w:cs="宋体"/>
          <w:color w:val="auto"/>
          <w:sz w:val="24"/>
          <w:szCs w:val="24"/>
          <w:highlight w:val="none"/>
          <w:lang w:val="zh-CN"/>
        </w:rPr>
        <w:t xml:space="preserve">相关企业（含联合体中的中小企业、签订分包意向协议的中小企业）的具体情况如下：</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 </w:t>
      </w:r>
      <w:r>
        <w:rPr>
          <w:rFonts w:hint="eastAsia" w:ascii="宋体" w:hAnsi="宋体" w:eastAsia="宋体" w:cs="宋体"/>
          <w:color w:val="auto"/>
          <w:sz w:val="24"/>
          <w:szCs w:val="24"/>
          <w:highlight w:val="none"/>
          <w:u w:val="single"/>
          <w:lang w:val="zh-CN"/>
        </w:rPr>
        <w:t xml:space="preserve">（标的名称）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工业</w:t>
      </w:r>
      <w:r>
        <w:rPr>
          <w:rFonts w:hint="eastAsia" w:ascii="宋体" w:hAnsi="宋体" w:eastAsia="宋体" w:cs="宋体"/>
          <w:color w:val="auto"/>
          <w:sz w:val="24"/>
          <w:szCs w:val="24"/>
          <w:highlight w:val="none"/>
          <w:lang w:val="zh-CN"/>
        </w:rPr>
        <w:t xml:space="preserve">；制造商为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人，营业收入为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万元，属于</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（中型企业、小型企业、微型企业，三者选一填写）；</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 </w:t>
      </w:r>
      <w:r>
        <w:rPr>
          <w:rFonts w:hint="eastAsia" w:ascii="宋体" w:hAnsi="宋体" w:eastAsia="宋体" w:cs="宋体"/>
          <w:color w:val="auto"/>
          <w:sz w:val="24"/>
          <w:szCs w:val="24"/>
          <w:highlight w:val="none"/>
          <w:u w:val="single"/>
          <w:lang w:val="zh-CN"/>
        </w:rPr>
        <w:t xml:space="preserve">（标的名称）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工业</w:t>
      </w:r>
      <w:r>
        <w:rPr>
          <w:rFonts w:hint="eastAsia" w:ascii="宋体" w:hAnsi="宋体" w:eastAsia="宋体" w:cs="宋体"/>
          <w:color w:val="auto"/>
          <w:sz w:val="24"/>
          <w:szCs w:val="24"/>
          <w:highlight w:val="none"/>
          <w:lang w:val="zh-CN"/>
        </w:rPr>
        <w:t xml:space="preserve">；制造商为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，从业人员</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人，营业收入为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万元，资产总额为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万元，属于</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（中型企业、小型企业、微型企业，三者选一填写）；</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以上企业，不属于大企业的分支机构，不存在控股股东为大企业的情形，也不存在与大企业的负责人为同一人的情形。</w:t>
      </w:r>
      <w:r/>
    </w:p>
    <w:p>
      <w:pPr>
        <w:ind w:firstLine="63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本企业对上述声明内容的真实性负责。如有虚假，将依法承担相应责任。</w:t>
      </w:r>
      <w:r/>
    </w:p>
    <w:p>
      <w:pPr>
        <w:ind w:firstLine="58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企业名称（盖章）：</w:t>
      </w:r>
      <w:r/>
    </w:p>
    <w:p>
      <w:pPr>
        <w:ind w:firstLine="58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日期：</w:t>
      </w:r>
      <w:r>
        <w:rPr>
          <w:rFonts w:hint="eastAsia" w:ascii="宋体" w:hAnsi="宋体" w:eastAsia="宋体" w:cs="宋体"/>
          <w:color w:val="auto"/>
          <w:sz w:val="24"/>
          <w:szCs w:val="24"/>
          <w:highlight w:val="none"/>
        </w:rPr>
        <w:t xml:space="preserve">（填写）</w:t>
      </w:r>
      <w:r/>
    </w:p>
    <w:p>
      <w:pPr>
        <w:ind w:firstLine="422"/>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2"/>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2"/>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2"/>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2"/>
        <w:jc w:val="left"/>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firstLine="482"/>
        <w:jc w:val="left"/>
        <w:keepLines w:val="0"/>
        <w:keepNext w:val="0"/>
        <w:pageBreakBefore w:val="0"/>
        <w:spacing w:line="360" w:lineRule="auto"/>
        <w:widowControl w:val="off"/>
        <w:tabs>
          <w:tab w:val="left" w:pos="3780" w:leader="none"/>
        </w:tabs>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备注：</w:t>
      </w:r>
      <w:r>
        <w:rPr>
          <w:rFonts w:hint="eastAsia" w:ascii="宋体" w:hAnsi="宋体" w:eastAsia="宋体" w:cs="宋体"/>
          <w:b/>
          <w:color w:val="auto"/>
          <w:sz w:val="24"/>
          <w:szCs w:val="24"/>
          <w:highlight w:val="none"/>
          <w:lang w:val="en-US" w:eastAsia="zh-CN"/>
        </w:rPr>
        <w:t xml:space="preserve"> </w:t>
      </w:r>
      <w:r/>
    </w:p>
    <w:p>
      <w:pPr>
        <w:numPr>
          <w:ilvl w:val="0"/>
          <w:numId w:val="0"/>
        </w:numPr>
        <w:ind w:left="0" w:firstLine="482"/>
        <w:keepLines w:val="0"/>
        <w:keepNext w:val="0"/>
        <w:pageBreakBefore w:val="0"/>
        <w:spacing w:line="360" w:lineRule="auto"/>
        <w:widowControl w:val="off"/>
        <w:tabs>
          <w:tab w:val="left" w:pos="210" w:leader="none"/>
          <w:tab w:val="left" w:pos="3780" w:leader="none"/>
        </w:tabs>
        <w:rPr>
          <w:rFonts w:hint="eastAsia" w:ascii="宋体" w:hAnsi="宋体" w:eastAsia="宋体" w:cs="宋体"/>
          <w:b/>
          <w:bCs w:val="0"/>
          <w:color w:val="auto"/>
          <w:sz w:val="24"/>
          <w:szCs w:val="24"/>
          <w:highlight w:val="none"/>
          <w:u w:val="single"/>
          <w:lang w:val="zh-CN"/>
        </w:rPr>
      </w:pPr>
      <w:r>
        <w:rPr>
          <w:rFonts w:hint="eastAsia" w:ascii="宋体" w:hAnsi="宋体" w:eastAsia="宋体" w:cs="宋体"/>
          <w:b/>
          <w:bCs w:val="0"/>
          <w:color w:val="auto"/>
          <w:sz w:val="24"/>
          <w:szCs w:val="24"/>
          <w:highlight w:val="none"/>
          <w:u w:val="single"/>
          <w:lang w:val="en-US" w:eastAsia="zh-CN"/>
        </w:rPr>
        <w:t xml:space="preserve">（1）请按本项目采购清单顺序填写，每一项均需</w:t>
      </w:r>
      <w:r>
        <w:rPr>
          <w:rFonts w:hint="eastAsia" w:ascii="宋体" w:hAnsi="宋体" w:eastAsia="宋体" w:cs="宋体"/>
          <w:b/>
          <w:bCs w:val="0"/>
          <w:color w:val="auto"/>
          <w:sz w:val="24"/>
          <w:szCs w:val="24"/>
          <w:highlight w:val="none"/>
          <w:u w:val="single"/>
        </w:rPr>
        <w:t xml:space="preserve">单列</w:t>
      </w:r>
      <w:r>
        <w:rPr>
          <w:rFonts w:hint="eastAsia" w:ascii="宋体" w:hAnsi="宋体" w:eastAsia="宋体" w:cs="宋体"/>
          <w:b/>
          <w:bCs w:val="0"/>
          <w:color w:val="auto"/>
          <w:sz w:val="24"/>
          <w:szCs w:val="24"/>
          <w:highlight w:val="none"/>
          <w:u w:val="single"/>
          <w:lang w:val="en-US" w:eastAsia="zh-CN"/>
        </w:rPr>
        <w:t xml:space="preserve">填写，否则</w:t>
      </w:r>
      <w:r>
        <w:rPr>
          <w:rFonts w:hint="eastAsia" w:ascii="宋体" w:hAnsi="宋体" w:eastAsia="宋体" w:cs="宋体"/>
          <w:b/>
          <w:bCs w:val="0"/>
          <w:color w:val="auto"/>
          <w:sz w:val="24"/>
          <w:szCs w:val="24"/>
          <w:highlight w:val="none"/>
          <w:u w:val="single"/>
          <w:lang w:val="zh-CN"/>
        </w:rPr>
        <w:t xml:space="preserve">视为未提供中小企业声明函；</w:t>
      </w:r>
      <w:r/>
    </w:p>
    <w:p>
      <w:pPr>
        <w:numPr>
          <w:ilvl w:val="0"/>
          <w:numId w:val="0"/>
        </w:numPr>
        <w:ind w:left="0" w:firstLine="482"/>
        <w:keepLines w:val="0"/>
        <w:keepNext w:val="0"/>
        <w:pageBreakBefore w:val="0"/>
        <w:spacing w:line="360" w:lineRule="auto"/>
        <w:widowControl w:val="off"/>
        <w:tabs>
          <w:tab w:val="left" w:pos="3780" w:leader="none"/>
        </w:tabs>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从业人员、营业收入、资产总额填报上一年度数据，无上一年度数据的新成立企业可不填报；</w:t>
      </w:r>
      <w:r/>
    </w:p>
    <w:p>
      <w:pPr>
        <w:numPr>
          <w:ilvl w:val="0"/>
          <w:numId w:val="0"/>
        </w:numPr>
        <w:ind w:left="0" w:firstLine="482"/>
        <w:keepLines w:val="0"/>
        <w:keepNext w:val="0"/>
        <w:pageBreakBefore w:val="0"/>
        <w:spacing w:line="360" w:lineRule="auto"/>
        <w:widowControl w:val="off"/>
        <w:tabs>
          <w:tab w:val="left" w:pos="3780" w:leader="none"/>
        </w:tabs>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rPr>
          <w:rFonts w:hint="eastAsia" w:ascii="宋体" w:hAnsi="宋体" w:eastAsia="宋体" w:cs="宋体"/>
          <w:color w:val="auto"/>
          <w:sz w:val="24"/>
          <w:szCs w:val="24"/>
          <w:highlight w:val="none"/>
          <w:lang w:val="zh-CN"/>
        </w:rPr>
        <w:t xml:space="preserve">；</w:t>
      </w:r>
      <w:r/>
    </w:p>
    <w:p>
      <w:pPr>
        <w:numPr>
          <w:ilvl w:val="0"/>
          <w:numId w:val="0"/>
        </w:numPr>
        <w:ind w:left="0" w:firstLine="482"/>
        <w:keepLines w:val="0"/>
        <w:keepNext w:val="0"/>
        <w:pageBreakBefore w:val="0"/>
        <w:spacing w:line="360" w:lineRule="auto"/>
        <w:widowControl w:val="off"/>
        <w:tabs>
          <w:tab w:val="left" w:pos="3780" w:leader="none"/>
        </w:tabs>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若供应商提供的“中小企业声明函”内容不实的，属于提供虚假材料谋取中标，依照《中华人民共和国政府采购法》等国家有关规定追究相应责任；</w:t>
      </w:r>
      <w:r/>
    </w:p>
    <w:p>
      <w:pPr>
        <w:numPr>
          <w:ilvl w:val="0"/>
          <w:numId w:val="0"/>
        </w:numPr>
        <w:ind w:left="0" w:firstLine="482"/>
        <w:keepLines w:val="0"/>
        <w:keepNext w:val="0"/>
        <w:pageBreakBefore w:val="0"/>
        <w:spacing w:line="360" w:lineRule="auto"/>
        <w:widowControl w:val="off"/>
        <w:tabs>
          <w:tab w:val="left" w:pos="3780" w:leader="none"/>
        </w:tabs>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32" w:name="_Hlk72923453"/>
      <w:r>
        <w:rPr>
          <w:rFonts w:hint="eastAsia" w:ascii="宋体" w:hAnsi="宋体" w:eastAsia="宋体" w:cs="宋体"/>
          <w:color w:val="auto"/>
          <w:sz w:val="24"/>
          <w:szCs w:val="24"/>
          <w:highlight w:val="none"/>
          <w:lang w:val="zh-CN"/>
        </w:rPr>
        <w:t xml:space="preserve">符合中小企业划分标准的个体工商户，在政府采购活动中视同中小企业</w:t>
      </w:r>
      <w:bookmarkEnd w:id="32"/>
      <w:r>
        <w:rPr>
          <w:rFonts w:hint="eastAsia" w:ascii="宋体" w:hAnsi="宋体" w:eastAsia="宋体" w:cs="宋体"/>
          <w:color w:val="auto"/>
          <w:sz w:val="24"/>
          <w:szCs w:val="24"/>
          <w:highlight w:val="none"/>
          <w:lang w:val="zh-CN"/>
        </w:rPr>
        <w:t xml:space="preserve">。</w:t>
      </w:r>
      <w:r/>
    </w:p>
    <w:p>
      <w:pPr>
        <w:numPr>
          <w:ilvl w:val="0"/>
          <w:numId w:val="0"/>
        </w:numPr>
        <w:ind w:left="0" w:firstLine="482"/>
        <w:keepLines w:val="0"/>
        <w:keepNext w:val="0"/>
        <w:pageBreakBefore w:val="0"/>
        <w:spacing w:line="360" w:lineRule="auto"/>
        <w:widowControl w:val="off"/>
        <w:tabs>
          <w:tab w:val="left" w:pos="3780" w:leader="none"/>
        </w:tabs>
        <w:rPr>
          <w:rFonts w:hint="eastAsia" w:ascii="宋体" w:hAnsi="宋体" w:eastAsia="宋体" w:cs="宋体"/>
          <w:color w:val="auto"/>
          <w:sz w:val="24"/>
          <w:szCs w:val="24"/>
          <w:highlight w:val="none"/>
          <w:lang w:val="zh-CN"/>
        </w:rPr>
      </w:pPr>
      <w:r/>
      <w:bookmarkStart w:id="33" w:name="_Hlk94450593"/>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投标文件中的电子签章视为投标人对本声明进行了签署盖章并承担相应责任。</w:t>
      </w:r>
      <w:bookmarkEnd w:id="33"/>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before="156" w:line="2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附：中小企业划型标准规定（工信部联企业〔2011〕300号）</w:t>
      </w:r>
      <w:r/>
    </w:p>
    <w:p>
      <w:pPr>
        <w:pStyle w:val="833"/>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w:t>
      </w:r>
      <w:r/>
    </w:p>
    <w:p>
      <w:pPr>
        <w:spacing w:before="156" w:line="2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firstLine="420"/>
        <w:jc w:val="left"/>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br w:type="page" w:clear="all"/>
      </w:r>
      <w:r/>
    </w:p>
    <w:p>
      <w:pPr>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（3）残疾人福利性单位声明函</w:t>
      </w:r>
      <w:r/>
    </w:p>
    <w:p>
      <w:pPr>
        <w:jc w:val="center"/>
        <w:spacing w:before="100" w:after="100" w:line="360" w:lineRule="auto"/>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残疾人福利性单位声明函</w:t>
      </w:r>
      <w:r/>
    </w:p>
    <w:p>
      <w:pPr>
        <w:ind w:firstLine="480"/>
        <w:jc w:val="left"/>
        <w:spacing w:before="100" w:after="10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480"/>
        <w:jc w:val="left"/>
        <w:spacing w:before="100" w:after="10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郑重声明，根据《财政部民政部中国残疾人联合会关于促进残疾人就业政府采购政策的通知》（财库〔2017〕141号）的规定，本公司为符合条件的残疾人福利性单位，且本公司参加______单位的______项目采购活动提供本公司制造的货物（由本公司承担工程/提供服务），或者提供其他残疾人福利性单位制造的货物（不包括使用非残疾人福利性单位注册商标的货物）。</w:t>
      </w:r>
      <w:r/>
    </w:p>
    <w:p>
      <w:pPr>
        <w:ind w:firstLine="480"/>
        <w:jc w:val="left"/>
        <w:spacing w:before="100" w:after="10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本公司对上述声明的真实性负责。如有虚假，将依法承担相应责任。</w:t>
      </w:r>
      <w:r/>
    </w:p>
    <w:p>
      <w:pPr>
        <w:ind w:firstLine="480"/>
        <w:jc w:val="left"/>
        <w:spacing w:before="100" w:after="10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480"/>
        <w:jc w:val="left"/>
        <w:spacing w:before="100" w:after="10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5280"/>
        <w:jc w:val="left"/>
        <w:spacing w:before="100" w:after="10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单位名称（盖章）：</w:t>
      </w:r>
      <w:r/>
    </w:p>
    <w:p>
      <w:pPr>
        <w:ind w:firstLine="5280"/>
        <w:jc w:val="left"/>
        <w:spacing w:before="100" w:after="100"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日期：</w:t>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211"/>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bookmarkStart w:id="34" w:name="_Hlk158140990"/>
      <w:r>
        <w:rPr>
          <w:rFonts w:hint="eastAsia" w:ascii="宋体" w:hAnsi="宋体" w:eastAsia="宋体" w:cs="宋体"/>
          <w:b/>
          <w:color w:val="auto"/>
          <w:sz w:val="24"/>
          <w:szCs w:val="24"/>
          <w:highlight w:val="none"/>
        </w:rPr>
        <w:t xml:space="preserve">投标文件中的电子签章视为供应商对本声明进行了签署盖章并承担相应责任</w:t>
      </w:r>
      <w:bookmarkEnd w:id="34"/>
      <w:r>
        <w:rPr>
          <w:rFonts w:hint="eastAsia" w:ascii="宋体" w:hAnsi="宋体" w:eastAsia="宋体" w:cs="宋体"/>
          <w:b/>
          <w:color w:val="auto"/>
          <w:sz w:val="24"/>
          <w:szCs w:val="24"/>
          <w:highlight w:val="none"/>
        </w:rPr>
        <w:t xml:space="preserve">。</w:t>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br w:type="page" w:clear="all"/>
      </w:r>
      <w:r/>
    </w:p>
    <w:p>
      <w:pP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rPr>
        <w:t xml:space="preserve">（</w:t>
      </w:r>
      <w:r>
        <w:rPr>
          <w:rFonts w:hint="eastAsia" w:ascii="宋体" w:hAnsi="宋体" w:eastAsia="宋体" w:cs="宋体"/>
          <w:b/>
          <w:color w:val="auto"/>
          <w:sz w:val="24"/>
          <w:szCs w:val="24"/>
          <w:highlight w:val="none"/>
          <w:shd w:val="clear" w:color="auto" w:fill="ffffff"/>
          <w:lang w:val="en-US" w:eastAsia="zh-CN"/>
        </w:rPr>
        <w:t xml:space="preserve">4</w:t>
      </w:r>
      <w:r>
        <w:rPr>
          <w:rFonts w:hint="eastAsia" w:ascii="宋体" w:hAnsi="宋体" w:eastAsia="宋体" w:cs="宋体"/>
          <w:b/>
          <w:color w:val="auto"/>
          <w:sz w:val="24"/>
          <w:szCs w:val="24"/>
          <w:highlight w:val="none"/>
          <w:shd w:val="clear" w:color="auto" w:fill="ffffff"/>
        </w:rPr>
        <w:t xml:space="preserve">）、关于符合本国产品标准的声明函</w:t>
      </w:r>
      <w:r>
        <w:rPr>
          <w:rFonts w:hint="eastAsia" w:ascii="宋体" w:hAnsi="宋体" w:eastAsia="宋体" w:cs="宋体"/>
          <w:color w:val="auto"/>
          <w:sz w:val="24"/>
          <w:szCs w:val="24"/>
          <w:highlight w:val="none"/>
        </w:rPr>
        <w:t xml:space="preserve"> </w:t>
      </w:r>
      <w:r/>
    </w:p>
    <w:p>
      <w:pPr>
        <w:numPr>
          <w:ilvl w:val="0"/>
          <w:numId w:val="0"/>
        </w:num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rPr>
        <w:t xml:space="preserve">关于符合本国产品标准的声明函</w:t>
      </w:r>
      <w:r/>
    </w:p>
    <w:p>
      <w:pPr>
        <w:pStyle w:val="819"/>
        <w:ind w:left="0" w:right="0" w:firstLine="42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9"/>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19"/>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在中国境内完成。</w:t>
      </w:r>
      <w:r/>
    </w:p>
    <w:p>
      <w:pPr>
        <w:pStyle w:val="819"/>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819"/>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19"/>
        <w:keepLines w:val="0"/>
        <w:keepNext w:val="0"/>
        <w:spacing w:before="30" w:beforeAutospacing="0" w:after="30" w:afterAutospacing="0" w:line="0" w:lineRule="atLeas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w:t>
      </w:r>
      <w:r/>
    </w:p>
    <w:p>
      <w:pPr>
        <w:pStyle w:val="819"/>
        <w:jc w:val="right"/>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公司（单位）名称（加盖CA电子公章）：         </w:t>
      </w:r>
      <w:r/>
    </w:p>
    <w:p>
      <w:pPr>
        <w:pStyle w:val="819"/>
        <w:jc w:val="center"/>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日期：      年   月   日         </w:t>
      </w:r>
      <w:r/>
    </w:p>
    <w:p>
      <w:pPr>
        <w:pStyle w:val="819"/>
        <w:keepLines w:val="0"/>
        <w:keepNext w:val="0"/>
        <w:spacing w:before="30" w:beforeAutospacing="0" w:after="30" w:afterAutospacing="0" w:line="0" w:lineRule="atLeas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w:t>
      </w:r>
      <w:r/>
    </w:p>
    <w:p>
      <w:pPr>
        <w:pStyle w:val="819"/>
        <w:keepLines w:val="0"/>
        <w:keepNext w:val="0"/>
        <w:spacing w:before="30" w:beforeAutospacing="0" w:after="30" w:afterAutospacing="0" w:line="0" w:lineRule="atLeas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 </w:t>
      </w:r>
      <w:r/>
    </w:p>
    <w:p>
      <w:pPr>
        <w:pStyle w:val="819"/>
        <w:keepLines w:val="0"/>
        <w:keepNext w:val="0"/>
        <w:spacing w:before="30" w:beforeAutospacing="0" w:after="30" w:afterAutospacing="0" w:line="0" w:lineRule="atLeast"/>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819"/>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819"/>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819"/>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19"/>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19"/>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819"/>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rPr>
        <w:t xml:space="preserve">  /  </w:t>
      </w:r>
      <w:r>
        <w:rPr>
          <w:rFonts w:hint="eastAsia" w:ascii="宋体" w:hAnsi="宋体" w:eastAsia="宋体" w:cs="宋体"/>
          <w:color w:val="auto"/>
          <w:sz w:val="24"/>
          <w:szCs w:val="24"/>
          <w:highlight w:val="none"/>
          <w:shd w:val="clear" w:color="auto" w:fill="ffffff"/>
        </w:rPr>
        <w:t xml:space="preserve">”的地方无需填写。</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w:t>
      </w:r>
      <w:r>
        <w:rPr>
          <w:rFonts w:hint="eastAsia" w:ascii="宋体" w:hAnsi="宋体" w:eastAsia="宋体" w:cs="宋体"/>
          <w:b/>
          <w:color w:val="auto"/>
          <w:sz w:val="24"/>
          <w:szCs w:val="24"/>
          <w:highlight w:val="none"/>
          <w:shd w:val="clear" w:color="auto" w:fill="ffffff"/>
          <w:lang w:val="en-US" w:eastAsia="zh-CN"/>
        </w:rPr>
        <w:t xml:space="preserve">5</w:t>
      </w:r>
      <w:r>
        <w:rPr>
          <w:rFonts w:hint="eastAsia" w:ascii="宋体" w:hAnsi="宋体" w:eastAsia="宋体" w:cs="宋体"/>
          <w:b/>
          <w:color w:val="auto"/>
          <w:sz w:val="24"/>
          <w:szCs w:val="24"/>
          <w:highlight w:val="none"/>
          <w:shd w:val="clear" w:color="auto" w:fill="ffffff"/>
        </w:rPr>
        <w:t xml:space="preserve">）供应商与其他单位存在直接控股、管理关系情况表</w:t>
      </w:r>
      <w:r/>
    </w:p>
    <w:p>
      <w:pPr>
        <w:pStyle w:val="792"/>
        <w:ind w:left="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782"/>
        <w:tblW w:w="0" w:type="auto"/>
        <w:jc w:val="center"/>
        <w:tblLayout w:type="fixed"/>
        <w:tblCellMar>
          <w:left w:w="108" w:type="dxa"/>
          <w:top w:w="0" w:type="dxa"/>
          <w:right w:w="108" w:type="dxa"/>
          <w:bottom w:w="0" w:type="dxa"/>
        </w:tblCellMar>
        <w:tblLook w:val="04A0" w:firstRow="1" w:lastRow="0" w:firstColumn="1" w:lastColumn="0" w:noHBand="0" w:noVBand="1"/>
      </w:tblPr>
      <w:tblGrid>
        <w:gridCol w:w="4852"/>
        <w:gridCol w:w="3508"/>
      </w:tblGrid>
      <w:tr>
        <w:trPr>
          <w:jc w:val="center"/>
          <w:trHeight w:val="637"/>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与响应人存在控股、管理关系的单位名称</w:t>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48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注：响应人须如实填写所有与之有控股、管理关系的情况。</w:t>
      </w:r>
      <w:r/>
    </w:p>
    <w:p>
      <w:pPr>
        <w:jc w:val="center"/>
        <w:spacing w:line="360" w:lineRule="auto"/>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w:t>
      </w:r>
      <w:r>
        <w:rPr>
          <w:rFonts w:hint="eastAsia" w:ascii="宋体" w:hAnsi="宋体" w:eastAsia="宋体" w:cs="宋体"/>
          <w:b/>
          <w:color w:val="auto"/>
          <w:sz w:val="24"/>
          <w:szCs w:val="24"/>
          <w:highlight w:val="none"/>
          <w:shd w:val="clear" w:color="auto" w:fill="ffffff"/>
          <w:lang w:val="en-US" w:eastAsia="zh-CN"/>
        </w:rPr>
        <w:t xml:space="preserve">6</w:t>
      </w:r>
      <w:r>
        <w:rPr>
          <w:rFonts w:hint="eastAsia" w:ascii="宋体" w:hAnsi="宋体" w:eastAsia="宋体" w:cs="宋体"/>
          <w:b/>
          <w:color w:val="auto"/>
          <w:sz w:val="24"/>
          <w:szCs w:val="24"/>
          <w:highlight w:val="none"/>
          <w:shd w:val="clear" w:color="auto" w:fill="ffffff"/>
        </w:rPr>
        <w:t xml:space="preserve">）参加政府采购活动前三年内，在经营活动中没有重大违法记录声明</w:t>
      </w:r>
      <w:r/>
    </w:p>
    <w:p>
      <w:pPr>
        <w:pStyle w:val="7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致：</w:t>
      </w:r>
      <w:r>
        <w:rPr>
          <w:rFonts w:hint="eastAsia" w:ascii="宋体" w:hAnsi="宋体" w:eastAsia="宋体" w:cs="宋体"/>
          <w:b/>
          <w:bCs/>
          <w:color w:val="auto"/>
          <w:sz w:val="24"/>
          <w:szCs w:val="24"/>
          <w:highlight w:val="none"/>
          <w:u w:val="single"/>
          <w:lang w:eastAsia="zh-CN"/>
        </w:rPr>
        <w:t xml:space="preserve">苏州工业园区教育局</w:t>
      </w:r>
      <w:r>
        <w:rPr>
          <w:rFonts w:hint="eastAsia" w:ascii="宋体" w:hAnsi="宋体" w:eastAsia="宋体" w:cs="宋体"/>
          <w:b/>
          <w:bCs/>
          <w:color w:val="auto"/>
          <w:sz w:val="24"/>
          <w:szCs w:val="24"/>
          <w:highlight w:val="none"/>
          <w:u w:val="single"/>
        </w:rPr>
        <w:t xml:space="preserve">：</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5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投标人</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 在参加政府采购活动前三年内，没有重大违法记录，特此声明。</w:t>
      </w:r>
      <w:r/>
    </w:p>
    <w:p>
      <w:pPr>
        <w:ind w:firstLine="56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若采购代理机构在本项目采购过程中发现本公司近三年内在经营活动中有重大违法记录，本公司将无条件退出本项目的投标，并承担因此引起的一起后果。</w:t>
      </w:r>
      <w:r/>
    </w:p>
    <w:p>
      <w:pPr>
        <w:pStyle w:val="823"/>
        <w:ind w:firstLine="5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both"/>
        <w:rPr>
          <w:rFonts w:ascii="宋体" w:hAnsi="宋体"/>
          <w:b/>
          <w:bCs/>
          <w:sz w:val="24"/>
          <w:szCs w:val="24"/>
          <w:highlight w:val="none"/>
        </w:rPr>
      </w:pPr>
      <w:r>
        <w:rPr>
          <w:rFonts w:hint="eastAsia" w:ascii="宋体" w:hAnsi="宋体" w:eastAsia="宋体" w:cs="宋体"/>
          <w:b/>
          <w:bCs/>
          <w:color w:val="auto"/>
          <w:sz w:val="24"/>
          <w:szCs w:val="24"/>
          <w:highlight w:val="none"/>
          <w:lang w:val="en-US" w:eastAsia="zh-CN"/>
        </w:rPr>
        <w:t xml:space="preserve">12、</w:t>
      </w:r>
      <w:r>
        <w:rPr>
          <w:rFonts w:hint="eastAsia" w:ascii="宋体" w:hAnsi="宋体"/>
          <w:b/>
          <w:bCs/>
          <w:sz w:val="24"/>
          <w:szCs w:val="24"/>
          <w:highlight w:val="none"/>
          <w:lang w:val="en-US" w:eastAsia="zh-CN"/>
        </w:rPr>
        <w:t xml:space="preserve">关于厨房设备采购项目的</w:t>
      </w:r>
      <w:r>
        <w:rPr>
          <w:rFonts w:hint="eastAsia" w:ascii="宋体" w:hAnsi="宋体"/>
          <w:b/>
          <w:bCs/>
          <w:sz w:val="24"/>
          <w:szCs w:val="24"/>
          <w:highlight w:val="none"/>
        </w:rPr>
        <w:t xml:space="preserve">承诺函</w:t>
      </w:r>
      <w:r/>
    </w:p>
    <w:p>
      <w:pPr>
        <w:ind w:left="0"/>
        <w:rPr>
          <w:rFonts w:ascii="Times New Roman" w:hAnsi="Times New Roman" w:cs="Times New Roman"/>
          <w:sz w:val="24"/>
          <w:szCs w:val="24"/>
          <w:highlight w:val="none"/>
          <w:lang w:val="zh-CN"/>
        </w:rPr>
      </w:pPr>
      <w:r>
        <w:rPr>
          <w:rFonts w:ascii="Times New Roman" w:hAnsi="Times New Roman" w:cs="Times New Roman"/>
          <w:sz w:val="24"/>
          <w:szCs w:val="24"/>
          <w:highlight w:val="none"/>
          <w:lang w:val="zh-CN"/>
        </w:rPr>
      </w:r>
      <w:r/>
    </w:p>
    <w:p>
      <w:pPr>
        <w:ind w:left="0"/>
        <w:jc w:val="center"/>
        <w:rPr>
          <w:rFonts w:hint="eastAsia" w:ascii="宋体" w:hAnsi="宋体"/>
          <w:b/>
          <w:sz w:val="24"/>
          <w:szCs w:val="24"/>
          <w:highlight w:val="none"/>
          <w:lang w:val="en-US" w:eastAsia="zh-CN"/>
        </w:rPr>
      </w:pPr>
      <w:r>
        <w:rPr>
          <w:rFonts w:hint="eastAsia" w:ascii="宋体" w:hAnsi="宋体"/>
          <w:b/>
          <w:sz w:val="24"/>
          <w:szCs w:val="24"/>
          <w:highlight w:val="none"/>
          <w:lang w:val="en-US" w:eastAsia="zh-CN"/>
        </w:rPr>
      </w:r>
      <w:r/>
    </w:p>
    <w:p>
      <w:pPr>
        <w:ind w:left="0"/>
        <w:jc w:val="center"/>
        <w:rPr>
          <w:rFonts w:ascii="宋体" w:hAnsi="宋体"/>
          <w:b/>
          <w:sz w:val="24"/>
          <w:szCs w:val="24"/>
          <w:highlight w:val="none"/>
        </w:rPr>
      </w:pPr>
      <w:r>
        <w:rPr>
          <w:rFonts w:hint="eastAsia" w:ascii="宋体" w:hAnsi="宋体"/>
          <w:b/>
          <w:sz w:val="24"/>
          <w:szCs w:val="24"/>
          <w:highlight w:val="none"/>
          <w:lang w:val="en-US" w:eastAsia="zh-CN"/>
        </w:rPr>
        <w:t xml:space="preserve">关于厨房设备采购项目的</w:t>
      </w:r>
      <w:r>
        <w:rPr>
          <w:rFonts w:hint="eastAsia" w:ascii="宋体" w:hAnsi="宋体"/>
          <w:b/>
          <w:sz w:val="24"/>
          <w:szCs w:val="24"/>
          <w:highlight w:val="none"/>
        </w:rPr>
        <w:t xml:space="preserve">承诺函</w:t>
      </w:r>
      <w:r/>
    </w:p>
    <w:p>
      <w:pPr>
        <w:ind w:left="0" w:firstLine="420"/>
        <w:jc w:val="left"/>
        <w:spacing w:line="360" w:lineRule="auto"/>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u w:val="single"/>
          <w:lang w:eastAsia="zh-CN"/>
        </w:rPr>
      </w:r>
      <w:r/>
    </w:p>
    <w:p>
      <w:pPr>
        <w:ind w:left="0" w:firstLine="420"/>
        <w:jc w:val="left"/>
        <w:spacing w:line="360" w:lineRule="auto"/>
        <w:rPr>
          <w:rFonts w:ascii="宋体" w:hAnsi="宋体" w:eastAsia="宋体" w:cs="宋体"/>
          <w:b/>
          <w:bCs/>
          <w:sz w:val="24"/>
          <w:szCs w:val="24"/>
          <w:highlight w:val="none"/>
          <w:u w:val="single"/>
        </w:rPr>
      </w:pPr>
      <w:r>
        <w:rPr>
          <w:rFonts w:hint="eastAsia" w:ascii="宋体" w:hAnsi="宋体" w:eastAsia="宋体" w:cs="宋体"/>
          <w:b/>
          <w:bCs/>
          <w:sz w:val="24"/>
          <w:szCs w:val="24"/>
          <w:highlight w:val="none"/>
          <w:u w:val="single"/>
          <w:lang w:eastAsia="zh-CN"/>
        </w:rPr>
        <w:t xml:space="preserve">苏州工业园区教育局</w:t>
      </w:r>
      <w:r>
        <w:rPr>
          <w:rFonts w:ascii="宋体" w:hAnsi="宋体" w:eastAsia="宋体" w:cs="宋体"/>
          <w:b/>
          <w:bCs/>
          <w:sz w:val="24"/>
          <w:szCs w:val="24"/>
          <w:highlight w:val="none"/>
          <w:u w:val="single"/>
        </w:rPr>
        <w:t xml:space="preserve">：</w:t>
      </w:r>
      <w:r/>
    </w:p>
    <w:p>
      <w:pPr>
        <w:pStyle w:val="792"/>
        <w:rPr>
          <w:rFonts w:hint="eastAsia" w:ascii="宋体" w:hAnsi="宋体" w:eastAsia="宋体" w:cs="宋体"/>
          <w:b/>
          <w:bCs w:val="0"/>
          <w:color w:val="ff0000"/>
          <w:sz w:val="24"/>
          <w:szCs w:val="24"/>
          <w:highlight w:val="none"/>
          <w:lang w:eastAsia="zh-CN"/>
        </w:rPr>
      </w:pPr>
      <w:r>
        <w:rPr>
          <w:rFonts w:hint="eastAsia" w:ascii="宋体" w:hAnsi="宋体" w:eastAsia="宋体" w:cs="宋体"/>
          <w:b/>
          <w:bCs w:val="0"/>
          <w:color w:val="ff0000"/>
          <w:sz w:val="24"/>
          <w:szCs w:val="24"/>
          <w:highlight w:val="none"/>
          <w:lang w:eastAsia="zh-CN"/>
        </w:rPr>
      </w:r>
      <w:r/>
    </w:p>
    <w:p>
      <w:pPr>
        <w:ind w:left="0" w:firstLine="480"/>
        <w:spacing w:line="360" w:lineRule="auto"/>
        <w:rPr>
          <w:rFonts w:hint="default" w:ascii="宋体" w:hAnsi="宋体" w:eastAsia="宋体" w:cs="宋体"/>
          <w:b/>
          <w:bCs w:val="0"/>
          <w:color w:val="ff0000"/>
          <w:sz w:val="24"/>
          <w:szCs w:val="24"/>
          <w:highlight w:val="none"/>
          <w:lang w:val="en-US" w:eastAsia="zh-CN"/>
        </w:rPr>
      </w:pPr>
      <w:r>
        <w:rPr>
          <w:rFonts w:ascii="宋体" w:hAnsi="宋体"/>
          <w:sz w:val="24"/>
          <w:szCs w:val="24"/>
          <w:highlight w:val="none"/>
        </w:rPr>
        <w:t xml:space="preserve">本公司愿就</w:t>
      </w:r>
      <w:r>
        <w:rPr>
          <w:rFonts w:hint="eastAsia" w:ascii="宋体" w:hAnsi="宋体"/>
          <w:sz w:val="24"/>
          <w:szCs w:val="24"/>
          <w:highlight w:val="none"/>
          <w:lang w:val="en-US" w:eastAsia="zh-CN"/>
        </w:rPr>
        <w:t xml:space="preserve">由</w:t>
      </w:r>
      <w:r>
        <w:rPr>
          <w:rFonts w:ascii="宋体" w:hAnsi="宋体"/>
          <w:sz w:val="24"/>
          <w:szCs w:val="24"/>
          <w:highlight w:val="none"/>
        </w:rPr>
        <w:t xml:space="preserve">贵</w:t>
      </w:r>
      <w:r>
        <w:rPr>
          <w:rFonts w:hint="eastAsia" w:ascii="宋体" w:hAnsi="宋体"/>
          <w:sz w:val="24"/>
          <w:szCs w:val="24"/>
          <w:highlight w:val="none"/>
          <w:lang w:val="en-US" w:eastAsia="zh-CN"/>
        </w:rPr>
        <w:t xml:space="preserve">单位</w:t>
      </w:r>
      <w:r>
        <w:rPr>
          <w:rFonts w:ascii="宋体" w:hAnsi="宋体"/>
          <w:sz w:val="24"/>
          <w:szCs w:val="24"/>
          <w:highlight w:val="none"/>
        </w:rPr>
        <w:t xml:space="preserve">组织实施的编号为</w:t>
      </w:r>
      <w:r>
        <w:rPr>
          <w:rFonts w:hint="eastAsia" w:ascii="宋体" w:hAnsi="宋体" w:eastAsia="宋体" w:cs="宋体"/>
          <w:b/>
          <w:bCs/>
          <w:sz w:val="24"/>
          <w:szCs w:val="24"/>
          <w:highlight w:val="none"/>
          <w:u w:val="single"/>
          <w:lang w:val="en-US" w:eastAsia="zh-CN"/>
        </w:rPr>
        <w:t xml:space="preserve">JSZC-320591-HXZJ-G2026-0015</w:t>
      </w:r>
      <w:r>
        <w:rPr>
          <w:rFonts w:ascii="宋体" w:hAnsi="宋体"/>
          <w:b/>
          <w:bCs/>
          <w:sz w:val="24"/>
          <w:szCs w:val="24"/>
          <w:highlight w:val="none"/>
        </w:rPr>
        <w:t xml:space="preserve">号</w:t>
      </w:r>
      <w:r>
        <w:rPr>
          <w:rFonts w:hint="eastAsia" w:ascii="宋体" w:hAnsi="宋体" w:eastAsia="宋体" w:cs="宋体"/>
          <w:b/>
          <w:bCs/>
          <w:sz w:val="24"/>
          <w:szCs w:val="24"/>
          <w:highlight w:val="none"/>
          <w:u w:val="single"/>
          <w:lang w:val="en-US" w:eastAsia="zh-CN"/>
        </w:rPr>
        <w:t xml:space="preserve">斜塘学校改建修缮项目厨房设备采购</w:t>
      </w:r>
      <w:r>
        <w:rPr>
          <w:rFonts w:hint="eastAsia" w:ascii="宋体" w:hAnsi="宋体" w:eastAsia="宋体" w:cs="宋体"/>
          <w:sz w:val="24"/>
          <w:szCs w:val="24"/>
          <w:highlight w:val="none"/>
          <w:u w:val="none"/>
          <w:lang w:val="en-US" w:eastAsia="zh-CN"/>
        </w:rPr>
        <w:t xml:space="preserve">项目</w:t>
      </w:r>
      <w:r>
        <w:rPr>
          <w:rFonts w:ascii="宋体" w:hAnsi="宋体"/>
          <w:sz w:val="24"/>
          <w:szCs w:val="24"/>
          <w:highlight w:val="none"/>
        </w:rPr>
        <w:t xml:space="preserve">的招标活动进行投标。</w:t>
      </w:r>
      <w:r>
        <w:rPr>
          <w:rFonts w:hint="eastAsia" w:ascii="宋体" w:hAnsi="宋体"/>
          <w:sz w:val="24"/>
          <w:szCs w:val="24"/>
          <w:highlight w:val="none"/>
          <w:lang w:val="en-US" w:eastAsia="zh-CN"/>
        </w:rPr>
        <w:t xml:space="preserve">本项目招标书及采购清单中所采购设备，根据</w:t>
      </w:r>
      <w:r>
        <w:rPr>
          <w:rFonts w:hint="eastAsia" w:ascii="宋体" w:hAnsi="宋体"/>
          <w:sz w:val="24"/>
          <w:szCs w:val="24"/>
          <w:highlight w:val="none"/>
        </w:rPr>
        <w:t xml:space="preserve">法律法规</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行业规范及</w:t>
      </w:r>
      <w:r>
        <w:rPr>
          <w:rFonts w:hint="eastAsia" w:ascii="宋体" w:hAnsi="宋体"/>
          <w:sz w:val="24"/>
          <w:szCs w:val="24"/>
          <w:highlight w:val="none"/>
        </w:rPr>
        <w:t xml:space="preserve">政策规定</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需要获得</w:t>
      </w:r>
      <w:r>
        <w:rPr>
          <w:rFonts w:hint="eastAsia" w:ascii="宋体" w:hAnsi="宋体"/>
          <w:sz w:val="24"/>
          <w:szCs w:val="24"/>
          <w:highlight w:val="none"/>
        </w:rPr>
        <w:t xml:space="preserve">各项生产经营活动所需的许可</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资质</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认证等证书的，我单位</w:t>
      </w:r>
      <w:r>
        <w:rPr>
          <w:rFonts w:hint="eastAsia" w:ascii="宋体" w:hAnsi="宋体"/>
          <w:sz w:val="24"/>
          <w:szCs w:val="24"/>
          <w:highlight w:val="none"/>
        </w:rPr>
        <w:t xml:space="preserve">承诺所投产品的生产厂家</w:t>
      </w:r>
      <w:r>
        <w:rPr>
          <w:rFonts w:hint="eastAsia" w:ascii="宋体" w:hAnsi="宋体"/>
          <w:sz w:val="24"/>
          <w:szCs w:val="24"/>
          <w:highlight w:val="none"/>
          <w:lang w:val="en-US" w:eastAsia="zh-CN"/>
        </w:rPr>
        <w:t xml:space="preserve">，在本项目投标截止时间前均已依法取得相关证书且有效。</w:t>
      </w:r>
      <w:r/>
    </w:p>
    <w:p>
      <w:pPr>
        <w:ind w:left="0" w:firstLine="420"/>
        <w:spacing w:line="360" w:lineRule="auto"/>
        <w:rPr>
          <w:rFonts w:hint="eastAsia" w:ascii="宋体" w:hAnsi="宋体"/>
          <w:sz w:val="24"/>
          <w:szCs w:val="24"/>
          <w:highlight w:val="none"/>
        </w:rPr>
      </w:pPr>
      <w:r>
        <w:rPr>
          <w:rFonts w:hint="eastAsia" w:ascii="宋体" w:hAnsi="宋体"/>
          <w:sz w:val="24"/>
          <w:szCs w:val="24"/>
          <w:highlight w:val="none"/>
        </w:rPr>
        <w:t xml:space="preserve">本单位对上述承诺的真实性负责。如有虚假，将依法承担相应责任。</w:t>
      </w:r>
      <w:r/>
    </w:p>
    <w:p>
      <w:pPr>
        <w:ind w:right="105" w:firstLine="210"/>
        <w:jc w:val="righ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p>
    <w:p>
      <w:pPr>
        <w:ind w:right="105" w:firstLine="210"/>
        <w:jc w:val="righ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名称：（加盖CA电子公章）</w:t>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pStyle w:val="792"/>
        <w:rPr>
          <w:rFonts w:hint="eastAsia" w:ascii="宋体" w:hAnsi="宋体"/>
          <w:sz w:val="24"/>
          <w:szCs w:val="24"/>
          <w:highlight w:val="none"/>
        </w:rPr>
      </w:pPr>
      <w:r>
        <w:rPr>
          <w:rFonts w:hint="eastAsia" w:ascii="宋体" w:hAnsi="宋体"/>
          <w:sz w:val="24"/>
          <w:szCs w:val="24"/>
          <w:highlight w:val="none"/>
        </w:rPr>
      </w:r>
      <w:r/>
    </w:p>
    <w:p>
      <w:pPr>
        <w:ind w:right="420" w:firstLine="210"/>
        <w:jc w:val="both"/>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7"/>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br w:type="page" w:clear="all"/>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pStyle w:val="793"/>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pStyle w:val="793"/>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35" w:name="_Toc13642115"/>
      <w:r/>
      <w:bookmarkStart w:id="36" w:name="_Toc105940240"/>
      <w:r>
        <w:rPr>
          <w:rFonts w:hint="eastAsia" w:ascii="宋体" w:hAnsi="宋体" w:eastAsia="宋体" w:cs="宋体"/>
          <w:b/>
          <w:color w:val="auto"/>
          <w:sz w:val="52"/>
          <w:szCs w:val="20"/>
          <w:highlight w:val="none"/>
          <w:shd w:val="clear" w:color="auto" w:fill="ffffff"/>
        </w:rPr>
        <w:t xml:space="preserve">第四章 招标书</w:t>
      </w:r>
      <w:bookmarkEnd w:id="35"/>
      <w:r/>
      <w:bookmarkEnd w:id="36"/>
      <w:r/>
      <w:r/>
    </w:p>
    <w:p>
      <w:pPr>
        <w:jc w:val="center"/>
        <w:spacing w:line="360" w:lineRule="auto"/>
        <w:rPr>
          <w:rFonts w:hint="eastAsia" w:ascii="宋体" w:hAnsi="宋体" w:eastAsia="宋体" w:cs="宋体"/>
          <w:b/>
          <w:color w:val="auto"/>
          <w:sz w:val="48"/>
          <w:szCs w:val="48"/>
          <w:highlight w:val="none"/>
          <w:shd w:val="clear" w:color="auto" w:fill="ffffff"/>
        </w:rPr>
      </w:pPr>
      <w:r/>
      <w:bookmarkStart w:id="37" w:name="_Toc13543212"/>
      <w:r>
        <w:rPr>
          <w:rFonts w:hint="eastAsia" w:ascii="宋体" w:hAnsi="宋体" w:eastAsia="宋体" w:cs="宋体"/>
          <w:b/>
          <w:color w:val="auto"/>
          <w:sz w:val="48"/>
          <w:szCs w:val="48"/>
          <w:highlight w:val="none"/>
          <w:shd w:val="clear" w:color="auto" w:fill="ffffff"/>
        </w:rPr>
        <w:br w:type="page" w:clear="all"/>
      </w:r>
      <w:r>
        <w:rPr>
          <w:rFonts w:hint="eastAsia" w:ascii="宋体" w:hAnsi="宋体" w:eastAsia="宋体" w:cs="宋体"/>
          <w:b/>
          <w:color w:val="auto"/>
          <w:sz w:val="48"/>
          <w:szCs w:val="48"/>
          <w:highlight w:val="none"/>
          <w:shd w:val="clear" w:color="auto" w:fill="ffffff"/>
        </w:rPr>
        <w:t xml:space="preserve">招标书</w:t>
      </w:r>
      <w:bookmarkEnd w:id="37"/>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苏州华星工程造价咨询有限公司受</w:t>
      </w:r>
      <w:r>
        <w:rPr>
          <w:rFonts w:hint="eastAsia" w:ascii="宋体" w:hAnsi="宋体" w:eastAsia="宋体" w:cs="宋体"/>
          <w:color w:val="auto"/>
          <w:sz w:val="24"/>
          <w:szCs w:val="24"/>
          <w:highlight w:val="none"/>
          <w:shd w:val="clear" w:color="auto" w:fill="ffffff"/>
          <w:lang w:eastAsia="zh-CN"/>
        </w:rPr>
        <w:t xml:space="preserve">苏州工业园区教育局</w:t>
      </w:r>
      <w:r>
        <w:rPr>
          <w:rFonts w:hint="eastAsia" w:ascii="宋体" w:hAnsi="宋体" w:eastAsia="宋体" w:cs="宋体"/>
          <w:color w:val="auto"/>
          <w:sz w:val="24"/>
          <w:szCs w:val="24"/>
          <w:highlight w:val="none"/>
          <w:shd w:val="clear" w:color="auto" w:fill="ffffff"/>
        </w:rPr>
        <w:t xml:space="preserve">的委托，就其所需的</w:t>
      </w:r>
      <w:r>
        <w:rPr>
          <w:rFonts w:hint="eastAsia" w:ascii="宋体" w:hAnsi="宋体" w:eastAsia="宋体" w:cs="宋体"/>
          <w:color w:val="auto"/>
          <w:sz w:val="24"/>
          <w:szCs w:val="24"/>
          <w:highlight w:val="none"/>
          <w:lang w:eastAsia="zh-CN"/>
        </w:rPr>
        <w:t xml:space="preserve">斜塘学校改建修缮项目厨房设备采购</w:t>
      </w:r>
      <w:r>
        <w:rPr>
          <w:rFonts w:hint="eastAsia" w:ascii="宋体" w:hAnsi="宋体" w:eastAsia="宋体" w:cs="宋体"/>
          <w:color w:val="auto"/>
          <w:sz w:val="24"/>
          <w:szCs w:val="24"/>
          <w:highlight w:val="none"/>
          <w:shd w:val="clear" w:color="auto" w:fill="ffffff"/>
        </w:rPr>
        <w:t xml:space="preserve">进行国内公开招标。欢迎有资格的供应商前来参加投标。</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b/>
          <w:bCs/>
          <w:color w:val="auto"/>
          <w:sz w:val="24"/>
          <w:szCs w:val="24"/>
          <w:highlight w:val="none"/>
          <w:shd w:val="clear" w:color="auto" w:fill="ffffff"/>
          <w:lang w:val="en-US" w:eastAsia="zh-CN"/>
        </w:rPr>
        <w:t xml:space="preserve">一、</w:t>
      </w:r>
      <w:r>
        <w:rPr>
          <w:rFonts w:hint="eastAsia" w:ascii="宋体" w:hAnsi="宋体" w:eastAsia="宋体" w:cs="宋体"/>
          <w:b/>
          <w:bCs/>
          <w:color w:val="auto"/>
          <w:sz w:val="24"/>
          <w:szCs w:val="24"/>
          <w:highlight w:val="none"/>
          <w:shd w:val="clear" w:color="auto" w:fill="ffffff"/>
        </w:rPr>
        <w:t xml:space="preserve">招标编号</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shd w:val="clear" w:color="auto" w:fill="ffffff"/>
          <w:lang w:eastAsia="zh-CN"/>
        </w:rPr>
        <w:t xml:space="preserve">JSZC-320591-HXZJ-G2026-0015</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lang w:val="en-US" w:eastAsia="zh-CN"/>
        </w:rPr>
        <w:t xml:space="preserve">二、</w:t>
      </w:r>
      <w:r>
        <w:rPr>
          <w:rFonts w:hint="eastAsia" w:ascii="宋体" w:hAnsi="宋体" w:eastAsia="宋体" w:cs="宋体"/>
          <w:b/>
          <w:bCs/>
          <w:color w:val="auto"/>
          <w:sz w:val="24"/>
          <w:szCs w:val="24"/>
          <w:highlight w:val="none"/>
          <w:shd w:val="clear" w:color="auto" w:fill="ffffff"/>
        </w:rPr>
        <w:t xml:space="preserve">项目名称</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lang w:eastAsia="zh-CN"/>
        </w:rPr>
        <w:t xml:space="preserve">斜塘学校改建修缮项目厨房设备采购</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ffffff"/>
        </w:rPr>
      </w:pPr>
      <w:r/>
      <w:bookmarkStart w:id="38" w:name="_Hlk183174478"/>
      <w:r>
        <w:rPr>
          <w:rFonts w:hint="eastAsia" w:ascii="宋体" w:hAnsi="宋体" w:eastAsia="宋体" w:cs="宋体"/>
          <w:b/>
          <w:bCs/>
          <w:color w:val="auto"/>
          <w:sz w:val="24"/>
          <w:szCs w:val="24"/>
          <w:highlight w:val="none"/>
          <w:shd w:val="clear" w:color="auto" w:fill="ffffff"/>
          <w:lang w:val="en-US" w:eastAsia="zh-CN"/>
        </w:rPr>
        <w:t xml:space="preserve">三</w:t>
      </w:r>
      <w:r>
        <w:rPr>
          <w:rFonts w:hint="eastAsia" w:ascii="宋体" w:hAnsi="宋体" w:eastAsia="宋体" w:cs="宋体"/>
          <w:b/>
          <w:bCs/>
          <w:color w:val="auto"/>
          <w:sz w:val="24"/>
          <w:szCs w:val="24"/>
          <w:highlight w:val="none"/>
          <w:shd w:val="clear" w:color="auto" w:fill="ffffff"/>
        </w:rPr>
        <w:t xml:space="preserve">、采购需求：</w:t>
      </w:r>
      <w:bookmarkEnd w:id="38"/>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（一）</w:t>
      </w:r>
      <w:r>
        <w:rPr>
          <w:rFonts w:hint="eastAsia" w:ascii="宋体" w:hAnsi="宋体" w:eastAsia="宋体" w:cs="宋体"/>
          <w:color w:val="auto"/>
          <w:sz w:val="24"/>
          <w:szCs w:val="24"/>
          <w:highlight w:val="none"/>
          <w:lang w:eastAsia="zh-CN"/>
        </w:rPr>
        <w:t xml:space="preserve">斜塘学校改建修缮项目</w:t>
      </w:r>
      <w:r>
        <w:rPr>
          <w:rFonts w:hint="eastAsia" w:ascii="宋体" w:hAnsi="宋体" w:eastAsia="宋体" w:cs="宋体"/>
          <w:color w:val="auto"/>
          <w:sz w:val="24"/>
          <w:szCs w:val="24"/>
          <w:highlight w:val="none"/>
          <w:shd w:val="clear" w:color="auto" w:fill="ffffff"/>
        </w:rPr>
        <w:t xml:space="preserve">的厨房设备供货与安装采购。投标人应履行所投产品的生产供货、安装、调试、培训、质保</w:t>
      </w:r>
      <w:r>
        <w:rPr>
          <w:rFonts w:hint="eastAsia" w:ascii="宋体" w:hAnsi="宋体" w:eastAsia="宋体" w:cs="宋体"/>
          <w:color w:val="auto"/>
          <w:sz w:val="24"/>
          <w:szCs w:val="24"/>
          <w:highlight w:val="none"/>
          <w:shd w:val="clear" w:color="auto" w:fill="ffffff"/>
          <w:lang w:val="en-US" w:eastAsia="zh-CN"/>
        </w:rPr>
        <w:t xml:space="preserve">等要求</w:t>
      </w:r>
      <w:r>
        <w:rPr>
          <w:rFonts w:hint="eastAsia" w:ascii="宋体" w:hAnsi="宋体" w:eastAsia="宋体" w:cs="宋体"/>
          <w:color w:val="auto"/>
          <w:sz w:val="24"/>
          <w:szCs w:val="24"/>
          <w:highlight w:val="none"/>
          <w:shd w:val="clear" w:color="auto" w:fill="ffffff"/>
        </w:rPr>
        <w:t xml:space="preserve">。</w:t>
      </w:r>
      <w:r/>
    </w:p>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采购清单</w:t>
      </w:r>
      <w:r/>
    </w:p>
    <w:tbl>
      <w:tblPr>
        <w:tblStyle w:val="782"/>
        <w:tblW w:w="975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0"/>
        <w:gridCol w:w="1604"/>
        <w:gridCol w:w="1812"/>
        <w:gridCol w:w="585"/>
        <w:gridCol w:w="381"/>
        <w:gridCol w:w="4576"/>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技术参数</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一层厨房</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过磅区</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金属外壳，高效隔离，配门帘</w:t>
            </w:r>
            <w:r/>
          </w:p>
        </w:tc>
      </w:tr>
      <w:tr>
        <w:trPr>
          <w:trHeight w:val="54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电子秤</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300KG</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电源220V，内置64V/4AH维护充电蓄电池，开机自动至0，零点自动追踪。</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平板推车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900*600*200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立管：采用SUS304不锈钢方管38*25*1.2mm；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手柄：采用SUS304不锈钢圆管φ32*1.0mm；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台脚：2个5寸定向轮，2个5寸带刹车万向轮。</w:t>
            </w:r>
            <w:r/>
          </w:p>
        </w:tc>
      </w:tr>
      <w:tr>
        <w:trPr>
          <w:trHeight w:val="124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平板推车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1000*700*200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立管：采用SUS304不锈钢方管38*25*1.2mm；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手柄：采用SUS304不锈钢圆管φ32*1.0mm；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台脚：2个5寸定向轮，2个5寸带刹车万向轮。</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洗地龙头黑色软管材质：钢丝油压管；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胶管选用特种合成橡胶配合制成，具有优良的耐油、耐热、耐老化性能；外壳黑色碳钢喷塑,自动回卷。</w:t>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拖把架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采用SUS304不锈钢厚度1.2mm制作，下接盛水盆。</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拖把池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男/女更衣间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900*500*1800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采用优质镀锌板厚度0.8mm制作，表面喷塑处理；每扇门带锁。</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不锈钢四层鞋柜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1000*500*1400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台脚：采用可调不锈钢重力脚。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挂衣架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采用SUS304不锈钢厚度1.2mm制作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主食库&amp;副食库</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48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平板式机制折弯成型，承受力强，焊接连接，坚固耐用，易清洁；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冷藏库&amp;冷冻库</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冷藏库</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3700*2800*2600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温度：冷藏库0℃-5℃；库板B1级阻燃。库板边缘带有高密度氨甲酸乙酯材质的凹凸齿轮及槽口，安装时使用钢锁扣连在一起。冷库内外采用0.8mm/304拉丝面不锈钢，采用环保聚氨酯发泡，厚度100mm；上铺3mm厚防滑铝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冷库安装完毕后内部净高为2400mm。冷凝蒸发器底部与地面间距离不小于1700mm，其背部与库板间有100mm间隙。冷库内温度控制为微电脑全自动控制。冷库门均为自动回归门，尺寸800*1900mm。冷库内应配备防水的白炽灯，相应配有透明外壳，防水荧光开关，导线，开关箱及出线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所有冷库内的灯具组件有的导管和电线需隐藏起来。从地面到天花板所有暴露在外的边、角和连接点都应配备边条。磁性密封衬垫及水压活塞保证门的密封性更好，配备有凹型铰链，硬件应有良好的安全开闭性的设备，以防工作人员被困其中。冷库门应配有重型乙烯基有底座的门框，冷库门需配备低瓦特发热线，外包磁性不锈钢层，用以保护磁性密封衬垫并防止霜冻和冷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压缩机：单机涡旋式全封压缩机；散热器：优质“V型”上出风冷凝器；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蒸发器：优质节能高效冷风机。</w: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冷冻库</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3700*2800*2600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温度：冷冻库-15℃~-18℃；库板B1级阻燃。库板边缘带有高密度氨甲酸乙酯材质的凹凸齿轮及槽口，安装时使用钢锁扣连在一起。冷库内外采用0.8mm/304拉丝面不锈钢，采用环保聚氨酯发泡，厚度100mm；上铺3mm厚防滑铝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冷库安装完毕后内部净高为2400mm。冷凝蒸发器底部与地面间距离不小于1700mm，其背部与库板间有100mm间隙。冷库内温度控制为微电脑全自动控制。冷库门均为自动回归门，尺寸800*1900mm。冷库内应配备防水的白炽灯，相应配有透明外壳，防水荧光开关，导线，开关箱及出线盒。</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所有冷库内的灯具组件有的导管和电线需隐藏起来。从地面到天花板所有暴露在外的边、角和连接点都应配备边条。磁性密封衬垫及水压活塞保证门的密封性更好，配备有凹型铰链，硬件应有良好的安全开闭性的设备，以防工作人员被困其中。冷库门应配有重型乙烯基有底座的门框，冷库门需配备低瓦特发热线，外包磁性不锈钢层，用以保护磁性密封衬垫并防止霜冻和冷凝。</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压缩机：单机涡旋式全封压缩机；散热器：优质“V型”上出风冷凝器；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蒸发器：优质节能高效冷风机。</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平板式机制折弯成型，承受力强，焊接连接，坚固耐用，易清洁；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蔬菜粗加工</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1200*600*1800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材质：采用SUS304不锈钢厚度1.0mm制作。</w:t>
            </w:r>
            <w:r/>
          </w:p>
        </w:tc>
      </w:tr>
      <w:tr>
        <w:trPr>
          <w:trHeight w:val="33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1180*550*1260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用途：将根茎类蔬菜：土豆、萝卜等根茎类以及叶菜类蔬菜类切成丁、片、丝条状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特性：本机为双头型切菜机,可同时工作。通过更换刀盘或双调频调节输送带与斩刀速度,可切出各种规格的片、丝、丁。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整机采用全SUS304不锈钢制造。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两侧切刀处设有连锁安全开关，开门自动停机。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叶菜切制规格：1-60mm（可调）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球根切可选规格：</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切丁：15mm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切丝：3mm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切片：3mm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可切丁、切片、切丝、切断</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切片刀盘1个 切丝刀盘1个 切丁刀盘1套</w:t>
            </w:r>
            <w:r/>
          </w:p>
        </w:tc>
      </w:tr>
      <w:tr>
        <w:trPr>
          <w:trHeight w:val="18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7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21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食品净化机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414*125*314</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功率：210W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净化方式：微纳米气泡一爆裂清洗；高浓度活氧水一高效灭除；羟基自由基一深度净化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市政水净化后氯离子浓度小于等于0.25mg/L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设备可以在自然水、净水、纯水环境下正常运行。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设备针对氯代衍生物（三氯甲烷、四氯化碳等）的净化率≥99%</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双层工作台带孔</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格栅层板：采用SUS304不锈钢板厚度1.2mm；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下层横管：采用SUS304不锈钢方管25*50*1.2mm;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毛刷清洗去皮机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1300*1000*1000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加工能力：500-600kg/h</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电压：380V 功率：1.5kw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适用于：马铃薯、胡萝卜、甜菜、莲藕、甘薯、芋头、大头菜等茎类蔬果清洗去皮。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特点：毛刷棍采用尼龙丝材质，耐酸碱耐腐蚀</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整机采用全SUS304不锈钢制造,符合食品加工卫生要求；有平，凹凸，软，硬毛刷棍，满足不同物料的清洗要求。</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洗地龙头黑色软管材质：钢丝油压管；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胶管选用特种合成橡胶配合制成，具有优良的耐油、耐热、耐老化性能；外壳黑色碳钢喷塑,自动回卷。</w:t>
            </w:r>
            <w:r/>
          </w:p>
        </w:tc>
      </w:tr>
      <w:tr>
        <w:trPr>
          <w:trHeight w:val="10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荤菜粗加工</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材质：采用SUS304不锈钢厚度1.0mm制作。</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四门风冷双温冰箱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1200*760*1950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冷却方式：风冷；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温度范围：0℃～+8℃及0℃～-18℃；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内外为SUS304不锈钢材料,背部和底部为镀锌板材料,防锈抗腐,微电脑温度显示器,聚胺脂高压发泡。</w:t>
            </w:r>
            <w:r/>
          </w:p>
        </w:tc>
      </w:tr>
      <w:tr>
        <w:trPr>
          <w:trHeight w:val="154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20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食品净化机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414*125*314</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功率：210W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净化方式：微纳米气泡一爆裂清洗；高浓度活氧水一高效灭除；羟基自由基一深度净化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市政水净化后氯离子浓度小于等于0.25mg/L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设备可以在自然水、净水、纯水环境下正常运行。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设备针对氯代衍生物（三氯甲烷、四氯化碳等）的净化率≥99%</w:t>
            </w:r>
            <w:r/>
          </w:p>
        </w:tc>
      </w:tr>
      <w:tr>
        <w:trPr>
          <w:trHeight w:val="18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格栅层板：采用SUS304不锈钢板厚度1.2mm；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下层横管：采用SUS304不锈钢方管25*50*1.2mm;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绞切肉机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705*465*780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功率：0.75KW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生产能力：300KG/H</w:t>
            </w:r>
            <w:r/>
          </w:p>
        </w:tc>
      </w:tr>
      <w:tr>
        <w:trPr>
          <w:trHeight w:val="13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620*620*1020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电压：380V；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功率：0.75KW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转速:120/240/468/转/分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料筒容积：30L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配置：1桶、1球、1勾、1扇、安全网</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开水器连底座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850*800*1500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电压：380V  功率：15KW；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内胆：采用SUS304不锈钢板厚度1.5mm。</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洗地龙头黑色软管材质：钢丝油压管；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胶管选用特种合成橡胶配合制成，具有优良的耐油、耐热、耐老化性能；外壳黑色碳钢喷塑,自动回卷。</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水产粗加工</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刀具砧板消毒柜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材质：采用SUS304不锈钢厚度1.0mm制作。</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16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食品净化机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414*125*314</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功率：210W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净化方式：微纳米气泡一爆裂清洗；高浓度活氧水一高效灭除；羟基自由基一深度净化</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市政水净化后氯离子浓度小于等于0.25mg/L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设备可以在自然水、净水、纯水环境下正常运行。</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设备针对氯代衍生物（三氯甲烷、四氯化碳等）的净化率≥99%</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洗地龙头黑色软管材质：钢丝油压管；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胶管选用特种合成橡胶配合制成，具有优良的耐油、耐热、耐老化性能；外壳黑色碳钢喷塑,自动回卷。</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烹饪间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燃气双眼大锅灶</w:t>
            </w:r>
            <w:r>
              <w:rPr>
                <w:rFonts w:hint="eastAsia" w:ascii="宋体" w:hAnsi="宋体" w:eastAsia="宋体" w:cs="宋体"/>
                <w:b/>
                <w:bCs/>
                <w:i w:val="0"/>
                <w:iCs w:val="0"/>
                <w:color w:val="auto"/>
                <w:sz w:val="20"/>
                <w:szCs w:val="20"/>
                <w:highlight w:val="none"/>
                <w:u w:val="none"/>
                <w:lang w:val="en-US" w:eastAsia="zh-CN" w:bidi="ar"/>
              </w:rPr>
              <w:t xml:space="preserve">(核心设备）</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2200*1200*800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炉面：采用SUS304不锈钢板厚度1.5mm制作；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冲压、折弯一体成型，下衬隔热棉厚度10mm制作；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炉架：采用SUS304不锈钢板厚度1.2mm制作；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折弯成型，无焊接，上衬镀锌板厚度1.0mm制作；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围板：采用SUS304不锈钢板厚度1.0mm；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炉头：采用侧进风高效节能炉头，带前预混功能可有效将燃气与空气充分混合，使得燃烧充分；每个炉头配套带电子点火及自动熄火保护装置，采用连动气阀及连动风门，实现火力大小精准调控；</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炉膛：采用双层镀锌板厚度1.2mm制作，夹层内覆隔热棉厚度40mm制作；四周及底部覆盖耐高温耐火水泥厚度10mm；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风机：每个炉头装有低噪音中压铝壳强力风机；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风机电压：220V，风机功率：250W*2；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脚通：内管采用镀锌板φ48*2.0mm制作，套管采用SUS304不锈钢圆管φ51*1.5mm制作；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炉脚：采用不锈钢可调子弹脚。</w:t>
            </w:r>
            <w:r/>
          </w:p>
        </w:tc>
      </w:tr>
      <w:tr>
        <w:trPr>
          <w:trHeight w:val="10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300*1200*800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298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燃气双门蒸饭柜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24盘</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蒸饭量:120kg,24盘;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箱体：采用SUS304不锈钢板厚度1.5mm；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搁条：采用SUS304不锈钢板厚度1.2mm；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保温：箱体采用保温棉，其他聚氨酯发泡；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手柄：旋转迫紧把手；密封条：聚合脂密封胶条。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框架：采用SUS304不锈钢板厚度1.0mm制作；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饭盘：采用SUS304不锈钢板厚度0.8mm制作，每台配置24个饭盘；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水胆：热水胆，浸入式大热交换面，</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风机：热风吸风式风机。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采用自动点火及熄火保护装置</w:t>
            </w:r>
            <w:r/>
          </w:p>
        </w:tc>
      </w:tr>
      <w:tr>
        <w:trPr>
          <w:trHeight w:val="15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燃气可倾式汤锅</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200L</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外壳：采用SUS304不锈钢板厚度1.5mm；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内胆：采用SUS304不锈钢板厚度4.0mm；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风机功率：70W  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采用高效节能炉头，轻便式倾斜机构。采用自动点火及熄火保护装置</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2350*1300*990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1、净化效率≥98%，设备电场采用钢性好、不易变形、使用寿命长的全不锈钢电场。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2、设备采用智能高压高数字电流，能自行调节电流大小，并可选择高效或智能运行模式。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3、内置低噪音离心风机，电机性能稳定，寿命长，独立包装，可在安装现场调整方向，可前/上/后三向出风。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4、烟罩具有智能触控操作面板，杜绝按键失灵，智能诊断多种工作状态显示。</w:t>
            </w:r>
            <w:r/>
          </w:p>
        </w:tc>
      </w:tr>
      <w:tr>
        <w:trPr>
          <w:trHeight w:val="22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2500*1300*990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1、净化效率≥98%，设备电场采用钢性好、不易变形、使用寿命长的全不锈钢电场。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2、设备采用智能高压高数字电流，能自行调节电流大小，并可选择高效或智能运行模式。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3、内置低噪音离心风机，电机性能稳定，寿命长，独立包装，可在安装现场调整方向，可前/上/后三向出风。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4、烟罩具有智能触控操作面板，杜绝按键失灵，智能诊断多种工作状态显示。</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12200*2000*2</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采用SUS304不锈钢板厚度1.2mm。</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2400*1300*990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1、净化效率≥98%，设备电场采用钢性好、不易变形、使用寿命长的全不锈钢电场。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2、设备采用智能高压高数字电流，能自行调节电流大小，并可选择高效或智能运行模式。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3、内置低噪音离心风机，电机性能稳定，寿命长，独立包装，可在安装现场调整方向，可前/上/后三向出风。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4、烟罩具有智能触控操作面板，杜绝按键失灵，智能诊断多种工作状态显示。</w:t>
            </w:r>
            <w:r/>
          </w:p>
        </w:tc>
      </w:tr>
      <w:tr>
        <w:trPr>
          <w:trHeight w:val="21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1700*1300*990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1、净化效率≥98%，设备电场采用钢性好、不易变形、使用寿命长的全不锈钢电场。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2、设备采用智能高压高数字电流，能自行调节电流大小，并可选择高效或智能运行模式。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3、内置低噪音离心风机，电机性能稳定，寿命长，独立包装，可在安装现场调整方向，可前/上/后三向出风。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4、烟罩具有智能触控操作面板，杜绝按键失灵，智能诊断多种工作状态显示。</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6500*2000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采用SUS304不锈钢板厚度1.2mm。</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双瓶组</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1、箱体全身采用优质不锈钢材质，自带18个高压细水雾喷嘴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2、产品为绿色环保型灭火药剂，无色、无味、无毒、无腐蚀、灭火效率快且不复燃等特点，灭火时间：≤1.8s；</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3、灭火装置具备自动探测，自动实施灭火功能；也可手动紧急启动功能。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4、本装置灭火剂喷射时间不得小于 26s，同时具备较好的抗飞溅性能，在灭火剂喷射过程中无油点飞溅出来</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5、喷射灭火剂后，自动切换喷射冷却水。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6、采用机械传动，全天候 24 小时监控，可连接消防报警系统，火情发生后，灭火装置自动启动扑灭火焰，在灭火时声光报警、打开水流阀同时进行设有机械应急启动装置，当手动、自动启动不成功时使用</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格栅层板：采用SUS304不锈钢板厚度1.2mm；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下层横管：采用SUS304不锈钢方管25*50*1.2mm;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21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底边：暗沟式定位滑槽；上滑道、静音吊轮；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台脚：采用可调不锈钢重力脚。</w:t>
            </w:r>
            <w:r/>
          </w:p>
        </w:tc>
      </w:tr>
      <w:tr>
        <w:trPr>
          <w:trHeight w:val="124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14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柜式自动洗米机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760*760*1000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米桶容积：100L</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 功率：0.55KW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柜体式设计，主体板材为304不锈钢，坚固耐用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机械式控制系统，设备运行更稳定可靠。</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配高质量增压泵，水压更稳定、强劲，清洗更快速</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洗地龙头黑色软管材质：钢丝油压管；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胶管选用特种合成橡胶配合制成，具有优良的耐油、耐热、耐老化性能；外壳黑色碳钢喷塑,自动回卷。</w:t>
            </w:r>
            <w:r/>
          </w:p>
        </w:tc>
      </w:tr>
      <w:tr>
        <w:trPr>
          <w:trHeight w:val="16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8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二更&amp;备餐间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灯管：石英高压放电管，紫外线,电压/功率：220V/0.036KW；波长：200～290nm；强力杀菌，效率高，时间短。</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挂墙式双星洗手水池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900*450*250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                                              </w:t>
            </w:r>
            <w:r>
              <w:rPr>
                <w:rFonts w:hint="eastAsia" w:ascii="宋体" w:hAnsi="宋体" w:eastAsia="宋体" w:cs="宋体"/>
                <w:i w:val="0"/>
                <w:iCs w:val="0"/>
                <w:color w:val="auto"/>
                <w:sz w:val="20"/>
                <w:szCs w:val="20"/>
                <w:highlight w:val="none"/>
                <w:u w:val="none"/>
                <w:lang w:val="en-US" w:eastAsia="zh-CN" w:bidi="ar"/>
              </w:rPr>
              <w:t xml:space="preserve">                                                                                            星盆:采用SUS304不锈钢板厚度1.2mm；星盆深度160mm。                                                                                                                       挂墙安装，配不锈钢落水。</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烘手机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250*165*470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  功率：1250W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风速：&gt;80m/s</w:t>
            </w:r>
            <w:r/>
          </w:p>
        </w:tc>
      </w:tr>
      <w:tr>
        <w:trPr>
          <w:trHeight w:val="11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自动杀菌净手器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248*190*520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  功率：20W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产品容量：2000ml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感应距离：8-12cm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出液方式：自动感应式</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全铜材质，交直流两用型。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红外线感应，超低功耗。</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3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留样冰箱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600*760*1950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冷却方式：风冷；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温度范围：0℃～+8℃；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门体材料：铝合金玻璃门，带暗锁；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内外为SUS304全不锈钢材料,背部和底部为镀锌板材料，防锈抗腐,微电脑温度显示器,聚胺脂高压发泡。</w:t>
            </w:r>
            <w:r/>
          </w:p>
        </w:tc>
      </w:tr>
      <w:tr>
        <w:trPr>
          <w:trHeight w:val="118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柜身：采用SUS304不锈钢板厚度1.0mm；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柜门：采用SUS304不锈钢板厚度1.0mm，整体聚氨酯发泡；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胶条：嵌入式硅胶条；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  功率：4.2kw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篮筐：采用SUS304不锈钢钢丝φ5mm；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篮筐尺寸：400*500*200mm，配8个；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采用定时热控型温控器制作，具有温度显示功能；控温范围：50-150度；</w:t>
            </w:r>
            <w:r/>
          </w:p>
        </w:tc>
      </w:tr>
      <w:tr>
        <w:trPr>
          <w:trHeight w:val="20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四格保温台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电压/功率：220V 3KW; 电加热：恒温控制器，防干烧保护；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配4个带盖份数盒530*325*150</w:t>
            </w:r>
            <w:r/>
          </w:p>
        </w:tc>
      </w:tr>
      <w:tr>
        <w:trPr>
          <w:trHeight w:val="17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格栅层板：采用SUS304不锈钢板厚度1.2mm；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下层横管：采用SUS304不锈钢方管25*50*1.2mm;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18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底边：暗沟式定位滑槽，上滑道、静音吊轮，双层门；台脚：采用可调不锈钢重力脚。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洗消间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84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洗地龙头黑色软管材质：钢丝油压管；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胶管选用特种合成橡胶配合制成，具有优良的耐油、耐热、耐老化性能；外壳黑色碳钢喷塑,自动回卷。</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7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空气能长龙式洗碗机带烘干</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4200*1020*2270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机器入口宽度：605mm</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最大洗涤高度：420mm</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最大洗涤量：3000-4500碟/小时</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耗水量：300-350L </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洗涤温度：55-60℃</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漂洗温度：80-85℃</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进水压力：0.15-0.4Mpa </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电源要求：380V，功率：36kw</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触摸屏面板，PLC编程，数码温度显示。入口和出口带有蒸汽回收系统，洗碗间无需另配排汽设备，该系统能减少蒸汽外溢，给洗碗间一个干燥的环境并且利用空气能系统与冷水进行热交换，使冷水升温，达到节能效果。入口带有红外线传感器，自动检测餐具进入洗碗机，自动启/停清洗系统，实现节能减排。采用了空气能系统（HPS），控制逻辑合理选材精良，排气保护、过流保护、相序保护、出水温度过高保护、高低压保护等多方面保护功能全智能化控制。超低的漂洗用水量,大大节省电力、催干剂和洗涤剂用量。内置式漂洗加热器和漂</w:t>
            </w:r>
            <w:r>
              <w:rPr>
                <w:rFonts w:hint="eastAsia" w:ascii="宋体" w:hAnsi="宋体" w:eastAsia="宋体" w:cs="宋体"/>
                <w:i w:val="0"/>
                <w:iCs w:val="0"/>
                <w:color w:val="auto"/>
                <w:sz w:val="20"/>
                <w:szCs w:val="20"/>
                <w:highlight w:val="none"/>
                <w:u w:val="none"/>
                <w:lang w:val="en-US" w:eastAsia="zh-CN" w:bidi="ar"/>
              </w:rPr>
              <w:t xml:space="preserve">洗泵,并设有保护装置,从而保证水压的稳定。配置出口限位，开门水泵停止运行，防飞溅，电机过载保护等多重安全保护设置,更具人性化。前门双层壁式结构隔热、隔噪音,开启高度任意调节,操作感舒适并节省能源。上下洗涤臂拆装十分方便,只需轻轻一扣便可紧锁。双道喷淋系统，入口端配置不锈钢钩齿，防止餐具掉落内部。烘干系统由强力离心风机和干烧电热管组成。洗涤后的餐具经过烘干箱由强力热风吹干 对餐具进行消毒杀菌烘干等处理。输送链排装置采用耐热、耐腐蚀、卫生无毒、强度高造型美观的工程塑料网爪，适用范围广。传送系统采用变频控制电机。</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环保型去油污机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650*235*580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保型餐具去油污机是以纯物理反应的原理,通过高能矿石及序化技术，改变水分子的物理特性使其负离子化，因着湿润与浸透作用，把油污打碎形成“水包油”的状态，利用水分子产生的物理效应，快速去除掉餐盘上的油污，不仅取代机洗剂的化学作用，而且可令排放水达到环保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序化水分子是以高渗透方式进入到陈垢组织内部，浸润分解积垢，化为松散浆状排走，从而使洗碗机体里面保持干净、延长使用寿命。同时抑制乳化反应形成，保持厨房下水道畅通无异味。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整机为304不锈钢材质</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活动工作台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台脚：2个5寸定向轮，2个5寸带刹车万向轮。</w:t>
            </w:r>
            <w:r/>
          </w:p>
        </w:tc>
      </w:tr>
      <w:tr>
        <w:trPr>
          <w:trHeight w:val="16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238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柜身：采用SUS304不锈钢板厚度1.0mm；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柜门：采用SUS304不锈钢板厚度1.0mm，整体聚氨酯发泡；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胶条：嵌入式硅胶条；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  功率：4.2kw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篮筐：采用SUS304不锈钢钢丝φ5mm；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篮筐尺寸：400*500*200mm，配8个；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采用定时热控型温控器制作，具有温度显示功能；控温范围：50-150度；</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挂墙式电热水器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100L</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内胆材质：金圭内胆</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大三门风冷陈列柜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1820*760*1955</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温度范围：0-10℃ 制冷方式：风冷</w:t>
            </w:r>
            <w:r/>
          </w:p>
        </w:tc>
      </w:tr>
      <w:tr>
        <w:trPr>
          <w:trHeight w:val="19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30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保温送餐车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120份</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车身内胆：采用SUS304不锈钢板1.2mm制作；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角条：采用SUS304不锈钢板1.0mm制作；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侧板：采用SUS304不锈钢板1.2mm制作；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门板：采用SUS304不锈钢板1.0mm制作；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脚轮：采用两只5寸带刹车万向轮，两只5寸万向脚轮，防止餐车打滑；门把拉手:磁性拉锁；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铰链:采用SUS304不锈钢制作；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电压：220V；功    率：4KW；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该餐车底部放置水盆,保证饭菜的湿度和温度，温度保持在40℃~70℃可调节 采用微电脑时间水位温度控制器主板制作，具有防干烧功能。</w:t>
            </w:r>
            <w:r/>
          </w:p>
        </w:tc>
      </w:tr>
      <w:tr>
        <w:trPr>
          <w:trHeight w:val="148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保温汤台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配一个φ380汤桶带盖</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双层回收车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推杆：采用SUS304不锈钢方管25*25*1.2mm；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单孔脏物台柜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台脚：采用可调不锈钢重力脚。</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带钭推车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900*600*800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围板：采用SUS304不锈钢板厚度1.5mm；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推杆：采用SUS304不锈钢方管25*25*1.2mm；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配SUS304不锈钢圆管φ25*1.0mm；氩焊处满焊；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金属外壳，高效隔离，配门帘</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二层厨房</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二更&amp;备餐间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灯管：石英高压放电管，紫外线,电压/功率：220V/0.036KW；波长：200～290nm；强力杀菌，效率高，时间短。</w:t>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挂墙式双星洗手水池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900*450*250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                                              </w:t>
            </w:r>
            <w:r>
              <w:rPr>
                <w:rFonts w:hint="eastAsia" w:ascii="宋体" w:hAnsi="宋体" w:eastAsia="宋体" w:cs="宋体"/>
                <w:i w:val="0"/>
                <w:iCs w:val="0"/>
                <w:color w:val="auto"/>
                <w:sz w:val="20"/>
                <w:szCs w:val="20"/>
                <w:highlight w:val="none"/>
                <w:u w:val="none"/>
                <w:lang w:val="en-US" w:eastAsia="zh-CN" w:bidi="ar"/>
              </w:rPr>
              <w:t xml:space="preserve">                                                                                            星盆:采用SUS304不锈钢板厚度1.2mm；星盆深度160mm。                                                                                                                       挂墙安装，配不锈钢落水。</w:t>
            </w:r>
            <w:r/>
          </w:p>
        </w:tc>
      </w:tr>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烘手机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250*165*470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  功率：1250W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风速：&gt;80m/s</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自动杀菌净手器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248*190*520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  功率：20W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产品容量：2000ml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感应距离：8-12cm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出液方式：自动感应式</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全铜材质，交直流两用型。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红外线感应，超低功耗。</w:t>
            </w:r>
            <w:r/>
          </w:p>
        </w:tc>
      </w:tr>
      <w:tr>
        <w:trPr>
          <w:trHeight w:val="17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3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25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柜身：采用SUS304不锈钢板厚度1.0mm；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柜门：采用SUS304不锈钢板厚度1.0mm，整体聚氨酯发泡；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胶条：嵌入式硅胶条；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  功率：4.2kw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篮筐：采用SUS304不锈钢钢丝φ5mm；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篮筐尺寸：400*500*200mm，配8个；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采用定时热控型温控器制作，具有温度显示功能；控温范围：50-150度；</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四格保温台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电压/功率：220V 3KW; 电加热：恒温控制器，防干烧保护；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配4个带盖份数盒530*325*150</w:t>
            </w:r>
            <w:r/>
          </w:p>
        </w:tc>
      </w:tr>
      <w:tr>
        <w:trPr>
          <w:trHeight w:val="22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底边：暗沟式定位滑槽；上滑道、静音吊轮；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台脚：采用可调不锈钢重力脚。</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底边：暗沟式定位滑槽，上滑道、静音吊轮，双层门；台脚：采用可调不锈钢重力脚。</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洗消间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16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环保型去油污机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650*235*580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保型餐具去油污机是以纯物理反应的原理,通过高能矿石及序化技术，改变水分子的物理特性使其负离子化，因着湿润与浸透作用，把油污打碎形成“水包油”的状态，利用水分子产生的物理效应，快速去除掉餐盘上的油污，不仅取代机洗剂的化学作用，而且可令排放水达到环保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序化水分子是以高渗透方式进入到陈垢组织内部，浸润分解积垢，化为松散浆状排走，从而使洗碗机体里面保持干净、延长使用寿命。同时抑制乳化反应形成，保持厨房下水道畅通无异味。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整机为304不锈钢材质</w:t>
            </w:r>
            <w:r/>
          </w:p>
        </w:tc>
      </w:tr>
      <w:tr>
        <w:trPr>
          <w:trHeight w:val="13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活动工作台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台脚：2个5寸定向轮，2个5寸带刹车万向轮。</w:t>
            </w:r>
            <w:r/>
          </w:p>
        </w:tc>
      </w:tr>
      <w:tr>
        <w:trPr>
          <w:trHeight w:val="16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64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洗地龙头黑色软管材质：钢丝油压管；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胶管选用特种合成橡胶配合制成，具有优良的耐油、耐热、耐老化性能；外壳黑色碳钢喷塑,自动回卷。</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开水器连底座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850*800*1500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电压：380V  功率：15KW；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内胆：采用SUS304不锈钢板厚度1.5mm。</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主食库&amp;副食库</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平板式机制折弯成型，承受力强，焊接连接，坚固耐用，易清洁；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不锈钢地架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1200*500*250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框架：采用SUS304不锈钢方管38*38*1.0mm；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10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除湿机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480*435*950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排水方式：外接软管直排式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空气过滤：高密度双层过滤网</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保洁间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5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柜身：采用SUS304不锈钢板厚度1.0mm；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柜门：采用SUS304不锈钢板厚度1.0mm，整体聚氨酯发泡；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胶条：嵌入式硅胶条；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  功率：4.2kw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篮筐：采用SUS304不锈钢钢丝φ5mm；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篮筐尺寸：400*500*200mm，配8个；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采用定时热控型温控器制作，具有温度显示功能；控温范围：50-150度；</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灯管：石英高压放电管，紫外线,电压/功率：220V/0.036KW；波长：200～290nm；强力杀菌，效率高，时间短。</w:t>
            </w:r>
            <w:r/>
          </w:p>
        </w:tc>
      </w:tr>
      <w:tr>
        <w:trPr>
          <w:trHeight w:val="18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底边：暗沟式定位滑槽，上滑道、静音吊轮，双层门；台脚：采用可调不锈钢重力脚。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挂墙式电热水器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100L</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内胆材质：金圭内胆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大三门风冷陈列柜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1820*760*1955</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温度范围：0-10℃ 制冷方式：风冷</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30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保温送餐车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120份</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车身内胆：采用SUS304不锈钢板1.2mm制作；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角条：采用SUS304不锈钢板1.0mm制作；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侧板：采用SUS304不锈钢板1.2mm制作；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门板：采用SUS304不锈钢板1.0mm制作；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脚轮：采用两只5寸带刹车万向轮，两只5寸万向脚轮，防止餐车打滑；门把拉手:磁性拉锁；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铰链:采用SUS304不锈钢制作；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电压：220V；功    率：4KW；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该餐车底部放置水盆,保证饭菜的湿度和温度，温度保持在40℃~70℃可调节 采用微电脑时间水位温度控制器主板制作，具有防干烧功能。</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保温汤台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配一个φ380汤桶带盖</w:t>
            </w:r>
            <w:r/>
          </w:p>
        </w:tc>
      </w:tr>
      <w:tr>
        <w:trPr>
          <w:trHeight w:val="12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双层回收车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推杆：采用SUS304不锈钢方管25*25*1.2mm；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p>
        </w:tc>
      </w:tr>
      <w:tr>
        <w:trPr>
          <w:trHeight w:val="19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单孔脏物台柜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台脚：采用可调不锈钢重力脚。</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带钭推车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900*600*800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围板：采用SUS304不锈钢板厚度1.5mm；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推杆：采用SUS304不锈钢方管25*25*1.2mm；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配SUS304不锈钢圆管φ25*1.0mm；氩焊处满焊；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金属外壳，高效隔离，配门帘</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三层厨房</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二更&amp;备餐间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灯管：石英高压放电管，紫外线,电压/功率：220V/0.036KW；波长：200～290nm；强力杀菌，效率高，时间短。</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挂墙式双星洗手水池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900*450*250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                                              </w:t>
            </w:r>
            <w:r>
              <w:rPr>
                <w:rFonts w:hint="eastAsia" w:ascii="宋体" w:hAnsi="宋体" w:eastAsia="宋体" w:cs="宋体"/>
                <w:i w:val="0"/>
                <w:iCs w:val="0"/>
                <w:color w:val="auto"/>
                <w:sz w:val="20"/>
                <w:szCs w:val="20"/>
                <w:highlight w:val="none"/>
                <w:u w:val="none"/>
                <w:lang w:val="en-US" w:eastAsia="zh-CN" w:bidi="ar"/>
              </w:rPr>
              <w:t xml:space="preserve">                                                                                            星盆:采用SUS304不锈钢板厚度1.2mm；星盆深度160mm。                                                                                                                       挂墙安装，配不锈钢落水。</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烘手机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250*165*470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  功率：1250W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风速：&gt;80m/s</w:t>
            </w:r>
            <w:r/>
          </w:p>
        </w:tc>
      </w:tr>
      <w:tr>
        <w:trPr>
          <w:trHeight w:val="12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自动杀菌净手器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248*190*520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  功率：20W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产品容量：2000ml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感应距离：8-12cm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出液方式：自动感应式</w:t>
            </w:r>
            <w:r/>
          </w:p>
        </w:tc>
      </w:tr>
      <w:tr>
        <w:trPr>
          <w:trHeight w:val="7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感应龙头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全铜材质，交直流两用型。</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红外线感应，超低功耗。</w:t>
            </w:r>
            <w:r/>
          </w:p>
        </w:tc>
      </w:tr>
      <w:tr>
        <w:trPr>
          <w:trHeight w:val="16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600*600*800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25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柜身：采用SUS304不锈钢板厚度1.0mm；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柜门：采用SUS304不锈钢板厚度1.0mm，整体聚氨酯发泡；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胶条：嵌入式硅胶条；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  功率：4.2kw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篮筐：采用SUS304不锈钢钢丝φ5mm；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篮筐尺寸：400*500*200mm，配8个；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采用定时热控型温控器制作，具有温度显示功能；控温范围：50-150度；</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四格保温台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电压/功率：220V 3KW; 电加热：恒温控制器，防干烧保护；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配4个带盖份数盒530*325*150</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格栅层板：采用SUS304不锈钢板厚度1.2mm；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下层横管：采用SUS304不锈钢方管25*50*1.2mm;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洗消间&amp;保洁间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71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空气能长龙式洗碗机带烘干</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4200*1020*2270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机器入口宽度：605mm</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最大洗涤高度：420mm</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最大洗涤量：3000-4500碟/小时</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耗水量：300-350L </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洗涤温度：55-60℃</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漂洗温度：80-85℃</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进水压力：0.15-0.4Mpa </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电源要求：380V，功率：36kw</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触摸屏面板，PLC编程，数码温度显示。入口和出口带有蒸汽回收系统，洗碗间无需另配排汽设备，该系统能减少蒸汽外溢，给洗碗间一个干燥的环境并且利用空气能系统与冷水进行热交换，使冷水升温，达到节能效果。入口带有红外线传感器，自动检测餐具进入洗碗机，自动启/停清洗系统，实现节能减排。采用了空气能系统（HPS），控制逻辑合理选材精良，排气保护、过流保护、相序保护、出水温度过高保护、高低压保护等多方面保护功能全智能化控制。超低的漂洗用水量,大大节省电力、催干剂和洗涤剂用量。内置式漂洗加热器和漂</w:t>
            </w:r>
            <w:r>
              <w:rPr>
                <w:rFonts w:hint="eastAsia" w:ascii="宋体" w:hAnsi="宋体" w:eastAsia="宋体" w:cs="宋体"/>
                <w:i w:val="0"/>
                <w:iCs w:val="0"/>
                <w:color w:val="auto"/>
                <w:sz w:val="20"/>
                <w:szCs w:val="20"/>
                <w:highlight w:val="none"/>
                <w:u w:val="none"/>
                <w:lang w:val="en-US" w:eastAsia="zh-CN" w:bidi="ar"/>
              </w:rPr>
              <w:t xml:space="preserve">洗泵,并设有保护装置,从而保证水压的稳定。配置出口限位，开门水泵停止运行，防飞溅，电机过载保护等多重安全保护设置,更具人性化。前门双层壁式结构隔热、隔噪音,开启高度任意调节,操作感舒适并节省能源。上下洗涤臂拆装十分方便,只需轻轻一扣便可紧锁。双道喷淋系统，入口端配置不锈钢钩齿，防止餐具掉落内部。烘干系统由强力离心风机和干烧电热管组成。洗涤后的餐具经过烘干箱由强力热风吹干 对餐具进行消毒杀菌烘干等处理。输送链排装置采用耐热、耐腐蚀、卫生无毒、强度高造型美观的工程塑料网爪，适用范围广。传送系统采用变频控制电机。</w:t>
            </w:r>
            <w:r/>
          </w:p>
        </w:tc>
      </w:tr>
      <w:tr>
        <w:trPr>
          <w:trHeight w:val="22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环保型去油污机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650*235*580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环保型餐具去油污机是以纯物理反应的原理,通过高能矿石及序化技术，改变水分子的物理特性使其负离子化，因着湿润与浸透作用，把油污打碎形成“水包油”的状态，利用水分子产生的物理效应，快速去除掉餐盘上的油污，不仅取代机洗剂的化学作用，而且可令排放水达到环保标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序化水分子是以高渗透方式进入到陈垢组织内部，浸润分解积垢，化为松散浆状排走，从而使洗碗机体里面保持干净、延长使用寿命。同时抑制乳化反应形成，保持厨房下水道畅通无异味。</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整机为304不锈钢材质</w:t>
            </w:r>
            <w:r/>
          </w:p>
        </w:tc>
      </w:tr>
      <w:tr>
        <w:trPr>
          <w:trHeight w:val="148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活动工作台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台脚：2个5寸定向轮，2个5寸带刹车万向轮。</w:t>
            </w:r>
            <w:r/>
          </w:p>
        </w:tc>
      </w:tr>
      <w:tr>
        <w:trPr>
          <w:trHeight w:val="19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0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L=11M</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洗地龙头黑色软管材质：钢丝油压管；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胶管选用特种合成橡胶配合制成，具有优良的耐油、耐热、耐老化性能；外壳黑色碳钢喷塑,自动回卷。</w:t>
            </w:r>
            <w:r/>
          </w:p>
        </w:tc>
      </w:tr>
      <w:tr>
        <w:trPr>
          <w:trHeight w:val="13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10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开水器连底座</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850*800*1500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电压：380V  功率：15KW；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内胆：采用SUS304不锈钢板厚度1.5mm。</w:t>
            </w:r>
            <w:r/>
          </w:p>
        </w:tc>
      </w:tr>
      <w:tr>
        <w:trPr>
          <w:trHeight w:val="28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1300*650*1850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柜身：采用SUS304不锈钢板厚度1.0mm；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柜门：采用SUS304不锈钢板厚度1.0mm，整体聚氨酯发泡；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胶条：嵌入式硅胶条；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  功率：4.2kw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篮筐：采用SUS304不锈钢钢丝φ5mm；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篮筐尺寸：400*500*200mm，配8个；</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采用定时热控型温控器制作，具有温度显示功能；控温范围：50-150度；</w:t>
            </w:r>
            <w:r/>
          </w:p>
        </w:tc>
      </w:tr>
      <w:tr>
        <w:trPr>
          <w:trHeight w:val="8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紫外线杀菌灯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灯管：石英高压放电管，紫外线,电压/功率：220V/0.036KW；波长：200～290nm；强力杀菌，效率高，时间短。</w:t>
            </w:r>
            <w:r/>
          </w:p>
        </w:tc>
      </w:tr>
      <w:tr>
        <w:trPr>
          <w:trHeight w:val="19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底边：暗沟式定位滑槽，上滑道、静音吊轮，双层门；台脚：采用可调不锈钢重力脚。</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仓库</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四层平板货架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平板式机制折弯成型，承受力强，焊接连接，坚固耐用，易清洁；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早餐间&amp;加工间</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2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两格保温台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电压/功率：220V 3KW; 电加热：恒温控制器，防干烧保护；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配2个带盖份数盒530*325*150</w:t>
            </w:r>
            <w:r/>
          </w:p>
        </w:tc>
      </w:tr>
      <w:tr>
        <w:trPr>
          <w:trHeight w:val="22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双移门工作柜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1500*600*800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底边：暗沟式定位滑槽；上滑道、静音吊轮；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台脚：采用可调不锈钢重力脚。</w:t>
            </w:r>
            <w:r/>
          </w:p>
        </w:tc>
      </w:tr>
      <w:tr>
        <w:trPr>
          <w:trHeight w:val="22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电磁单眼大锅灶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1100*1200*800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功率：25kw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电压：380V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前板/背板：采用SUS304不锈钢板厚度1.0mm；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炉架：采用SUS304不锈钢方管38*25*1.2mm；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炉脚：采用不锈钢可调子弹脚；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微晶面板，坚固耐用；聚能线圈盘，火力均匀强劲；散热系统设计，散热高效；</w:t>
            </w:r>
            <w:r/>
          </w:p>
        </w:tc>
      </w:tr>
      <w:tr>
        <w:trPr>
          <w:trHeight w:val="18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电磁单眼矮汤炉</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650*700*500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功率：15kw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电压：380V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脚通：采用SUS304不锈钢圆管φ50*1.0mm；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炉脚：采用不锈钢可调子弹脚；</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调料台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500*1200*800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24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电磁单眼炒灶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1100*1200*800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功率：25kw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电压：380V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前板/背板：采用SUS304不锈钢板厚度1.0mm；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炉架：采用SUS304不锈钢方管38*25*1.2mm；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炉脚：采用不锈钢可调子弹脚；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微晶面板，坚固耐用；聚能线圈盘，火力均匀强劲；散热系统设计，散热高效；</w:t>
            </w:r>
            <w:r/>
          </w:p>
        </w:tc>
      </w:tr>
      <w:tr>
        <w:trPr>
          <w:trHeight w:val="23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3350*1300*990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1、净化效率≥98%，设备电场采用钢性好、不易变形、使用寿命长的全不锈钢电场。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2、设备采用智能高压高数字电流，能自行调节电流大小，并可选择高效或智能运行模式。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3、内置低噪音离心风机，电机性能稳定，寿命长，独立包装，可在安装现场调整方向，可前/上/后三向出风。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4、烟罩具有智能触控操作面板，杜绝按键失灵，智能诊断多种工作状态显示。</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3350*2000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采用SUS304不锈钢板厚度1.2mm。</w:t>
            </w:r>
            <w:r/>
          </w:p>
        </w:tc>
      </w:tr>
      <w:tr>
        <w:trPr>
          <w:trHeight w:val="10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电热铛</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650*850*900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    压：380V；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    率：4.8kw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    径：53CM；</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保洁柜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1100*500*1800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层板：采用SUS304不锈钢板厚度1.2mm；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底边：暗沟式定位滑槽，上滑道、静音吊轮，双层门；台脚：采用可调不锈钢重力脚。</w:t>
            </w:r>
            <w:r/>
          </w:p>
        </w:tc>
      </w:tr>
      <w:tr>
        <w:trPr>
          <w:trHeight w:val="17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500*500*800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单眼水池</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星盆深度400mm，配不锈钢落水；</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三边围板：采用SUS304不锈钢板厚度0.8mm；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7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双温</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镀铬镍黄铜本体。</w:t>
            </w:r>
            <w:r/>
          </w:p>
        </w:tc>
      </w:tr>
      <w:tr>
        <w:trPr>
          <w:trHeight w:val="178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620*620*1020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电压：380V；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功率：0.75KW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转速:120/240/468/转/分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料筒容积：30L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配置：1桶、1球、1勾、1扇、安全网</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手持台式两用</w:t>
            </w:r>
            <w:r/>
          </w:p>
        </w:tc>
      </w:tr>
      <w:tr>
        <w:trPr>
          <w:trHeight w:val="13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四门风冷双温冰箱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1200*760*1950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冷却方式：风冷；</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温度范围：0℃～+8℃及0℃～-18℃；</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内外为SUS304不锈钢材料,背部和底部为镀锌板材料,防锈抗腐,微电脑温度显示器,聚胺脂高压发泡。</w:t>
            </w:r>
            <w:r/>
          </w:p>
        </w:tc>
      </w:tr>
      <w:tr>
        <w:trPr>
          <w:trHeight w:val="18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双层工作台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1800*800*800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格栅层板：采用SUS304不锈钢板厚度1.2mm；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下层横管：采用SUS304不锈钢方管25*50*1.2mm;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台脚：采用可调不锈钢子弹脚。</w:t>
            </w:r>
            <w:r/>
          </w:p>
        </w:tc>
      </w:tr>
      <w:tr>
        <w:trPr>
          <w:trHeight w:val="23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油烟净化一体机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3150*1300*990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材质采用SUS304不锈钢板厚度1.0mm制作；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1、净化效率≥98%，设备电场采用钢性好、不易变形、使用寿命长的全不锈钢电场。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2、设备采用智能高压高数字电流，能自行调节电流大小，并可选择高效或智能运行模式。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3、内置低噪音离心风机，电机性能稳定，寿命长，独立包装，可在安装现场调整方向，可前/上/后三向出风。</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4、烟罩具有智能触控操作面板，杜绝按键失灵，智能诊断多种工作状态显示。</w:t>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3150*2000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采用SUS304不锈钢板厚度1.2mm。</w:t>
            </w:r>
            <w:r/>
          </w:p>
        </w:tc>
      </w:tr>
      <w:tr>
        <w:trPr>
          <w:trHeight w:val="31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双门蒸柜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24盘</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蒸饭:120KG,24盘；</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箱体：采用SUS304不锈钢板厚度1.0mm；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内胆：采用SUS304不锈钢板厚度1.0mm；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搁条：采用SUS304不锈钢板厚度1.0mm，一次性折弯成型，宽度15mm；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框架：采用SUS304不锈钢板厚度1.0mm制作；</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饭盘：采用SUS304不锈钢板厚度0.8mm制作，每台配置24个冲孔饭盘；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保温：箱体采用保温棉，其他聚氨酯发泡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门：采用SUS304不锈钢板厚度1.0mm，整体聚氨酯发泡。</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手柄：旋进式高强度门锁，安全可靠；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密封条：橡胶条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电压：380V；功率：12KW*2</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采用微电脑时间水位温度控制器主板制作，具有防干烧功能。</w:t>
            </w:r>
            <w:r/>
          </w:p>
        </w:tc>
      </w:tr>
      <w:tr>
        <w:trPr>
          <w:trHeight w:val="19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三层六盘电烤箱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1320*1100*1780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电压：380V；功率：16.5KW，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每层内堂尺寸1255*704*220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标准盘尺寸400mm*600mm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不锈钢拉手，特殊工艺不传热，避免烫伤</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电脑控制器内部设有多组温度调节程序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烤炉设有排湿系统装置，可根据烘焙产品湿度大小随意调节。高精准温控排布技术配合上下独立温控系统±1-3℃。</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四层格栅货架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1200*500*1500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格栅：采用SUS304不锈钢板厚度1.5mm；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承受力强，焊接连接，坚固耐用，易清洁；</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柱脚：采用可调不锈钢子弹脚。</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餐厅</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大三门风冷陈列柜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1820*760*1955</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温度范围：0-10℃ 制冷方式：风冷</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粘捕式灭蝇灯</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395*120*290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电压：220V</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功率：16W</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灯管：2*8w灭蝇灯灯管，灯光波长在365nm最有效吸引蚊虫苍蝇。</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覆盖面积≥40㎡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外壳ABS防阻燃材料，</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双面粘板在使用过程能保持完全敞开，通过粘捕纸粘黏蚊蝇。耗能低，无异味，无辐射</w:t>
            </w:r>
            <w:r/>
          </w:p>
        </w:tc>
      </w:tr>
      <w:tr>
        <w:trPr>
          <w:trHeight w:val="29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保温送餐车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120份</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车身内胆：采用SUS304不锈钢板1.2mm制作；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角条：采用SUS304不锈钢板1.0mm制作；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侧板：采用SUS304不锈钢板1.2mm制作；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门板：采用SUS304不锈钢板1.0mm制作；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脚轮：采用两只5寸带刹车万向轮，两只5寸万向脚轮，防止餐车打滑；门把拉手:磁性拉锁；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铰链:采用SUS304不锈钢制作；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电压：220V；功    率：4KW；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该餐车底部放置水盆,保证饭菜的湿度和温度，温度保持在40℃~70℃可调节 采用微电脑时间水位温度控制器主板制作，具有防干烧功能。</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保温汤台</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1100*700*800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配一个φ380汤桶带盖</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双层回收车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推杆：采用SUS304不锈钢方管25*25*1.2mm；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单孔脏物台柜</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750*750*800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下衬15mm细木工板；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柜门：采用SUS304不锈钢板厚度1.0mm；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门胆：采用SUS304不锈钢板厚度0.8mm；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台脚：采用可调不锈钢重力脚。</w:t>
            </w:r>
            <w:r/>
          </w:p>
        </w:tc>
      </w:tr>
      <w:tr>
        <w:trPr>
          <w:trHeight w:val="154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带钭推车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900*600*800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围板：采用SUS304不锈钢板厚度1.5mm；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推杆：采用SUS304不锈钢方管25*25*1.2mm；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配SUS304不锈钢圆管φ25*1.0mm；氩焊处满焊；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风幕机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金属外壳，高效隔离，配门帘</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排油烟系统</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一层主厨房高压风机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15KW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功率：15KW;电压：380V,八角包柱，外观采用不锈钢板制作，四周隔音，弹簧式防震器，槽钢底架，外接注油孔，欧式皮带轮。</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34000m³/h</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外壳采用不锈钢材质，内材不锈钢铝电热板；箱体结构精巧，电场发生器为平板结构，净化能率强；高频高压电源工作频率高，短路保护，空载保护，电压：220V 功率：1KW。净化效率高达98%以上。</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净化器/风机支架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采用4#槽钢制作，涂层防锈漆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不锈钢顶风管</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45°弯头1000*800</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帆布接头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采用帆布制作。</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1200*600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采用镀锌板制作，外涂防锈漆，性能：手动可使阀门打开，手动复位。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防震垫</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采用50mm厚度天然胶制作。</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风机启动箱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配15KW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功率15KW,避免电动机起动时过大的起动电流对供电线路影响，并且对风机电动机起到短路、缺相、过载、失压等保护作用。</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一层主厨房高压风机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18.5KW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功率：18.5KW;电压：380V,八角包柱，外观采用不锈钢板制作，四周隔音，弹簧式防震器，槽钢底架，外接注油孔，欧式皮带轮。</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42000m³/h</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外壳采用不锈钢材质，内材不锈钢铝电热板；箱体结构精巧，电场发生器为平板结构，净化能率强；高频高压电源工作频率高，短路保护，空载保护，电压：220V 功率：1KW。净化效率高达98%以上。</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净化器/风机支架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采用4#槽钢制作，涂层防锈漆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不锈钢顶风管</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600*600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1400*700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178.9</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45°弯头1000*1000</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1000*1000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1400*700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帆布接头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采用帆布制作。</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1400*700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采用镀锌板制作，外涂防锈漆，性能：手动可使阀门打开，手动复位。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防震垫</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采用50mm厚度天然胶制作。</w:t>
            </w:r>
            <w:r/>
          </w:p>
        </w:tc>
      </w:tr>
      <w:tr>
        <w:trPr>
          <w:trHeight w:val="67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风机启动箱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配18.5KW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功率18.5KW,避免电动机起动时过大的起动电流对供电线路影响，并且对风机电动机起到短路、缺相、过载、失压等保护作用。</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三层早餐间中压风机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5.5KW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功率：5.5KW;电压：380V,八角包柱，外观采用不锈钢板制作，四周隔音，弹簧式防震器，槽钢底架，外接注油孔，欧式皮带轮。</w:t>
            </w:r>
            <w:r/>
          </w:p>
        </w:tc>
      </w:tr>
      <w:tr>
        <w:trPr>
          <w:trHeight w:val="91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14000m³/h</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外壳采用不锈钢材质，内材不锈钢铝电热板；箱体结构精巧，电场发生器为平板结构，净化能率强；高频高压电源工作频率高，短路保护，空载保护，电压：220V 功率：1KW。净化效率高达98%以上。</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净化器/风机支架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采用4#槽钢制作，涂层防锈漆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不锈钢顶风管</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不锈钢风管</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700*350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116.9</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45°弯头500*500</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不锈钢弯头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700*350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不锈钢大小头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帆布接头</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采用帆布制作。</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700*350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采用镀锌板制作，外涂防锈漆，性能：手动可使阀门打开，手动复位。</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防震垫</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采用50mm厚度天然胶制作。</w:t>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风机启动箱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配5.5KW</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功率5.5KW,避免电动机起动时过大的起动电流对供电线路影响，并且对风机电动机起到短路、缺相、过载、失压等保护作用。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主厨房连接管</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400*400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早餐间连接管</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300*300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采用SUS304厚度1.5mm不锈钢制作，满焊连接，所有焊缝打磨处理</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挂墙式水杯架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1000*200*500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台面：采用SUS304不锈钢板厚度1.5mm；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层板：采用SUS304不锈钢板厚度1.0mm；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侧板：采用SUS304不锈钢板厚度1.0mm；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背板：采用SUS304不锈钢板厚度0.8mm；</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双层送餐车</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800*500*800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面板：采用SUS304不锈钢板厚度1.5mm；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推杆：采用SUS304不锈钢方管25*25*1.2mm；   </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脚通：采用SUS304不锈钢方管38*38*1.2mm；</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台脚：2个4寸定向轮，2个4寸带刹车万向轮。</w:t>
            </w:r>
            <w:r/>
          </w:p>
        </w:tc>
      </w:tr>
      <w:tr>
        <w:trPr>
          <w:trHeight w:val="439"/>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厨房小件</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tcPr>
          <w:p>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不锈钢快餐盘带盖</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五格</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不锈钢双层汤碗</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φ120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不锈钢筷子</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L=230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密胺面碗</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φ203*83</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采用密胺制作。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密胺快餐盘</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410*260*22</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采用密胺制作。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切菜刀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斩骨刀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62"/>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削皮刀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聚酯切菜板</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600*400*20/绿色16块，蓝色2块，红色6块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采用优质PE材质制作。</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聚酯圆形切菜板</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φ430*40/红色2块，白色2块</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采用优质PE材质制作。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铲刀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大号</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打菜勺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3两</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打汤勺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8两</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不锈钢笊篱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塑料菜筐</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中号/红色/蓝色/绿色</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采用人体无害的工程塑料一次性注塑成型。</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不锈钢脸盆</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不锈钢脸盆</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不锈钢脸盆</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厨余垃圾桶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120升</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采用优质工程材料制作，经久耐用。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圆形垃圾桶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80升</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采用优质工程材料制作，经久耐用。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刀叉框</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采用优质PP材料制作。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不锈钢提桶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不锈钢方盘</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600*400*40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长柄水勺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炒勺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12两</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漏勺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宽边油隔</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φ260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打饭勺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洗米箩</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φ450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荷花夹</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9寸</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铲刀头连不锈钢柄</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油钵</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φ300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刨刀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小号</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刀片:采用不锈钢制作;手柄：采用工程塑料制作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鱼鳞刨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3寸</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肉锤</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大号</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水果刀</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10寸</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不锈钢留样盒</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120*120*45</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份数盒连盖</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1/1*10"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份数盒连盖</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收纳整理箱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630*470*380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采用聚丙烯制作.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收纳整理箱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450*340*280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采用聚丙烯制作.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收纳整理箱</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360*250*140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采用聚丙烯制作.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打蛋器</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12寸</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油石</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10寸</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采用金刚砂制作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催干剂</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20L</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本品含多种表面活性剂复配而成，用于洗碗机最后过水，使餐具快速干燥。</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耐高温手套</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大号</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副</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防火布、优质隔热棉</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278</w:t>
            </w:r>
            <w:r/>
          </w:p>
        </w:tc>
        <w:tc>
          <w:tcPr>
            <w:shd w:val="clear" w:color="auto" w:fill="ffffff"/>
            <w:tcBorders>
              <w:top w:val="single" w:color="000000" w:sz="4" w:space="0"/>
              <w:left w:val="single" w:color="000000" w:sz="4" w:space="0"/>
              <w:bottom w:val="single" w:color="000000" w:sz="4" w:space="0"/>
              <w:right w:val="single" w:color="000000" w:sz="4" w:space="0"/>
            </w:tcBorders>
            <w:tcW w:w="1604"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铁锅</w:t>
            </w:r>
            <w:r/>
          </w:p>
        </w:tc>
        <w:tc>
          <w:tcPr>
            <w:shd w:val="clear" w:color="auto" w:fill="ffffff"/>
            <w:tcBorders>
              <w:top w:val="single" w:color="000000" w:sz="4" w:space="0"/>
              <w:left w:val="single" w:color="000000" w:sz="4" w:space="0"/>
              <w:bottom w:val="single" w:color="000000" w:sz="4" w:space="0"/>
              <w:right w:val="single" w:color="000000" w:sz="4" w:space="0"/>
            </w:tcBorders>
            <w:tcW w:w="1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φ860</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采用生铁材质。</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不锈钢保温桶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20L</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不锈钢小马斗</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不锈钢快餐盘</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四格</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采用SUS304不锈钢制作。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筷子消毒机</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315*265*245</w:t>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独立提篮，不锈钢机身</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不锈钢桶带盖</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不锈钢保温汤桶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350*350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不锈钢保温汤桶</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500*500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采用不锈钢制作。</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挂壁式风扇</w:t>
            </w:r>
            <w:r/>
          </w:p>
        </w:tc>
        <w:tc>
          <w:tcPr>
            <w:shd w:val="clear" w:color="auto" w:fill="auto"/>
            <w:tcBorders>
              <w:top w:val="single" w:color="000000" w:sz="4" w:space="0"/>
              <w:left w:val="single" w:color="000000" w:sz="4" w:space="0"/>
              <w:bottom w:val="single" w:color="000000" w:sz="4" w:space="0"/>
              <w:right w:val="single" w:color="000000" w:sz="4" w:space="0"/>
            </w:tcBorders>
            <w:tcW w:w="181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360*450</w:t>
            </w:r>
            <w:r/>
          </w:p>
        </w:tc>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3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五叶柔风，广角送风</w:t>
            </w:r>
            <w:r/>
          </w:p>
        </w:tc>
      </w:tr>
    </w:tbl>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产品符合上表中规格（投标产品规格允许±5%内的偏差）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投标产品涉及国家强制认证的（如电器）须具有相关认证证书（如3</w:t>
      </w:r>
      <w:r>
        <w:rPr>
          <w:rFonts w:hint="eastAsia" w:ascii="宋体" w:hAnsi="宋体" w:eastAsia="宋体" w:cs="宋体"/>
          <w:b/>
          <w:bCs/>
          <w:color w:val="auto"/>
          <w:sz w:val="24"/>
          <w:szCs w:val="24"/>
          <w:highlight w:val="none"/>
          <w:lang w:eastAsia="zh-CN"/>
        </w:rPr>
        <w:t xml:space="preserve">C国家强制性产品认证证书）。</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2、与本项目有关的图纸请至百度网盘下载获取。</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链接:  https://pan.baidu.com/s/19IVcAmlOv7EtB_1nICllzg?pwd=debq 提取码: debq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投标人所提供的产品及安装必须符合以下（包含但不限于）规范及标准（如下述内容中不为最新版本，请按最新版本采用）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工业产品使用说明书总则（GB 9969.1-1998），原材料不锈钢冷轧钢板（GB/T 3280-1992），《不锈钢厨具》行业标准（QB/T 2174-95），饮食业油烟排放标准（GB 18483-2001）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投标人应采用最新的规范和标准，具体以图纸描述为准。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（四）采购范围及接口界面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1、范围说明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（1）厨房设备的生产供货、安装、调试、质量保证及售后服务；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（2）根据招标文件中厨房设备平面布置图纸、采购设备清单，提供所有劳动力，材料、设备、服务、包装运货等，包括在图纸上、文件上未有提及，但合理运行需</w:t>
      </w:r>
      <w:r>
        <w:rPr>
          <w:rFonts w:hint="eastAsia" w:ascii="宋体" w:hAnsi="宋体" w:eastAsia="宋体" w:cs="宋体"/>
          <w:color w:val="auto"/>
          <w:sz w:val="24"/>
          <w:szCs w:val="24"/>
          <w:highlight w:val="none"/>
          <w:lang w:eastAsia="zh-CN"/>
        </w:rPr>
        <w:t xml:space="preserve">要</w:t>
      </w:r>
      <w:r>
        <w:rPr>
          <w:rFonts w:hint="eastAsia" w:ascii="宋体" w:hAnsi="宋体" w:eastAsia="宋体" w:cs="宋体"/>
          <w:color w:val="auto"/>
          <w:sz w:val="24"/>
          <w:szCs w:val="24"/>
          <w:highlight w:val="none"/>
        </w:rPr>
        <w:t xml:space="preserve">的附件及相关图纸。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w:t>
      </w:r>
      <w:r>
        <w:rPr>
          <w:rFonts w:hint="eastAsia" w:ascii="宋体" w:hAnsi="宋体" w:eastAsia="宋体" w:cs="宋体"/>
          <w:color w:val="auto"/>
          <w:sz w:val="24"/>
          <w:szCs w:val="24"/>
          <w:highlight w:val="none"/>
          <w:lang w:val="en-US" w:eastAsia="zh-CN"/>
        </w:rPr>
        <w:t xml:space="preserve">安装单位</w:t>
      </w:r>
      <w:r>
        <w:rPr>
          <w:rFonts w:hint="eastAsia" w:ascii="宋体" w:hAnsi="宋体" w:eastAsia="宋体" w:cs="宋体"/>
          <w:color w:val="auto"/>
          <w:sz w:val="24"/>
          <w:szCs w:val="24"/>
          <w:highlight w:val="none"/>
        </w:rPr>
        <w:t xml:space="preserve">为安全或合理操作设备所需要的一些特别配件。如该配件并不是设备本身之</w:t>
      </w:r>
      <w:r>
        <w:rPr>
          <w:rFonts w:hint="eastAsia" w:ascii="宋体" w:hAnsi="宋体" w:eastAsia="宋体" w:cs="宋体"/>
          <w:color w:val="auto"/>
          <w:sz w:val="24"/>
          <w:szCs w:val="24"/>
          <w:highlight w:val="none"/>
          <w:lang w:eastAsia="zh-CN"/>
        </w:rPr>
        <w:t xml:space="preserve">部分</w:t>
      </w:r>
      <w:r>
        <w:rPr>
          <w:rFonts w:hint="eastAsia" w:ascii="宋体" w:hAnsi="宋体" w:eastAsia="宋体" w:cs="宋体"/>
          <w:color w:val="auto"/>
          <w:sz w:val="24"/>
          <w:szCs w:val="24"/>
          <w:highlight w:val="none"/>
        </w:rPr>
        <w:t xml:space="preserve">，该等配件亦需在工地安装前，交予有关安装单位。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（4）投标单位要遵循现有厨艺设计，要与现有厨房工艺设计进行对接。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2、接口界面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与其它承办的接口界面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（1）除特别注明外，厨房预留接驳点到厨具设备的水、电管线须投标人负责。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（2）除特别注明外，厨房排油烟风机、油烟净化装置、厨房排油烟风管等设备由投标人负责。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（3）地沟的土建部分不在此项目内。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（4）冷冻库、冷藏库内的地坪地砖不在此项目内。</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（五）工艺要求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1、电器材料及设备工艺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投标人需提供设备适当的插头或软线。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当使用软线及插头时，软线需 3心或 4心PVC 包裹的软线，其中一根线需连接设备的框架及接地。所有软线及插座需有一定的安全系数及</w:t>
      </w:r>
      <w:r>
        <w:rPr>
          <w:rFonts w:hint="eastAsia" w:ascii="宋体" w:hAnsi="宋体" w:eastAsia="宋体" w:cs="宋体"/>
          <w:color w:val="auto"/>
          <w:sz w:val="24"/>
          <w:szCs w:val="24"/>
          <w:highlight w:val="none"/>
          <w:lang w:eastAsia="zh-CN"/>
        </w:rPr>
        <w:t xml:space="preserve">符合</w:t>
      </w:r>
      <w:r>
        <w:rPr>
          <w:rFonts w:hint="eastAsia" w:ascii="宋体" w:hAnsi="宋体" w:eastAsia="宋体" w:cs="宋体"/>
          <w:color w:val="auto"/>
          <w:sz w:val="24"/>
          <w:szCs w:val="24"/>
          <w:highlight w:val="none"/>
        </w:rPr>
        <w:t xml:space="preserve">当地的条例。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所有电器设备需适当地接地。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招标人有权要求投标人提供设备有关之电路图。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2、龙头、阀门、配件等</w:t>
      </w:r>
      <w:r>
        <w:rPr>
          <w:rFonts w:hint="eastAsia" w:ascii="宋体" w:hAnsi="宋体" w:eastAsia="宋体" w:cs="宋体"/>
          <w:color w:val="auto"/>
          <w:sz w:val="24"/>
          <w:szCs w:val="24"/>
          <w:highlight w:val="none"/>
        </w:rPr>
        <w:tab/>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厨房所有龙头、排水设备包含给、排水接驳辅件、溢水管、软管等相关配件。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如果水压</w:t>
      </w:r>
      <w:r>
        <w:rPr>
          <w:rFonts w:hint="eastAsia" w:ascii="宋体" w:hAnsi="宋体" w:eastAsia="宋体" w:cs="宋体"/>
          <w:color w:val="auto"/>
          <w:sz w:val="24"/>
          <w:szCs w:val="24"/>
          <w:highlight w:val="none"/>
          <w:lang w:eastAsia="zh-CN"/>
        </w:rPr>
        <w:t xml:space="preserve">供应</w:t>
      </w:r>
      <w:r>
        <w:rPr>
          <w:rFonts w:hint="eastAsia" w:ascii="宋体" w:hAnsi="宋体" w:eastAsia="宋体" w:cs="宋体"/>
          <w:color w:val="auto"/>
          <w:sz w:val="24"/>
          <w:szCs w:val="24"/>
          <w:highlight w:val="none"/>
        </w:rPr>
        <w:t xml:space="preserve">高于设备指定的承受压力，投标人需提供减压装置。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3、制冷设备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冷凝机组，不论安装在柜台内，或分离式安装或安放在平台上均需安装品质优良的减震装置。冷凝机组在接驳铜管时，需要除湿及密封，并需附有压力保护装置，干燥器及冷媒观察镜等。由冷凝机组至蒸发器之铜管需作绝热包裹及适当地固定，高压管道需与低压管道分别包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4、不锈钢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原材料不锈钢为304－2B标准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不锈钢表面处理为 4 号沙光处理。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5、不锈钢管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不锈钢管使用1.0mm厚的无缝不锈钢管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并需表面处理以配合其它配件。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6、手柄、支架、锁、小五金等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设备内使用的小五金， 如手柄、铰、锁等必须为铜制及镀铬磨光或不锈钢制造。</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所有抽屉、柜、冰箱等使用的锁，必须为圆形及镀铬磨光。所有的锁必须牢固结实。</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7、焊接</w:t>
      </w:r>
      <w:r>
        <w:rPr>
          <w:rFonts w:hint="eastAsia" w:ascii="宋体" w:hAnsi="宋体" w:eastAsia="宋体" w:cs="宋体"/>
          <w:color w:val="auto"/>
          <w:sz w:val="24"/>
          <w:szCs w:val="24"/>
          <w:highlight w:val="none"/>
        </w:rPr>
        <w:tab/>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不锈钢</w:t>
      </w:r>
      <w:r>
        <w:rPr>
          <w:rFonts w:hint="eastAsia" w:ascii="宋体" w:hAnsi="宋体" w:eastAsia="宋体" w:cs="宋体"/>
          <w:color w:val="auto"/>
          <w:sz w:val="24"/>
          <w:szCs w:val="24"/>
          <w:highlight w:val="none"/>
        </w:rPr>
        <w:t xml:space="preserve">焊接必须采用氩弧焊，不允许采用其它焊接方式。焊条需与金属本身</w:t>
      </w:r>
      <w:r>
        <w:rPr>
          <w:rFonts w:hint="eastAsia" w:ascii="宋体" w:hAnsi="宋体" w:eastAsia="宋体" w:cs="宋体"/>
          <w:color w:val="auto"/>
          <w:sz w:val="24"/>
          <w:szCs w:val="24"/>
          <w:highlight w:val="none"/>
          <w:lang w:eastAsia="zh-CN"/>
        </w:rPr>
        <w:t xml:space="preserve">成分相同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透彻地</w:t>
      </w:r>
      <w:r>
        <w:rPr>
          <w:rFonts w:hint="eastAsia" w:ascii="宋体" w:hAnsi="宋体" w:eastAsia="宋体" w:cs="宋体"/>
          <w:color w:val="auto"/>
          <w:sz w:val="24"/>
          <w:szCs w:val="24"/>
          <w:highlight w:val="none"/>
        </w:rPr>
        <w:t xml:space="preserve">焊接，不能有砂眼，裂缝等不完整的地方。焊缝必须坚固</w:t>
      </w: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rPr>
        <w:t xml:space="preserve">韧性。多余的填料必须磨平及磨光至焊接物本身的颜色一样。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所有需要在工地焊接的设备焊接人员具有“建筑施工特种作业操作资格证（建筑焊工）”。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8、表面处理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所有表面能看见的焊接即需要适当地磨平、磨光及作表面处理，如果焊缝由于在焊接时下沉，则需整平及磨平不能有高底点。 在磨平时应避免不锈钢过热使变色。在工序处理时应先粗磨平，再磨光</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最后表面处理。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所有由于不锈钢在加工时产生的拆裂，锯齿边等问题都需要磨平、磨光。在圆角的地方需要磨平磨光圆滑。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9、冰箱、冰柜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所有冰箱必须符合标准食物容器GN盆使用，内箱圆弧转角工艺。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10、小车轮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所有小车轮最低负荷 70 公斤。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11、烟罩灭火系统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烟罩灭火系统必须符合消防认证。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系统为预充灭火液式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经过安装在固定位置之喷咀，当火警发生时，把灭火液喷洒在着火之设备上面。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烟罩灭火系统必须能扑灭烟罩下面各项灶具设备引起之火警。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烟罩灭火系统必须能自动感应火警发生，并能自动激活，系统并须附有手动激活装置，切断阀门可采用机械式或电磁阀，系统须附有讯号接点，供消防承造商连接系统激活往消防中央控制屏。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系统必须附有详细之技术资料，包括设计，安装，充液，保养，</w:t>
      </w:r>
      <w:r>
        <w:rPr>
          <w:rFonts w:hint="eastAsia" w:ascii="宋体" w:hAnsi="宋体" w:eastAsia="宋体" w:cs="宋体"/>
          <w:color w:val="auto"/>
          <w:sz w:val="24"/>
          <w:szCs w:val="24"/>
          <w:highlight w:val="none"/>
          <w:lang w:val="en-US" w:eastAsia="zh-CN"/>
        </w:rPr>
        <w:t xml:space="preserve">零配件</w:t>
      </w:r>
      <w:r>
        <w:rPr>
          <w:rFonts w:hint="eastAsia" w:ascii="宋体" w:hAnsi="宋体" w:eastAsia="宋体" w:cs="宋体"/>
          <w:color w:val="auto"/>
          <w:sz w:val="24"/>
          <w:szCs w:val="24"/>
          <w:highlight w:val="none"/>
        </w:rPr>
        <w:t xml:space="preserve">之安装，复位说明等。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12、风管安装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排油烟、送新风风管须按暖通规范安装，所用到的防火阀必须通过消防认证。油烟</w:t>
      </w:r>
      <w:r>
        <w:rPr>
          <w:rFonts w:hint="eastAsia" w:ascii="宋体" w:hAnsi="宋体" w:eastAsia="宋体" w:cs="宋体"/>
          <w:color w:val="auto"/>
          <w:sz w:val="24"/>
          <w:szCs w:val="24"/>
          <w:highlight w:val="none"/>
          <w:lang w:eastAsia="zh-CN"/>
        </w:rPr>
        <w:t xml:space="preserve">净化</w:t>
      </w:r>
      <w:r>
        <w:rPr>
          <w:rFonts w:hint="eastAsia" w:ascii="宋体" w:hAnsi="宋体" w:eastAsia="宋体" w:cs="宋体"/>
          <w:color w:val="auto"/>
          <w:sz w:val="24"/>
          <w:szCs w:val="24"/>
          <w:highlight w:val="none"/>
        </w:rPr>
        <w:t xml:space="preserve">设备须通过环保认证。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13、基本材料规格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工作台、柜、水池、保洁柜：</w:t>
      </w:r>
      <w:r/>
    </w:p>
    <w:tbl>
      <w:tblPr>
        <w:tblStyle w:val="78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1"/>
        <w:gridCol w:w="4025"/>
      </w:tblGrid>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台面</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洗盆</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柜外身</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1.0毫米不锈钢</w:t>
            </w:r>
            <w:r/>
          </w:p>
        </w:tc>
      </w:tr>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门外身</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1.0毫米不锈钢</w:t>
            </w:r>
            <w:r/>
          </w:p>
        </w:tc>
      </w:tr>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暖菜柜水槽/热汤池柜水槽</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挂墙层板</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台面柜</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补强撑</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r>
        <w:trPr>
          <w:trHeight w:val="510"/>
        </w:trPr>
        <w:tc>
          <w:tcPr>
            <w:tcW w:w="4581"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柜内层板</w:t>
            </w:r>
            <w:r/>
          </w:p>
        </w:tc>
        <w:tc>
          <w:tcPr>
            <w:tcW w:w="4025"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1.2毫米不锈钢</w:t>
            </w:r>
            <w:r/>
          </w:p>
        </w:tc>
      </w:tr>
    </w:tbl>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（六）实施要求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1、施工场地与条件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投标人应全面负责施工范围内的现场施工管理，对施工范围场地内的用水、用电、施工现场的安全与卫生、场地内的施工协调负有全面的管理责任。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2、临时用地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工地管理单位将向投标人提供施工作业场地，但不包括投标人为实施本项目而设置的办公、仓储、加工、生活等所需的临时设施用地。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3、施工通道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利用人行通道作为施工人员、材料，小型设备的出入口。大型设备可租用工程车运输施工场地。如投标人的施工设备、采购的设备、材料需工程车运输，应报招标人协调安排。投标人使用运输场地、通道等均应遵守工地管理单</w:t>
      </w:r>
      <w:r>
        <w:rPr>
          <w:rFonts w:hint="eastAsia" w:ascii="宋体" w:hAnsi="宋体" w:eastAsia="宋体" w:cs="宋体"/>
          <w:color w:val="auto"/>
          <w:sz w:val="24"/>
          <w:szCs w:val="24"/>
          <w:highlight w:val="none"/>
          <w:lang w:eastAsia="zh-CN"/>
        </w:rPr>
        <w:t xml:space="preserve">位的</w:t>
      </w:r>
      <w:r>
        <w:rPr>
          <w:rFonts w:hint="eastAsia" w:ascii="宋体" w:hAnsi="宋体" w:eastAsia="宋体" w:cs="宋体"/>
          <w:color w:val="auto"/>
          <w:sz w:val="24"/>
          <w:szCs w:val="24"/>
          <w:highlight w:val="none"/>
        </w:rPr>
        <w:t xml:space="preserve">相关规定。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4、场地管理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（1）场地一经移交给投标人，投标人应在本</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实施全过程中全面负责施工范围内的现场管理，对场地的安全保卫、环境卫生（负责将垃圾清运至地盘管理商指定地点）、污水排放以及周围房屋、市政设施等负全责，因场地管理不善引发的一切纠纷由投标人自行解决，招标人不承担任何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（2）在本</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完成时，投标人应负责清场，即负责将其所使用和修建的或留在现场的所有临时设施（包括装置、设备）和任何材料、物品进行拆除及清运。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5、施工用水、用电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需遵守工地管理单位的相关约定，并在指定的位置进行临时水、电的接驳。投标人负责由该接驳点至其使用地点的连接设施。投标人应与工地管理单位协调，并配合施工用水、用电的具体安排。投标人应确保只供本</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使用。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供给招标人的设备、材料及安装所需工具、机具、起重设备、材料及临时设施，进入工地现场后的保管由投标人自己解决；所有材料、设备二次搬运费用由投标人自理；投标人在工地现场安装、调试、验收人员的安全、保险、食宿、交通，由投标人负责。除合同内商定的条款外，任何安装问题或费用均与买方无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7、现场的检查与移交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对不同系统的安装，应具备一定的前提条件。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投标人应参加与设备相关承包商或其它承包商的相关工序检查；在每批设备安装开始前一个月进行现场检查认可。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8、施工准备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（1）投标人应充分考虑本</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的特点，包括工期要求和施工时的相互干扰等，提出切实可行的施工方法和施工组织方案。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（2）认真</w:t>
      </w:r>
      <w:r>
        <w:rPr>
          <w:rFonts w:hint="eastAsia" w:ascii="宋体" w:hAnsi="宋体" w:eastAsia="宋体" w:cs="宋体"/>
          <w:color w:val="auto"/>
          <w:sz w:val="24"/>
          <w:szCs w:val="24"/>
          <w:highlight w:val="none"/>
          <w:lang w:eastAsia="zh-CN"/>
        </w:rPr>
        <w:t xml:space="preserve">做好</w:t>
      </w:r>
      <w:r>
        <w:rPr>
          <w:rFonts w:hint="eastAsia" w:ascii="宋体" w:hAnsi="宋体" w:eastAsia="宋体" w:cs="宋体"/>
          <w:color w:val="auto"/>
          <w:sz w:val="24"/>
          <w:szCs w:val="24"/>
          <w:highlight w:val="none"/>
        </w:rPr>
        <w:t xml:space="preserve">施工图交底工作。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（3）现场跟踪、检查预留孔洞、沟槽设备基础是否符合要求，发现与设计不符者，应及时提出，并与相关承包商协商处理。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（4）检查安装机具的种类、数量及功能是否满足施工要求。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（5）检查场地是否满足进场条件。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（6）针对本</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的特点，对各级</w:t>
      </w:r>
      <w:r>
        <w:rPr>
          <w:rFonts w:hint="eastAsia" w:ascii="宋体" w:hAnsi="宋体" w:eastAsia="宋体" w:cs="宋体"/>
          <w:color w:val="auto"/>
          <w:sz w:val="24"/>
          <w:szCs w:val="24"/>
          <w:highlight w:val="none"/>
          <w:lang w:val="en-US" w:eastAsia="zh-CN"/>
        </w:rPr>
        <w:t xml:space="preserve">安装</w:t>
      </w:r>
      <w:r>
        <w:rPr>
          <w:rFonts w:hint="eastAsia" w:ascii="宋体" w:hAnsi="宋体" w:eastAsia="宋体" w:cs="宋体"/>
          <w:color w:val="auto"/>
          <w:sz w:val="24"/>
          <w:szCs w:val="24"/>
          <w:highlight w:val="none"/>
        </w:rPr>
        <w:t xml:space="preserve">人员进行有关安装工艺质量及安全等方面的培训，并经考核合格，</w:t>
      </w:r>
      <w:r>
        <w:rPr>
          <w:rFonts w:hint="eastAsia" w:ascii="宋体" w:hAnsi="宋体" w:eastAsia="宋体" w:cs="宋体"/>
          <w:color w:val="auto"/>
          <w:sz w:val="24"/>
          <w:szCs w:val="24"/>
          <w:highlight w:val="none"/>
          <w:lang w:eastAsia="zh-CN"/>
        </w:rPr>
        <w:t xml:space="preserve">方可</w:t>
      </w:r>
      <w:r>
        <w:rPr>
          <w:rFonts w:hint="eastAsia" w:ascii="宋体" w:hAnsi="宋体" w:eastAsia="宋体" w:cs="宋体"/>
          <w:color w:val="auto"/>
          <w:sz w:val="24"/>
          <w:szCs w:val="24"/>
          <w:highlight w:val="none"/>
        </w:rPr>
        <w:t xml:space="preserve">参加本</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安装</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（7）应编制施工组织方案的实施计划，并与其它设备与建筑装修工作相协调。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9、设备、材料现场保管和维护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（1）投标人施工范围内的所有设备、设施的维护保管应遵循这些设备的国家有关规定及设备说明书要求，因投标人原因造成材料、设备受损，一切费用和</w:t>
      </w:r>
      <w:r>
        <w:rPr>
          <w:rFonts w:hint="eastAsia" w:ascii="宋体" w:hAnsi="宋体" w:eastAsia="宋体" w:cs="宋体"/>
          <w:color w:val="auto"/>
          <w:sz w:val="24"/>
          <w:szCs w:val="24"/>
          <w:highlight w:val="none"/>
          <w:lang w:eastAsia="zh-CN"/>
        </w:rPr>
        <w:t xml:space="preserve">补偿</w:t>
      </w:r>
      <w:r>
        <w:rPr>
          <w:rFonts w:hint="eastAsia" w:ascii="宋体" w:hAnsi="宋体" w:eastAsia="宋体" w:cs="宋体"/>
          <w:color w:val="auto"/>
          <w:sz w:val="24"/>
          <w:szCs w:val="24"/>
          <w:highlight w:val="none"/>
        </w:rPr>
        <w:t xml:space="preserve">由投标人承担。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（2）材料的现场保管和维护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1）投标人的现场施工材料应在其临建仓库存放，考虑到施工空间较密集，未经招标人或监理工程师许可，不得在任何房间、区域堆放材料或搭建临用仓库。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2）投标人应负责设备及材料存放的防火、防盗、防潮等。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3）由于存放和维护措施不当而造成材料的变形、变质由投标人负责。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10、安全防护与文明施工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（1）安全防护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1）投标人对安全防护的责任在</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最终验收之前的整个施工期内，投标人必须制定并采取一切必要的措施，保证</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现场施工安全（包括承包商和非承包商的人员安全）维护工地正常生产、生活秩序。投标人必须遵守国家颁布的有关安全规程。对于不符合我国法律、法令、安全规程及本合同规定的事故隐患，监理工程师有权进行干预，如发生重大安全事故，投标人必须按国家的有关法规及时通知监理工程师、招标人和有关上级主管部门，并按相关处理规定执行。投标人应对因违反安全规程造成的责任事故承担责任，而不应为此增加招标人支付费用或延迟施工进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2）劳动保护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凡属投标人雇用的现场工作人员，投标人必须根据作业种类和特点并按照国家的劳动保护法等法律法规严格执行。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3）安全防护信号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①投标人应在</w:t>
      </w:r>
      <w:r>
        <w:rPr>
          <w:rFonts w:hint="eastAsia" w:ascii="宋体" w:hAnsi="宋体" w:eastAsia="宋体" w:cs="宋体"/>
          <w:color w:val="auto"/>
          <w:sz w:val="24"/>
          <w:szCs w:val="24"/>
          <w:highlight w:val="none"/>
          <w:lang w:val="en-US" w:eastAsia="zh-CN"/>
        </w:rPr>
        <w:t xml:space="preserve">安装</w:t>
      </w:r>
      <w:r>
        <w:rPr>
          <w:rFonts w:hint="eastAsia" w:ascii="宋体" w:hAnsi="宋体" w:eastAsia="宋体" w:cs="宋体"/>
          <w:color w:val="auto"/>
          <w:sz w:val="24"/>
          <w:szCs w:val="24"/>
          <w:highlight w:val="none"/>
        </w:rPr>
        <w:t xml:space="preserve">区内设置一切必要的安全防护信号（或标志）装置。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②投标人应负责维护自己和招标人在</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区内放置的所有信号（或标志）装置。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③若监理工程师认为投标人提供的信号（或标志）系统不能有效地保证安全，投标人必须按监理工程师的要求补充、修改、更换该系统或标志。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（2）文明施工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1）投标人必须严格遵守国家和苏州市颁布有关安全生产及文明施工的规定，招标人和监理工程师将进行不定期的检查，政府相关部门发现投标人有违例施工或不</w:t>
      </w:r>
      <w:r>
        <w:rPr>
          <w:rFonts w:hint="eastAsia" w:ascii="宋体" w:hAnsi="宋体" w:eastAsia="宋体" w:cs="宋体"/>
          <w:color w:val="auto"/>
          <w:sz w:val="24"/>
          <w:szCs w:val="24"/>
          <w:highlight w:val="none"/>
          <w:lang w:eastAsia="zh-CN"/>
        </w:rPr>
        <w:t xml:space="preserve">符合</w:t>
      </w:r>
      <w:r>
        <w:rPr>
          <w:rFonts w:hint="eastAsia" w:ascii="宋体" w:hAnsi="宋体" w:eastAsia="宋体" w:cs="宋体"/>
          <w:color w:val="auto"/>
          <w:sz w:val="24"/>
          <w:szCs w:val="24"/>
          <w:highlight w:val="none"/>
        </w:rPr>
        <w:t xml:space="preserve">文明施工的情况，视问题的严重程度进行处置，甚至处罚。由此造成的一切损失由投标人自行承担。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2）投标人应指定安全生产及文明施工的责任人，并结合本</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的特点制定一整套安全生产和文明施工的规章制度。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11、包装、运输</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（1）概述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投标人应按有关标准和其设备的特殊要求对其提供的设备进行合适的包装、运输，保证其设备在运输过程中完好无损，投标人提供的设备应适应苏州地区的存储环境。</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凡</w:t>
      </w:r>
      <w:r>
        <w:rPr>
          <w:rFonts w:hint="eastAsia" w:ascii="宋体" w:hAnsi="宋体" w:eastAsia="宋体" w:cs="宋体"/>
          <w:color w:val="auto"/>
          <w:sz w:val="24"/>
          <w:szCs w:val="24"/>
          <w:highlight w:val="none"/>
        </w:rPr>
        <w:t xml:space="preserve">由于投标人对货物包装不善或标记不当导致货物损失、损坏或丢失，或因此引起事故时，其一切责任及因此造成的损失由投标人承担。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（2）包装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投标人提供的所有设备和材料应具备适应内陆运输和多次搬运、装卸的坚固包装，并应根据货物特点及需要，采取防潮、防雨、防锈、防腐蚀等保护措施，以保证货物安全无损地运抵安装现场。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笨重设备应有固定的底座，外包装上应有吊装挂钩，容易散失的零部件应包装在箱内。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对于裸装货物，投标人应采取特殊措施保护货物及方便搬运。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投标人对交付的技术文件和技术资料应进行妥善包装，以适合长途运输、多次搬运，并采取防潮、防雨措施。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12、安装验收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设备安装验收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设备安装完成后，招标人和投标人代表按确认的安装验收标准进行安装验收，各方需到场参加和见证。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安装验收须根据合同相关条款和计划的规定进行并完成。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投标人应无偿服从招标人对施工界面的划分，在</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管理中无偿做好安装督导，服从招标人管理。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13、设备调试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投标人应对整个厨房设备的调试负责，包括自身设备的安装调试、与相关系统的接口调试。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投标人应负责在现场进行井然有序的调试并使之符合相关要求。应派出足够的、合格且技术熟练的技术人员到工地完成调试工作。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14、培训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有责任对招标人指定的人员进行操作培训，通过培训应使被培训人员获得足够的技能和知识，达到运营所必需的要求。投标人负责派出经验丰富的授课人员对招标人人员进行培训，使招标人人员能全面掌握设备的操作、日常维护等技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质量保证期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验收通过</w:t>
      </w:r>
      <w:r>
        <w:rPr>
          <w:rFonts w:hint="eastAsia" w:ascii="宋体" w:hAnsi="宋体" w:eastAsia="宋体" w:cs="宋体"/>
          <w:color w:val="auto"/>
          <w:sz w:val="24"/>
          <w:szCs w:val="24"/>
          <w:highlight w:val="none"/>
          <w:lang w:val="en-US" w:eastAsia="zh-CN"/>
        </w:rPr>
        <w:t xml:space="preserve">并移交</w:t>
      </w:r>
      <w:r>
        <w:rPr>
          <w:rFonts w:hint="eastAsia" w:ascii="宋体" w:hAnsi="宋体" w:eastAsia="宋体" w:cs="宋体"/>
          <w:color w:val="auto"/>
          <w:sz w:val="24"/>
          <w:szCs w:val="24"/>
          <w:highlight w:val="none"/>
        </w:rPr>
        <w:t xml:space="preserve">后2年的质保期。若货物生产厂家规定的免费质保期长于本合同质保期，质保期以较长者为准。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保证期内，投标人继续对所有安装和提供的系统和设备负责。无论是否能从各设备供应商得到保修，投标人须对各种设备提供保修。系统应不受设计、材料、零部件和工艺方面缺陷的影响，并且满足合同中规定的功能要求；保修费用已包含在合同总价中。保证期结束后，完成合同履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在免费质保期内，</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应以优良的服务态度，一旦货物发生质量问题，</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应在2小时以内响应，4小时内赶到现场，8小时内解决问题，如在8小时内不能解决问题，应免费用同样品牌、规格的的产品更换到位。如</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在接到通知后24小时内没有答复或处理问题，</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方有权直接聘请第三方提供，因此而造成的费用、损失风险由</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承担。</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（七）本项目采购清单中的核心产品为：</w:t>
      </w:r>
      <w:r>
        <w:rPr>
          <w:rFonts w:hint="eastAsia" w:ascii="宋体" w:hAnsi="宋体" w:eastAsia="宋体" w:cs="宋体"/>
          <w:b/>
          <w:bCs w:val="0"/>
          <w:color w:val="auto"/>
          <w:sz w:val="24"/>
          <w:szCs w:val="24"/>
          <w:highlight w:val="none"/>
          <w:u w:val="single"/>
        </w:rPr>
        <w:t xml:space="preserve">燃气双眼大锅灶（序号44）</w:t>
      </w:r>
      <w:r>
        <w:rPr>
          <w:rFonts w:hint="eastAsia" w:ascii="宋体" w:hAnsi="宋体" w:eastAsia="宋体" w:cs="宋体"/>
          <w:b/>
          <w:bCs w:val="0"/>
          <w:color w:val="auto"/>
          <w:sz w:val="24"/>
          <w:szCs w:val="24"/>
          <w:highlight w:val="none"/>
          <w:u w:val="singl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相关证书</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lang w:val="en-US" w:eastAsia="zh-CN"/>
        </w:rPr>
        <w:t xml:space="preserve">1、</w:t>
      </w:r>
      <w:r>
        <w:rPr>
          <w:rFonts w:hint="eastAsia" w:ascii="宋体" w:hAnsi="宋体" w:eastAsia="宋体" w:cs="宋体"/>
          <w:b/>
          <w:bCs/>
          <w:color w:val="auto"/>
          <w:sz w:val="24"/>
          <w:szCs w:val="24"/>
          <w:highlight w:val="none"/>
          <w:u w:val="single"/>
          <w:lang w:eastAsia="zh-CN"/>
        </w:rPr>
        <w:t xml:space="preserve">投标清单中涉及蒸汽炊具、电烤箱、电热铛、电磁灶、</w:t>
      </w:r>
      <w:r>
        <w:rPr>
          <w:rFonts w:hint="eastAsia" w:ascii="宋体" w:hAnsi="宋体" w:eastAsia="宋体" w:cs="宋体"/>
          <w:b/>
          <w:bCs/>
          <w:color w:val="auto"/>
          <w:sz w:val="24"/>
          <w:szCs w:val="24"/>
          <w:highlight w:val="none"/>
          <w:u w:val="single"/>
          <w:lang w:val="en-US" w:eastAsia="zh-CN"/>
        </w:rPr>
        <w:t xml:space="preserve">开水器</w:t>
      </w:r>
      <w:r>
        <w:rPr>
          <w:rFonts w:hint="eastAsia" w:ascii="宋体" w:hAnsi="宋体" w:eastAsia="宋体" w:cs="宋体"/>
          <w:b/>
          <w:bCs/>
          <w:color w:val="auto"/>
          <w:sz w:val="24"/>
          <w:szCs w:val="24"/>
          <w:highlight w:val="none"/>
          <w:u w:val="single"/>
          <w:lang w:eastAsia="zh-CN"/>
        </w:rPr>
        <w:t xml:space="preserve">的，</w:t>
      </w:r>
      <w:r>
        <w:rPr>
          <w:rFonts w:hint="eastAsia" w:ascii="宋体" w:hAnsi="宋体" w:eastAsia="宋体" w:cs="宋体"/>
          <w:b/>
          <w:bCs/>
          <w:color w:val="auto"/>
          <w:sz w:val="24"/>
          <w:szCs w:val="24"/>
          <w:highlight w:val="none"/>
          <w:u w:val="single"/>
          <w:lang w:val="en-US" w:eastAsia="zh-CN"/>
        </w:rPr>
        <w:t xml:space="preserve">需</w:t>
      </w:r>
      <w:r>
        <w:rPr>
          <w:rFonts w:hint="eastAsia" w:ascii="宋体" w:hAnsi="宋体" w:eastAsia="宋体" w:cs="宋体"/>
          <w:b/>
          <w:bCs/>
          <w:color w:val="auto"/>
          <w:sz w:val="24"/>
          <w:szCs w:val="24"/>
          <w:highlight w:val="none"/>
          <w:u w:val="single"/>
          <w:lang w:eastAsia="zh-CN"/>
        </w:rPr>
        <w:t xml:space="preserve">提供</w:t>
      </w:r>
      <w:r>
        <w:rPr>
          <w:rFonts w:hint="eastAsia" w:ascii="宋体" w:hAnsi="宋体" w:eastAsia="宋体" w:cs="宋体"/>
          <w:b/>
          <w:bCs/>
          <w:color w:val="auto"/>
          <w:sz w:val="24"/>
          <w:szCs w:val="24"/>
          <w:highlight w:val="none"/>
          <w:u w:val="single"/>
          <w:lang w:val="en-US" w:eastAsia="zh-CN"/>
        </w:rPr>
        <w:t xml:space="preserve">对应</w:t>
      </w:r>
      <w:r>
        <w:rPr>
          <w:rFonts w:hint="eastAsia" w:ascii="宋体" w:hAnsi="宋体" w:eastAsia="宋体" w:cs="宋体"/>
          <w:b/>
          <w:bCs/>
          <w:color w:val="auto"/>
          <w:sz w:val="24"/>
          <w:szCs w:val="24"/>
          <w:highlight w:val="none"/>
          <w:u w:val="single"/>
          <w:lang w:eastAsia="zh-CN"/>
        </w:rPr>
        <w:t xml:space="preserve">生产厂家具有有效期内的《全国工业产品生产许可证(工业和商用电热食品加工设备)》或《全国工业产品生产许可证(电热食品加工设备)》(许可内容包含蒸汽炊具、电烤箱、电热铛、电磁灶、</w:t>
      </w:r>
      <w:r>
        <w:rPr>
          <w:rFonts w:hint="eastAsia" w:ascii="宋体" w:hAnsi="宋体" w:eastAsia="宋体" w:cs="宋体"/>
          <w:b/>
          <w:bCs/>
          <w:color w:val="auto"/>
          <w:sz w:val="24"/>
          <w:szCs w:val="24"/>
          <w:highlight w:val="none"/>
          <w:u w:val="single"/>
          <w:lang w:val="en-US" w:eastAsia="zh-CN"/>
        </w:rPr>
        <w:t xml:space="preserve">开水器</w:t>
      </w:r>
      <w:r>
        <w:rPr>
          <w:rFonts w:hint="eastAsia" w:ascii="宋体" w:hAnsi="宋体" w:eastAsia="宋体" w:cs="宋体"/>
          <w:b/>
          <w:bCs/>
          <w:color w:val="auto"/>
          <w:sz w:val="24"/>
          <w:szCs w:val="24"/>
          <w:highlight w:val="none"/>
          <w:u w:val="singl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lang w:val="en-US" w:eastAsia="zh-CN"/>
        </w:rPr>
        <w:t xml:space="preserve">2、</w:t>
      </w:r>
      <w:r>
        <w:rPr>
          <w:rFonts w:hint="eastAsia" w:ascii="宋体" w:hAnsi="宋体" w:eastAsia="宋体" w:cs="宋体"/>
          <w:b/>
          <w:bCs/>
          <w:color w:val="auto"/>
          <w:sz w:val="24"/>
          <w:szCs w:val="24"/>
          <w:highlight w:val="none"/>
          <w:u w:val="single"/>
          <w:lang w:eastAsia="zh-CN"/>
        </w:rPr>
        <w:t xml:space="preserve">投标清单中涉及电热消毒柜、</w:t>
      </w:r>
      <w:r>
        <w:rPr>
          <w:rFonts w:hint="eastAsia" w:ascii="宋体" w:hAnsi="宋体" w:eastAsia="宋体" w:cs="宋体"/>
          <w:b/>
          <w:bCs/>
          <w:color w:val="auto"/>
          <w:sz w:val="24"/>
          <w:szCs w:val="24"/>
          <w:highlight w:val="none"/>
          <w:u w:val="single"/>
          <w:lang w:val="en-US" w:eastAsia="zh-CN"/>
        </w:rPr>
        <w:t xml:space="preserve">紫外线杀菌灯、其他的消毒器械/消毒器械</w:t>
      </w:r>
      <w:r>
        <w:rPr>
          <w:rFonts w:hint="eastAsia" w:ascii="宋体" w:hAnsi="宋体" w:eastAsia="宋体" w:cs="宋体"/>
          <w:b/>
          <w:bCs/>
          <w:color w:val="auto"/>
          <w:sz w:val="24"/>
          <w:szCs w:val="24"/>
          <w:highlight w:val="none"/>
          <w:u w:val="single"/>
          <w:lang w:eastAsia="zh-CN"/>
        </w:rPr>
        <w:t xml:space="preserve">的，</w:t>
      </w:r>
      <w:r>
        <w:rPr>
          <w:rFonts w:hint="eastAsia" w:ascii="宋体" w:hAnsi="宋体" w:eastAsia="宋体" w:cs="宋体"/>
          <w:b/>
          <w:bCs/>
          <w:color w:val="auto"/>
          <w:sz w:val="24"/>
          <w:szCs w:val="24"/>
          <w:highlight w:val="none"/>
          <w:u w:val="single"/>
          <w:lang w:val="en-US" w:eastAsia="zh-CN"/>
        </w:rPr>
        <w:t xml:space="preserve">需</w:t>
      </w:r>
      <w:r>
        <w:rPr>
          <w:rFonts w:hint="eastAsia" w:ascii="宋体" w:hAnsi="宋体" w:eastAsia="宋体" w:cs="宋体"/>
          <w:b/>
          <w:bCs/>
          <w:color w:val="auto"/>
          <w:sz w:val="24"/>
          <w:szCs w:val="24"/>
          <w:highlight w:val="none"/>
          <w:u w:val="single"/>
          <w:lang w:eastAsia="zh-CN"/>
        </w:rPr>
        <w:t xml:space="preserve">提供</w:t>
      </w:r>
      <w:r>
        <w:rPr>
          <w:rFonts w:hint="eastAsia" w:ascii="宋体" w:hAnsi="宋体" w:eastAsia="宋体" w:cs="宋体"/>
          <w:b/>
          <w:bCs/>
          <w:color w:val="auto"/>
          <w:sz w:val="24"/>
          <w:szCs w:val="24"/>
          <w:highlight w:val="none"/>
          <w:u w:val="single"/>
          <w:lang w:val="en-US" w:eastAsia="zh-CN"/>
        </w:rPr>
        <w:t xml:space="preserve">对应</w:t>
      </w:r>
      <w:r>
        <w:rPr>
          <w:rFonts w:hint="eastAsia" w:ascii="宋体" w:hAnsi="宋体" w:eastAsia="宋体" w:cs="宋体"/>
          <w:b/>
          <w:bCs/>
          <w:color w:val="auto"/>
          <w:sz w:val="24"/>
          <w:szCs w:val="24"/>
          <w:highlight w:val="none"/>
          <w:u w:val="single"/>
          <w:lang w:eastAsia="zh-CN"/>
        </w:rPr>
        <w:t xml:space="preserve">生产厂家具有有效期内的《消毒产品生产企业卫生许可证》(许可内容包含电热消毒柜、</w:t>
      </w:r>
      <w:r>
        <w:rPr>
          <w:rFonts w:hint="eastAsia" w:ascii="宋体" w:hAnsi="宋体" w:eastAsia="宋体" w:cs="宋体"/>
          <w:b/>
          <w:bCs/>
          <w:color w:val="auto"/>
          <w:sz w:val="24"/>
          <w:szCs w:val="24"/>
          <w:highlight w:val="none"/>
          <w:u w:val="single"/>
          <w:lang w:val="en-US" w:eastAsia="zh-CN"/>
        </w:rPr>
        <w:t xml:space="preserve">紫外线杀菌灯、其他的消毒器械/消毒器械</w:t>
      </w:r>
      <w:r>
        <w:rPr>
          <w:rFonts w:hint="eastAsia" w:ascii="宋体" w:hAnsi="宋体" w:eastAsia="宋体" w:cs="宋体"/>
          <w:b/>
          <w:bCs/>
          <w:color w:val="auto"/>
          <w:sz w:val="24"/>
          <w:szCs w:val="24"/>
          <w:highlight w:val="none"/>
          <w:u w:val="singl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u w:val="single"/>
          <w:lang w:val="en-US" w:eastAsia="zh-CN"/>
        </w:rPr>
        <w:t xml:space="preserve">以上证书请按照采购文件第三章投标文件格式中的“相关证书说明表”填写相应内容并提供</w:t>
      </w:r>
      <w:r>
        <w:rPr>
          <w:rFonts w:hint="eastAsia" w:ascii="宋体" w:hAnsi="宋体" w:eastAsia="宋体" w:cs="宋体"/>
          <w:b/>
          <w:bCs/>
          <w:color w:val="auto"/>
          <w:sz w:val="24"/>
          <w:szCs w:val="24"/>
          <w:highlight w:val="none"/>
          <w:u w:val="single"/>
          <w:lang w:eastAsia="zh-CN"/>
        </w:rPr>
        <w:t xml:space="preserve">以上</w:t>
      </w:r>
      <w:r>
        <w:rPr>
          <w:rFonts w:hint="eastAsia" w:ascii="宋体" w:hAnsi="宋体" w:eastAsia="宋体" w:cs="宋体"/>
          <w:b/>
          <w:bCs/>
          <w:color w:val="auto"/>
          <w:sz w:val="24"/>
          <w:szCs w:val="24"/>
          <w:highlight w:val="none"/>
          <w:u w:val="single"/>
          <w:lang w:val="en-US" w:eastAsia="zh-CN"/>
        </w:rPr>
        <w:t xml:space="preserve">对应产品生产厂家的相应</w:t>
      </w:r>
      <w:r>
        <w:rPr>
          <w:rFonts w:hint="eastAsia" w:ascii="宋体" w:hAnsi="宋体" w:eastAsia="宋体" w:cs="宋体"/>
          <w:b/>
          <w:bCs/>
          <w:color w:val="auto"/>
          <w:sz w:val="24"/>
          <w:szCs w:val="24"/>
          <w:highlight w:val="none"/>
          <w:u w:val="single"/>
          <w:lang w:eastAsia="zh-CN"/>
        </w:rPr>
        <w:t xml:space="preserve">证书，</w:t>
      </w:r>
      <w:r>
        <w:rPr>
          <w:rFonts w:hint="eastAsia" w:ascii="宋体" w:hAnsi="宋体" w:eastAsia="宋体" w:cs="宋体"/>
          <w:b/>
          <w:bCs/>
          <w:color w:val="auto"/>
          <w:sz w:val="24"/>
          <w:szCs w:val="24"/>
          <w:highlight w:val="none"/>
          <w:u w:val="single"/>
          <w:lang w:val="en-US" w:eastAsia="zh-CN"/>
        </w:rPr>
        <w:t xml:space="preserve">证书</w:t>
      </w:r>
      <w:r>
        <w:rPr>
          <w:rFonts w:hint="eastAsia" w:ascii="宋体" w:hAnsi="宋体" w:eastAsia="宋体" w:cs="宋体"/>
          <w:b/>
          <w:bCs/>
          <w:color w:val="auto"/>
          <w:sz w:val="24"/>
          <w:szCs w:val="24"/>
          <w:highlight w:val="none"/>
          <w:u w:val="single"/>
          <w:lang w:eastAsia="zh-CN"/>
        </w:rPr>
        <w:t xml:space="preserve">均需在</w:t>
      </w:r>
      <w:r>
        <w:rPr>
          <w:rFonts w:hint="eastAsia" w:ascii="宋体" w:hAnsi="宋体" w:eastAsia="宋体" w:cs="宋体"/>
          <w:b/>
          <w:bCs/>
          <w:color w:val="auto"/>
          <w:sz w:val="24"/>
          <w:szCs w:val="24"/>
          <w:highlight w:val="none"/>
          <w:u w:val="single"/>
          <w:lang w:val="en-US" w:eastAsia="zh-CN"/>
        </w:rPr>
        <w:t xml:space="preserve">投标文件中</w:t>
      </w:r>
      <w:r>
        <w:rPr>
          <w:rFonts w:hint="eastAsia" w:ascii="宋体" w:hAnsi="宋体" w:eastAsia="宋体" w:cs="宋体"/>
          <w:b/>
          <w:bCs/>
          <w:color w:val="auto"/>
          <w:sz w:val="24"/>
          <w:szCs w:val="24"/>
          <w:highlight w:val="none"/>
          <w:u w:val="single"/>
          <w:lang w:eastAsia="zh-CN"/>
        </w:rPr>
        <w:t xml:space="preserve">体现，提供相关证明材料，未提供视为未实质性响应。</w:t>
      </w:r>
      <w:r/>
    </w:p>
    <w:p>
      <w:pPr>
        <w:numPr>
          <w:ilvl w:val="0"/>
          <w:numId w:val="0"/>
        </w:numPr>
        <w:ind w:left="0" w:firstLine="482"/>
        <w:keepLines w:val="0"/>
        <w:keepNext w:val="0"/>
        <w:pageBreakBefore w:val="0"/>
        <w:spacing w:line="360" w:lineRule="auto"/>
        <w:widowControl w:val="off"/>
        <w:tabs>
          <w:tab w:val="left" w:pos="210" w:leader="none"/>
          <w:tab w:val="left" w:pos="3780" w:leader="none"/>
        </w:tabs>
        <w:rPr>
          <w:rFonts w:hint="eastAsia" w:ascii="宋体" w:hAnsi="宋体" w:eastAsia="宋体" w:cs="宋体"/>
          <w:b/>
          <w:bCs w:val="0"/>
          <w:color w:val="auto"/>
          <w:sz w:val="24"/>
          <w:szCs w:val="24"/>
          <w:highlight w:val="none"/>
          <w:u w:val="single"/>
          <w:lang w:val="zh-CN"/>
        </w:rPr>
      </w:pPr>
      <w:r>
        <w:rPr>
          <w:rFonts w:hint="eastAsia" w:ascii="宋体" w:hAnsi="宋体" w:eastAsia="宋体" w:cs="宋体"/>
          <w:b/>
          <w:bCs w:val="0"/>
          <w:color w:val="auto"/>
          <w:sz w:val="24"/>
          <w:szCs w:val="24"/>
          <w:highlight w:val="none"/>
          <w:u w:val="single"/>
          <w:lang w:val="en-US" w:eastAsia="zh-CN"/>
        </w:rPr>
        <w:t xml:space="preserve">（九）中小企业声明函请按本项目采购清单顺序填写，每一项均需</w:t>
      </w:r>
      <w:r>
        <w:rPr>
          <w:rFonts w:hint="eastAsia" w:ascii="宋体" w:hAnsi="宋体" w:eastAsia="宋体" w:cs="宋体"/>
          <w:b/>
          <w:bCs w:val="0"/>
          <w:color w:val="auto"/>
          <w:sz w:val="24"/>
          <w:szCs w:val="24"/>
          <w:highlight w:val="none"/>
          <w:u w:val="single"/>
        </w:rPr>
        <w:t xml:space="preserve">单列</w:t>
      </w:r>
      <w:r>
        <w:rPr>
          <w:rFonts w:hint="eastAsia" w:ascii="宋体" w:hAnsi="宋体" w:eastAsia="宋体" w:cs="宋体"/>
          <w:b/>
          <w:bCs w:val="0"/>
          <w:color w:val="auto"/>
          <w:sz w:val="24"/>
          <w:szCs w:val="24"/>
          <w:highlight w:val="none"/>
          <w:u w:val="single"/>
          <w:lang w:val="en-US" w:eastAsia="zh-CN"/>
        </w:rPr>
        <w:t xml:space="preserve">填写，否则</w:t>
      </w:r>
      <w:r>
        <w:rPr>
          <w:rFonts w:hint="eastAsia" w:ascii="宋体" w:hAnsi="宋体" w:eastAsia="宋体" w:cs="宋体"/>
          <w:b/>
          <w:bCs w:val="0"/>
          <w:color w:val="auto"/>
          <w:sz w:val="24"/>
          <w:szCs w:val="24"/>
          <w:highlight w:val="none"/>
          <w:u w:val="single"/>
          <w:lang w:val="zh-CN"/>
        </w:rPr>
        <w:t xml:space="preserve">视为未提供中小企业声明函。</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五、综合说明：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1、投标人明确所投设备的品牌、规格、型号；提供设备的详细功能及技术参数说明；提供设备配置清单；提供设备彩页宣传资料。当提供的设备功能及技术参数和彩页宣传资料不一致时以彩页宣传资料为准。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2、投标人收到采购人供货通知，必须无条件免费供应以接到采购人通知时间后的最新升级的硬件及软件产品来供货。</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3、投标人必须承诺采购文件中提出的全部技术规格与要求，如果以其中某些条款不响应时，应在文件中逐条列出，未列出的视同响应。</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总报价包括设备、随机备品备件、易损件（包括保障设备正常运行三年所需的备品备件、易损件）、降噪、专用工具、安装、调试价（包括损耗、额外材料等，含安装、调试、试运行等相关费用）、运输及保险（包括货物运至最终目的地点的运输费、装卸费、保险费，含伴随货物交运的有关费用）、为完成本项目的全部相关服务费用（包括但不限于现场保管仓储费、零星工程费、培训费、质保期内维护保养费，以及相关税费等保证本项目正常实施和运行所需的一切相关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5、交货时间：</w:t>
      </w:r>
      <w:r>
        <w:rPr>
          <w:rFonts w:hint="eastAsia" w:ascii="宋体" w:hAnsi="宋体" w:eastAsia="宋体" w:cs="宋体"/>
          <w:color w:val="auto"/>
          <w:sz w:val="24"/>
          <w:szCs w:val="24"/>
          <w:highlight w:val="none"/>
          <w:lang w:val="en-US" w:eastAsia="zh-CN"/>
        </w:rPr>
        <w:t xml:space="preserve">接到采购人通知后45天内完成安装及调试</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6、交货地点：具体根据采购人指定地点。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7、付款方式：详见合同条款。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8、安装要求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（1）由中标单位负责安装，现场调试。所有安装施工材料质量及施工质量必须严格按照国家规范及江苏省、苏州市地方规范、采购文件、材料厂家的技术及安全规范要求严格执行。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单位对安装施工安全、质量全面负责，并承担成品保护，如因中标单位原因造成安全、质量事故或成品损坏，中标单位承担一切经济法律责任。中标单位进场前须与总包单位协商现场配合及安全管理等事项，签订总包管理协议，相关费用应在投标报价中充分考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（3）中标单位负责标的物合格、正常、安全使用，所需要通过的相关部门的验收，相关费用由中标单位负责。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（4）伴随服务：投标方需提供详细完整的售后服务方案，在保修期内驻场服务。如需更换设备或送修，必须在1个工作日内完成，一时无法维修时，必须提供备机使用。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装要求：投标人需具备仓储能力，采购方项目安装现场不提供仓储场地。同时，所有采购产品安装完毕并经采购方验收接管后，采购方才承担保管责任，在此之前的安装期间所有货品的保管责任由投标人自行负责保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在向中标单位发放中标通知书时，将向参与项目评审的未中标供应商发放《未中标通知书》，以电子招投标系统通知形式告知该未中标供应商的评审得分与排名，请及时接收查阅，未中标供应商未按约定的时间和方式获取告知信息的，视为自动放弃并自行承担相应后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本项目不接受进口产品。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凡涉及招标文件的补充说明和修改，均以采购代理机构在网上发布的内容为准。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r>
      <w:r/>
    </w:p>
    <w:p>
      <w:pPr>
        <w:jc w:val="center"/>
        <w:keepLines/>
        <w:keepNext/>
        <w:spacing w:before="340" w:after="330" w:line="360" w:lineRule="auto"/>
        <w:rPr>
          <w:rFonts w:hint="eastAsia" w:ascii="宋体" w:hAnsi="宋体" w:eastAsia="宋体" w:cs="宋体"/>
          <w:b/>
          <w:color w:val="auto"/>
          <w:sz w:val="48"/>
          <w:szCs w:val="48"/>
          <w:highlight w:val="none"/>
          <w:shd w:val="clear" w:color="auto" w:fill="ffffff"/>
        </w:rPr>
        <w:outlineLvl w:val="0"/>
      </w:pPr>
      <w:r/>
      <w:bookmarkStart w:id="39" w:name="_Toc396747046"/>
      <w:r/>
      <w:bookmarkStart w:id="40" w:name="_Toc105940241"/>
      <w:r/>
      <w:bookmarkStart w:id="41" w:name="OLE_LINK1"/>
      <w:r/>
      <w:r/>
    </w:p>
    <w:p>
      <w:pPr>
        <w:jc w:val="both"/>
        <w:keepLines/>
        <w:keepNext/>
        <w:spacing w:before="340" w:after="330" w:line="360" w:lineRule="auto"/>
        <w:rPr>
          <w:rFonts w:hint="eastAsia" w:ascii="宋体" w:hAnsi="宋体" w:eastAsia="宋体" w:cs="宋体"/>
          <w:b/>
          <w:color w:val="auto"/>
          <w:sz w:val="48"/>
          <w:szCs w:val="48"/>
          <w:highlight w:val="none"/>
          <w:shd w:val="clear" w:color="auto" w:fill="ffffff"/>
        </w:rPr>
        <w:outlineLvl w:val="0"/>
      </w:pPr>
      <w:r>
        <w:rPr>
          <w:rFonts w:hint="eastAsia" w:ascii="宋体" w:hAnsi="宋体" w:eastAsia="宋体" w:cs="宋体"/>
          <w:b/>
          <w:color w:val="auto"/>
          <w:sz w:val="48"/>
          <w:szCs w:val="48"/>
          <w:highlight w:val="none"/>
          <w:shd w:val="clear" w:color="auto" w:fill="ffffff"/>
        </w:rPr>
      </w:r>
      <w:r/>
    </w:p>
    <w:p>
      <w:pPr>
        <w:jc w:val="both"/>
        <w:keepLines/>
        <w:keepNext/>
        <w:spacing w:before="340" w:after="330" w:line="360" w:lineRule="auto"/>
        <w:rPr>
          <w:rFonts w:hint="eastAsia" w:ascii="宋体" w:hAnsi="宋体" w:eastAsia="宋体" w:cs="宋体"/>
          <w:b/>
          <w:color w:val="auto"/>
          <w:sz w:val="48"/>
          <w:szCs w:val="48"/>
          <w:highlight w:val="none"/>
          <w:shd w:val="clear" w:color="auto" w:fill="ffffff"/>
        </w:rPr>
        <w:outlineLvl w:val="0"/>
      </w:pPr>
      <w:r>
        <w:rPr>
          <w:rFonts w:hint="eastAsia" w:ascii="宋体" w:hAnsi="宋体" w:eastAsia="宋体" w:cs="宋体"/>
          <w:b/>
          <w:color w:val="auto"/>
          <w:sz w:val="48"/>
          <w:szCs w:val="48"/>
          <w:highlight w:val="none"/>
          <w:shd w:val="clear" w:color="auto" w:fill="ffffff"/>
        </w:rPr>
      </w:r>
      <w:r/>
    </w:p>
    <w:p>
      <w:pPr>
        <w:jc w:val="both"/>
        <w:keepLines/>
        <w:keepNext/>
        <w:spacing w:before="340" w:after="330" w:line="360" w:lineRule="auto"/>
        <w:rPr>
          <w:rFonts w:hint="eastAsia" w:ascii="宋体" w:hAnsi="宋体" w:eastAsia="宋体" w:cs="宋体"/>
          <w:b/>
          <w:color w:val="auto"/>
          <w:sz w:val="48"/>
          <w:szCs w:val="48"/>
          <w:highlight w:val="none"/>
          <w:shd w:val="clear" w:color="auto" w:fill="ffffff"/>
        </w:rPr>
        <w:outlineLvl w:val="0"/>
      </w:pPr>
      <w:r>
        <w:rPr>
          <w:rFonts w:hint="eastAsia" w:ascii="宋体" w:hAnsi="宋体" w:eastAsia="宋体" w:cs="宋体"/>
          <w:b/>
          <w:color w:val="auto"/>
          <w:sz w:val="48"/>
          <w:szCs w:val="48"/>
          <w:highlight w:val="none"/>
          <w:shd w:val="clear" w:color="auto" w:fill="ffffff"/>
        </w:rPr>
      </w:r>
      <w:r/>
    </w:p>
    <w:p>
      <w:pPr>
        <w:jc w:val="center"/>
        <w:keepLines/>
        <w:keepNext/>
        <w:spacing w:before="340" w:after="330" w:line="360" w:lineRule="auto"/>
        <w:rPr>
          <w:rFonts w:hint="eastAsia" w:ascii="宋体" w:hAnsi="宋体" w:eastAsia="宋体" w:cs="宋体"/>
          <w:b/>
          <w:color w:val="auto"/>
          <w:sz w:val="48"/>
          <w:szCs w:val="48"/>
          <w:highlight w:val="none"/>
          <w:shd w:val="clear" w:color="auto" w:fill="ffffff"/>
        </w:rPr>
        <w:outlineLvl w:val="0"/>
      </w:pPr>
      <w:r>
        <w:rPr>
          <w:rFonts w:hint="eastAsia" w:ascii="宋体" w:hAnsi="宋体" w:eastAsia="宋体" w:cs="宋体"/>
          <w:b/>
          <w:color w:val="auto"/>
          <w:sz w:val="48"/>
          <w:szCs w:val="48"/>
          <w:highlight w:val="none"/>
          <w:shd w:val="clear" w:color="auto" w:fill="ffffff"/>
        </w:rPr>
      </w:r>
      <w:r/>
    </w:p>
    <w:p>
      <w:pPr>
        <w:jc w:val="center"/>
        <w:keepLines/>
        <w:keepNext/>
        <w:spacing w:before="340" w:after="330" w:line="360" w:lineRule="auto"/>
        <w:rPr>
          <w:rFonts w:hint="eastAsia" w:ascii="宋体" w:hAnsi="宋体" w:eastAsia="宋体" w:cs="宋体"/>
          <w:b/>
          <w:color w:val="auto"/>
          <w:sz w:val="48"/>
          <w:szCs w:val="48"/>
          <w:highlight w:val="none"/>
          <w:shd w:val="clear" w:color="auto" w:fill="ffffff"/>
        </w:rPr>
        <w:outlineLvl w:val="0"/>
      </w:pPr>
      <w:r>
        <w:rPr>
          <w:rFonts w:hint="eastAsia" w:ascii="宋体" w:hAnsi="宋体" w:eastAsia="宋体" w:cs="宋体"/>
          <w:b/>
          <w:color w:val="auto"/>
          <w:sz w:val="48"/>
          <w:szCs w:val="48"/>
          <w:highlight w:val="none"/>
          <w:shd w:val="clear" w:color="auto" w:fill="ffffff"/>
        </w:rPr>
      </w:r>
      <w:r/>
    </w:p>
    <w:p>
      <w:pPr>
        <w:jc w:val="center"/>
        <w:keepLines w:val="0"/>
        <w:keepNext w:val="0"/>
        <w:pageBreakBefore w:val="0"/>
        <w:spacing w:before="340" w:after="330" w:line="360" w:lineRule="auto"/>
        <w:widowControl w:val="off"/>
        <w:rPr>
          <w:rFonts w:hint="eastAsia" w:ascii="宋体" w:hAnsi="宋体" w:eastAsia="宋体" w:cs="宋体"/>
          <w:b/>
          <w:color w:val="auto"/>
          <w:sz w:val="48"/>
          <w:szCs w:val="48"/>
          <w:highlight w:val="none"/>
          <w:shd w:val="clear" w:color="auto" w:fill="ffffff"/>
        </w:rPr>
        <w:outlineLvl w:val="0"/>
      </w:pPr>
      <w:r>
        <w:rPr>
          <w:rFonts w:hint="eastAsia" w:ascii="宋体" w:hAnsi="宋体" w:eastAsia="宋体" w:cs="宋体"/>
          <w:b/>
          <w:color w:val="auto"/>
          <w:sz w:val="48"/>
          <w:szCs w:val="48"/>
          <w:highlight w:val="none"/>
          <w:shd w:val="clear" w:color="auto" w:fill="ffffff"/>
        </w:rPr>
        <w:t xml:space="preserve">第五章 合同主要条款</w:t>
      </w:r>
      <w:bookmarkEnd w:id="39"/>
      <w:r/>
      <w:bookmarkEnd w:id="40"/>
      <w:r/>
      <w:bookmarkEnd w:id="41"/>
      <w:r/>
    </w:p>
    <w:p>
      <w:pPr>
        <w:spacing w:line="360" w:lineRule="auto"/>
        <w:rPr>
          <w:rFonts w:hint="eastAsia" w:ascii="宋体" w:hAnsi="宋体" w:eastAsia="宋体" w:cs="宋体"/>
          <w:color w:val="auto"/>
          <w:sz w:val="26"/>
          <w:szCs w:val="20"/>
          <w:highlight w:val="none"/>
          <w:shd w:val="clear" w:color="auto" w:fill="ffffff"/>
        </w:rPr>
      </w:pPr>
      <w:r/>
      <w:bookmarkStart w:id="42" w:name="_Toc13889378"/>
      <w:r/>
      <w:bookmarkStart w:id="43" w:name="_Toc13642118"/>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ind w:firstLine="6300"/>
        <w:rPr>
          <w:rFonts w:hint="eastAsia" w:ascii="宋体" w:hAnsi="宋体" w:eastAsia="宋体" w:cs="宋体"/>
          <w:color w:val="auto"/>
          <w:sz w:val="24"/>
          <w:szCs w:val="24"/>
          <w:highlight w:val="none"/>
        </w:rPr>
      </w:pPr>
      <w:r/>
      <w:bookmarkStart w:id="44" w:name="_Toc105940242"/>
      <w:r>
        <w:rPr>
          <w:rFonts w:hint="eastAsia" w:ascii="宋体" w:hAnsi="宋体" w:eastAsia="宋体" w:cs="宋体"/>
          <w:color w:val="auto"/>
          <w:sz w:val="24"/>
          <w:szCs w:val="24"/>
          <w:highlight w:val="none"/>
        </w:rPr>
        <w:t xml:space="preserve">合同编号：</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bookmarkStart w:id="45" w:name="_Toc13543224"/>
      <w:r>
        <w:rPr>
          <w:rFonts w:hint="eastAsia" w:ascii="宋体" w:hAnsi="宋体" w:eastAsia="宋体" w:cs="宋体"/>
          <w:b/>
          <w:bCs/>
          <w:color w:val="auto"/>
          <w:sz w:val="24"/>
          <w:szCs w:val="24"/>
          <w:highlight w:val="none"/>
        </w:rPr>
        <w:t xml:space="preserve">第一部分  合同一般条款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一、合同文件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1、合同文件适用法律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适用于合同文件的法律是中华人民共和国现行法律、法规及甲方所在地的地方性法规。</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2、合同文件组成和解释顺序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合同文件的组成和解释顺序如下：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合同的特殊性条款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合同的一般性条款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洽商、变更等明确双方权利义务的纪要、协议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 中标通知书、投标书和招标文件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 有关图纸</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 标准、规范和其它有关技术资料、技术要求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合同的特殊性条款的效力优于合同的一般性条款的效力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3、合同文件使用文字</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合同文件使用中文书写、解释和说明</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二、标的物的一般条款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4、完整物权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对于出卖的标的物，乙方应当拥有完整物权，并且乙方负有保证第三人不得向甲方主张任何权利（包括知识产权）的义务。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5、质量保证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除合同特殊条款规定外，合同条款中标的物的质量保证期均自标的物通过最终验收</w:t>
      </w:r>
      <w:r>
        <w:rPr>
          <w:rFonts w:hint="eastAsia" w:ascii="宋体" w:hAnsi="宋体" w:eastAsia="宋体" w:cs="宋体"/>
          <w:color w:val="auto"/>
          <w:sz w:val="24"/>
          <w:szCs w:val="24"/>
          <w:highlight w:val="none"/>
          <w:lang w:val="en-US" w:eastAsia="zh-CN"/>
        </w:rPr>
        <w:t xml:space="preserve">移交</w:t>
      </w:r>
      <w:r>
        <w:rPr>
          <w:rFonts w:hint="eastAsia" w:ascii="宋体" w:hAnsi="宋体" w:eastAsia="宋体" w:cs="宋体"/>
          <w:color w:val="auto"/>
          <w:sz w:val="24"/>
          <w:szCs w:val="24"/>
          <w:highlight w:val="none"/>
        </w:rPr>
        <w:t xml:space="preserve">之日起计算，且质量保证期不低于</w:t>
      </w:r>
      <w:r>
        <w:rPr>
          <w:rFonts w:hint="eastAsia" w:ascii="宋体" w:hAnsi="宋体" w:eastAsia="宋体" w:cs="宋体"/>
          <w:color w:val="auto"/>
          <w:sz w:val="24"/>
          <w:szCs w:val="24"/>
          <w:highlight w:val="none"/>
          <w:lang w:val="en-US" w:eastAsia="zh-CN"/>
        </w:rPr>
        <w:t xml:space="preserve">两年</w:t>
      </w:r>
      <w:r>
        <w:rPr>
          <w:rFonts w:hint="eastAsia" w:ascii="宋体" w:hAnsi="宋体" w:eastAsia="宋体" w:cs="宋体"/>
          <w:color w:val="auto"/>
          <w:sz w:val="24"/>
          <w:szCs w:val="24"/>
          <w:highlight w:val="none"/>
        </w:rPr>
        <w:t xml:space="preserve">。若货物生产厂家规定的免费质保期长于本合同质保期，质保期以较长者为准。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6、包装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7、伴随服务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乙方除应履行按期按量交付合格标的物的义务之外，还应提供下列服务。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 标的物的现场安装、启动、调试、监督；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 提供标的物组装和一般维修所必须的工具；</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7.1.3 在合同规定的期限内对所提供标的物实行运行监督、维修服务的前提条件是该服务并不能免除乙方在质量保证期内所承担的义务；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7.1.4 对甲方技术人员的技术指导或培训。</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除合同另有规定之外，伴随服务的费用均已含在合同价款中，甲方不再另行进行支付。</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三、标的物的交付、检验和验收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8、标的物的交付</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标的物的所有权自标的物交付时转移。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乙方应当按照约定的期限和约定的地点交付标的物。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乙方应当按照约定或者交易习惯向甲方交付提取标的物单证以外的有关单证和资料。</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9、检验和验收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甲方根据合同规定的内容和验收标准进行验收，同时比较乙方出具的检验证明，经检验无误后出具验收合格证明，该证明作为最终付款所需文件的组成部分。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验收期限自标的物交付之日起三十天内。特殊情况需延长的，双方应在合同的特殊条款中约定。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如双方对验收结果有分歧，则以苏州市技术质量监督局的检验结果为准，检验费用由有过失的一方支付。</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四、对标的物提出异议的时间和办法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10、对标的物提出异议的时间和办法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甲方在验收过程中，应当于双方约定的检验期间内将标的物的数量或质量不符合约定的情形及处理方式以书面形式通知乙方。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如甲方在验收期满后既不出具验收合格证明又未提出书面异议的视为乙方所交标的物符合合同规定。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乙方应在收到甲方书面异议后七天内负责处理问题，否则将视为默认甲方提出的异议和处理意见。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五、合同价款和支付</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11、合同价款和支付</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本合同的结算货币为人民币，单位元。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乙方应按照双方签订的合同规定交货并在合同特殊条款规定的期限内持下列单据结算货款。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11.2.1 合格的销售发票；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11.2.2 甲方盖章签收后的送货回单和验收合格证明。</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甲方应按合同特殊条款规定的期限和方式付款。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根据现行税法对甲方征收的与本合同有关的一切税费均由甲方承担；根据现行税法对乙方征收的与本合同有关的一切税费均由乙方承担。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合同一方不履行合同义务或者履行合同义务不符合约定的，应当承担继续履行、采取补救措施或者赔偿损失等违约责任。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13、甲方违约责任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在合同生效后，非乙方质量原因甲方要求退货的，应向乙方偿付合同总价款的5%，作为违约金，违约金不足以补偿损失的，乙方有权要求甲方补足。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甲方逾期付款的应按照逾期付款金额的每天万分之四支付逾期付款违约金。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甲方违反合同规定，拒绝接收乙方交付的合格标的物，应当承担乙方由此造成的损失。</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14、乙方违约责任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乙方逾期交货的，应在发货前与甲方和政府采购管理部门协商，甲方仍需求的，乙方应立即发货并应按照逾期交货部分货款的每天万分之四支付逾期交货违约金，同时承担甲方因此遭致的损失费用。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15、不可抗力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因不可抗力不能履行合同的，根据不可抗力的影响，部分或者全部免除责任。但合同一方迟延履行后发生不可抗力的，不能免除责任。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合同一方因不可抗力不能履行合同的，应当及时通知对方，以减轻可能给对方造成的损失，并应当在合理期限内提供证明。</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七、索赔</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16、索赔</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甲方有权根据乙方的违约情况向乙方提出索赔。</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在本合同规定的检验期和质量保证期内，如果乙方对甲方提出的索赔或差异有责任，则乙方应按甲方要求的下列一种或多种方式解决索赔事宜：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退货，并按合同规定的货币将货款退还给甲方，并承担由此发生的一切损失和费用，包括利息、银行手续费、运费、保险费、检验费、仓储费、装卸费以及为保护退回标的物所需的其它必要费用。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 根据标的物的低劣程度、损坏程度以及甲方遭受损失的数额，经双方协商确定降低标的物的价格。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同时乙方还应承担甲方因提出索赔而聘请律师所发生的费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八、合同的解除和转让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17、合同的解除</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甲方和乙方协商一致，可以解除合同；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有下列情形之一，合同一方可以解除合同：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17.2.1 因不可抗力致使不能实现合同目的，未受不可抗力影响的一方有权解除合同；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17.2.2 因合同一方违约导致合同不能履行，另一方有权解除合同；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 有权解除合同的一方，应当在违约事实或不可抗力发生之后三十天内书面通知对方以主张解除合同，合同在书面通知到达对方时解除。</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18、合同的转让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合同的部分和全部都不得转让。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九、合同的生效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19、合同的生效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本合同在双方签字盖章后生效。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十、争议解决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20、争议解决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甲乙双方因合同发生争议，应在招标方的主持下进行调解，协商不成，任何一方可以向甲方所在地人民法院起诉。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十一、附则</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21、合同份数。</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本合同一式八份，甲方五份，乙方二份，采购代理机构一份。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22、未尽事宜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本合同未尽事宜应按《中华人民共和国民法典》、《中华人民共和国产品质量法》、《中华人民共和国政府采购法》之规定解释。</w:t>
      </w:r>
      <w:r/>
    </w:p>
    <w:p>
      <w:p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第二部分  合同特殊条款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一、合同内容：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1、乙方负责完成甲方的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，详见《标的物清单》。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2、下列文件为本合同不可分割部分：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①招标文件；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②乙方中标的投标</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③乙方在</w:t>
      </w:r>
      <w:r>
        <w:rPr>
          <w:rFonts w:hint="eastAsia" w:ascii="宋体" w:hAnsi="宋体" w:eastAsia="宋体" w:cs="宋体"/>
          <w:color w:val="auto"/>
          <w:sz w:val="24"/>
          <w:szCs w:val="24"/>
          <w:highlight w:val="none"/>
          <w:lang w:val="en-US" w:eastAsia="zh-CN"/>
        </w:rPr>
        <w:t xml:space="preserve">评审过程中作出的有关澄清说明或补充文件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④中标通知书</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w:t>
      </w:r>
      <w:r>
        <w:rPr>
          <w:rFonts w:hint="eastAsia" w:ascii="宋体" w:hAnsi="宋体" w:eastAsia="宋体" w:cs="宋体"/>
          <w:color w:val="auto"/>
          <w:sz w:val="24"/>
          <w:szCs w:val="24"/>
          <w:highlight w:val="none"/>
          <w:lang w:val="en-US" w:eastAsia="zh-CN"/>
        </w:rPr>
        <w:t xml:space="preserve">合同附件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二、价格与支付：</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1、本合同为固定单价合同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合同价格按此次中标价格执行，合同总金额为人民币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投标总价包括设备、随机备品备件、易损件（包括保障设备正常运行三年所需的备品备件、易损件）、降噪、专用工具、安装、调试价（包括损耗、额外材料等，含安装、调试、试运行等相关费用）、运输及保险（包括货物运至最终目的地点的运输费、装卸费、保险费，含伴随货物交运的有关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为完成本项目的全部相关服务费用（包括但不限于现场保管仓储费、零星工程费、培训费、质保期内维护保养费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代理服务费，以及相关税费等保证本项目正常实施和运行所需的一切相关费用）。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2、付款步骤：</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预付款：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□乙方明确表示无需预付款；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□有预付款：待合同签订生效后，甲方支付合同金额的30%的预付款，预付款将从第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笔（期）待支付的进度款款项中扣除。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b/>
          <w:color w:val="auto"/>
          <w:sz w:val="24"/>
          <w:szCs w:val="24"/>
          <w:highlight w:val="none"/>
        </w:rPr>
        <w:t xml:space="preserve">进度款：</w:t>
      </w:r>
      <w:r>
        <w:rPr>
          <w:rFonts w:hint="eastAsia" w:ascii="宋体" w:hAnsi="宋体" w:eastAsia="宋体" w:cs="宋体"/>
          <w:color w:val="auto"/>
          <w:sz w:val="24"/>
          <w:szCs w:val="24"/>
          <w:highlight w:val="none"/>
        </w:rPr>
        <w:t xml:space="preserve">乙方所提供的货物全部交付完毕，且全部货物验收合格后,甲方支付合同总金额的50％；乙方将所有货物安装调试通过且验收完成，甲方支付至合同总金额的7</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b/>
          <w:color w:val="auto"/>
          <w:sz w:val="24"/>
          <w:szCs w:val="24"/>
          <w:highlight w:val="none"/>
        </w:rPr>
        <w:t xml:space="preserve">结清款：</w:t>
      </w:r>
      <w:r>
        <w:rPr>
          <w:rFonts w:hint="eastAsia" w:ascii="宋体" w:hAnsi="宋体" w:eastAsia="宋体" w:cs="宋体"/>
          <w:color w:val="auto"/>
          <w:sz w:val="24"/>
          <w:szCs w:val="24"/>
          <w:highlight w:val="none"/>
        </w:rPr>
        <w:t xml:space="preserve">经甲方组织的整个项目验收合格，且经园区审计部门</w:t>
      </w:r>
      <w:r>
        <w:rPr>
          <w:rFonts w:hint="eastAsia" w:ascii="宋体" w:hAnsi="宋体" w:eastAsia="宋体" w:cs="宋体"/>
          <w:color w:val="auto"/>
          <w:sz w:val="24"/>
          <w:szCs w:val="24"/>
          <w:highlight w:val="none"/>
          <w:lang w:val="en-US" w:eastAsia="zh-CN"/>
        </w:rPr>
        <w:t xml:space="preserve">审计</w:t>
      </w:r>
      <w:r>
        <w:rPr>
          <w:rFonts w:hint="eastAsia" w:ascii="宋体" w:hAnsi="宋体" w:eastAsia="宋体" w:cs="宋体"/>
          <w:color w:val="auto"/>
          <w:sz w:val="24"/>
          <w:szCs w:val="24"/>
          <w:highlight w:val="none"/>
        </w:rPr>
        <w:t xml:space="preserve">，甲方支付至审计结果的9</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%；剩余</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%在免费质保期满后七个工作日内付清。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2.4在签订合同时，乙方明确表示无需预付款或者主动要求降低预付款比例的，甲方可不适用上述关于预付款的规定。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3、项目实施完成后，将按如下方式进行最终审计：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（1）以审计单位审定结果为本项目价款结算依据；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工程竣工审计按照园区财政投资建设项目的相关规定，承包人和发包人均应无条件同意配合，并承诺不就此提出任何异议。竣工结算审计后，如果工程结算核减金额超过送审总价的7%，则其结算审计费用的浮动部分中，超过7%部分按核减造价4%计算确定的审计费用由承包人承担，由采购人在工程款中代扣</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政府采购合同履行中，甲方需追加货物、工程或者服务的，需要具备以下要求：（1）追加金额不得超过原合同金额的10%；（2）原合同金额10%以内的追加费用，仅限于原合同内采购清单数量调整增加的项目费用，原合同外采购内容不得计入。</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5、付款方式：银行转账、银行汇票或转账支票，具体支付方式甲方有权根据财务安排自主选择。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6、乙方开户银行名称、地址、账号为：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户名：</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账号</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三、质量与验收：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1、乙方应按照标书的有关规定提供合格设备；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2、设备质量出现问题，乙方负责包修、包退、包换，费用由乙方承担；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本项目将根据政府采购法及相关法规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《江苏省政府采购履约验收管理办法》的规定,对</w:t>
      </w:r>
      <w:r>
        <w:rPr>
          <w:rFonts w:hint="eastAsia" w:ascii="宋体" w:hAnsi="宋体" w:eastAsia="宋体" w:cs="宋体"/>
          <w:color w:val="auto"/>
          <w:sz w:val="24"/>
          <w:szCs w:val="24"/>
          <w:highlight w:val="none"/>
          <w:lang w:val="en-US" w:eastAsia="zh-CN"/>
        </w:rPr>
        <w:t xml:space="preserve">乙方提供的设备</w:t>
      </w:r>
      <w:r>
        <w:rPr>
          <w:rFonts w:hint="eastAsia" w:ascii="宋体" w:hAnsi="宋体" w:eastAsia="宋体" w:cs="宋体"/>
          <w:color w:val="auto"/>
          <w:sz w:val="24"/>
          <w:szCs w:val="24"/>
          <w:highlight w:val="none"/>
        </w:rPr>
        <w:t xml:space="preserve">进行履约验收，确认验收合格的，将出具《政府采购履约验收书》。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highlight w:val="none"/>
          <w:lang w:val="zh-CN"/>
        </w:rPr>
        <w:t xml:space="preserve">履约验收主体：甲方；</w:t>
      </w:r>
      <w:r>
        <w:rPr>
          <w:rFonts w:hint="eastAsia" w:ascii="宋体" w:hAnsi="宋体" w:eastAsia="宋体" w:cs="宋体"/>
          <w:color w:val="auto"/>
          <w:sz w:val="24"/>
          <w:szCs w:val="24"/>
          <w:highlight w:val="none"/>
          <w:lang w:val="zh-CN"/>
        </w:rPr>
        <w:tab/>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3.2</w:t>
      </w:r>
      <w:r>
        <w:rPr>
          <w:rFonts w:hint="eastAsia" w:ascii="宋体" w:hAnsi="宋体" w:eastAsia="宋体" w:cs="宋体"/>
          <w:color w:val="auto"/>
          <w:sz w:val="24"/>
          <w:szCs w:val="24"/>
          <w:highlight w:val="none"/>
          <w:lang w:val="zh-CN" w:eastAsia="zh-CN"/>
        </w:rPr>
        <w:t xml:space="preserve">提出履约验收申请：合同履行达到采购文件明确的验收条件时，乙方应向甲方发出项目验收申请。乙方未及时履约或发出验收申请的，甲方依照合同约定催告，提出履约验收要求。乙方在收到催告后五个工作日内拒不配合的，甲方将依照合同约定追究其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lang w:val="zh-CN" w:eastAsia="zh-CN"/>
        </w:rPr>
        <w:t xml:space="preserve">履约验收准备时间：甲方应及时全面准备验收，自收到验收申请之日起五个工作日内做好必要的验收准备工作、启动项目验收、通知乙方。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lang w:val="zh-CN"/>
        </w:rPr>
        <w:t xml:space="preserve">履约验收方式：</w:t>
      </w:r>
      <w:r>
        <w:rPr>
          <w:rFonts w:hint="eastAsia" w:ascii="宋体" w:hAnsi="宋体" w:eastAsia="宋体" w:cs="宋体"/>
          <w:color w:val="auto"/>
          <w:sz w:val="24"/>
          <w:szCs w:val="24"/>
          <w:highlight w:val="none"/>
          <w:lang w:val="zh-CN" w:eastAsia="zh-CN"/>
        </w:rPr>
        <w:t xml:space="preserve">甲方应组织成立验收小组，验收小组负责实施项目验收工作。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zh-CN"/>
        </w:rPr>
        <w:t xml:space="preserve">验收期限：自产品安装调试完毕</w:t>
      </w:r>
      <w:r>
        <w:rPr>
          <w:rFonts w:hint="eastAsia" w:ascii="宋体" w:hAnsi="宋体" w:eastAsia="宋体" w:cs="宋体"/>
          <w:color w:val="auto"/>
          <w:sz w:val="24"/>
          <w:szCs w:val="24"/>
          <w:highlight w:val="none"/>
          <w:lang w:val="en-US" w:eastAsia="zh-CN"/>
        </w:rPr>
        <w:t xml:space="preserve">交付</w:t>
      </w:r>
      <w:r>
        <w:rPr>
          <w:rFonts w:hint="eastAsia" w:ascii="宋体" w:hAnsi="宋体" w:eastAsia="宋体" w:cs="宋体"/>
          <w:color w:val="auto"/>
          <w:sz w:val="24"/>
          <w:szCs w:val="24"/>
          <w:highlight w:val="none"/>
          <w:lang w:val="zh-CN"/>
        </w:rPr>
        <w:t xml:space="preserve">之日起30日内，如有特殊情况，双方另行协调。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lang w:val="zh-CN"/>
        </w:rPr>
        <w:t xml:space="preserve">验收标准：</w:t>
      </w:r>
      <w:r>
        <w:rPr>
          <w:rFonts w:hint="eastAsia" w:ascii="宋体" w:hAnsi="宋体" w:eastAsia="宋体" w:cs="宋体"/>
          <w:color w:val="auto"/>
          <w:sz w:val="24"/>
          <w:szCs w:val="24"/>
          <w:highlight w:val="none"/>
        </w:rPr>
        <w:t xml:space="preserve">国家或行业相关标准（如有）、《江苏省政府采购履约验收管理办法》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合同条款、采购需求的所有内容，采购文件、投标文件、乙方在评标过程中做出的有关澄清说明或补充文件、中标通知书等。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lang w:val="zh-CN"/>
        </w:rPr>
        <w:t xml:space="preserve">履约验收</w:t>
      </w:r>
      <w:r>
        <w:rPr>
          <w:rFonts w:hint="eastAsia" w:ascii="宋体" w:hAnsi="宋体" w:eastAsia="宋体" w:cs="宋体"/>
          <w:color w:val="auto"/>
          <w:sz w:val="24"/>
          <w:szCs w:val="24"/>
          <w:highlight w:val="none"/>
          <w:lang w:val="zh-CN" w:eastAsia="zh-CN"/>
        </w:rPr>
        <w:t xml:space="preserve">程序：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lang w:val="zh-CN" w:eastAsia="zh-CN"/>
        </w:rPr>
        <w:t xml:space="preserve">.1验收小组应当认真履行项目验收职责，做好验收记录，确保验收意见客观真实反映乙方对合同的履行情况。验收小组应当要求乙方提供能证明其按照合同约定数量或工作量清单履约的相关记录或者凭证，根据履约验收方案，对乙方提供的</w:t>
      </w:r>
      <w:r>
        <w:rPr>
          <w:rFonts w:hint="eastAsia" w:ascii="宋体" w:hAnsi="宋体" w:eastAsia="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lang w:val="zh-CN" w:eastAsia="zh-CN"/>
        </w:rPr>
        <w:t xml:space="preserve">按照采购文件、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val="zh-CN" w:eastAsia="zh-CN"/>
        </w:rPr>
        <w:t xml:space="preserve">文件、政府采购合同等逐一进行检验、核实、评估等工作，使用音视频、对现场情况描述且签字等方式留存证明材料，由乙方确认，作为履约验收的重要凭据。验收结束后，验收小组应在验收书中作出最终验收意见，验收小组成员对验收意见有异议的，应当在验收意见栏签署不同意见并说明理由否则视为同意验收意见。验收意见由乙方盖章确认后报甲方。</w:t>
      </w:r>
      <w:r>
        <w:rPr>
          <w:rFonts w:hint="eastAsia" w:ascii="宋体" w:hAnsi="宋体" w:eastAsia="宋体" w:cs="宋体"/>
          <w:color w:val="auto"/>
          <w:sz w:val="24"/>
          <w:szCs w:val="24"/>
          <w:highlight w:val="none"/>
          <w:lang w:val="zh-CN"/>
        </w:rPr>
        <w:t xml:space="preserve">相关验收费用由乙方承担，并在报价时综合考虑。</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lang w:val="zh-CN" w:eastAsia="zh-CN"/>
        </w:rPr>
        <w:t xml:space="preserve">.2甲方应当对验收小组的验收意见进行确认并盖章。确认验收合格的，甲方在验收书上加盖单位公章；验收结果与采购合同不一致的，甲方应当根据验收意见中载明的具体偏差内容和处置建议，研究确定验收结论并加盖公章；验收小组成员意见存在分歧的，甲方应当对异议事项进行复核，妥善处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3.8</w:t>
      </w:r>
      <w:r>
        <w:rPr>
          <w:rFonts w:hint="eastAsia" w:ascii="宋体" w:hAnsi="宋体" w:eastAsia="宋体" w:cs="宋体"/>
          <w:color w:val="auto"/>
          <w:sz w:val="24"/>
          <w:szCs w:val="24"/>
          <w:highlight w:val="none"/>
          <w:lang w:val="zh-CN"/>
        </w:rPr>
        <w:t xml:space="preserve">履约验收</w:t>
      </w:r>
      <w:r>
        <w:rPr>
          <w:rFonts w:hint="eastAsia" w:ascii="宋体" w:hAnsi="宋体" w:eastAsia="宋体" w:cs="宋体"/>
          <w:color w:val="auto"/>
          <w:sz w:val="24"/>
          <w:szCs w:val="24"/>
          <w:highlight w:val="none"/>
          <w:lang w:val="zh-CN" w:eastAsia="zh-CN"/>
        </w:rPr>
        <w:t xml:space="preserve">内容：包括每一项技术和商务要求的履约情况。包括但不限于：检查外包装是否完好无损；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3.9</w:t>
      </w:r>
      <w:r>
        <w:rPr>
          <w:rFonts w:hint="eastAsia" w:ascii="宋体" w:hAnsi="宋体" w:eastAsia="宋体" w:cs="宋体"/>
          <w:color w:val="auto"/>
          <w:sz w:val="24"/>
          <w:szCs w:val="24"/>
          <w:highlight w:val="none"/>
          <w:lang w:val="zh-CN" w:eastAsia="zh-CN"/>
        </w:rPr>
        <w:t xml:space="preserve">履约验收时限：</w:t>
      </w:r>
      <w:r>
        <w:rPr>
          <w:rFonts w:hint="eastAsia" w:ascii="宋体" w:hAnsi="宋体" w:eastAsia="宋体" w:cs="宋体"/>
          <w:color w:val="auto"/>
          <w:sz w:val="24"/>
          <w:szCs w:val="24"/>
          <w:highlight w:val="none"/>
          <w:lang w:val="zh-CN"/>
        </w:rPr>
        <w:t xml:space="preserve">甲方在验收过程中</w:t>
      </w:r>
      <w:r>
        <w:rPr>
          <w:rFonts w:hint="eastAsia" w:ascii="宋体" w:hAnsi="宋体" w:eastAsia="宋体" w:cs="宋体"/>
          <w:color w:val="auto"/>
          <w:sz w:val="24"/>
          <w:szCs w:val="24"/>
          <w:highlight w:val="none"/>
          <w:lang w:val="zh-CN" w:eastAsia="zh-CN"/>
        </w:rPr>
        <w:t xml:space="preserve">发现</w:t>
      </w:r>
      <w:r>
        <w:rPr>
          <w:rFonts w:hint="eastAsia" w:ascii="宋体" w:hAnsi="宋体" w:eastAsia="宋体" w:cs="宋体"/>
          <w:color w:val="auto"/>
          <w:sz w:val="24"/>
          <w:szCs w:val="24"/>
          <w:highlight w:val="none"/>
          <w:lang w:val="zh-CN"/>
        </w:rPr>
        <w:t xml:space="preserve">的问题，</w:t>
      </w:r>
      <w:r>
        <w:rPr>
          <w:rFonts w:hint="eastAsia" w:ascii="宋体" w:hAnsi="宋体" w:eastAsia="宋体" w:cs="宋体"/>
          <w:color w:val="auto"/>
          <w:sz w:val="24"/>
          <w:szCs w:val="24"/>
          <w:highlight w:val="none"/>
          <w:lang w:val="zh-CN" w:eastAsia="zh-CN"/>
        </w:rPr>
        <w:t xml:space="preserve">具备限期整改条件的，</w:t>
      </w:r>
      <w:r>
        <w:rPr>
          <w:rFonts w:hint="eastAsia" w:ascii="宋体" w:hAnsi="宋体" w:eastAsia="宋体" w:cs="宋体"/>
          <w:color w:val="auto"/>
          <w:sz w:val="24"/>
          <w:szCs w:val="24"/>
          <w:highlight w:val="none"/>
          <w:lang w:val="zh-CN"/>
        </w:rPr>
        <w:t xml:space="preserve">甲方应在发现服务质量不符合约定之日起 3日内向乙方提出书面</w:t>
      </w:r>
      <w:r>
        <w:rPr>
          <w:rFonts w:hint="eastAsia" w:ascii="宋体" w:hAnsi="宋体" w:eastAsia="宋体" w:cs="宋体"/>
          <w:color w:val="auto"/>
          <w:sz w:val="24"/>
          <w:szCs w:val="24"/>
          <w:highlight w:val="none"/>
          <w:lang w:val="zh-CN" w:eastAsia="zh-CN"/>
        </w:rPr>
        <w:t xml:space="preserve">限期整改</w:t>
      </w:r>
      <w:r>
        <w:rPr>
          <w:rFonts w:hint="eastAsia" w:ascii="宋体" w:hAnsi="宋体" w:eastAsia="宋体" w:cs="宋体"/>
          <w:color w:val="auto"/>
          <w:sz w:val="24"/>
          <w:szCs w:val="24"/>
          <w:highlight w:val="none"/>
          <w:lang w:val="zh-CN"/>
        </w:rPr>
        <w:t xml:space="preserve">，乙方在接到书面</w:t>
      </w:r>
      <w:r>
        <w:rPr>
          <w:rFonts w:hint="eastAsia" w:ascii="宋体" w:hAnsi="宋体" w:eastAsia="宋体" w:cs="宋体"/>
          <w:color w:val="auto"/>
          <w:sz w:val="24"/>
          <w:szCs w:val="24"/>
          <w:highlight w:val="none"/>
          <w:lang w:val="zh-CN" w:eastAsia="zh-CN"/>
        </w:rPr>
        <w:t xml:space="preserve">限期整改</w:t>
      </w:r>
      <w:r>
        <w:rPr>
          <w:rFonts w:hint="eastAsia" w:ascii="宋体" w:hAnsi="宋体" w:eastAsia="宋体" w:cs="宋体"/>
          <w:color w:val="auto"/>
          <w:sz w:val="24"/>
          <w:szCs w:val="24"/>
          <w:highlight w:val="none"/>
          <w:lang w:val="zh-CN"/>
        </w:rPr>
        <w:t xml:space="preserve">后，应当在3日内负责处理并书面回复甲方，否则将视为默认甲方提出的异议和处理意见。</w:t>
      </w:r>
      <w:r>
        <w:rPr>
          <w:rFonts w:hint="eastAsia" w:ascii="宋体" w:hAnsi="宋体" w:eastAsia="宋体" w:cs="宋体"/>
          <w:color w:val="auto"/>
          <w:sz w:val="24"/>
          <w:szCs w:val="24"/>
          <w:highlight w:val="none"/>
          <w:lang w:val="zh-CN" w:eastAsia="zh-CN"/>
        </w:rPr>
        <w:t xml:space="preserve">整改期满后重新验收。不具备整改条件或乙方未按要求按期整改的，甲方依法追究乙方的违约责任并根据生效的裁判文书支付资金。乙方不认可验收意见的，按照采购合同约定的方式解决；合同中约定的方式未能解决的，按照《中华人民共和国民法典》等法律法规规定处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3.10</w:t>
      </w:r>
      <w:r>
        <w:rPr>
          <w:rFonts w:hint="eastAsia" w:ascii="宋体" w:hAnsi="宋体" w:eastAsia="宋体" w:cs="宋体"/>
          <w:color w:val="auto"/>
          <w:sz w:val="24"/>
          <w:szCs w:val="24"/>
          <w:highlight w:val="none"/>
          <w:lang w:val="zh-CN"/>
        </w:rPr>
        <w:t xml:space="preserve">验收时或在验收后因质量原因产生的争议，由甲乙双方共同邀请</w:t>
      </w:r>
      <w:r>
        <w:rPr>
          <w:rFonts w:hint="eastAsia" w:ascii="宋体" w:hAnsi="宋体" w:eastAsia="宋体" w:cs="宋体"/>
          <w:color w:val="auto"/>
          <w:sz w:val="24"/>
          <w:szCs w:val="24"/>
          <w:highlight w:val="none"/>
          <w:lang w:val="zh-CN" w:eastAsia="zh-CN"/>
        </w:rPr>
        <w:t xml:space="preserve">国家认可的质量检测机构</w:t>
      </w:r>
      <w:r>
        <w:rPr>
          <w:rFonts w:hint="eastAsia" w:ascii="宋体" w:hAnsi="宋体" w:eastAsia="宋体" w:cs="宋体"/>
          <w:color w:val="auto"/>
          <w:sz w:val="24"/>
          <w:szCs w:val="24"/>
          <w:highlight w:val="none"/>
          <w:lang w:val="zh-CN"/>
        </w:rPr>
        <w:t xml:space="preserve">进行检测，以第三方</w:t>
      </w:r>
      <w:r>
        <w:rPr>
          <w:rFonts w:hint="eastAsia" w:ascii="宋体" w:hAnsi="宋体" w:eastAsia="宋体" w:cs="宋体"/>
          <w:color w:val="auto"/>
          <w:sz w:val="24"/>
          <w:szCs w:val="24"/>
          <w:highlight w:val="none"/>
          <w:lang w:val="zh-CN" w:eastAsia="zh-CN"/>
        </w:rPr>
        <w:t xml:space="preserve">国家认可的质量检测机构</w:t>
      </w:r>
      <w:r>
        <w:rPr>
          <w:rFonts w:hint="eastAsia" w:ascii="宋体" w:hAnsi="宋体" w:eastAsia="宋体" w:cs="宋体"/>
          <w:color w:val="auto"/>
          <w:sz w:val="24"/>
          <w:szCs w:val="24"/>
          <w:highlight w:val="none"/>
          <w:lang w:val="zh-CN"/>
        </w:rPr>
        <w:t xml:space="preserve">的检测结果作为依据，检测不合格或存在质量问题的，检测费用由乙方承担。</w:t>
      </w:r>
      <w:r>
        <w:rPr>
          <w:rFonts w:hint="eastAsia" w:ascii="宋体" w:hAnsi="宋体" w:eastAsia="宋体" w:cs="宋体"/>
          <w:color w:val="auto"/>
          <w:sz w:val="24"/>
          <w:szCs w:val="24"/>
          <w:highlight w:val="none"/>
          <w:lang w:val="zh-CN" w:eastAsia="zh-CN"/>
        </w:rPr>
        <w:t xml:space="preserve">因乙方原因或乙方主动申请发生的费用，由乙方承担。</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3.11</w:t>
      </w:r>
      <w:r>
        <w:rPr>
          <w:rFonts w:hint="eastAsia" w:ascii="宋体" w:hAnsi="宋体" w:eastAsia="宋体" w:cs="宋体"/>
          <w:color w:val="auto"/>
          <w:sz w:val="24"/>
          <w:szCs w:val="24"/>
          <w:highlight w:val="none"/>
          <w:lang w:val="zh-CN"/>
        </w:rPr>
        <w:t xml:space="preserve">如果甲方在验收期满后既不出具验收合格证明又未提出书面异议的视为乙方所提供服务符合合同规定。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3.12</w:t>
      </w:r>
      <w:r>
        <w:rPr>
          <w:rFonts w:hint="eastAsia" w:ascii="宋体" w:hAnsi="宋体" w:eastAsia="宋体" w:cs="宋体"/>
          <w:color w:val="auto"/>
          <w:sz w:val="24"/>
          <w:szCs w:val="24"/>
          <w:highlight w:val="none"/>
          <w:lang w:val="zh-CN" w:eastAsia="zh-CN"/>
        </w:rPr>
        <w:t xml:space="preserve">合同履行达到采购文件明确的验收条件时，乙方未及时履约或发出验收申请的，甲方依照合同约定催告，提出履约验收要求。乙方在收到催告后五个工作日内拒不配合的，则</w:t>
      </w:r>
      <w:r>
        <w:rPr>
          <w:rFonts w:hint="eastAsia" w:ascii="宋体" w:hAnsi="宋体" w:eastAsia="宋体" w:cs="宋体"/>
          <w:color w:val="auto"/>
          <w:sz w:val="24"/>
          <w:szCs w:val="24"/>
          <w:highlight w:val="none"/>
          <w:lang w:val="zh-CN"/>
        </w:rPr>
        <w:t xml:space="preserve">视为乙方</w:t>
      </w:r>
      <w:r>
        <w:rPr>
          <w:rFonts w:hint="eastAsia" w:ascii="宋体" w:hAnsi="宋体" w:eastAsia="宋体" w:cs="宋体"/>
          <w:color w:val="auto"/>
          <w:sz w:val="24"/>
          <w:szCs w:val="24"/>
          <w:highlight w:val="none"/>
          <w:lang w:val="zh-CN" w:eastAsia="zh-CN"/>
        </w:rPr>
        <w:t xml:space="preserve">同意甲方的验收结果，由此产生的不利于乙方的后果由乙方自行承担</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3.13</w:t>
      </w:r>
      <w:r>
        <w:rPr>
          <w:rFonts w:hint="eastAsia" w:ascii="宋体" w:hAnsi="宋体" w:eastAsia="宋体" w:cs="宋体"/>
          <w:color w:val="auto"/>
          <w:sz w:val="24"/>
          <w:szCs w:val="24"/>
          <w:highlight w:val="none"/>
          <w:lang w:val="zh-CN" w:eastAsia="zh-CN"/>
        </w:rPr>
        <w:t xml:space="preserve"> 履约验收合格作为政府采购项目财政性资金支付的必备条件。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、知识产权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（1）乙方提供的软件及相关交付物，包括且不限于软件程序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乙方自有的产品和第三方产品除外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、文档材料等，甲方均与乙方共同享有所有的产权、所有权及其它知识产权和权益。</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（2）乙方独立于本项目之外且未利用甲方相关资料或工作条件完成的工作成果的一切知识产权和所有权归乙方所有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（3）乙方于本合同项下新开发的与甲方业务相关的开发成果，甲方享有知识产权和所有权。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（4）乙方按照本合同约定在履行系统维护和技术服务的过程中，利用甲方提供的相关资料和工作条件完成的新技术成果，甲乙双方共享知识产权和所有权。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（5）甲方依据本合同的规定，利用乙方提供的工作成果完成的新技术成果的所有权归甲方所有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如果有人提出法律或行政</w:t>
      </w:r>
      <w:r>
        <w:rPr>
          <w:rFonts w:hint="eastAsia" w:ascii="宋体" w:hAnsi="宋体" w:eastAsia="宋体" w:cs="宋体"/>
          <w:color w:val="auto"/>
          <w:sz w:val="24"/>
          <w:szCs w:val="24"/>
          <w:highlight w:val="none"/>
          <w:lang w:val="en-US" w:eastAsia="zh-CN"/>
        </w:rPr>
        <w:t xml:space="preserve">程</w:t>
      </w:r>
      <w:r>
        <w:rPr>
          <w:rFonts w:hint="eastAsia" w:ascii="宋体" w:hAnsi="宋体" w:eastAsia="宋体" w:cs="宋体"/>
          <w:color w:val="auto"/>
          <w:sz w:val="24"/>
          <w:szCs w:val="24"/>
          <w:highlight w:val="none"/>
        </w:rPr>
        <w:t xml:space="preserve">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合称“权指控”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，声称方所拥有的应用软件犯了其合法权益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包括但不限于知识产权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，乙方应当负责解决，并赔偿甲方就此所承担的一切损失和费用，包括但不限于上述侵权指控中所产生的诉讼费用、调查费用、合理的律师费用、和解金额或生效法律文书中规定的赔偿金额。</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四、售后服务：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按照招标文件和乙方在投标书中承诺的服务执行。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按招标文件的规定执行。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六、合同生效及其它：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1、本合同在双方签字盖章后生效。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2、合同在执行过程中出现的未尽事宜，双方在不违背本合同和招标文件的原则下协商解决，协商结果以书面形式盖章记录在案，作为本合同的附件，与本合同具有同等效力，但需向招标方提交一份备存。</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、应当维护国家利益和社会公共利益，合同履行过程中出现危害国家利益和社会公共利益问题的，甲方有权立即终止合同。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、如合同继续履行将损害国家利益和社会公共利益，甲方有权变更、中止或者终止、解除合同。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、甲方和乙方签订补充合同的采购金额不得超过原合同采购金额的百分之十。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、小型、微型企业不得分包或转包给大型、中型企业，中型企业不得分包或转包给大型企业。</w:t>
      </w:r>
      <w:bookmarkEnd w:id="45"/>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rPr>
          <w:rFonts w:hint="eastAsia" w:ascii="宋体" w:hAnsi="宋体" w:eastAsia="宋体" w:cs="宋体"/>
          <w:b/>
          <w:bCs/>
          <w:color w:val="auto"/>
          <w:sz w:val="32"/>
          <w:szCs w:val="32"/>
          <w:highlight w:val="none"/>
        </w:rPr>
        <w:br w:type="page" w:clear="all"/>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rPr>
          <w:rFonts w:hint="eastAsia" w:ascii="宋体" w:hAnsi="宋体" w:eastAsia="宋体" w:cs="宋体"/>
          <w:b/>
          <w:color w:val="auto"/>
          <w:sz w:val="52"/>
          <w:szCs w:val="20"/>
          <w:highlight w:val="none"/>
          <w:shd w:val="clear" w:color="auto" w:fill="ffffff"/>
        </w:rPr>
      </w:r>
      <w:r/>
    </w:p>
    <w:p>
      <w:pPr>
        <w:pStyle w:val="792"/>
        <w:rPr>
          <w:rFonts w:hint="eastAsia" w:ascii="宋体" w:hAnsi="宋体" w:eastAsia="宋体" w:cs="宋体"/>
          <w:b/>
          <w:color w:val="auto"/>
          <w:sz w:val="52"/>
          <w:highlight w:val="none"/>
          <w:shd w:val="clear" w:color="auto" w:fill="ffffff"/>
        </w:rPr>
      </w:pPr>
      <w:r>
        <w:rPr>
          <w:rFonts w:hint="eastAsia" w:ascii="宋体" w:hAnsi="宋体" w:eastAsia="宋体" w:cs="宋体"/>
          <w:b/>
          <w:color w:val="auto"/>
          <w:sz w:val="52"/>
          <w:highlight w:val="none"/>
          <w:shd w:val="clear" w:color="auto" w:fill="ffffff"/>
        </w:rPr>
      </w:r>
      <w:r/>
    </w:p>
    <w:p>
      <w:pPr>
        <w:rPr>
          <w:rFonts w:hint="eastAsia" w:ascii="宋体" w:hAnsi="宋体" w:eastAsia="宋体" w:cs="宋体"/>
          <w:b/>
          <w:color w:val="auto"/>
          <w:sz w:val="52"/>
          <w:szCs w:val="20"/>
          <w:highlight w:val="none"/>
          <w:shd w:val="clear" w:color="auto" w:fill="ffffff"/>
        </w:rPr>
      </w:pPr>
      <w:r>
        <w:rPr>
          <w:rFonts w:hint="eastAsia" w:ascii="宋体" w:hAnsi="宋体" w:eastAsia="宋体" w:cs="宋体"/>
          <w:b/>
          <w:color w:val="auto"/>
          <w:sz w:val="52"/>
          <w:szCs w:val="20"/>
          <w:highlight w:val="none"/>
          <w:shd w:val="clear" w:color="auto" w:fill="ffffff"/>
        </w:rPr>
      </w:r>
      <w:r/>
    </w:p>
    <w:p>
      <w:pPr>
        <w:pStyle w:val="792"/>
        <w:rPr>
          <w:rFonts w:hint="eastAsia" w:ascii="宋体" w:hAnsi="宋体" w:eastAsia="宋体" w:cs="宋体"/>
          <w:b/>
          <w:color w:val="auto"/>
          <w:sz w:val="52"/>
          <w:highlight w:val="none"/>
          <w:shd w:val="clear" w:color="auto" w:fill="ffffff"/>
        </w:rPr>
      </w:pPr>
      <w:r>
        <w:rPr>
          <w:rFonts w:hint="eastAsia" w:ascii="宋体" w:hAnsi="宋体" w:eastAsia="宋体" w:cs="宋体"/>
          <w:b/>
          <w:color w:val="auto"/>
          <w:sz w:val="52"/>
          <w:highlight w:val="none"/>
          <w:shd w:val="clear" w:color="auto" w:fill="ffffff"/>
        </w:rPr>
      </w:r>
      <w:r/>
    </w:p>
    <w:p>
      <w:pPr>
        <w:rPr>
          <w:rFonts w:hint="eastAsia" w:ascii="宋体" w:hAnsi="宋体" w:eastAsia="宋体" w:cs="宋体"/>
          <w:b/>
          <w:color w:val="auto"/>
          <w:sz w:val="52"/>
          <w:szCs w:val="20"/>
          <w:highlight w:val="none"/>
          <w:shd w:val="clear" w:color="auto" w:fill="ffffff"/>
        </w:rPr>
      </w:pPr>
      <w:r>
        <w:rPr>
          <w:rFonts w:hint="eastAsia" w:ascii="宋体" w:hAnsi="宋体" w:eastAsia="宋体" w:cs="宋体"/>
          <w:b/>
          <w:color w:val="auto"/>
          <w:sz w:val="52"/>
          <w:szCs w:val="20"/>
          <w:highlight w:val="none"/>
          <w:shd w:val="clear" w:color="auto" w:fill="ffffff"/>
        </w:rPr>
      </w:r>
      <w:r/>
    </w:p>
    <w:p>
      <w:pPr>
        <w:pStyle w:val="792"/>
        <w:rPr>
          <w:rFonts w:hint="eastAsia" w:ascii="宋体" w:hAnsi="宋体" w:eastAsia="宋体" w:cs="宋体"/>
          <w:b/>
          <w:color w:val="auto"/>
          <w:sz w:val="52"/>
          <w:highlight w:val="none"/>
          <w:shd w:val="clear" w:color="auto" w:fill="ffffff"/>
        </w:rPr>
      </w:pPr>
      <w:r>
        <w:rPr>
          <w:rFonts w:hint="eastAsia" w:ascii="宋体" w:hAnsi="宋体" w:eastAsia="宋体" w:cs="宋体"/>
          <w:b/>
          <w:color w:val="auto"/>
          <w:sz w:val="52"/>
          <w:highlight w:val="none"/>
          <w:shd w:val="clear" w:color="auto" w:fill="ffffff"/>
        </w:rPr>
      </w:r>
      <w:r/>
    </w:p>
    <w:p>
      <w:pPr>
        <w:rPr>
          <w:rFonts w:hint="eastAsia" w:ascii="宋体" w:hAnsi="宋体" w:eastAsia="宋体" w:cs="宋体"/>
          <w:b/>
          <w:color w:val="auto"/>
          <w:sz w:val="52"/>
          <w:szCs w:val="20"/>
          <w:highlight w:val="none"/>
          <w:shd w:val="clear" w:color="auto" w:fill="ffffff"/>
        </w:rPr>
      </w:pPr>
      <w:r>
        <w:rPr>
          <w:rFonts w:hint="eastAsia" w:ascii="宋体" w:hAnsi="宋体" w:eastAsia="宋体" w:cs="宋体"/>
          <w:b/>
          <w:color w:val="auto"/>
          <w:sz w:val="52"/>
          <w:szCs w:val="20"/>
          <w:highlight w:val="none"/>
          <w:shd w:val="clear" w:color="auto" w:fill="ffffff"/>
        </w:rPr>
      </w:r>
      <w:r/>
    </w:p>
    <w:p>
      <w:pPr>
        <w:pStyle w:val="792"/>
        <w:rPr>
          <w:rFonts w:hint="eastAsia" w:ascii="宋体" w:hAnsi="宋体" w:eastAsia="宋体" w:cs="宋体"/>
          <w:b/>
          <w:color w:val="auto"/>
          <w:sz w:val="52"/>
          <w:highlight w:val="none"/>
          <w:shd w:val="clear" w:color="auto" w:fill="ffffff"/>
        </w:rPr>
      </w:pPr>
      <w:r>
        <w:rPr>
          <w:rFonts w:hint="eastAsia" w:ascii="宋体" w:hAnsi="宋体" w:eastAsia="宋体" w:cs="宋体"/>
          <w:b/>
          <w:color w:val="auto"/>
          <w:sz w:val="52"/>
          <w:highlight w:val="none"/>
          <w:shd w:val="clear" w:color="auto" w:fill="ffffff"/>
        </w:rPr>
      </w:r>
      <w:r/>
    </w:p>
    <w:p>
      <w:pPr>
        <w:rPr>
          <w:rFonts w:hint="eastAsia" w:ascii="宋体" w:hAnsi="宋体" w:eastAsia="宋体" w:cs="宋体"/>
          <w:b/>
          <w:color w:val="auto"/>
          <w:sz w:val="52"/>
          <w:szCs w:val="20"/>
          <w:highlight w:val="none"/>
          <w:shd w:val="clear" w:color="auto" w:fill="ffffff"/>
        </w:rPr>
      </w:pPr>
      <w:r>
        <w:rPr>
          <w:rFonts w:hint="eastAsia" w:ascii="宋体" w:hAnsi="宋体" w:eastAsia="宋体" w:cs="宋体"/>
          <w:b/>
          <w:color w:val="auto"/>
          <w:sz w:val="52"/>
          <w:szCs w:val="2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rPr>
          <w:rFonts w:hint="eastAsia" w:ascii="宋体" w:hAnsi="宋体" w:eastAsia="宋体" w:cs="宋体"/>
          <w:b/>
          <w:color w:val="auto"/>
          <w:sz w:val="52"/>
          <w:szCs w:val="20"/>
          <w:highlight w:val="none"/>
          <w:shd w:val="clear" w:color="auto" w:fill="ffffff"/>
        </w:rPr>
        <w:t xml:space="preserve">第六章 评分</w:t>
      </w:r>
      <w:bookmarkEnd w:id="42"/>
      <w:r/>
      <w:bookmarkEnd w:id="43"/>
      <w:r>
        <w:rPr>
          <w:rFonts w:hint="eastAsia" w:ascii="宋体" w:hAnsi="宋体" w:eastAsia="宋体" w:cs="宋体"/>
          <w:b/>
          <w:color w:val="auto"/>
          <w:sz w:val="52"/>
          <w:szCs w:val="20"/>
          <w:highlight w:val="none"/>
          <w:shd w:val="clear" w:color="auto" w:fill="ffffff"/>
        </w:rPr>
        <w:t xml:space="preserve">标准</w:t>
      </w:r>
      <w:bookmarkEnd w:id="44"/>
      <w:r/>
      <w:r/>
    </w:p>
    <w:p>
      <w:pPr>
        <w:ind w:firstLine="520"/>
        <w:keepLines w:val="0"/>
        <w:keepNext w:val="0"/>
        <w:pageBreakBefore w:val="0"/>
        <w:spacing w:line="360" w:lineRule="auto"/>
        <w:rPr>
          <w:rFonts w:hint="eastAsia" w:ascii="宋体" w:hAnsi="宋体" w:eastAsia="宋体" w:cs="宋体"/>
          <w:color w:val="auto"/>
          <w:sz w:val="24"/>
          <w:szCs w:val="24"/>
          <w:highlight w:val="none"/>
        </w:rPr>
        <w:outlineLvl w:val="1"/>
      </w:pPr>
      <w:r/>
      <w:bookmarkStart w:id="46" w:name="OLE_LINK2"/>
      <w:r>
        <w:rPr>
          <w:rFonts w:hint="eastAsia" w:ascii="宋体" w:hAnsi="宋体" w:eastAsia="宋体" w:cs="宋体"/>
          <w:color w:val="auto"/>
          <w:sz w:val="26"/>
          <w:szCs w:val="20"/>
          <w:highlight w:val="none"/>
          <w:shd w:val="clear" w:color="auto" w:fill="ffffff"/>
        </w:rPr>
        <w:br w:type="page" w:clear="all"/>
      </w:r>
      <w:bookmarkEnd w:id="46"/>
      <w:r>
        <w:rPr>
          <w:rFonts w:hint="eastAsia" w:ascii="宋体" w:hAnsi="宋体" w:eastAsia="宋体" w:cs="宋体"/>
          <w:b/>
          <w:bCs/>
          <w:color w:val="auto"/>
          <w:sz w:val="24"/>
          <w:szCs w:val="24"/>
          <w:highlight w:val="none"/>
        </w:rPr>
        <w:t xml:space="preserve">一、评标办法：</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办法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评标委员会直接确定排名第一的中标候选人为中标人。得分且投标报价相同的，提供优先采购产品证书更多的投标人优先</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（如属优先采购产品），否则由采购代理机构组织抽签确定中标人。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时，评标委员会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相同品牌产品且通过资格审查、符合性审查的不同投标人参加同一合同项下投标的，按一家投标人计算，评审后得分最高的同品牌投标人获得中标人推荐资格；评审得分相同的，由投标报价最低的同品牌投标人获得中标人推荐资格；如得分且投标报价相同，提供优先采购产品证书更多的投标人获得中标人推荐资格（如属优先采购产品），否则由采购代理机构组织采取随机抽取方式确定，其他同品牌投标人不作为中标候选人。多家投标人提供的核心产品品牌相同的，按上述规定处理。</w:t>
      </w:r>
      <w:r/>
    </w:p>
    <w:p>
      <w:pPr>
        <w:ind w:firstLine="482"/>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二、评分标准：</w:t>
      </w:r>
      <w:r/>
    </w:p>
    <w:p>
      <w:pPr>
        <w:ind w:firstLine="482"/>
        <w:keepLines w:val="0"/>
        <w:keepNext w:val="0"/>
        <w:pageBreakBefore w:val="0"/>
        <w:spacing w:line="44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（一）投标报价（45分）</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1、价格分采用低价优先法计算，即满足招标文件要求且投标价格最低的投标报价为评标基准价，其价格分为满分。其他投标人的价格分统一按照下列公式计算：（保留小数点后二位）</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报价得分=（评标基准价/投标报价）*价格权值45（本次招标价格权值为45%）</w:t>
      </w:r>
      <w:r/>
    </w:p>
    <w:p>
      <w:pPr>
        <w:ind w:right="0"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根据《关于推动解决政府采购异常低价问题的通知》（财库〔2026〕2号）文件要求，评审过程中出现下列情形之一的，评审委员会应当启动异常低价投标审查程序：</w:t>
      </w:r>
      <w:r/>
    </w:p>
    <w:p>
      <w:pPr>
        <w:ind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投标报价低于全部通过符合性审查供应商投标报价平均值50%的，即投标报价&lt;全部通过符合性审查供应商投标报价平均值×50%；</w:t>
      </w:r>
      <w:r/>
    </w:p>
    <w:p>
      <w:pPr>
        <w:ind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投标报价低于通过符合性审查的次低报价供应商投标报价50%的，即投标报价&lt;通过符合性审查的次低报价供应商投标报价×50%；</w:t>
      </w:r>
      <w:r/>
    </w:p>
    <w:p>
      <w:pPr>
        <w:ind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投标报价低于采购项目最高限价45%的，即投标报价&lt;采购项目最高限价×45%；</w:t>
      </w:r>
      <w:r/>
    </w:p>
    <w:p>
      <w:pPr>
        <w:ind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评审委员会基于专业判断，认为供应商报价过低，有可能影响产品质量或者不能诚信履约的其他情形。</w:t>
      </w:r>
      <w:r/>
    </w:p>
    <w:p>
      <w:pPr>
        <w:ind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评审委员会启动异常低价投标审查后，属于前述第</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项至第</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ind w:right="0"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numPr>
          <w:ilvl w:val="0"/>
          <w:numId w:val="4"/>
        </w:num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技术部分</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55</w:t>
      </w:r>
      <w:r>
        <w:rPr>
          <w:rFonts w:hint="eastAsia" w:ascii="宋体" w:hAnsi="宋体" w:eastAsia="宋体" w:cs="宋体"/>
          <w:b/>
          <w:color w:val="auto"/>
          <w:sz w:val="24"/>
          <w:szCs w:val="24"/>
          <w:highlight w:val="none"/>
        </w:rPr>
        <w:t xml:space="preserve">分）</w:t>
      </w:r>
      <w:r/>
    </w:p>
    <w:tbl>
      <w:tblPr>
        <w:tblStyle w:val="782"/>
        <w:tblW w:w="103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3"/>
        <w:gridCol w:w="1407"/>
        <w:gridCol w:w="7301"/>
        <w:gridCol w:w="540"/>
      </w:tblGrid>
      <w:tr>
        <w:trPr>
          <w:jc w:val="center"/>
          <w:trHeight w:val="520"/>
        </w:trPr>
        <w:tc>
          <w:tcPr>
            <w:tcW w:w="1113" w:type="dxa"/>
            <w:vAlign w:val="center"/>
            <w:textDirection w:val="lrTb"/>
            <w:noWrap w:val="false"/>
          </w:tcPr>
          <w:p>
            <w:pPr>
              <w:jc w:val="cente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评审类别</w:t>
            </w:r>
            <w:r/>
          </w:p>
        </w:tc>
        <w:tc>
          <w:tcPr>
            <w:tcW w:w="1407" w:type="dxa"/>
            <w:vAlign w:val="center"/>
            <w:textDirection w:val="lrTb"/>
            <w:noWrap w:val="false"/>
          </w:tcPr>
          <w:p>
            <w:pPr>
              <w:jc w:val="cente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评审项</w:t>
            </w:r>
            <w:r/>
          </w:p>
        </w:tc>
        <w:tc>
          <w:tcPr>
            <w:tcW w:w="7301" w:type="dxa"/>
            <w:vAlign w:val="center"/>
            <w:textDirection w:val="lrTb"/>
            <w:noWrap w:val="false"/>
          </w:tcPr>
          <w:p>
            <w:pPr>
              <w:jc w:val="cente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评审规则</w:t>
            </w:r>
            <w:r/>
          </w:p>
        </w:tc>
        <w:tc>
          <w:tcPr>
            <w:tcW w:w="540" w:type="dxa"/>
            <w:vAlign w:val="center"/>
            <w:textDirection w:val="lrTb"/>
            <w:noWrap w:val="false"/>
          </w:tcPr>
          <w:p>
            <w:pPr>
              <w:jc w:val="center"/>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rPr>
              <w:t xml:space="preserve">分值</w:t>
            </w:r>
            <w:r/>
          </w:p>
        </w:tc>
      </w:tr>
      <w:tr>
        <w:trPr>
          <w:jc w:val="center"/>
          <w:trHeight w:val="297"/>
        </w:trPr>
        <w:tc>
          <w:tcPr>
            <w:tcW w:w="1113" w:type="dxa"/>
            <w:vAlign w:val="center"/>
            <w:vMerge w:val="restart"/>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color w:val="auto"/>
                <w:highlight w:val="none"/>
              </w:rPr>
              <w:t xml:space="preserve">技术部分(</w:t>
            </w:r>
            <w:r>
              <w:rPr>
                <w:rFonts w:hint="eastAsia" w:ascii="宋体" w:hAnsi="宋体" w:eastAsia="宋体" w:cs="宋体"/>
                <w:b/>
                <w:color w:val="auto"/>
                <w:highlight w:val="none"/>
                <w:lang w:val="en-US" w:eastAsia="zh-CN"/>
              </w:rPr>
              <w:t xml:space="preserve">55</w:t>
            </w:r>
            <w:r>
              <w:rPr>
                <w:rFonts w:hint="eastAsia" w:ascii="宋体" w:hAnsi="宋体" w:eastAsia="宋体" w:cs="宋体"/>
                <w:b/>
                <w:color w:val="auto"/>
                <w:highlight w:val="none"/>
              </w:rPr>
              <w:t xml:space="preserve">分)</w:t>
            </w:r>
            <w:r/>
          </w:p>
        </w:tc>
        <w:tc>
          <w:tcPr>
            <w:tcW w:w="1407"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检测报告</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2分</w:t>
            </w:r>
            <w:r>
              <w:rPr>
                <w:rFonts w:hint="eastAsia" w:ascii="宋体" w:hAnsi="宋体" w:eastAsia="宋体" w:cs="宋体"/>
                <w:color w:val="auto"/>
                <w:highlight w:val="none"/>
                <w:lang w:eastAsia="zh-CN"/>
              </w:rPr>
              <w:t xml:space="preserve">）</w:t>
            </w:r>
            <w:r/>
          </w:p>
        </w:tc>
        <w:tc>
          <w:tcPr>
            <w:tcW w:w="7301" w:type="dxa"/>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提供下表中检测产品的检测报告扫描件（如报告内容不全导致无法确认报告的各项要求的，或字迹模糊不清无法辨认的都视为未提供）。</w:t>
            </w:r>
            <w:r>
              <w:rPr>
                <w:rFonts w:hint="eastAsia" w:ascii="宋体" w:hAnsi="宋体" w:eastAsia="宋体" w:cs="宋体"/>
                <w:b/>
                <w:color w:val="auto"/>
                <w:highlight w:val="none"/>
              </w:rPr>
              <w:t xml:space="preserve">中标后采购人将视情况核查中标供应商检测报告的真实性，发现弄虚作假的将上报监督部门处理。</w:t>
            </w:r>
            <w:r>
              <w:rPr>
                <w:rFonts w:hint="eastAsia" w:ascii="宋体" w:hAnsi="宋体" w:eastAsia="宋体" w:cs="宋体"/>
                <w:color w:val="auto"/>
                <w:highlight w:val="none"/>
              </w:rPr>
              <w:t xml:space="preserve">提供的检测报告必须同时符合以下所有要求，否则不得分。（每个检测产品</w:t>
            </w:r>
            <w:r>
              <w:rPr>
                <w:rFonts w:hint="eastAsia" w:ascii="宋体" w:hAnsi="宋体" w:eastAsia="宋体" w:cs="宋体"/>
                <w:color w:val="auto"/>
                <w:highlight w:val="none"/>
                <w:lang w:val="en-US" w:eastAsia="zh-CN"/>
              </w:rPr>
              <w:t xml:space="preserve">0.5</w:t>
            </w:r>
            <w:r>
              <w:rPr>
                <w:rFonts w:hint="eastAsia" w:ascii="宋体" w:hAnsi="宋体" w:eastAsia="宋体" w:cs="宋体"/>
                <w:color w:val="auto"/>
                <w:highlight w:val="none"/>
              </w:rPr>
              <w:t xml:space="preserve">分，最高得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w:t>
            </w:r>
            <w:r/>
          </w:p>
          <w:p>
            <w:pP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检测报告应为具有检验检测资质的检测机构出具，检测机构应通过相应的CMA认证，检测报告页面必须有CMA认证标志；</w:t>
            </w:r>
            <w:r/>
          </w:p>
          <w:p>
            <w:pPr>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检测报告中的检测（判定）依据必须为下表所列检测标准或其它现行国家（或行业）标准；</w:t>
            </w:r>
            <w:r/>
          </w:p>
          <w:p>
            <w:pPr>
              <w:rPr>
                <w:rFonts w:hint="eastAsia" w:ascii="宋体" w:hAnsi="宋体" w:eastAsia="宋体" w:cs="宋体"/>
                <w:color w:val="auto"/>
                <w:szCs w:val="21"/>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检测报告中下表所列必须包含的检测项目检测结果应为合格。</w:t>
            </w:r>
            <w:r/>
          </w:p>
          <w:p>
            <w:pPr>
              <w:numPr>
                <w:ilvl w:val="0"/>
                <w:numId w:val="5"/>
              </w:numPr>
              <w:ind w:right="0" w:firstLine="420"/>
              <w:jc w:val="both"/>
              <w:keepLines w:val="0"/>
              <w:keepNext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szCs w:val="21"/>
                <w:highlight w:val="none"/>
              </w:rPr>
              <w:t xml:space="preserve">304不锈钢板材</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highlight w:val="none"/>
                <w:lang w:val="en-US" w:eastAsia="zh-CN"/>
              </w:rPr>
              <w:t xml:space="preserve">规格厚度</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highlight w:val="none"/>
                <w:lang w:val="en-US" w:eastAsia="zh-CN"/>
              </w:rPr>
              <w:t xml:space="preserve">1.2mm</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：检测报告检测内容须包括：</w:t>
            </w:r>
            <w:r>
              <w:rPr>
                <w:rFonts w:hint="eastAsia" w:cs="宋体" w:asciiTheme="minorEastAsia" w:hAnsiTheme="minorEastAsia" w:eastAsiaTheme="minorEastAsia"/>
                <w:color w:val="auto"/>
                <w:sz w:val="21"/>
                <w:szCs w:val="21"/>
                <w:highlight w:val="none"/>
              </w:rPr>
              <w:t xml:space="preserve">成分、拉伸、中性盐雾试验、弯曲、晶间腐蚀检</w:t>
            </w:r>
            <w:r>
              <w:rPr>
                <w:rFonts w:hint="eastAsia" w:ascii="宋体" w:hAnsi="宋体" w:eastAsia="宋体" w:cs="宋体"/>
                <w:color w:val="auto"/>
                <w:szCs w:val="21"/>
                <w:highlight w:val="none"/>
              </w:rPr>
              <w:t xml:space="preserve">。</w:t>
            </w:r>
            <w:r/>
          </w:p>
          <w:p>
            <w:pPr>
              <w:numPr>
                <w:ilvl w:val="0"/>
                <w:numId w:val="5"/>
              </w:numPr>
              <w:ind w:right="0" w:firstLine="420"/>
              <w:jc w:val="both"/>
              <w:keepLines w:val="0"/>
              <w:keepNext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szCs w:val="21"/>
                <w:highlight w:val="none"/>
              </w:rPr>
              <w:t xml:space="preserve">304不锈钢板材</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highlight w:val="none"/>
              </w:rPr>
              <w:t xml:space="preserve">规格厚度</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highlight w:val="none"/>
                <w:lang w:val="en-US" w:eastAsia="zh-CN"/>
              </w:rPr>
              <w:t xml:space="preserve">1.5mm</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：检测报告检测内容须包括：</w:t>
            </w:r>
            <w:r>
              <w:rPr>
                <w:rFonts w:hint="eastAsia" w:cs="宋体" w:asciiTheme="minorEastAsia" w:hAnsiTheme="minorEastAsia" w:eastAsiaTheme="minorEastAsia"/>
                <w:color w:val="auto"/>
                <w:sz w:val="21"/>
                <w:szCs w:val="21"/>
                <w:highlight w:val="none"/>
              </w:rPr>
              <w:t xml:space="preserve">成分、拉伸、中性盐雾试验、弯曲、晶间腐蚀检</w:t>
            </w:r>
            <w:r>
              <w:rPr>
                <w:rFonts w:hint="eastAsia" w:ascii="宋体" w:hAnsi="宋体" w:eastAsia="宋体" w:cs="宋体"/>
                <w:color w:val="auto"/>
                <w:szCs w:val="21"/>
                <w:highlight w:val="none"/>
              </w:rPr>
              <w:t xml:space="preserve">。</w:t>
            </w:r>
            <w:r/>
          </w:p>
          <w:p>
            <w:pPr>
              <w:numPr>
                <w:ilvl w:val="0"/>
                <w:numId w:val="5"/>
              </w:numPr>
              <w:ind w:right="0" w:firstLine="420"/>
              <w:jc w:val="both"/>
              <w:keepLines w:val="0"/>
              <w:keepNext w:val="0"/>
              <w:spacing w:before="0" w:beforeAutospacing="0" w:after="0" w:afterAutospacing="0"/>
              <w:widowControl w:val="off"/>
              <w:rPr>
                <w:rFonts w:hint="eastAsia" w:ascii="宋体" w:hAnsi="宋体" w:eastAsia="宋体" w:cs="宋体"/>
                <w:color w:val="auto"/>
                <w:highlight w:val="none"/>
              </w:rPr>
              <w:suppressLineNumbers w:val="0"/>
            </w:pPr>
            <w:r>
              <w:rPr>
                <w:rFonts w:hint="eastAsia" w:ascii="宋体" w:hAnsi="宋体" w:eastAsia="宋体" w:cs="宋体"/>
                <w:color w:val="auto"/>
                <w:szCs w:val="21"/>
                <w:highlight w:val="none"/>
              </w:rPr>
              <w:t xml:space="preserve">304不锈钢管材</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highlight w:val="none"/>
                <w:lang w:val="en-US" w:eastAsia="zh-CN"/>
              </w:rPr>
              <w:t xml:space="preserve">规格厚度</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highlight w:val="none"/>
                <w:lang w:val="en-US" w:eastAsia="zh-CN"/>
              </w:rPr>
              <w:t xml:space="preserve">1.0mm）</w:t>
            </w:r>
            <w:r>
              <w:rPr>
                <w:rFonts w:hint="eastAsia" w:ascii="宋体" w:hAnsi="宋体" w:eastAsia="宋体" w:cs="宋体"/>
                <w:color w:val="auto"/>
                <w:szCs w:val="21"/>
                <w:highlight w:val="none"/>
              </w:rPr>
              <w:t xml:space="preserve">：检测报告检测内容须包括：</w:t>
            </w:r>
            <w:r>
              <w:rPr>
                <w:rFonts w:hint="eastAsia" w:cs="宋体" w:asciiTheme="minorEastAsia" w:hAnsiTheme="minorEastAsia" w:eastAsiaTheme="minorEastAsia"/>
                <w:color w:val="auto"/>
                <w:sz w:val="21"/>
                <w:szCs w:val="21"/>
                <w:highlight w:val="none"/>
              </w:rPr>
              <w:t xml:space="preserve">成分、拉伸、中性盐雾试验、弯曲、晶间腐蚀检</w:t>
            </w:r>
            <w:r>
              <w:rPr>
                <w:rFonts w:hint="eastAsia" w:ascii="宋体" w:hAnsi="宋体" w:eastAsia="宋体" w:cs="宋体"/>
                <w:color w:val="auto"/>
                <w:szCs w:val="21"/>
                <w:highlight w:val="none"/>
              </w:rPr>
              <w:t xml:space="preserve">。</w:t>
            </w:r>
            <w:r/>
          </w:p>
          <w:p>
            <w:pPr>
              <w:numPr>
                <w:ilvl w:val="-1"/>
                <w:numId w:val="0"/>
              </w:num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④304不锈钢管材</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highlight w:val="none"/>
                <w:lang w:val="en-US" w:eastAsia="zh-CN"/>
              </w:rPr>
              <w:t xml:space="preserve">规格厚度</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highlight w:val="none"/>
                <w:lang w:val="en-US" w:eastAsia="zh-CN"/>
              </w:rPr>
              <w:t xml:space="preserve">1.2mm</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：检测报告检测内容须包括：</w:t>
            </w:r>
            <w:r>
              <w:rPr>
                <w:rFonts w:hint="eastAsia" w:cs="宋体" w:asciiTheme="minorEastAsia" w:hAnsiTheme="minorEastAsia" w:eastAsiaTheme="minorEastAsia"/>
                <w:color w:val="auto"/>
                <w:sz w:val="21"/>
                <w:szCs w:val="21"/>
                <w:highlight w:val="none"/>
              </w:rPr>
              <w:t xml:space="preserve">成分、拉伸、中性盐雾试验、弯曲、晶间腐蚀检</w:t>
            </w:r>
            <w:r>
              <w:rPr>
                <w:rFonts w:hint="eastAsia" w:ascii="宋体" w:hAnsi="宋体" w:eastAsia="宋体" w:cs="宋体"/>
                <w:color w:val="auto"/>
                <w:szCs w:val="21"/>
                <w:highlight w:val="none"/>
              </w:rPr>
              <w:t xml:space="preserve">。</w:t>
            </w:r>
            <w:r/>
          </w:p>
        </w:tc>
        <w:tc>
          <w:tcPr>
            <w:tcW w:w="540"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highlight w:val="none"/>
                <w:lang w:val="en-US" w:eastAsia="zh-CN"/>
              </w:rPr>
              <w:t xml:space="preserve">2</w:t>
            </w:r>
            <w:r/>
          </w:p>
        </w:tc>
      </w:tr>
      <w:tr>
        <w:trPr>
          <w:jc w:val="center"/>
          <w:trHeight w:val="741"/>
        </w:trPr>
        <w:tc>
          <w:tcPr>
            <w:tcW w:w="1113" w:type="dxa"/>
            <w:vAlign w:val="center"/>
            <w:vMerge w:val="continue"/>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407"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本项目施工深化设计比较</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8分</w:t>
            </w:r>
            <w:r>
              <w:rPr>
                <w:rFonts w:hint="eastAsia" w:ascii="宋体" w:hAnsi="宋体" w:eastAsia="宋体" w:cs="宋体"/>
                <w:color w:val="auto"/>
                <w:highlight w:val="none"/>
                <w:lang w:eastAsia="zh-CN"/>
              </w:rPr>
              <w:t xml:space="preserve">）</w:t>
            </w:r>
            <w:r/>
          </w:p>
        </w:tc>
        <w:tc>
          <w:tcPr>
            <w:tcW w:w="7301" w:type="dxa"/>
            <w:textDirection w:val="lrTb"/>
            <w:noWrap w:val="false"/>
          </w:tcPr>
          <w:p>
            <w:pPr>
              <w:ind w:firstLine="420"/>
              <w:jc w:val="both"/>
              <w:widowControl w:val="off"/>
              <w:rPr>
                <w:rFonts w:hint="eastAsia" w:cs="宋体" w:asciiTheme="minorEastAsia" w:hAnsiTheme="minorEastAsia"/>
                <w:color w:val="auto"/>
                <w:sz w:val="21"/>
                <w:szCs w:val="21"/>
                <w:highlight w:val="none"/>
                <w:lang w:eastAsia="zh-CN"/>
              </w:rPr>
            </w:pPr>
            <w:r>
              <w:rPr>
                <w:rFonts w:hint="eastAsia" w:cs="宋体" w:asciiTheme="minorEastAsia" w:hAnsiTheme="minorEastAsia" w:eastAsiaTheme="minorEastAsia"/>
                <w:color w:val="auto"/>
                <w:sz w:val="21"/>
                <w:szCs w:val="21"/>
                <w:highlight w:val="none"/>
              </w:rPr>
              <w:t xml:space="preserve">根据</w:t>
            </w:r>
            <w:r>
              <w:rPr>
                <w:rFonts w:hint="eastAsia" w:cs="宋体" w:asciiTheme="minorEastAsia" w:hAnsiTheme="minorEastAsia"/>
                <w:color w:val="auto"/>
                <w:sz w:val="21"/>
                <w:szCs w:val="21"/>
                <w:highlight w:val="none"/>
                <w:lang w:val="en-US" w:eastAsia="zh-CN"/>
              </w:rPr>
              <w:t xml:space="preserve">采购人</w:t>
            </w:r>
            <w:r>
              <w:rPr>
                <w:rFonts w:hint="eastAsia" w:cs="宋体" w:asciiTheme="minorEastAsia" w:hAnsiTheme="minorEastAsia" w:eastAsiaTheme="minorEastAsia"/>
                <w:color w:val="auto"/>
                <w:sz w:val="21"/>
                <w:szCs w:val="21"/>
                <w:highlight w:val="none"/>
              </w:rPr>
              <w:t xml:space="preserve">提供的基础图纸与投标产品清单，对厨房平面、给排水、用电、气、排风隔墙等提供施工深化图纸比较</w:t>
            </w:r>
            <w:r>
              <w:rPr>
                <w:rFonts w:hint="eastAsia" w:cs="宋体" w:asciiTheme="minorEastAsia" w:hAnsiTheme="minorEastAsia"/>
                <w:color w:val="auto"/>
                <w:sz w:val="21"/>
                <w:szCs w:val="21"/>
                <w:highlight w:val="none"/>
                <w:lang w:eastAsia="zh-CN"/>
              </w:rPr>
              <w:t xml:space="preserve">：</w:t>
            </w:r>
            <w:r/>
          </w:p>
          <w:p>
            <w:pPr>
              <w:ind w:firstLine="420"/>
              <w:jc w:val="both"/>
              <w:widowControl w:val="off"/>
              <w:rPr>
                <w:rFonts w:hint="eastAsia" w:ascii="宋体" w:hAnsi="宋体" w:eastAsia="宋体" w:cs="宋体"/>
                <w:color w:val="auto"/>
                <w:szCs w:val="21"/>
                <w:highlight w:val="none"/>
              </w:rPr>
            </w:pPr>
            <w:r>
              <w:rPr>
                <w:rFonts w:hint="eastAsia" w:cs="宋体" w:asciiTheme="minorEastAsia" w:hAnsiTheme="minorEastAsia" w:eastAsiaTheme="minorEastAsia"/>
                <w:color w:val="auto"/>
                <w:sz w:val="21"/>
                <w:szCs w:val="21"/>
                <w:highlight w:val="none"/>
              </w:rPr>
              <w:t xml:space="preserve">提供内容有针对性，科学合理，设计方案图纸完整，优于项目实施需要的得8分；提供内容较有针对性，较科学合理，设计方案图纸较完整，能完全满足项目实施需要的得6分；提供内容的针对性、科学合理性不完善，设计方案图纸相对单一单、基本满足实施需要的得4分；不提供的不得分。</w:t>
            </w:r>
            <w:r/>
          </w:p>
        </w:tc>
        <w:tc>
          <w:tcPr>
            <w:tcW w:w="540"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8</w:t>
            </w:r>
            <w:r/>
          </w:p>
        </w:tc>
      </w:tr>
      <w:tr>
        <w:trPr>
          <w:jc w:val="center"/>
          <w:trHeight w:val="2411"/>
        </w:trPr>
        <w:tc>
          <w:tcPr>
            <w:tcW w:w="1113" w:type="dxa"/>
            <w:vAlign w:val="center"/>
            <w:vMerge w:val="continue"/>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407"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cs="宋体" w:asciiTheme="minorEastAsia" w:hAnsiTheme="minorEastAsia"/>
                <w:b w:val="0"/>
                <w:bCs w:val="0"/>
                <w:color w:val="auto"/>
                <w:sz w:val="21"/>
                <w:szCs w:val="21"/>
                <w:highlight w:val="none"/>
                <w:lang w:val="en-US" w:eastAsia="zh-CN"/>
              </w:rPr>
              <w:t xml:space="preserve">3、</w:t>
            </w:r>
            <w:r>
              <w:rPr>
                <w:rFonts w:hint="eastAsia" w:cs="宋体" w:asciiTheme="minorEastAsia" w:hAnsiTheme="minorEastAsia" w:eastAsiaTheme="minorEastAsia"/>
                <w:b w:val="0"/>
                <w:bCs w:val="0"/>
                <w:color w:val="auto"/>
                <w:sz w:val="21"/>
                <w:szCs w:val="21"/>
                <w:highlight w:val="none"/>
              </w:rPr>
              <w:t xml:space="preserve">实施方案比较(6分)</w:t>
            </w:r>
            <w:r/>
          </w:p>
        </w:tc>
        <w:tc>
          <w:tcPr>
            <w:tcW w:w="7301" w:type="dxa"/>
            <w:textDirection w:val="lrTb"/>
            <w:noWrap w:val="false"/>
          </w:tcPr>
          <w:p>
            <w:pPr>
              <w:ind w:firstLine="420"/>
              <w:jc w:val="both"/>
              <w:widowControl w:val="off"/>
              <w:rPr>
                <w:rFonts w:hint="eastAsia" w:ascii="宋体" w:hAnsi="宋体" w:eastAsia="宋体" w:cs="宋体"/>
                <w:color w:val="auto"/>
                <w:szCs w:val="21"/>
                <w:highlight w:val="none"/>
              </w:rPr>
            </w:pPr>
            <w:r>
              <w:rPr>
                <w:rFonts w:hint="eastAsia" w:cs="宋体" w:asciiTheme="minorEastAsia" w:hAnsiTheme="minorEastAsia" w:eastAsiaTheme="minorEastAsia"/>
                <w:color w:val="auto"/>
                <w:sz w:val="21"/>
                <w:szCs w:val="21"/>
                <w:highlight w:val="none"/>
              </w:rPr>
              <w:t xml:space="preserve">根据投标单位项目实施方案、现场管理制度、质量保证措施、安装进度安排及保证措施、文明安装保证措施方面的安排比较综合评分。实施方案全面、质量保证措施实用可行，安装进度安排科学、合理，现场管理制度完善，文明安装保证措施实用可行方案科学合理的得6分；实施方案基本可行、质量保证措施可行性基本可行，安装进度安排基本可行，现场管理制度基本可行，文明安装保证措施基本可行的得4分；实施方案无针对性、质量保证措施可行性</w:t>
            </w:r>
            <w:r>
              <w:rPr>
                <w:rFonts w:hint="eastAsia" w:cs="宋体" w:asciiTheme="minorEastAsia" w:hAnsiTheme="minorEastAsia" w:eastAsiaTheme="minorEastAsia"/>
                <w:color w:val="auto"/>
                <w:sz w:val="21"/>
                <w:szCs w:val="21"/>
                <w:highlight w:val="none"/>
                <w:lang w:val="en-US" w:eastAsia="zh-CN"/>
              </w:rPr>
              <w:t xml:space="preserve">有欠缺</w:t>
            </w:r>
            <w:r>
              <w:rPr>
                <w:rFonts w:hint="eastAsia" w:cs="宋体" w:asciiTheme="minorEastAsia" w:hAnsiTheme="minorEastAsia" w:eastAsiaTheme="minorEastAsia"/>
                <w:color w:val="auto"/>
                <w:sz w:val="21"/>
                <w:szCs w:val="21"/>
                <w:highlight w:val="none"/>
              </w:rPr>
              <w:t xml:space="preserve">，安装进度安排</w:t>
            </w:r>
            <w:r>
              <w:rPr>
                <w:rFonts w:hint="eastAsia" w:cs="宋体" w:asciiTheme="minorEastAsia" w:hAnsiTheme="minorEastAsia" w:eastAsiaTheme="minorEastAsia"/>
                <w:color w:val="auto"/>
                <w:sz w:val="21"/>
                <w:szCs w:val="21"/>
                <w:highlight w:val="none"/>
                <w:lang w:val="en-US" w:eastAsia="zh-CN"/>
              </w:rPr>
              <w:t xml:space="preserve">有欠缺</w:t>
            </w:r>
            <w:r>
              <w:rPr>
                <w:rFonts w:hint="eastAsia" w:cs="宋体" w:asciiTheme="minorEastAsia" w:hAnsiTheme="minorEastAsia" w:eastAsiaTheme="minorEastAsia"/>
                <w:color w:val="auto"/>
                <w:sz w:val="21"/>
                <w:szCs w:val="21"/>
                <w:highlight w:val="none"/>
              </w:rPr>
              <w:t xml:space="preserve">，现场管理制度不完善，文明安装保证措施</w:t>
            </w:r>
            <w:r>
              <w:rPr>
                <w:rFonts w:hint="eastAsia" w:cs="宋体" w:asciiTheme="minorEastAsia" w:hAnsiTheme="minorEastAsia" w:eastAsiaTheme="minorEastAsia"/>
                <w:color w:val="auto"/>
                <w:sz w:val="21"/>
                <w:szCs w:val="21"/>
                <w:highlight w:val="none"/>
                <w:lang w:val="en-US" w:eastAsia="zh-CN"/>
              </w:rPr>
              <w:t xml:space="preserve">有欠缺</w:t>
            </w:r>
            <w:r>
              <w:rPr>
                <w:rFonts w:hint="eastAsia" w:cs="宋体" w:asciiTheme="minorEastAsia" w:hAnsiTheme="minorEastAsia" w:eastAsiaTheme="minorEastAsia"/>
                <w:color w:val="auto"/>
                <w:sz w:val="21"/>
                <w:szCs w:val="21"/>
                <w:highlight w:val="none"/>
              </w:rPr>
              <w:t xml:space="preserve">的得2分；不提供的不得分。</w:t>
            </w:r>
            <w:r/>
          </w:p>
        </w:tc>
        <w:tc>
          <w:tcPr>
            <w:tcW w:w="540"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highlight w:val="none"/>
                <w:lang w:val="en-US" w:eastAsia="zh-CN"/>
              </w:rPr>
              <w:t xml:space="preserve">6</w:t>
            </w:r>
            <w:r/>
          </w:p>
        </w:tc>
      </w:tr>
      <w:tr>
        <w:trPr>
          <w:jc w:val="center"/>
          <w:trHeight w:val="90"/>
        </w:trPr>
        <w:tc>
          <w:tcPr>
            <w:tcW w:w="1113" w:type="dxa"/>
            <w:vAlign w:val="center"/>
            <w:vMerge w:val="continue"/>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407" w:type="dxa"/>
            <w:vAlign w:val="center"/>
            <w:textDirection w:val="lrTb"/>
            <w:noWrap w:val="false"/>
          </w:tcPr>
          <w:p>
            <w:pPr>
              <w:jc w:val="center"/>
              <w:rPr>
                <w:rFonts w:hint="eastAsia" w:ascii="宋体" w:hAnsi="宋体" w:eastAsia="宋体" w:cs="宋体"/>
                <w:b w:val="0"/>
                <w:bCs w:val="0"/>
                <w:color w:val="auto"/>
                <w:highlight w:val="none"/>
                <w:lang w:val="en-US" w:eastAsia="zh-CN"/>
              </w:rPr>
            </w:pPr>
            <w:r>
              <w:rPr>
                <w:rFonts w:hint="eastAsia" w:cs="宋体" w:asciiTheme="minorEastAsia" w:hAnsiTheme="minorEastAsia"/>
                <w:b w:val="0"/>
                <w:bCs w:val="0"/>
                <w:color w:val="auto"/>
                <w:sz w:val="21"/>
                <w:szCs w:val="21"/>
                <w:highlight w:val="none"/>
                <w:lang w:val="en-US" w:eastAsia="zh-CN"/>
              </w:rPr>
              <w:t xml:space="preserve">4、</w:t>
            </w:r>
            <w:r>
              <w:rPr>
                <w:rFonts w:hint="eastAsia" w:cs="宋体" w:asciiTheme="minorEastAsia" w:hAnsiTheme="minorEastAsia" w:eastAsiaTheme="minorEastAsia"/>
                <w:b w:val="0"/>
                <w:bCs w:val="0"/>
                <w:color w:val="auto"/>
                <w:sz w:val="21"/>
                <w:szCs w:val="21"/>
                <w:highlight w:val="none"/>
              </w:rPr>
              <w:t xml:space="preserve">应急预案比较(6分)</w:t>
            </w:r>
            <w:r/>
          </w:p>
        </w:tc>
        <w:tc>
          <w:tcPr>
            <w:tcW w:w="7301" w:type="dxa"/>
            <w:textDirection w:val="lrTb"/>
            <w:noWrap w:val="false"/>
          </w:tcPr>
          <w:p>
            <w:pPr>
              <w:ind w:firstLine="420"/>
              <w:jc w:val="both"/>
              <w:widowControl w:val="off"/>
              <w:rPr>
                <w:rFonts w:hint="eastAsia" w:ascii="宋体" w:hAnsi="宋体" w:eastAsia="宋体" w:cs="宋体"/>
                <w:color w:val="auto"/>
                <w:szCs w:val="21"/>
                <w:highlight w:val="none"/>
              </w:rPr>
            </w:pPr>
            <w:r>
              <w:rPr>
                <w:rFonts w:hint="eastAsia" w:cs="宋体" w:asciiTheme="minorEastAsia" w:hAnsiTheme="minorEastAsia" w:eastAsiaTheme="minorEastAsia"/>
                <w:color w:val="auto"/>
                <w:sz w:val="21"/>
                <w:szCs w:val="21"/>
                <w:highlight w:val="none"/>
              </w:rPr>
              <w:t xml:space="preserve">根据投标单位针对现场突发状况，如防火，</w:t>
            </w:r>
            <w:r>
              <w:rPr>
                <w:rFonts w:hint="eastAsia" w:cs="宋体" w:asciiTheme="minorEastAsia" w:hAnsiTheme="minorEastAsia" w:eastAsiaTheme="minorEastAsia"/>
                <w:color w:val="auto"/>
                <w:sz w:val="21"/>
                <w:szCs w:val="21"/>
                <w:highlight w:val="none"/>
                <w:lang w:val="en-US" w:eastAsia="zh-CN"/>
              </w:rPr>
              <w:t xml:space="preserve">实施</w:t>
            </w:r>
            <w:r>
              <w:rPr>
                <w:rFonts w:hint="eastAsia" w:cs="宋体" w:asciiTheme="minorEastAsia" w:hAnsiTheme="minorEastAsia" w:eastAsiaTheme="minorEastAsia"/>
                <w:color w:val="auto"/>
                <w:sz w:val="21"/>
                <w:szCs w:val="21"/>
                <w:highlight w:val="none"/>
              </w:rPr>
              <w:t xml:space="preserve">安全隐患</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eastAsiaTheme="minorEastAsia"/>
                <w:color w:val="auto"/>
                <w:sz w:val="21"/>
                <w:szCs w:val="21"/>
                <w:highlight w:val="none"/>
              </w:rPr>
              <w:t xml:space="preserve">应急响应措施，现场突发状况的应急处理等各方面比较综合评分。方案完善、合理、完全可行的得6分；方案基本可行的得4分；方案不</w:t>
            </w:r>
            <w:r>
              <w:rPr>
                <w:rFonts w:hint="eastAsia" w:cs="宋体" w:asciiTheme="minorEastAsia" w:hAnsiTheme="minorEastAsia"/>
                <w:color w:val="auto"/>
                <w:sz w:val="21"/>
                <w:szCs w:val="21"/>
                <w:highlight w:val="none"/>
                <w:lang w:val="en-US" w:eastAsia="zh-CN"/>
              </w:rPr>
              <w:t xml:space="preserve">够</w:t>
            </w:r>
            <w:r>
              <w:rPr>
                <w:rFonts w:hint="eastAsia" w:cs="宋体" w:asciiTheme="minorEastAsia" w:hAnsiTheme="minorEastAsia" w:eastAsiaTheme="minorEastAsia"/>
                <w:color w:val="auto"/>
                <w:sz w:val="21"/>
                <w:szCs w:val="21"/>
                <w:highlight w:val="none"/>
              </w:rPr>
              <w:t xml:space="preserve">完善、</w:t>
            </w:r>
            <w:r>
              <w:rPr>
                <w:rFonts w:hint="eastAsia" w:cs="宋体" w:asciiTheme="minorEastAsia" w:hAnsiTheme="minorEastAsia" w:eastAsiaTheme="minorEastAsia"/>
                <w:color w:val="auto"/>
                <w:sz w:val="21"/>
                <w:szCs w:val="21"/>
                <w:highlight w:val="none"/>
                <w:lang w:val="en-US" w:eastAsia="zh-CN"/>
              </w:rPr>
              <w:t xml:space="preserve">有欠缺</w:t>
            </w:r>
            <w:r>
              <w:rPr>
                <w:rFonts w:hint="eastAsia" w:cs="宋体" w:asciiTheme="minorEastAsia" w:hAnsiTheme="minorEastAsia" w:eastAsiaTheme="minorEastAsia"/>
                <w:color w:val="auto"/>
                <w:sz w:val="21"/>
                <w:szCs w:val="21"/>
                <w:highlight w:val="none"/>
              </w:rPr>
              <w:t xml:space="preserve">、无针对性的得2分；不提供的不得分。</w:t>
            </w:r>
            <w:r/>
          </w:p>
        </w:tc>
        <w:tc>
          <w:tcPr>
            <w:tcW w:w="540"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p>
        </w:tc>
      </w:tr>
      <w:tr>
        <w:trPr>
          <w:jc w:val="center"/>
          <w:trHeight w:val="1431"/>
        </w:trPr>
        <w:tc>
          <w:tcPr>
            <w:tcW w:w="1113" w:type="dxa"/>
            <w:vAlign w:val="center"/>
            <w:vMerge w:val="continue"/>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407" w:type="dxa"/>
            <w:vAlign w:val="center"/>
            <w:textDirection w:val="lrTb"/>
            <w:noWrap w:val="false"/>
          </w:tcPr>
          <w:p>
            <w:pPr>
              <w:jc w:val="both"/>
              <w:widowControl w:val="off"/>
              <w:rPr>
                <w:rFonts w:hint="eastAsia" w:cs="宋体" w:asciiTheme="minorEastAsia" w:hAnsiTheme="minorEastAsia" w:eastAsiaTheme="minorEastAsia"/>
                <w:b w:val="0"/>
                <w:bCs w:val="0"/>
                <w:color w:val="auto"/>
                <w:sz w:val="21"/>
                <w:szCs w:val="21"/>
                <w:highlight w:val="none"/>
              </w:rPr>
            </w:pPr>
            <w:r>
              <w:rPr>
                <w:rFonts w:hint="eastAsia" w:cs="宋体" w:asciiTheme="minorEastAsia" w:hAnsiTheme="minorEastAsia"/>
                <w:b w:val="0"/>
                <w:bCs w:val="0"/>
                <w:color w:val="auto"/>
                <w:sz w:val="21"/>
                <w:szCs w:val="21"/>
                <w:highlight w:val="none"/>
                <w:lang w:val="en-US" w:eastAsia="zh-CN"/>
              </w:rPr>
              <w:t xml:space="preserve">5、</w:t>
            </w:r>
            <w:r>
              <w:rPr>
                <w:rFonts w:hint="eastAsia" w:cs="宋体" w:asciiTheme="minorEastAsia" w:hAnsiTheme="minorEastAsia" w:eastAsiaTheme="minorEastAsia"/>
                <w:b w:val="0"/>
                <w:bCs w:val="0"/>
                <w:color w:val="auto"/>
                <w:sz w:val="21"/>
                <w:szCs w:val="21"/>
                <w:highlight w:val="none"/>
              </w:rPr>
              <w:t xml:space="preserve">售后服务比较(8分)</w:t>
            </w:r>
            <w:r/>
          </w:p>
          <w:p>
            <w:pPr>
              <w:jc w:val="center"/>
              <w:rPr>
                <w:rFonts w:hint="eastAsia" w:cs="宋体" w:asciiTheme="minorEastAsia" w:hAnsiTheme="minorEastAsia" w:eastAsiaTheme="minorEastAsia"/>
                <w:b w:val="0"/>
                <w:bCs w:val="0"/>
                <w:color w:val="auto"/>
                <w:sz w:val="21"/>
                <w:szCs w:val="21"/>
                <w:highlight w:val="none"/>
              </w:rPr>
            </w:pPr>
            <w:r>
              <w:rPr>
                <w:rFonts w:hint="eastAsia" w:cs="宋体" w:asciiTheme="minorEastAsia" w:hAnsiTheme="minorEastAsia" w:eastAsiaTheme="minorEastAsia"/>
                <w:b w:val="0"/>
                <w:bCs w:val="0"/>
                <w:color w:val="auto"/>
                <w:sz w:val="21"/>
                <w:szCs w:val="21"/>
                <w:highlight w:val="none"/>
              </w:rPr>
            </w:r>
            <w:r/>
          </w:p>
        </w:tc>
        <w:tc>
          <w:tcPr>
            <w:tcW w:w="7301" w:type="dxa"/>
            <w:textDirection w:val="lrTb"/>
            <w:noWrap w:val="false"/>
          </w:tcPr>
          <w:p>
            <w:pPr>
              <w:ind w:firstLine="420"/>
              <w:jc w:val="both"/>
              <w:widowControl w:val="off"/>
              <w:rPr>
                <w:rFonts w:hint="eastAsia" w:ascii="宋体" w:hAnsi="宋体" w:eastAsia="宋体" w:cs="宋体"/>
                <w:color w:val="auto"/>
                <w:szCs w:val="21"/>
                <w:highlight w:val="none"/>
              </w:rPr>
            </w:pPr>
            <w:r>
              <w:rPr>
                <w:rFonts w:hint="eastAsia" w:cs="宋体" w:asciiTheme="minorEastAsia" w:hAnsiTheme="minorEastAsia" w:eastAsiaTheme="minorEastAsia"/>
                <w:color w:val="auto"/>
                <w:sz w:val="21"/>
                <w:szCs w:val="21"/>
                <w:highlight w:val="none"/>
              </w:rPr>
              <w:t xml:space="preserve">投标单位售后服务体系完善、服务标准规范化程度高、服务响应</w:t>
            </w:r>
            <w:r>
              <w:rPr>
                <w:rFonts w:hint="eastAsia" w:cs="宋体" w:asciiTheme="minorEastAsia" w:hAnsiTheme="minorEastAsia"/>
                <w:color w:val="auto"/>
                <w:sz w:val="21"/>
                <w:szCs w:val="21"/>
                <w:highlight w:val="none"/>
                <w:lang w:val="en-US" w:eastAsia="zh-CN"/>
              </w:rPr>
              <w:t xml:space="preserve">效率高</w:t>
            </w:r>
            <w:r>
              <w:rPr>
                <w:rFonts w:hint="eastAsia" w:cs="宋体" w:asciiTheme="minorEastAsia" w:hAnsiTheme="minorEastAsia" w:eastAsiaTheme="minorEastAsia"/>
                <w:color w:val="auto"/>
                <w:sz w:val="21"/>
                <w:szCs w:val="21"/>
                <w:highlight w:val="none"/>
              </w:rPr>
              <w:t xml:space="preserve">、保修措施完善的得8分；投标单位售后服务体系较完善、服务标准规范化程度较完善、服务响应</w:t>
            </w:r>
            <w:r>
              <w:rPr>
                <w:rFonts w:hint="eastAsia" w:cs="宋体" w:asciiTheme="minorEastAsia" w:hAnsiTheme="minorEastAsia"/>
                <w:color w:val="auto"/>
                <w:sz w:val="21"/>
                <w:szCs w:val="21"/>
                <w:highlight w:val="none"/>
                <w:lang w:val="en-US" w:eastAsia="zh-CN"/>
              </w:rPr>
              <w:t xml:space="preserve">效率不高</w:t>
            </w:r>
            <w:r>
              <w:rPr>
                <w:rFonts w:hint="eastAsia" w:cs="宋体" w:asciiTheme="minorEastAsia" w:hAnsiTheme="minorEastAsia" w:eastAsiaTheme="minorEastAsia"/>
                <w:color w:val="auto"/>
                <w:sz w:val="21"/>
                <w:szCs w:val="21"/>
                <w:highlight w:val="none"/>
              </w:rPr>
              <w:t xml:space="preserve">、保修措施完善性较完善的得6分；投标单位售后服务体系不</w:t>
            </w:r>
            <w:r>
              <w:rPr>
                <w:rFonts w:hint="eastAsia" w:cs="宋体" w:asciiTheme="minorEastAsia" w:hAnsiTheme="minorEastAsia"/>
                <w:color w:val="auto"/>
                <w:sz w:val="21"/>
                <w:szCs w:val="21"/>
                <w:highlight w:val="none"/>
                <w:lang w:val="en-US" w:eastAsia="zh-CN"/>
              </w:rPr>
              <w:t xml:space="preserve">够</w:t>
            </w:r>
            <w:r>
              <w:rPr>
                <w:rFonts w:hint="eastAsia" w:cs="宋体" w:asciiTheme="minorEastAsia" w:hAnsiTheme="minorEastAsia" w:eastAsiaTheme="minorEastAsia"/>
                <w:color w:val="auto"/>
                <w:sz w:val="21"/>
                <w:szCs w:val="21"/>
                <w:highlight w:val="none"/>
              </w:rPr>
              <w:t xml:space="preserve">完善、服务标准规范化程度</w:t>
            </w:r>
            <w:r>
              <w:rPr>
                <w:rFonts w:hint="eastAsia" w:cs="宋体" w:asciiTheme="minorEastAsia" w:hAnsiTheme="minorEastAsia"/>
                <w:color w:val="auto"/>
                <w:sz w:val="21"/>
                <w:szCs w:val="21"/>
                <w:highlight w:val="none"/>
                <w:lang w:val="en-US" w:eastAsia="zh-CN"/>
              </w:rPr>
              <w:t xml:space="preserve">有欠缺</w:t>
            </w:r>
            <w:r>
              <w:rPr>
                <w:rFonts w:hint="eastAsia" w:cs="宋体" w:asciiTheme="minorEastAsia" w:hAnsiTheme="minorEastAsia" w:eastAsiaTheme="minorEastAsia"/>
                <w:color w:val="auto"/>
                <w:sz w:val="21"/>
                <w:szCs w:val="21"/>
                <w:highlight w:val="none"/>
              </w:rPr>
              <w:t xml:space="preserve">、服务响应</w:t>
            </w:r>
            <w:r>
              <w:rPr>
                <w:rFonts w:hint="eastAsia" w:cs="宋体" w:asciiTheme="minorEastAsia" w:hAnsiTheme="minorEastAsia"/>
                <w:color w:val="auto"/>
                <w:sz w:val="21"/>
                <w:szCs w:val="21"/>
                <w:highlight w:val="none"/>
                <w:lang w:val="en-US" w:eastAsia="zh-CN"/>
              </w:rPr>
              <w:t xml:space="preserve">效率低</w:t>
            </w:r>
            <w:r>
              <w:rPr>
                <w:rFonts w:hint="eastAsia" w:cs="宋体" w:asciiTheme="minorEastAsia" w:hAnsiTheme="minorEastAsia" w:eastAsiaTheme="minorEastAsia"/>
                <w:color w:val="auto"/>
                <w:sz w:val="21"/>
                <w:szCs w:val="21"/>
                <w:highlight w:val="none"/>
              </w:rPr>
              <w:t xml:space="preserve">、保修措施不</w:t>
            </w:r>
            <w:r>
              <w:rPr>
                <w:rFonts w:hint="eastAsia" w:cs="宋体" w:asciiTheme="minorEastAsia" w:hAnsiTheme="minorEastAsia"/>
                <w:color w:val="auto"/>
                <w:sz w:val="21"/>
                <w:szCs w:val="21"/>
                <w:highlight w:val="none"/>
                <w:lang w:val="en-US" w:eastAsia="zh-CN"/>
              </w:rPr>
              <w:t xml:space="preserve">够</w:t>
            </w:r>
            <w:r>
              <w:rPr>
                <w:rFonts w:hint="eastAsia" w:cs="宋体" w:asciiTheme="minorEastAsia" w:hAnsiTheme="minorEastAsia" w:eastAsiaTheme="minorEastAsia"/>
                <w:color w:val="auto"/>
                <w:sz w:val="21"/>
                <w:szCs w:val="21"/>
                <w:highlight w:val="none"/>
              </w:rPr>
              <w:t xml:space="preserve">完善的得4分；不提供的不得分。</w:t>
            </w:r>
            <w:r/>
          </w:p>
        </w:tc>
        <w:tc>
          <w:tcPr>
            <w:tcW w:w="540"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p>
        </w:tc>
      </w:tr>
      <w:tr>
        <w:trPr>
          <w:jc w:val="center"/>
          <w:trHeight w:val="1471"/>
        </w:trPr>
        <w:tc>
          <w:tcPr>
            <w:tcW w:w="1113" w:type="dxa"/>
            <w:vAlign w:val="center"/>
            <w:vMerge w:val="continue"/>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407" w:type="dxa"/>
            <w:vAlign w:val="center"/>
            <w:textDirection w:val="lrTb"/>
            <w:noWrap w:val="false"/>
          </w:tcPr>
          <w:p>
            <w:pPr>
              <w:numPr>
                <w:ilvl w:val="0"/>
                <w:numId w:val="0"/>
              </w:numPr>
              <w:jc w:val="both"/>
              <w:widowControl w:val="off"/>
              <w:rPr>
                <w:rFonts w:hint="eastAsia" w:cs="宋体" w:asciiTheme="minorEastAsia" w:hAnsiTheme="minorEastAsia" w:eastAsiaTheme="minorEastAsia"/>
                <w:b w:val="0"/>
                <w:bCs w:val="0"/>
                <w:color w:val="auto"/>
                <w:sz w:val="21"/>
                <w:szCs w:val="21"/>
                <w:highlight w:val="none"/>
              </w:rPr>
            </w:pPr>
            <w:r>
              <w:rPr>
                <w:rFonts w:hint="eastAsia" w:cs="宋体" w:asciiTheme="minorEastAsia" w:hAnsiTheme="minorEastAsia"/>
                <w:b w:val="0"/>
                <w:bCs w:val="0"/>
                <w:color w:val="auto"/>
                <w:sz w:val="21"/>
                <w:szCs w:val="21"/>
                <w:highlight w:val="none"/>
                <w:lang w:val="en-US" w:eastAsia="zh-CN"/>
              </w:rPr>
              <w:t xml:space="preserve">6、</w:t>
            </w:r>
            <w:r>
              <w:rPr>
                <w:rFonts w:hint="eastAsia" w:cs="宋体" w:asciiTheme="minorEastAsia" w:hAnsiTheme="minorEastAsia" w:eastAsiaTheme="minorEastAsia"/>
                <w:b w:val="0"/>
                <w:bCs w:val="0"/>
                <w:color w:val="auto"/>
                <w:sz w:val="21"/>
                <w:szCs w:val="21"/>
                <w:highlight w:val="none"/>
              </w:rPr>
              <w:t xml:space="preserve">所投产品出现常规质量问题解决方案</w:t>
            </w:r>
            <w:r/>
          </w:p>
          <w:p>
            <w:pPr>
              <w:numPr>
                <w:ilvl w:val="0"/>
                <w:numId w:val="0"/>
              </w:numPr>
              <w:jc w:val="both"/>
              <w:widowControl w:val="off"/>
              <w:rPr>
                <w:rFonts w:hint="eastAsia" w:cs="宋体" w:asciiTheme="minorEastAsia" w:hAnsiTheme="minorEastAsia" w:eastAsiaTheme="minorEastAsia"/>
                <w:b w:val="0"/>
                <w:bCs w:val="0"/>
                <w:color w:val="auto"/>
                <w:sz w:val="21"/>
                <w:szCs w:val="21"/>
                <w:highlight w:val="none"/>
              </w:rPr>
            </w:pPr>
            <w:r>
              <w:rPr>
                <w:rFonts w:hint="eastAsia" w:cs="宋体" w:asciiTheme="minorEastAsia" w:hAnsiTheme="minorEastAsia" w:eastAsiaTheme="minorEastAsia"/>
                <w:b w:val="0"/>
                <w:bCs w:val="0"/>
                <w:color w:val="auto"/>
                <w:sz w:val="21"/>
                <w:szCs w:val="21"/>
                <w:highlight w:val="none"/>
              </w:rPr>
              <w:t xml:space="preserve">(</w:t>
            </w:r>
            <w:r>
              <w:rPr>
                <w:rFonts w:hint="eastAsia" w:cs="宋体" w:asciiTheme="minorEastAsia" w:hAnsiTheme="minorEastAsia"/>
                <w:b w:val="0"/>
                <w:bCs w:val="0"/>
                <w:color w:val="auto"/>
                <w:sz w:val="21"/>
                <w:szCs w:val="21"/>
                <w:highlight w:val="none"/>
                <w:lang w:val="en-US" w:eastAsia="zh-CN"/>
              </w:rPr>
              <w:t xml:space="preserve">8</w:t>
            </w:r>
            <w:r>
              <w:rPr>
                <w:rFonts w:hint="eastAsia" w:cs="宋体" w:asciiTheme="minorEastAsia" w:hAnsiTheme="minorEastAsia" w:eastAsiaTheme="minorEastAsia"/>
                <w:b w:val="0"/>
                <w:bCs w:val="0"/>
                <w:color w:val="auto"/>
                <w:sz w:val="21"/>
                <w:szCs w:val="21"/>
                <w:highlight w:val="none"/>
              </w:rPr>
              <w:t xml:space="preserve">分)</w:t>
            </w:r>
            <w:r/>
          </w:p>
          <w:p>
            <w:pPr>
              <w:jc w:val="center"/>
              <w:rPr>
                <w:rFonts w:hint="eastAsia" w:cs="宋体" w:asciiTheme="minorEastAsia" w:hAnsiTheme="minorEastAsia" w:eastAsiaTheme="minorEastAsia"/>
                <w:b w:val="0"/>
                <w:bCs w:val="0"/>
                <w:color w:val="auto"/>
                <w:sz w:val="21"/>
                <w:szCs w:val="21"/>
                <w:highlight w:val="none"/>
              </w:rPr>
            </w:pPr>
            <w:r>
              <w:rPr>
                <w:rFonts w:hint="eastAsia" w:cs="宋体" w:asciiTheme="minorEastAsia" w:hAnsiTheme="minorEastAsia" w:eastAsiaTheme="minorEastAsia"/>
                <w:b w:val="0"/>
                <w:bCs w:val="0"/>
                <w:color w:val="auto"/>
                <w:sz w:val="21"/>
                <w:szCs w:val="21"/>
                <w:highlight w:val="none"/>
              </w:rPr>
            </w:r>
            <w:r/>
          </w:p>
        </w:tc>
        <w:tc>
          <w:tcPr>
            <w:tcW w:w="7301" w:type="dxa"/>
            <w:textDirection w:val="lrTb"/>
            <w:noWrap w:val="false"/>
          </w:tcPr>
          <w:p>
            <w:pPr>
              <w:ind w:firstLine="420"/>
              <w:jc w:val="both"/>
              <w:widowControl w:val="off"/>
              <w:rPr>
                <w:rFonts w:hint="eastAsia" w:ascii="宋体" w:hAnsi="宋体" w:eastAsia="宋体" w:cs="宋体"/>
                <w:color w:val="auto"/>
                <w:szCs w:val="21"/>
                <w:highlight w:val="none"/>
              </w:rPr>
            </w:pPr>
            <w:r>
              <w:rPr>
                <w:rFonts w:hint="eastAsia" w:cs="宋体" w:asciiTheme="minorEastAsia" w:hAnsiTheme="minorEastAsia" w:eastAsiaTheme="minorEastAsia"/>
                <w:color w:val="auto"/>
                <w:sz w:val="21"/>
                <w:szCs w:val="21"/>
                <w:highlight w:val="none"/>
              </w:rPr>
              <w:t xml:space="preserve">投标单位对于本项目所投产品容易出现的常规质量问题原因分析全面、透彻，应对解决方法科学、实用、合理、可行的得</w:t>
            </w:r>
            <w:r>
              <w:rPr>
                <w:rFonts w:hint="eastAsia" w:cs="宋体" w:asciiTheme="minorEastAsia" w:hAnsiTheme="minorEastAsia"/>
                <w:color w:val="auto"/>
                <w:sz w:val="21"/>
                <w:szCs w:val="21"/>
                <w:highlight w:val="none"/>
                <w:lang w:val="en-US" w:eastAsia="zh-CN"/>
              </w:rPr>
              <w:t xml:space="preserve">8</w:t>
            </w:r>
            <w:r>
              <w:rPr>
                <w:rFonts w:hint="eastAsia" w:cs="宋体" w:asciiTheme="minorEastAsia" w:hAnsiTheme="minorEastAsia" w:eastAsiaTheme="minorEastAsia"/>
                <w:color w:val="auto"/>
                <w:sz w:val="21"/>
                <w:szCs w:val="21"/>
                <w:highlight w:val="none"/>
              </w:rPr>
              <w:t xml:space="preserve">分；对于本项目所投产品容易出现的常规质量问题原因分析简略，应对解决方法基本可行的得</w:t>
            </w:r>
            <w:r>
              <w:rPr>
                <w:rFonts w:hint="eastAsia" w:cs="宋体" w:asciiTheme="minorEastAsia" w:hAnsiTheme="minorEastAsia"/>
                <w:color w:val="auto"/>
                <w:sz w:val="21"/>
                <w:szCs w:val="21"/>
                <w:highlight w:val="none"/>
                <w:lang w:val="en-US" w:eastAsia="zh-CN"/>
              </w:rPr>
              <w:t xml:space="preserve">6</w:t>
            </w:r>
            <w:r>
              <w:rPr>
                <w:rFonts w:hint="eastAsia" w:cs="宋体" w:asciiTheme="minorEastAsia" w:hAnsiTheme="minorEastAsia" w:eastAsiaTheme="minorEastAsia"/>
                <w:color w:val="auto"/>
                <w:sz w:val="21"/>
                <w:szCs w:val="21"/>
                <w:highlight w:val="none"/>
              </w:rPr>
              <w:t xml:space="preserve">分；对于本项目所投产品容易出现的常规质量问题原因分析粗略、无针对性，应对解决方法可行性</w:t>
            </w:r>
            <w:r>
              <w:rPr>
                <w:rFonts w:hint="eastAsia" w:cs="宋体" w:asciiTheme="minorEastAsia" w:hAnsiTheme="minorEastAsia"/>
                <w:color w:val="auto"/>
                <w:sz w:val="21"/>
                <w:szCs w:val="21"/>
                <w:highlight w:val="none"/>
                <w:lang w:val="en-US" w:eastAsia="zh-CN"/>
              </w:rPr>
              <w:t xml:space="preserve">有欠缺</w:t>
            </w:r>
            <w:r>
              <w:rPr>
                <w:rFonts w:hint="eastAsia" w:cs="宋体" w:asciiTheme="minorEastAsia" w:hAnsiTheme="minorEastAsia" w:eastAsiaTheme="minorEastAsia"/>
                <w:color w:val="auto"/>
                <w:sz w:val="21"/>
                <w:szCs w:val="21"/>
                <w:highlight w:val="none"/>
              </w:rPr>
              <w:t xml:space="preserve">的得</w:t>
            </w:r>
            <w:r>
              <w:rPr>
                <w:rFonts w:hint="eastAsia" w:cs="宋体" w:asciiTheme="minorEastAsia" w:hAnsiTheme="minorEastAsia"/>
                <w:color w:val="auto"/>
                <w:sz w:val="21"/>
                <w:szCs w:val="21"/>
                <w:highlight w:val="none"/>
                <w:lang w:val="en-US" w:eastAsia="zh-CN"/>
              </w:rPr>
              <w:t xml:space="preserve">4</w:t>
            </w:r>
            <w:r>
              <w:rPr>
                <w:rFonts w:hint="eastAsia" w:cs="宋体" w:asciiTheme="minorEastAsia" w:hAnsiTheme="minorEastAsia" w:eastAsiaTheme="minorEastAsia"/>
                <w:color w:val="auto"/>
                <w:sz w:val="21"/>
                <w:szCs w:val="21"/>
                <w:highlight w:val="none"/>
              </w:rPr>
              <w:t xml:space="preserve">分；不提供的不得分。</w:t>
            </w:r>
            <w:r/>
          </w:p>
        </w:tc>
        <w:tc>
          <w:tcPr>
            <w:tcW w:w="540" w:type="dxa"/>
            <w:vAlign w:val="center"/>
            <w:textDirection w:val="lrTb"/>
            <w:noWrap w:val="false"/>
          </w:tcPr>
          <w:p>
            <w:pPr>
              <w:jc w:val="center"/>
              <w:rPr>
                <w:rFonts w:hint="default" w:ascii="宋体" w:hAnsi="宋体" w:eastAsia="宋体" w:cs="宋体"/>
                <w:color w:val="auto"/>
                <w:highlight w:val="none"/>
                <w:lang w:val="en-US" w:eastAsia="zh-CN"/>
              </w:rPr>
            </w:pPr>
            <w:r>
              <w:rPr>
                <w:rFonts w:hint="eastAsia" w:cs="宋体" w:asciiTheme="minorEastAsia" w:hAnsiTheme="minorEastAsia" w:eastAsiaTheme="minorEastAsia"/>
                <w:b w:val="0"/>
                <w:bCs w:val="0"/>
                <w:color w:val="auto"/>
                <w:sz w:val="21"/>
                <w:szCs w:val="21"/>
                <w:highlight w:val="none"/>
                <w:lang w:val="en-US" w:eastAsia="zh-CN"/>
              </w:rPr>
              <w:t xml:space="preserve">8</w:t>
            </w:r>
            <w:r/>
          </w:p>
        </w:tc>
      </w:tr>
      <w:tr>
        <w:trPr>
          <w:jc w:val="center"/>
          <w:trHeight w:val="1567"/>
        </w:trPr>
        <w:tc>
          <w:tcPr>
            <w:tcW w:w="1113" w:type="dxa"/>
            <w:vAlign w:val="center"/>
            <w:vMerge w:val="continue"/>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407"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设备工艺技术比较</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10分</w:t>
            </w:r>
            <w:r>
              <w:rPr>
                <w:rFonts w:hint="eastAsia" w:ascii="宋体" w:hAnsi="宋体" w:eastAsia="宋体" w:cs="宋体"/>
                <w:color w:val="auto"/>
                <w:highlight w:val="none"/>
                <w:lang w:eastAsia="zh-CN"/>
              </w:rPr>
              <w:t xml:space="preserve">）</w:t>
            </w:r>
            <w:r/>
          </w:p>
        </w:tc>
        <w:tc>
          <w:tcPr>
            <w:tcW w:w="7301" w:type="dxa"/>
            <w:textDirection w:val="lrTb"/>
            <w:noWrap w:val="false"/>
          </w:tcPr>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(1)燃气双眼大锅灶工艺技术方案综合比较：</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工艺技术方案包括：①产品图纸或产品说明书；②产品的工艺及零部件选型(工艺技术、生产方法、工艺流程等方案及主要零部件选型分析说明)；</w:t>
            </w:r>
            <w:r/>
          </w:p>
          <w:p>
            <w:pPr>
              <w:numPr>
                <w:ilvl w:val="0"/>
                <w:numId w:val="6"/>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产品图纸或产品说明书内容完整、工艺技术方案全面完善、科学合理、针对性强的得2分；</w:t>
            </w:r>
            <w:r/>
          </w:p>
          <w:p>
            <w:pPr>
              <w:numPr>
                <w:ilvl w:val="0"/>
                <w:numId w:val="6"/>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产品图纸或产品说明书内容较完整、工艺技术方案较为完善、有合理性的得1分；</w:t>
            </w:r>
            <w:r/>
          </w:p>
          <w:p>
            <w:pPr>
              <w:numPr>
                <w:ilvl w:val="0"/>
                <w:numId w:val="6"/>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产品图纸或产品说明书内容不够完整、工艺技术方案简单、不够详细、合理性不高的得0.5分；</w:t>
            </w:r>
            <w:r/>
          </w:p>
          <w:p>
            <w:pPr>
              <w:numPr>
                <w:ilvl w:val="0"/>
                <w:numId w:val="6"/>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不提供的不得分。</w:t>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(2)双门热风循环消毒柜工艺技术方案综合比较：</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工艺技术方案包括：①产品图纸或产品说明书；②产品的工艺及零部件选型(工艺技术、生产方法、工艺流程等方案及主要零部件选型分析说明)；</w:t>
            </w:r>
            <w:r/>
          </w:p>
          <w:p>
            <w:pPr>
              <w:numPr>
                <w:ilvl w:val="0"/>
                <w:numId w:val="7"/>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产品图纸或产品说明书内容完整、工艺技术方案全面完善、科学合理、针对性强的得2分；</w:t>
            </w:r>
            <w:r/>
          </w:p>
          <w:p>
            <w:pPr>
              <w:numPr>
                <w:ilvl w:val="0"/>
                <w:numId w:val="7"/>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产品图纸或产品说明书内容较完整、工艺技术方案较为完善、有合理性的得1分；</w:t>
            </w:r>
            <w:r/>
          </w:p>
          <w:p>
            <w:pPr>
              <w:numPr>
                <w:ilvl w:val="0"/>
                <w:numId w:val="7"/>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产品图纸或产品说明书内容不够完整、工艺技术方案简单、不够详细、合理性不高的得0.5分；</w:t>
            </w:r>
            <w:r/>
          </w:p>
          <w:p>
            <w:pPr>
              <w:numPr>
                <w:ilvl w:val="0"/>
                <w:numId w:val="7"/>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不提供的不得分。</w:t>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(3)四格保温台技术方案综合比较：</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工艺技术方案包括：①产品图纸或产品说明书；②产品的工艺及零部件选型(工艺技术、生产方法、工艺流程等方案及主要零部件选型分析说明)；</w:t>
            </w:r>
            <w:r/>
          </w:p>
          <w:p>
            <w:pPr>
              <w:numPr>
                <w:ilvl w:val="0"/>
                <w:numId w:val="8"/>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产品图纸或产品说明书内容完整、工艺技术方案全面完善、科学合理、针对性强的得2分；</w:t>
            </w:r>
            <w:r/>
          </w:p>
          <w:p>
            <w:pPr>
              <w:numPr>
                <w:ilvl w:val="0"/>
                <w:numId w:val="8"/>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产品图纸或产品说明书内容较完整、工艺技术方案较为完善、有合理性的得1分；</w:t>
            </w:r>
            <w:r/>
          </w:p>
          <w:p>
            <w:pPr>
              <w:numPr>
                <w:ilvl w:val="0"/>
                <w:numId w:val="8"/>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产品图纸或产品说明书内容不够完整、工艺技术方案简单、不够详细、合理性不高的得0.5分；</w:t>
            </w:r>
            <w:r/>
          </w:p>
          <w:p>
            <w:pPr>
              <w:numPr>
                <w:ilvl w:val="0"/>
                <w:numId w:val="8"/>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不提供的不得分。</w:t>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(4)燃气双门蒸饭柜工艺技术方案综合比较：</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工艺技术方案包括：①产品图纸或产品说明书；②产品的工艺及零部件选型(工艺技术、生产方法、工艺流程等方案及主要零部件选型分析说明)；</w:t>
            </w:r>
            <w:r/>
          </w:p>
          <w:p>
            <w:pPr>
              <w:numPr>
                <w:ilvl w:val="0"/>
                <w:numId w:val="9"/>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产品图纸或产品说明书内容完整、工艺技术方案全面完善、科学合理、针对性强的得2分；</w:t>
            </w:r>
            <w:r/>
          </w:p>
          <w:p>
            <w:pPr>
              <w:numPr>
                <w:ilvl w:val="0"/>
                <w:numId w:val="9"/>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产品图纸或产品说明书内容较完整、工艺技术方案较为完善、有合理性的得1分；</w:t>
            </w:r>
            <w:r/>
          </w:p>
          <w:p>
            <w:pPr>
              <w:numPr>
                <w:ilvl w:val="0"/>
                <w:numId w:val="9"/>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产品图纸或产品说明书内容不够完整、工艺技术方案简单、不够详细、合理性不高的得0.5分；</w:t>
            </w:r>
            <w:r/>
          </w:p>
          <w:p>
            <w:pPr>
              <w:numPr>
                <w:ilvl w:val="0"/>
                <w:numId w:val="9"/>
              </w:num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不提供的不得分。</w:t>
            </w:r>
            <w: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lang w:val="en-US" w:eastAsia="zh-CN"/>
              </w:rPr>
              <w:t xml:space="preserve">空气能长龙式洗碗机带烘干</w:t>
            </w:r>
            <w:r>
              <w:rPr>
                <w:rFonts w:hint="eastAsia" w:ascii="宋体" w:hAnsi="宋体" w:eastAsia="宋体" w:cs="宋体"/>
                <w:b/>
                <w:bCs/>
                <w:color w:val="auto"/>
                <w:szCs w:val="21"/>
                <w:highlight w:val="none"/>
              </w:rPr>
              <w:t xml:space="preserve">工艺技术方案综合比较：</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工艺技术方案包括：①产品图纸或产品说明书；②产品的工艺及零部件选型(工艺技术、生产方法、工艺流程等方案及主要零部件选型分析说明)；</w:t>
            </w:r>
            <w:r/>
          </w:p>
          <w:p>
            <w:pPr>
              <w:numPr>
                <w:ilvl w:val="0"/>
                <w:numId w:val="10"/>
              </w:numPr>
              <w:ind w:right="117"/>
              <w:spacing w:before="79"/>
              <w:rPr>
                <w:rFonts w:hint="eastAsia" w:ascii="宋体" w:hAnsi="宋体" w:eastAsia="宋体" w:cs="宋体"/>
                <w:color w:val="auto"/>
                <w:szCs w:val="21"/>
                <w:highlight w:val="none"/>
              </w:rPr>
            </w:pPr>
            <w:r>
              <w:rPr>
                <w:rFonts w:hint="eastAsia" w:ascii="宋体" w:hAnsi="宋体" w:eastAsia="宋体" w:cs="宋体"/>
                <w:color w:val="auto"/>
                <w:spacing w:val="-8"/>
                <w:szCs w:val="21"/>
                <w:highlight w:val="none"/>
              </w:rPr>
              <w:t xml:space="preserve">产品图纸</w:t>
            </w:r>
            <w:r>
              <w:rPr>
                <w:rFonts w:hint="eastAsia" w:ascii="宋体" w:hAnsi="宋体" w:eastAsia="宋体" w:cs="宋体"/>
                <w:color w:val="auto"/>
                <w:szCs w:val="21"/>
                <w:highlight w:val="none"/>
              </w:rPr>
              <w:t xml:space="preserve">或产品说明书</w:t>
            </w:r>
            <w:r>
              <w:rPr>
                <w:rFonts w:hint="eastAsia" w:ascii="宋体" w:hAnsi="宋体" w:eastAsia="宋体" w:cs="宋体"/>
                <w:color w:val="auto"/>
                <w:spacing w:val="-8"/>
                <w:szCs w:val="21"/>
                <w:highlight w:val="none"/>
              </w:rPr>
              <w:t xml:space="preserve">内</w:t>
            </w:r>
            <w:r>
              <w:rPr>
                <w:rFonts w:hint="eastAsia" w:ascii="宋体" w:hAnsi="宋体" w:eastAsia="宋体" w:cs="宋体"/>
                <w:color w:val="auto"/>
                <w:spacing w:val="-4"/>
                <w:szCs w:val="21"/>
                <w:highlight w:val="none"/>
              </w:rPr>
              <w:t xml:space="preserve">容完整、工艺技术方案全面完善、</w:t>
            </w:r>
            <w:r>
              <w:rPr>
                <w:rFonts w:hint="eastAsia" w:ascii="宋体" w:hAnsi="宋体" w:eastAsia="宋体" w:cs="宋体"/>
                <w:color w:val="auto"/>
                <w:spacing w:val="-5"/>
                <w:szCs w:val="21"/>
                <w:highlight w:val="none"/>
              </w:rPr>
              <w:t xml:space="preserve">科学合理、针对性强的得2分</w:t>
            </w:r>
            <w:r>
              <w:rPr>
                <w:rFonts w:hint="eastAsia" w:ascii="宋体" w:hAnsi="宋体" w:eastAsia="宋体" w:cs="宋体"/>
                <w:color w:val="auto"/>
                <w:spacing w:val="-4"/>
                <w:szCs w:val="21"/>
                <w:highlight w:val="none"/>
              </w:rPr>
              <w:t xml:space="preserve">；</w:t>
            </w:r>
            <w:r/>
          </w:p>
          <w:p>
            <w:pPr>
              <w:numPr>
                <w:ilvl w:val="0"/>
                <w:numId w:val="10"/>
              </w:numPr>
              <w:ind w:right="98"/>
              <w:rPr>
                <w:rFonts w:hint="eastAsia" w:ascii="宋体" w:hAnsi="宋体" w:eastAsia="宋体" w:cs="宋体"/>
                <w:color w:val="auto"/>
                <w:szCs w:val="21"/>
                <w:highlight w:val="none"/>
              </w:rPr>
            </w:pPr>
            <w:r>
              <w:rPr>
                <w:rFonts w:hint="eastAsia" w:ascii="宋体" w:hAnsi="宋体" w:eastAsia="宋体" w:cs="宋体"/>
                <w:color w:val="auto"/>
                <w:spacing w:val="-1"/>
                <w:szCs w:val="21"/>
                <w:highlight w:val="none"/>
              </w:rPr>
              <w:t xml:space="preserve">产品图纸</w:t>
            </w:r>
            <w:r>
              <w:rPr>
                <w:rFonts w:hint="eastAsia" w:ascii="宋体" w:hAnsi="宋体" w:eastAsia="宋体" w:cs="宋体"/>
                <w:color w:val="auto"/>
                <w:szCs w:val="21"/>
                <w:highlight w:val="none"/>
              </w:rPr>
              <w:t xml:space="preserve">或产品说明书</w:t>
            </w:r>
            <w:r>
              <w:rPr>
                <w:rFonts w:hint="eastAsia" w:ascii="宋体" w:hAnsi="宋体" w:eastAsia="宋体" w:cs="宋体"/>
                <w:color w:val="auto"/>
                <w:spacing w:val="-1"/>
                <w:szCs w:val="21"/>
                <w:highlight w:val="none"/>
              </w:rPr>
              <w:t xml:space="preserve">内容较完整、</w:t>
            </w:r>
            <w:r>
              <w:rPr>
                <w:rFonts w:hint="eastAsia" w:ascii="宋体" w:hAnsi="宋体" w:eastAsia="宋体" w:cs="宋体"/>
                <w:color w:val="auto"/>
                <w:szCs w:val="21"/>
                <w:highlight w:val="none"/>
              </w:rPr>
              <w:t xml:space="preserve">工艺技术方案较为</w:t>
            </w:r>
            <w:r>
              <w:rPr>
                <w:rFonts w:hint="eastAsia" w:ascii="宋体" w:hAnsi="宋体" w:eastAsia="宋体" w:cs="宋体"/>
                <w:color w:val="auto"/>
                <w:spacing w:val="-10"/>
                <w:szCs w:val="21"/>
                <w:highlight w:val="none"/>
              </w:rPr>
              <w:t xml:space="preserve">完善</w:t>
            </w:r>
            <w:r>
              <w:rPr>
                <w:rFonts w:hint="eastAsia" w:ascii="宋体" w:hAnsi="宋体" w:eastAsia="宋体" w:cs="宋体"/>
                <w:color w:val="auto"/>
                <w:spacing w:val="-5"/>
                <w:szCs w:val="21"/>
                <w:highlight w:val="none"/>
              </w:rPr>
              <w:t xml:space="preserve">、有合理性的得1分；</w:t>
            </w:r>
            <w:r/>
          </w:p>
          <w:p>
            <w:pPr>
              <w:numPr>
                <w:ilvl w:val="0"/>
                <w:numId w:val="10"/>
              </w:numPr>
              <w:ind w:right="98"/>
              <w:rPr>
                <w:rFonts w:hint="eastAsia" w:ascii="宋体" w:hAnsi="宋体" w:eastAsia="宋体" w:cs="宋体"/>
                <w:color w:val="auto"/>
                <w:szCs w:val="21"/>
                <w:highlight w:val="none"/>
              </w:rPr>
            </w:pPr>
            <w:r>
              <w:rPr>
                <w:rFonts w:hint="eastAsia" w:ascii="宋体" w:hAnsi="宋体" w:eastAsia="宋体" w:cs="宋体"/>
                <w:color w:val="auto"/>
                <w:spacing w:val="-5"/>
                <w:szCs w:val="21"/>
                <w:highlight w:val="none"/>
              </w:rPr>
              <w:t xml:space="preserve">产</w:t>
            </w:r>
            <w:r>
              <w:rPr>
                <w:rFonts w:hint="eastAsia" w:ascii="宋体" w:hAnsi="宋体" w:eastAsia="宋体" w:cs="宋体"/>
                <w:color w:val="auto"/>
                <w:spacing w:val="-4"/>
                <w:szCs w:val="21"/>
                <w:highlight w:val="none"/>
              </w:rPr>
              <w:t xml:space="preserve">品图纸</w:t>
            </w:r>
            <w:r>
              <w:rPr>
                <w:rFonts w:hint="eastAsia" w:ascii="宋体" w:hAnsi="宋体" w:eastAsia="宋体" w:cs="宋体"/>
                <w:color w:val="auto"/>
                <w:szCs w:val="21"/>
                <w:highlight w:val="none"/>
              </w:rPr>
              <w:t xml:space="preserve">或产品说明书</w:t>
            </w:r>
            <w:r>
              <w:rPr>
                <w:rFonts w:hint="eastAsia" w:ascii="宋体" w:hAnsi="宋体" w:eastAsia="宋体" w:cs="宋体"/>
                <w:color w:val="auto"/>
                <w:spacing w:val="-4"/>
                <w:szCs w:val="21"/>
                <w:highlight w:val="none"/>
              </w:rPr>
              <w:t xml:space="preserve">内容不够完整、工艺技术方案简</w:t>
            </w:r>
            <w:r>
              <w:rPr>
                <w:rFonts w:hint="eastAsia" w:ascii="宋体" w:hAnsi="宋体" w:eastAsia="宋体" w:cs="宋体"/>
                <w:color w:val="auto"/>
                <w:spacing w:val="-6"/>
                <w:szCs w:val="21"/>
                <w:highlight w:val="none"/>
              </w:rPr>
              <w:t xml:space="preserve">单、不够详</w:t>
            </w:r>
            <w:r>
              <w:rPr>
                <w:rFonts w:hint="eastAsia" w:ascii="宋体" w:hAnsi="宋体" w:eastAsia="宋体" w:cs="宋体"/>
                <w:color w:val="auto"/>
                <w:spacing w:val="-3"/>
                <w:szCs w:val="21"/>
                <w:highlight w:val="none"/>
              </w:rPr>
              <w:t xml:space="preserve">细、合理性不高的得0.5分；</w:t>
            </w:r>
            <w:r/>
          </w:p>
          <w:p>
            <w:pPr>
              <w:numPr>
                <w:ilvl w:val="0"/>
                <w:numId w:val="10"/>
              </w:numPr>
              <w:ind w:right="98"/>
              <w:rPr>
                <w:rFonts w:hint="eastAsia" w:ascii="宋体" w:hAnsi="宋体" w:eastAsia="宋体" w:cs="宋体"/>
                <w:color w:val="auto"/>
                <w:szCs w:val="21"/>
                <w:highlight w:val="none"/>
              </w:rPr>
            </w:pPr>
            <w:r>
              <w:rPr>
                <w:rFonts w:hint="eastAsia" w:ascii="宋体" w:hAnsi="宋体" w:eastAsia="宋体" w:cs="宋体"/>
                <w:color w:val="auto"/>
                <w:spacing w:val="-1"/>
                <w:szCs w:val="21"/>
                <w:highlight w:val="none"/>
              </w:rPr>
              <w:t xml:space="preserve">不提供的不得分。</w:t>
            </w:r>
            <w:r/>
          </w:p>
        </w:tc>
        <w:tc>
          <w:tcPr>
            <w:tcW w:w="5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10</w:t>
            </w:r>
            <w:r/>
          </w:p>
        </w:tc>
      </w:tr>
      <w:tr>
        <w:trPr>
          <w:jc w:val="center"/>
          <w:trHeight w:val="1567"/>
        </w:trPr>
        <w:tc>
          <w:tcPr>
            <w:tcW w:w="1113" w:type="dxa"/>
            <w:vAlign w:val="center"/>
            <w:vMerge w:val="continue"/>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407"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b/>
                <w:bCs/>
                <w:color w:val="auto"/>
                <w:spacing w:val="-4"/>
                <w:highlight w:val="none"/>
              </w:rPr>
              <w:t xml:space="preserve">▲</w:t>
            </w:r>
            <w:r>
              <w:rPr>
                <w:rFonts w:hint="eastAsia" w:ascii="宋体" w:hAnsi="宋体" w:eastAsia="宋体" w:cs="宋体"/>
                <w:b w:val="0"/>
                <w:bCs w:val="0"/>
                <w:color w:val="auto"/>
                <w:spacing w:val="-4"/>
                <w:highlight w:val="none"/>
                <w:lang w:val="en-US" w:eastAsia="zh-CN"/>
              </w:rPr>
              <w:t xml:space="preserve">8、</w:t>
            </w:r>
            <w:r>
              <w:rPr>
                <w:rFonts w:hint="eastAsia" w:ascii="宋体" w:hAnsi="宋体" w:eastAsia="宋体" w:cs="宋体"/>
                <w:b w:val="0"/>
                <w:bCs w:val="0"/>
                <w:color w:val="auto"/>
                <w:spacing w:val="-4"/>
                <w:highlight w:val="none"/>
              </w:rPr>
              <w:t xml:space="preserve">履</w:t>
            </w:r>
            <w:r>
              <w:rPr>
                <w:rFonts w:hint="eastAsia" w:ascii="宋体" w:hAnsi="宋体" w:eastAsia="宋体" w:cs="宋体"/>
                <w:b w:val="0"/>
                <w:bCs w:val="0"/>
                <w:color w:val="auto"/>
                <w:highlight w:val="none"/>
              </w:rPr>
              <w:t xml:space="preserve">约能力比较</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lang w:val="en-US" w:eastAsia="zh-CN"/>
              </w:rPr>
              <w:t xml:space="preserve">3分</w:t>
            </w:r>
            <w:r>
              <w:rPr>
                <w:rFonts w:hint="eastAsia" w:ascii="宋体" w:hAnsi="宋体" w:eastAsia="宋体" w:cs="宋体"/>
                <w:b w:val="0"/>
                <w:bCs w:val="0"/>
                <w:color w:val="auto"/>
                <w:highlight w:val="none"/>
                <w:lang w:eastAsia="zh-CN"/>
              </w:rPr>
              <w:t xml:space="preserve">）</w:t>
            </w:r>
            <w:r/>
          </w:p>
        </w:tc>
        <w:tc>
          <w:tcPr>
            <w:tcW w:w="7301" w:type="dxa"/>
            <w:textDirection w:val="lrTb"/>
            <w:noWrap w:val="false"/>
          </w:tcPr>
          <w:p>
            <w:pPr>
              <w:ind w:left="113" w:right="98" w:firstLine="2"/>
              <w:spacing w:before="79"/>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投标单位具有有效期内的质量管理体系认证证书、环境管理体系认证证书、职业健康安全管理体系认证证书，每提供一个得1分，最高得3分。</w:t>
            </w:r>
            <w:r/>
          </w:p>
          <w:p>
            <w:pPr>
              <w:rPr>
                <w:rFonts w:hint="eastAsia" w:ascii="宋体" w:hAnsi="宋体" w:eastAsia="宋体" w:cs="宋体"/>
                <w:color w:val="auto"/>
                <w:szCs w:val="21"/>
                <w:highlight w:val="none"/>
              </w:rPr>
            </w:pPr>
            <w:r>
              <w:rPr>
                <w:rFonts w:hint="eastAsia" w:ascii="宋体" w:hAnsi="宋体" w:eastAsia="宋体" w:cs="宋体"/>
                <w:color w:val="auto"/>
                <w:spacing w:val="-1"/>
                <w:szCs w:val="21"/>
                <w:highlight w:val="none"/>
              </w:rPr>
              <w:t xml:space="preserve">(注：</w:t>
            </w:r>
            <w:r>
              <w:rPr>
                <w:rFonts w:hint="eastAsia" w:ascii="宋体" w:hAnsi="宋体" w:eastAsia="宋体" w:cs="宋体"/>
                <w:b/>
                <w:color w:val="auto"/>
                <w:spacing w:val="-1"/>
                <w:szCs w:val="21"/>
                <w:highlight w:val="none"/>
              </w:rPr>
              <w:t xml:space="preserve">投标文件中须提供上述认证证书的扫描件，提供</w:t>
            </w:r>
            <w:r>
              <w:rPr>
                <w:rFonts w:hint="eastAsia" w:ascii="宋体" w:hAnsi="宋体" w:eastAsia="宋体" w:cs="宋体"/>
                <w:b/>
                <w:color w:val="auto"/>
                <w:szCs w:val="21"/>
                <w:highlight w:val="none"/>
              </w:rPr>
              <w:t xml:space="preserve">在中国国家</w:t>
            </w:r>
            <w:r>
              <w:rPr>
                <w:rFonts w:hint="eastAsia" w:ascii="宋体" w:hAnsi="宋体" w:eastAsia="宋体" w:cs="宋体"/>
                <w:b/>
                <w:color w:val="auto"/>
                <w:spacing w:val="-8"/>
                <w:szCs w:val="21"/>
                <w:highlight w:val="none"/>
              </w:rPr>
              <w:t xml:space="preserve">认</w:t>
            </w:r>
            <w:r>
              <w:rPr>
                <w:rFonts w:hint="eastAsia" w:ascii="宋体" w:hAnsi="宋体" w:eastAsia="宋体" w:cs="宋体"/>
                <w:b/>
                <w:color w:val="auto"/>
                <w:spacing w:val="-4"/>
                <w:szCs w:val="21"/>
                <w:highlight w:val="none"/>
              </w:rPr>
              <w:t xml:space="preserve">证认可监督管理委员会网站查询链接及完整的截图，链接及截图</w:t>
            </w:r>
            <w:r>
              <w:rPr>
                <w:rFonts w:hint="eastAsia" w:ascii="宋体" w:hAnsi="宋体" w:eastAsia="宋体" w:cs="宋体"/>
                <w:b/>
                <w:color w:val="auto"/>
                <w:szCs w:val="21"/>
                <w:highlight w:val="none"/>
              </w:rPr>
              <w:t xml:space="preserve">须清晰可辨，如模糊不清或不完整则不得分。</w:t>
            </w:r>
            <w:r>
              <w:rPr>
                <w:rFonts w:hint="eastAsia" w:ascii="宋体" w:hAnsi="宋体" w:eastAsia="宋体" w:cs="宋体"/>
                <w:color w:val="auto"/>
                <w:szCs w:val="21"/>
                <w:highlight w:val="none"/>
              </w:rPr>
              <w:t xml:space="preserve">)</w:t>
            </w:r>
            <w:r/>
          </w:p>
        </w:tc>
        <w:tc>
          <w:tcPr>
            <w:tcW w:w="54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3</w:t>
            </w:r>
            <w:r/>
          </w:p>
        </w:tc>
      </w:tr>
      <w:tr>
        <w:trPr>
          <w:jc w:val="center"/>
          <w:trHeight w:val="1267"/>
        </w:trPr>
        <w:tc>
          <w:tcPr>
            <w:tcW w:w="1113"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407" w:type="dxa"/>
            <w:vAlign w:val="center"/>
            <w:textDirection w:val="lrTb"/>
            <w:noWrap w:val="false"/>
          </w:tcPr>
          <w:p>
            <w:pPr>
              <w:jc w:val="center"/>
              <w:rPr>
                <w:rFonts w:hint="eastAsia" w:ascii="宋体" w:hAnsi="宋体" w:eastAsia="宋体" w:cs="宋体"/>
                <w:b w:val="0"/>
                <w:bCs w:val="0"/>
                <w:color w:val="auto"/>
                <w:spacing w:val="-4"/>
                <w:highlight w:val="none"/>
                <w:lang w:val="en-US" w:eastAsia="zh-CN"/>
              </w:rPr>
            </w:pPr>
            <w:r>
              <w:rPr>
                <w:rFonts w:hint="eastAsia" w:ascii="宋体" w:hAnsi="宋体" w:eastAsia="宋体" w:cs="宋体"/>
                <w:b/>
                <w:bCs/>
                <w:color w:val="auto"/>
                <w:spacing w:val="-4"/>
                <w:highlight w:val="none"/>
              </w:rPr>
              <w:t xml:space="preserve">▲</w:t>
            </w:r>
            <w:r>
              <w:rPr>
                <w:rFonts w:hint="eastAsia" w:ascii="宋体" w:hAnsi="宋体" w:eastAsia="宋体" w:cs="宋体"/>
                <w:b w:val="0"/>
                <w:bCs w:val="0"/>
                <w:color w:val="auto"/>
                <w:spacing w:val="-4"/>
                <w:highlight w:val="none"/>
                <w:lang w:val="en-US" w:eastAsia="zh-CN"/>
              </w:rPr>
              <w:t xml:space="preserve">9、类似</w:t>
            </w:r>
            <w:r/>
          </w:p>
          <w:p>
            <w:pPr>
              <w:jc w:val="center"/>
              <w:rPr>
                <w:rFonts w:hint="default" w:ascii="宋体" w:hAnsi="宋体" w:eastAsia="宋体" w:cs="宋体"/>
                <w:b/>
                <w:bCs/>
                <w:color w:val="auto"/>
                <w:spacing w:val="-4"/>
                <w:highlight w:val="none"/>
                <w:lang w:val="en-US" w:eastAsia="zh-CN"/>
              </w:rPr>
            </w:pPr>
            <w:r>
              <w:rPr>
                <w:rFonts w:hint="eastAsia" w:ascii="宋体" w:hAnsi="宋体" w:eastAsia="宋体" w:cs="宋体"/>
                <w:b w:val="0"/>
                <w:bCs w:val="0"/>
                <w:color w:val="auto"/>
                <w:spacing w:val="-4"/>
                <w:highlight w:val="none"/>
                <w:lang w:val="en-US" w:eastAsia="zh-CN"/>
              </w:rPr>
              <w:t xml:space="preserve">业绩（4分）</w:t>
            </w:r>
            <w:r/>
          </w:p>
        </w:tc>
        <w:tc>
          <w:tcPr>
            <w:tcW w:w="7301" w:type="dxa"/>
            <w:textDirection w:val="lrTb"/>
            <w:noWrap w:val="false"/>
          </w:tcPr>
          <w:p>
            <w:pPr>
              <w:rPr>
                <w:rFonts w:hint="eastAsia" w:ascii="宋体" w:hAnsi="宋体" w:eastAsia="宋体" w:cs="宋体"/>
                <w:color w:val="auto"/>
                <w:spacing w:val="-1"/>
                <w:szCs w:val="21"/>
                <w:highlight w:val="none"/>
              </w:rPr>
            </w:pPr>
            <w:r>
              <w:rPr>
                <w:rFonts w:hint="eastAsia" w:cs="宋体" w:asciiTheme="minorEastAsia" w:hAnsiTheme="minorEastAsia" w:eastAsiaTheme="minorEastAsia"/>
                <w:color w:val="auto"/>
                <w:sz w:val="21"/>
                <w:szCs w:val="21"/>
                <w:highlight w:val="none"/>
              </w:rPr>
              <w:t xml:space="preserve">投标人近三年(202</w:t>
            </w:r>
            <w:r>
              <w:rPr>
                <w:rFonts w:hint="eastAsia" w:cs="宋体" w:asciiTheme="minorEastAsia" w:hAnsiTheme="minorEastAsia"/>
                <w:color w:val="auto"/>
                <w:sz w:val="21"/>
                <w:szCs w:val="21"/>
                <w:highlight w:val="none"/>
                <w:lang w:val="en-US" w:eastAsia="zh-CN"/>
              </w:rPr>
              <w:t xml:space="preserve">3</w:t>
            </w:r>
            <w:r>
              <w:rPr>
                <w:rFonts w:hint="eastAsia" w:cs="宋体" w:asciiTheme="minorEastAsia" w:hAnsiTheme="minorEastAsia" w:eastAsiaTheme="minorEastAsia"/>
                <w:color w:val="auto"/>
                <w:sz w:val="21"/>
                <w:szCs w:val="21"/>
                <w:highlight w:val="none"/>
              </w:rPr>
              <w:t xml:space="preserve">年</w:t>
            </w:r>
            <w:r>
              <w:rPr>
                <w:rFonts w:hint="eastAsia" w:cs="宋体" w:asciiTheme="minorEastAsia" w:hAnsi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月</w:t>
            </w:r>
            <w:r>
              <w:rPr>
                <w:rFonts w:hint="eastAsia" w:cs="宋体" w:asciiTheme="minorEastAsia" w:hAnsiTheme="minorEastAsia"/>
                <w:color w:val="auto"/>
                <w:sz w:val="21"/>
                <w:szCs w:val="21"/>
                <w:highlight w:val="none"/>
                <w:lang w:val="en-US" w:eastAsia="zh-CN"/>
              </w:rPr>
              <w:t xml:space="preserve">1</w:t>
            </w:r>
            <w:r>
              <w:rPr>
                <w:rFonts w:hint="eastAsia" w:cs="宋体" w:asciiTheme="minorEastAsia" w:hAnsiTheme="minorEastAsia" w:eastAsiaTheme="minorEastAsia"/>
                <w:color w:val="auto"/>
                <w:sz w:val="21"/>
                <w:szCs w:val="21"/>
                <w:highlight w:val="none"/>
              </w:rPr>
              <w:t xml:space="preserve">日)以来具有类似项目业绩</w:t>
            </w:r>
            <w:r>
              <w:rPr>
                <w:rFonts w:hint="eastAsia" w:cs="宋体" w:asciiTheme="minorEastAsia" w:hAnsiTheme="minorEastAsia"/>
                <w:color w:val="auto"/>
                <w:sz w:val="21"/>
                <w:szCs w:val="21"/>
                <w:highlight w:val="none"/>
                <w:lang w:eastAsia="zh-CN"/>
              </w:rPr>
              <w:t xml:space="preserve">，</w:t>
            </w:r>
            <w:r>
              <w:rPr>
                <w:rFonts w:hint="eastAsia" w:cs="宋体" w:asciiTheme="minorEastAsia" w:hAnsiTheme="minorEastAsia" w:eastAsiaTheme="minorEastAsia"/>
                <w:color w:val="auto"/>
                <w:sz w:val="21"/>
                <w:szCs w:val="21"/>
                <w:highlight w:val="none"/>
              </w:rPr>
              <w:t xml:space="preserve">提供合同</w:t>
            </w:r>
            <w:r>
              <w:rPr>
                <w:rFonts w:hint="eastAsia" w:cs="宋体" w:asciiTheme="minorEastAsia" w:hAnsiTheme="minorEastAsia"/>
                <w:color w:val="auto"/>
                <w:sz w:val="21"/>
                <w:szCs w:val="21"/>
                <w:highlight w:val="none"/>
                <w:lang w:val="en-US" w:eastAsia="zh-CN"/>
              </w:rPr>
              <w:t xml:space="preserve">扫描件</w:t>
            </w:r>
            <w:r>
              <w:rPr>
                <w:rFonts w:hint="eastAsia" w:cs="宋体" w:asciiTheme="minorEastAsia" w:hAnsiTheme="minorEastAsia" w:eastAsiaTheme="minorEastAsia"/>
                <w:color w:val="auto"/>
                <w:sz w:val="21"/>
                <w:szCs w:val="21"/>
                <w:highlight w:val="none"/>
              </w:rPr>
              <w:t xml:space="preserve">及</w:t>
            </w:r>
            <w:r>
              <w:rPr>
                <w:rFonts w:hint="eastAsia" w:cs="宋体" w:asciiTheme="minorEastAsia" w:hAnsiTheme="minorEastAsia"/>
                <w:color w:val="auto"/>
                <w:sz w:val="21"/>
                <w:szCs w:val="21"/>
                <w:highlight w:val="none"/>
                <w:lang w:val="en-US" w:eastAsia="zh-CN"/>
              </w:rPr>
              <w:t xml:space="preserve">任一期</w:t>
            </w:r>
            <w:r>
              <w:rPr>
                <w:rFonts w:hint="eastAsia" w:cs="宋体" w:asciiTheme="minorEastAsia" w:hAnsiTheme="minorEastAsia" w:eastAsiaTheme="minorEastAsia"/>
                <w:color w:val="auto"/>
                <w:sz w:val="21"/>
                <w:szCs w:val="21"/>
                <w:highlight w:val="none"/>
              </w:rPr>
              <w:t xml:space="preserve">的销售发票</w:t>
            </w:r>
            <w:r>
              <w:rPr>
                <w:rFonts w:hint="eastAsia" w:cs="宋体" w:asciiTheme="minorEastAsia" w:hAnsiTheme="minorEastAsia"/>
                <w:color w:val="auto"/>
                <w:sz w:val="21"/>
                <w:szCs w:val="21"/>
                <w:highlight w:val="none"/>
                <w:lang w:val="en-US" w:eastAsia="zh-CN"/>
              </w:rPr>
              <w:t xml:space="preserve">扫描件</w:t>
            </w:r>
            <w:r>
              <w:rPr>
                <w:rFonts w:hint="eastAsia" w:cs="宋体" w:asciiTheme="minorEastAsia" w:hAnsiTheme="minorEastAsia" w:eastAsiaTheme="minorEastAsia"/>
                <w:color w:val="auto"/>
                <w:sz w:val="21"/>
                <w:szCs w:val="21"/>
                <w:highlight w:val="none"/>
              </w:rPr>
              <w:t xml:space="preserve">，提供一个得</w:t>
            </w:r>
            <w:r>
              <w:rPr>
                <w:rFonts w:hint="eastAsia" w:cs="宋体" w:asciiTheme="minorEastAsia" w:hAnsiTheme="minorEastAsia"/>
                <w:color w:val="auto"/>
                <w:sz w:val="21"/>
                <w:szCs w:val="21"/>
                <w:highlight w:val="none"/>
                <w:lang w:val="en-US" w:eastAsia="zh-CN"/>
              </w:rPr>
              <w:t xml:space="preserve">2</w:t>
            </w:r>
            <w:r>
              <w:rPr>
                <w:rFonts w:hint="eastAsia" w:cs="宋体" w:asciiTheme="minorEastAsia" w:hAnsiTheme="minorEastAsia" w:eastAsiaTheme="minorEastAsia"/>
                <w:color w:val="auto"/>
                <w:sz w:val="21"/>
                <w:szCs w:val="21"/>
                <w:highlight w:val="none"/>
              </w:rPr>
              <w:t xml:space="preserve">分，</w:t>
            </w:r>
            <w:r>
              <w:rPr>
                <w:rFonts w:hint="eastAsia" w:cs="宋体" w:asciiTheme="minorEastAsia" w:hAnsiTheme="minorEastAsia"/>
                <w:color w:val="auto"/>
                <w:sz w:val="21"/>
                <w:szCs w:val="21"/>
                <w:highlight w:val="none"/>
                <w:lang w:val="en-US" w:eastAsia="zh-CN"/>
              </w:rPr>
              <w:t xml:space="preserve">本项最高得4</w:t>
            </w:r>
            <w:r>
              <w:rPr>
                <w:rFonts w:hint="eastAsia" w:cs="宋体" w:asciiTheme="minorEastAsia" w:hAnsiTheme="minorEastAsia" w:eastAsiaTheme="minorEastAsia"/>
                <w:color w:val="auto"/>
                <w:sz w:val="21"/>
                <w:szCs w:val="21"/>
                <w:highlight w:val="none"/>
              </w:rPr>
              <w:t xml:space="preserve">分，</w:t>
            </w:r>
            <w:r>
              <w:rPr>
                <w:rFonts w:hint="eastAsia" w:cs="宋体" w:asciiTheme="minorEastAsia" w:hAnsiTheme="minorEastAsia" w:eastAsiaTheme="minorEastAsia"/>
                <w:color w:val="auto"/>
                <w:sz w:val="21"/>
                <w:szCs w:val="21"/>
                <w:highlight w:val="none"/>
                <w:lang w:val="zh-CN"/>
              </w:rPr>
              <w:t xml:space="preserve">未提供不得分</w:t>
            </w:r>
            <w:r>
              <w:rPr>
                <w:rFonts w:hint="eastAsia" w:cs="宋体" w:asciiTheme="minorEastAsia" w:hAnsiTheme="minorEastAsia"/>
                <w:color w:val="auto"/>
                <w:sz w:val="21"/>
                <w:szCs w:val="21"/>
                <w:highlight w:val="none"/>
                <w:lang w:val="zh-CN"/>
              </w:rPr>
              <w:t xml:space="preserve">，</w:t>
            </w:r>
            <w:r>
              <w:rPr>
                <w:rFonts w:hint="eastAsia" w:cs="宋体" w:asciiTheme="minorEastAsia" w:hAnsiTheme="minorEastAsia"/>
                <w:color w:val="auto"/>
                <w:sz w:val="21"/>
                <w:szCs w:val="21"/>
                <w:highlight w:val="none"/>
                <w:lang w:val="en-US" w:eastAsia="zh-CN"/>
              </w:rPr>
              <w:t xml:space="preserve">时间以合同签订时间为准</w:t>
            </w:r>
            <w:r>
              <w:rPr>
                <w:rFonts w:hint="eastAsia" w:cs="宋体" w:asciiTheme="minorEastAsia" w:hAnsiTheme="minorEastAsia" w:eastAsiaTheme="minorEastAsia"/>
                <w:color w:val="auto"/>
                <w:sz w:val="21"/>
                <w:szCs w:val="21"/>
                <w:highlight w:val="none"/>
              </w:rPr>
              <w:t xml:space="preserve">。</w:t>
            </w:r>
            <w:r/>
          </w:p>
        </w:tc>
        <w:tc>
          <w:tcPr>
            <w:tcW w:w="540"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r>
    </w:tbl>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备注：1、打“</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”项目为客观分。</w:t>
      </w:r>
      <w:r/>
    </w:p>
    <w:p>
      <w:pPr>
        <w:numPr>
          <w:ilvl w:val="0"/>
          <w:numId w:val="11"/>
        </w:num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针对评分标准中评分的每一条，投标单位在投标文件中均应提供相关资料并作出相应说明供评委评判，不提供相关资料，</w:t>
      </w:r>
      <w:r>
        <w:rPr>
          <w:rFonts w:hint="eastAsia" w:ascii="宋体" w:hAnsi="宋体" w:eastAsia="宋体" w:cs="宋体"/>
          <w:b/>
          <w:bCs/>
          <w:color w:val="auto"/>
          <w:sz w:val="24"/>
          <w:szCs w:val="24"/>
          <w:highlight w:val="none"/>
        </w:rPr>
        <w:t xml:space="preserve">提供的材料不全、不符、说明不清晰或不提供的,</w:t>
      </w:r>
      <w:r>
        <w:rPr>
          <w:rFonts w:hint="eastAsia" w:ascii="宋体" w:hAnsi="宋体" w:eastAsia="宋体" w:cs="宋体"/>
          <w:b/>
          <w:color w:val="auto"/>
          <w:sz w:val="24"/>
          <w:szCs w:val="24"/>
          <w:highlight w:val="none"/>
        </w:rPr>
        <w:t xml:space="preserve">视为不具备该项得分的条件。</w:t>
      </w:r>
      <w:r/>
    </w:p>
    <w:p>
      <w:pPr>
        <w:numPr>
          <w:ilvl w:val="0"/>
          <w:numId w:val="11"/>
        </w:num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提供的各种证书、资质必须在有效期内，否则不得分。</w:t>
      </w:r>
      <w:r/>
    </w:p>
    <w:p>
      <w:pPr>
        <w:numPr>
          <w:ilvl w:val="0"/>
          <w:numId w:val="11"/>
        </w:numPr>
        <w:ind w:left="0"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付款方式、</w:t>
      </w:r>
      <w:r>
        <w:rPr>
          <w:rFonts w:hint="eastAsia" w:ascii="宋体" w:hAnsi="宋体" w:eastAsia="宋体" w:cs="宋体"/>
          <w:color w:val="auto"/>
          <w:sz w:val="24"/>
          <w:szCs w:val="24"/>
          <w:highlight w:val="none"/>
          <w:lang w:val="en-US" w:eastAsia="zh-CN"/>
        </w:rPr>
        <w:t xml:space="preserve">合同履行期限</w:t>
      </w:r>
      <w:r>
        <w:rPr>
          <w:rFonts w:hint="eastAsia" w:ascii="宋体" w:hAnsi="宋体" w:eastAsia="宋体" w:cs="宋体"/>
          <w:color w:val="auto"/>
          <w:sz w:val="24"/>
          <w:szCs w:val="24"/>
          <w:highlight w:val="none"/>
          <w:lang w:val="zh-CN"/>
        </w:rPr>
        <w:t xml:space="preserve">如有负偏离的不得</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zh-CN"/>
        </w:rPr>
        <w:t xml:space="preserve">。</w:t>
      </w:r>
      <w:r/>
    </w:p>
    <w:p>
      <w:pPr>
        <w:ind w:firstLine="482"/>
        <w:keepLines w:val="0"/>
        <w:keepNext w:val="0"/>
        <w:pageBreakBefore w:val="0"/>
        <w:spacing w:line="360" w:lineRule="auto"/>
        <w:widowControl/>
        <w:rPr>
          <w:rFonts w:hint="eastAsia" w:ascii="宋体" w:hAnsi="宋体" w:eastAsia="宋体" w:cs="宋体"/>
          <w:color w:val="auto"/>
          <w:sz w:val="24"/>
          <w:szCs w:val="24"/>
          <w:highlight w:val="none"/>
        </w:rPr>
        <w:outlineLvl w:val="1"/>
      </w:pPr>
      <w:r>
        <w:rPr>
          <w:rFonts w:hint="eastAsia" w:ascii="宋体" w:hAnsi="宋体" w:eastAsia="宋体" w:cs="宋体"/>
          <w:b/>
          <w:bCs/>
          <w:color w:val="auto"/>
          <w:sz w:val="24"/>
          <w:szCs w:val="24"/>
          <w:highlight w:val="none"/>
        </w:rPr>
        <w:t xml:space="preserve">三、政府采购政策：</w:t>
      </w:r>
      <w:r/>
    </w:p>
    <w:p>
      <w:pPr>
        <w:ind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、针对小微企业、监狱企业及残疾人企业的评审：</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1、本项目属于专门面向中小企业的项目。</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2、本项目采购标的对应的中小企业划分标准所属行业为</w:t>
      </w:r>
      <w:r>
        <w:rPr>
          <w:rFonts w:hint="eastAsia" w:ascii="宋体" w:hAnsi="宋体" w:eastAsia="宋体" w:cs="宋体"/>
          <w:b/>
          <w:bCs/>
          <w:color w:val="auto"/>
          <w:sz w:val="24"/>
          <w:szCs w:val="24"/>
          <w:highlight w:val="none"/>
          <w:lang w:val="en-US" w:eastAsia="zh-CN"/>
        </w:rPr>
        <w:t xml:space="preserve">工业</w:t>
      </w:r>
      <w:r>
        <w:rPr>
          <w:rFonts w:hint="eastAsia" w:ascii="宋体" w:hAnsi="宋体" w:eastAsia="宋体" w:cs="宋体"/>
          <w:color w:val="auto"/>
          <w:sz w:val="24"/>
          <w:szCs w:val="24"/>
          <w:highlight w:val="none"/>
        </w:rPr>
        <w:t xml:space="preserve">，承接服务的供应商应为中小微企业、监狱企业、残疾人福利性单位。</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4、中小企业参加政府采购活动，应当出具《政府采购促进中小企业发展管理办法》附件规定《中小企业声明函》，否则不得享受相关中小企业扶持政策。</w:t>
      </w:r>
      <w:r>
        <w:rPr>
          <w:rFonts w:hint="eastAsia" w:ascii="宋体" w:hAnsi="宋体" w:eastAsia="宋体" w:cs="宋体"/>
          <w:b/>
          <w:bCs w:val="0"/>
          <w:color w:val="auto"/>
          <w:sz w:val="24"/>
          <w:szCs w:val="24"/>
          <w:highlight w:val="none"/>
          <w:u w:val="single"/>
          <w:lang w:val="en-US" w:eastAsia="zh-CN"/>
        </w:rPr>
        <w:t xml:space="preserve">请按本项目采购清单顺序填写，每一项均需</w:t>
      </w:r>
      <w:r>
        <w:rPr>
          <w:rFonts w:hint="eastAsia" w:ascii="宋体" w:hAnsi="宋体" w:eastAsia="宋体" w:cs="宋体"/>
          <w:b/>
          <w:bCs w:val="0"/>
          <w:color w:val="auto"/>
          <w:sz w:val="24"/>
          <w:szCs w:val="24"/>
          <w:highlight w:val="none"/>
          <w:u w:val="single"/>
        </w:rPr>
        <w:t xml:space="preserve">单列</w:t>
      </w:r>
      <w:r>
        <w:rPr>
          <w:rFonts w:hint="eastAsia" w:ascii="宋体" w:hAnsi="宋体" w:eastAsia="宋体" w:cs="宋体"/>
          <w:b/>
          <w:bCs w:val="0"/>
          <w:color w:val="auto"/>
          <w:sz w:val="24"/>
          <w:szCs w:val="24"/>
          <w:highlight w:val="none"/>
          <w:u w:val="single"/>
          <w:lang w:val="en-US" w:eastAsia="zh-CN"/>
        </w:rPr>
        <w:t xml:space="preserve">填写，否则</w:t>
      </w:r>
      <w:r>
        <w:rPr>
          <w:rFonts w:hint="eastAsia" w:ascii="宋体" w:hAnsi="宋体" w:eastAsia="宋体" w:cs="宋体"/>
          <w:b/>
          <w:bCs w:val="0"/>
          <w:color w:val="auto"/>
          <w:sz w:val="24"/>
          <w:szCs w:val="24"/>
          <w:highlight w:val="none"/>
          <w:u w:val="single"/>
          <w:lang w:val="zh-CN"/>
        </w:rPr>
        <w:t xml:space="preserve">视为未提供中小企业声明函。</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6、若供应商提供的《中小企业声明函》为虚假声明则视同提供虚假材料，按政府采购相关规定处理并报请政府监管部门给予行政处罚。</w:t>
      </w:r>
      <w:r/>
    </w:p>
    <w:p>
      <w:pPr>
        <w:ind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残疾人福利性单位</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82"/>
        <w:keepLines w:val="0"/>
        <w:keepNext w:val="0"/>
        <w:pageBreakBefore w:val="0"/>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监狱企业</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ind w:firstLine="480"/>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绿色采购</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1、本次采购产品中</w:t>
      </w:r>
      <w:r>
        <w:rPr>
          <w:rFonts w:hint="eastAsia" w:ascii="宋体" w:hAnsi="宋体" w:eastAsia="宋体" w:cs="宋体"/>
          <w:b/>
          <w:bCs/>
          <w:color w:val="auto"/>
          <w:sz w:val="24"/>
          <w:szCs w:val="24"/>
          <w:highlight w:val="none"/>
          <w:lang w:val="en-US" w:eastAsia="zh-CN"/>
        </w:rPr>
        <w:t xml:space="preserve">龙头（水嘴）、挂墙式电热水器</w:t>
      </w:r>
      <w:r>
        <w:rPr>
          <w:rFonts w:hint="eastAsia" w:ascii="宋体" w:hAnsi="宋体" w:eastAsia="宋体" w:cs="宋体"/>
          <w:color w:val="auto"/>
          <w:sz w:val="24"/>
          <w:szCs w:val="24"/>
          <w:highlight w:val="none"/>
          <w:lang w:val="en-US" w:eastAsia="zh-CN"/>
        </w:rPr>
        <w:t xml:space="preserve">属于《节能产品政府采购品目清单》范围内的强制采购产品，响应文件中须提供认证机构出具的、处于有效期之内的节能（节水）产品认证证书，</w:t>
      </w:r>
      <w:r>
        <w:rPr>
          <w:rFonts w:hint="eastAsia" w:ascii="宋体" w:hAnsi="宋体" w:eastAsia="宋体" w:cs="宋体"/>
          <w:b/>
          <w:bCs/>
          <w:color w:val="auto"/>
          <w:sz w:val="24"/>
          <w:szCs w:val="24"/>
          <w:highlight w:val="none"/>
          <w:lang w:val="en-US" w:eastAsia="zh-CN"/>
        </w:rPr>
        <w:t xml:space="preserve">否则视为未实质性响应。</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2、本次采购产品中</w:t>
      </w:r>
      <w:r>
        <w:rPr>
          <w:rFonts w:hint="eastAsia" w:ascii="宋体" w:hAnsi="宋体" w:eastAsia="宋体" w:cs="宋体"/>
          <w:b/>
          <w:bCs/>
          <w:color w:val="auto"/>
          <w:sz w:val="24"/>
          <w:szCs w:val="24"/>
          <w:highlight w:val="none"/>
          <w:lang w:val="en-US" w:eastAsia="zh-CN"/>
        </w:rPr>
        <w:t xml:space="preserve"> 商用燃气灶具</w:t>
      </w:r>
      <w:r>
        <w:rPr>
          <w:rFonts w:hint="eastAsia" w:ascii="宋体" w:hAnsi="宋体" w:eastAsia="宋体" w:cs="宋体"/>
          <w:color w:val="auto"/>
          <w:sz w:val="24"/>
          <w:szCs w:val="24"/>
          <w:highlight w:val="none"/>
          <w:lang w:val="en-US" w:eastAsia="zh-CN"/>
        </w:rPr>
        <w:t xml:space="preserve"> 属于《节能产品政府采购品目清单》范围内优先采购的产品，本次采购产品中 </w:t>
      </w:r>
      <w:r>
        <w:rPr>
          <w:rFonts w:hint="eastAsia" w:ascii="宋体" w:hAnsi="宋体" w:eastAsia="宋体" w:cs="宋体"/>
          <w:b/>
          <w:bCs/>
          <w:color w:val="auto"/>
          <w:sz w:val="24"/>
          <w:szCs w:val="24"/>
          <w:highlight w:val="none"/>
          <w:lang w:val="en-US" w:eastAsia="zh-CN"/>
        </w:rPr>
        <w:t xml:space="preserve">龙头（水嘴）、水池、塑料制品</w:t>
      </w:r>
      <w:r>
        <w:rPr>
          <w:rFonts w:hint="eastAsia" w:ascii="宋体" w:hAnsi="宋体" w:eastAsia="宋体" w:cs="宋体"/>
          <w:color w:val="auto"/>
          <w:sz w:val="24"/>
          <w:szCs w:val="24"/>
          <w:highlight w:val="none"/>
          <w:lang w:val="en-US" w:eastAsia="zh-CN"/>
        </w:rPr>
        <w:t xml:space="preserve"> 属于《环境标志产品政府采购品目清单》范围内优先采购的产品，各响应单位可提供由国家确定的认证机构出具的、处于有效期之内的节能（节水）产品、环境标志产品认证证书。在评审价格相同情况下，提供证书更多的响应单位优先中标。</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5、实施本国产品标准及相关政策</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5.1</w:t>
      </w:r>
      <w:r>
        <w:rPr>
          <w:rFonts w:hint="eastAsia" w:ascii="宋体" w:hAnsi="宋体" w:eastAsia="宋体" w:cs="宋体"/>
          <w:b/>
          <w:bCs/>
          <w:color w:val="auto"/>
          <w:sz w:val="24"/>
          <w:szCs w:val="24"/>
          <w:highlight w:val="none"/>
        </w:rPr>
        <w:t xml:space="preserve">根据《国务院办公厅关于在政府采购中实施本国产品标准及相关政策的通知》（国办发（2025）34号）的规定，本项目对采购本国产品给予政策支持。</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5.3</w:t>
      </w:r>
      <w:r>
        <w:rPr>
          <w:rFonts w:hint="eastAsia" w:ascii="宋体" w:hAnsi="宋体" w:eastAsia="宋体" w:cs="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投标文件格式”的“投标报价明细表”中填写比例数值），依法对该供应商提供的全部产品给予价格评审优惠，即对该供应商提供的全部产品的总报价给予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rPr>
          <w:rFonts w:hint="eastAsia" w:ascii="宋体" w:hAnsi="宋体" w:eastAsia="宋体" w:cs="宋体"/>
          <w:b/>
          <w:bCs/>
          <w:color w:val="auto"/>
          <w:sz w:val="24"/>
          <w:szCs w:val="24"/>
          <w:highlight w:val="none"/>
        </w:rPr>
        <w:t xml:space="preserve">供应商未填写比例数值，或比例数值未达到</w:t>
      </w:r>
      <w:r>
        <w:rPr>
          <w:rFonts w:hint="eastAsia" w:ascii="宋体" w:hAnsi="宋体" w:eastAsia="宋体" w:cs="宋体"/>
          <w:b/>
          <w:bCs/>
          <w:color w:val="auto"/>
          <w:sz w:val="24"/>
          <w:szCs w:val="24"/>
          <w:highlight w:val="none"/>
          <w:u w:val="single"/>
        </w:rPr>
        <w:t xml:space="preserve">80%</w:t>
      </w:r>
      <w:r>
        <w:rPr>
          <w:rFonts w:hint="eastAsia" w:ascii="宋体" w:hAnsi="宋体" w:eastAsia="宋体" w:cs="宋体"/>
          <w:b/>
          <w:bCs/>
          <w:color w:val="auto"/>
          <w:sz w:val="24"/>
          <w:szCs w:val="24"/>
          <w:highlight w:val="none"/>
        </w:rPr>
        <w:t xml:space="preserve">的，</w:t>
      </w:r>
      <w:r>
        <w:rPr>
          <w:rFonts w:hint="eastAsia" w:ascii="宋体" w:hAnsi="宋体" w:eastAsia="宋体" w:cs="宋体"/>
          <w:b/>
          <w:color w:val="auto"/>
          <w:sz w:val="24"/>
          <w:szCs w:val="24"/>
          <w:highlight w:val="none"/>
        </w:rPr>
        <w:t xml:space="preserve">将不享受本国产品价格评审优惠。</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供应商需按照招标文件的要求提供《关于符合本国产品标准的声明函》（以下简称《声明函》）或财政部会同有关部门规定的有关证明文件的，</w:t>
      </w:r>
      <w:r>
        <w:rPr>
          <w:rFonts w:hint="eastAsia" w:ascii="宋体" w:hAnsi="宋体" w:eastAsia="宋体" w:cs="宋体"/>
          <w:b/>
          <w:color w:val="auto"/>
          <w:sz w:val="24"/>
          <w:szCs w:val="24"/>
          <w:highlight w:val="none"/>
        </w:rPr>
        <w:t xml:space="preserve">如不提供或提供不符要求的将不享受本国产品价格评审优惠。</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5.6</w:t>
      </w:r>
      <w:r>
        <w:rPr>
          <w:rFonts w:hint="eastAsia" w:ascii="宋体" w:hAnsi="宋体" w:eastAsia="宋体" w:cs="宋体"/>
          <w:color w:val="auto"/>
          <w:sz w:val="24"/>
          <w:szCs w:val="24"/>
          <w:highlight w:val="none"/>
        </w:rPr>
        <w:t xml:space="preserve">供应商需在《声明函》中逐一</w:t>
      </w:r>
      <w:r>
        <w:rPr>
          <w:rFonts w:hint="eastAsia" w:ascii="宋体" w:hAnsi="宋体" w:eastAsia="宋体" w:cs="宋体"/>
          <w:b w:val="0"/>
          <w:bCs w:val="0"/>
          <w:color w:val="auto"/>
          <w:sz w:val="24"/>
          <w:szCs w:val="24"/>
          <w:highlight w:val="none"/>
          <w:lang w:val="en-US" w:eastAsia="zh-CN"/>
        </w:rPr>
        <w:t xml:space="preserve">单列</w:t>
      </w:r>
      <w:r>
        <w:rPr>
          <w:rFonts w:hint="eastAsia" w:ascii="宋体" w:hAnsi="宋体" w:eastAsia="宋体" w:cs="宋体"/>
          <w:color w:val="auto"/>
          <w:sz w:val="24"/>
          <w:szCs w:val="24"/>
          <w:highlight w:val="none"/>
        </w:rPr>
        <w:t xml:space="preserve">、准确填写产品名称、厂名、生产厂址三项信息（《声明函》中用斜线划除的地方无需填写），</w:t>
      </w:r>
      <w:r>
        <w:rPr>
          <w:rFonts w:hint="eastAsia" w:ascii="宋体" w:hAnsi="宋体" w:eastAsia="宋体" w:cs="宋体"/>
          <w:b/>
          <w:color w:val="auto"/>
          <w:sz w:val="24"/>
          <w:szCs w:val="24"/>
          <w:highlight w:val="none"/>
        </w:rPr>
        <w:t xml:space="preserve">三项信息中任意一项未填写的视为该项产品不符合本国产品标准，不享受本国产品价格评审优惠。</w:t>
      </w:r>
      <w:r/>
    </w:p>
    <w:p>
      <w:pPr>
        <w:ind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5.7</w:t>
      </w:r>
      <w:r>
        <w:rPr>
          <w:rFonts w:hint="eastAsia" w:ascii="宋体" w:hAnsi="宋体" w:eastAsia="宋体" w:cs="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b/>
          <w:color w:val="auto"/>
          <w:sz w:val="24"/>
          <w:szCs w:val="24"/>
          <w:highlight w:val="none"/>
        </w:rPr>
        <w:t xml:space="preserve">供应商提供的相关产品视为不符合本国产品标准。</w:t>
      </w:r>
      <w:r/>
    </w:p>
    <w:p>
      <w:pPr>
        <w:ind w:right="480"/>
        <w:jc w:val="right"/>
        <w:spacing w:line="360" w:lineRule="auto"/>
        <w:rPr>
          <w:rFonts w:hint="eastAsia"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r>
      <w:r/>
    </w:p>
    <w:p>
      <w:pPr>
        <w:ind w:right="480"/>
        <w:jc w:val="right"/>
        <w:spacing w:line="360" w:lineRule="auto"/>
        <w:rPr>
          <w:rFonts w:hint="eastAsia" w:ascii="宋体" w:hAnsi="宋体" w:eastAsia="宋体" w:cs="宋体"/>
          <w:b/>
          <w:bCs/>
          <w:color w:val="auto"/>
          <w:highlight w:val="none"/>
        </w:rPr>
      </w:pPr>
      <w:r>
        <w:rPr>
          <w:rFonts w:hint="eastAsia" w:ascii="宋体" w:hAnsi="宋体" w:eastAsia="宋体" w:cs="宋体"/>
          <w:b/>
          <w:bCs/>
          <w:color w:val="auto"/>
          <w:sz w:val="24"/>
          <w:szCs w:val="20"/>
          <w:highlight w:val="none"/>
          <w:shd w:val="clear" w:color="auto" w:fill="ffffff"/>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r/>
    </w:p>
  </w:endnote>
  <w:endnote w:type="continuationSeparator" w:id="0">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pPr>
                          <w:r>
                            <w:t xml:space="preserve">第 </w:t>
                          </w:r>
                          <w:r>
                            <w:fldChar w:fldCharType="begin"/>
                          </w:r>
                          <w:r>
                            <w:instrText xml:space="preserve"> PAGE  \* MERGEFORMAT </w:instrText>
                          </w:r>
                          <w:r>
                            <w:fldChar w:fldCharType="separate"/>
                          </w:r>
                          <w:r>
                            <w:t xml:space="preserve">83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pPr>
                    <w:r>
                      <w:t xml:space="preserve">第 </w:t>
                    </w:r>
                    <w:r>
                      <w:fldChar w:fldCharType="begin"/>
                    </w:r>
                    <w:r>
                      <w:instrText xml:space="preserve"> PAGE  \* MERGEFORMAT </w:instrText>
                    </w:r>
                    <w:r>
                      <w:fldChar w:fldCharType="separate"/>
                    </w:r>
                    <w:r>
                      <w:t xml:space="preserve">83</w:t>
                    </w:r>
                    <w:r>
                      <w:fldChar w:fldCharType="end"/>
                    </w:r>
                    <w: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804"/>
                          </w:pPr>
                          <w:r>
                            <w:t xml:space="preserve">第 </w:t>
                          </w:r>
                          <w:r>
                            <w:fldChar w:fldCharType="begin"/>
                          </w:r>
                          <w:r>
                            <w:instrText xml:space="preserve"> PAGE  \* MERGEFORMAT </w:instrText>
                          </w:r>
                          <w:r>
                            <w:fldChar w:fldCharType="separate"/>
                          </w:r>
                          <w:r>
                            <w:t xml:space="preserve">72</w:t>
                          </w:r>
                          <w:r>
                            <w:fldChar w:fldCharType="end"/>
                          </w:r>
                          <w:r>
                            <w:t xml:space="preserve"> 页</w:t>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804"/>
                    </w:pPr>
                    <w:r>
                      <w:t xml:space="preserve">第 </w:t>
                    </w:r>
                    <w:r>
                      <w:fldChar w:fldCharType="begin"/>
                    </w:r>
                    <w:r>
                      <w:instrText xml:space="preserve"> PAGE  \* MERGEFORMAT </w:instrText>
                    </w:r>
                    <w:r>
                      <w:fldChar w:fldCharType="separate"/>
                    </w:r>
                    <w:r>
                      <w:t xml:space="preserve">72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r/>
    </w:p>
  </w:footnote>
  <w:footnote w:type="continuationSeparator" w:id="0">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both"/>
      <w:rPr>
        <w:rFonts w:ascii="宋体" w:hAnsi="宋体" w:eastAsia="宋体"/>
      </w:rPr>
    </w:pPr>
    <w:r>
      <w:rPr>
        <w:rFonts w:hint="eastAsia" w:ascii="宋体" w:hAnsi="宋体" w:eastAsia="宋体"/>
      </w:rPr>
      <w:t xml:space="preserve">政府采购招标文件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873"/>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2"/>
      <w:numFmt w:val="decimal"/>
      <w:pStyle w:val="898"/>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8"/>
  </w:num>
  <w:num w:numId="3">
    <w:abstractNumId w:val="7"/>
  </w:num>
  <w:num w:numId="4">
    <w:abstractNumId w:val="10"/>
  </w:num>
  <w:num w:numId="5">
    <w:abstractNumId w:val="0"/>
  </w:num>
  <w:num w:numId="6">
    <w:abstractNumId w:val="4"/>
  </w:num>
  <w:num w:numId="7">
    <w:abstractNumId w:val="6"/>
  </w:num>
  <w:num w:numId="8">
    <w:abstractNumId w:val="3"/>
  </w:num>
  <w:num w:numId="9">
    <w:abstractNumId w:val="2"/>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1"/>
    <w:link w:val="775"/>
    <w:uiPriority w:val="9"/>
    <w:rPr>
      <w:rFonts w:ascii="Arial" w:hAnsi="Arial" w:eastAsia="Arial" w:cs="Arial"/>
      <w:sz w:val="40"/>
      <w:szCs w:val="40"/>
    </w:rPr>
  </w:style>
  <w:style w:type="character" w:styleId="15">
    <w:name w:val="Heading 2 Char"/>
    <w:basedOn w:val="781"/>
    <w:link w:val="776"/>
    <w:uiPriority w:val="9"/>
    <w:rPr>
      <w:rFonts w:ascii="Arial" w:hAnsi="Arial" w:eastAsia="Arial" w:cs="Arial"/>
      <w:sz w:val="34"/>
    </w:rPr>
  </w:style>
  <w:style w:type="character" w:styleId="17">
    <w:name w:val="Heading 3 Char"/>
    <w:basedOn w:val="781"/>
    <w:link w:val="777"/>
    <w:uiPriority w:val="9"/>
    <w:rPr>
      <w:rFonts w:ascii="Arial" w:hAnsi="Arial" w:eastAsia="Arial" w:cs="Arial"/>
      <w:sz w:val="30"/>
      <w:szCs w:val="30"/>
    </w:rPr>
  </w:style>
  <w:style w:type="character" w:styleId="19">
    <w:name w:val="Heading 4 Char"/>
    <w:basedOn w:val="781"/>
    <w:link w:val="778"/>
    <w:uiPriority w:val="9"/>
    <w:rPr>
      <w:rFonts w:ascii="Arial" w:hAnsi="Arial" w:eastAsia="Arial" w:cs="Arial"/>
      <w:b/>
      <w:bCs/>
      <w:sz w:val="26"/>
      <w:szCs w:val="26"/>
    </w:rPr>
  </w:style>
  <w:style w:type="character" w:styleId="21">
    <w:name w:val="Heading 5 Char"/>
    <w:basedOn w:val="781"/>
    <w:link w:val="779"/>
    <w:uiPriority w:val="9"/>
    <w:rPr>
      <w:rFonts w:ascii="Arial" w:hAnsi="Arial" w:eastAsia="Arial" w:cs="Arial"/>
      <w:b/>
      <w:bCs/>
      <w:sz w:val="24"/>
      <w:szCs w:val="24"/>
    </w:rPr>
  </w:style>
  <w:style w:type="character" w:styleId="23">
    <w:name w:val="Heading 6 Char"/>
    <w:basedOn w:val="781"/>
    <w:link w:val="780"/>
    <w:uiPriority w:val="9"/>
    <w:rPr>
      <w:rFonts w:ascii="Arial" w:hAnsi="Arial" w:eastAsia="Arial" w:cs="Arial"/>
      <w:b/>
      <w:bCs/>
      <w:sz w:val="22"/>
      <w:szCs w:val="22"/>
    </w:rPr>
  </w:style>
  <w:style w:type="paragraph" w:styleId="24">
    <w:name w:val="Heading 7"/>
    <w:basedOn w:val="774"/>
    <w:next w:val="7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81"/>
    <w:link w:val="24"/>
    <w:uiPriority w:val="9"/>
    <w:rPr>
      <w:rFonts w:ascii="Arial" w:hAnsi="Arial" w:eastAsia="Arial" w:cs="Arial"/>
      <w:b/>
      <w:bCs/>
      <w:i/>
      <w:iCs/>
      <w:sz w:val="22"/>
      <w:szCs w:val="22"/>
    </w:rPr>
  </w:style>
  <w:style w:type="paragraph" w:styleId="26">
    <w:name w:val="Heading 8"/>
    <w:basedOn w:val="774"/>
    <w:next w:val="7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81"/>
    <w:link w:val="26"/>
    <w:uiPriority w:val="9"/>
    <w:rPr>
      <w:rFonts w:ascii="Arial" w:hAnsi="Arial" w:eastAsia="Arial" w:cs="Arial"/>
      <w:i/>
      <w:iCs/>
      <w:sz w:val="22"/>
      <w:szCs w:val="22"/>
    </w:rPr>
  </w:style>
  <w:style w:type="paragraph" w:styleId="28">
    <w:name w:val="Heading 9"/>
    <w:basedOn w:val="774"/>
    <w:next w:val="7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8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81"/>
    <w:link w:val="821"/>
    <w:uiPriority w:val="10"/>
    <w:rPr>
      <w:sz w:val="48"/>
      <w:szCs w:val="48"/>
    </w:rPr>
  </w:style>
  <w:style w:type="character" w:styleId="36">
    <w:name w:val="Subtitle Char"/>
    <w:basedOn w:val="781"/>
    <w:link w:val="810"/>
    <w:uiPriority w:val="11"/>
    <w:rPr>
      <w:sz w:val="24"/>
      <w:szCs w:val="24"/>
    </w:rPr>
  </w:style>
  <w:style w:type="paragraph" w:styleId="37">
    <w:name w:val="Quote"/>
    <w:basedOn w:val="774"/>
    <w:next w:val="774"/>
    <w:link w:val="38"/>
    <w:uiPriority w:val="29"/>
    <w:qFormat/>
    <w:pPr>
      <w:ind w:left="720" w:right="720"/>
    </w:pPr>
    <w:rPr>
      <w:i/>
    </w:rPr>
  </w:style>
  <w:style w:type="character" w:styleId="38">
    <w:name w:val="Quote Char"/>
    <w:link w:val="37"/>
    <w:uiPriority w:val="29"/>
    <w:rPr>
      <w:i/>
    </w:rPr>
  </w:style>
  <w:style w:type="paragraph" w:styleId="39">
    <w:name w:val="Intense Quote"/>
    <w:basedOn w:val="774"/>
    <w:next w:val="7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81"/>
    <w:link w:val="805"/>
    <w:uiPriority w:val="99"/>
  </w:style>
  <w:style w:type="character" w:styleId="44">
    <w:name w:val="Footer Char"/>
    <w:basedOn w:val="781"/>
    <w:link w:val="804"/>
    <w:uiPriority w:val="99"/>
  </w:style>
  <w:style w:type="paragraph" w:styleId="45">
    <w:name w:val="Caption"/>
    <w:basedOn w:val="774"/>
    <w:next w:val="774"/>
    <w:uiPriority w:val="35"/>
    <w:semiHidden/>
    <w:unhideWhenUsed/>
    <w:qFormat/>
    <w:pPr>
      <w:spacing w:line="276" w:lineRule="auto"/>
    </w:pPr>
    <w:rPr>
      <w:b/>
      <w:bCs/>
      <w:color w:val="4f81bd" w:themeColor="accent1"/>
      <w:sz w:val="18"/>
      <w:szCs w:val="18"/>
    </w:rPr>
  </w:style>
  <w:style w:type="character" w:styleId="46">
    <w:name w:val="Caption Char"/>
    <w:basedOn w:val="45"/>
    <w:link w:val="804"/>
    <w:uiPriority w:val="99"/>
  </w:style>
  <w:style w:type="table" w:styleId="48">
    <w:name w:val="Table Grid Light"/>
    <w:basedOn w:val="7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11"/>
    <w:uiPriority w:val="99"/>
    <w:rPr>
      <w:sz w:val="18"/>
    </w:rPr>
  </w:style>
  <w:style w:type="character" w:styleId="178">
    <w:name w:val="Endnote Text Char"/>
    <w:link w:val="802"/>
    <w:uiPriority w:val="99"/>
    <w:rPr>
      <w:sz w:val="20"/>
    </w:rPr>
  </w:style>
  <w:style w:type="paragraph" w:styleId="189">
    <w:name w:val="TOC Heading"/>
    <w:uiPriority w:val="39"/>
    <w:unhideWhenUsed/>
  </w:style>
  <w:style w:type="paragraph" w:styleId="77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75">
    <w:name w:val="Heading 1"/>
    <w:basedOn w:val="774"/>
    <w:next w:val="774"/>
    <w:link w:val="835"/>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776">
    <w:name w:val="Heading 2"/>
    <w:basedOn w:val="774"/>
    <w:next w:val="774"/>
    <w:link w:val="836"/>
    <w:uiPriority w:val="0"/>
    <w:qFormat/>
    <w:pPr>
      <w:jc w:val="left"/>
      <w:keepLines/>
      <w:keepNext/>
      <w:outlineLvl w:val="1"/>
    </w:pPr>
    <w:rPr>
      <w:rFonts w:ascii="宋体" w:hAnsi="宋体" w:eastAsia="楷体_GB2312" w:cs="Times New Roman"/>
      <w:b/>
      <w:sz w:val="26"/>
      <w:szCs w:val="20"/>
    </w:rPr>
  </w:style>
  <w:style w:type="paragraph" w:styleId="777">
    <w:name w:val="Heading 3"/>
    <w:basedOn w:val="774"/>
    <w:next w:val="774"/>
    <w:link w:val="837"/>
    <w:uiPriority w:val="0"/>
    <w:qFormat/>
    <w:pPr>
      <w:jc w:val="left"/>
      <w:keepLines/>
      <w:keepNext/>
      <w:outlineLvl w:val="2"/>
    </w:pPr>
    <w:rPr>
      <w:rFonts w:ascii="Calibri" w:hAnsi="Calibri" w:eastAsia="楷体_GB2312" w:cs="Times New Roman"/>
      <w:b/>
      <w:sz w:val="26"/>
      <w:szCs w:val="20"/>
    </w:rPr>
  </w:style>
  <w:style w:type="paragraph" w:styleId="778">
    <w:name w:val="Heading 4"/>
    <w:basedOn w:val="774"/>
    <w:next w:val="774"/>
    <w:link w:val="838"/>
    <w:uiPriority w:val="0"/>
    <w:qFormat/>
    <w:pPr>
      <w:keepLines/>
      <w:keepNext/>
      <w:spacing w:before="280" w:after="290" w:line="376" w:lineRule="auto"/>
      <w:outlineLvl w:val="3"/>
    </w:pPr>
    <w:rPr>
      <w:rFonts w:ascii="Arial" w:hAnsi="Arial" w:eastAsia="黑体" w:cs="Times New Roman"/>
      <w:b/>
      <w:bCs/>
      <w:sz w:val="28"/>
      <w:szCs w:val="28"/>
    </w:rPr>
  </w:style>
  <w:style w:type="paragraph" w:styleId="779">
    <w:name w:val="Heading 5"/>
    <w:basedOn w:val="774"/>
    <w:next w:val="774"/>
    <w:link w:val="839"/>
    <w:uiPriority w:val="0"/>
    <w:qFormat/>
    <w:pPr>
      <w:keepNext/>
      <w:outlineLvl w:val="4"/>
    </w:pPr>
    <w:rPr>
      <w:rFonts w:ascii="宋体" w:hAnsi="宋体" w:eastAsia="宋体" w:cs="Times New Roman"/>
      <w:color w:val="000000"/>
      <w:sz w:val="28"/>
      <w:szCs w:val="20"/>
    </w:rPr>
  </w:style>
  <w:style w:type="paragraph" w:styleId="780">
    <w:name w:val="Heading 6"/>
    <w:basedOn w:val="774"/>
    <w:next w:val="774"/>
    <w:link w:val="840"/>
    <w:uiPriority w:val="0"/>
    <w:qFormat/>
    <w:pPr>
      <w:keepNext/>
      <w:outlineLvl w:val="5"/>
    </w:pPr>
    <w:rPr>
      <w:rFonts w:ascii="宋体" w:hAnsi="宋体" w:eastAsia="宋体" w:cs="Times New Roman"/>
      <w:sz w:val="28"/>
      <w:szCs w:val="20"/>
    </w:rPr>
  </w:style>
  <w:style w:type="character" w:styleId="781" w:default="1">
    <w:name w:val="Default Paragraph Font"/>
    <w:uiPriority w:val="1"/>
    <w:semiHidden/>
    <w:unhideWhenUsed/>
    <w:qFormat/>
  </w:style>
  <w:style w:type="table" w:styleId="782" w:default="1">
    <w:name w:val="Normal Table"/>
    <w:uiPriority w:val="99"/>
    <w:semiHidden/>
    <w:unhideWhenUsed/>
    <w:qFormat/>
    <w:tblPr>
      <w:tblCellMar>
        <w:left w:w="108" w:type="dxa"/>
        <w:top w:w="0" w:type="dxa"/>
        <w:right w:w="108" w:type="dxa"/>
        <w:bottom w:w="0" w:type="dxa"/>
      </w:tblCellMar>
    </w:tblPr>
  </w:style>
  <w:style w:type="paragraph" w:styleId="783">
    <w:name w:val="toc 7"/>
    <w:basedOn w:val="774"/>
    <w:next w:val="774"/>
    <w:uiPriority w:val="0"/>
    <w:qFormat/>
    <w:pPr>
      <w:ind w:left="2520"/>
    </w:pPr>
    <w:rPr>
      <w:rFonts w:ascii="Calibri" w:hAnsi="Calibri" w:eastAsia="楷体_GB2312" w:cs="Times New Roman"/>
      <w:sz w:val="26"/>
      <w:szCs w:val="20"/>
    </w:rPr>
  </w:style>
  <w:style w:type="paragraph" w:styleId="784">
    <w:name w:val="index 8"/>
    <w:basedOn w:val="774"/>
    <w:next w:val="774"/>
    <w:uiPriority w:val="0"/>
    <w:qFormat/>
    <w:pPr>
      <w:ind w:left="2940"/>
    </w:pPr>
    <w:rPr>
      <w:rFonts w:ascii="Calibri" w:hAnsi="Calibri" w:eastAsia="楷体_GB2312" w:cs="Times New Roman"/>
      <w:sz w:val="26"/>
      <w:szCs w:val="20"/>
    </w:rPr>
  </w:style>
  <w:style w:type="paragraph" w:styleId="785">
    <w:name w:val="Normal Indent"/>
    <w:basedOn w:val="774"/>
    <w:next w:val="774"/>
    <w:link w:val="841"/>
    <w:uiPriority w:val="0"/>
    <w:qFormat/>
    <w:pPr>
      <w:ind w:firstLine="420"/>
      <w:jc w:val="left"/>
    </w:pPr>
    <w:rPr>
      <w:rFonts w:ascii="Calibri" w:hAnsi="Calibri" w:eastAsia="楷体_GB2312" w:cs="Times New Roman"/>
      <w:sz w:val="24"/>
      <w:szCs w:val="20"/>
    </w:rPr>
  </w:style>
  <w:style w:type="paragraph" w:styleId="786">
    <w:name w:val="index 5"/>
    <w:basedOn w:val="774"/>
    <w:next w:val="774"/>
    <w:uiPriority w:val="0"/>
    <w:qFormat/>
    <w:pPr>
      <w:ind w:left="1680"/>
    </w:pPr>
    <w:rPr>
      <w:rFonts w:ascii="Calibri" w:hAnsi="Calibri" w:eastAsia="楷体_GB2312" w:cs="Times New Roman"/>
      <w:sz w:val="26"/>
      <w:szCs w:val="20"/>
    </w:rPr>
  </w:style>
  <w:style w:type="paragraph" w:styleId="787">
    <w:name w:val="Document Map"/>
    <w:basedOn w:val="774"/>
    <w:link w:val="842"/>
    <w:uiPriority w:val="0"/>
    <w:qFormat/>
    <w:pPr>
      <w:shd w:val="clear" w:color="auto" w:fill="000080"/>
    </w:pPr>
    <w:rPr>
      <w:rFonts w:ascii="Calibri" w:hAnsi="Calibri" w:eastAsia="楷体_GB2312" w:cs="Times New Roman"/>
      <w:sz w:val="26"/>
      <w:szCs w:val="20"/>
    </w:rPr>
  </w:style>
  <w:style w:type="paragraph" w:styleId="788">
    <w:name w:val="annotation text"/>
    <w:basedOn w:val="774"/>
    <w:link w:val="843"/>
    <w:uiPriority w:val="0"/>
    <w:qFormat/>
    <w:pPr>
      <w:jc w:val="left"/>
    </w:pPr>
    <w:rPr>
      <w:rFonts w:ascii="Calibri" w:hAnsi="Calibri" w:eastAsia="楷体_GB2312" w:cs="Times New Roman"/>
      <w:sz w:val="26"/>
      <w:szCs w:val="20"/>
    </w:rPr>
  </w:style>
  <w:style w:type="paragraph" w:styleId="789">
    <w:name w:val="index 6"/>
    <w:basedOn w:val="774"/>
    <w:next w:val="774"/>
    <w:uiPriority w:val="0"/>
    <w:qFormat/>
    <w:pPr>
      <w:ind w:left="2100"/>
    </w:pPr>
    <w:rPr>
      <w:rFonts w:ascii="Calibri" w:hAnsi="Calibri" w:eastAsia="楷体_GB2312" w:cs="Times New Roman"/>
      <w:sz w:val="26"/>
      <w:szCs w:val="20"/>
    </w:rPr>
  </w:style>
  <w:style w:type="paragraph" w:styleId="790">
    <w:name w:val="Body Text"/>
    <w:basedOn w:val="774"/>
    <w:next w:val="791"/>
    <w:link w:val="844"/>
    <w:uiPriority w:val="0"/>
    <w:qFormat/>
    <w:pPr>
      <w:spacing w:line="400" w:lineRule="exact"/>
    </w:pPr>
    <w:rPr>
      <w:rFonts w:ascii="楷体_GB2312" w:hAnsi="Calibri" w:eastAsia="楷体_GB2312" w:cs="Times New Roman"/>
      <w:sz w:val="28"/>
      <w:szCs w:val="20"/>
    </w:rPr>
  </w:style>
  <w:style w:type="paragraph" w:styleId="791">
    <w:name w:val="toc 2"/>
    <w:basedOn w:val="774"/>
    <w:next w:val="774"/>
    <w:uiPriority w:val="0"/>
    <w:qFormat/>
    <w:pPr>
      <w:ind w:left="420"/>
    </w:pPr>
    <w:rPr>
      <w:rFonts w:ascii="Calibri" w:hAnsi="Calibri" w:eastAsia="楷体_GB2312" w:cs="Times New Roman"/>
      <w:sz w:val="26"/>
      <w:szCs w:val="20"/>
    </w:rPr>
  </w:style>
  <w:style w:type="paragraph" w:styleId="792">
    <w:name w:val="Body Text Indent"/>
    <w:basedOn w:val="774"/>
    <w:next w:val="774"/>
    <w:link w:val="845"/>
    <w:uiPriority w:val="99"/>
    <w:qFormat/>
    <w:pPr>
      <w:ind w:left="570"/>
      <w:spacing w:line="520" w:lineRule="exact"/>
    </w:pPr>
    <w:rPr>
      <w:rFonts w:ascii="方正仿宋简体" w:hAnsi="创艺简仿宋" w:eastAsia="方正仿宋简体" w:cs="Times New Roman"/>
      <w:sz w:val="24"/>
      <w:szCs w:val="20"/>
    </w:rPr>
  </w:style>
  <w:style w:type="paragraph" w:styleId="793">
    <w:name w:val="Block Text"/>
    <w:basedOn w:val="774"/>
    <w:next w:val="774"/>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794">
    <w:name w:val="index 4"/>
    <w:basedOn w:val="774"/>
    <w:next w:val="774"/>
    <w:uiPriority w:val="0"/>
    <w:qFormat/>
    <w:pPr>
      <w:ind w:left="1260"/>
    </w:pPr>
    <w:rPr>
      <w:rFonts w:ascii="Calibri" w:hAnsi="Calibri" w:eastAsia="楷体_GB2312" w:cs="Times New Roman"/>
      <w:sz w:val="26"/>
      <w:szCs w:val="20"/>
    </w:rPr>
  </w:style>
  <w:style w:type="paragraph" w:styleId="795">
    <w:name w:val="toc 5"/>
    <w:basedOn w:val="774"/>
    <w:next w:val="774"/>
    <w:uiPriority w:val="0"/>
    <w:qFormat/>
    <w:pPr>
      <w:ind w:left="1680"/>
    </w:pPr>
    <w:rPr>
      <w:rFonts w:ascii="Calibri" w:hAnsi="Calibri" w:eastAsia="楷体_GB2312" w:cs="Times New Roman"/>
      <w:sz w:val="26"/>
      <w:szCs w:val="20"/>
    </w:rPr>
  </w:style>
  <w:style w:type="paragraph" w:styleId="796">
    <w:name w:val="toc 3"/>
    <w:basedOn w:val="774"/>
    <w:next w:val="774"/>
    <w:uiPriority w:val="0"/>
    <w:qFormat/>
    <w:pPr>
      <w:ind w:left="840"/>
    </w:pPr>
    <w:rPr>
      <w:rFonts w:ascii="Calibri" w:hAnsi="Calibri" w:eastAsia="楷体_GB2312" w:cs="Times New Roman"/>
      <w:sz w:val="26"/>
      <w:szCs w:val="20"/>
    </w:rPr>
  </w:style>
  <w:style w:type="paragraph" w:styleId="797">
    <w:name w:val="Plain Text"/>
    <w:basedOn w:val="774"/>
    <w:link w:val="846"/>
    <w:uiPriority w:val="0"/>
    <w:qFormat/>
    <w:rPr>
      <w:rFonts w:ascii="宋体" w:hAnsi="Courier New" w:eastAsia="楷体_GB2312" w:cs="Times New Roman"/>
      <w:sz w:val="26"/>
      <w:szCs w:val="20"/>
    </w:rPr>
  </w:style>
  <w:style w:type="paragraph" w:styleId="798">
    <w:name w:val="toc 8"/>
    <w:basedOn w:val="774"/>
    <w:next w:val="774"/>
    <w:uiPriority w:val="0"/>
    <w:qFormat/>
    <w:pPr>
      <w:ind w:left="2940"/>
    </w:pPr>
    <w:rPr>
      <w:rFonts w:ascii="Calibri" w:hAnsi="Calibri" w:eastAsia="楷体_GB2312" w:cs="Times New Roman"/>
      <w:sz w:val="26"/>
      <w:szCs w:val="20"/>
    </w:rPr>
  </w:style>
  <w:style w:type="paragraph" w:styleId="799">
    <w:name w:val="index 3"/>
    <w:basedOn w:val="774"/>
    <w:next w:val="774"/>
    <w:uiPriority w:val="0"/>
    <w:qFormat/>
    <w:pPr>
      <w:ind w:left="840"/>
    </w:pPr>
    <w:rPr>
      <w:rFonts w:ascii="Calibri" w:hAnsi="Calibri" w:eastAsia="楷体_GB2312" w:cs="Times New Roman"/>
      <w:sz w:val="26"/>
      <w:szCs w:val="20"/>
    </w:rPr>
  </w:style>
  <w:style w:type="paragraph" w:styleId="800">
    <w:name w:val="Date"/>
    <w:basedOn w:val="774"/>
    <w:next w:val="774"/>
    <w:link w:val="847"/>
    <w:uiPriority w:val="0"/>
    <w:qFormat/>
    <w:rPr>
      <w:rFonts w:ascii="宋体" w:hAnsi="宋体" w:eastAsia="楷体_GB2312" w:cs="Times New Roman"/>
      <w:sz w:val="24"/>
      <w:szCs w:val="20"/>
    </w:rPr>
  </w:style>
  <w:style w:type="paragraph" w:styleId="801">
    <w:name w:val="Body Text Indent 2"/>
    <w:basedOn w:val="774"/>
    <w:link w:val="848"/>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802">
    <w:name w:val="endnote text"/>
    <w:basedOn w:val="774"/>
    <w:link w:val="849"/>
    <w:uiPriority w:val="0"/>
    <w:qFormat/>
    <w:pPr>
      <w:jc w:val="left"/>
    </w:pPr>
    <w:rPr>
      <w:rFonts w:ascii="Calibri" w:hAnsi="Calibri" w:eastAsia="楷体_GB2312" w:cs="Times New Roman"/>
      <w:sz w:val="26"/>
      <w:szCs w:val="20"/>
    </w:rPr>
  </w:style>
  <w:style w:type="paragraph" w:styleId="803">
    <w:name w:val="Balloon Text"/>
    <w:basedOn w:val="774"/>
    <w:link w:val="850"/>
    <w:uiPriority w:val="99"/>
    <w:qFormat/>
    <w:rPr>
      <w:rFonts w:ascii="Calibri" w:hAnsi="Calibri" w:eastAsia="楷体_GB2312" w:cs="Times New Roman"/>
      <w:sz w:val="18"/>
      <w:szCs w:val="18"/>
    </w:rPr>
  </w:style>
  <w:style w:type="paragraph" w:styleId="804">
    <w:name w:val="Footer"/>
    <w:basedOn w:val="774"/>
    <w:link w:val="851"/>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805">
    <w:name w:val="Header"/>
    <w:basedOn w:val="774"/>
    <w:link w:val="852"/>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806">
    <w:name w:val="toc 1"/>
    <w:basedOn w:val="774"/>
    <w:next w:val="774"/>
    <w:uiPriority w:val="39"/>
    <w:qFormat/>
    <w:pPr>
      <w:jc w:val="left"/>
    </w:pPr>
    <w:rPr>
      <w:rFonts w:ascii="Calibri" w:hAnsi="Calibri" w:eastAsia="楷体_GB2312" w:cs="Times New Roman"/>
      <w:sz w:val="24"/>
      <w:szCs w:val="20"/>
    </w:rPr>
  </w:style>
  <w:style w:type="paragraph" w:styleId="807">
    <w:name w:val="toc 4"/>
    <w:basedOn w:val="774"/>
    <w:next w:val="774"/>
    <w:uiPriority w:val="0"/>
    <w:qFormat/>
    <w:pPr>
      <w:ind w:left="1260"/>
    </w:pPr>
    <w:rPr>
      <w:rFonts w:ascii="Calibri" w:hAnsi="Calibri" w:eastAsia="楷体_GB2312" w:cs="Times New Roman"/>
      <w:sz w:val="26"/>
      <w:szCs w:val="20"/>
    </w:rPr>
  </w:style>
  <w:style w:type="paragraph" w:styleId="808">
    <w:name w:val="index heading"/>
    <w:basedOn w:val="774"/>
    <w:next w:val="809"/>
    <w:uiPriority w:val="0"/>
    <w:qFormat/>
    <w:rPr>
      <w:rFonts w:ascii="Calibri" w:hAnsi="Calibri" w:eastAsia="楷体_GB2312" w:cs="Times New Roman"/>
      <w:sz w:val="26"/>
      <w:szCs w:val="20"/>
    </w:rPr>
  </w:style>
  <w:style w:type="paragraph" w:styleId="809">
    <w:name w:val="index 1"/>
    <w:basedOn w:val="774"/>
    <w:next w:val="774"/>
    <w:uiPriority w:val="0"/>
    <w:unhideWhenUsed/>
    <w:qFormat/>
  </w:style>
  <w:style w:type="paragraph" w:styleId="810">
    <w:name w:val="Subtitle"/>
    <w:basedOn w:val="774"/>
    <w:next w:val="774"/>
    <w:link w:val="853"/>
    <w:uiPriority w:val="0"/>
    <w:qFormat/>
    <w:pPr>
      <w:jc w:val="left"/>
      <w:spacing w:before="120"/>
      <w:outlineLvl w:val="1"/>
    </w:pPr>
    <w:rPr>
      <w:rFonts w:ascii="Cambria" w:hAnsi="Cambria" w:eastAsia="宋体" w:cs="Times New Roman"/>
      <w:b/>
      <w:bCs/>
      <w:sz w:val="24"/>
      <w:szCs w:val="32"/>
    </w:rPr>
  </w:style>
  <w:style w:type="paragraph" w:styleId="811">
    <w:name w:val="footnote text"/>
    <w:basedOn w:val="774"/>
    <w:link w:val="854"/>
    <w:uiPriority w:val="0"/>
    <w:qFormat/>
    <w:pPr>
      <w:jc w:val="left"/>
    </w:pPr>
    <w:rPr>
      <w:rFonts w:ascii="Calibri" w:hAnsi="Calibri" w:eastAsia="楷体_GB2312" w:cs="Times New Roman"/>
      <w:sz w:val="18"/>
      <w:szCs w:val="20"/>
    </w:rPr>
  </w:style>
  <w:style w:type="paragraph" w:styleId="812">
    <w:name w:val="toc 6"/>
    <w:basedOn w:val="774"/>
    <w:next w:val="774"/>
    <w:uiPriority w:val="0"/>
    <w:qFormat/>
    <w:pPr>
      <w:ind w:left="2100"/>
    </w:pPr>
    <w:rPr>
      <w:rFonts w:ascii="Calibri" w:hAnsi="Calibri" w:eastAsia="楷体_GB2312" w:cs="Times New Roman"/>
      <w:sz w:val="26"/>
      <w:szCs w:val="20"/>
    </w:rPr>
  </w:style>
  <w:style w:type="paragraph" w:styleId="813">
    <w:name w:val="Body Text Indent 3"/>
    <w:basedOn w:val="774"/>
    <w:link w:val="855"/>
    <w:uiPriority w:val="0"/>
    <w:qFormat/>
    <w:pPr>
      <w:ind w:firstLine="617"/>
      <w:spacing w:line="360" w:lineRule="auto"/>
    </w:pPr>
    <w:rPr>
      <w:rFonts w:ascii="Calibri" w:hAnsi="Calibri" w:eastAsia="宋体" w:cs="Times New Roman"/>
      <w:sz w:val="24"/>
      <w:szCs w:val="24"/>
    </w:rPr>
  </w:style>
  <w:style w:type="paragraph" w:styleId="814">
    <w:name w:val="index 7"/>
    <w:basedOn w:val="774"/>
    <w:next w:val="774"/>
    <w:uiPriority w:val="0"/>
    <w:qFormat/>
    <w:pPr>
      <w:ind w:left="2520"/>
    </w:pPr>
    <w:rPr>
      <w:rFonts w:ascii="Calibri" w:hAnsi="Calibri" w:eastAsia="楷体_GB2312" w:cs="Times New Roman"/>
      <w:sz w:val="26"/>
      <w:szCs w:val="20"/>
    </w:rPr>
  </w:style>
  <w:style w:type="paragraph" w:styleId="815">
    <w:name w:val="index 9"/>
    <w:basedOn w:val="774"/>
    <w:next w:val="774"/>
    <w:uiPriority w:val="0"/>
    <w:qFormat/>
    <w:pPr>
      <w:ind w:left="3360"/>
    </w:pPr>
    <w:rPr>
      <w:rFonts w:ascii="Calibri" w:hAnsi="Calibri" w:eastAsia="楷体_GB2312" w:cs="Times New Roman"/>
      <w:sz w:val="26"/>
      <w:szCs w:val="20"/>
    </w:rPr>
  </w:style>
  <w:style w:type="paragraph" w:styleId="816">
    <w:name w:val="table of figures"/>
    <w:basedOn w:val="774"/>
    <w:next w:val="774"/>
    <w:uiPriority w:val="0"/>
    <w:qFormat/>
    <w:pPr>
      <w:ind w:left="420" w:hanging="420"/>
      <w:jc w:val="left"/>
    </w:pPr>
    <w:rPr>
      <w:rFonts w:ascii="Calibri" w:hAnsi="Calibri" w:eastAsia="楷体_GB2312" w:cs="Times New Roman"/>
      <w:smallCaps/>
      <w:sz w:val="24"/>
      <w:szCs w:val="20"/>
    </w:rPr>
  </w:style>
  <w:style w:type="paragraph" w:styleId="817">
    <w:name w:val="toc 9"/>
    <w:basedOn w:val="774"/>
    <w:next w:val="774"/>
    <w:uiPriority w:val="0"/>
    <w:qFormat/>
    <w:pPr>
      <w:ind w:left="3360"/>
    </w:pPr>
    <w:rPr>
      <w:rFonts w:ascii="Calibri" w:hAnsi="Calibri" w:eastAsia="楷体_GB2312" w:cs="Times New Roman"/>
      <w:sz w:val="26"/>
      <w:szCs w:val="20"/>
    </w:rPr>
  </w:style>
  <w:style w:type="paragraph" w:styleId="818">
    <w:name w:val="HTML Preformatted"/>
    <w:basedOn w:val="774"/>
    <w:link w:val="85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819">
    <w:name w:val="Normal (Web)"/>
    <w:basedOn w:val="774"/>
    <w:uiPriority w:val="99"/>
    <w:qFormat/>
    <w:pPr>
      <w:jc w:val="left"/>
      <w:spacing w:before="100" w:beforeAutospacing="1" w:after="100" w:afterAutospacing="1"/>
    </w:pPr>
    <w:rPr>
      <w:rFonts w:ascii="Calibri" w:hAnsi="Calibri" w:eastAsia="楷体_GB2312" w:cs="Times New Roman"/>
      <w:sz w:val="24"/>
    </w:rPr>
  </w:style>
  <w:style w:type="paragraph" w:styleId="820">
    <w:name w:val="index 2"/>
    <w:basedOn w:val="774"/>
    <w:next w:val="774"/>
    <w:uiPriority w:val="0"/>
    <w:qFormat/>
    <w:pPr>
      <w:ind w:left="420"/>
    </w:pPr>
    <w:rPr>
      <w:rFonts w:ascii="Calibri" w:hAnsi="Calibri" w:eastAsia="楷体_GB2312" w:cs="Times New Roman"/>
      <w:sz w:val="26"/>
      <w:szCs w:val="20"/>
    </w:rPr>
  </w:style>
  <w:style w:type="paragraph" w:styleId="821">
    <w:name w:val="Title"/>
    <w:basedOn w:val="774"/>
    <w:next w:val="774"/>
    <w:link w:val="857"/>
    <w:uiPriority w:val="0"/>
    <w:qFormat/>
    <w:pPr>
      <w:jc w:val="center"/>
      <w:spacing w:before="240" w:after="60"/>
      <w:outlineLvl w:val="0"/>
    </w:pPr>
    <w:rPr>
      <w:rFonts w:ascii="Cambria" w:hAnsi="Cambria" w:eastAsia="宋体" w:cs="Times New Roman"/>
      <w:b/>
      <w:bCs/>
      <w:sz w:val="32"/>
      <w:szCs w:val="32"/>
    </w:rPr>
  </w:style>
  <w:style w:type="paragraph" w:styleId="822">
    <w:name w:val="annotation subject"/>
    <w:basedOn w:val="788"/>
    <w:next w:val="788"/>
    <w:link w:val="858"/>
    <w:uiPriority w:val="99"/>
    <w:qFormat/>
    <w:rPr>
      <w:b/>
      <w:bCs/>
    </w:rPr>
  </w:style>
  <w:style w:type="paragraph" w:styleId="823">
    <w:name w:val="Body Text First Indent 2"/>
    <w:basedOn w:val="792"/>
    <w:link w:val="859"/>
    <w:uiPriority w:val="0"/>
    <w:qFormat/>
    <w:pPr>
      <w:ind w:left="420" w:firstLine="420"/>
      <w:spacing w:after="120" w:line="240" w:lineRule="auto"/>
    </w:pPr>
    <w:rPr>
      <w:rFonts w:ascii="Calibri" w:hAnsi="Calibri" w:eastAsia="楷体_GB2312"/>
      <w:sz w:val="26"/>
    </w:rPr>
  </w:style>
  <w:style w:type="table" w:styleId="824">
    <w:name w:val="Table Grid"/>
    <w:basedOn w:val="78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5">
    <w:name w:val="Strong"/>
    <w:basedOn w:val="781"/>
    <w:uiPriority w:val="0"/>
    <w:qFormat/>
    <w:rPr>
      <w:b/>
    </w:rPr>
  </w:style>
  <w:style w:type="character" w:styleId="826">
    <w:name w:val="endnote reference"/>
    <w:uiPriority w:val="0"/>
    <w:qFormat/>
    <w:rPr>
      <w:vertAlign w:val="superscript"/>
    </w:rPr>
  </w:style>
  <w:style w:type="character" w:styleId="827">
    <w:name w:val="page number"/>
    <w:basedOn w:val="781"/>
    <w:uiPriority w:val="0"/>
    <w:qFormat/>
  </w:style>
  <w:style w:type="character" w:styleId="828">
    <w:name w:val="FollowedHyperlink"/>
    <w:uiPriority w:val="99"/>
    <w:unhideWhenUsed/>
    <w:qFormat/>
    <w:rPr>
      <w:color w:val="800080"/>
      <w:u w:val="single"/>
    </w:rPr>
  </w:style>
  <w:style w:type="character" w:styleId="829">
    <w:name w:val="Hyperlink"/>
    <w:basedOn w:val="781"/>
    <w:uiPriority w:val="0"/>
    <w:unhideWhenUsed/>
    <w:qFormat/>
    <w:rPr>
      <w:color w:val="0000ff"/>
      <w:u w:val="single"/>
    </w:rPr>
  </w:style>
  <w:style w:type="character" w:styleId="830">
    <w:name w:val="annotation reference"/>
    <w:uiPriority w:val="99"/>
    <w:qFormat/>
    <w:rPr>
      <w:sz w:val="21"/>
      <w:szCs w:val="21"/>
    </w:rPr>
  </w:style>
  <w:style w:type="character" w:styleId="831">
    <w:name w:val="footnote reference"/>
    <w:uiPriority w:val="0"/>
    <w:qFormat/>
    <w:rPr>
      <w:vertAlign w:val="superscript"/>
    </w:rPr>
  </w:style>
  <w:style w:type="paragraph" w:styleId="832" w:customStyle="1">
    <w:name w:val="文档结构图1"/>
    <w:basedOn w:val="774"/>
    <w:uiPriority w:val="99"/>
    <w:qFormat/>
    <w:pPr>
      <w:shd w:val="clear" w:color="auto" w:fill="000080"/>
    </w:pPr>
  </w:style>
  <w:style w:type="paragraph" w:styleId="833" w:customStyle="1">
    <w:name w:val="段"/>
    <w:uiPriority w:val="0"/>
    <w:qFormat/>
    <w:pPr>
      <w:ind w:firstLine="200"/>
      <w:jc w:val="both"/>
    </w:pPr>
    <w:rPr>
      <w:rFonts w:ascii="宋体" w:hAnsi="Times New Roman" w:eastAsia="宋体" w:cs="宋体"/>
      <w:sz w:val="21"/>
      <w:szCs w:val="21"/>
      <w:lang w:val="en-US" w:eastAsia="zh-CN" w:bidi="ar-SA"/>
    </w:rPr>
  </w:style>
  <w:style w:type="paragraph" w:styleId="834" w:customStyle="1">
    <w:name w:val="首行缩进"/>
    <w:basedOn w:val="774"/>
    <w:uiPriority w:val="0"/>
    <w:qFormat/>
    <w:pPr>
      <w:ind w:firstLine="480"/>
    </w:pPr>
    <w:rPr>
      <w:rFonts w:ascii="Calibri" w:hAnsi="Calibri" w:eastAsia="宋体" w:cs="Times New Roman"/>
      <w:szCs w:val="20"/>
      <w:lang w:val="zh-CN"/>
    </w:rPr>
  </w:style>
  <w:style w:type="character" w:styleId="835" w:customStyle="1">
    <w:name w:val="标题 1 字符"/>
    <w:basedOn w:val="781"/>
    <w:link w:val="775"/>
    <w:uiPriority w:val="0"/>
    <w:qFormat/>
    <w:rPr>
      <w:rFonts w:ascii="Calibri" w:hAnsi="Calibri" w:eastAsia="楷体_GB2312" w:cs="Times New Roman"/>
      <w:b/>
      <w:sz w:val="44"/>
      <w:szCs w:val="20"/>
    </w:rPr>
  </w:style>
  <w:style w:type="character" w:styleId="836" w:customStyle="1">
    <w:name w:val="标题 2 字符"/>
    <w:basedOn w:val="781"/>
    <w:link w:val="776"/>
    <w:uiPriority w:val="0"/>
    <w:qFormat/>
    <w:rPr>
      <w:rFonts w:ascii="宋体" w:hAnsi="宋体" w:eastAsia="楷体_GB2312" w:cs="Times New Roman"/>
      <w:b/>
      <w:sz w:val="26"/>
      <w:szCs w:val="20"/>
    </w:rPr>
  </w:style>
  <w:style w:type="character" w:styleId="837" w:customStyle="1">
    <w:name w:val="标题 3 字符"/>
    <w:basedOn w:val="781"/>
    <w:link w:val="777"/>
    <w:uiPriority w:val="0"/>
    <w:qFormat/>
    <w:rPr>
      <w:rFonts w:ascii="Calibri" w:hAnsi="Calibri" w:eastAsia="楷体_GB2312" w:cs="Times New Roman"/>
      <w:b/>
      <w:sz w:val="26"/>
      <w:szCs w:val="20"/>
    </w:rPr>
  </w:style>
  <w:style w:type="character" w:styleId="838" w:customStyle="1">
    <w:name w:val="标题 4 字符"/>
    <w:basedOn w:val="781"/>
    <w:link w:val="778"/>
    <w:uiPriority w:val="0"/>
    <w:qFormat/>
    <w:rPr>
      <w:rFonts w:ascii="Arial" w:hAnsi="Arial" w:eastAsia="黑体" w:cs="Times New Roman"/>
      <w:b/>
      <w:bCs/>
      <w:sz w:val="28"/>
      <w:szCs w:val="28"/>
    </w:rPr>
  </w:style>
  <w:style w:type="character" w:styleId="839" w:customStyle="1">
    <w:name w:val="标题 5 字符"/>
    <w:basedOn w:val="781"/>
    <w:link w:val="779"/>
    <w:uiPriority w:val="0"/>
    <w:qFormat/>
    <w:rPr>
      <w:rFonts w:ascii="宋体" w:hAnsi="宋体" w:eastAsia="宋体" w:cs="Times New Roman"/>
      <w:color w:val="000000"/>
      <w:sz w:val="28"/>
      <w:szCs w:val="20"/>
    </w:rPr>
  </w:style>
  <w:style w:type="character" w:styleId="840" w:customStyle="1">
    <w:name w:val="标题 6 字符"/>
    <w:basedOn w:val="781"/>
    <w:link w:val="780"/>
    <w:uiPriority w:val="0"/>
    <w:qFormat/>
    <w:rPr>
      <w:rFonts w:ascii="宋体" w:hAnsi="宋体" w:eastAsia="宋体" w:cs="Times New Roman"/>
      <w:sz w:val="28"/>
      <w:szCs w:val="20"/>
    </w:rPr>
  </w:style>
  <w:style w:type="character" w:styleId="841" w:customStyle="1">
    <w:name w:val="正文缩进 字符"/>
    <w:link w:val="785"/>
    <w:uiPriority w:val="0"/>
    <w:qFormat/>
    <w:rPr>
      <w:rFonts w:ascii="Calibri" w:hAnsi="Calibri" w:eastAsia="楷体_GB2312" w:cs="Times New Roman"/>
      <w:sz w:val="24"/>
      <w:szCs w:val="20"/>
    </w:rPr>
  </w:style>
  <w:style w:type="character" w:styleId="842" w:customStyle="1">
    <w:name w:val="文档结构图 字符"/>
    <w:basedOn w:val="781"/>
    <w:link w:val="787"/>
    <w:uiPriority w:val="0"/>
    <w:qFormat/>
    <w:rPr>
      <w:rFonts w:ascii="Calibri" w:hAnsi="Calibri" w:eastAsia="楷体_GB2312" w:cs="Times New Roman"/>
      <w:sz w:val="26"/>
      <w:szCs w:val="20"/>
      <w:shd w:val="clear" w:color="auto" w:fill="000080"/>
    </w:rPr>
  </w:style>
  <w:style w:type="character" w:styleId="843" w:customStyle="1">
    <w:name w:val="批注文字 字符"/>
    <w:basedOn w:val="781"/>
    <w:link w:val="788"/>
    <w:uiPriority w:val="0"/>
    <w:qFormat/>
    <w:rPr>
      <w:rFonts w:ascii="Calibri" w:hAnsi="Calibri" w:eastAsia="楷体_GB2312" w:cs="Times New Roman"/>
      <w:sz w:val="26"/>
      <w:szCs w:val="20"/>
    </w:rPr>
  </w:style>
  <w:style w:type="character" w:styleId="844" w:customStyle="1">
    <w:name w:val="正文文本 字符"/>
    <w:basedOn w:val="781"/>
    <w:link w:val="790"/>
    <w:uiPriority w:val="0"/>
    <w:qFormat/>
    <w:rPr>
      <w:rFonts w:ascii="楷体_GB2312" w:hAnsi="Calibri" w:eastAsia="楷体_GB2312" w:cs="Times New Roman"/>
      <w:sz w:val="28"/>
      <w:szCs w:val="20"/>
    </w:rPr>
  </w:style>
  <w:style w:type="character" w:styleId="845" w:customStyle="1">
    <w:name w:val="正文文本缩进 字符"/>
    <w:basedOn w:val="781"/>
    <w:link w:val="792"/>
    <w:uiPriority w:val="99"/>
    <w:qFormat/>
    <w:rPr>
      <w:rFonts w:ascii="方正仿宋简体" w:hAnsi="创艺简仿宋" w:eastAsia="方正仿宋简体" w:cs="Times New Roman"/>
      <w:sz w:val="24"/>
      <w:szCs w:val="20"/>
    </w:rPr>
  </w:style>
  <w:style w:type="character" w:styleId="846" w:customStyle="1">
    <w:name w:val="纯文本 字符"/>
    <w:basedOn w:val="781"/>
    <w:link w:val="797"/>
    <w:uiPriority w:val="0"/>
    <w:qFormat/>
    <w:rPr>
      <w:rFonts w:ascii="宋体" w:hAnsi="Courier New" w:eastAsia="楷体_GB2312" w:cs="Times New Roman"/>
      <w:sz w:val="26"/>
      <w:szCs w:val="20"/>
    </w:rPr>
  </w:style>
  <w:style w:type="character" w:styleId="847" w:customStyle="1">
    <w:name w:val="日期 字符"/>
    <w:basedOn w:val="781"/>
    <w:link w:val="800"/>
    <w:uiPriority w:val="0"/>
    <w:qFormat/>
    <w:rPr>
      <w:rFonts w:ascii="宋体" w:hAnsi="宋体" w:eastAsia="楷体_GB2312" w:cs="Times New Roman"/>
      <w:sz w:val="24"/>
      <w:szCs w:val="20"/>
    </w:rPr>
  </w:style>
  <w:style w:type="character" w:styleId="848" w:customStyle="1">
    <w:name w:val="正文文本缩进 2 字符"/>
    <w:basedOn w:val="781"/>
    <w:link w:val="801"/>
    <w:uiPriority w:val="0"/>
    <w:qFormat/>
    <w:rPr>
      <w:rFonts w:ascii="宋体" w:hAnsi="Calibri" w:eastAsia="宋体" w:cs="Times New Roman"/>
      <w:b/>
      <w:bCs/>
      <w:sz w:val="24"/>
      <w:szCs w:val="20"/>
    </w:rPr>
  </w:style>
  <w:style w:type="character" w:styleId="849" w:customStyle="1">
    <w:name w:val="尾注文本 字符"/>
    <w:basedOn w:val="781"/>
    <w:link w:val="802"/>
    <w:uiPriority w:val="0"/>
    <w:qFormat/>
    <w:rPr>
      <w:rFonts w:ascii="Calibri" w:hAnsi="Calibri" w:eastAsia="楷体_GB2312" w:cs="Times New Roman"/>
      <w:sz w:val="26"/>
      <w:szCs w:val="20"/>
    </w:rPr>
  </w:style>
  <w:style w:type="character" w:styleId="850" w:customStyle="1">
    <w:name w:val="批注框文本 字符"/>
    <w:basedOn w:val="781"/>
    <w:link w:val="803"/>
    <w:uiPriority w:val="99"/>
    <w:qFormat/>
    <w:rPr>
      <w:rFonts w:ascii="Calibri" w:hAnsi="Calibri" w:eastAsia="楷体_GB2312" w:cs="Times New Roman"/>
      <w:sz w:val="18"/>
      <w:szCs w:val="18"/>
    </w:rPr>
  </w:style>
  <w:style w:type="character" w:styleId="851" w:customStyle="1">
    <w:name w:val="页脚 字符"/>
    <w:basedOn w:val="781"/>
    <w:link w:val="804"/>
    <w:uiPriority w:val="99"/>
    <w:qFormat/>
    <w:rPr>
      <w:rFonts w:ascii="Calibri" w:hAnsi="Calibri" w:eastAsia="楷体_GB2312" w:cs="Times New Roman"/>
      <w:sz w:val="18"/>
      <w:szCs w:val="20"/>
    </w:rPr>
  </w:style>
  <w:style w:type="character" w:styleId="852" w:customStyle="1">
    <w:name w:val="页眉 字符"/>
    <w:basedOn w:val="781"/>
    <w:link w:val="805"/>
    <w:uiPriority w:val="99"/>
    <w:qFormat/>
    <w:rPr>
      <w:rFonts w:ascii="Calibri" w:hAnsi="Calibri" w:eastAsia="楷体_GB2312" w:cs="Times New Roman"/>
      <w:sz w:val="18"/>
      <w:szCs w:val="20"/>
    </w:rPr>
  </w:style>
  <w:style w:type="character" w:styleId="853" w:customStyle="1">
    <w:name w:val="副标题 字符"/>
    <w:basedOn w:val="781"/>
    <w:link w:val="810"/>
    <w:uiPriority w:val="0"/>
    <w:qFormat/>
    <w:rPr>
      <w:rFonts w:ascii="Cambria" w:hAnsi="Cambria" w:eastAsia="宋体" w:cs="Times New Roman"/>
      <w:b/>
      <w:bCs/>
      <w:sz w:val="24"/>
      <w:szCs w:val="32"/>
    </w:rPr>
  </w:style>
  <w:style w:type="character" w:styleId="854" w:customStyle="1">
    <w:name w:val="脚注文本 字符"/>
    <w:basedOn w:val="781"/>
    <w:link w:val="811"/>
    <w:uiPriority w:val="0"/>
    <w:qFormat/>
    <w:rPr>
      <w:rFonts w:ascii="Calibri" w:hAnsi="Calibri" w:eastAsia="楷体_GB2312" w:cs="Times New Roman"/>
      <w:sz w:val="18"/>
      <w:szCs w:val="20"/>
    </w:rPr>
  </w:style>
  <w:style w:type="character" w:styleId="855" w:customStyle="1">
    <w:name w:val="正文文本缩进 3 字符"/>
    <w:basedOn w:val="781"/>
    <w:link w:val="813"/>
    <w:uiPriority w:val="0"/>
    <w:qFormat/>
    <w:rPr>
      <w:rFonts w:ascii="Calibri" w:hAnsi="Calibri" w:eastAsia="宋体" w:cs="Times New Roman"/>
      <w:sz w:val="24"/>
      <w:szCs w:val="24"/>
    </w:rPr>
  </w:style>
  <w:style w:type="character" w:styleId="856" w:customStyle="1">
    <w:name w:val="HTML 预设格式 字符"/>
    <w:basedOn w:val="781"/>
    <w:link w:val="818"/>
    <w:uiPriority w:val="0"/>
    <w:qFormat/>
    <w:rPr>
      <w:rFonts w:ascii="黑体" w:hAnsi="Courier New" w:eastAsia="黑体" w:cs="Times New Roman"/>
      <w:sz w:val="20"/>
      <w:szCs w:val="20"/>
    </w:rPr>
  </w:style>
  <w:style w:type="character" w:styleId="857" w:customStyle="1">
    <w:name w:val="标题 字符"/>
    <w:basedOn w:val="781"/>
    <w:link w:val="821"/>
    <w:uiPriority w:val="0"/>
    <w:qFormat/>
    <w:rPr>
      <w:rFonts w:ascii="Cambria" w:hAnsi="Cambria" w:eastAsia="宋体" w:cs="Times New Roman"/>
      <w:b/>
      <w:bCs/>
      <w:sz w:val="32"/>
      <w:szCs w:val="32"/>
    </w:rPr>
  </w:style>
  <w:style w:type="character" w:styleId="858" w:customStyle="1">
    <w:name w:val="批注主题 字符"/>
    <w:basedOn w:val="843"/>
    <w:link w:val="822"/>
    <w:uiPriority w:val="99"/>
    <w:qFormat/>
    <w:rPr>
      <w:rFonts w:ascii="Calibri" w:hAnsi="Calibri" w:eastAsia="楷体_GB2312" w:cs="Times New Roman"/>
      <w:b/>
      <w:bCs/>
      <w:sz w:val="26"/>
      <w:szCs w:val="20"/>
    </w:rPr>
  </w:style>
  <w:style w:type="character" w:styleId="859" w:customStyle="1">
    <w:name w:val="正文首行缩进 2 字符"/>
    <w:basedOn w:val="845"/>
    <w:link w:val="823"/>
    <w:uiPriority w:val="0"/>
    <w:qFormat/>
    <w:rPr>
      <w:rFonts w:ascii="Calibri" w:hAnsi="Calibri" w:eastAsia="楷体_GB2312" w:cs="Times New Roman"/>
      <w:sz w:val="26"/>
      <w:szCs w:val="20"/>
    </w:rPr>
  </w:style>
  <w:style w:type="character" w:styleId="860" w:customStyle="1">
    <w:name w:val="Plain Text Char Char"/>
    <w:link w:val="861"/>
    <w:uiPriority w:val="0"/>
    <w:qFormat/>
    <w:rPr>
      <w:rFonts w:ascii="宋体" w:hAnsi="Courier New" w:eastAsia="楷体_GB2312"/>
      <w:sz w:val="26"/>
    </w:rPr>
  </w:style>
  <w:style w:type="paragraph" w:styleId="861" w:customStyle="1">
    <w:name w:val="纯文本3"/>
    <w:basedOn w:val="774"/>
    <w:link w:val="860"/>
    <w:uiPriority w:val="0"/>
    <w:qFormat/>
    <w:rPr>
      <w:rFonts w:ascii="宋体" w:hAnsi="Courier New" w:eastAsia="楷体_GB2312"/>
      <w:sz w:val="26"/>
    </w:rPr>
  </w:style>
  <w:style w:type="character" w:styleId="862" w:customStyle="1">
    <w:name w:val="styl81"/>
    <w:uiPriority w:val="0"/>
    <w:qFormat/>
    <w:rPr>
      <w:sz w:val="21"/>
    </w:rPr>
  </w:style>
  <w:style w:type="character" w:styleId="863" w:customStyle="1">
    <w:name w:val="Plain Text Char"/>
    <w:link w:val="864"/>
    <w:uiPriority w:val="0"/>
    <w:qFormat/>
    <w:rPr>
      <w:rFonts w:ascii="宋体" w:hAnsi="Courier New" w:eastAsia="楷体_GB2312"/>
      <w:sz w:val="26"/>
    </w:rPr>
  </w:style>
  <w:style w:type="paragraph" w:styleId="864" w:customStyle="1">
    <w:name w:val="纯文本1"/>
    <w:basedOn w:val="774"/>
    <w:link w:val="863"/>
    <w:uiPriority w:val="0"/>
    <w:qFormat/>
    <w:rPr>
      <w:rFonts w:ascii="宋体" w:hAnsi="Courier New" w:eastAsia="楷体_GB2312"/>
      <w:sz w:val="26"/>
    </w:rPr>
  </w:style>
  <w:style w:type="character" w:styleId="865" w:customStyle="1">
    <w:name w:val="表正文 Char1"/>
    <w:uiPriority w:val="0"/>
    <w:qFormat/>
    <w:rPr>
      <w:rFonts w:eastAsia="楷体_GB2312"/>
      <w:sz w:val="24"/>
      <w:lang w:val="en-US" w:eastAsia="zh-CN" w:bidi="ar-SA"/>
    </w:rPr>
  </w:style>
  <w:style w:type="character" w:styleId="866" w:customStyle="1">
    <w:name w:val="_正文段落 Char"/>
    <w:link w:val="867"/>
    <w:uiPriority w:val="0"/>
    <w:qFormat/>
    <w:rPr>
      <w:rFonts w:ascii="宋体" w:hAnsi="宋体"/>
      <w:sz w:val="24"/>
      <w:szCs w:val="24"/>
    </w:rPr>
  </w:style>
  <w:style w:type="paragraph" w:styleId="867" w:customStyle="1">
    <w:name w:val="_正文段落"/>
    <w:basedOn w:val="774"/>
    <w:link w:val="866"/>
    <w:uiPriority w:val="0"/>
    <w:qFormat/>
    <w:pPr>
      <w:ind w:firstLine="480"/>
      <w:spacing w:line="360" w:lineRule="auto"/>
    </w:pPr>
    <w:rPr>
      <w:rFonts w:ascii="宋体" w:hAnsi="宋体"/>
      <w:sz w:val="24"/>
      <w:szCs w:val="24"/>
    </w:rPr>
  </w:style>
  <w:style w:type="character" w:styleId="868" w:customStyle="1">
    <w:name w:val="Andy_正文 Char"/>
    <w:link w:val="869"/>
    <w:uiPriority w:val="0"/>
    <w:qFormat/>
    <w:rPr>
      <w:sz w:val="24"/>
      <w:szCs w:val="24"/>
    </w:rPr>
  </w:style>
  <w:style w:type="paragraph" w:styleId="869" w:customStyle="1">
    <w:name w:val="Andy_正文"/>
    <w:basedOn w:val="774"/>
    <w:link w:val="868"/>
    <w:uiPriority w:val="0"/>
    <w:qFormat/>
    <w:pPr>
      <w:ind w:firstLine="480"/>
      <w:spacing w:line="360" w:lineRule="auto"/>
    </w:pPr>
    <w:rPr>
      <w:sz w:val="24"/>
      <w:szCs w:val="24"/>
    </w:rPr>
  </w:style>
  <w:style w:type="character" w:styleId="870" w:customStyle="1">
    <w:name w:val="正文缩进 Char1"/>
    <w:uiPriority w:val="0"/>
    <w:qFormat/>
    <w:rPr>
      <w:rFonts w:eastAsia="楷体_GB2312"/>
      <w:sz w:val="24"/>
    </w:rPr>
  </w:style>
  <w:style w:type="character" w:styleId="871" w:customStyle="1">
    <w:name w:val="副标题 Char1"/>
    <w:uiPriority w:val="11"/>
    <w:qFormat/>
    <w:rPr>
      <w:rFonts w:ascii="Cambria" w:hAnsi="Cambria" w:cs="Times New Roman"/>
      <w:b/>
      <w:bCs/>
      <w:sz w:val="32"/>
      <w:szCs w:val="32"/>
    </w:rPr>
  </w:style>
  <w:style w:type="character" w:styleId="872" w:customStyle="1">
    <w:name w:val="Andy_2级 Char"/>
    <w:link w:val="873"/>
    <w:uiPriority w:val="0"/>
    <w:qFormat/>
    <w:rPr>
      <w:sz w:val="24"/>
    </w:rPr>
  </w:style>
  <w:style w:type="paragraph" w:styleId="873" w:customStyle="1">
    <w:name w:val="Andy_2级"/>
    <w:basedOn w:val="774"/>
    <w:link w:val="872"/>
    <w:uiPriority w:val="0"/>
    <w:qFormat/>
    <w:pPr>
      <w:numPr>
        <w:ilvl w:val="1"/>
        <w:numId w:val="1"/>
      </w:numPr>
      <w:spacing w:line="360" w:lineRule="auto"/>
    </w:pPr>
    <w:rPr>
      <w:sz w:val="24"/>
    </w:rPr>
  </w:style>
  <w:style w:type="character" w:styleId="874" w:customStyle="1">
    <w:name w:val="副标题 Char2"/>
    <w:uiPriority w:val="0"/>
    <w:qFormat/>
    <w:rPr>
      <w:rFonts w:ascii="Cambria" w:hAnsi="Cambria" w:cs="Times New Roman"/>
      <w:b/>
      <w:bCs/>
      <w:sz w:val="32"/>
      <w:szCs w:val="32"/>
    </w:rPr>
  </w:style>
  <w:style w:type="character" w:styleId="875" w:customStyle="1">
    <w:name w:val="正文首行缩进 2 Char1"/>
    <w:uiPriority w:val="0"/>
    <w:qFormat/>
    <w:rPr>
      <w:rFonts w:ascii="方正仿宋简体" w:hAnsi="创艺简仿宋" w:eastAsia="楷体_GB2312"/>
      <w:sz w:val="26"/>
    </w:rPr>
  </w:style>
  <w:style w:type="character" w:styleId="876" w:customStyle="1">
    <w:name w:val="ca-221"/>
    <w:uiPriority w:val="0"/>
    <w:qFormat/>
    <w:rPr>
      <w:rFonts w:hint="eastAsia" w:ascii="宋体" w:hAnsi="宋体" w:eastAsia="宋体"/>
      <w:color w:val="ff0000"/>
      <w:sz w:val="24"/>
      <w:szCs w:val="24"/>
    </w:rPr>
  </w:style>
  <w:style w:type="paragraph" w:styleId="877" w:customStyle="1">
    <w:name w:val="纯文本11"/>
    <w:basedOn w:val="774"/>
    <w:uiPriority w:val="0"/>
    <w:qFormat/>
    <w:rPr>
      <w:rFonts w:ascii="宋体" w:hAnsi="Courier New" w:eastAsia="楷体_GB2312" w:cs="Times New Roman"/>
      <w:sz w:val="26"/>
      <w:szCs w:val="20"/>
    </w:rPr>
  </w:style>
  <w:style w:type="paragraph" w:styleId="878" w:customStyle="1">
    <w:name w:val="xl70"/>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879" w:customStyle="1">
    <w:name w:val="xl69"/>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880" w:customStyle="1">
    <w:name w:val="xl79"/>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881" w:customStyle="1">
    <w:name w:val="xl86"/>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882" w:customStyle="1">
    <w:name w:val="纯文本2"/>
    <w:basedOn w:val="774"/>
    <w:uiPriority w:val="0"/>
    <w:qFormat/>
    <w:rPr>
      <w:rFonts w:ascii="宋体" w:hAnsi="Courier New" w:eastAsia="楷体_GB2312" w:cs="Times New Roman"/>
      <w:sz w:val="26"/>
      <w:szCs w:val="20"/>
    </w:rPr>
  </w:style>
  <w:style w:type="paragraph" w:styleId="883" w:customStyle="1">
    <w:name w:val="列出段落2"/>
    <w:basedOn w:val="774"/>
    <w:uiPriority w:val="0"/>
    <w:qFormat/>
    <w:pPr>
      <w:ind w:firstLine="420"/>
    </w:pPr>
    <w:rPr>
      <w:rFonts w:ascii="Calibri" w:hAnsi="Calibri" w:eastAsia="宋体" w:cs="Times New Roman"/>
    </w:rPr>
  </w:style>
  <w:style w:type="paragraph" w:styleId="884" w:customStyle="1">
    <w:name w:val="xl78"/>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885" w:customStyle="1">
    <w:name w:val="xl96"/>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886" w:customStyle="1">
    <w:name w:val="Char Char Char Char"/>
    <w:basedOn w:val="787"/>
    <w:uiPriority w:val="0"/>
    <w:qFormat/>
    <w:pPr>
      <w:ind w:left="357"/>
      <w:jc w:val="left"/>
      <w:spacing w:line="436" w:lineRule="exact"/>
      <w:outlineLvl w:val="3"/>
    </w:pPr>
    <w:rPr>
      <w:rFonts w:ascii="Tahoma" w:hAnsi="Tahoma" w:eastAsia="宋体"/>
      <w:b/>
      <w:sz w:val="24"/>
      <w:szCs w:val="24"/>
    </w:rPr>
  </w:style>
  <w:style w:type="paragraph" w:styleId="887" w:customStyle="1">
    <w:name w:val="列出段落1"/>
    <w:basedOn w:val="774"/>
    <w:uiPriority w:val="0"/>
    <w:qFormat/>
    <w:pPr>
      <w:ind w:firstLine="420"/>
    </w:pPr>
    <w:rPr>
      <w:rFonts w:ascii="Calibri" w:hAnsi="Calibri" w:eastAsia="楷体_GB2312" w:cs="Times New Roman"/>
      <w:sz w:val="26"/>
      <w:szCs w:val="20"/>
    </w:rPr>
  </w:style>
  <w:style w:type="paragraph" w:styleId="888" w:customStyle="1">
    <w:name w:val="xl74"/>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889" w:customStyle="1">
    <w:name w:val="纯文本4"/>
    <w:basedOn w:val="774"/>
    <w:uiPriority w:val="0"/>
    <w:qFormat/>
    <w:rPr>
      <w:rFonts w:ascii="宋体" w:hAnsi="Courier New" w:eastAsia="楷体_GB2312" w:cs="Times New Roman"/>
      <w:sz w:val="26"/>
      <w:szCs w:val="20"/>
    </w:rPr>
  </w:style>
  <w:style w:type="paragraph" w:styleId="890" w:customStyle="1">
    <w:name w:val="xl92"/>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891" w:customStyle="1">
    <w:name w:val="xl66"/>
    <w:basedOn w:val="774"/>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892" w:customStyle="1">
    <w:name w:val="xl94"/>
    <w:basedOn w:val="774"/>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893" w:customStyle="1">
    <w:name w:val="Char Char3"/>
    <w:basedOn w:val="774"/>
    <w:uiPriority w:val="0"/>
    <w:qFormat/>
    <w:pPr>
      <w:jc w:val="left"/>
      <w:spacing w:after="160" w:line="240" w:lineRule="exact"/>
      <w:widowControl/>
    </w:pPr>
    <w:rPr>
      <w:rFonts w:ascii="Calibri" w:hAnsi="Calibri" w:eastAsia="宋体" w:cs="Times New Roman"/>
      <w:sz w:val="24"/>
      <w:szCs w:val="24"/>
    </w:rPr>
  </w:style>
  <w:style w:type="paragraph" w:styleId="894" w:customStyle="1">
    <w:name w:val="xl95"/>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895" w:customStyle="1">
    <w:name w:val="xl85"/>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896" w:customStyle="1">
    <w:name w:val="q3"/>
    <w:basedOn w:val="774"/>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897" w:customStyle="1">
    <w:name w:val="xl91"/>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898" w:customStyle="1">
    <w:name w:val="Char Char Char"/>
    <w:basedOn w:val="774"/>
    <w:uiPriority w:val="0"/>
    <w:qFormat/>
    <w:pPr>
      <w:numPr>
        <w:ilvl w:val="0"/>
        <w:numId w:val="2"/>
      </w:numPr>
    </w:pPr>
    <w:rPr>
      <w:rFonts w:ascii="Calibri" w:hAnsi="Calibri" w:eastAsia="宋体" w:cs="Times New Roman"/>
      <w:sz w:val="24"/>
      <w:szCs w:val="24"/>
    </w:rPr>
  </w:style>
  <w:style w:type="paragraph" w:styleId="899" w:customStyle="1">
    <w:name w:val="xl80"/>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00" w:customStyle="1">
    <w:name w:val="修订1"/>
    <w:uiPriority w:val="99"/>
    <w:unhideWhenUsed/>
    <w:qFormat/>
    <w:rPr>
      <w:rFonts w:ascii="Calibri" w:hAnsi="Calibri" w:eastAsia="楷体_GB2312" w:cs="Times New Roman"/>
      <w:sz w:val="26"/>
      <w:lang w:val="en-US" w:eastAsia="zh-CN" w:bidi="ar-SA"/>
    </w:rPr>
  </w:style>
  <w:style w:type="paragraph" w:styleId="901" w:customStyle="1">
    <w:name w:val="xl72"/>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02"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903" w:customStyle="1">
    <w:name w:val="纯文本111"/>
    <w:basedOn w:val="774"/>
    <w:uiPriority w:val="0"/>
    <w:qFormat/>
    <w:rPr>
      <w:rFonts w:ascii="宋体" w:hAnsi="Courier New" w:eastAsia="楷体_GB2312" w:cs="Times New Roman"/>
      <w:sz w:val="26"/>
      <w:szCs w:val="20"/>
    </w:rPr>
  </w:style>
  <w:style w:type="paragraph" w:styleId="904" w:customStyle="1">
    <w:name w:val="xl93"/>
    <w:basedOn w:val="774"/>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05"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906" w:customStyle="1">
    <w:name w:val="xl71"/>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07" w:customStyle="1">
    <w:name w:val="xl87"/>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908" w:customStyle="1">
    <w:name w:val="Char"/>
    <w:basedOn w:val="774"/>
    <w:uiPriority w:val="0"/>
    <w:qFormat/>
    <w:pPr>
      <w:jc w:val="left"/>
      <w:spacing w:after="160" w:line="240" w:lineRule="exact"/>
      <w:widowControl/>
    </w:pPr>
    <w:rPr>
      <w:rFonts w:ascii="Verdana" w:hAnsi="Verdana" w:eastAsia="仿宋_GB2312" w:cs="Times New Roman"/>
      <w:sz w:val="24"/>
      <w:szCs w:val="20"/>
      <w:lang w:eastAsia="en-US"/>
    </w:rPr>
  </w:style>
  <w:style w:type="paragraph" w:styleId="909" w:customStyle="1">
    <w:name w:val="xl67"/>
    <w:basedOn w:val="774"/>
    <w:uiPriority w:val="0"/>
    <w:qFormat/>
    <w:pPr>
      <w:jc w:val="left"/>
      <w:spacing w:before="100" w:beforeAutospacing="1" w:after="100" w:afterAutospacing="1"/>
      <w:widowControl/>
    </w:pPr>
    <w:rPr>
      <w:rFonts w:ascii="仿宋_GB2312" w:hAnsi="宋体" w:eastAsia="仿宋_GB2312" w:cs="宋体"/>
      <w:sz w:val="20"/>
      <w:szCs w:val="20"/>
    </w:rPr>
  </w:style>
  <w:style w:type="paragraph" w:styleId="910" w:customStyle="1">
    <w:name w:val="xl81"/>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11" w:customStyle="1">
    <w:name w:val="xl73"/>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12" w:customStyle="1">
    <w:name w:val="xl68"/>
    <w:basedOn w:val="774"/>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13" w:customStyle="1">
    <w:name w:val="正文1"/>
    <w:basedOn w:val="774"/>
    <w:next w:val="774"/>
    <w:uiPriority w:val="0"/>
    <w:qFormat/>
    <w:pPr>
      <w:ind w:left="420" w:firstLine="527"/>
      <w:spacing w:before="120" w:line="360" w:lineRule="auto"/>
    </w:pPr>
    <w:rPr>
      <w:rFonts w:ascii="宋体" w:hAnsi="宋体" w:eastAsia="宋体" w:cs="Times New Roman"/>
      <w:sz w:val="24"/>
      <w:szCs w:val="24"/>
    </w:rPr>
  </w:style>
  <w:style w:type="paragraph" w:styleId="914" w:customStyle="1">
    <w:name w:val="xl90"/>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15" w:customStyle="1">
    <w:name w:val="xl83"/>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16" w:customStyle="1">
    <w:name w:val="xl76"/>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17" w:customStyle="1">
    <w:name w:val="xl82"/>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918">
    <w:name w:val="List Paragraph"/>
    <w:basedOn w:val="774"/>
    <w:uiPriority w:val="34"/>
    <w:qFormat/>
    <w:pPr>
      <w:ind w:firstLine="420"/>
    </w:pPr>
    <w:rPr>
      <w:rFonts w:ascii="Calibri" w:hAnsi="Calibri" w:eastAsia="楷体_GB2312" w:cs="Times New Roman"/>
      <w:sz w:val="26"/>
      <w:szCs w:val="20"/>
    </w:rPr>
  </w:style>
  <w:style w:type="paragraph" w:styleId="919" w:customStyle="1">
    <w:name w:val="纯文本5"/>
    <w:basedOn w:val="774"/>
    <w:uiPriority w:val="0"/>
    <w:qFormat/>
    <w:rPr>
      <w:rFonts w:ascii="宋体" w:hAnsi="Courier New" w:eastAsia="楷体_GB2312" w:cs="Times New Roman"/>
      <w:sz w:val="26"/>
      <w:szCs w:val="20"/>
    </w:rPr>
  </w:style>
  <w:style w:type="paragraph" w:styleId="920" w:customStyle="1">
    <w:name w:val="xl84"/>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21" w:customStyle="1">
    <w:name w:val="xl88"/>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922" w:customStyle="1">
    <w:name w:val="xl75"/>
    <w:basedOn w:val="77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23" w:customStyle="1">
    <w:name w:val="xl97"/>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24" w:customStyle="1">
    <w:name w:val="xl77"/>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25" w:customStyle="1">
    <w:name w:val="xl89"/>
    <w:basedOn w:val="77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926" w:customStyle="1">
    <w:name w:val="Table Grid"/>
    <w:uiPriority w:val="0"/>
    <w:qFormat/>
    <w:rPr>
      <w:rFonts w:ascii="Calibri" w:hAnsi="Calibri"/>
    </w:rPr>
    <w:tblPr>
      <w:tblCellMar>
        <w:left w:w="0" w:type="dxa"/>
        <w:top w:w="0" w:type="dxa"/>
        <w:right w:w="0" w:type="dxa"/>
        <w:bottom w:w="0" w:type="dxa"/>
      </w:tblCellMar>
    </w:tblPr>
  </w:style>
  <w:style w:type="paragraph" w:styleId="927" w:customStyle="1">
    <w:name w:val="Plain Text1"/>
    <w:basedOn w:val="774"/>
    <w:uiPriority w:val="0"/>
    <w:qFormat/>
    <w:rPr>
      <w:rFonts w:ascii="宋体" w:hAnsi="Courier New" w:eastAsia="楷体_GB2312" w:cs="Times New Roman"/>
      <w:sz w:val="26"/>
      <w:szCs w:val="20"/>
    </w:rPr>
  </w:style>
  <w:style w:type="table" w:styleId="928" w:customStyle="1">
    <w:name w:val="网格型1"/>
    <w:basedOn w:val="78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9"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930"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931"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932"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933"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934"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935" w:customStyle="1">
    <w:name w:val="font81"/>
    <w:basedOn w:val="781"/>
    <w:uiPriority w:val="0"/>
    <w:qFormat/>
    <w:rPr>
      <w:rFonts w:hint="eastAsia" w:ascii="宋体" w:hAnsi="宋体" w:eastAsia="宋体" w:cs="宋体"/>
      <w:color w:val="000000"/>
      <w:sz w:val="18"/>
      <w:szCs w:val="18"/>
      <w:u w:val="none"/>
    </w:rPr>
  </w:style>
  <w:style w:type="character" w:styleId="936" w:customStyle="1">
    <w:name w:val="font91"/>
    <w:basedOn w:val="781"/>
    <w:uiPriority w:val="0"/>
    <w:qFormat/>
    <w:rPr>
      <w:rFonts w:hint="eastAsia" w:ascii="宋体" w:hAnsi="宋体" w:eastAsia="宋体" w:cs="宋体"/>
      <w:b/>
      <w:bCs/>
      <w:color w:val="ff0000"/>
      <w:sz w:val="18"/>
      <w:szCs w:val="18"/>
      <w:u w:val="none"/>
    </w:rPr>
  </w:style>
  <w:style w:type="character" w:styleId="937" w:customStyle="1">
    <w:name w:val="font21"/>
    <w:basedOn w:val="781"/>
    <w:uiPriority w:val="0"/>
    <w:qFormat/>
    <w:rPr>
      <w:rFonts w:hint="eastAsia" w:ascii="宋体" w:hAnsi="宋体" w:eastAsia="宋体" w:cs="宋体"/>
      <w:b/>
      <w:bCs/>
      <w:color w:val="000000"/>
      <w:sz w:val="22"/>
      <w:szCs w:val="22"/>
      <w:u w:val="none"/>
    </w:rPr>
  </w:style>
  <w:style w:type="character" w:styleId="938" w:customStyle="1">
    <w:name w:val="font51"/>
    <w:basedOn w:val="781"/>
    <w:uiPriority w:val="0"/>
    <w:qFormat/>
    <w:rPr>
      <w:rFonts w:hint="eastAsia" w:ascii="宋体" w:hAnsi="宋体" w:eastAsia="宋体" w:cs="宋体"/>
      <w:b/>
      <w:bCs/>
      <w:color w:val="ff0000"/>
      <w:sz w:val="22"/>
      <w:szCs w:val="22"/>
      <w:u w:val="none"/>
    </w:rPr>
  </w:style>
  <w:style w:type="character" w:styleId="939" w:customStyle="1">
    <w:name w:val="font31"/>
    <w:basedOn w:val="781"/>
    <w:uiPriority w:val="0"/>
    <w:qFormat/>
    <w:rPr>
      <w:rFonts w:hint="eastAsia" w:ascii="宋体" w:hAnsi="宋体" w:eastAsia="宋体" w:cs="宋体"/>
      <w:color w:val="000000"/>
      <w:sz w:val="22"/>
      <w:szCs w:val="22"/>
      <w:u w:val="none"/>
    </w:rPr>
  </w:style>
  <w:style w:type="character" w:styleId="940" w:customStyle="1">
    <w:name w:val="font61"/>
    <w:basedOn w:val="781"/>
    <w:uiPriority w:val="0"/>
    <w:qFormat/>
    <w:rPr>
      <w:rFonts w:hint="eastAsia" w:ascii="宋体" w:hAnsi="宋体" w:eastAsia="宋体" w:cs="宋体"/>
      <w:color w:val="ff0000"/>
      <w:sz w:val="22"/>
      <w:szCs w:val="22"/>
      <w:u w:val="none"/>
    </w:rPr>
  </w:style>
  <w:style w:type="table" w:styleId="941" w:customStyle="1">
    <w:name w:val="Table Normal"/>
    <w:uiPriority w:val="0"/>
    <w:unhideWhenUsed/>
    <w:qFormat/>
    <w:tblPr>
      <w:tblCellMar>
        <w:left w:w="0" w:type="dxa"/>
        <w:top w:w="0" w:type="dxa"/>
        <w:right w:w="0" w:type="dxa"/>
        <w:bottom w:w="0" w:type="dxa"/>
      </w:tblCellMar>
    </w:tblPr>
  </w:style>
  <w:style w:type="paragraph" w:styleId="942"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character" w:styleId="943" w:customStyle="1">
    <w:name w:val="font11"/>
    <w:basedOn w:val="781"/>
    <w:uiPriority w:val="0"/>
    <w:qFormat/>
    <w:rPr>
      <w:rFonts w:hint="eastAsia" w:ascii="宋体" w:hAnsi="宋体" w:eastAsia="宋体" w:cs="宋体"/>
      <w:color w:val="000000"/>
      <w:sz w:val="22"/>
      <w:szCs w:val="22"/>
      <w:u w:val="none"/>
    </w:rPr>
  </w:style>
  <w:style w:type="character" w:styleId="944" w:customStyle="1">
    <w:name w:val="font41"/>
    <w:basedOn w:val="781"/>
    <w:uiPriority w:val="0"/>
    <w:qFormat/>
    <w:rPr>
      <w:rFonts w:hint="eastAsia" w:ascii="宋体" w:hAnsi="宋体" w:eastAsia="宋体" w:cs="宋体"/>
      <w:color w:val="000000"/>
      <w:sz w:val="22"/>
      <w:szCs w:val="22"/>
      <w:u w:val="none"/>
    </w:rPr>
  </w:style>
  <w:style w:type="character" w:styleId="945" w:customStyle="1">
    <w:name w:val="font71"/>
    <w:basedOn w:val="781"/>
    <w:uiPriority w:val="0"/>
    <w:qFormat/>
    <w:rPr>
      <w:rFonts w:hint="eastAsia" w:ascii="宋体" w:hAnsi="宋体" w:eastAsia="宋体" w:cs="宋体"/>
      <w:color w:val="000000"/>
      <w:sz w:val="22"/>
      <w:szCs w:val="22"/>
      <w:u w:val="none"/>
      <w:vertAlign w:val="superscript"/>
    </w:rPr>
  </w:style>
  <w:style w:type="character" w:styleId="946" w:customStyle="1">
    <w:name w:val="16"/>
    <w:basedOn w:val="781"/>
    <w:uiPriority w:val="0"/>
    <w:qFormat/>
    <w:rPr>
      <w:rFonts w:hint="default" w:ascii="Times New Roman" w:hAnsi="Times New Roman" w:cs="Times New Roman"/>
      <w:i/>
    </w:rPr>
  </w:style>
  <w:style w:type="numbering" w:styleId="328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132B603-D4DA-4432-BC9F-60FE69F1598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苏州华星田娟</cp:lastModifiedBy>
  <cp:revision>109</cp:revision>
  <dcterms:created xsi:type="dcterms:W3CDTF">2022-06-13T08:19:00Z</dcterms:created>
  <dcterms:modified xsi:type="dcterms:W3CDTF">2026-07-19T06:08:26Z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591A3671D520412992D3A55C7504B243_13</vt:lpwstr>
  </property>
  <property fmtid="{D5CDD505-2E9C-101B-9397-08002B2CF9AE}" pid="4" name="KSOTemplateDocerSaveRecord">
    <vt:lpwstr>eyJoZGlkIjoiZDViOTliMTQ1NGRlNmVkYTY3N2JjOTk2ZTliOTNlMWYiLCJ1c2VySWQiOiIxMzYxNzMzOTA3In0=</vt:lpwstr>
  </property>
</Properties>
</file>