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3FC2BD">
      <w:pPr>
        <w:keepNext w:val="0"/>
        <w:keepLines w:val="0"/>
        <w:kinsoku/>
        <w:wordWrap/>
        <w:overflowPunct/>
        <w:topLinePunct w:val="0"/>
        <w:autoSpaceDE/>
        <w:autoSpaceDN/>
        <w:bidi w:val="0"/>
        <w:adjustRightInd w:val="0"/>
        <w:snapToGrid w:val="0"/>
        <w:spacing w:line="360" w:lineRule="auto"/>
        <w:ind w:left="0" w:leftChars="0" w:right="0" w:hanging="570"/>
        <w:jc w:val="center"/>
        <w:textAlignment w:val="auto"/>
        <w:rPr>
          <w:rFonts w:hint="eastAsia" w:ascii="宋体" w:hAnsi="宋体" w:eastAsia="宋体" w:cs="宋体"/>
          <w:snapToGrid w:val="0"/>
          <w:color w:val="000000" w:themeColor="text1"/>
          <w:spacing w:val="0"/>
          <w:sz w:val="60"/>
          <w:szCs w:val="60"/>
          <w14:textFill>
            <w14:solidFill>
              <w14:schemeClr w14:val="tx1"/>
            </w14:solidFill>
          </w14:textFill>
        </w:rPr>
      </w:pPr>
    </w:p>
    <w:p w14:paraId="4C6556D8">
      <w:pPr>
        <w:keepNext w:val="0"/>
        <w:keepLines w:val="0"/>
        <w:kinsoku/>
        <w:wordWrap/>
        <w:overflowPunct/>
        <w:topLinePunct w:val="0"/>
        <w:autoSpaceDE/>
        <w:autoSpaceDN/>
        <w:bidi w:val="0"/>
        <w:adjustRightInd w:val="0"/>
        <w:snapToGrid w:val="0"/>
        <w:spacing w:line="360" w:lineRule="auto"/>
        <w:ind w:left="0" w:leftChars="0" w:right="0" w:hanging="570"/>
        <w:jc w:val="center"/>
        <w:textAlignment w:val="auto"/>
        <w:rPr>
          <w:rFonts w:hint="eastAsia" w:ascii="宋体" w:hAnsi="宋体" w:eastAsia="宋体" w:cs="宋体"/>
          <w:snapToGrid w:val="0"/>
          <w:color w:val="000000" w:themeColor="text1"/>
          <w:spacing w:val="0"/>
          <w:sz w:val="60"/>
          <w:szCs w:val="60"/>
          <w14:textFill>
            <w14:solidFill>
              <w14:schemeClr w14:val="tx1"/>
            </w14:solidFill>
          </w14:textFill>
        </w:rPr>
      </w:pPr>
    </w:p>
    <w:p w14:paraId="30EF0086">
      <w:pPr>
        <w:keepNext w:val="0"/>
        <w:keepLines w:val="0"/>
        <w:kinsoku/>
        <w:wordWrap/>
        <w:overflowPunct/>
        <w:topLinePunct w:val="0"/>
        <w:autoSpaceDE/>
        <w:autoSpaceDN/>
        <w:bidi w:val="0"/>
        <w:adjustRightInd w:val="0"/>
        <w:snapToGrid w:val="0"/>
        <w:spacing w:line="360" w:lineRule="auto"/>
        <w:ind w:right="0"/>
        <w:jc w:val="center"/>
        <w:textAlignment w:val="auto"/>
        <w:rPr>
          <w:rFonts w:hint="eastAsia" w:ascii="宋体" w:hAnsi="宋体" w:eastAsia="宋体" w:cs="宋体"/>
          <w:b/>
          <w:snapToGrid w:val="0"/>
          <w:color w:val="000000" w:themeColor="text1"/>
          <w:spacing w:val="0"/>
          <w:sz w:val="60"/>
          <w:szCs w:val="60"/>
          <w:lang w:val="en-US" w:eastAsia="zh-CN"/>
          <w14:textFill>
            <w14:solidFill>
              <w14:schemeClr w14:val="tx1"/>
            </w14:solidFill>
          </w14:textFill>
        </w:rPr>
      </w:pPr>
      <w:r>
        <w:rPr>
          <w:rFonts w:hint="eastAsia" w:ascii="宋体" w:hAnsi="宋体" w:eastAsia="宋体" w:cs="宋体"/>
          <w:b/>
          <w:snapToGrid w:val="0"/>
          <w:color w:val="000000" w:themeColor="text1"/>
          <w:spacing w:val="0"/>
          <w:sz w:val="60"/>
          <w:szCs w:val="60"/>
          <w14:textFill>
            <w14:solidFill>
              <w14:schemeClr w14:val="tx1"/>
            </w14:solidFill>
          </w14:textFill>
        </w:rPr>
        <w:t>常州市政府采购项</w:t>
      </w:r>
      <w:r>
        <w:rPr>
          <w:rFonts w:hint="eastAsia" w:ascii="宋体" w:hAnsi="宋体" w:eastAsia="宋体" w:cs="宋体"/>
          <w:b/>
          <w:snapToGrid w:val="0"/>
          <w:color w:val="000000" w:themeColor="text1"/>
          <w:spacing w:val="0"/>
          <w:sz w:val="60"/>
          <w:szCs w:val="60"/>
          <w:lang w:val="en-US" w:eastAsia="zh-CN"/>
          <w14:textFill>
            <w14:solidFill>
              <w14:schemeClr w14:val="tx1"/>
            </w14:solidFill>
          </w14:textFill>
        </w:rPr>
        <w:t>目</w:t>
      </w:r>
    </w:p>
    <w:p w14:paraId="1E8456D3">
      <w:pPr>
        <w:keepNext w:val="0"/>
        <w:keepLines w:val="0"/>
        <w:kinsoku/>
        <w:wordWrap/>
        <w:overflowPunct/>
        <w:topLinePunct w:val="0"/>
        <w:autoSpaceDE/>
        <w:autoSpaceDN/>
        <w:bidi w:val="0"/>
        <w:adjustRightInd w:val="0"/>
        <w:snapToGrid w:val="0"/>
        <w:spacing w:line="360" w:lineRule="auto"/>
        <w:ind w:right="0"/>
        <w:jc w:val="center"/>
        <w:textAlignment w:val="auto"/>
        <w:rPr>
          <w:rFonts w:hint="eastAsia" w:ascii="宋体" w:hAnsi="宋体" w:eastAsia="宋体" w:cs="宋体"/>
          <w:b/>
          <w:snapToGrid w:val="0"/>
          <w:color w:val="000000" w:themeColor="text1"/>
          <w:spacing w:val="0"/>
          <w:sz w:val="60"/>
          <w:szCs w:val="60"/>
          <w14:textFill>
            <w14:solidFill>
              <w14:schemeClr w14:val="tx1"/>
            </w14:solidFill>
          </w14:textFill>
        </w:rPr>
      </w:pPr>
      <w:r>
        <w:rPr>
          <w:rFonts w:hint="eastAsia" w:ascii="宋体" w:hAnsi="宋体" w:eastAsia="宋体" w:cs="宋体"/>
          <w:b/>
          <w:snapToGrid w:val="0"/>
          <w:color w:val="000000" w:themeColor="text1"/>
          <w:spacing w:val="0"/>
          <w:sz w:val="60"/>
          <w:szCs w:val="60"/>
          <w14:textFill>
            <w14:solidFill>
              <w14:schemeClr w14:val="tx1"/>
            </w14:solidFill>
          </w14:textFill>
        </w:rPr>
        <w:t>公开招标文件</w:t>
      </w:r>
    </w:p>
    <w:p w14:paraId="57FB242F">
      <w:pPr>
        <w:keepNext w:val="0"/>
        <w:keepLines w:val="0"/>
        <w:kinsoku/>
        <w:wordWrap/>
        <w:overflowPunct/>
        <w:topLinePunct w:val="0"/>
        <w:autoSpaceDE/>
        <w:autoSpaceDN/>
        <w:bidi w:val="0"/>
        <w:adjustRightInd w:val="0"/>
        <w:snapToGrid w:val="0"/>
        <w:spacing w:line="360" w:lineRule="auto"/>
        <w:ind w:left="0" w:leftChars="0" w:right="0" w:hanging="570"/>
        <w:jc w:val="center"/>
        <w:textAlignment w:val="auto"/>
        <w:rPr>
          <w:rFonts w:hint="eastAsia" w:ascii="宋体" w:hAnsi="宋体" w:eastAsia="宋体" w:cs="宋体"/>
          <w:snapToGrid w:val="0"/>
          <w:color w:val="000000" w:themeColor="text1"/>
          <w:spacing w:val="0"/>
          <w:sz w:val="60"/>
          <w:szCs w:val="60"/>
          <w14:textFill>
            <w14:solidFill>
              <w14:schemeClr w14:val="tx1"/>
            </w14:solidFill>
          </w14:textFill>
        </w:rPr>
      </w:pPr>
    </w:p>
    <w:p w14:paraId="1D101B46">
      <w:pPr>
        <w:pStyle w:val="8"/>
        <w:rPr>
          <w:rFonts w:hint="eastAsia"/>
          <w:color w:val="000000" w:themeColor="text1"/>
          <w14:textFill>
            <w14:solidFill>
              <w14:schemeClr w14:val="tx1"/>
            </w14:solidFill>
          </w14:textFill>
        </w:rPr>
      </w:pPr>
    </w:p>
    <w:p w14:paraId="6B690F56">
      <w:pPr>
        <w:pStyle w:val="8"/>
        <w:rPr>
          <w:rFonts w:hint="eastAsia" w:ascii="宋体" w:hAnsi="宋体" w:eastAsia="宋体" w:cs="宋体"/>
          <w:snapToGrid w:val="0"/>
          <w:color w:val="000000" w:themeColor="text1"/>
          <w:spacing w:val="0"/>
          <w:sz w:val="60"/>
          <w:szCs w:val="60"/>
          <w14:textFill>
            <w14:solidFill>
              <w14:schemeClr w14:val="tx1"/>
            </w14:solidFill>
          </w14:textFill>
        </w:rPr>
      </w:pPr>
    </w:p>
    <w:p w14:paraId="789C1843">
      <w:pPr>
        <w:rPr>
          <w:rFonts w:hint="eastAsia"/>
          <w:color w:val="000000" w:themeColor="text1"/>
          <w14:textFill>
            <w14:solidFill>
              <w14:schemeClr w14:val="tx1"/>
            </w14:solidFill>
          </w14:textFill>
        </w:rPr>
      </w:pPr>
    </w:p>
    <w:p w14:paraId="1E2E73C1">
      <w:pPr>
        <w:pStyle w:val="8"/>
        <w:rPr>
          <w:rFonts w:hint="eastAsia"/>
          <w:color w:val="000000" w:themeColor="text1"/>
          <w14:textFill>
            <w14:solidFill>
              <w14:schemeClr w14:val="tx1"/>
            </w14:solidFill>
          </w14:textFill>
        </w:rPr>
      </w:pPr>
    </w:p>
    <w:p w14:paraId="0E6D6F1A">
      <w:pPr>
        <w:keepNext w:val="0"/>
        <w:keepLines w:val="0"/>
        <w:tabs>
          <w:tab w:val="left" w:pos="5609"/>
        </w:tabs>
        <w:kinsoku/>
        <w:wordWrap/>
        <w:overflowPunct/>
        <w:topLinePunct w:val="0"/>
        <w:autoSpaceDE/>
        <w:autoSpaceDN/>
        <w:bidi w:val="0"/>
        <w:adjustRightInd w:val="0"/>
        <w:snapToGrid w:val="0"/>
        <w:spacing w:line="360" w:lineRule="auto"/>
        <w:ind w:left="1602" w:leftChars="0" w:right="0" w:hanging="1602" w:hangingChars="534"/>
        <w:jc w:val="left"/>
        <w:textAlignment w:val="auto"/>
        <w:rPr>
          <w:rFonts w:hint="eastAsia" w:ascii="宋体" w:hAnsi="宋体" w:eastAsia="宋体" w:cs="宋体"/>
          <w:bCs/>
          <w:snapToGrid w:val="0"/>
          <w:color w:val="000000" w:themeColor="text1"/>
          <w:spacing w:val="0"/>
          <w:sz w:val="30"/>
          <w:szCs w:val="30"/>
          <w:lang w:eastAsia="zh-CN"/>
          <w14:textFill>
            <w14:solidFill>
              <w14:schemeClr w14:val="tx1"/>
            </w14:solidFill>
          </w14:textFill>
        </w:rPr>
      </w:pPr>
      <w:r>
        <w:rPr>
          <w:rFonts w:hint="eastAsia" w:ascii="宋体" w:hAnsi="宋体" w:eastAsia="宋体" w:cs="宋体"/>
          <w:bCs/>
          <w:snapToGrid w:val="0"/>
          <w:color w:val="000000" w:themeColor="text1"/>
          <w:spacing w:val="0"/>
          <w:sz w:val="30"/>
          <w:szCs w:val="30"/>
          <w14:textFill>
            <w14:solidFill>
              <w14:schemeClr w14:val="tx1"/>
            </w14:solidFill>
          </w14:textFill>
        </w:rPr>
        <w:t>项目名称：</w:t>
      </w:r>
      <w:r>
        <w:rPr>
          <w:rFonts w:hint="eastAsia" w:ascii="宋体" w:hAnsi="宋体" w:eastAsia="宋体" w:cs="宋体"/>
          <w:bCs/>
          <w:snapToGrid w:val="0"/>
          <w:color w:val="000000" w:themeColor="text1"/>
          <w:spacing w:val="0"/>
          <w:sz w:val="30"/>
          <w:szCs w:val="30"/>
          <w:lang w:eastAsia="zh-CN"/>
          <w14:textFill>
            <w14:solidFill>
              <w14:schemeClr w14:val="tx1"/>
            </w14:solidFill>
          </w14:textFill>
        </w:rPr>
        <w:t>金坛区持证残疾人商业保险</w:t>
      </w:r>
    </w:p>
    <w:p w14:paraId="2463A4B9">
      <w:pPr>
        <w:keepNext w:val="0"/>
        <w:keepLines w:val="0"/>
        <w:tabs>
          <w:tab w:val="left" w:pos="5609"/>
        </w:tabs>
        <w:kinsoku/>
        <w:wordWrap/>
        <w:overflowPunct/>
        <w:topLinePunct w:val="0"/>
        <w:autoSpaceDE/>
        <w:autoSpaceDN/>
        <w:bidi w:val="0"/>
        <w:adjustRightInd w:val="0"/>
        <w:snapToGrid w:val="0"/>
        <w:spacing w:line="360" w:lineRule="auto"/>
        <w:ind w:right="0"/>
        <w:jc w:val="left"/>
        <w:textAlignment w:val="auto"/>
        <w:rPr>
          <w:rFonts w:hint="eastAsia" w:ascii="宋体" w:hAnsi="宋体" w:eastAsia="宋体" w:cs="宋体"/>
          <w:bCs/>
          <w:snapToGrid w:val="0"/>
          <w:color w:val="000000" w:themeColor="text1"/>
          <w:spacing w:val="0"/>
          <w:lang w:eastAsia="zh-CN"/>
          <w14:textFill>
            <w14:solidFill>
              <w14:schemeClr w14:val="tx1"/>
            </w14:solidFill>
          </w14:textFill>
        </w:rPr>
      </w:pPr>
      <w:r>
        <w:rPr>
          <w:rFonts w:hint="eastAsia" w:ascii="宋体" w:hAnsi="宋体" w:eastAsia="宋体" w:cs="宋体"/>
          <w:bCs/>
          <w:snapToGrid w:val="0"/>
          <w:color w:val="000000" w:themeColor="text1"/>
          <w:spacing w:val="0"/>
          <w:sz w:val="30"/>
          <w:szCs w:val="30"/>
          <w14:textFill>
            <w14:solidFill>
              <w14:schemeClr w14:val="tx1"/>
            </w14:solidFill>
          </w14:textFill>
        </w:rPr>
        <w:t>项目编号</w:t>
      </w:r>
      <w:r>
        <w:rPr>
          <w:rFonts w:hint="eastAsia" w:ascii="宋体" w:hAnsi="宋体" w:eastAsia="宋体" w:cs="宋体"/>
          <w:bCs/>
          <w:snapToGrid w:val="0"/>
          <w:color w:val="000000" w:themeColor="text1"/>
          <w:spacing w:val="0"/>
          <w:sz w:val="30"/>
          <w:szCs w:val="30"/>
          <w:lang w:eastAsia="zh-CN"/>
          <w14:textFill>
            <w14:solidFill>
              <w14:schemeClr w14:val="tx1"/>
            </w14:solidFill>
          </w14:textFill>
        </w:rPr>
        <w:t>：JSZC-320413-JFGC-G2026-0003</w:t>
      </w:r>
      <w:r>
        <w:rPr>
          <w:rFonts w:hint="eastAsia" w:ascii="宋体" w:hAnsi="宋体" w:eastAsia="宋体" w:cs="宋体"/>
          <w:bCs/>
          <w:snapToGrid w:val="0"/>
          <w:color w:val="000000" w:themeColor="text1"/>
          <w:spacing w:val="0"/>
          <w:sz w:val="30"/>
          <w:szCs w:val="30"/>
          <w:lang w:val="en-US" w:eastAsia="zh-CN"/>
          <w14:textFill>
            <w14:solidFill>
              <w14:schemeClr w14:val="tx1"/>
            </w14:solidFill>
          </w14:textFill>
        </w:rPr>
        <w:t xml:space="preserve"> </w:t>
      </w:r>
    </w:p>
    <w:p w14:paraId="0EBD5239">
      <w:pPr>
        <w:keepNext w:val="0"/>
        <w:keepLines w:val="0"/>
        <w:tabs>
          <w:tab w:val="left" w:pos="5609"/>
        </w:tabs>
        <w:kinsoku/>
        <w:wordWrap/>
        <w:overflowPunct/>
        <w:topLinePunct w:val="0"/>
        <w:autoSpaceDE/>
        <w:autoSpaceDN/>
        <w:bidi w:val="0"/>
        <w:adjustRightInd w:val="0"/>
        <w:snapToGrid w:val="0"/>
        <w:spacing w:line="360" w:lineRule="auto"/>
        <w:ind w:right="0"/>
        <w:jc w:val="left"/>
        <w:textAlignment w:val="auto"/>
        <w:rPr>
          <w:rFonts w:hint="eastAsia" w:ascii="宋体" w:hAnsi="宋体" w:eastAsia="宋体" w:cs="宋体"/>
          <w:bCs/>
          <w:snapToGrid w:val="0"/>
          <w:color w:val="000000" w:themeColor="text1"/>
          <w:spacing w:val="0"/>
          <w:sz w:val="30"/>
          <w:szCs w:val="30"/>
          <w:lang w:eastAsia="zh-CN"/>
          <w14:textFill>
            <w14:solidFill>
              <w14:schemeClr w14:val="tx1"/>
            </w14:solidFill>
          </w14:textFill>
        </w:rPr>
      </w:pPr>
      <w:r>
        <w:rPr>
          <w:rFonts w:hint="eastAsia" w:ascii="宋体" w:hAnsi="宋体" w:eastAsia="宋体" w:cs="宋体"/>
          <w:bCs/>
          <w:snapToGrid w:val="0"/>
          <w:color w:val="000000" w:themeColor="text1"/>
          <w:spacing w:val="0"/>
          <w:sz w:val="30"/>
          <w:szCs w:val="30"/>
          <w14:textFill>
            <w14:solidFill>
              <w14:schemeClr w14:val="tx1"/>
            </w14:solidFill>
          </w14:textFill>
        </w:rPr>
        <w:t>采 购 人：</w:t>
      </w:r>
      <w:r>
        <w:rPr>
          <w:rFonts w:hint="eastAsia" w:ascii="宋体" w:hAnsi="宋体" w:eastAsia="宋体" w:cs="宋体"/>
          <w:bCs/>
          <w:snapToGrid w:val="0"/>
          <w:color w:val="000000" w:themeColor="text1"/>
          <w:spacing w:val="0"/>
          <w:sz w:val="30"/>
          <w:szCs w:val="30"/>
          <w:lang w:eastAsia="zh-CN"/>
          <w14:textFill>
            <w14:solidFill>
              <w14:schemeClr w14:val="tx1"/>
            </w14:solidFill>
          </w14:textFill>
        </w:rPr>
        <w:t>常州市金坛区残疾人联合会</w:t>
      </w:r>
    </w:p>
    <w:p w14:paraId="04D806BA">
      <w:pPr>
        <w:keepNext w:val="0"/>
        <w:keepLines w:val="0"/>
        <w:tabs>
          <w:tab w:val="left" w:pos="3240"/>
          <w:tab w:val="left" w:pos="3420"/>
        </w:tabs>
        <w:kinsoku/>
        <w:wordWrap/>
        <w:overflowPunct/>
        <w:topLinePunct w:val="0"/>
        <w:autoSpaceDE/>
        <w:autoSpaceDN/>
        <w:bidi w:val="0"/>
        <w:adjustRightInd w:val="0"/>
        <w:snapToGrid w:val="0"/>
        <w:spacing w:line="360" w:lineRule="auto"/>
        <w:ind w:right="0"/>
        <w:jc w:val="left"/>
        <w:textAlignment w:val="auto"/>
        <w:rPr>
          <w:rFonts w:hint="eastAsia" w:ascii="宋体" w:hAnsi="宋体" w:eastAsia="宋体" w:cs="宋体"/>
          <w:bCs/>
          <w:snapToGrid w:val="0"/>
          <w:color w:val="000000" w:themeColor="text1"/>
          <w:spacing w:val="0"/>
          <w:sz w:val="30"/>
          <w:szCs w:val="30"/>
          <w:lang w:eastAsia="zh-CN"/>
          <w14:textFill>
            <w14:solidFill>
              <w14:schemeClr w14:val="tx1"/>
            </w14:solidFill>
          </w14:textFill>
        </w:rPr>
        <w:sectPr>
          <w:headerReference r:id="rId4" w:type="default"/>
          <w:footerReference r:id="rId5" w:type="default"/>
          <w:pgSz w:w="11906" w:h="16838"/>
          <w:pgMar w:top="1440" w:right="1800" w:bottom="1440" w:left="1800" w:header="851" w:footer="992" w:gutter="0"/>
          <w:pgNumType w:fmt="decimal"/>
          <w:cols w:space="425" w:num="1"/>
          <w:docGrid w:linePitch="360" w:charSpace="0"/>
        </w:sectPr>
      </w:pPr>
      <w:r>
        <w:rPr>
          <w:rFonts w:hint="eastAsia" w:ascii="宋体" w:hAnsi="宋体" w:eastAsia="宋体" w:cs="宋体"/>
          <w:bCs/>
          <w:snapToGrid w:val="0"/>
          <w:color w:val="000000" w:themeColor="text1"/>
          <w:spacing w:val="0"/>
          <w:sz w:val="30"/>
          <w:szCs w:val="30"/>
          <w14:textFill>
            <w14:solidFill>
              <w14:schemeClr w14:val="tx1"/>
            </w14:solidFill>
          </w14:textFill>
        </w:rPr>
        <w:t>采购代理机构：</w:t>
      </w:r>
      <w:r>
        <w:rPr>
          <w:rStyle w:val="16"/>
          <w:rFonts w:hint="eastAsia" w:ascii="宋体" w:hAnsi="宋体" w:eastAsia="宋体" w:cs="宋体"/>
          <w:snapToGrid w:val="0"/>
          <w:color w:val="000000" w:themeColor="text1"/>
          <w:spacing w:val="0"/>
          <w:sz w:val="30"/>
          <w:szCs w:val="30"/>
          <w:lang w:eastAsia="zh-CN"/>
          <w14:textFill>
            <w14:solidFill>
              <w14:schemeClr w14:val="tx1"/>
            </w14:solidFill>
          </w14:textFill>
        </w:rPr>
        <w:t>江苏嘉丰工程咨询有限公司</w:t>
      </w:r>
    </w:p>
    <w:p w14:paraId="6CE0C99E">
      <w:pPr>
        <w:keepNext w:val="0"/>
        <w:keepLines w:val="0"/>
        <w:widowControl/>
        <w:kinsoku/>
        <w:wordWrap/>
        <w:overflowPunct/>
        <w:topLinePunct w:val="0"/>
        <w:autoSpaceDE/>
        <w:autoSpaceDN/>
        <w:bidi w:val="0"/>
        <w:adjustRightInd w:val="0"/>
        <w:snapToGrid w:val="0"/>
        <w:spacing w:line="360" w:lineRule="auto"/>
        <w:ind w:left="0" w:leftChars="0" w:right="0" w:hanging="343"/>
        <w:jc w:val="center"/>
        <w:textAlignment w:val="auto"/>
        <w:rPr>
          <w:rFonts w:hint="eastAsia" w:ascii="宋体" w:hAnsi="宋体" w:eastAsia="宋体" w:cs="宋体"/>
          <w:b/>
          <w:bCs/>
          <w:snapToGrid w:val="0"/>
          <w:color w:val="000000" w:themeColor="text1"/>
          <w:spacing w:val="0"/>
          <w:sz w:val="36"/>
          <w:szCs w:val="36"/>
          <w14:textFill>
            <w14:solidFill>
              <w14:schemeClr w14:val="tx1"/>
            </w14:solidFill>
          </w14:textFill>
        </w:rPr>
      </w:pPr>
      <w:r>
        <w:rPr>
          <w:rFonts w:hint="eastAsia" w:ascii="宋体" w:hAnsi="宋体" w:eastAsia="宋体" w:cs="宋体"/>
          <w:b/>
          <w:bCs/>
          <w:snapToGrid w:val="0"/>
          <w:color w:val="000000" w:themeColor="text1"/>
          <w:spacing w:val="0"/>
          <w:sz w:val="36"/>
          <w:szCs w:val="36"/>
          <w14:textFill>
            <w14:solidFill>
              <w14:schemeClr w14:val="tx1"/>
            </w14:solidFill>
          </w14:textFill>
        </w:rPr>
        <w:t>目</w:t>
      </w:r>
      <w:r>
        <w:rPr>
          <w:rFonts w:hint="eastAsia" w:ascii="宋体" w:hAnsi="宋体" w:eastAsia="宋体" w:cs="宋体"/>
          <w:b/>
          <w:bCs/>
          <w:snapToGrid w:val="0"/>
          <w:color w:val="000000" w:themeColor="text1"/>
          <w:spacing w:val="0"/>
          <w:sz w:val="36"/>
          <w:szCs w:val="36"/>
          <w:lang w:val="en-US" w:eastAsia="zh-CN"/>
          <w14:textFill>
            <w14:solidFill>
              <w14:schemeClr w14:val="tx1"/>
            </w14:solidFill>
          </w14:textFill>
        </w:rPr>
        <w:t xml:space="preserve"> </w:t>
      </w:r>
      <w:r>
        <w:rPr>
          <w:rFonts w:hint="eastAsia" w:ascii="宋体" w:hAnsi="宋体" w:eastAsia="宋体" w:cs="宋体"/>
          <w:b/>
          <w:bCs/>
          <w:snapToGrid w:val="0"/>
          <w:color w:val="000000" w:themeColor="text1"/>
          <w:spacing w:val="0"/>
          <w:sz w:val="36"/>
          <w:szCs w:val="36"/>
          <w14:textFill>
            <w14:solidFill>
              <w14:schemeClr w14:val="tx1"/>
            </w14:solidFill>
          </w14:textFill>
        </w:rPr>
        <w:t>录</w:t>
      </w:r>
    </w:p>
    <w:p w14:paraId="052509A4">
      <w:pPr>
        <w:pStyle w:val="11"/>
        <w:keepNext w:val="0"/>
        <w:keepLines w:val="0"/>
        <w:tabs>
          <w:tab w:val="right" w:leader="dot" w:pos="8306"/>
        </w:tabs>
        <w:kinsoku/>
        <w:wordWrap/>
        <w:overflowPunct/>
        <w:topLinePunct w:val="0"/>
        <w:autoSpaceDE/>
        <w:autoSpaceDN/>
        <w:bidi w:val="0"/>
        <w:adjustRightInd w:val="0"/>
        <w:snapToGrid w:val="0"/>
        <w:spacing w:line="360" w:lineRule="auto"/>
        <w:ind w:left="0" w:leftChars="0" w:right="0" w:hanging="342"/>
        <w:textAlignment w:val="auto"/>
        <w:rPr>
          <w:rFonts w:hint="eastAsia" w:ascii="宋体" w:hAnsi="宋体" w:eastAsia="宋体" w:cs="宋体"/>
          <w:snapToGrid w:val="0"/>
          <w:color w:val="000000" w:themeColor="text1"/>
          <w:spacing w:val="0"/>
          <w14:textFill>
            <w14:solidFill>
              <w14:schemeClr w14:val="tx1"/>
            </w14:solidFill>
          </w14:textFill>
        </w:rPr>
      </w:pPr>
      <w:r>
        <w:rPr>
          <w:rFonts w:hint="eastAsia" w:ascii="宋体" w:hAnsi="宋体" w:eastAsia="宋体" w:cs="宋体"/>
          <w:b w:val="0"/>
          <w:bCs/>
          <w:snapToGrid w:val="0"/>
          <w:color w:val="000000" w:themeColor="text1"/>
          <w:spacing w:val="0"/>
          <w:sz w:val="36"/>
          <w:szCs w:val="36"/>
          <w14:textFill>
            <w14:solidFill>
              <w14:schemeClr w14:val="tx1"/>
            </w14:solidFill>
          </w14:textFill>
        </w:rPr>
        <w:fldChar w:fldCharType="begin"/>
      </w:r>
      <w:r>
        <w:rPr>
          <w:rFonts w:hint="eastAsia" w:ascii="宋体" w:hAnsi="宋体" w:eastAsia="宋体" w:cs="宋体"/>
          <w:b w:val="0"/>
          <w:bCs/>
          <w:snapToGrid w:val="0"/>
          <w:color w:val="000000" w:themeColor="text1"/>
          <w:spacing w:val="0"/>
          <w:sz w:val="36"/>
          <w:szCs w:val="36"/>
          <w14:textFill>
            <w14:solidFill>
              <w14:schemeClr w14:val="tx1"/>
            </w14:solidFill>
          </w14:textFill>
        </w:rPr>
        <w:instrText xml:space="preserve"> TOC \o "1-1" \h \z \u </w:instrText>
      </w:r>
      <w:r>
        <w:rPr>
          <w:rFonts w:hint="eastAsia" w:ascii="宋体" w:hAnsi="宋体" w:eastAsia="宋体" w:cs="宋体"/>
          <w:b w:val="0"/>
          <w:bCs/>
          <w:snapToGrid w:val="0"/>
          <w:color w:val="000000" w:themeColor="text1"/>
          <w:spacing w:val="0"/>
          <w:sz w:val="36"/>
          <w:szCs w:val="36"/>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HYPERLINK \l "_Toc11161" \o "#_Toc11161"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t>第一章 投标邀请</w:t>
      </w:r>
      <w:r>
        <w:rPr>
          <w:rFonts w:hint="eastAsia" w:ascii="宋体" w:hAnsi="宋体" w:eastAsia="宋体" w:cs="宋体"/>
          <w:snapToGrid w:val="0"/>
          <w:color w:val="000000" w:themeColor="text1"/>
          <w:spacing w:val="0"/>
          <w14:textFill>
            <w14:solidFill>
              <w14:schemeClr w14:val="tx1"/>
            </w14:solidFill>
          </w14:textFill>
        </w:rPr>
        <w:tab/>
      </w: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PAGEREF _Toc11161 \h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t>1</w:t>
      </w:r>
      <w:r>
        <w:rPr>
          <w:rFonts w:hint="eastAsia" w:ascii="宋体" w:hAnsi="宋体" w:eastAsia="宋体" w:cs="宋体"/>
          <w:snapToGrid w:val="0"/>
          <w:color w:val="000000" w:themeColor="text1"/>
          <w:spacing w:val="0"/>
          <w14:textFill>
            <w14:solidFill>
              <w14:schemeClr w14:val="tx1"/>
            </w14:solidFill>
          </w14:textFill>
        </w:rPr>
        <w:fldChar w:fldCharType="end"/>
      </w:r>
      <w:r>
        <w:rPr>
          <w:rFonts w:hint="eastAsia" w:ascii="宋体" w:hAnsi="宋体" w:eastAsia="宋体" w:cs="宋体"/>
          <w:snapToGrid w:val="0"/>
          <w:color w:val="000000" w:themeColor="text1"/>
          <w:spacing w:val="0"/>
          <w14:textFill>
            <w14:solidFill>
              <w14:schemeClr w14:val="tx1"/>
            </w14:solidFill>
          </w14:textFill>
        </w:rPr>
        <w:fldChar w:fldCharType="end"/>
      </w:r>
    </w:p>
    <w:p w14:paraId="6DCAC98A">
      <w:pPr>
        <w:pStyle w:val="11"/>
        <w:keepNext w:val="0"/>
        <w:keepLines w:val="0"/>
        <w:tabs>
          <w:tab w:val="right" w:leader="dot" w:pos="8306"/>
        </w:tabs>
        <w:kinsoku/>
        <w:wordWrap/>
        <w:overflowPunct/>
        <w:topLinePunct w:val="0"/>
        <w:autoSpaceDE/>
        <w:autoSpaceDN/>
        <w:bidi w:val="0"/>
        <w:adjustRightInd w:val="0"/>
        <w:snapToGrid w:val="0"/>
        <w:spacing w:line="360" w:lineRule="auto"/>
        <w:ind w:left="0" w:leftChars="0" w:right="0" w:hanging="305"/>
        <w:textAlignment w:val="auto"/>
        <w:rPr>
          <w:rFonts w:hint="eastAsia" w:ascii="宋体" w:hAnsi="宋体" w:eastAsia="宋体" w:cs="宋体"/>
          <w:snapToGrid w:val="0"/>
          <w:color w:val="000000" w:themeColor="text1"/>
          <w:spacing w:val="0"/>
          <w14:textFill>
            <w14:solidFill>
              <w14:schemeClr w14:val="tx1"/>
            </w14:solidFill>
          </w14:textFill>
        </w:rPr>
      </w:pP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HYPERLINK \l "_Toc23318" \o "#_Toc23318"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t>第二章 投标人须知</w:t>
      </w:r>
      <w:r>
        <w:rPr>
          <w:rFonts w:hint="eastAsia" w:ascii="宋体" w:hAnsi="宋体" w:eastAsia="宋体" w:cs="宋体"/>
          <w:snapToGrid w:val="0"/>
          <w:color w:val="000000" w:themeColor="text1"/>
          <w:spacing w:val="0"/>
          <w14:textFill>
            <w14:solidFill>
              <w14:schemeClr w14:val="tx1"/>
            </w14:solidFill>
          </w14:textFill>
        </w:rPr>
        <w:tab/>
      </w: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PAGEREF _Toc23318 \h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t>4</w:t>
      </w:r>
      <w:r>
        <w:rPr>
          <w:rFonts w:hint="eastAsia" w:ascii="宋体" w:hAnsi="宋体" w:eastAsia="宋体" w:cs="宋体"/>
          <w:snapToGrid w:val="0"/>
          <w:color w:val="000000" w:themeColor="text1"/>
          <w:spacing w:val="0"/>
          <w14:textFill>
            <w14:solidFill>
              <w14:schemeClr w14:val="tx1"/>
            </w14:solidFill>
          </w14:textFill>
        </w:rPr>
        <w:fldChar w:fldCharType="end"/>
      </w:r>
      <w:r>
        <w:rPr>
          <w:rFonts w:hint="eastAsia" w:ascii="宋体" w:hAnsi="宋体" w:eastAsia="宋体" w:cs="宋体"/>
          <w:snapToGrid w:val="0"/>
          <w:color w:val="000000" w:themeColor="text1"/>
          <w:spacing w:val="0"/>
          <w14:textFill>
            <w14:solidFill>
              <w14:schemeClr w14:val="tx1"/>
            </w14:solidFill>
          </w14:textFill>
        </w:rPr>
        <w:fldChar w:fldCharType="end"/>
      </w:r>
    </w:p>
    <w:p w14:paraId="4BFBA993">
      <w:pPr>
        <w:pStyle w:val="11"/>
        <w:keepNext w:val="0"/>
        <w:keepLines w:val="0"/>
        <w:tabs>
          <w:tab w:val="right" w:leader="dot" w:pos="8306"/>
        </w:tabs>
        <w:kinsoku/>
        <w:wordWrap/>
        <w:overflowPunct/>
        <w:topLinePunct w:val="0"/>
        <w:autoSpaceDE/>
        <w:autoSpaceDN/>
        <w:bidi w:val="0"/>
        <w:adjustRightInd w:val="0"/>
        <w:snapToGrid w:val="0"/>
        <w:spacing w:line="360" w:lineRule="auto"/>
        <w:ind w:left="0" w:leftChars="0" w:right="0" w:hanging="305"/>
        <w:textAlignment w:val="auto"/>
        <w:rPr>
          <w:rFonts w:hint="eastAsia" w:ascii="宋体" w:hAnsi="宋体" w:eastAsia="宋体" w:cs="宋体"/>
          <w:snapToGrid w:val="0"/>
          <w:color w:val="000000" w:themeColor="text1"/>
          <w:spacing w:val="0"/>
          <w14:textFill>
            <w14:solidFill>
              <w14:schemeClr w14:val="tx1"/>
            </w14:solidFill>
          </w14:textFill>
        </w:rPr>
      </w:pP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HYPERLINK \l "_Toc16933" \o "#_Toc16933"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t>第三章 资格审查</w:t>
      </w:r>
      <w:r>
        <w:rPr>
          <w:rFonts w:hint="eastAsia" w:ascii="宋体" w:hAnsi="宋体" w:eastAsia="宋体" w:cs="宋体"/>
          <w:snapToGrid w:val="0"/>
          <w:color w:val="000000" w:themeColor="text1"/>
          <w:spacing w:val="0"/>
          <w14:textFill>
            <w14:solidFill>
              <w14:schemeClr w14:val="tx1"/>
            </w14:solidFill>
          </w14:textFill>
        </w:rPr>
        <w:tab/>
      </w: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PAGEREF _Toc16933 \h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t>19</w:t>
      </w:r>
      <w:r>
        <w:rPr>
          <w:rFonts w:hint="eastAsia" w:ascii="宋体" w:hAnsi="宋体" w:eastAsia="宋体" w:cs="宋体"/>
          <w:snapToGrid w:val="0"/>
          <w:color w:val="000000" w:themeColor="text1"/>
          <w:spacing w:val="0"/>
          <w14:textFill>
            <w14:solidFill>
              <w14:schemeClr w14:val="tx1"/>
            </w14:solidFill>
          </w14:textFill>
        </w:rPr>
        <w:fldChar w:fldCharType="end"/>
      </w:r>
      <w:r>
        <w:rPr>
          <w:rFonts w:hint="eastAsia" w:ascii="宋体" w:hAnsi="宋体" w:eastAsia="宋体" w:cs="宋体"/>
          <w:snapToGrid w:val="0"/>
          <w:color w:val="000000" w:themeColor="text1"/>
          <w:spacing w:val="0"/>
          <w14:textFill>
            <w14:solidFill>
              <w14:schemeClr w14:val="tx1"/>
            </w14:solidFill>
          </w14:textFill>
        </w:rPr>
        <w:fldChar w:fldCharType="end"/>
      </w:r>
    </w:p>
    <w:p w14:paraId="304AE991">
      <w:pPr>
        <w:pStyle w:val="11"/>
        <w:keepNext w:val="0"/>
        <w:keepLines w:val="0"/>
        <w:tabs>
          <w:tab w:val="right" w:leader="dot" w:pos="8306"/>
        </w:tabs>
        <w:kinsoku/>
        <w:wordWrap/>
        <w:overflowPunct/>
        <w:topLinePunct w:val="0"/>
        <w:autoSpaceDE/>
        <w:autoSpaceDN/>
        <w:bidi w:val="0"/>
        <w:adjustRightInd w:val="0"/>
        <w:snapToGrid w:val="0"/>
        <w:spacing w:line="360" w:lineRule="auto"/>
        <w:ind w:left="0" w:leftChars="0" w:right="0" w:hanging="305"/>
        <w:textAlignment w:val="auto"/>
        <w:rPr>
          <w:rFonts w:hint="eastAsia" w:ascii="宋体" w:hAnsi="宋体" w:eastAsia="宋体" w:cs="宋体"/>
          <w:snapToGrid w:val="0"/>
          <w:color w:val="000000" w:themeColor="text1"/>
          <w:spacing w:val="0"/>
          <w14:textFill>
            <w14:solidFill>
              <w14:schemeClr w14:val="tx1"/>
            </w14:solidFill>
          </w14:textFill>
        </w:rPr>
      </w:pP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HYPERLINK \l "_Toc24211" \o "#_Toc24211"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t>第四章</w:t>
      </w:r>
      <w:r>
        <w:rPr>
          <w:rFonts w:hint="eastAsia" w:ascii="宋体" w:hAnsi="宋体" w:eastAsia="宋体" w:cs="宋体"/>
          <w:snapToGrid w:val="0"/>
          <w:color w:val="000000" w:themeColor="text1"/>
          <w:spacing w:val="0"/>
          <w:lang w:val="en-US" w:eastAsia="zh-CN"/>
          <w14:textFill>
            <w14:solidFill>
              <w14:schemeClr w14:val="tx1"/>
            </w14:solidFill>
          </w14:textFill>
        </w:rPr>
        <w:t xml:space="preserve"> </w:t>
      </w:r>
      <w:r>
        <w:rPr>
          <w:rFonts w:hint="eastAsia" w:ascii="宋体" w:hAnsi="宋体" w:eastAsia="宋体" w:cs="宋体"/>
          <w:snapToGrid w:val="0"/>
          <w:color w:val="000000" w:themeColor="text1"/>
          <w:spacing w:val="0"/>
          <w14:textFill>
            <w14:solidFill>
              <w14:schemeClr w14:val="tx1"/>
            </w14:solidFill>
          </w14:textFill>
        </w:rPr>
        <w:t>评标程序、评标方法和评标标准</w:t>
      </w:r>
      <w:r>
        <w:rPr>
          <w:rFonts w:hint="eastAsia" w:ascii="宋体" w:hAnsi="宋体" w:eastAsia="宋体" w:cs="宋体"/>
          <w:snapToGrid w:val="0"/>
          <w:color w:val="000000" w:themeColor="text1"/>
          <w:spacing w:val="0"/>
          <w14:textFill>
            <w14:solidFill>
              <w14:schemeClr w14:val="tx1"/>
            </w14:solidFill>
          </w14:textFill>
        </w:rPr>
        <w:tab/>
      </w: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PAGEREF _Toc24211 \h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t>21</w:t>
      </w:r>
      <w:r>
        <w:rPr>
          <w:rFonts w:hint="eastAsia" w:ascii="宋体" w:hAnsi="宋体" w:eastAsia="宋体" w:cs="宋体"/>
          <w:snapToGrid w:val="0"/>
          <w:color w:val="000000" w:themeColor="text1"/>
          <w:spacing w:val="0"/>
          <w14:textFill>
            <w14:solidFill>
              <w14:schemeClr w14:val="tx1"/>
            </w14:solidFill>
          </w14:textFill>
        </w:rPr>
        <w:fldChar w:fldCharType="end"/>
      </w:r>
      <w:r>
        <w:rPr>
          <w:rFonts w:hint="eastAsia" w:ascii="宋体" w:hAnsi="宋体" w:eastAsia="宋体" w:cs="宋体"/>
          <w:snapToGrid w:val="0"/>
          <w:color w:val="000000" w:themeColor="text1"/>
          <w:spacing w:val="0"/>
          <w14:textFill>
            <w14:solidFill>
              <w14:schemeClr w14:val="tx1"/>
            </w14:solidFill>
          </w14:textFill>
        </w:rPr>
        <w:fldChar w:fldCharType="end"/>
      </w:r>
    </w:p>
    <w:p w14:paraId="2822E3A2">
      <w:pPr>
        <w:pStyle w:val="11"/>
        <w:keepNext w:val="0"/>
        <w:keepLines w:val="0"/>
        <w:tabs>
          <w:tab w:val="right" w:leader="dot" w:pos="8306"/>
        </w:tabs>
        <w:kinsoku/>
        <w:wordWrap/>
        <w:overflowPunct/>
        <w:topLinePunct w:val="0"/>
        <w:autoSpaceDE/>
        <w:autoSpaceDN/>
        <w:bidi w:val="0"/>
        <w:adjustRightInd w:val="0"/>
        <w:snapToGrid w:val="0"/>
        <w:spacing w:line="360" w:lineRule="auto"/>
        <w:ind w:left="0" w:leftChars="0" w:right="0" w:hanging="305"/>
        <w:textAlignment w:val="auto"/>
        <w:rPr>
          <w:rFonts w:hint="eastAsia" w:ascii="宋体" w:hAnsi="宋体" w:eastAsia="宋体" w:cs="宋体"/>
          <w:snapToGrid w:val="0"/>
          <w:color w:val="000000" w:themeColor="text1"/>
          <w:spacing w:val="0"/>
          <w:lang w:val="en-US" w:eastAsia="zh-CN"/>
          <w14:textFill>
            <w14:solidFill>
              <w14:schemeClr w14:val="tx1"/>
            </w14:solidFill>
          </w14:textFill>
        </w:rPr>
      </w:pP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HYPERLINK \l "_Toc15846" \o "#_Toc15846"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t>第五章 采购需求</w:t>
      </w:r>
      <w:r>
        <w:rPr>
          <w:rFonts w:hint="eastAsia" w:ascii="宋体" w:hAnsi="宋体" w:eastAsia="宋体" w:cs="宋体"/>
          <w:snapToGrid w:val="0"/>
          <w:color w:val="000000" w:themeColor="text1"/>
          <w:spacing w:val="0"/>
          <w14:textFill>
            <w14:solidFill>
              <w14:schemeClr w14:val="tx1"/>
            </w14:solidFill>
          </w14:textFill>
        </w:rPr>
        <w:tab/>
      </w:r>
      <w:r>
        <w:rPr>
          <w:rFonts w:hint="eastAsia" w:cs="宋体"/>
          <w:snapToGrid w:val="0"/>
          <w:color w:val="000000" w:themeColor="text1"/>
          <w:spacing w:val="0"/>
          <w:lang w:val="en-US" w:eastAsia="zh-CN"/>
          <w14:textFill>
            <w14:solidFill>
              <w14:schemeClr w14:val="tx1"/>
            </w14:solidFill>
          </w14:textFill>
        </w:rPr>
        <w:t>3</w:t>
      </w:r>
      <w:r>
        <w:rPr>
          <w:rFonts w:hint="eastAsia" w:ascii="宋体" w:hAnsi="宋体" w:eastAsia="宋体" w:cs="宋体"/>
          <w:snapToGrid w:val="0"/>
          <w:color w:val="000000" w:themeColor="text1"/>
          <w:spacing w:val="0"/>
          <w14:textFill>
            <w14:solidFill>
              <w14:schemeClr w14:val="tx1"/>
            </w14:solidFill>
          </w14:textFill>
        </w:rPr>
        <w:fldChar w:fldCharType="end"/>
      </w:r>
      <w:r>
        <w:rPr>
          <w:rFonts w:hint="eastAsia" w:cs="宋体"/>
          <w:snapToGrid w:val="0"/>
          <w:color w:val="000000" w:themeColor="text1"/>
          <w:spacing w:val="0"/>
          <w:lang w:val="en-US" w:eastAsia="zh-CN"/>
          <w14:textFill>
            <w14:solidFill>
              <w14:schemeClr w14:val="tx1"/>
            </w14:solidFill>
          </w14:textFill>
        </w:rPr>
        <w:t>4</w:t>
      </w:r>
    </w:p>
    <w:p w14:paraId="4BA58A9C">
      <w:pPr>
        <w:pStyle w:val="11"/>
        <w:keepNext w:val="0"/>
        <w:keepLines w:val="0"/>
        <w:tabs>
          <w:tab w:val="right" w:leader="dot" w:pos="8306"/>
        </w:tabs>
        <w:kinsoku/>
        <w:wordWrap/>
        <w:overflowPunct/>
        <w:topLinePunct w:val="0"/>
        <w:autoSpaceDE/>
        <w:autoSpaceDN/>
        <w:bidi w:val="0"/>
        <w:adjustRightInd w:val="0"/>
        <w:snapToGrid w:val="0"/>
        <w:spacing w:line="360" w:lineRule="auto"/>
        <w:ind w:left="0" w:leftChars="0" w:right="0" w:hanging="305"/>
        <w:textAlignment w:val="auto"/>
        <w:rPr>
          <w:rFonts w:hint="eastAsia" w:ascii="宋体" w:hAnsi="宋体" w:eastAsia="宋体" w:cs="宋体"/>
          <w:snapToGrid w:val="0"/>
          <w:color w:val="000000" w:themeColor="text1"/>
          <w:spacing w:val="0"/>
          <w:lang w:val="en-US" w:eastAsia="zh-CN"/>
          <w14:textFill>
            <w14:solidFill>
              <w14:schemeClr w14:val="tx1"/>
            </w14:solidFill>
          </w14:textFill>
        </w:rPr>
      </w:pP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HYPERLINK \l "_Toc17863" \o "#_Toc17863"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t>第六章 拟签订的合同文本</w:t>
      </w:r>
      <w:r>
        <w:rPr>
          <w:rFonts w:hint="eastAsia" w:ascii="宋体" w:hAnsi="宋体" w:eastAsia="宋体" w:cs="宋体"/>
          <w:snapToGrid w:val="0"/>
          <w:color w:val="000000" w:themeColor="text1"/>
          <w:spacing w:val="0"/>
          <w14:textFill>
            <w14:solidFill>
              <w14:schemeClr w14:val="tx1"/>
            </w14:solidFill>
          </w14:textFill>
        </w:rPr>
        <w:tab/>
      </w:r>
      <w:r>
        <w:rPr>
          <w:rFonts w:hint="eastAsia" w:cs="宋体"/>
          <w:snapToGrid w:val="0"/>
          <w:color w:val="000000" w:themeColor="text1"/>
          <w:spacing w:val="0"/>
          <w:lang w:val="en-US" w:eastAsia="zh-CN"/>
          <w14:textFill>
            <w14:solidFill>
              <w14:schemeClr w14:val="tx1"/>
            </w14:solidFill>
          </w14:textFill>
        </w:rPr>
        <w:t>4</w:t>
      </w:r>
      <w:r>
        <w:rPr>
          <w:rFonts w:hint="eastAsia" w:ascii="宋体" w:hAnsi="宋体" w:eastAsia="宋体" w:cs="宋体"/>
          <w:snapToGrid w:val="0"/>
          <w:color w:val="000000" w:themeColor="text1"/>
          <w:spacing w:val="0"/>
          <w14:textFill>
            <w14:solidFill>
              <w14:schemeClr w14:val="tx1"/>
            </w14:solidFill>
          </w14:textFill>
        </w:rPr>
        <w:fldChar w:fldCharType="end"/>
      </w:r>
      <w:r>
        <w:rPr>
          <w:rFonts w:hint="eastAsia" w:cs="宋体"/>
          <w:snapToGrid w:val="0"/>
          <w:color w:val="000000" w:themeColor="text1"/>
          <w:spacing w:val="0"/>
          <w:lang w:val="en-US" w:eastAsia="zh-CN"/>
          <w14:textFill>
            <w14:solidFill>
              <w14:schemeClr w14:val="tx1"/>
            </w14:solidFill>
          </w14:textFill>
        </w:rPr>
        <w:t>3</w:t>
      </w:r>
    </w:p>
    <w:p w14:paraId="050C2D96">
      <w:pPr>
        <w:pStyle w:val="11"/>
        <w:keepNext w:val="0"/>
        <w:keepLines w:val="0"/>
        <w:tabs>
          <w:tab w:val="right" w:leader="dot" w:pos="8306"/>
        </w:tabs>
        <w:kinsoku/>
        <w:wordWrap/>
        <w:overflowPunct/>
        <w:topLinePunct w:val="0"/>
        <w:autoSpaceDE/>
        <w:autoSpaceDN/>
        <w:bidi w:val="0"/>
        <w:adjustRightInd w:val="0"/>
        <w:snapToGrid w:val="0"/>
        <w:spacing w:line="360" w:lineRule="auto"/>
        <w:ind w:left="0" w:leftChars="0" w:right="0" w:hanging="305"/>
        <w:textAlignment w:val="auto"/>
        <w:rPr>
          <w:rFonts w:hint="eastAsia" w:ascii="宋体" w:hAnsi="宋体" w:eastAsia="宋体" w:cs="宋体"/>
          <w:snapToGrid w:val="0"/>
          <w:color w:val="000000" w:themeColor="text1"/>
          <w:spacing w:val="0"/>
          <w:lang w:val="en-US" w:eastAsia="zh-CN"/>
          <w14:textFill>
            <w14:solidFill>
              <w14:schemeClr w14:val="tx1"/>
            </w14:solidFill>
          </w14:textFill>
        </w:rPr>
      </w:pP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HYPERLINK \l "_Toc12681" \o "#_Toc12681"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t>第七章 投标文件格式</w:t>
      </w:r>
      <w:r>
        <w:rPr>
          <w:rFonts w:hint="eastAsia" w:ascii="宋体" w:hAnsi="宋体" w:eastAsia="宋体" w:cs="宋体"/>
          <w:snapToGrid w:val="0"/>
          <w:color w:val="000000" w:themeColor="text1"/>
          <w:spacing w:val="0"/>
          <w14:textFill>
            <w14:solidFill>
              <w14:schemeClr w14:val="tx1"/>
            </w14:solidFill>
          </w14:textFill>
        </w:rPr>
        <w:tab/>
      </w:r>
      <w:r>
        <w:rPr>
          <w:rFonts w:hint="eastAsia" w:cs="宋体"/>
          <w:snapToGrid w:val="0"/>
          <w:color w:val="000000" w:themeColor="text1"/>
          <w:spacing w:val="0"/>
          <w:lang w:val="en-US" w:eastAsia="zh-CN"/>
          <w14:textFill>
            <w14:solidFill>
              <w14:schemeClr w14:val="tx1"/>
            </w14:solidFill>
          </w14:textFill>
        </w:rPr>
        <w:t>5</w:t>
      </w:r>
      <w:r>
        <w:rPr>
          <w:rFonts w:hint="eastAsia" w:ascii="宋体" w:hAnsi="宋体" w:eastAsia="宋体" w:cs="宋体"/>
          <w:snapToGrid w:val="0"/>
          <w:color w:val="000000" w:themeColor="text1"/>
          <w:spacing w:val="0"/>
          <w14:textFill>
            <w14:solidFill>
              <w14:schemeClr w14:val="tx1"/>
            </w14:solidFill>
          </w14:textFill>
        </w:rPr>
        <w:fldChar w:fldCharType="end"/>
      </w:r>
      <w:r>
        <w:rPr>
          <w:rFonts w:hint="eastAsia" w:cs="宋体"/>
          <w:snapToGrid w:val="0"/>
          <w:color w:val="000000" w:themeColor="text1"/>
          <w:spacing w:val="0"/>
          <w:lang w:val="en-US" w:eastAsia="zh-CN"/>
          <w14:textFill>
            <w14:solidFill>
              <w14:schemeClr w14:val="tx1"/>
            </w14:solidFill>
          </w14:textFill>
        </w:rPr>
        <w:t>5</w:t>
      </w:r>
    </w:p>
    <w:p w14:paraId="32D8C70A">
      <w:pPr>
        <w:keepNext w:val="0"/>
        <w:keepLines w:val="0"/>
        <w:widowControl/>
        <w:kinsoku/>
        <w:wordWrap/>
        <w:overflowPunct/>
        <w:topLinePunct w:val="0"/>
        <w:autoSpaceDE/>
        <w:autoSpaceDN/>
        <w:bidi w:val="0"/>
        <w:adjustRightInd w:val="0"/>
        <w:snapToGrid w:val="0"/>
        <w:spacing w:line="360" w:lineRule="auto"/>
        <w:ind w:left="0" w:leftChars="0" w:right="0" w:hanging="199"/>
        <w:textAlignment w:val="auto"/>
        <w:rPr>
          <w:rFonts w:hint="eastAsia" w:ascii="宋体" w:hAnsi="宋体" w:eastAsia="宋体" w:cs="宋体"/>
          <w:bCs/>
          <w:snapToGrid w:val="0"/>
          <w:color w:val="000000" w:themeColor="text1"/>
          <w:spacing w:val="0"/>
          <w:sz w:val="36"/>
          <w:szCs w:val="36"/>
          <w14:textFill>
            <w14:solidFill>
              <w14:schemeClr w14:val="tx1"/>
            </w14:solidFill>
          </w14:textFill>
        </w:rPr>
        <w:sectPr>
          <w:footerReference r:id="rId6" w:type="default"/>
          <w:pgSz w:w="11906" w:h="16838"/>
          <w:pgMar w:top="1440" w:right="1800" w:bottom="1440" w:left="1800" w:header="851" w:footer="992" w:gutter="0"/>
          <w:pgNumType w:fmt="decimal"/>
          <w:cols w:space="425" w:num="1"/>
          <w:docGrid w:linePitch="360" w:charSpace="0"/>
        </w:sectPr>
      </w:pPr>
      <w:r>
        <w:rPr>
          <w:rFonts w:hint="eastAsia" w:ascii="宋体" w:hAnsi="宋体" w:eastAsia="宋体" w:cs="宋体"/>
          <w:bCs/>
          <w:snapToGrid w:val="0"/>
          <w:color w:val="000000" w:themeColor="text1"/>
          <w:spacing w:val="0"/>
          <w:szCs w:val="36"/>
          <w14:textFill>
            <w14:solidFill>
              <w14:schemeClr w14:val="tx1"/>
            </w14:solidFill>
          </w14:textFill>
        </w:rPr>
        <w:fldChar w:fldCharType="end"/>
      </w:r>
    </w:p>
    <w:p w14:paraId="2A87918D">
      <w:pPr>
        <w:pStyle w:val="4"/>
        <w:keepNext w:val="0"/>
        <w:keepLines w:val="0"/>
        <w:kinsoku/>
        <w:wordWrap/>
        <w:overflowPunct/>
        <w:topLinePunct w:val="0"/>
        <w:autoSpaceDE/>
        <w:autoSpaceDN/>
        <w:bidi w:val="0"/>
        <w:adjustRightInd w:val="0"/>
        <w:snapToGrid w:val="0"/>
        <w:spacing w:line="360" w:lineRule="auto"/>
        <w:ind w:left="0" w:leftChars="0" w:right="0" w:hanging="343"/>
        <w:textAlignment w:val="auto"/>
        <w:rPr>
          <w:rFonts w:hint="eastAsia" w:ascii="宋体" w:hAnsi="宋体" w:eastAsia="宋体" w:cs="宋体"/>
          <w:snapToGrid w:val="0"/>
          <w:color w:val="000000" w:themeColor="text1"/>
          <w:spacing w:val="0"/>
          <w:sz w:val="60"/>
          <w:szCs w:val="60"/>
          <w14:textFill>
            <w14:solidFill>
              <w14:schemeClr w14:val="tx1"/>
            </w14:solidFill>
          </w14:textFill>
        </w:rPr>
      </w:pPr>
      <w:bookmarkStart w:id="0" w:name="_Toc11161"/>
      <w:r>
        <w:rPr>
          <w:rFonts w:hint="eastAsia" w:ascii="宋体" w:hAnsi="宋体" w:eastAsia="宋体" w:cs="宋体"/>
          <w:snapToGrid w:val="0"/>
          <w:color w:val="000000" w:themeColor="text1"/>
          <w:spacing w:val="0"/>
          <w14:textFill>
            <w14:solidFill>
              <w14:schemeClr w14:val="tx1"/>
            </w14:solidFill>
          </w14:textFill>
        </w:rPr>
        <w:t>第一章 投标邀请</w:t>
      </w:r>
      <w:bookmarkEnd w:id="0"/>
    </w:p>
    <w:tbl>
      <w:tblPr>
        <w:tblStyle w:val="14"/>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522"/>
      </w:tblGrid>
      <w:tr w14:paraId="5B86D89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8522" w:type="dxa"/>
            <w:noWrap w:val="0"/>
            <w:vAlign w:val="center"/>
          </w:tcPr>
          <w:p w14:paraId="39212652">
            <w:pPr>
              <w:keepNext w:val="0"/>
              <w:keepLines w:val="0"/>
              <w:kinsoku/>
              <w:wordWrap/>
              <w:overflowPunct/>
              <w:topLinePunct w:val="0"/>
              <w:autoSpaceDE/>
              <w:autoSpaceDN/>
              <w:bidi w:val="0"/>
              <w:adjustRightInd w:val="0"/>
              <w:snapToGrid w:val="0"/>
              <w:spacing w:line="360" w:lineRule="auto"/>
              <w:ind w:left="0" w:leftChars="0" w:right="0" w:hanging="232"/>
              <w:textAlignment w:val="auto"/>
              <w:rPr>
                <w:rStyle w:val="16"/>
                <w:rFonts w:hint="eastAsia" w:ascii="宋体" w:hAnsi="宋体" w:eastAsia="宋体" w:cs="宋体"/>
                <w:bCs/>
                <w:snapToGrid w:val="0"/>
                <w:color w:val="000000" w:themeColor="text1"/>
                <w:spacing w:val="0"/>
                <w:sz w:val="24"/>
                <w14:textFill>
                  <w14:solidFill>
                    <w14:schemeClr w14:val="tx1"/>
                  </w14:solidFill>
                </w14:textFill>
              </w:rPr>
            </w:pPr>
            <w:r>
              <w:rPr>
                <w:rStyle w:val="16"/>
                <w:rFonts w:hint="eastAsia" w:ascii="宋体" w:hAnsi="宋体" w:eastAsia="宋体" w:cs="宋体"/>
                <w:bCs/>
                <w:snapToGrid w:val="0"/>
                <w:color w:val="000000" w:themeColor="text1"/>
                <w:spacing w:val="0"/>
                <w:sz w:val="24"/>
                <w14:textFill>
                  <w14:solidFill>
                    <w14:schemeClr w14:val="tx1"/>
                  </w14:solidFill>
                </w14:textFill>
              </w:rPr>
              <w:t>项目概况</w:t>
            </w:r>
          </w:p>
          <w:p w14:paraId="3A64874A">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Style w:val="16"/>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u w:val="single"/>
                <w:lang w:eastAsia="zh-CN"/>
                <w14:textFill>
                  <w14:solidFill>
                    <w14:schemeClr w14:val="tx1"/>
                  </w14:solidFill>
                </w14:textFill>
              </w:rPr>
              <w:t>金坛区持证残疾人商业保险</w:t>
            </w:r>
            <w:r>
              <w:rPr>
                <w:rFonts w:hint="eastAsia" w:ascii="宋体" w:hAnsi="宋体" w:eastAsia="宋体" w:cs="宋体"/>
                <w:snapToGrid w:val="0"/>
                <w:color w:val="000000" w:themeColor="text1"/>
                <w:spacing w:val="0"/>
                <w:sz w:val="24"/>
                <w:szCs w:val="24"/>
                <w14:textFill>
                  <w14:solidFill>
                    <w14:schemeClr w14:val="tx1"/>
                  </w14:solidFill>
                </w14:textFill>
              </w:rPr>
              <w:t>的潜在投标人应在“苏采云”系统获取招标文件，并于202</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6年7</w:t>
            </w:r>
            <w:r>
              <w:rPr>
                <w:rFonts w:hint="eastAsia" w:ascii="宋体" w:hAnsi="宋体" w:eastAsia="宋体" w:cs="宋体"/>
                <w:snapToGrid w:val="0"/>
                <w:color w:val="000000" w:themeColor="text1"/>
                <w:spacing w:val="0"/>
                <w:sz w:val="24"/>
                <w:szCs w:val="24"/>
                <w14:textFill>
                  <w14:solidFill>
                    <w14:schemeClr w14:val="tx1"/>
                  </w14:solidFill>
                </w14:textFill>
              </w:rPr>
              <w:t>月</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30</w:t>
            </w:r>
            <w:r>
              <w:rPr>
                <w:rFonts w:hint="eastAsia" w:ascii="宋体" w:hAnsi="宋体" w:eastAsia="宋体" w:cs="宋体"/>
                <w:snapToGrid w:val="0"/>
                <w:color w:val="000000" w:themeColor="text1"/>
                <w:spacing w:val="0"/>
                <w:sz w:val="24"/>
                <w:szCs w:val="24"/>
                <w14:textFill>
                  <w14:solidFill>
                    <w14:schemeClr w14:val="tx1"/>
                  </w14:solidFill>
                </w14:textFill>
              </w:rPr>
              <w:t>日</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14</w:t>
            </w:r>
            <w:r>
              <w:rPr>
                <w:rFonts w:hint="eastAsia" w:ascii="宋体" w:hAnsi="宋体" w:eastAsia="宋体" w:cs="宋体"/>
                <w:snapToGrid w:val="0"/>
                <w:color w:val="000000" w:themeColor="text1"/>
                <w:spacing w:val="0"/>
                <w:sz w:val="24"/>
                <w:szCs w:val="24"/>
                <w14:textFill>
                  <w14:solidFill>
                    <w14:schemeClr w14:val="tx1"/>
                  </w14:solidFill>
                </w14:textFill>
              </w:rPr>
              <w:t>点</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30</w:t>
            </w:r>
            <w:r>
              <w:rPr>
                <w:rFonts w:hint="eastAsia" w:ascii="宋体" w:hAnsi="宋体" w:eastAsia="宋体" w:cs="宋体"/>
                <w:snapToGrid w:val="0"/>
                <w:color w:val="000000" w:themeColor="text1"/>
                <w:spacing w:val="0"/>
                <w:sz w:val="24"/>
                <w:szCs w:val="24"/>
                <w14:textFill>
                  <w14:solidFill>
                    <w14:schemeClr w14:val="tx1"/>
                  </w14:solidFill>
                </w14:textFill>
              </w:rPr>
              <w:t>分（北京时间）前提交投标文件。</w:t>
            </w:r>
          </w:p>
        </w:tc>
      </w:tr>
    </w:tbl>
    <w:p w14:paraId="4626AFFB">
      <w:pPr>
        <w:keepNext w:val="0"/>
        <w:keepLines w:val="0"/>
        <w:kinsoku/>
        <w:wordWrap/>
        <w:overflowPunct/>
        <w:topLinePunct w:val="0"/>
        <w:autoSpaceDE/>
        <w:autoSpaceDN/>
        <w:bidi w:val="0"/>
        <w:adjustRightInd w:val="0"/>
        <w:snapToGrid w:val="0"/>
        <w:spacing w:line="360" w:lineRule="auto"/>
        <w:ind w:left="0" w:leftChars="0" w:right="0" w:hanging="229"/>
        <w:textAlignment w:val="auto"/>
        <w:rPr>
          <w:rFonts w:hint="eastAsia" w:ascii="宋体" w:hAnsi="宋体" w:eastAsia="宋体" w:cs="宋体"/>
          <w:b/>
          <w:snapToGrid w:val="0"/>
          <w:color w:val="000000" w:themeColor="text1"/>
          <w:spacing w:val="0"/>
          <w:sz w:val="24"/>
          <w:szCs w:val="24"/>
          <w14:textFill>
            <w14:solidFill>
              <w14:schemeClr w14:val="tx1"/>
            </w14:solidFill>
          </w14:textFill>
        </w:rPr>
      </w:pPr>
      <w:r>
        <w:rPr>
          <w:rFonts w:hint="eastAsia" w:ascii="宋体" w:hAnsi="宋体" w:eastAsia="宋体" w:cs="宋体"/>
          <w:b/>
          <w:snapToGrid w:val="0"/>
          <w:color w:val="000000" w:themeColor="text1"/>
          <w:spacing w:val="0"/>
          <w:sz w:val="24"/>
          <w:szCs w:val="24"/>
          <w14:textFill>
            <w14:solidFill>
              <w14:schemeClr w14:val="tx1"/>
            </w14:solidFill>
          </w14:textFill>
        </w:rPr>
        <w:t>一、项目基本情况</w:t>
      </w:r>
    </w:p>
    <w:p w14:paraId="27B2F976">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lang w:eastAsia="zh-CN"/>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1.项目编号：</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 xml:space="preserve"> </w:t>
      </w:r>
    </w:p>
    <w:p w14:paraId="292E59FD">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Style w:val="16"/>
          <w:rFonts w:hint="eastAsia" w:ascii="宋体" w:hAnsi="宋体" w:eastAsia="宋体" w:cs="宋体"/>
          <w:bCs/>
          <w:snapToGrid w:val="0"/>
          <w:color w:val="000000" w:themeColor="text1"/>
          <w:spacing w:val="0"/>
          <w:sz w:val="24"/>
          <w:lang w:eastAsia="zh-CN"/>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2.项目名称：</w:t>
      </w:r>
      <w:r>
        <w:rPr>
          <w:rFonts w:hint="eastAsia" w:ascii="宋体" w:hAnsi="宋体" w:eastAsia="宋体" w:cs="宋体"/>
          <w:bCs/>
          <w:snapToGrid w:val="0"/>
          <w:color w:val="000000" w:themeColor="text1"/>
          <w:spacing w:val="0"/>
          <w:sz w:val="24"/>
          <w:lang w:eastAsia="zh-CN"/>
          <w14:textFill>
            <w14:solidFill>
              <w14:schemeClr w14:val="tx1"/>
            </w14:solidFill>
          </w14:textFill>
        </w:rPr>
        <w:t>金坛区持证残疾人商业保险</w:t>
      </w:r>
    </w:p>
    <w:p w14:paraId="65FA4791">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3.采购方式：公开招标</w:t>
      </w:r>
    </w:p>
    <w:p w14:paraId="17B95DE9">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4.项目预算：</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145</w:t>
      </w:r>
      <w:r>
        <w:rPr>
          <w:rFonts w:hint="eastAsia" w:ascii="宋体" w:hAnsi="宋体" w:eastAsia="宋体" w:cs="宋体"/>
          <w:snapToGrid w:val="0"/>
          <w:color w:val="000000" w:themeColor="text1"/>
          <w:spacing w:val="0"/>
          <w:sz w:val="24"/>
          <w:szCs w:val="24"/>
          <w14:textFill>
            <w14:solidFill>
              <w14:schemeClr w14:val="tx1"/>
            </w14:solidFill>
          </w14:textFill>
        </w:rPr>
        <w:t>万元/年</w:t>
      </w:r>
    </w:p>
    <w:p w14:paraId="3F2338B0">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bookmarkStart w:id="1" w:name="OLE_LINK1"/>
      <w:r>
        <w:rPr>
          <w:rFonts w:hint="eastAsia" w:ascii="宋体" w:hAnsi="宋体" w:eastAsia="宋体" w:cs="宋体"/>
          <w:snapToGrid w:val="0"/>
          <w:color w:val="000000" w:themeColor="text1"/>
          <w:spacing w:val="0"/>
          <w:sz w:val="24"/>
          <w:szCs w:val="24"/>
          <w14:textFill>
            <w14:solidFill>
              <w14:schemeClr w14:val="tx1"/>
            </w14:solidFill>
          </w14:textFill>
        </w:rPr>
        <w:t>5.最高限价：</w:t>
      </w:r>
      <w:bookmarkEnd w:id="1"/>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145</w:t>
      </w:r>
      <w:r>
        <w:rPr>
          <w:rFonts w:hint="eastAsia" w:ascii="宋体" w:hAnsi="宋体" w:eastAsia="宋体" w:cs="宋体"/>
          <w:snapToGrid w:val="0"/>
          <w:color w:val="000000" w:themeColor="text1"/>
          <w:spacing w:val="0"/>
          <w:sz w:val="24"/>
          <w:szCs w:val="24"/>
          <w14:textFill>
            <w14:solidFill>
              <w14:schemeClr w14:val="tx1"/>
            </w14:solidFill>
          </w14:textFill>
        </w:rPr>
        <w:t>万元/年</w:t>
      </w:r>
    </w:p>
    <w:p w14:paraId="15BA2D07">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6.采购需求：</w:t>
      </w:r>
    </w:p>
    <w:tbl>
      <w:tblPr>
        <w:tblStyle w:val="13"/>
        <w:tblW w:w="497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9"/>
        <w:gridCol w:w="1351"/>
        <w:gridCol w:w="1778"/>
        <w:gridCol w:w="754"/>
        <w:gridCol w:w="3951"/>
      </w:tblGrid>
      <w:tr w14:paraId="2BADC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7" w:type="pct"/>
            <w:noWrap w:val="0"/>
            <w:vAlign w:val="center"/>
          </w:tcPr>
          <w:p w14:paraId="382A5E03">
            <w:pPr>
              <w:jc w:val="cente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pPr>
            <w: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t>包号</w:t>
            </w:r>
          </w:p>
        </w:tc>
        <w:tc>
          <w:tcPr>
            <w:tcW w:w="797" w:type="pct"/>
            <w:noWrap w:val="0"/>
            <w:vAlign w:val="center"/>
          </w:tcPr>
          <w:p w14:paraId="44278B49">
            <w:pPr>
              <w:jc w:val="cente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pPr>
            <w: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t>标的名称</w:t>
            </w:r>
          </w:p>
        </w:tc>
        <w:tc>
          <w:tcPr>
            <w:tcW w:w="1049" w:type="pct"/>
            <w:noWrap w:val="0"/>
            <w:vAlign w:val="center"/>
          </w:tcPr>
          <w:p w14:paraId="10AFC3DD">
            <w:pPr>
              <w:jc w:val="cente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pPr>
            <w: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t>采购包预算金额</w:t>
            </w:r>
          </w:p>
          <w:p w14:paraId="2E34F9F7">
            <w:pPr>
              <w:jc w:val="cente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pPr>
            <w: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t>（</w:t>
            </w:r>
            <w:r>
              <w:rPr>
                <w:rFonts w:hint="eastAsia" w:ascii="Times New Roman" w:hAnsi="Times New Roman" w:eastAsia="宋体" w:cs="Times New Roman"/>
                <w:bCs/>
                <w:color w:val="000000" w:themeColor="text1"/>
                <w:kern w:val="2"/>
                <w:szCs w:val="21"/>
                <w:lang w:val="en-US" w:eastAsia="zh-CN" w:bidi="ar-SA"/>
                <w14:textFill>
                  <w14:solidFill>
                    <w14:schemeClr w14:val="tx1"/>
                  </w14:solidFill>
                </w14:textFill>
              </w:rPr>
              <w:t>万元/年</w:t>
            </w:r>
            <w: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t>）</w:t>
            </w:r>
          </w:p>
        </w:tc>
        <w:tc>
          <w:tcPr>
            <w:tcW w:w="445" w:type="pct"/>
            <w:noWrap w:val="0"/>
            <w:vAlign w:val="center"/>
          </w:tcPr>
          <w:p w14:paraId="250775E1">
            <w:pPr>
              <w:jc w:val="cente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pPr>
            <w: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t>数量</w:t>
            </w:r>
          </w:p>
        </w:tc>
        <w:tc>
          <w:tcPr>
            <w:tcW w:w="2330" w:type="pct"/>
            <w:noWrap w:val="0"/>
            <w:vAlign w:val="center"/>
          </w:tcPr>
          <w:p w14:paraId="64B6E280">
            <w:pPr>
              <w:jc w:val="cente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pPr>
            <w: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t>简要技术需求或服务要求</w:t>
            </w:r>
          </w:p>
        </w:tc>
      </w:tr>
      <w:tr w14:paraId="4409A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atLeast"/>
        </w:trPr>
        <w:tc>
          <w:tcPr>
            <w:tcW w:w="377" w:type="pct"/>
            <w:noWrap w:val="0"/>
            <w:vAlign w:val="center"/>
          </w:tcPr>
          <w:p w14:paraId="3A1FB54E">
            <w:pPr>
              <w:jc w:val="center"/>
              <w:rPr>
                <w:rFonts w:hint="default" w:ascii="Times New Roman" w:hAnsi="Times New Roman" w:eastAsia="宋体" w:cs="Times New Roman"/>
                <w:bCs/>
                <w:color w:val="000000" w:themeColor="text1"/>
                <w:kern w:val="2"/>
                <w:szCs w:val="21"/>
                <w:highlight w:val="none"/>
                <w:lang w:val="en-US" w:eastAsia="zh-CN" w:bidi="ar-SA"/>
                <w14:textFill>
                  <w14:solidFill>
                    <w14:schemeClr w14:val="tx1"/>
                  </w14:solidFill>
                </w14:textFill>
              </w:rPr>
            </w:pPr>
            <w:r>
              <w:rPr>
                <w:rFonts w:hint="default" w:ascii="Times New Roman" w:hAnsi="Times New Roman" w:eastAsia="宋体" w:cs="Times New Roman"/>
                <w:bCs/>
                <w:color w:val="000000" w:themeColor="text1"/>
                <w:kern w:val="2"/>
                <w:szCs w:val="21"/>
                <w:highlight w:val="none"/>
                <w:lang w:val="en-US" w:eastAsia="zh-CN" w:bidi="ar-SA"/>
                <w14:textFill>
                  <w14:solidFill>
                    <w14:schemeClr w14:val="tx1"/>
                  </w14:solidFill>
                </w14:textFill>
              </w:rPr>
              <w:t>01</w:t>
            </w:r>
          </w:p>
        </w:tc>
        <w:tc>
          <w:tcPr>
            <w:tcW w:w="797" w:type="pct"/>
            <w:noWrap w:val="0"/>
            <w:vAlign w:val="center"/>
          </w:tcPr>
          <w:p w14:paraId="7051C1F9">
            <w:pPr>
              <w:jc w:val="center"/>
              <w:rPr>
                <w:rFonts w:hint="default" w:ascii="Times New Roman" w:hAnsi="Times New Roman" w:eastAsia="宋体" w:cs="Times New Roman"/>
                <w:bCs/>
                <w:color w:val="000000" w:themeColor="text1"/>
                <w:kern w:val="2"/>
                <w:szCs w:val="21"/>
                <w:highlight w:val="none"/>
                <w:lang w:val="en-US" w:eastAsia="zh-CN" w:bidi="ar-SA"/>
                <w14:textFill>
                  <w14:solidFill>
                    <w14:schemeClr w14:val="tx1"/>
                  </w14:solidFill>
                </w14:textFill>
              </w:rPr>
            </w:pPr>
            <w:r>
              <w:rPr>
                <w:rFonts w:hint="eastAsia" w:ascii="Times New Roman" w:hAnsi="Times New Roman" w:eastAsia="宋体" w:cs="Times New Roman"/>
                <w:bCs/>
                <w:color w:val="000000" w:themeColor="text1"/>
                <w:kern w:val="2"/>
                <w:szCs w:val="21"/>
                <w:highlight w:val="none"/>
                <w:lang w:val="en-US" w:eastAsia="zh-CN" w:bidi="ar-SA"/>
                <w14:textFill>
                  <w14:solidFill>
                    <w14:schemeClr w14:val="tx1"/>
                  </w14:solidFill>
                </w14:textFill>
              </w:rPr>
              <w:t>金坛区持证残疾人商业保险</w:t>
            </w:r>
          </w:p>
        </w:tc>
        <w:tc>
          <w:tcPr>
            <w:tcW w:w="1049" w:type="pct"/>
            <w:noWrap w:val="0"/>
            <w:vAlign w:val="center"/>
          </w:tcPr>
          <w:p w14:paraId="12910A9E">
            <w:pPr>
              <w:jc w:val="center"/>
              <w:rPr>
                <w:rFonts w:hint="default" w:ascii="Times New Roman" w:hAnsi="Times New Roman" w:eastAsia="宋体" w:cs="Times New Roman"/>
                <w:bCs/>
                <w:color w:val="000000" w:themeColor="text1"/>
                <w:kern w:val="2"/>
                <w:szCs w:val="21"/>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145</w:t>
            </w:r>
          </w:p>
        </w:tc>
        <w:tc>
          <w:tcPr>
            <w:tcW w:w="445" w:type="pct"/>
            <w:noWrap w:val="0"/>
            <w:vAlign w:val="center"/>
          </w:tcPr>
          <w:p w14:paraId="5D90A0AE">
            <w:pPr>
              <w:jc w:val="center"/>
              <w:rPr>
                <w:rFonts w:hint="default" w:ascii="Times New Roman" w:hAnsi="Times New Roman" w:eastAsia="宋体" w:cs="Times New Roman"/>
                <w:bCs/>
                <w:color w:val="000000" w:themeColor="text1"/>
                <w:kern w:val="2"/>
                <w:szCs w:val="21"/>
                <w:highlight w:val="none"/>
                <w:lang w:val="en-US" w:eastAsia="zh-CN" w:bidi="ar-SA"/>
                <w14:textFill>
                  <w14:solidFill>
                    <w14:schemeClr w14:val="tx1"/>
                  </w14:solidFill>
                </w14:textFill>
              </w:rPr>
            </w:pPr>
            <w:r>
              <w:rPr>
                <w:rFonts w:hint="eastAsia" w:ascii="Times New Roman" w:hAnsi="Times New Roman" w:eastAsia="宋体" w:cs="Times New Roman"/>
                <w:bCs/>
                <w:color w:val="000000" w:themeColor="text1"/>
                <w:kern w:val="2"/>
                <w:szCs w:val="21"/>
                <w:highlight w:val="none"/>
                <w:lang w:val="en-US" w:eastAsia="zh-CN" w:bidi="ar-SA"/>
                <w14:textFill>
                  <w14:solidFill>
                    <w14:schemeClr w14:val="tx1"/>
                  </w14:solidFill>
                </w14:textFill>
              </w:rPr>
              <w:t>1</w:t>
            </w:r>
          </w:p>
        </w:tc>
        <w:tc>
          <w:tcPr>
            <w:tcW w:w="2330" w:type="pct"/>
            <w:noWrap w:val="0"/>
            <w:vAlign w:val="center"/>
          </w:tcPr>
          <w:p w14:paraId="3DB6819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Times New Roman" w:hAnsi="Times New Roman" w:eastAsia="宋体" w:cs="Times New Roman"/>
                <w:color w:val="000000" w:themeColor="text1"/>
                <w:kern w:val="0"/>
                <w:szCs w:val="21"/>
                <w:highlight w:val="none"/>
                <w:lang w:val="en-US" w:eastAsia="zh-CN" w:bidi="ar-SA"/>
                <w14:textFill>
                  <w14:solidFill>
                    <w14:schemeClr w14:val="tx1"/>
                  </w14:solidFill>
                </w14:textFill>
              </w:rPr>
            </w:pPr>
            <w:r>
              <w:rPr>
                <w:rFonts w:hint="eastAsia" w:ascii="Times New Roman" w:hAnsi="Times New Roman" w:eastAsia="宋体" w:cs="Times New Roman"/>
                <w:bCs/>
                <w:color w:val="000000" w:themeColor="text1"/>
                <w:kern w:val="2"/>
                <w:szCs w:val="21"/>
                <w:lang w:val="en-US" w:eastAsia="zh-CN" w:bidi="ar-SA"/>
                <w14:textFill>
                  <w14:solidFill>
                    <w14:schemeClr w14:val="tx1"/>
                  </w14:solidFill>
                </w14:textFill>
              </w:rPr>
              <w:t>为提高我区残疾人保障水平，防止“因病致贫因病返贫”，实施金坛区持证残疾人商业保险工作。</w:t>
            </w:r>
          </w:p>
        </w:tc>
      </w:tr>
    </w:tbl>
    <w:p w14:paraId="6B99A2C3">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7.</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项目</w:t>
      </w:r>
      <w:r>
        <w:rPr>
          <w:rFonts w:hint="eastAsia" w:ascii="宋体" w:hAnsi="宋体" w:eastAsia="宋体" w:cs="宋体"/>
          <w:snapToGrid w:val="0"/>
          <w:color w:val="000000" w:themeColor="text1"/>
          <w:spacing w:val="0"/>
          <w:sz w:val="24"/>
          <w:szCs w:val="24"/>
          <w14:textFill>
            <w14:solidFill>
              <w14:schemeClr w14:val="tx1"/>
            </w14:solidFill>
          </w14:textFill>
        </w:rPr>
        <w:t>合同履行期限：</w:t>
      </w:r>
      <w:r>
        <w:rPr>
          <w:rFonts w:hint="eastAsia" w:eastAsia="宋体"/>
          <w:color w:val="000000" w:themeColor="text1"/>
          <w:sz w:val="24"/>
          <w:highlight w:val="none"/>
          <w:lang w:val="en-US" w:eastAsia="zh-CN"/>
          <w14:textFill>
            <w14:solidFill>
              <w14:schemeClr w14:val="tx1"/>
            </w14:solidFill>
          </w14:textFill>
        </w:rPr>
        <w:t>3年</w:t>
      </w:r>
      <w:r>
        <w:rPr>
          <w:rFonts w:hint="eastAsia" w:ascii="Times New Roman" w:eastAsia="宋体"/>
          <w:color w:val="000000" w:themeColor="text1"/>
          <w:sz w:val="24"/>
          <w:highlight w:val="none"/>
          <w:lang w:val="en-US" w:eastAsia="zh-CN"/>
          <w14:textFill>
            <w14:solidFill>
              <w14:schemeClr w14:val="tx1"/>
            </w14:solidFill>
          </w14:textFill>
        </w:rPr>
        <w:t>（</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1+1+1模</w:t>
      </w:r>
      <w:r>
        <w:rPr>
          <w:rFonts w:hint="eastAsia" w:ascii="Times New Roman" w:eastAsia="宋体"/>
          <w:color w:val="000000" w:themeColor="text1"/>
          <w:sz w:val="24"/>
          <w:highlight w:val="none"/>
          <w:lang w:val="en-US" w:eastAsia="zh-CN"/>
          <w14:textFill>
            <w14:solidFill>
              <w14:schemeClr w14:val="tx1"/>
            </w14:solidFill>
          </w14:textFill>
        </w:rPr>
        <w:t>式）</w:t>
      </w:r>
    </w:p>
    <w:p w14:paraId="3E108330">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8.本项目是否接受联合体：□是  ■否。</w:t>
      </w:r>
    </w:p>
    <w:p w14:paraId="16BF678E">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9.本项目是否接受进口产品响应：□是  ■否。</w:t>
      </w:r>
    </w:p>
    <w:p w14:paraId="3198F187">
      <w:pPr>
        <w:keepNext w:val="0"/>
        <w:keepLines w:val="0"/>
        <w:kinsoku/>
        <w:wordWrap/>
        <w:overflowPunct/>
        <w:topLinePunct w:val="0"/>
        <w:autoSpaceDE/>
        <w:autoSpaceDN/>
        <w:bidi w:val="0"/>
        <w:adjustRightInd w:val="0"/>
        <w:snapToGrid w:val="0"/>
        <w:spacing w:line="360" w:lineRule="auto"/>
        <w:ind w:left="0" w:leftChars="0" w:right="0" w:hanging="229"/>
        <w:textAlignment w:val="auto"/>
        <w:rPr>
          <w:rFonts w:hint="eastAsia" w:ascii="宋体" w:hAnsi="宋体" w:eastAsia="宋体" w:cs="宋体"/>
          <w:b/>
          <w:snapToGrid w:val="0"/>
          <w:color w:val="000000" w:themeColor="text1"/>
          <w:spacing w:val="0"/>
          <w:sz w:val="24"/>
          <w:szCs w:val="24"/>
          <w14:textFill>
            <w14:solidFill>
              <w14:schemeClr w14:val="tx1"/>
            </w14:solidFill>
          </w14:textFill>
        </w:rPr>
      </w:pPr>
      <w:r>
        <w:rPr>
          <w:rFonts w:hint="eastAsia" w:ascii="宋体" w:hAnsi="宋体" w:eastAsia="宋体" w:cs="宋体"/>
          <w:b/>
          <w:snapToGrid w:val="0"/>
          <w:color w:val="000000" w:themeColor="text1"/>
          <w:spacing w:val="0"/>
          <w:sz w:val="24"/>
          <w:szCs w:val="24"/>
          <w14:textFill>
            <w14:solidFill>
              <w14:schemeClr w14:val="tx1"/>
            </w14:solidFill>
          </w14:textFill>
        </w:rPr>
        <w:t>二、申请人的资格要求（须同时满足）</w:t>
      </w:r>
    </w:p>
    <w:p w14:paraId="3E6F0DE1">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1.满足《中华人民共和国政府采购法》第二十二条规定以及下列情形：</w:t>
      </w:r>
    </w:p>
    <w:p w14:paraId="601F06D3">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1.1未被“信用中国”网站（WWW.creditchina.gov.cn）或“中国政府采购网”网站（www.ccgp.gov.cn）列入失信被执行人、重大税收违法案件当事人名单、政府采购严重失信行为记录名单；</w:t>
      </w:r>
    </w:p>
    <w:p w14:paraId="3DA91467">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1.2单位负责人为同一人或者存在直接控股、管理关系的不同投标人（包含法定代表人为同一个人的两个及两个以上法人，母公司、全资子公司及其控股公司），不得参加同一合同项下的政府采购活动。</w:t>
      </w:r>
    </w:p>
    <w:p w14:paraId="047486EA">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2.落实政府采购政策需满足的资格要求：</w:t>
      </w:r>
    </w:p>
    <w:p w14:paraId="7607AD12">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2.1 中小企业政策</w:t>
      </w:r>
    </w:p>
    <w:p w14:paraId="025F2AC6">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■本项目不专门面向中小企业预留采购份额。</w:t>
      </w:r>
    </w:p>
    <w:p w14:paraId="20E478C5">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lang w:eastAsia="zh-CN"/>
          <w14:textFill>
            <w14:solidFill>
              <w14:schemeClr w14:val="tx1"/>
            </w14:solidFill>
          </w14:textFill>
        </w:rPr>
        <w:t>□</w:t>
      </w:r>
      <w:r>
        <w:rPr>
          <w:rFonts w:hint="eastAsia" w:ascii="宋体" w:hAnsi="宋体" w:eastAsia="宋体" w:cs="宋体"/>
          <w:snapToGrid w:val="0"/>
          <w:color w:val="000000" w:themeColor="text1"/>
          <w:spacing w:val="0"/>
          <w:sz w:val="24"/>
          <w:szCs w:val="24"/>
          <w14:textFill>
            <w14:solidFill>
              <w14:schemeClr w14:val="tx1"/>
            </w14:solidFill>
          </w14:textFill>
        </w:rPr>
        <w:t xml:space="preserve">本项目专门面向  </w:t>
      </w:r>
      <w:r>
        <w:rPr>
          <w:rFonts w:hint="eastAsia" w:ascii="宋体" w:hAnsi="宋体" w:eastAsia="宋体" w:cs="宋体"/>
          <w:snapToGrid w:val="0"/>
          <w:color w:val="000000" w:themeColor="text1"/>
          <w:spacing w:val="0"/>
          <w:sz w:val="24"/>
          <w:szCs w:val="24"/>
          <w:lang w:eastAsia="zh-CN"/>
          <w14:textFill>
            <w14:solidFill>
              <w14:schemeClr w14:val="tx1"/>
            </w14:solidFill>
          </w14:textFill>
        </w:rPr>
        <w:t>□</w:t>
      </w:r>
      <w:r>
        <w:rPr>
          <w:rFonts w:hint="eastAsia" w:ascii="宋体" w:hAnsi="宋体" w:eastAsia="宋体" w:cs="宋体"/>
          <w:snapToGrid w:val="0"/>
          <w:color w:val="000000" w:themeColor="text1"/>
          <w:spacing w:val="0"/>
          <w:sz w:val="24"/>
          <w:szCs w:val="24"/>
          <w14:textFill>
            <w14:solidFill>
              <w14:schemeClr w14:val="tx1"/>
            </w14:solidFill>
          </w14:textFill>
        </w:rPr>
        <w:t>中小 □小微企业  采购。即：提供的货物全部由符合政策要求的中小/小微企业制造、服务全部由符合政策要求的中小/小微企业承接。</w:t>
      </w:r>
    </w:p>
    <w:p w14:paraId="1B242E3C">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snapToGrid w:val="0"/>
          <w:color w:val="000000" w:themeColor="text1"/>
          <w:spacing w:val="0"/>
          <w:sz w:val="24"/>
          <w:szCs w:val="24"/>
          <w:u w:val="single"/>
          <w14:textFill>
            <w14:solidFill>
              <w14:schemeClr w14:val="tx1"/>
            </w14:solidFill>
          </w14:textFill>
        </w:rPr>
        <w:t xml:space="preserve">  /  </w:t>
      </w:r>
      <w:r>
        <w:rPr>
          <w:rFonts w:hint="eastAsia" w:ascii="宋体" w:hAnsi="宋体" w:eastAsia="宋体" w:cs="宋体"/>
          <w:snapToGrid w:val="0"/>
          <w:color w:val="000000" w:themeColor="text1"/>
          <w:spacing w:val="0"/>
          <w:sz w:val="24"/>
          <w:szCs w:val="24"/>
          <w14:textFill>
            <w14:solidFill>
              <w14:schemeClr w14:val="tx1"/>
            </w14:solidFill>
          </w14:textFill>
        </w:rPr>
        <w:t>。</w:t>
      </w:r>
    </w:p>
    <w:p w14:paraId="2F2E6C52">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2.2 其它落实政府采购政策的资格要求（如有）：</w:t>
      </w:r>
      <w:r>
        <w:rPr>
          <w:rFonts w:hint="eastAsia" w:ascii="宋体" w:hAnsi="宋体" w:eastAsia="宋体" w:cs="宋体"/>
          <w:snapToGrid w:val="0"/>
          <w:color w:val="000000" w:themeColor="text1"/>
          <w:spacing w:val="0"/>
          <w:sz w:val="24"/>
          <w:szCs w:val="24"/>
          <w:u w:val="single"/>
          <w14:textFill>
            <w14:solidFill>
              <w14:schemeClr w14:val="tx1"/>
            </w14:solidFill>
          </w14:textFill>
        </w:rPr>
        <w:t xml:space="preserve">  /  </w:t>
      </w:r>
      <w:r>
        <w:rPr>
          <w:rFonts w:hint="eastAsia" w:ascii="宋体" w:hAnsi="宋体" w:eastAsia="宋体" w:cs="宋体"/>
          <w:snapToGrid w:val="0"/>
          <w:color w:val="000000" w:themeColor="text1"/>
          <w:spacing w:val="0"/>
          <w:sz w:val="24"/>
          <w:szCs w:val="24"/>
          <w14:textFill>
            <w14:solidFill>
              <w14:schemeClr w14:val="tx1"/>
            </w14:solidFill>
          </w14:textFill>
        </w:rPr>
        <w:t>。</w:t>
      </w:r>
    </w:p>
    <w:p w14:paraId="5E6C0753">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3.本项目的特定资格要求：</w:t>
      </w:r>
    </w:p>
    <w:p w14:paraId="0DBE5188">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 xml:space="preserve">3.1本项目是否接受分支机构参与投标：■是   </w:t>
      </w:r>
      <w:r>
        <w:rPr>
          <w:rFonts w:hint="eastAsia" w:ascii="宋体" w:hAnsi="宋体" w:eastAsia="宋体" w:cs="宋体"/>
          <w:snapToGrid w:val="0"/>
          <w:color w:val="000000" w:themeColor="text1"/>
          <w:spacing w:val="0"/>
          <w:sz w:val="24"/>
          <w:szCs w:val="24"/>
          <w:lang w:eastAsia="zh-CN"/>
          <w14:textFill>
            <w14:solidFill>
              <w14:schemeClr w14:val="tx1"/>
            </w14:solidFill>
          </w14:textFill>
        </w:rPr>
        <w:t>□</w:t>
      </w:r>
      <w:r>
        <w:rPr>
          <w:rFonts w:hint="eastAsia" w:ascii="宋体" w:hAnsi="宋体" w:eastAsia="宋体" w:cs="宋体"/>
          <w:snapToGrid w:val="0"/>
          <w:color w:val="000000" w:themeColor="text1"/>
          <w:spacing w:val="0"/>
          <w:sz w:val="24"/>
          <w:szCs w:val="24"/>
          <w14:textFill>
            <w14:solidFill>
              <w14:schemeClr w14:val="tx1"/>
            </w14:solidFill>
          </w14:textFill>
        </w:rPr>
        <w:t>否；</w:t>
      </w:r>
    </w:p>
    <w:p w14:paraId="231C1499">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3.2 本项目是否属于政府购买服务：</w:t>
      </w:r>
    </w:p>
    <w:p w14:paraId="0D761C55">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lang w:eastAsia="zh-CN"/>
          <w14:textFill>
            <w14:solidFill>
              <w14:schemeClr w14:val="tx1"/>
            </w14:solidFill>
          </w14:textFill>
        </w:rPr>
        <w:t>□</w:t>
      </w:r>
      <w:r>
        <w:rPr>
          <w:rFonts w:hint="eastAsia" w:ascii="宋体" w:hAnsi="宋体" w:eastAsia="宋体" w:cs="宋体"/>
          <w:snapToGrid w:val="0"/>
          <w:color w:val="000000" w:themeColor="text1"/>
          <w:spacing w:val="0"/>
          <w:sz w:val="24"/>
          <w:szCs w:val="24"/>
          <w14:textFill>
            <w14:solidFill>
              <w14:schemeClr w14:val="tx1"/>
            </w14:solidFill>
          </w14:textFill>
        </w:rPr>
        <w:t>否</w:t>
      </w:r>
    </w:p>
    <w:p w14:paraId="624C9DB4">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■是，公益一类事业单位、使用事业编制且由财政拨款保障的群团组织，不得作为承接主体；</w:t>
      </w:r>
    </w:p>
    <w:p w14:paraId="56CBDB6E">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lang w:eastAsia="zh-CN"/>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3.3其他特定资格要求：具有国家保险监督管理委员会颁发的《保险许可证》，且有该项目所有保险责任经营的相关许可。</w:t>
      </w:r>
    </w:p>
    <w:p w14:paraId="62372196">
      <w:pPr>
        <w:keepNext w:val="0"/>
        <w:keepLines w:val="0"/>
        <w:kinsoku/>
        <w:wordWrap/>
        <w:overflowPunct/>
        <w:topLinePunct w:val="0"/>
        <w:autoSpaceDE/>
        <w:autoSpaceDN/>
        <w:bidi w:val="0"/>
        <w:adjustRightInd w:val="0"/>
        <w:snapToGrid w:val="0"/>
        <w:spacing w:line="360" w:lineRule="auto"/>
        <w:ind w:left="0" w:leftChars="0" w:right="0" w:hanging="229"/>
        <w:textAlignment w:val="auto"/>
        <w:rPr>
          <w:rFonts w:hint="eastAsia" w:ascii="宋体" w:hAnsi="宋体" w:eastAsia="宋体" w:cs="宋体"/>
          <w:b/>
          <w:snapToGrid w:val="0"/>
          <w:color w:val="000000" w:themeColor="text1"/>
          <w:spacing w:val="0"/>
          <w:sz w:val="24"/>
          <w:szCs w:val="24"/>
          <w14:textFill>
            <w14:solidFill>
              <w14:schemeClr w14:val="tx1"/>
            </w14:solidFill>
          </w14:textFill>
        </w:rPr>
      </w:pPr>
      <w:r>
        <w:rPr>
          <w:rFonts w:hint="eastAsia" w:ascii="宋体" w:hAnsi="宋体" w:eastAsia="宋体" w:cs="宋体"/>
          <w:b/>
          <w:snapToGrid w:val="0"/>
          <w:color w:val="000000" w:themeColor="text1"/>
          <w:spacing w:val="0"/>
          <w:sz w:val="24"/>
          <w:szCs w:val="24"/>
          <w14:textFill>
            <w14:solidFill>
              <w14:schemeClr w14:val="tx1"/>
            </w14:solidFill>
          </w14:textFill>
        </w:rPr>
        <w:t>三、获取招标文件</w:t>
      </w:r>
    </w:p>
    <w:p w14:paraId="0C7B8252">
      <w:pPr>
        <w:pStyle w:val="7"/>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1.时间：自招标文件公告发布之日起5个工作日。</w:t>
      </w:r>
    </w:p>
    <w:p w14:paraId="53CB6970">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2.地点：“苏采云”系统</w:t>
      </w:r>
    </w:p>
    <w:p w14:paraId="3F53114B">
      <w:pPr>
        <w:keepNext w:val="0"/>
        <w:keepLines w:val="0"/>
        <w:kinsoku/>
        <w:wordWrap/>
        <w:overflowPunct/>
        <w:topLinePunct w:val="0"/>
        <w:autoSpaceDE/>
        <w:autoSpaceDN/>
        <w:bidi w:val="0"/>
        <w:adjustRightInd w:val="0"/>
        <w:snapToGrid w:val="0"/>
        <w:spacing w:line="360" w:lineRule="auto"/>
        <w:ind w:left="0" w:leftChars="0" w:right="0" w:firstLine="48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3</w:t>
      </w:r>
      <w:r>
        <w:rPr>
          <w:rFonts w:hint="eastAsia" w:ascii="宋体" w:hAnsi="宋体" w:eastAsia="宋体" w:cs="宋体"/>
          <w:snapToGrid w:val="0"/>
          <w:color w:val="000000" w:themeColor="text1"/>
          <w:spacing w:val="0"/>
          <w:sz w:val="24"/>
          <w:lang w:val="en-US" w:eastAsia="zh-CN"/>
          <w14:textFill>
            <w14:solidFill>
              <w14:schemeClr w14:val="tx1"/>
            </w14:solidFill>
          </w14:textFill>
        </w:rPr>
        <w:t>.</w:t>
      </w:r>
      <w:r>
        <w:rPr>
          <w:rFonts w:hint="eastAsia" w:ascii="宋体" w:hAnsi="宋体" w:eastAsia="宋体" w:cs="宋体"/>
          <w:snapToGrid w:val="0"/>
          <w:color w:val="000000" w:themeColor="text1"/>
          <w:spacing w:val="0"/>
          <w:sz w:val="24"/>
          <w14:textFill>
            <w14:solidFill>
              <w14:schemeClr w14:val="tx1"/>
            </w14:solidFill>
          </w14:textFill>
        </w:rPr>
        <w:t>方式：供应商持CA数字认证证书登录“苏采云”系统（http://jszfcg.jsczt.cn/jszc/login）获取电子版招标文件。</w:t>
      </w:r>
    </w:p>
    <w:p w14:paraId="77F486C9">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4.售价：0元。</w:t>
      </w:r>
    </w:p>
    <w:p w14:paraId="7EB9B62B">
      <w:pPr>
        <w:keepNext w:val="0"/>
        <w:keepLines w:val="0"/>
        <w:kinsoku/>
        <w:wordWrap/>
        <w:overflowPunct/>
        <w:topLinePunct w:val="0"/>
        <w:autoSpaceDE/>
        <w:autoSpaceDN/>
        <w:bidi w:val="0"/>
        <w:adjustRightInd w:val="0"/>
        <w:snapToGrid w:val="0"/>
        <w:spacing w:line="360" w:lineRule="auto"/>
        <w:ind w:left="0" w:leftChars="0" w:right="0" w:hanging="229"/>
        <w:textAlignment w:val="auto"/>
        <w:rPr>
          <w:rFonts w:hint="eastAsia" w:ascii="宋体" w:hAnsi="宋体" w:eastAsia="宋体" w:cs="宋体"/>
          <w:b/>
          <w:snapToGrid w:val="0"/>
          <w:color w:val="000000" w:themeColor="text1"/>
          <w:spacing w:val="0"/>
          <w:sz w:val="24"/>
          <w:szCs w:val="24"/>
          <w14:textFill>
            <w14:solidFill>
              <w14:schemeClr w14:val="tx1"/>
            </w14:solidFill>
          </w14:textFill>
        </w:rPr>
      </w:pPr>
      <w:r>
        <w:rPr>
          <w:rFonts w:hint="eastAsia" w:ascii="宋体" w:hAnsi="宋体" w:eastAsia="宋体" w:cs="宋体"/>
          <w:b/>
          <w:snapToGrid w:val="0"/>
          <w:color w:val="000000" w:themeColor="text1"/>
          <w:spacing w:val="0"/>
          <w:sz w:val="24"/>
          <w:szCs w:val="24"/>
          <w14:textFill>
            <w14:solidFill>
              <w14:schemeClr w14:val="tx1"/>
            </w14:solidFill>
          </w14:textFill>
        </w:rPr>
        <w:t>四、提交投标文件截止时间、开标时间和地点</w:t>
      </w:r>
    </w:p>
    <w:p w14:paraId="6F8D4EB1">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投标截止时间、开标时间：</w:t>
      </w:r>
      <w:r>
        <w:rPr>
          <w:rFonts w:hint="eastAsia" w:ascii="宋体" w:hAnsi="宋体" w:eastAsia="宋体" w:cs="宋体"/>
          <w:snapToGrid w:val="0"/>
          <w:color w:val="000000" w:themeColor="text1"/>
          <w:spacing w:val="0"/>
          <w:sz w:val="24"/>
          <w:szCs w:val="24"/>
          <w14:textFill>
            <w14:solidFill>
              <w14:schemeClr w14:val="tx1"/>
            </w14:solidFill>
          </w14:textFill>
        </w:rPr>
        <w:t>202</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6年7</w:t>
      </w:r>
      <w:r>
        <w:rPr>
          <w:rFonts w:hint="eastAsia" w:ascii="宋体" w:hAnsi="宋体" w:eastAsia="宋体" w:cs="宋体"/>
          <w:snapToGrid w:val="0"/>
          <w:color w:val="000000" w:themeColor="text1"/>
          <w:spacing w:val="0"/>
          <w:sz w:val="24"/>
          <w:szCs w:val="24"/>
          <w14:textFill>
            <w14:solidFill>
              <w14:schemeClr w14:val="tx1"/>
            </w14:solidFill>
          </w14:textFill>
        </w:rPr>
        <w:t>月</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30</w:t>
      </w:r>
      <w:r>
        <w:rPr>
          <w:rFonts w:hint="eastAsia" w:ascii="宋体" w:hAnsi="宋体" w:eastAsia="宋体" w:cs="宋体"/>
          <w:snapToGrid w:val="0"/>
          <w:color w:val="000000" w:themeColor="text1"/>
          <w:spacing w:val="0"/>
          <w:sz w:val="24"/>
          <w:szCs w:val="24"/>
          <w14:textFill>
            <w14:solidFill>
              <w14:schemeClr w14:val="tx1"/>
            </w14:solidFill>
          </w14:textFill>
        </w:rPr>
        <w:t>日</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14</w:t>
      </w:r>
      <w:r>
        <w:rPr>
          <w:rFonts w:hint="eastAsia" w:ascii="宋体" w:hAnsi="宋体" w:eastAsia="宋体" w:cs="宋体"/>
          <w:snapToGrid w:val="0"/>
          <w:color w:val="000000" w:themeColor="text1"/>
          <w:spacing w:val="0"/>
          <w:sz w:val="24"/>
          <w:szCs w:val="24"/>
          <w14:textFill>
            <w14:solidFill>
              <w14:schemeClr w14:val="tx1"/>
            </w14:solidFill>
          </w14:textFill>
        </w:rPr>
        <w:t>点</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30</w:t>
      </w:r>
      <w:r>
        <w:rPr>
          <w:rFonts w:hint="eastAsia" w:ascii="宋体" w:hAnsi="宋体" w:eastAsia="宋体" w:cs="宋体"/>
          <w:snapToGrid w:val="0"/>
          <w:color w:val="000000" w:themeColor="text1"/>
          <w:spacing w:val="0"/>
          <w:sz w:val="24"/>
          <w:szCs w:val="24"/>
          <w14:textFill>
            <w14:solidFill>
              <w14:schemeClr w14:val="tx1"/>
            </w14:solidFill>
          </w14:textFill>
        </w:rPr>
        <w:t>分</w:t>
      </w:r>
      <w:r>
        <w:rPr>
          <w:rFonts w:hint="eastAsia" w:ascii="宋体" w:hAnsi="宋体" w:eastAsia="宋体" w:cs="宋体"/>
          <w:snapToGrid w:val="0"/>
          <w:color w:val="000000" w:themeColor="text1"/>
          <w:spacing w:val="0"/>
          <w:sz w:val="24"/>
          <w14:textFill>
            <w14:solidFill>
              <w14:schemeClr w14:val="tx1"/>
            </w14:solidFill>
          </w14:textFill>
        </w:rPr>
        <w:t>（北京时间）。</w:t>
      </w:r>
    </w:p>
    <w:p w14:paraId="23C55540">
      <w:pPr>
        <w:pStyle w:val="7"/>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2" w:name="_Toc35393625"/>
      <w:bookmarkStart w:id="3" w:name="_Toc35393794"/>
      <w:bookmarkStart w:id="4" w:name="_Toc28359007"/>
      <w:bookmarkStart w:id="5" w:name="_Toc28359084"/>
      <w:r>
        <w:rPr>
          <w:rFonts w:hint="eastAsia" w:ascii="宋体" w:hAnsi="宋体" w:eastAsia="宋体" w:cs="宋体"/>
          <w:snapToGrid w:val="0"/>
          <w:color w:val="000000" w:themeColor="text1"/>
          <w:spacing w:val="0"/>
          <w:sz w:val="24"/>
          <w14:textFill>
            <w14:solidFill>
              <w14:schemeClr w14:val="tx1"/>
            </w14:solidFill>
          </w14:textFill>
        </w:rPr>
        <w:t>地点：</w:t>
      </w:r>
      <w:r>
        <w:rPr>
          <w:rFonts w:hint="eastAsia" w:ascii="宋体" w:hAnsi="宋体" w:eastAsia="宋体" w:cs="宋体"/>
          <w:snapToGrid w:val="0"/>
          <w:color w:val="000000" w:themeColor="text1"/>
          <w:spacing w:val="0"/>
          <w:sz w:val="24"/>
          <w:szCs w:val="22"/>
          <w14:textFill>
            <w14:solidFill>
              <w14:schemeClr w14:val="tx1"/>
            </w14:solidFill>
          </w14:textFill>
        </w:rPr>
        <w:t>“苏采云”系统“开标大厅”。</w:t>
      </w:r>
    </w:p>
    <w:p w14:paraId="2E618D0B">
      <w:pPr>
        <w:keepNext w:val="0"/>
        <w:keepLines w:val="0"/>
        <w:kinsoku/>
        <w:wordWrap/>
        <w:overflowPunct/>
        <w:topLinePunct w:val="0"/>
        <w:autoSpaceDE/>
        <w:autoSpaceDN/>
        <w:bidi w:val="0"/>
        <w:adjustRightInd w:val="0"/>
        <w:snapToGrid w:val="0"/>
        <w:spacing w:line="360" w:lineRule="auto"/>
        <w:ind w:left="0" w:leftChars="0" w:right="0" w:hanging="229"/>
        <w:textAlignment w:val="auto"/>
        <w:rPr>
          <w:rFonts w:hint="eastAsia" w:ascii="宋体" w:hAnsi="宋体" w:eastAsia="宋体" w:cs="宋体"/>
          <w:b/>
          <w:snapToGrid w:val="0"/>
          <w:color w:val="000000" w:themeColor="text1"/>
          <w:spacing w:val="0"/>
          <w:sz w:val="24"/>
          <w:szCs w:val="24"/>
          <w14:textFill>
            <w14:solidFill>
              <w14:schemeClr w14:val="tx1"/>
            </w14:solidFill>
          </w14:textFill>
        </w:rPr>
      </w:pPr>
      <w:r>
        <w:rPr>
          <w:rFonts w:hint="eastAsia" w:ascii="宋体" w:hAnsi="宋体" w:eastAsia="宋体" w:cs="宋体"/>
          <w:b/>
          <w:snapToGrid w:val="0"/>
          <w:color w:val="000000" w:themeColor="text1"/>
          <w:spacing w:val="0"/>
          <w:sz w:val="24"/>
          <w:szCs w:val="24"/>
          <w14:textFill>
            <w14:solidFill>
              <w14:schemeClr w14:val="tx1"/>
            </w14:solidFill>
          </w14:textFill>
        </w:rPr>
        <w:t>五、公告期限</w:t>
      </w:r>
      <w:bookmarkEnd w:id="2"/>
      <w:bookmarkEnd w:id="3"/>
      <w:bookmarkEnd w:id="4"/>
      <w:bookmarkEnd w:id="5"/>
    </w:p>
    <w:p w14:paraId="46CD1FD5">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自本公告发布之日起5个工作日。</w:t>
      </w:r>
    </w:p>
    <w:p w14:paraId="2E0007D8">
      <w:pPr>
        <w:keepNext w:val="0"/>
        <w:keepLines w:val="0"/>
        <w:kinsoku/>
        <w:wordWrap/>
        <w:overflowPunct/>
        <w:topLinePunct w:val="0"/>
        <w:autoSpaceDE/>
        <w:autoSpaceDN/>
        <w:bidi w:val="0"/>
        <w:adjustRightInd w:val="0"/>
        <w:snapToGrid w:val="0"/>
        <w:spacing w:line="360" w:lineRule="auto"/>
        <w:ind w:left="0" w:leftChars="0" w:right="0" w:hanging="229"/>
        <w:textAlignment w:val="auto"/>
        <w:rPr>
          <w:rFonts w:hint="eastAsia" w:ascii="宋体" w:hAnsi="宋体" w:eastAsia="宋体" w:cs="宋体"/>
          <w:b/>
          <w:snapToGrid w:val="0"/>
          <w:color w:val="000000" w:themeColor="text1"/>
          <w:spacing w:val="0"/>
          <w:sz w:val="24"/>
          <w:szCs w:val="24"/>
          <w14:textFill>
            <w14:solidFill>
              <w14:schemeClr w14:val="tx1"/>
            </w14:solidFill>
          </w14:textFill>
        </w:rPr>
      </w:pPr>
      <w:bookmarkStart w:id="6" w:name="_Toc35393626"/>
      <w:bookmarkStart w:id="7" w:name="_Toc35393795"/>
      <w:r>
        <w:rPr>
          <w:rFonts w:hint="eastAsia" w:ascii="宋体" w:hAnsi="宋体" w:eastAsia="宋体" w:cs="宋体"/>
          <w:b/>
          <w:snapToGrid w:val="0"/>
          <w:color w:val="000000" w:themeColor="text1"/>
          <w:spacing w:val="0"/>
          <w:sz w:val="24"/>
          <w:szCs w:val="24"/>
          <w14:textFill>
            <w14:solidFill>
              <w14:schemeClr w14:val="tx1"/>
            </w14:solidFill>
          </w14:textFill>
        </w:rPr>
        <w:t>六、其他补充事宜</w:t>
      </w:r>
      <w:bookmarkEnd w:id="6"/>
      <w:bookmarkEnd w:id="7"/>
    </w:p>
    <w:p w14:paraId="519389C3">
      <w:pPr>
        <w:keepNext w:val="0"/>
        <w:keepLines w:val="0"/>
        <w:kinsoku/>
        <w:wordWrap/>
        <w:overflowPunct/>
        <w:topLinePunct w:val="0"/>
        <w:autoSpaceDE/>
        <w:autoSpaceDN/>
        <w:bidi w:val="0"/>
        <w:adjustRightInd w:val="0"/>
        <w:snapToGrid w:val="0"/>
        <w:spacing w:line="360" w:lineRule="auto"/>
        <w:ind w:left="0" w:leftChars="0" w:right="0" w:firstLine="480"/>
        <w:jc w:val="left"/>
        <w:textAlignment w:val="auto"/>
        <w:rPr>
          <w:rFonts w:hint="eastAsia" w:ascii="宋体" w:hAnsi="宋体" w:eastAsia="宋体" w:cs="宋体"/>
          <w:b/>
          <w:snapToGrid w:val="0"/>
          <w:color w:val="000000" w:themeColor="text1"/>
          <w:spacing w:val="0"/>
          <w:sz w:val="24"/>
          <w:szCs w:val="24"/>
          <w14:textFill>
            <w14:solidFill>
              <w14:schemeClr w14:val="tx1"/>
            </w14:solidFill>
          </w14:textFill>
        </w:rPr>
      </w:pPr>
      <w:bookmarkStart w:id="8" w:name="_Toc28359008"/>
      <w:bookmarkStart w:id="9" w:name="_Toc35393796"/>
      <w:bookmarkStart w:id="10" w:name="_Toc35393627"/>
      <w:bookmarkStart w:id="11" w:name="_Toc28359085"/>
      <w:r>
        <w:rPr>
          <w:rFonts w:hint="eastAsia" w:ascii="宋体" w:hAnsi="宋体" w:eastAsia="宋体" w:cs="宋体"/>
          <w:snapToGrid w:val="0"/>
          <w:color w:val="000000" w:themeColor="text1"/>
          <w:spacing w:val="0"/>
          <w:sz w:val="24"/>
          <w:szCs w:val="24"/>
          <w14:textFill>
            <w14:solidFill>
              <w14:schemeClr w14:val="tx1"/>
            </w14:solidFill>
          </w14:textFill>
        </w:rPr>
        <w:t>1．本项目需要落实的政府采购政策：促进中小企业及监狱企业发展、促进残疾人就业、政府采购节能产品、环境标志产品、支持乡村产业振兴管理、正版软件、信息安全产品、政府采购创新产品政策、绿色采购政策具体落实情况详见招标文件。</w:t>
      </w:r>
    </w:p>
    <w:p w14:paraId="3A116BF5">
      <w:pPr>
        <w:keepNext w:val="0"/>
        <w:keepLines w:val="0"/>
        <w:kinsoku/>
        <w:wordWrap/>
        <w:overflowPunct/>
        <w:topLinePunct w:val="0"/>
        <w:autoSpaceDE/>
        <w:autoSpaceDN/>
        <w:bidi w:val="0"/>
        <w:adjustRightInd w:val="0"/>
        <w:snapToGrid w:val="0"/>
        <w:spacing w:line="360" w:lineRule="auto"/>
        <w:ind w:left="0" w:leftChars="0" w:right="0" w:firstLine="48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2.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4C5A0B7D">
      <w:pPr>
        <w:keepNext w:val="0"/>
        <w:keepLines w:val="0"/>
        <w:kinsoku/>
        <w:wordWrap/>
        <w:overflowPunct/>
        <w:topLinePunct w:val="0"/>
        <w:autoSpaceDE/>
        <w:autoSpaceDN/>
        <w:bidi w:val="0"/>
        <w:adjustRightInd w:val="0"/>
        <w:snapToGrid w:val="0"/>
        <w:spacing w:line="360" w:lineRule="auto"/>
        <w:ind w:left="0" w:leftChars="0" w:right="0" w:firstLine="48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3. 有关本次招标的事项若存在变动或修改，敬请及时关注“江苏政府采购网” 、“常州市政府采购网”发布的公告。</w:t>
      </w:r>
    </w:p>
    <w:p w14:paraId="2A3D79A5">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4.关于常州市中小企业政府采购信用融资：</w:t>
      </w:r>
    </w:p>
    <w:p w14:paraId="60522DB0">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119F75FB">
      <w:pPr>
        <w:keepNext w:val="0"/>
        <w:keepLines w:val="0"/>
        <w:kinsoku/>
        <w:wordWrap/>
        <w:overflowPunct/>
        <w:topLinePunct w:val="0"/>
        <w:autoSpaceDE/>
        <w:autoSpaceDN/>
        <w:bidi w:val="0"/>
        <w:adjustRightInd w:val="0"/>
        <w:snapToGrid w:val="0"/>
        <w:spacing w:line="360" w:lineRule="auto"/>
        <w:ind w:left="0" w:leftChars="0" w:right="0" w:hanging="229"/>
        <w:textAlignment w:val="auto"/>
        <w:rPr>
          <w:rFonts w:hint="eastAsia" w:ascii="宋体" w:hAnsi="宋体" w:eastAsia="宋体" w:cs="宋体"/>
          <w:b/>
          <w:snapToGrid w:val="0"/>
          <w:color w:val="000000" w:themeColor="text1"/>
          <w:spacing w:val="0"/>
          <w:sz w:val="24"/>
          <w:szCs w:val="24"/>
          <w14:textFill>
            <w14:solidFill>
              <w14:schemeClr w14:val="tx1"/>
            </w14:solidFill>
          </w14:textFill>
        </w:rPr>
      </w:pPr>
      <w:r>
        <w:rPr>
          <w:rFonts w:hint="eastAsia" w:ascii="宋体" w:hAnsi="宋体" w:eastAsia="宋体" w:cs="宋体"/>
          <w:b/>
          <w:snapToGrid w:val="0"/>
          <w:color w:val="000000" w:themeColor="text1"/>
          <w:spacing w:val="0"/>
          <w:sz w:val="24"/>
          <w:szCs w:val="24"/>
          <w14:textFill>
            <w14:solidFill>
              <w14:schemeClr w14:val="tx1"/>
            </w14:solidFill>
          </w14:textFill>
        </w:rPr>
        <w:t>七、对本项目提出询问，请按以下方式联系。</w:t>
      </w:r>
      <w:bookmarkEnd w:id="8"/>
      <w:bookmarkEnd w:id="9"/>
      <w:bookmarkEnd w:id="10"/>
      <w:bookmarkEnd w:id="11"/>
    </w:p>
    <w:p w14:paraId="3D59EDAD">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1.采购人信息</w:t>
      </w:r>
    </w:p>
    <w:p w14:paraId="1987ADFC">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lang w:eastAsia="zh-CN"/>
          <w14:textFill>
            <w14:solidFill>
              <w14:schemeClr w14:val="tx1"/>
            </w14:solidFill>
          </w14:textFill>
        </w:rPr>
      </w:pPr>
      <w:bookmarkStart w:id="12" w:name="_Toc28359086"/>
      <w:bookmarkStart w:id="13" w:name="_Toc28359009"/>
      <w:r>
        <w:rPr>
          <w:rFonts w:hint="eastAsia" w:ascii="宋体" w:hAnsi="宋体" w:eastAsia="宋体" w:cs="宋体"/>
          <w:snapToGrid w:val="0"/>
          <w:color w:val="000000" w:themeColor="text1"/>
          <w:spacing w:val="0"/>
          <w:sz w:val="24"/>
          <w:szCs w:val="24"/>
          <w14:textFill>
            <w14:solidFill>
              <w14:schemeClr w14:val="tx1"/>
            </w14:solidFill>
          </w14:textFill>
        </w:rPr>
        <w:t>采购人名称：</w:t>
      </w:r>
      <w:r>
        <w:rPr>
          <w:rFonts w:hint="eastAsia" w:ascii="宋体" w:hAnsi="宋体" w:eastAsia="宋体" w:cs="宋体"/>
          <w:snapToGrid w:val="0"/>
          <w:color w:val="000000" w:themeColor="text1"/>
          <w:spacing w:val="0"/>
          <w:sz w:val="24"/>
          <w:szCs w:val="24"/>
          <w:lang w:eastAsia="zh-CN"/>
          <w14:textFill>
            <w14:solidFill>
              <w14:schemeClr w14:val="tx1"/>
            </w14:solidFill>
          </w14:textFill>
        </w:rPr>
        <w:t>常州市金坛区残疾人联合会</w:t>
      </w:r>
    </w:p>
    <w:p w14:paraId="152BC4B9">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联</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系电话：0519-82887511</w:t>
      </w:r>
    </w:p>
    <w:p w14:paraId="4E4900F9">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地址：</w:t>
      </w:r>
      <w:r>
        <w:rPr>
          <w:rFonts w:hint="eastAsia" w:ascii="Times New Roman" w:eastAsia="宋体"/>
          <w:color w:val="000000" w:themeColor="text1"/>
          <w:sz w:val="24"/>
          <w:lang w:val="en-US" w:eastAsia="zh-CN"/>
          <w14:textFill>
            <w14:solidFill>
              <w14:schemeClr w14:val="tx1"/>
            </w14:solidFill>
          </w14:textFill>
        </w:rPr>
        <w:t>常州市金坛区金坛大道150号</w:t>
      </w:r>
    </w:p>
    <w:p w14:paraId="20D0E2CC">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2.采购代理机构信息</w:t>
      </w:r>
      <w:bookmarkEnd w:id="12"/>
      <w:bookmarkEnd w:id="13"/>
    </w:p>
    <w:p w14:paraId="5053810A">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lang w:eastAsia="zh-CN"/>
          <w14:textFill>
            <w14:solidFill>
              <w14:schemeClr w14:val="tx1"/>
            </w14:solidFill>
          </w14:textFill>
        </w:rPr>
      </w:pPr>
      <w:bookmarkStart w:id="14" w:name="_Toc28359087"/>
      <w:bookmarkStart w:id="15" w:name="_Toc28359010"/>
      <w:r>
        <w:rPr>
          <w:rFonts w:hint="eastAsia" w:ascii="宋体" w:hAnsi="宋体" w:eastAsia="宋体" w:cs="宋体"/>
          <w:snapToGrid w:val="0"/>
          <w:color w:val="000000" w:themeColor="text1"/>
          <w:spacing w:val="0"/>
          <w:sz w:val="24"/>
          <w:szCs w:val="24"/>
          <w14:textFill>
            <w14:solidFill>
              <w14:schemeClr w14:val="tx1"/>
            </w14:solidFill>
          </w14:textFill>
        </w:rPr>
        <w:t>名称：</w:t>
      </w:r>
      <w:r>
        <w:rPr>
          <w:rFonts w:hint="eastAsia" w:ascii="宋体" w:hAnsi="宋体" w:eastAsia="宋体" w:cs="宋体"/>
          <w:snapToGrid w:val="0"/>
          <w:color w:val="000000" w:themeColor="text1"/>
          <w:spacing w:val="0"/>
          <w:sz w:val="24"/>
          <w:szCs w:val="24"/>
          <w:lang w:eastAsia="zh-CN"/>
          <w14:textFill>
            <w14:solidFill>
              <w14:schemeClr w14:val="tx1"/>
            </w14:solidFill>
          </w14:textFill>
        </w:rPr>
        <w:t>江苏嘉丰工程咨询有限公司</w:t>
      </w:r>
    </w:p>
    <w:p w14:paraId="19CEB5CB">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联系方式：</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 xml:space="preserve">程女士 </w:t>
      </w:r>
      <w:r>
        <w:rPr>
          <w:rFonts w:hint="eastAsia" w:ascii="宋体" w:hAnsi="宋体" w:eastAsia="宋体" w:cs="宋体"/>
          <w:snapToGrid w:val="0"/>
          <w:color w:val="000000" w:themeColor="text1"/>
          <w:spacing w:val="0"/>
          <w:sz w:val="24"/>
          <w:szCs w:val="24"/>
          <w14:textFill>
            <w14:solidFill>
              <w14:schemeClr w14:val="tx1"/>
            </w14:solidFill>
          </w14:textFill>
        </w:rPr>
        <w:t>0519-</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82260002</w:t>
      </w:r>
    </w:p>
    <w:p w14:paraId="1E554F02">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地址：常州市</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金坛区汇金路227号筑立方大厦13楼</w:t>
      </w:r>
    </w:p>
    <w:p w14:paraId="1BEDAB8B">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3.项目联系方式</w:t>
      </w:r>
      <w:bookmarkEnd w:id="14"/>
      <w:bookmarkEnd w:id="15"/>
    </w:p>
    <w:p w14:paraId="6B462D3D">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项目联系人：</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程女士</w:t>
      </w:r>
    </w:p>
    <w:p w14:paraId="7B69D04F">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sectPr>
          <w:footerReference r:id="rId7" w:type="default"/>
          <w:pgSz w:w="11906" w:h="16838"/>
          <w:pgMar w:top="1440" w:right="1800" w:bottom="1440" w:left="1800" w:header="851" w:footer="992" w:gutter="0"/>
          <w:pgNumType w:fmt="decimal" w:start="1"/>
          <w:cols w:space="425" w:num="1"/>
          <w:docGrid w:linePitch="360" w:charSpace="0"/>
        </w:sectPr>
      </w:pPr>
      <w:r>
        <w:rPr>
          <w:rFonts w:hint="eastAsia" w:ascii="宋体" w:hAnsi="宋体" w:eastAsia="宋体" w:cs="宋体"/>
          <w:snapToGrid w:val="0"/>
          <w:color w:val="000000" w:themeColor="text1"/>
          <w:spacing w:val="0"/>
          <w:sz w:val="24"/>
          <w:szCs w:val="24"/>
          <w14:textFill>
            <w14:solidFill>
              <w14:schemeClr w14:val="tx1"/>
            </w14:solidFill>
          </w14:textFill>
        </w:rPr>
        <w:t>电话：0519-</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82260002</w:t>
      </w:r>
    </w:p>
    <w:p w14:paraId="79137267">
      <w:pPr>
        <w:pStyle w:val="4"/>
        <w:keepNext w:val="0"/>
        <w:keepLines w:val="0"/>
        <w:kinsoku/>
        <w:wordWrap/>
        <w:overflowPunct/>
        <w:topLinePunct w:val="0"/>
        <w:autoSpaceDE/>
        <w:autoSpaceDN/>
        <w:bidi w:val="0"/>
        <w:adjustRightInd w:val="0"/>
        <w:snapToGrid w:val="0"/>
        <w:spacing w:line="360" w:lineRule="auto"/>
        <w:ind w:left="0" w:leftChars="0" w:right="0" w:hanging="343"/>
        <w:textAlignment w:val="auto"/>
        <w:rPr>
          <w:rFonts w:hint="eastAsia" w:ascii="宋体" w:hAnsi="宋体" w:eastAsia="宋体" w:cs="宋体"/>
          <w:snapToGrid w:val="0"/>
          <w:color w:val="000000" w:themeColor="text1"/>
          <w:spacing w:val="0"/>
          <w14:textFill>
            <w14:solidFill>
              <w14:schemeClr w14:val="tx1"/>
            </w14:solidFill>
          </w14:textFill>
        </w:rPr>
      </w:pPr>
      <w:bookmarkStart w:id="16" w:name="_Toc23318"/>
      <w:r>
        <w:rPr>
          <w:rFonts w:hint="eastAsia" w:ascii="宋体" w:hAnsi="宋体" w:eastAsia="宋体" w:cs="宋体"/>
          <w:snapToGrid w:val="0"/>
          <w:color w:val="000000" w:themeColor="text1"/>
          <w:spacing w:val="0"/>
          <w14:textFill>
            <w14:solidFill>
              <w14:schemeClr w14:val="tx1"/>
            </w14:solidFill>
          </w14:textFill>
        </w:rPr>
        <w:t>第二章 投标人须知</w:t>
      </w:r>
      <w:bookmarkEnd w:id="16"/>
    </w:p>
    <w:p w14:paraId="46D09351">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投标人须知资料表</w:t>
      </w:r>
    </w:p>
    <w:p w14:paraId="6FB24792">
      <w:pPr>
        <w:keepNext w:val="0"/>
        <w:keepLines w:val="0"/>
        <w:kinsoku/>
        <w:wordWrap/>
        <w:overflowPunct/>
        <w:topLinePunct w:val="0"/>
        <w:autoSpaceDE/>
        <w:autoSpaceDN/>
        <w:bidi w:val="0"/>
        <w:adjustRightInd w:val="0"/>
        <w:snapToGrid w:val="0"/>
        <w:spacing w:line="360" w:lineRule="auto"/>
        <w:ind w:left="0" w:leftChars="0" w:right="0" w:hanging="228"/>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本表是对投标人须知的具体补充和修改，如有矛盾，均以本资料表为准。</w:t>
      </w:r>
    </w:p>
    <w:p w14:paraId="029A9767">
      <w:pPr>
        <w:keepNext w:val="0"/>
        <w:keepLines w:val="0"/>
        <w:kinsoku/>
        <w:wordWrap/>
        <w:overflowPunct/>
        <w:topLinePunct w:val="0"/>
        <w:autoSpaceDE/>
        <w:autoSpaceDN/>
        <w:bidi w:val="0"/>
        <w:adjustRightInd w:val="0"/>
        <w:snapToGrid w:val="0"/>
        <w:spacing w:line="360" w:lineRule="auto"/>
        <w:ind w:left="0" w:leftChars="0" w:right="0" w:hanging="228"/>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标记“</w:t>
      </w:r>
      <w:r>
        <w:rPr>
          <w:rFonts w:hint="eastAsia" w:ascii="宋体" w:hAnsi="宋体" w:eastAsia="宋体" w:cs="宋体"/>
          <w:snapToGrid w:val="0"/>
          <w:color w:val="000000" w:themeColor="text1"/>
          <w:spacing w:val="0"/>
          <w:sz w:val="24"/>
          <w:szCs w:val="24"/>
          <w14:textFill>
            <w14:solidFill>
              <w14:schemeClr w14:val="tx1"/>
            </w14:solidFill>
          </w14:textFill>
        </w:rPr>
        <w:t>■</w:t>
      </w:r>
      <w:r>
        <w:rPr>
          <w:rFonts w:hint="eastAsia" w:ascii="宋体" w:hAnsi="宋体" w:eastAsia="宋体" w:cs="宋体"/>
          <w:snapToGrid w:val="0"/>
          <w:color w:val="000000" w:themeColor="text1"/>
          <w:spacing w:val="0"/>
          <w:sz w:val="24"/>
          <w14:textFill>
            <w14:solidFill>
              <w14:schemeClr w14:val="tx1"/>
            </w14:solidFill>
          </w14:textFill>
        </w:rPr>
        <w:t>”的选项意为适用于本项目，标记“</w:t>
      </w:r>
      <w:r>
        <w:rPr>
          <w:rFonts w:hint="eastAsia" w:ascii="宋体" w:hAnsi="宋体" w:eastAsia="宋体" w:cs="宋体"/>
          <w:snapToGrid w:val="0"/>
          <w:color w:val="000000" w:themeColor="text1"/>
          <w:spacing w:val="0"/>
          <w:sz w:val="24"/>
          <w:szCs w:val="24"/>
          <w14:textFill>
            <w14:solidFill>
              <w14:schemeClr w14:val="tx1"/>
            </w14:solidFill>
          </w14:textFill>
        </w:rPr>
        <w:t>□</w:t>
      </w:r>
      <w:r>
        <w:rPr>
          <w:rFonts w:hint="eastAsia" w:ascii="宋体" w:hAnsi="宋体" w:eastAsia="宋体" w:cs="宋体"/>
          <w:snapToGrid w:val="0"/>
          <w:color w:val="000000" w:themeColor="text1"/>
          <w:spacing w:val="0"/>
          <w:sz w:val="24"/>
          <w14:textFill>
            <w14:solidFill>
              <w14:schemeClr w14:val="tx1"/>
            </w14:solidFill>
          </w14:textFill>
        </w:rPr>
        <w:t>”的选项意为不适用于本项目</w:t>
      </w:r>
      <w:r>
        <w:rPr>
          <w:rFonts w:hint="eastAsia" w:ascii="宋体" w:hAnsi="宋体" w:eastAsia="宋体" w:cs="宋体"/>
          <w:snapToGrid w:val="0"/>
          <w:color w:val="000000" w:themeColor="text1"/>
          <w:spacing w:val="0"/>
          <w:sz w:val="24"/>
          <w:szCs w:val="24"/>
          <w14:textFill>
            <w14:solidFill>
              <w14:schemeClr w14:val="tx1"/>
            </w14:solidFill>
          </w14:textFill>
        </w:rPr>
        <w:t>。</w:t>
      </w:r>
    </w:p>
    <w:tbl>
      <w:tblPr>
        <w:tblStyle w:val="13"/>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1701"/>
        <w:gridCol w:w="6483"/>
      </w:tblGrid>
      <w:tr w14:paraId="3FC43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1122" w:type="dxa"/>
            <w:noWrap w:val="0"/>
            <w:tcMar>
              <w:top w:w="0" w:type="dxa"/>
              <w:left w:w="283" w:type="dxa"/>
              <w:bottom w:w="0" w:type="dxa"/>
              <w:right w:w="108" w:type="dxa"/>
            </w:tcMar>
            <w:vAlign w:val="center"/>
          </w:tcPr>
          <w:p w14:paraId="05EC120A">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条款号</w:t>
            </w:r>
          </w:p>
        </w:tc>
        <w:tc>
          <w:tcPr>
            <w:tcW w:w="1701" w:type="dxa"/>
            <w:noWrap w:val="0"/>
            <w:tcMar>
              <w:top w:w="0" w:type="dxa"/>
              <w:left w:w="283" w:type="dxa"/>
              <w:bottom w:w="0" w:type="dxa"/>
              <w:right w:w="108" w:type="dxa"/>
            </w:tcMar>
            <w:vAlign w:val="center"/>
          </w:tcPr>
          <w:p w14:paraId="7AC596A2">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条目</w:t>
            </w:r>
          </w:p>
        </w:tc>
        <w:tc>
          <w:tcPr>
            <w:tcW w:w="6483" w:type="dxa"/>
            <w:noWrap w:val="0"/>
            <w:tcMar>
              <w:top w:w="0" w:type="dxa"/>
              <w:left w:w="283" w:type="dxa"/>
              <w:bottom w:w="0" w:type="dxa"/>
              <w:right w:w="108" w:type="dxa"/>
            </w:tcMar>
            <w:vAlign w:val="center"/>
          </w:tcPr>
          <w:p w14:paraId="3C71703C">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内容</w:t>
            </w:r>
          </w:p>
        </w:tc>
      </w:tr>
      <w:tr w14:paraId="69B42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noWrap w:val="0"/>
            <w:tcMar>
              <w:top w:w="0" w:type="dxa"/>
              <w:left w:w="283" w:type="dxa"/>
              <w:bottom w:w="0" w:type="dxa"/>
              <w:right w:w="108" w:type="dxa"/>
            </w:tcMar>
            <w:vAlign w:val="center"/>
          </w:tcPr>
          <w:p w14:paraId="23761496">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2.2</w:t>
            </w:r>
          </w:p>
        </w:tc>
        <w:tc>
          <w:tcPr>
            <w:tcW w:w="1701" w:type="dxa"/>
            <w:noWrap w:val="0"/>
            <w:tcMar>
              <w:top w:w="0" w:type="dxa"/>
              <w:left w:w="283" w:type="dxa"/>
              <w:bottom w:w="0" w:type="dxa"/>
              <w:right w:w="108" w:type="dxa"/>
            </w:tcMar>
            <w:vAlign w:val="center"/>
          </w:tcPr>
          <w:p w14:paraId="6AFDEB60">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项目属性</w:t>
            </w:r>
          </w:p>
        </w:tc>
        <w:tc>
          <w:tcPr>
            <w:tcW w:w="6483" w:type="dxa"/>
            <w:noWrap w:val="0"/>
            <w:tcMar>
              <w:top w:w="0" w:type="dxa"/>
              <w:left w:w="283" w:type="dxa"/>
              <w:bottom w:w="0" w:type="dxa"/>
              <w:right w:w="108" w:type="dxa"/>
            </w:tcMar>
            <w:vAlign w:val="center"/>
          </w:tcPr>
          <w:p w14:paraId="727B56C7">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项目属性：</w:t>
            </w:r>
          </w:p>
          <w:p w14:paraId="2F141C90">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■服务</w:t>
            </w:r>
          </w:p>
          <w:p w14:paraId="0E26A13C">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□货物</w:t>
            </w:r>
          </w:p>
        </w:tc>
      </w:tr>
      <w:tr w14:paraId="7F236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noWrap w:val="0"/>
            <w:tcMar>
              <w:top w:w="0" w:type="dxa"/>
              <w:left w:w="283" w:type="dxa"/>
              <w:bottom w:w="0" w:type="dxa"/>
              <w:right w:w="108" w:type="dxa"/>
            </w:tcMar>
            <w:vAlign w:val="center"/>
          </w:tcPr>
          <w:p w14:paraId="090CFDAF">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2.3</w:t>
            </w:r>
          </w:p>
        </w:tc>
        <w:tc>
          <w:tcPr>
            <w:tcW w:w="1701" w:type="dxa"/>
            <w:noWrap w:val="0"/>
            <w:tcMar>
              <w:top w:w="0" w:type="dxa"/>
              <w:left w:w="283" w:type="dxa"/>
              <w:bottom w:w="0" w:type="dxa"/>
              <w:right w:w="108" w:type="dxa"/>
            </w:tcMar>
            <w:vAlign w:val="center"/>
          </w:tcPr>
          <w:p w14:paraId="264A185D">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科研仪器设备</w:t>
            </w:r>
          </w:p>
        </w:tc>
        <w:tc>
          <w:tcPr>
            <w:tcW w:w="6483" w:type="dxa"/>
            <w:noWrap w:val="0"/>
            <w:tcMar>
              <w:top w:w="0" w:type="dxa"/>
              <w:left w:w="283" w:type="dxa"/>
              <w:bottom w:w="0" w:type="dxa"/>
              <w:right w:w="108" w:type="dxa"/>
            </w:tcMar>
            <w:vAlign w:val="center"/>
          </w:tcPr>
          <w:p w14:paraId="63E3DED8">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是否属于科研仪器设备采购项目：</w:t>
            </w:r>
          </w:p>
          <w:p w14:paraId="1CC2567B">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□是</w:t>
            </w:r>
          </w:p>
          <w:p w14:paraId="229027F8">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■否</w:t>
            </w:r>
          </w:p>
        </w:tc>
      </w:tr>
      <w:tr w14:paraId="5379C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noWrap w:val="0"/>
            <w:tcMar>
              <w:top w:w="0" w:type="dxa"/>
              <w:left w:w="283" w:type="dxa"/>
              <w:bottom w:w="0" w:type="dxa"/>
              <w:right w:w="108" w:type="dxa"/>
            </w:tcMar>
            <w:vAlign w:val="center"/>
          </w:tcPr>
          <w:p w14:paraId="472FD684">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2.4</w:t>
            </w:r>
          </w:p>
        </w:tc>
        <w:tc>
          <w:tcPr>
            <w:tcW w:w="1701" w:type="dxa"/>
            <w:noWrap w:val="0"/>
            <w:tcMar>
              <w:top w:w="0" w:type="dxa"/>
              <w:left w:w="283" w:type="dxa"/>
              <w:bottom w:w="0" w:type="dxa"/>
              <w:right w:w="108" w:type="dxa"/>
            </w:tcMar>
            <w:vAlign w:val="center"/>
          </w:tcPr>
          <w:p w14:paraId="245A409E">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核心产品</w:t>
            </w:r>
          </w:p>
        </w:tc>
        <w:tc>
          <w:tcPr>
            <w:tcW w:w="6483" w:type="dxa"/>
            <w:noWrap w:val="0"/>
            <w:tcMar>
              <w:top w:w="0" w:type="dxa"/>
              <w:left w:w="283" w:type="dxa"/>
              <w:bottom w:w="0" w:type="dxa"/>
              <w:right w:w="108" w:type="dxa"/>
            </w:tcMar>
            <w:vAlign w:val="center"/>
          </w:tcPr>
          <w:p w14:paraId="52BB0265">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■关于核心产品本项目不适用。</w:t>
            </w:r>
          </w:p>
          <w:p w14:paraId="49D97463">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□本项目为单一产品采购项目。</w:t>
            </w:r>
          </w:p>
          <w:p w14:paraId="41E2E574">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□本项目为非单一产品采购项目，核心产品为：</w:t>
            </w:r>
          </w:p>
        </w:tc>
      </w:tr>
      <w:tr w14:paraId="4F115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Merge w:val="restart"/>
            <w:noWrap w:val="0"/>
            <w:tcMar>
              <w:top w:w="0" w:type="dxa"/>
              <w:left w:w="283" w:type="dxa"/>
              <w:bottom w:w="0" w:type="dxa"/>
              <w:right w:w="108" w:type="dxa"/>
            </w:tcMar>
            <w:vAlign w:val="center"/>
          </w:tcPr>
          <w:p w14:paraId="62EC6770">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3.1</w:t>
            </w:r>
          </w:p>
        </w:tc>
        <w:tc>
          <w:tcPr>
            <w:tcW w:w="1701" w:type="dxa"/>
            <w:noWrap w:val="0"/>
            <w:tcMar>
              <w:top w:w="0" w:type="dxa"/>
              <w:left w:w="283" w:type="dxa"/>
              <w:bottom w:w="0" w:type="dxa"/>
              <w:right w:w="108" w:type="dxa"/>
            </w:tcMar>
            <w:vAlign w:val="center"/>
          </w:tcPr>
          <w:p w14:paraId="537F5107">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现场考察</w:t>
            </w:r>
          </w:p>
        </w:tc>
        <w:tc>
          <w:tcPr>
            <w:tcW w:w="6483" w:type="dxa"/>
            <w:noWrap w:val="0"/>
            <w:tcMar>
              <w:top w:w="0" w:type="dxa"/>
              <w:left w:w="283" w:type="dxa"/>
              <w:bottom w:w="0" w:type="dxa"/>
              <w:right w:w="108" w:type="dxa"/>
            </w:tcMar>
            <w:vAlign w:val="center"/>
          </w:tcPr>
          <w:p w14:paraId="72DA670E">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■不组织</w:t>
            </w:r>
          </w:p>
          <w:p w14:paraId="1004727A">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□组织，考察时间：__年_月_日_点_分</w:t>
            </w:r>
          </w:p>
          <w:p w14:paraId="706DC3DD">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考察地点：____________。</w:t>
            </w:r>
          </w:p>
        </w:tc>
      </w:tr>
      <w:tr w14:paraId="04E92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Merge w:val="continue"/>
            <w:noWrap w:val="0"/>
            <w:tcMar>
              <w:top w:w="0" w:type="dxa"/>
              <w:left w:w="283" w:type="dxa"/>
              <w:bottom w:w="0" w:type="dxa"/>
              <w:right w:w="108" w:type="dxa"/>
            </w:tcMar>
            <w:vAlign w:val="center"/>
          </w:tcPr>
          <w:p w14:paraId="2848B322">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p>
        </w:tc>
        <w:tc>
          <w:tcPr>
            <w:tcW w:w="1701" w:type="dxa"/>
            <w:noWrap w:val="0"/>
            <w:tcMar>
              <w:top w:w="0" w:type="dxa"/>
              <w:left w:w="283" w:type="dxa"/>
              <w:bottom w:w="0" w:type="dxa"/>
              <w:right w:w="108" w:type="dxa"/>
            </w:tcMar>
            <w:vAlign w:val="center"/>
          </w:tcPr>
          <w:p w14:paraId="44FA2C45">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开标前答疑会</w:t>
            </w:r>
          </w:p>
        </w:tc>
        <w:tc>
          <w:tcPr>
            <w:tcW w:w="6483" w:type="dxa"/>
            <w:noWrap w:val="0"/>
            <w:tcMar>
              <w:top w:w="0" w:type="dxa"/>
              <w:left w:w="283" w:type="dxa"/>
              <w:bottom w:w="0" w:type="dxa"/>
              <w:right w:w="108" w:type="dxa"/>
            </w:tcMar>
            <w:vAlign w:val="center"/>
          </w:tcPr>
          <w:p w14:paraId="7A78454E">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■不召开</w:t>
            </w:r>
          </w:p>
          <w:p w14:paraId="7E6A9B98">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□召开，召开时间：__年_月_日_点_分</w:t>
            </w:r>
          </w:p>
          <w:p w14:paraId="0FEFC62F">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召开地点：____________。</w:t>
            </w:r>
          </w:p>
        </w:tc>
      </w:tr>
      <w:tr w14:paraId="103AE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noWrap w:val="0"/>
            <w:tcMar>
              <w:top w:w="0" w:type="dxa"/>
              <w:left w:w="283" w:type="dxa"/>
              <w:bottom w:w="0" w:type="dxa"/>
              <w:right w:w="108" w:type="dxa"/>
            </w:tcMar>
            <w:vAlign w:val="center"/>
          </w:tcPr>
          <w:p w14:paraId="70285C23">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4.1</w:t>
            </w:r>
          </w:p>
        </w:tc>
        <w:tc>
          <w:tcPr>
            <w:tcW w:w="1701" w:type="dxa"/>
            <w:noWrap w:val="0"/>
            <w:tcMar>
              <w:top w:w="0" w:type="dxa"/>
              <w:left w:w="283" w:type="dxa"/>
              <w:bottom w:w="0" w:type="dxa"/>
              <w:right w:w="108" w:type="dxa"/>
            </w:tcMar>
            <w:vAlign w:val="center"/>
          </w:tcPr>
          <w:p w14:paraId="7A86A293">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样品</w:t>
            </w:r>
          </w:p>
        </w:tc>
        <w:tc>
          <w:tcPr>
            <w:tcW w:w="6483" w:type="dxa"/>
            <w:noWrap w:val="0"/>
            <w:tcMar>
              <w:top w:w="0" w:type="dxa"/>
              <w:left w:w="283" w:type="dxa"/>
              <w:bottom w:w="0" w:type="dxa"/>
              <w:right w:w="108" w:type="dxa"/>
            </w:tcMar>
            <w:vAlign w:val="center"/>
          </w:tcPr>
          <w:p w14:paraId="69BC947D">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投标样品递交：</w:t>
            </w:r>
          </w:p>
          <w:p w14:paraId="3D108A4B">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■不需要</w:t>
            </w:r>
          </w:p>
          <w:p w14:paraId="2B4F45E7">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□需要，具体要求如下：</w:t>
            </w:r>
          </w:p>
          <w:p w14:paraId="2AD9C0D9">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（1）样品制作的标准和要求：详见采购需求</w:t>
            </w:r>
          </w:p>
          <w:p w14:paraId="4A2CA6AB">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（2）是否需要随样品提交相关检测报告：详见采购需求</w:t>
            </w:r>
          </w:p>
          <w:p w14:paraId="36CDEDBB">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（3）样品递交要求：详见采购需求</w:t>
            </w:r>
          </w:p>
          <w:p w14:paraId="581E6ED0">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（4）未中标人样品退还：详见采购需求</w:t>
            </w:r>
          </w:p>
          <w:p w14:paraId="62C52482">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（5）中标人样品保管、封存及退还：详见采购需求</w:t>
            </w:r>
          </w:p>
          <w:p w14:paraId="3820746F">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（6）其他要求（如有）：详见采购需求</w:t>
            </w:r>
          </w:p>
        </w:tc>
      </w:tr>
      <w:tr w14:paraId="4D0C7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tcMar>
              <w:top w:w="0" w:type="dxa"/>
              <w:left w:w="283" w:type="dxa"/>
              <w:bottom w:w="0" w:type="dxa"/>
              <w:right w:w="108" w:type="dxa"/>
            </w:tcMar>
            <w:vAlign w:val="center"/>
          </w:tcPr>
          <w:p w14:paraId="4F79CD31">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5.2.5</w:t>
            </w:r>
          </w:p>
        </w:tc>
        <w:tc>
          <w:tcPr>
            <w:tcW w:w="1701" w:type="dxa"/>
            <w:noWrap w:val="0"/>
            <w:tcMar>
              <w:top w:w="0" w:type="dxa"/>
              <w:left w:w="283" w:type="dxa"/>
              <w:bottom w:w="0" w:type="dxa"/>
              <w:right w:w="108" w:type="dxa"/>
            </w:tcMar>
            <w:vAlign w:val="center"/>
          </w:tcPr>
          <w:p w14:paraId="7B5B835F">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标的所属行业</w:t>
            </w:r>
          </w:p>
        </w:tc>
        <w:tc>
          <w:tcPr>
            <w:tcW w:w="6483" w:type="dxa"/>
            <w:noWrap w:val="0"/>
            <w:tcMar>
              <w:top w:w="0" w:type="dxa"/>
              <w:left w:w="283" w:type="dxa"/>
              <w:bottom w:w="0" w:type="dxa"/>
              <w:right w:w="108" w:type="dxa"/>
            </w:tcMar>
            <w:vAlign w:val="center"/>
          </w:tcPr>
          <w:p w14:paraId="02513F17">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本项目采购标的对应的中小企业划分标准所属行业：</w:t>
            </w:r>
            <w:r>
              <w:rPr>
                <w:rFonts w:hint="eastAsia" w:ascii="宋体" w:hAnsi="宋体" w:eastAsia="宋体" w:cs="宋体"/>
                <w:snapToGrid w:val="0"/>
                <w:color w:val="000000" w:themeColor="text1"/>
                <w:spacing w:val="0"/>
                <w:w w:val="100"/>
                <w:sz w:val="24"/>
                <w:szCs w:val="24"/>
                <w:u w:val="single"/>
                <w14:textFill>
                  <w14:solidFill>
                    <w14:schemeClr w14:val="tx1"/>
                  </w14:solidFill>
                </w14:textFill>
              </w:rPr>
              <w:t>服务业</w:t>
            </w:r>
          </w:p>
        </w:tc>
      </w:tr>
      <w:tr w14:paraId="7D726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1122" w:type="dxa"/>
            <w:noWrap w:val="0"/>
            <w:tcMar>
              <w:top w:w="0" w:type="dxa"/>
              <w:left w:w="283" w:type="dxa"/>
              <w:bottom w:w="0" w:type="dxa"/>
              <w:right w:w="108" w:type="dxa"/>
            </w:tcMar>
            <w:vAlign w:val="center"/>
          </w:tcPr>
          <w:p w14:paraId="2DB6FF80">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11.2</w:t>
            </w:r>
          </w:p>
        </w:tc>
        <w:tc>
          <w:tcPr>
            <w:tcW w:w="1701" w:type="dxa"/>
            <w:shd w:val="clear" w:color="auto" w:fill="auto"/>
            <w:noWrap w:val="0"/>
            <w:tcMar>
              <w:top w:w="0" w:type="dxa"/>
              <w:left w:w="283" w:type="dxa"/>
              <w:bottom w:w="0" w:type="dxa"/>
              <w:right w:w="108" w:type="dxa"/>
            </w:tcMar>
            <w:vAlign w:val="center"/>
          </w:tcPr>
          <w:p w14:paraId="20E5A924">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投标报价</w:t>
            </w:r>
          </w:p>
        </w:tc>
        <w:tc>
          <w:tcPr>
            <w:tcW w:w="6483" w:type="dxa"/>
            <w:shd w:val="clear" w:color="auto" w:fill="auto"/>
            <w:noWrap w:val="0"/>
            <w:tcMar>
              <w:top w:w="0" w:type="dxa"/>
              <w:left w:w="283" w:type="dxa"/>
              <w:bottom w:w="0" w:type="dxa"/>
              <w:right w:w="108" w:type="dxa"/>
            </w:tcMar>
            <w:vAlign w:val="center"/>
          </w:tcPr>
          <w:p w14:paraId="6D1AE649">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投标报价的特殊规定：</w:t>
            </w:r>
          </w:p>
          <w:p w14:paraId="18D01800">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■无</w:t>
            </w:r>
          </w:p>
          <w:p w14:paraId="080EC4BA">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□有，具体情形：</w:t>
            </w:r>
            <w:r>
              <w:rPr>
                <w:rFonts w:hint="eastAsia" w:ascii="宋体" w:hAnsi="宋体" w:eastAsia="宋体" w:cs="宋体"/>
                <w:snapToGrid w:val="0"/>
                <w:color w:val="000000" w:themeColor="text1"/>
                <w:spacing w:val="0"/>
                <w:w w:val="100"/>
                <w:sz w:val="24"/>
                <w14:textFill>
                  <w14:solidFill>
                    <w14:schemeClr w14:val="tx1"/>
                  </w14:solidFill>
                </w14:textFill>
              </w:rPr>
              <w:t>/</w:t>
            </w:r>
          </w:p>
        </w:tc>
      </w:tr>
      <w:tr w14:paraId="100DD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tcMar>
              <w:top w:w="0" w:type="dxa"/>
              <w:left w:w="283" w:type="dxa"/>
              <w:bottom w:w="0" w:type="dxa"/>
              <w:right w:w="108" w:type="dxa"/>
            </w:tcMar>
            <w:vAlign w:val="center"/>
          </w:tcPr>
          <w:p w14:paraId="77A58ECE">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12</w:t>
            </w:r>
          </w:p>
        </w:tc>
        <w:tc>
          <w:tcPr>
            <w:tcW w:w="1701" w:type="dxa"/>
            <w:noWrap w:val="0"/>
            <w:tcMar>
              <w:top w:w="0" w:type="dxa"/>
              <w:left w:w="283" w:type="dxa"/>
              <w:bottom w:w="0" w:type="dxa"/>
              <w:right w:w="108" w:type="dxa"/>
            </w:tcMar>
            <w:vAlign w:val="center"/>
          </w:tcPr>
          <w:p w14:paraId="22BBB5A2">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投标保证金</w:t>
            </w:r>
          </w:p>
        </w:tc>
        <w:tc>
          <w:tcPr>
            <w:tcW w:w="6483" w:type="dxa"/>
            <w:noWrap w:val="0"/>
            <w:tcMar>
              <w:top w:w="0" w:type="dxa"/>
              <w:left w:w="283" w:type="dxa"/>
              <w:bottom w:w="0" w:type="dxa"/>
              <w:right w:w="108" w:type="dxa"/>
            </w:tcMar>
            <w:vAlign w:val="center"/>
          </w:tcPr>
          <w:p w14:paraId="621CF110">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免收</w:t>
            </w:r>
          </w:p>
        </w:tc>
      </w:tr>
      <w:tr w14:paraId="4DF9E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tcMar>
              <w:top w:w="0" w:type="dxa"/>
              <w:left w:w="283" w:type="dxa"/>
              <w:bottom w:w="0" w:type="dxa"/>
              <w:right w:w="108" w:type="dxa"/>
            </w:tcMar>
            <w:vAlign w:val="center"/>
          </w:tcPr>
          <w:p w14:paraId="68370AD7">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13.1</w:t>
            </w:r>
          </w:p>
        </w:tc>
        <w:tc>
          <w:tcPr>
            <w:tcW w:w="1701" w:type="dxa"/>
            <w:noWrap w:val="0"/>
            <w:tcMar>
              <w:top w:w="0" w:type="dxa"/>
              <w:left w:w="283" w:type="dxa"/>
              <w:bottom w:w="0" w:type="dxa"/>
              <w:right w:w="108" w:type="dxa"/>
            </w:tcMar>
            <w:vAlign w:val="center"/>
          </w:tcPr>
          <w:p w14:paraId="1DE2DD2A">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投标有效期</w:t>
            </w:r>
          </w:p>
        </w:tc>
        <w:tc>
          <w:tcPr>
            <w:tcW w:w="6483" w:type="dxa"/>
            <w:noWrap w:val="0"/>
            <w:tcMar>
              <w:top w:w="0" w:type="dxa"/>
              <w:left w:w="283" w:type="dxa"/>
              <w:bottom w:w="0" w:type="dxa"/>
              <w:right w:w="108" w:type="dxa"/>
            </w:tcMar>
            <w:vAlign w:val="center"/>
          </w:tcPr>
          <w:p w14:paraId="091CAFC4">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自提交投标文件的截止之日起算60日历天。</w:t>
            </w:r>
          </w:p>
        </w:tc>
      </w:tr>
      <w:tr w14:paraId="28255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tcMar>
              <w:top w:w="0" w:type="dxa"/>
              <w:left w:w="283" w:type="dxa"/>
              <w:bottom w:w="0" w:type="dxa"/>
              <w:right w:w="108" w:type="dxa"/>
            </w:tcMar>
            <w:vAlign w:val="center"/>
          </w:tcPr>
          <w:p w14:paraId="67B32DBC">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25.5</w:t>
            </w:r>
          </w:p>
        </w:tc>
        <w:tc>
          <w:tcPr>
            <w:tcW w:w="1701" w:type="dxa"/>
            <w:noWrap w:val="0"/>
            <w:tcMar>
              <w:top w:w="0" w:type="dxa"/>
              <w:left w:w="283" w:type="dxa"/>
              <w:bottom w:w="0" w:type="dxa"/>
              <w:right w:w="108" w:type="dxa"/>
            </w:tcMar>
            <w:vAlign w:val="center"/>
          </w:tcPr>
          <w:p w14:paraId="0D462C8F">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分包</w:t>
            </w:r>
          </w:p>
        </w:tc>
        <w:tc>
          <w:tcPr>
            <w:tcW w:w="6483" w:type="dxa"/>
            <w:noWrap w:val="0"/>
            <w:tcMar>
              <w:top w:w="0" w:type="dxa"/>
              <w:left w:w="283" w:type="dxa"/>
              <w:bottom w:w="0" w:type="dxa"/>
              <w:right w:w="108" w:type="dxa"/>
            </w:tcMar>
            <w:vAlign w:val="center"/>
          </w:tcPr>
          <w:p w14:paraId="1C196712">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本项目的非主体、非关键性工作是否允许分包：</w:t>
            </w:r>
          </w:p>
          <w:p w14:paraId="6C96BE1D">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■不允许</w:t>
            </w:r>
          </w:p>
          <w:p w14:paraId="20285C5F">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□允许，具体要求：</w:t>
            </w:r>
          </w:p>
          <w:p w14:paraId="67F79B81">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（1）可以分包履行的具体内容：</w:t>
            </w:r>
            <w:r>
              <w:rPr>
                <w:rFonts w:hint="eastAsia" w:ascii="宋体" w:hAnsi="宋体" w:eastAsia="宋体" w:cs="宋体"/>
                <w:snapToGrid w:val="0"/>
                <w:color w:val="000000" w:themeColor="text1"/>
                <w:spacing w:val="0"/>
                <w:w w:val="100"/>
                <w:sz w:val="24"/>
                <w:szCs w:val="24"/>
                <w:u w:val="single"/>
                <w14:textFill>
                  <w14:solidFill>
                    <w14:schemeClr w14:val="tx1"/>
                  </w14:solidFill>
                </w14:textFill>
              </w:rPr>
              <w:t xml:space="preserve">     </w:t>
            </w:r>
          </w:p>
          <w:p w14:paraId="76096663">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（2）允许分包的金额或者比例：</w:t>
            </w:r>
            <w:r>
              <w:rPr>
                <w:rFonts w:hint="eastAsia" w:ascii="宋体" w:hAnsi="宋体" w:eastAsia="宋体" w:cs="宋体"/>
                <w:snapToGrid w:val="0"/>
                <w:color w:val="000000" w:themeColor="text1"/>
                <w:spacing w:val="0"/>
                <w:w w:val="100"/>
                <w:sz w:val="24"/>
                <w:szCs w:val="24"/>
                <w:u w:val="single"/>
                <w14:textFill>
                  <w14:solidFill>
                    <w14:schemeClr w14:val="tx1"/>
                  </w14:solidFill>
                </w14:textFill>
              </w:rPr>
              <w:t xml:space="preserve">  </w:t>
            </w:r>
            <w:r>
              <w:rPr>
                <w:rFonts w:hint="eastAsia" w:ascii="宋体" w:hAnsi="宋体" w:eastAsia="宋体" w:cs="宋体"/>
                <w:snapToGrid w:val="0"/>
                <w:color w:val="000000" w:themeColor="text1"/>
                <w:spacing w:val="0"/>
                <w:w w:val="100"/>
                <w:sz w:val="24"/>
                <w:szCs w:val="24"/>
                <w:u w:val="single"/>
                <w:lang w:val="en-US" w:eastAsia="zh-CN"/>
                <w14:textFill>
                  <w14:solidFill>
                    <w14:schemeClr w14:val="tx1"/>
                  </w14:solidFill>
                </w14:textFill>
              </w:rPr>
              <w:t xml:space="preserve"> </w:t>
            </w:r>
            <w:r>
              <w:rPr>
                <w:rFonts w:hint="eastAsia" w:ascii="宋体" w:hAnsi="宋体" w:eastAsia="宋体" w:cs="宋体"/>
                <w:snapToGrid w:val="0"/>
                <w:color w:val="000000" w:themeColor="text1"/>
                <w:spacing w:val="0"/>
                <w:w w:val="100"/>
                <w:sz w:val="24"/>
                <w:szCs w:val="24"/>
                <w:u w:val="single"/>
                <w14:textFill>
                  <w14:solidFill>
                    <w14:schemeClr w14:val="tx1"/>
                  </w14:solidFill>
                </w14:textFill>
              </w:rPr>
              <w:t xml:space="preserve">  </w:t>
            </w:r>
          </w:p>
          <w:p w14:paraId="18E6EF59">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（3）其他要求：_____。</w:t>
            </w:r>
          </w:p>
        </w:tc>
      </w:tr>
      <w:tr w14:paraId="7C333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tcMar>
              <w:top w:w="0" w:type="dxa"/>
              <w:left w:w="283" w:type="dxa"/>
              <w:bottom w:w="0" w:type="dxa"/>
              <w:right w:w="108" w:type="dxa"/>
            </w:tcMar>
            <w:vAlign w:val="center"/>
          </w:tcPr>
          <w:p w14:paraId="38B2C2B2">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26.1</w:t>
            </w:r>
          </w:p>
        </w:tc>
        <w:tc>
          <w:tcPr>
            <w:tcW w:w="1701" w:type="dxa"/>
            <w:noWrap w:val="0"/>
            <w:tcMar>
              <w:top w:w="0" w:type="dxa"/>
              <w:left w:w="283" w:type="dxa"/>
              <w:bottom w:w="0" w:type="dxa"/>
              <w:right w:w="108" w:type="dxa"/>
            </w:tcMar>
            <w:vAlign w:val="center"/>
          </w:tcPr>
          <w:p w14:paraId="67105C6A">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询问</w:t>
            </w:r>
          </w:p>
        </w:tc>
        <w:tc>
          <w:tcPr>
            <w:tcW w:w="6483" w:type="dxa"/>
            <w:noWrap w:val="0"/>
            <w:tcMar>
              <w:top w:w="0" w:type="dxa"/>
              <w:left w:w="283" w:type="dxa"/>
              <w:bottom w:w="0" w:type="dxa"/>
              <w:right w:w="108" w:type="dxa"/>
            </w:tcMar>
            <w:vAlign w:val="center"/>
          </w:tcPr>
          <w:p w14:paraId="1490B410">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询问送达形式：纸质书面送达。</w:t>
            </w:r>
          </w:p>
        </w:tc>
      </w:tr>
      <w:tr w14:paraId="7C12B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tcMar>
              <w:top w:w="0" w:type="dxa"/>
              <w:left w:w="283" w:type="dxa"/>
              <w:bottom w:w="0" w:type="dxa"/>
              <w:right w:w="108" w:type="dxa"/>
            </w:tcMar>
            <w:vAlign w:val="center"/>
          </w:tcPr>
          <w:p w14:paraId="755F2411">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lang w:eastAsia="zh-CN"/>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26.</w:t>
            </w:r>
            <w:r>
              <w:rPr>
                <w:rFonts w:hint="eastAsia" w:ascii="宋体" w:hAnsi="宋体" w:eastAsia="宋体" w:cs="宋体"/>
                <w:snapToGrid w:val="0"/>
                <w:color w:val="000000" w:themeColor="text1"/>
                <w:spacing w:val="0"/>
                <w:w w:val="100"/>
                <w:sz w:val="24"/>
                <w:szCs w:val="24"/>
                <w:lang w:val="en-US" w:eastAsia="zh-CN"/>
                <w14:textFill>
                  <w14:solidFill>
                    <w14:schemeClr w14:val="tx1"/>
                  </w14:solidFill>
                </w14:textFill>
              </w:rPr>
              <w:t>2</w:t>
            </w:r>
          </w:p>
        </w:tc>
        <w:tc>
          <w:tcPr>
            <w:tcW w:w="1701" w:type="dxa"/>
            <w:noWrap w:val="0"/>
            <w:tcMar>
              <w:top w:w="0" w:type="dxa"/>
              <w:left w:w="283" w:type="dxa"/>
              <w:bottom w:w="0" w:type="dxa"/>
              <w:right w:w="108" w:type="dxa"/>
            </w:tcMar>
            <w:vAlign w:val="center"/>
          </w:tcPr>
          <w:p w14:paraId="5B22855A">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联系方式</w:t>
            </w:r>
          </w:p>
        </w:tc>
        <w:tc>
          <w:tcPr>
            <w:tcW w:w="6483" w:type="dxa"/>
            <w:noWrap w:val="0"/>
            <w:tcMar>
              <w:top w:w="0" w:type="dxa"/>
              <w:left w:w="283" w:type="dxa"/>
              <w:bottom w:w="0" w:type="dxa"/>
              <w:right w:w="108" w:type="dxa"/>
            </w:tcMar>
            <w:vAlign w:val="center"/>
          </w:tcPr>
          <w:p w14:paraId="15150343">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接收询问和质疑的联系方式</w:t>
            </w:r>
          </w:p>
          <w:p w14:paraId="579FE384">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联系部门：</w:t>
            </w:r>
            <w:r>
              <w:rPr>
                <w:rFonts w:hint="eastAsia" w:ascii="宋体" w:hAnsi="宋体" w:eastAsia="宋体" w:cs="宋体"/>
                <w:snapToGrid w:val="0"/>
                <w:color w:val="000000" w:themeColor="text1"/>
                <w:spacing w:val="0"/>
                <w:w w:val="100"/>
                <w:sz w:val="24"/>
                <w:szCs w:val="24"/>
                <w:lang w:eastAsia="zh-CN"/>
                <w14:textFill>
                  <w14:solidFill>
                    <w14:schemeClr w14:val="tx1"/>
                  </w14:solidFill>
                </w14:textFill>
              </w:rPr>
              <w:t>江苏嘉丰工程咨询有限公司</w:t>
            </w:r>
            <w:r>
              <w:rPr>
                <w:rFonts w:hint="eastAsia" w:ascii="宋体" w:hAnsi="宋体" w:eastAsia="宋体" w:cs="宋体"/>
                <w:snapToGrid w:val="0"/>
                <w:color w:val="000000" w:themeColor="text1"/>
                <w:spacing w:val="0"/>
                <w:w w:val="100"/>
                <w:sz w:val="24"/>
                <w:szCs w:val="24"/>
                <w14:textFill>
                  <w14:solidFill>
                    <w14:schemeClr w14:val="tx1"/>
                  </w14:solidFill>
                </w14:textFill>
              </w:rPr>
              <w:t>；</w:t>
            </w:r>
          </w:p>
          <w:p w14:paraId="6BB768FD">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联系电话：0519-</w:t>
            </w:r>
            <w:r>
              <w:rPr>
                <w:rFonts w:hint="eastAsia" w:ascii="宋体" w:hAnsi="宋体" w:eastAsia="宋体" w:cs="宋体"/>
                <w:snapToGrid w:val="0"/>
                <w:color w:val="000000" w:themeColor="text1"/>
                <w:spacing w:val="0"/>
                <w:w w:val="100"/>
                <w:sz w:val="24"/>
                <w:szCs w:val="24"/>
                <w:lang w:val="en-US" w:eastAsia="zh-CN"/>
                <w14:textFill>
                  <w14:solidFill>
                    <w14:schemeClr w14:val="tx1"/>
                  </w14:solidFill>
                </w14:textFill>
              </w:rPr>
              <w:t>82260002</w:t>
            </w:r>
            <w:r>
              <w:rPr>
                <w:rFonts w:hint="eastAsia" w:ascii="宋体" w:hAnsi="宋体" w:eastAsia="宋体" w:cs="宋体"/>
                <w:snapToGrid w:val="0"/>
                <w:color w:val="000000" w:themeColor="text1"/>
                <w:spacing w:val="0"/>
                <w:w w:val="100"/>
                <w:sz w:val="24"/>
                <w:szCs w:val="24"/>
                <w14:textFill>
                  <w14:solidFill>
                    <w14:schemeClr w14:val="tx1"/>
                  </w14:solidFill>
                </w14:textFill>
              </w:rPr>
              <w:t>；</w:t>
            </w:r>
          </w:p>
          <w:p w14:paraId="602A9DFA">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通讯地址：常州市</w:t>
            </w:r>
            <w:r>
              <w:rPr>
                <w:rFonts w:hint="eastAsia" w:ascii="宋体" w:hAnsi="宋体" w:eastAsia="宋体" w:cs="宋体"/>
                <w:snapToGrid w:val="0"/>
                <w:color w:val="000000" w:themeColor="text1"/>
                <w:spacing w:val="0"/>
                <w:w w:val="100"/>
                <w:sz w:val="24"/>
                <w:szCs w:val="24"/>
                <w:lang w:val="en-US" w:eastAsia="zh-CN"/>
                <w14:textFill>
                  <w14:solidFill>
                    <w14:schemeClr w14:val="tx1"/>
                  </w14:solidFill>
                </w14:textFill>
              </w:rPr>
              <w:t>金坛区汇金路227号筑立方大厦13楼</w:t>
            </w:r>
            <w:r>
              <w:rPr>
                <w:rFonts w:hint="eastAsia" w:ascii="宋体" w:hAnsi="宋体" w:eastAsia="宋体" w:cs="宋体"/>
                <w:snapToGrid w:val="0"/>
                <w:color w:val="000000" w:themeColor="text1"/>
                <w:spacing w:val="0"/>
                <w:w w:val="100"/>
                <w:sz w:val="24"/>
                <w:szCs w:val="24"/>
                <w14:textFill>
                  <w14:solidFill>
                    <w14:schemeClr w14:val="tx1"/>
                  </w14:solidFill>
                </w14:textFill>
              </w:rPr>
              <w:t>。</w:t>
            </w:r>
          </w:p>
        </w:tc>
      </w:tr>
      <w:tr w14:paraId="19856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tcMar>
              <w:top w:w="0" w:type="dxa"/>
              <w:left w:w="283" w:type="dxa"/>
              <w:bottom w:w="0" w:type="dxa"/>
              <w:right w:w="108" w:type="dxa"/>
            </w:tcMar>
            <w:vAlign w:val="center"/>
          </w:tcPr>
          <w:p w14:paraId="7FDED3B4">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bookmarkStart w:id="519" w:name="_GoBack" w:colFirst="1" w:colLast="2"/>
            <w:r>
              <w:rPr>
                <w:rFonts w:hint="eastAsia" w:ascii="宋体" w:hAnsi="宋体" w:eastAsia="宋体" w:cs="宋体"/>
                <w:snapToGrid w:val="0"/>
                <w:color w:val="000000" w:themeColor="text1"/>
                <w:spacing w:val="0"/>
                <w:w w:val="100"/>
                <w:sz w:val="24"/>
                <w:szCs w:val="24"/>
                <w14:textFill>
                  <w14:solidFill>
                    <w14:schemeClr w14:val="tx1"/>
                  </w14:solidFill>
                </w14:textFill>
              </w:rPr>
              <w:t>27</w:t>
            </w:r>
          </w:p>
        </w:tc>
        <w:tc>
          <w:tcPr>
            <w:tcW w:w="1701" w:type="dxa"/>
            <w:noWrap w:val="0"/>
            <w:tcMar>
              <w:top w:w="0" w:type="dxa"/>
              <w:left w:w="283" w:type="dxa"/>
              <w:bottom w:w="0" w:type="dxa"/>
              <w:right w:w="108" w:type="dxa"/>
            </w:tcMar>
            <w:vAlign w:val="center"/>
          </w:tcPr>
          <w:p w14:paraId="68D01DBF">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代理费</w:t>
            </w:r>
          </w:p>
        </w:tc>
        <w:tc>
          <w:tcPr>
            <w:tcW w:w="6483" w:type="dxa"/>
            <w:noWrap w:val="0"/>
            <w:tcMar>
              <w:top w:w="0" w:type="dxa"/>
              <w:left w:w="283" w:type="dxa"/>
              <w:bottom w:w="0" w:type="dxa"/>
              <w:right w:w="108" w:type="dxa"/>
            </w:tcMar>
            <w:vAlign w:val="center"/>
          </w:tcPr>
          <w:p w14:paraId="5119591B">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收费对象：</w:t>
            </w:r>
          </w:p>
          <w:p w14:paraId="4257E93D">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■采购人</w:t>
            </w:r>
          </w:p>
          <w:p w14:paraId="7F895162">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lang w:val="zh-TW"/>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□中标人</w:t>
            </w:r>
          </w:p>
        </w:tc>
      </w:tr>
      <w:bookmarkEnd w:id="519"/>
      <w:tr w14:paraId="113EA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tcMar>
              <w:top w:w="0" w:type="dxa"/>
              <w:left w:w="283" w:type="dxa"/>
              <w:bottom w:w="0" w:type="dxa"/>
              <w:right w:w="108" w:type="dxa"/>
            </w:tcMar>
            <w:vAlign w:val="center"/>
          </w:tcPr>
          <w:p w14:paraId="4D9736FE">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28</w:t>
            </w:r>
          </w:p>
        </w:tc>
        <w:tc>
          <w:tcPr>
            <w:tcW w:w="1701" w:type="dxa"/>
            <w:noWrap w:val="0"/>
            <w:tcMar>
              <w:top w:w="0" w:type="dxa"/>
              <w:left w:w="283" w:type="dxa"/>
              <w:bottom w:w="0" w:type="dxa"/>
              <w:right w:w="108" w:type="dxa"/>
            </w:tcMar>
            <w:vAlign w:val="center"/>
          </w:tcPr>
          <w:p w14:paraId="151895FC">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highlight w:val="none"/>
                <w14:textFill>
                  <w14:solidFill>
                    <w14:schemeClr w14:val="tx1"/>
                  </w14:solidFill>
                </w14:textFill>
              </w:rPr>
              <w:t>履约保证金</w:t>
            </w:r>
          </w:p>
        </w:tc>
        <w:tc>
          <w:tcPr>
            <w:tcW w:w="6483" w:type="dxa"/>
            <w:noWrap w:val="0"/>
            <w:tcMar>
              <w:top w:w="0" w:type="dxa"/>
              <w:left w:w="283" w:type="dxa"/>
              <w:bottom w:w="0" w:type="dxa"/>
              <w:right w:w="108" w:type="dxa"/>
            </w:tcMar>
            <w:vAlign w:val="center"/>
          </w:tcPr>
          <w:p w14:paraId="340E9C95">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w:t>
            </w:r>
            <w:r>
              <w:rPr>
                <w:rFonts w:hint="eastAsia" w:ascii="宋体" w:hAnsi="宋体" w:eastAsia="宋体" w:cs="宋体"/>
                <w:color w:val="000000" w:themeColor="text1"/>
                <w:spacing w:val="8"/>
                <w:sz w:val="24"/>
                <w:szCs w:val="24"/>
                <w:highlight w:val="none"/>
                <w:lang w:val="zh-TW" w:eastAsia="zh-CN"/>
                <w14:textFill>
                  <w14:solidFill>
                    <w14:schemeClr w14:val="tx1"/>
                  </w14:solidFill>
                </w14:textFill>
              </w:rPr>
              <w:t>是，</w:t>
            </w:r>
            <w:r>
              <w:rPr>
                <w:rFonts w:hint="eastAsia" w:ascii="宋体" w:hAnsi="宋体" w:eastAsia="宋体" w:cs="宋体"/>
                <w:color w:val="000000" w:themeColor="text1"/>
                <w:spacing w:val="8"/>
                <w:sz w:val="24"/>
                <w:szCs w:val="24"/>
                <w:highlight w:val="none"/>
                <w:lang w:val="en-US" w:eastAsia="zh-CN"/>
                <w14:textFill>
                  <w14:solidFill>
                    <w14:schemeClr w14:val="tx1"/>
                  </w14:solidFill>
                </w14:textFill>
              </w:rPr>
              <w:t>中标供应商</w:t>
            </w:r>
            <w:r>
              <w:rPr>
                <w:rFonts w:hint="eastAsia" w:ascii="宋体" w:hAnsi="宋体" w:eastAsia="宋体" w:cs="宋体"/>
                <w:color w:val="000000" w:themeColor="text1"/>
                <w:spacing w:val="8"/>
                <w:sz w:val="24"/>
                <w:szCs w:val="24"/>
                <w:highlight w:val="none"/>
                <w:lang w:val="zh-TW" w:eastAsia="zh-CN"/>
                <w14:textFill>
                  <w14:solidFill>
                    <w14:schemeClr w14:val="tx1"/>
                  </w14:solidFill>
                </w14:textFill>
              </w:rPr>
              <w:t>向采购人提供相当于</w:t>
            </w:r>
            <w:r>
              <w:rPr>
                <w:rFonts w:hint="eastAsia" w:ascii="宋体" w:hAnsi="宋体" w:eastAsia="宋体" w:cs="宋体"/>
                <w:b/>
                <w:bCs/>
                <w:color w:val="000000" w:themeColor="text1"/>
                <w:spacing w:val="8"/>
                <w:sz w:val="24"/>
                <w:szCs w:val="24"/>
                <w:highlight w:val="none"/>
                <w:u w:val="single"/>
                <w:lang w:val="en-US" w:eastAsia="zh-CN"/>
                <w14:textFill>
                  <w14:solidFill>
                    <w14:schemeClr w14:val="tx1"/>
                  </w14:solidFill>
                </w14:textFill>
              </w:rPr>
              <w:t>年度</w:t>
            </w:r>
            <w:r>
              <w:rPr>
                <w:rFonts w:hint="eastAsia" w:ascii="宋体" w:hAnsi="宋体" w:eastAsia="宋体" w:cs="宋体"/>
                <w:b/>
                <w:bCs/>
                <w:color w:val="000000" w:themeColor="text1"/>
                <w:spacing w:val="8"/>
                <w:sz w:val="24"/>
                <w:szCs w:val="24"/>
                <w:highlight w:val="none"/>
                <w:u w:val="single"/>
                <w:lang w:val="zh-TW" w:eastAsia="zh-CN"/>
                <w14:textFill>
                  <w14:solidFill>
                    <w14:schemeClr w14:val="tx1"/>
                  </w14:solidFill>
                </w14:textFill>
              </w:rPr>
              <w:t>合同总价</w:t>
            </w:r>
            <w:r>
              <w:rPr>
                <w:rFonts w:hint="eastAsia" w:ascii="宋体" w:hAnsi="宋体" w:eastAsia="宋体" w:cs="宋体"/>
                <w:b/>
                <w:bCs/>
                <w:color w:val="000000" w:themeColor="text1"/>
                <w:spacing w:val="8"/>
                <w:sz w:val="24"/>
                <w:szCs w:val="24"/>
                <w:highlight w:val="none"/>
                <w:u w:val="single"/>
                <w:lang w:val="en-US" w:eastAsia="zh-CN"/>
                <w14:textFill>
                  <w14:solidFill>
                    <w14:schemeClr w14:val="tx1"/>
                  </w14:solidFill>
                </w14:textFill>
              </w:rPr>
              <w:t>5</w:t>
            </w:r>
            <w:r>
              <w:rPr>
                <w:rFonts w:hint="eastAsia" w:ascii="宋体" w:hAnsi="宋体" w:eastAsia="宋体" w:cs="宋体"/>
                <w:b/>
                <w:bCs/>
                <w:color w:val="000000" w:themeColor="text1"/>
                <w:spacing w:val="8"/>
                <w:sz w:val="24"/>
                <w:szCs w:val="24"/>
                <w:highlight w:val="none"/>
                <w:u w:val="single"/>
                <w:lang w:val="zh-TW" w:eastAsia="zh-CN"/>
                <w14:textFill>
                  <w14:solidFill>
                    <w14:schemeClr w14:val="tx1"/>
                  </w14:solidFill>
                </w14:textFill>
              </w:rPr>
              <w:t>%</w:t>
            </w:r>
            <w:r>
              <w:rPr>
                <w:rFonts w:hint="eastAsia" w:ascii="宋体" w:hAnsi="宋体" w:eastAsia="宋体" w:cs="宋体"/>
                <w:color w:val="000000" w:themeColor="text1"/>
                <w:spacing w:val="8"/>
                <w:sz w:val="24"/>
                <w:szCs w:val="24"/>
                <w:highlight w:val="none"/>
                <w:lang w:val="zh-TW" w:eastAsia="zh-CN"/>
                <w14:textFill>
                  <w14:solidFill>
                    <w14:schemeClr w14:val="tx1"/>
                  </w14:solidFill>
                </w14:textFill>
              </w:rPr>
              <w:t>的履约保证金（中标供应商自主选择以支票、汇票、本票、保函等非现金形式缴纳或递交），采购人将在终验完毕后（</w:t>
            </w:r>
            <w:r>
              <w:rPr>
                <w:rFonts w:hint="eastAsia" w:ascii="宋体" w:hAnsi="宋体" w:eastAsia="宋体" w:cs="宋体"/>
                <w:color w:val="000000" w:themeColor="text1"/>
                <w:spacing w:val="8"/>
                <w:sz w:val="24"/>
                <w:szCs w:val="24"/>
                <w:highlight w:val="none"/>
                <w:lang w:val="en-US" w:eastAsia="zh-CN"/>
                <w14:textFill>
                  <w14:solidFill>
                    <w14:schemeClr w14:val="tx1"/>
                  </w14:solidFill>
                </w14:textFill>
              </w:rPr>
              <w:t>无息</w:t>
            </w:r>
            <w:r>
              <w:rPr>
                <w:rFonts w:hint="eastAsia" w:ascii="宋体" w:hAnsi="宋体" w:eastAsia="宋体" w:cs="宋体"/>
                <w:color w:val="000000" w:themeColor="text1"/>
                <w:spacing w:val="8"/>
                <w:sz w:val="24"/>
                <w:szCs w:val="24"/>
                <w:highlight w:val="none"/>
                <w:lang w:val="zh-TW" w:eastAsia="zh-CN"/>
                <w14:textFill>
                  <w14:solidFill>
                    <w14:schemeClr w14:val="tx1"/>
                  </w14:solidFill>
                </w14:textFill>
              </w:rPr>
              <w:t>）返还乙方履约保证金。</w:t>
            </w:r>
          </w:p>
        </w:tc>
      </w:tr>
      <w:tr w14:paraId="5339A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tcMar>
              <w:top w:w="0" w:type="dxa"/>
              <w:left w:w="283" w:type="dxa"/>
              <w:bottom w:w="0" w:type="dxa"/>
              <w:right w:w="108" w:type="dxa"/>
            </w:tcMar>
            <w:vAlign w:val="center"/>
          </w:tcPr>
          <w:p w14:paraId="5B6F97AB">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29</w:t>
            </w:r>
          </w:p>
        </w:tc>
        <w:tc>
          <w:tcPr>
            <w:tcW w:w="1701" w:type="dxa"/>
            <w:noWrap w:val="0"/>
            <w:tcMar>
              <w:top w:w="0" w:type="dxa"/>
              <w:left w:w="283" w:type="dxa"/>
              <w:bottom w:w="0" w:type="dxa"/>
              <w:right w:w="108" w:type="dxa"/>
            </w:tcMar>
            <w:vAlign w:val="center"/>
          </w:tcPr>
          <w:p w14:paraId="00DB2750">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纸质投标文件</w:t>
            </w:r>
          </w:p>
        </w:tc>
        <w:tc>
          <w:tcPr>
            <w:tcW w:w="6483" w:type="dxa"/>
            <w:noWrap w:val="0"/>
            <w:tcMar>
              <w:top w:w="0" w:type="dxa"/>
              <w:left w:w="283" w:type="dxa"/>
              <w:bottom w:w="0" w:type="dxa"/>
              <w:right w:w="108" w:type="dxa"/>
            </w:tcMar>
            <w:vAlign w:val="center"/>
          </w:tcPr>
          <w:p w14:paraId="70C0F40D">
            <w:pPr>
              <w:keepNext w:val="0"/>
              <w:keepLines w:val="0"/>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中标人在签订合同前向代理机构提供正本1套、副本1套纸质投标文件，在每一份纸质投标文件上要明确注明“正本”或“副本”字样。</w:t>
            </w:r>
          </w:p>
        </w:tc>
      </w:tr>
    </w:tbl>
    <w:p w14:paraId="3C3523FA">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br w:type="page" w:clear="all"/>
      </w:r>
    </w:p>
    <w:p w14:paraId="28DD5B1C">
      <w:pPr>
        <w:keepNext w:val="0"/>
        <w:keepLines w:val="0"/>
        <w:widowControl/>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47FEA1D4">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投标人须知</w:t>
      </w:r>
    </w:p>
    <w:p w14:paraId="705B7068">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bookmarkStart w:id="17" w:name="_Toc226965791"/>
      <w:bookmarkStart w:id="18" w:name="_Toc226965708"/>
      <w:bookmarkStart w:id="19" w:name="_Toc226337214"/>
      <w:bookmarkStart w:id="20" w:name="_Toc151193906"/>
      <w:bookmarkStart w:id="21" w:name="_Toc226309762"/>
      <w:bookmarkStart w:id="22" w:name="_Toc150509269"/>
      <w:bookmarkStart w:id="23" w:name="_Toc150480756"/>
      <w:bookmarkStart w:id="24" w:name="_Toc305158786"/>
      <w:bookmarkStart w:id="25" w:name="_Toc151193760"/>
      <w:bookmarkStart w:id="26" w:name="_Toc150774723"/>
      <w:bookmarkStart w:id="27" w:name="_Toc195842883"/>
      <w:bookmarkStart w:id="28" w:name="_Toc151193688"/>
      <w:bookmarkStart w:id="29" w:name="_Toc142311020"/>
      <w:bookmarkStart w:id="30" w:name="_Toc150774618"/>
      <w:bookmarkStart w:id="31" w:name="_Toc305158860"/>
      <w:bookmarkStart w:id="32" w:name="_Toc151190145"/>
      <w:bookmarkStart w:id="33" w:name="_Toc265228356"/>
      <w:bookmarkStart w:id="34" w:name="_Toc151193616"/>
      <w:bookmarkStart w:id="35" w:name="_Toc264969208"/>
      <w:bookmarkStart w:id="36" w:name="_Toc151193832"/>
      <w:r>
        <w:rPr>
          <w:rFonts w:hint="eastAsia" w:ascii="宋体" w:hAnsi="宋体" w:eastAsia="宋体" w:cs="宋体"/>
          <w:b/>
          <w:snapToGrid w:val="0"/>
          <w:color w:val="000000" w:themeColor="text1"/>
          <w:spacing w:val="0"/>
          <w:sz w:val="28"/>
          <w:szCs w:val="28"/>
          <w14:textFill>
            <w14:solidFill>
              <w14:schemeClr w14:val="tx1"/>
            </w14:solidFill>
          </w14:textFill>
        </w:rPr>
        <w:t>一、说  明</w:t>
      </w:r>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7AA68339">
      <w:pPr>
        <w:pStyle w:val="17"/>
        <w:keepNext w:val="0"/>
        <w:keepLines w:val="0"/>
        <w:numPr>
          <w:ilvl w:val="0"/>
          <w:numId w:val="1"/>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bookmarkStart w:id="37" w:name="_Toc305158787"/>
      <w:bookmarkStart w:id="38" w:name="_Toc305158861"/>
      <w:bookmarkStart w:id="39" w:name="_Toc265228357"/>
      <w:bookmarkStart w:id="40" w:name="_Toc264969209"/>
      <w:bookmarkStart w:id="41" w:name="_Toc151193836"/>
      <w:bookmarkStart w:id="42" w:name="_Toc150774727"/>
      <w:bookmarkStart w:id="43" w:name="_Toc151190149"/>
      <w:bookmarkStart w:id="44" w:name="_Toc150774622"/>
      <w:bookmarkStart w:id="45" w:name="_Toc265228360"/>
      <w:bookmarkStart w:id="46" w:name="_Toc150509273"/>
      <w:bookmarkStart w:id="47" w:name="_Toc226309766"/>
      <w:bookmarkStart w:id="48" w:name="_Toc150480760"/>
      <w:bookmarkStart w:id="49" w:name="_Toc151193620"/>
      <w:bookmarkStart w:id="50" w:name="_Toc195842887"/>
      <w:bookmarkStart w:id="51" w:name="_Toc520356146"/>
      <w:bookmarkStart w:id="52" w:name="_Toc226965795"/>
      <w:bookmarkStart w:id="53" w:name="_Toc226965712"/>
      <w:bookmarkStart w:id="54" w:name="_Toc151193910"/>
      <w:bookmarkStart w:id="55" w:name="_Toc305158790"/>
      <w:bookmarkStart w:id="56" w:name="_Toc151193764"/>
      <w:bookmarkStart w:id="57" w:name="_Toc142311024"/>
      <w:bookmarkStart w:id="58" w:name="_Toc127151522"/>
      <w:bookmarkStart w:id="59" w:name="_Toc151193692"/>
      <w:bookmarkStart w:id="60" w:name="_Toc264969212"/>
      <w:bookmarkStart w:id="61" w:name="_Toc305158864"/>
      <w:bookmarkStart w:id="62" w:name="_Toc226337218"/>
      <w:r>
        <w:rPr>
          <w:rFonts w:hint="eastAsia" w:ascii="宋体" w:hAnsi="宋体" w:eastAsia="宋体" w:cs="宋体"/>
          <w:snapToGrid w:val="0"/>
          <w:color w:val="000000" w:themeColor="text1"/>
          <w:spacing w:val="0"/>
          <w:sz w:val="24"/>
          <w14:textFill>
            <w14:solidFill>
              <w14:schemeClr w14:val="tx1"/>
            </w14:solidFill>
          </w14:textFill>
        </w:rPr>
        <w:t>采购人、采购代理机构、投标人</w:t>
      </w:r>
      <w:bookmarkEnd w:id="37"/>
      <w:bookmarkEnd w:id="38"/>
      <w:bookmarkEnd w:id="39"/>
      <w:bookmarkEnd w:id="40"/>
      <w:r>
        <w:rPr>
          <w:rFonts w:hint="eastAsia" w:ascii="宋体" w:hAnsi="宋体" w:eastAsia="宋体" w:cs="宋体"/>
          <w:snapToGrid w:val="0"/>
          <w:color w:val="000000" w:themeColor="text1"/>
          <w:spacing w:val="0"/>
          <w:sz w:val="24"/>
          <w14:textFill>
            <w14:solidFill>
              <w14:schemeClr w14:val="tx1"/>
            </w14:solidFill>
          </w14:textFill>
        </w:rPr>
        <w:t>、联合体</w:t>
      </w:r>
    </w:p>
    <w:p w14:paraId="7D59421F">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采购人、采购代理机构：指依法进行政府采购的国家机关、事业单位、团体组织，及其委托的采购代理机构。本项目采购人、采购代理机构见第一章《投标邀请》</w:t>
      </w:r>
      <w:r>
        <w:rPr>
          <w:rFonts w:hint="eastAsia" w:ascii="宋体" w:hAnsi="宋体" w:eastAsia="宋体" w:cs="宋体"/>
          <w:snapToGrid w:val="0"/>
          <w:color w:val="000000" w:themeColor="text1"/>
          <w:spacing w:val="0"/>
          <w:sz w:val="24"/>
          <w:szCs w:val="24"/>
          <w14:textFill>
            <w14:solidFill>
              <w14:schemeClr w14:val="tx1"/>
            </w14:solidFill>
          </w14:textFill>
        </w:rPr>
        <w:t>。</w:t>
      </w:r>
    </w:p>
    <w:p w14:paraId="74ACEF83">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投标人（也称“供应商”、“申请人”）：指向采购人提供货物、工程或者服务的法人、其他组织或者自然人</w:t>
      </w:r>
      <w:r>
        <w:rPr>
          <w:rFonts w:hint="eastAsia" w:ascii="宋体" w:hAnsi="宋体" w:eastAsia="宋体" w:cs="宋体"/>
          <w:snapToGrid w:val="0"/>
          <w:color w:val="000000" w:themeColor="text1"/>
          <w:spacing w:val="0"/>
          <w:sz w:val="24"/>
          <w:szCs w:val="24"/>
          <w14:textFill>
            <w14:solidFill>
              <w14:schemeClr w14:val="tx1"/>
            </w14:solidFill>
          </w14:textFill>
        </w:rPr>
        <w:t>。</w:t>
      </w:r>
    </w:p>
    <w:p w14:paraId="78526486">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联合体：指两个以上的自然人、法人或者其他组织组成一个联合体，以一个供应商的身份共同参加政府采购</w:t>
      </w:r>
      <w:r>
        <w:rPr>
          <w:rFonts w:hint="eastAsia" w:ascii="宋体" w:hAnsi="宋体" w:eastAsia="宋体" w:cs="宋体"/>
          <w:snapToGrid w:val="0"/>
          <w:color w:val="000000" w:themeColor="text1"/>
          <w:spacing w:val="0"/>
          <w:sz w:val="24"/>
          <w:szCs w:val="24"/>
          <w14:textFill>
            <w14:solidFill>
              <w14:schemeClr w14:val="tx1"/>
            </w14:solidFill>
          </w14:textFill>
        </w:rPr>
        <w:t>。</w:t>
      </w:r>
    </w:p>
    <w:p w14:paraId="74984A0D">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bookmarkStart w:id="63" w:name="_Toc151193618"/>
      <w:bookmarkStart w:id="64" w:name="_Toc164229215"/>
      <w:bookmarkStart w:id="65" w:name="_Toc142311022"/>
      <w:bookmarkStart w:id="66" w:name="_Toc226309764"/>
      <w:bookmarkStart w:id="67" w:name="_Toc226965710"/>
      <w:bookmarkStart w:id="68" w:name="_Toc265228358"/>
      <w:bookmarkStart w:id="69" w:name="_Toc151190147"/>
      <w:bookmarkStart w:id="70" w:name="_Toc164608634"/>
      <w:bookmarkStart w:id="71" w:name="_Toc127151721"/>
      <w:bookmarkStart w:id="72" w:name="_Toc305158862"/>
      <w:bookmarkStart w:id="73" w:name="_Toc151193908"/>
      <w:bookmarkStart w:id="74" w:name="_Toc149720813"/>
      <w:bookmarkStart w:id="75" w:name="_Toc164351614"/>
      <w:bookmarkStart w:id="76" w:name="_Toc127161434"/>
      <w:bookmarkStart w:id="77" w:name="_Toc151193690"/>
      <w:bookmarkStart w:id="78" w:name="_Toc264969210"/>
      <w:bookmarkStart w:id="79" w:name="_Toc150774620"/>
      <w:bookmarkStart w:id="80" w:name="_Toc150774725"/>
      <w:bookmarkStart w:id="81" w:name="_Toc195842885"/>
      <w:bookmarkStart w:id="82" w:name="_Toc226965793"/>
      <w:bookmarkStart w:id="83" w:name="_Toc226337216"/>
      <w:bookmarkStart w:id="84" w:name="_Toc305158788"/>
      <w:bookmarkStart w:id="85" w:name="_Toc150509271"/>
      <w:bookmarkStart w:id="86" w:name="_Toc164229361"/>
      <w:bookmarkStart w:id="87" w:name="_Toc164608789"/>
      <w:bookmarkStart w:id="88" w:name="_Toc151193762"/>
      <w:bookmarkStart w:id="89" w:name="_Toc150480758"/>
      <w:bookmarkStart w:id="90" w:name="_Toc151193834"/>
      <w:bookmarkStart w:id="91" w:name="_Toc127151520"/>
      <w:r>
        <w:rPr>
          <w:rFonts w:hint="eastAsia" w:ascii="宋体" w:hAnsi="宋体" w:eastAsia="宋体" w:cs="宋体"/>
          <w:snapToGrid w:val="0"/>
          <w:color w:val="000000" w:themeColor="text1"/>
          <w:spacing w:val="0"/>
          <w:sz w:val="24"/>
          <w14:textFill>
            <w14:solidFill>
              <w14:schemeClr w14:val="tx1"/>
            </w14:solidFill>
          </w14:textFill>
        </w:rPr>
        <w:t>资金来源</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Pr>
          <w:rFonts w:hint="eastAsia" w:ascii="宋体" w:hAnsi="宋体" w:eastAsia="宋体" w:cs="宋体"/>
          <w:snapToGrid w:val="0"/>
          <w:color w:val="000000" w:themeColor="text1"/>
          <w:spacing w:val="0"/>
          <w:sz w:val="24"/>
          <w14:textFill>
            <w14:solidFill>
              <w14:schemeClr w14:val="tx1"/>
            </w14:solidFill>
          </w14:textFill>
        </w:rPr>
        <w:t>、项目属性、科研仪器设备采购、核心产品</w:t>
      </w:r>
    </w:p>
    <w:p w14:paraId="3AA42425">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资金来源为财政性资金和/或本项目采购中无法与财政性资金分割的非财政性资金</w:t>
      </w:r>
      <w:r>
        <w:rPr>
          <w:rFonts w:hint="eastAsia" w:ascii="宋体" w:hAnsi="宋体" w:eastAsia="宋体" w:cs="宋体"/>
          <w:snapToGrid w:val="0"/>
          <w:color w:val="000000" w:themeColor="text1"/>
          <w:spacing w:val="0"/>
          <w:sz w:val="24"/>
          <w:szCs w:val="24"/>
          <w14:textFill>
            <w14:solidFill>
              <w14:schemeClr w14:val="tx1"/>
            </w14:solidFill>
          </w14:textFill>
        </w:rPr>
        <w:t>。</w:t>
      </w:r>
    </w:p>
    <w:p w14:paraId="4E8AF040">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项目属性见《投标人须知资料表》</w:t>
      </w:r>
      <w:r>
        <w:rPr>
          <w:rFonts w:hint="eastAsia" w:ascii="宋体" w:hAnsi="宋体" w:eastAsia="宋体" w:cs="宋体"/>
          <w:snapToGrid w:val="0"/>
          <w:color w:val="000000" w:themeColor="text1"/>
          <w:spacing w:val="0"/>
          <w:sz w:val="24"/>
          <w:szCs w:val="24"/>
          <w14:textFill>
            <w14:solidFill>
              <w14:schemeClr w14:val="tx1"/>
            </w14:solidFill>
          </w14:textFill>
        </w:rPr>
        <w:t>。</w:t>
      </w:r>
    </w:p>
    <w:p w14:paraId="72B2A7BA">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是否属于科研仪器设备采购见《投标人须知资料表》</w:t>
      </w:r>
      <w:r>
        <w:rPr>
          <w:rFonts w:hint="eastAsia" w:ascii="宋体" w:hAnsi="宋体" w:eastAsia="宋体" w:cs="宋体"/>
          <w:snapToGrid w:val="0"/>
          <w:color w:val="000000" w:themeColor="text1"/>
          <w:spacing w:val="0"/>
          <w:sz w:val="24"/>
          <w:szCs w:val="24"/>
          <w14:textFill>
            <w14:solidFill>
              <w14:schemeClr w14:val="tx1"/>
            </w14:solidFill>
          </w14:textFill>
        </w:rPr>
        <w:t>。</w:t>
      </w:r>
    </w:p>
    <w:p w14:paraId="7A992D1B">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核心产品见《投标人须知资料表》。</w:t>
      </w:r>
    </w:p>
    <w:p w14:paraId="18C517C5">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现场考察、开标前答疑会</w:t>
      </w:r>
    </w:p>
    <w:p w14:paraId="0E339C18">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若《投标人须知资料表》中规定了组织现场考察、召开开标前答疑会，则投标人应按要求在规定的时间和地点参加</w:t>
      </w:r>
      <w:r>
        <w:rPr>
          <w:rFonts w:hint="eastAsia" w:ascii="宋体" w:hAnsi="宋体" w:eastAsia="宋体" w:cs="宋体"/>
          <w:snapToGrid w:val="0"/>
          <w:color w:val="000000" w:themeColor="text1"/>
          <w:spacing w:val="0"/>
          <w:sz w:val="24"/>
          <w:szCs w:val="24"/>
          <w14:textFill>
            <w14:solidFill>
              <w14:schemeClr w14:val="tx1"/>
            </w14:solidFill>
          </w14:textFill>
        </w:rPr>
        <w:t>。</w:t>
      </w:r>
    </w:p>
    <w:p w14:paraId="75A8146A">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由于未参加现场考察或开标前答疑会而导致对项目实际情况不了解，影响投标文件编制、投标报价准确性、综合因素响应不全面等问题的，由投标人自行承担不利评审后果。</w:t>
      </w:r>
    </w:p>
    <w:p w14:paraId="18AA8B60">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样品</w:t>
      </w:r>
    </w:p>
    <w:p w14:paraId="1EB23C14">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本项目是否要求投标人提供样品，以及样品制作的标准和要求、是否需要随样品提交相关检测报告、样品的递交与退还等要求见《投标人须知资料表》。</w:t>
      </w:r>
    </w:p>
    <w:p w14:paraId="48C02A0C">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样品的评审方法以及评审标准等内容见第四章《评标方法和评标标准》。</w:t>
      </w:r>
    </w:p>
    <w:p w14:paraId="40E8F258">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政府采购政策（包括但不限于下列具体政策要求）</w:t>
      </w:r>
    </w:p>
    <w:p w14:paraId="3521AA0F">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进口产品</w:t>
      </w:r>
    </w:p>
    <w:p w14:paraId="5BCD2EC9">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B897655">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中小企业、监狱企业及残疾人福利性单位</w:t>
      </w:r>
    </w:p>
    <w:p w14:paraId="39AB1D57">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中小企业定义</w:t>
      </w:r>
    </w:p>
    <w:p w14:paraId="5705E1C7">
      <w:pPr>
        <w:pStyle w:val="17"/>
        <w:keepNext w:val="0"/>
        <w:keepLines w:val="0"/>
        <w:numPr>
          <w:ilvl w:val="3"/>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98E5899">
      <w:pPr>
        <w:pStyle w:val="17"/>
        <w:keepNext w:val="0"/>
        <w:keepLines w:val="0"/>
        <w:numPr>
          <w:ilvl w:val="3"/>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p>
    <w:p w14:paraId="5362E7C2">
      <w:pPr>
        <w:pStyle w:val="17"/>
        <w:keepNext w:val="0"/>
        <w:keepLines w:val="0"/>
        <w:numPr>
          <w:ilvl w:val="3"/>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在货物采购项目中，供应商提供的货物既有中小企业制造货物，也有大型企业制造货物的，不享受中小企业扶持政策。</w:t>
      </w:r>
    </w:p>
    <w:p w14:paraId="197299F5">
      <w:pPr>
        <w:pStyle w:val="17"/>
        <w:keepNext w:val="0"/>
        <w:keepLines w:val="0"/>
        <w:numPr>
          <w:ilvl w:val="3"/>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4B40DAEE">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FEDC36C">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残疾人福利单位定义：享受政府采购支持政策的残疾人福利性单位应当同时满足以下条件：</w:t>
      </w:r>
    </w:p>
    <w:p w14:paraId="67DB4621">
      <w:pPr>
        <w:pStyle w:val="17"/>
        <w:keepNext w:val="0"/>
        <w:keepLines w:val="0"/>
        <w:numPr>
          <w:ilvl w:val="3"/>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安置的残疾人占本单位在职职工人数的比例不低于25%（含25%），并且安置的残疾人人数不少于10 人（含10 人）；</w:t>
      </w:r>
    </w:p>
    <w:p w14:paraId="76CDEB4E">
      <w:pPr>
        <w:pStyle w:val="17"/>
        <w:keepNext w:val="0"/>
        <w:keepLines w:val="0"/>
        <w:numPr>
          <w:ilvl w:val="3"/>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依法与安置的每位残疾人签订了一年以上（含一年）的劳动合同或服务协议；</w:t>
      </w:r>
    </w:p>
    <w:p w14:paraId="7544089D">
      <w:pPr>
        <w:pStyle w:val="17"/>
        <w:keepNext w:val="0"/>
        <w:keepLines w:val="0"/>
        <w:numPr>
          <w:ilvl w:val="3"/>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为安置的每位残疾人按月足额缴纳了基本养老保险、基本医疗保险、失业保险、工伤保险和生育保险等社会保险费；</w:t>
      </w:r>
    </w:p>
    <w:p w14:paraId="161F6CF4">
      <w:pPr>
        <w:pStyle w:val="17"/>
        <w:keepNext w:val="0"/>
        <w:keepLines w:val="0"/>
        <w:numPr>
          <w:ilvl w:val="3"/>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通过银行等金融机构向安置的每位残疾人，按月支付了不低于单位所在区县适用的经省级人民政府批准的月最低工资标准的工资</w:t>
      </w:r>
    </w:p>
    <w:p w14:paraId="5A11311C">
      <w:pPr>
        <w:pStyle w:val="17"/>
        <w:keepNext w:val="0"/>
        <w:keepLines w:val="0"/>
        <w:numPr>
          <w:ilvl w:val="3"/>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提供本单位制造的货物、承担的工程或者服务（以下简称产品），或者提供其他残疾人福利性单位制造的货物（不包括使用非残疾人福利性单位注册商标的货物）；</w:t>
      </w:r>
    </w:p>
    <w:p w14:paraId="036AD60E">
      <w:pPr>
        <w:pStyle w:val="17"/>
        <w:keepNext w:val="0"/>
        <w:keepLines w:val="0"/>
        <w:numPr>
          <w:ilvl w:val="3"/>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85B060D">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本项目是否专门面向中小企业预留采购份额见第一章《投标邀请》。</w:t>
      </w:r>
    </w:p>
    <w:p w14:paraId="1ED5098F">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采购标的对应的中小企业划分标准所属行业见《投标人须知资料表》。</w:t>
      </w:r>
    </w:p>
    <w:p w14:paraId="65F0A571">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小微企业价格评审优惠的政策调整：见第三章《评标方法和评标标准》。</w:t>
      </w:r>
    </w:p>
    <w:p w14:paraId="3CD5080C">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政府采购节能产品、环境标志产品</w:t>
      </w:r>
    </w:p>
    <w:p w14:paraId="3AC76FF7">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554DE14">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14A847C8">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snapToGrid w:val="0"/>
          <w:color w:val="000000" w:themeColor="text1"/>
          <w:spacing w:val="0"/>
          <w:sz w:val="24"/>
          <w14:textFill>
            <w14:solidFill>
              <w14:schemeClr w14:val="tx1"/>
            </w14:solidFill>
          </w14:textFill>
        </w:rPr>
        <w:t>投标无效</w:t>
      </w:r>
      <w:r>
        <w:rPr>
          <w:rFonts w:hint="eastAsia" w:ascii="宋体" w:hAnsi="宋体" w:eastAsia="宋体" w:cs="宋体"/>
          <w:snapToGrid w:val="0"/>
          <w:color w:val="000000" w:themeColor="text1"/>
          <w:spacing w:val="0"/>
          <w:sz w:val="24"/>
          <w14:textFill>
            <w14:solidFill>
              <w14:schemeClr w14:val="tx1"/>
            </w14:solidFill>
          </w14:textFill>
        </w:rPr>
        <w:t>。</w:t>
      </w:r>
    </w:p>
    <w:p w14:paraId="147C705B">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非政府强制采购的节能产品或环境标志产品，依据品目清单和认证证书实施政府优先采购。优先采购的具体规定见第三章《评标方法和评标标准》（如涉及）。</w:t>
      </w:r>
    </w:p>
    <w:p w14:paraId="2439501C">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6B8F34C2">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支持乡村产业振兴管理</w:t>
      </w:r>
    </w:p>
    <w:p w14:paraId="72C52153">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为落实《关于运用政府采购政策支持乡村产业振兴的通知》（财库〔2021〕19号）有关要求，做好支持脱贫攻坚工作，本项目采购活动中对于支持乡村振兴管理的相关要求见第五章《采购需求》（如涉及）。</w:t>
      </w:r>
    </w:p>
    <w:p w14:paraId="5F1E5D5E">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正版软件</w:t>
      </w:r>
    </w:p>
    <w:p w14:paraId="2A0B4F95">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eastAsia="宋体" w:cs="宋体"/>
          <w:b/>
          <w:snapToGrid w:val="0"/>
          <w:color w:val="000000" w:themeColor="text1"/>
          <w:spacing w:val="0"/>
          <w:sz w:val="24"/>
          <w14:textFill>
            <w14:solidFill>
              <w14:schemeClr w14:val="tx1"/>
            </w14:solidFill>
          </w14:textFill>
        </w:rPr>
        <w:t>投标无效</w:t>
      </w:r>
      <w:r>
        <w:rPr>
          <w:rFonts w:hint="eastAsia" w:ascii="宋体" w:hAnsi="宋体" w:eastAsia="宋体" w:cs="宋体"/>
          <w:snapToGrid w:val="0"/>
          <w:color w:val="000000" w:themeColor="text1"/>
          <w:spacing w:val="0"/>
          <w:sz w:val="24"/>
          <w14:textFill>
            <w14:solidFill>
              <w14:schemeClr w14:val="tx1"/>
            </w14:solidFill>
          </w14:textFill>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6E3F486F">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0FD160A5">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政府采购创新产品政策</w:t>
      </w:r>
    </w:p>
    <w:p w14:paraId="73F7FA8D">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CB42747">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绿色采购政策</w:t>
      </w:r>
    </w:p>
    <w:p w14:paraId="66B2D11E">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14:textFill>
            <w14:solidFill>
              <w14:schemeClr w14:val="tx1"/>
            </w14:solidFill>
          </w14:textFill>
        </w:rPr>
      </w:pPr>
      <w:r>
        <w:rPr>
          <w:rFonts w:hint="eastAsia" w:ascii="宋体" w:hAnsi="宋体" w:eastAsia="宋体" w:cs="宋体"/>
          <w:b/>
          <w:bCs/>
          <w:snapToGrid w:val="0"/>
          <w:color w:val="000000" w:themeColor="text1"/>
          <w:spacing w:val="0"/>
          <w:sz w:val="24"/>
          <w14:textFill>
            <w14:solidFill>
              <w14:schemeClr w14:val="tx1"/>
            </w14:solidFill>
          </w14:textFill>
        </w:rPr>
        <w:t>绿色包装：</w:t>
      </w:r>
      <w:r>
        <w:rPr>
          <w:rFonts w:hint="eastAsia" w:ascii="宋体" w:hAnsi="宋体" w:eastAsia="宋体" w:cs="宋体"/>
          <w:snapToGrid w:val="0"/>
          <w:color w:val="000000" w:themeColor="text1"/>
          <w:spacing w:val="0"/>
          <w:sz w:val="24"/>
          <w14:textFill>
            <w14:solidFill>
              <w14:schemeClr w14:val="tx1"/>
            </w14:solidFill>
          </w14:textFill>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6DE9E21D">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绿色数据中心政策：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0EC00A1">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推广应用绿色建材：采购人实施政府采购工程项目，要按照《常州市政府采购支持绿色建材促进建筑品质提升试点工作方案》（常财购〔2023〕18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62E9C022">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349D3879">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投标费用</w:t>
      </w:r>
    </w:p>
    <w:p w14:paraId="6C542997">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投标人应自行承担所有与准备和参加投标有关的费用，无论投标的结果如何，采购人或采购代理机构在任何情况下均无承担这些费用的义务和责任。</w:t>
      </w:r>
    </w:p>
    <w:p w14:paraId="3C262804">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二、招标文件</w:t>
      </w:r>
    </w:p>
    <w:p w14:paraId="4C964E86">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bookmarkStart w:id="92" w:name="_Toc151193837"/>
      <w:bookmarkStart w:id="93" w:name="_Toc226337219"/>
      <w:bookmarkStart w:id="94" w:name="_Toc195842888"/>
      <w:bookmarkStart w:id="95" w:name="_Toc151193621"/>
      <w:bookmarkStart w:id="96" w:name="_Toc164229364"/>
      <w:bookmarkStart w:id="97" w:name="_Toc127151523"/>
      <w:bookmarkStart w:id="98" w:name="_Toc520356147"/>
      <w:bookmarkStart w:id="99" w:name="_Toc265228361"/>
      <w:bookmarkStart w:id="100" w:name="_Toc305158791"/>
      <w:bookmarkStart w:id="101" w:name="_Toc164351617"/>
      <w:bookmarkStart w:id="102" w:name="_Toc305158865"/>
      <w:bookmarkStart w:id="103" w:name="_Toc226965796"/>
      <w:bookmarkStart w:id="104" w:name="_Toc150509274"/>
      <w:bookmarkStart w:id="105" w:name="_Toc164608792"/>
      <w:bookmarkStart w:id="106" w:name="_Toc127151724"/>
      <w:bookmarkStart w:id="107" w:name="_Toc127161437"/>
      <w:bookmarkStart w:id="108" w:name="_Toc164608637"/>
      <w:bookmarkStart w:id="109" w:name="_Toc150480761"/>
      <w:bookmarkStart w:id="110" w:name="_Toc142311025"/>
      <w:bookmarkStart w:id="111" w:name="_Toc164229218"/>
      <w:bookmarkStart w:id="112" w:name="_Toc264969213"/>
      <w:bookmarkStart w:id="113" w:name="_Toc150774623"/>
      <w:bookmarkStart w:id="114" w:name="_Toc149720816"/>
      <w:bookmarkStart w:id="115" w:name="_Toc151190150"/>
      <w:bookmarkStart w:id="116" w:name="_Toc150774728"/>
      <w:bookmarkStart w:id="117" w:name="_Toc151193911"/>
      <w:bookmarkStart w:id="118" w:name="_Toc151193693"/>
      <w:bookmarkStart w:id="119" w:name="_Toc226965713"/>
      <w:bookmarkStart w:id="120" w:name="_Toc226309767"/>
      <w:bookmarkStart w:id="121" w:name="_Toc151193765"/>
      <w:r>
        <w:rPr>
          <w:rFonts w:hint="eastAsia" w:ascii="宋体" w:hAnsi="宋体" w:eastAsia="宋体" w:cs="宋体"/>
          <w:snapToGrid w:val="0"/>
          <w:color w:val="000000" w:themeColor="text1"/>
          <w:spacing w:val="0"/>
          <w:sz w:val="24"/>
          <w14:textFill>
            <w14:solidFill>
              <w14:schemeClr w14:val="tx1"/>
            </w14:solidFill>
          </w14:textFill>
        </w:rPr>
        <w:t>招标文件构</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Pr>
          <w:rFonts w:hint="eastAsia" w:ascii="宋体" w:hAnsi="宋体" w:eastAsia="宋体" w:cs="宋体"/>
          <w:snapToGrid w:val="0"/>
          <w:color w:val="000000" w:themeColor="text1"/>
          <w:spacing w:val="0"/>
          <w:sz w:val="24"/>
          <w14:textFill>
            <w14:solidFill>
              <w14:schemeClr w14:val="tx1"/>
            </w14:solidFill>
          </w14:textFill>
        </w:rPr>
        <w:t>成</w:t>
      </w:r>
    </w:p>
    <w:p w14:paraId="74157D8C">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招标文件包括以下部分：</w:t>
      </w:r>
    </w:p>
    <w:p w14:paraId="36042F0D">
      <w:pPr>
        <w:keepNext w:val="0"/>
        <w:keepLines w:val="0"/>
        <w:kinsoku/>
        <w:wordWrap/>
        <w:overflowPunct/>
        <w:topLinePunct w:val="0"/>
        <w:autoSpaceDE/>
        <w:autoSpaceDN/>
        <w:bidi w:val="0"/>
        <w:adjustRightInd w:val="0"/>
        <w:snapToGrid w:val="0"/>
        <w:spacing w:line="360" w:lineRule="auto"/>
        <w:ind w:left="0" w:leftChars="0" w:right="0" w:firstLine="96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第一章  投标邀请</w:t>
      </w:r>
    </w:p>
    <w:p w14:paraId="4EB773B1">
      <w:pPr>
        <w:keepNext w:val="0"/>
        <w:keepLines w:val="0"/>
        <w:kinsoku/>
        <w:wordWrap/>
        <w:overflowPunct/>
        <w:topLinePunct w:val="0"/>
        <w:autoSpaceDE/>
        <w:autoSpaceDN/>
        <w:bidi w:val="0"/>
        <w:adjustRightInd w:val="0"/>
        <w:snapToGrid w:val="0"/>
        <w:spacing w:line="360" w:lineRule="auto"/>
        <w:ind w:left="0" w:leftChars="0" w:right="0" w:firstLine="96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第二章  投标人须知</w:t>
      </w:r>
    </w:p>
    <w:p w14:paraId="2E931B91">
      <w:pPr>
        <w:keepNext w:val="0"/>
        <w:keepLines w:val="0"/>
        <w:kinsoku/>
        <w:wordWrap/>
        <w:overflowPunct/>
        <w:topLinePunct w:val="0"/>
        <w:autoSpaceDE/>
        <w:autoSpaceDN/>
        <w:bidi w:val="0"/>
        <w:adjustRightInd w:val="0"/>
        <w:snapToGrid w:val="0"/>
        <w:spacing w:line="360" w:lineRule="auto"/>
        <w:ind w:left="0" w:leftChars="0" w:right="0" w:firstLine="96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第三章  资格审查</w:t>
      </w:r>
    </w:p>
    <w:p w14:paraId="4513CC4A">
      <w:pPr>
        <w:keepNext w:val="0"/>
        <w:keepLines w:val="0"/>
        <w:kinsoku/>
        <w:wordWrap/>
        <w:overflowPunct/>
        <w:topLinePunct w:val="0"/>
        <w:autoSpaceDE/>
        <w:autoSpaceDN/>
        <w:bidi w:val="0"/>
        <w:adjustRightInd w:val="0"/>
        <w:snapToGrid w:val="0"/>
        <w:spacing w:line="360" w:lineRule="auto"/>
        <w:ind w:left="0" w:leftChars="0" w:right="0" w:firstLine="96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第四章</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 xml:space="preserve">  </w:t>
      </w:r>
      <w:r>
        <w:rPr>
          <w:rFonts w:hint="eastAsia" w:ascii="宋体" w:hAnsi="宋体" w:eastAsia="宋体" w:cs="宋体"/>
          <w:snapToGrid w:val="0"/>
          <w:color w:val="000000" w:themeColor="text1"/>
          <w:spacing w:val="0"/>
          <w:sz w:val="24"/>
          <w:szCs w:val="24"/>
          <w14:textFill>
            <w14:solidFill>
              <w14:schemeClr w14:val="tx1"/>
            </w14:solidFill>
          </w14:textFill>
        </w:rPr>
        <w:t>评标程序、评标方法和评标标准</w:t>
      </w:r>
    </w:p>
    <w:p w14:paraId="419D6735">
      <w:pPr>
        <w:keepNext w:val="0"/>
        <w:keepLines w:val="0"/>
        <w:kinsoku/>
        <w:wordWrap/>
        <w:overflowPunct/>
        <w:topLinePunct w:val="0"/>
        <w:autoSpaceDE/>
        <w:autoSpaceDN/>
        <w:bidi w:val="0"/>
        <w:adjustRightInd w:val="0"/>
        <w:snapToGrid w:val="0"/>
        <w:spacing w:line="360" w:lineRule="auto"/>
        <w:ind w:left="0" w:leftChars="0" w:right="0" w:firstLine="96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第五章</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 xml:space="preserve">  </w:t>
      </w:r>
      <w:r>
        <w:rPr>
          <w:rFonts w:hint="eastAsia" w:ascii="宋体" w:hAnsi="宋体" w:eastAsia="宋体" w:cs="宋体"/>
          <w:snapToGrid w:val="0"/>
          <w:color w:val="000000" w:themeColor="text1"/>
          <w:spacing w:val="0"/>
          <w:sz w:val="24"/>
          <w:szCs w:val="24"/>
          <w14:textFill>
            <w14:solidFill>
              <w14:schemeClr w14:val="tx1"/>
            </w14:solidFill>
          </w14:textFill>
        </w:rPr>
        <w:t>采购需求</w:t>
      </w:r>
    </w:p>
    <w:p w14:paraId="2C110E48">
      <w:pPr>
        <w:keepNext w:val="0"/>
        <w:keepLines w:val="0"/>
        <w:kinsoku/>
        <w:wordWrap/>
        <w:overflowPunct/>
        <w:topLinePunct w:val="0"/>
        <w:autoSpaceDE/>
        <w:autoSpaceDN/>
        <w:bidi w:val="0"/>
        <w:adjustRightInd w:val="0"/>
        <w:snapToGrid w:val="0"/>
        <w:spacing w:line="360" w:lineRule="auto"/>
        <w:ind w:left="0" w:leftChars="0" w:right="0" w:firstLine="96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第六章  拟签订的合同文本</w:t>
      </w:r>
    </w:p>
    <w:p w14:paraId="206D2279">
      <w:pPr>
        <w:keepNext w:val="0"/>
        <w:keepLines w:val="0"/>
        <w:kinsoku/>
        <w:wordWrap/>
        <w:overflowPunct/>
        <w:topLinePunct w:val="0"/>
        <w:autoSpaceDE/>
        <w:autoSpaceDN/>
        <w:bidi w:val="0"/>
        <w:adjustRightInd w:val="0"/>
        <w:snapToGrid w:val="0"/>
        <w:spacing w:line="360" w:lineRule="auto"/>
        <w:ind w:left="0" w:leftChars="0" w:right="0" w:firstLine="96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第七章  投标文件格式</w:t>
      </w:r>
    </w:p>
    <w:p w14:paraId="791357E7">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snapToGrid w:val="0"/>
          <w:color w:val="000000" w:themeColor="text1"/>
          <w:spacing w:val="0"/>
          <w:sz w:val="24"/>
          <w14:textFill>
            <w14:solidFill>
              <w14:schemeClr w14:val="tx1"/>
            </w14:solidFill>
          </w14:textFill>
        </w:rPr>
        <w:t>投标无效。</w:t>
      </w:r>
    </w:p>
    <w:p w14:paraId="3C5E9EE4">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对招标文件的澄清或修改</w:t>
      </w:r>
    </w:p>
    <w:p w14:paraId="52ACEB70">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采购人或采购代理机构对已发出的招标文件进行必要澄清或者修改的，将在原公告发布媒体上以发布更正公告的形式通知所有获取招标文件的潜在投标人。</w:t>
      </w:r>
    </w:p>
    <w:p w14:paraId="39C3ED4C">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703A1372">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三、投标文件的编制</w:t>
      </w:r>
    </w:p>
    <w:p w14:paraId="7875FBDE">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122" w:name="_Toc149720820"/>
      <w:bookmarkStart w:id="123" w:name="_Toc264969217"/>
      <w:bookmarkStart w:id="124" w:name="_Toc150774732"/>
      <w:bookmarkStart w:id="125" w:name="_Toc305158795"/>
      <w:bookmarkStart w:id="126" w:name="_Toc151193915"/>
      <w:bookmarkStart w:id="127" w:name="_Toc226965800"/>
      <w:bookmarkStart w:id="128" w:name="_Toc265228365"/>
      <w:bookmarkStart w:id="129" w:name="_Toc164229222"/>
      <w:bookmarkStart w:id="130" w:name="_Toc164608641"/>
      <w:bookmarkStart w:id="131" w:name="_Toc151190154"/>
      <w:bookmarkStart w:id="132" w:name="_Toc305158869"/>
      <w:bookmarkStart w:id="133" w:name="_Toc127151527"/>
      <w:bookmarkStart w:id="134" w:name="_Toc226965717"/>
      <w:bookmarkStart w:id="135" w:name="_Toc150480765"/>
      <w:bookmarkStart w:id="136" w:name="_Toc150774627"/>
      <w:bookmarkStart w:id="137" w:name="_Toc164229368"/>
      <w:bookmarkStart w:id="138" w:name="_Toc151193625"/>
      <w:bookmarkStart w:id="139" w:name="_Toc226337223"/>
      <w:bookmarkStart w:id="140" w:name="_Toc151193841"/>
      <w:bookmarkStart w:id="141" w:name="_Toc127151728"/>
      <w:bookmarkStart w:id="142" w:name="_Toc151193697"/>
      <w:bookmarkStart w:id="143" w:name="_Toc520356151"/>
      <w:bookmarkStart w:id="144" w:name="_Toc195842892"/>
      <w:bookmarkStart w:id="145" w:name="_Toc164608796"/>
      <w:bookmarkStart w:id="146" w:name="_Toc226309771"/>
      <w:bookmarkStart w:id="147" w:name="_Toc142311029"/>
      <w:bookmarkStart w:id="148" w:name="_Toc127161441"/>
      <w:bookmarkStart w:id="149" w:name="_Toc150509278"/>
      <w:bookmarkStart w:id="150" w:name="_Toc164351621"/>
      <w:bookmarkStart w:id="151" w:name="_Toc516367021"/>
      <w:bookmarkStart w:id="152" w:name="_Toc151193769"/>
      <w:r>
        <w:rPr>
          <w:rFonts w:hint="eastAsia" w:ascii="宋体" w:hAnsi="宋体" w:eastAsia="宋体" w:cs="宋体"/>
          <w:snapToGrid w:val="0"/>
          <w:color w:val="000000" w:themeColor="text1"/>
          <w:spacing w:val="0"/>
          <w:sz w:val="24"/>
          <w14:textFill>
            <w14:solidFill>
              <w14:schemeClr w14:val="tx1"/>
            </w14:solidFill>
          </w14:textFill>
        </w:rPr>
        <w:t>投标范围、投标文件中计量单位的使用</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rPr>
          <w:rFonts w:hint="eastAsia" w:ascii="宋体" w:hAnsi="宋体" w:eastAsia="宋体" w:cs="宋体"/>
          <w:snapToGrid w:val="0"/>
          <w:color w:val="000000" w:themeColor="text1"/>
          <w:spacing w:val="0"/>
          <w:sz w:val="24"/>
          <w14:textFill>
            <w14:solidFill>
              <w14:schemeClr w14:val="tx1"/>
            </w14:solidFill>
          </w14:textFill>
        </w:rPr>
        <w:t>及投标语言</w:t>
      </w:r>
    </w:p>
    <w:p w14:paraId="18A98E61">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snapToGrid w:val="0"/>
          <w:color w:val="000000" w:themeColor="text1"/>
          <w:spacing w:val="0"/>
          <w:sz w:val="24"/>
          <w14:textFill>
            <w14:solidFill>
              <w14:schemeClr w14:val="tx1"/>
            </w14:solidFill>
          </w14:textFill>
        </w:rPr>
        <w:t>无效投标。</w:t>
      </w:r>
    </w:p>
    <w:p w14:paraId="2AEA5293">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除招标文件有特殊要求外，本项目投标所使用的计量单位，应采用中华人民共和国法定计量单位。</w:t>
      </w:r>
    </w:p>
    <w:p w14:paraId="12B9717A">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47950F8">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153" w:name="_Ref467306195"/>
      <w:bookmarkStart w:id="154" w:name="_Toc516367022"/>
      <w:bookmarkStart w:id="155" w:name="_Ref467306676"/>
      <w:bookmarkStart w:id="156" w:name="_Toc164229223"/>
      <w:bookmarkStart w:id="157" w:name="_Toc149720821"/>
      <w:bookmarkStart w:id="158" w:name="_Toc226337224"/>
      <w:bookmarkStart w:id="159" w:name="_Toc305158870"/>
      <w:bookmarkStart w:id="160" w:name="_Toc151190155"/>
      <w:bookmarkStart w:id="161" w:name="_Toc226965718"/>
      <w:bookmarkStart w:id="162" w:name="_Toc264969218"/>
      <w:bookmarkStart w:id="163" w:name="_Toc164351622"/>
      <w:bookmarkStart w:id="164" w:name="_Toc164608642"/>
      <w:bookmarkStart w:id="165" w:name="_Toc127151528"/>
      <w:bookmarkStart w:id="166" w:name="_Toc150509279"/>
      <w:bookmarkStart w:id="167" w:name="_Toc150774628"/>
      <w:bookmarkStart w:id="168" w:name="_Toc164608797"/>
      <w:bookmarkStart w:id="169" w:name="_Toc150774733"/>
      <w:bookmarkStart w:id="170" w:name="_Toc127161442"/>
      <w:bookmarkStart w:id="171" w:name="_Toc195842893"/>
      <w:bookmarkStart w:id="172" w:name="_Toc151193916"/>
      <w:bookmarkStart w:id="173" w:name="_Toc151193626"/>
      <w:bookmarkStart w:id="174" w:name="_Toc127151729"/>
      <w:bookmarkStart w:id="175" w:name="_Toc150480766"/>
      <w:bookmarkStart w:id="176" w:name="_Toc151193698"/>
      <w:bookmarkStart w:id="177" w:name="_Toc142311030"/>
      <w:bookmarkStart w:id="178" w:name="_Toc151193842"/>
      <w:bookmarkStart w:id="179" w:name="_Toc164229369"/>
      <w:bookmarkStart w:id="180" w:name="_Toc226965801"/>
      <w:bookmarkStart w:id="181" w:name="_Toc226309772"/>
      <w:bookmarkStart w:id="182" w:name="_Toc265228366"/>
      <w:bookmarkStart w:id="183" w:name="_Toc520356152"/>
      <w:bookmarkStart w:id="184" w:name="_Toc305158796"/>
      <w:bookmarkStart w:id="185" w:name="_Toc151193770"/>
      <w:r>
        <w:rPr>
          <w:rFonts w:hint="eastAsia" w:ascii="宋体" w:hAnsi="宋体" w:eastAsia="宋体" w:cs="宋体"/>
          <w:snapToGrid w:val="0"/>
          <w:color w:val="000000" w:themeColor="text1"/>
          <w:spacing w:val="0"/>
          <w:sz w:val="24"/>
          <w14:textFill>
            <w14:solidFill>
              <w14:schemeClr w14:val="tx1"/>
            </w14:solidFill>
          </w14:textFill>
        </w:rPr>
        <w:t>投标文件</w:t>
      </w:r>
      <w:bookmarkEnd w:id="153"/>
      <w:bookmarkEnd w:id="154"/>
      <w:bookmarkEnd w:id="155"/>
      <w:r>
        <w:rPr>
          <w:rFonts w:hint="eastAsia" w:ascii="宋体" w:hAnsi="宋体" w:eastAsia="宋体" w:cs="宋体"/>
          <w:snapToGrid w:val="0"/>
          <w:color w:val="000000" w:themeColor="text1"/>
          <w:spacing w:val="0"/>
          <w:sz w:val="24"/>
          <w14:textFill>
            <w14:solidFill>
              <w14:schemeClr w14:val="tx1"/>
            </w14:solidFill>
          </w14:textFill>
        </w:rPr>
        <w:t>构成</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14:paraId="18B1699A">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投标人编写的投标文件应包括资格证明文件、符合性证明文件、投标分项报价表、技术要求响应及偏离表、商务要求响应及偏离表、其他证明文件、投标函、开标一览表等部分。</w:t>
      </w:r>
    </w:p>
    <w:p w14:paraId="69FA72E1">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snapToGrid w:val="0"/>
          <w:color w:val="000000" w:themeColor="text1"/>
          <w:spacing w:val="0"/>
          <w:sz w:val="24"/>
          <w14:textFill>
            <w14:solidFill>
              <w14:schemeClr w14:val="tx1"/>
            </w14:solidFill>
          </w14:textFill>
        </w:rPr>
        <w:t>投标无效</w:t>
      </w:r>
      <w:r>
        <w:rPr>
          <w:rFonts w:hint="eastAsia" w:ascii="宋体" w:hAnsi="宋体" w:eastAsia="宋体" w:cs="宋体"/>
          <w:snapToGrid w:val="0"/>
          <w:color w:val="000000" w:themeColor="text1"/>
          <w:spacing w:val="0"/>
          <w:sz w:val="24"/>
          <w14:textFill>
            <w14:solidFill>
              <w14:schemeClr w14:val="tx1"/>
            </w14:solidFill>
          </w14:textFill>
        </w:rPr>
        <w:t>。未标记“实质性格式”的文件和招标文件未提供格式的内容，可由投标人自行编写。</w:t>
      </w:r>
    </w:p>
    <w:p w14:paraId="7443B3D1">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第四章《评标程序、评标方法和评标标准》中涉及的证明文件。</w:t>
      </w:r>
    </w:p>
    <w:p w14:paraId="011B3DF8">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0697C0E9">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投标人认为应附的其他材料。</w:t>
      </w:r>
    </w:p>
    <w:p w14:paraId="10C66E03">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如标书制作工具中格式和内容与“江苏政府采购网”</w:t>
      </w:r>
      <w:r>
        <w:rPr>
          <w:rFonts w:hint="eastAsia" w:ascii="宋体" w:hAnsi="宋体" w:eastAsia="宋体" w:cs="宋体"/>
          <w:snapToGrid w:val="0"/>
          <w:color w:val="000000" w:themeColor="text1"/>
          <w:spacing w:val="0"/>
          <w:sz w:val="24"/>
          <w:szCs w:val="24"/>
          <w14:textFill>
            <w14:solidFill>
              <w14:schemeClr w14:val="tx1"/>
            </w14:solidFill>
          </w14:textFill>
        </w:rPr>
        <w:t xml:space="preserve"> 、“常州市政府采购网”</w:t>
      </w:r>
      <w:r>
        <w:rPr>
          <w:rFonts w:hint="eastAsia" w:ascii="宋体" w:hAnsi="宋体" w:eastAsia="宋体" w:cs="宋体"/>
          <w:snapToGrid w:val="0"/>
          <w:color w:val="000000" w:themeColor="text1"/>
          <w:spacing w:val="0"/>
          <w:sz w:val="24"/>
          <w14:textFill>
            <w14:solidFill>
              <w14:schemeClr w14:val="tx1"/>
            </w14:solidFill>
          </w14:textFill>
        </w:rPr>
        <w:t>发布的招标文件不一致，请以“江苏政府采购网”</w:t>
      </w:r>
      <w:r>
        <w:rPr>
          <w:rFonts w:hint="eastAsia" w:ascii="宋体" w:hAnsi="宋体" w:eastAsia="宋体" w:cs="宋体"/>
          <w:snapToGrid w:val="0"/>
          <w:color w:val="000000" w:themeColor="text1"/>
          <w:spacing w:val="0"/>
          <w:sz w:val="24"/>
          <w:szCs w:val="24"/>
          <w14:textFill>
            <w14:solidFill>
              <w14:schemeClr w14:val="tx1"/>
            </w14:solidFill>
          </w14:textFill>
        </w:rPr>
        <w:t xml:space="preserve"> 、“常州市政府采购网”</w:t>
      </w:r>
      <w:r>
        <w:rPr>
          <w:rFonts w:hint="eastAsia" w:ascii="宋体" w:hAnsi="宋体" w:eastAsia="宋体" w:cs="宋体"/>
          <w:snapToGrid w:val="0"/>
          <w:color w:val="000000" w:themeColor="text1"/>
          <w:spacing w:val="0"/>
          <w:sz w:val="24"/>
          <w14:textFill>
            <w14:solidFill>
              <w14:schemeClr w14:val="tx1"/>
            </w14:solidFill>
          </w14:textFill>
        </w:rPr>
        <w:t>发布的招标文件为准。</w:t>
      </w:r>
    </w:p>
    <w:p w14:paraId="3214E96B">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投标人应按照法律、法规、规章和规范性文件以及招标文件要求提交证明文件，证明其及投标标的符合招标文件规定。招标文件对证明文件无明确形式要求的，证明文件可以以文字资料、图纸和数据等形式提交。</w:t>
      </w:r>
    </w:p>
    <w:p w14:paraId="2B5C8E1C">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投标报价</w:t>
      </w:r>
    </w:p>
    <w:p w14:paraId="4F75D358">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所有投标均以人民币报价。</w:t>
      </w:r>
    </w:p>
    <w:p w14:paraId="575835CD">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投标人的报价应包括为完成本项目所发生的一切费用和税费，招标人将不再支付报价以外的任何费用。投标人的报价应包括但不限于下列内容，《投标人须知资料表》中有特殊规定的，从其规定。</w:t>
      </w:r>
    </w:p>
    <w:p w14:paraId="1D6A9E50">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24C5D766">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按照招标文件要求完成本项目的全部相关服务费用。</w:t>
      </w:r>
    </w:p>
    <w:p w14:paraId="3D4529DD">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采购人不得向供应商索要或者接受其给予的赠品、回扣或者与采购无关的其他商品、服务。</w:t>
      </w:r>
    </w:p>
    <w:p w14:paraId="4FC4133D">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投标人不能提供任何有选择性或可调整的报价，否则其</w:t>
      </w:r>
      <w:r>
        <w:rPr>
          <w:rFonts w:hint="eastAsia" w:ascii="宋体" w:hAnsi="宋体" w:eastAsia="宋体" w:cs="宋体"/>
          <w:b/>
          <w:snapToGrid w:val="0"/>
          <w:color w:val="000000" w:themeColor="text1"/>
          <w:spacing w:val="0"/>
          <w:sz w:val="24"/>
          <w14:textFill>
            <w14:solidFill>
              <w14:schemeClr w14:val="tx1"/>
            </w14:solidFill>
          </w14:textFill>
        </w:rPr>
        <w:t>投标无效。</w:t>
      </w:r>
    </w:p>
    <w:p w14:paraId="14A9191E">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投标保证金：根据江苏省和常州市的相关文件规定，免收保证金</w:t>
      </w:r>
    </w:p>
    <w:p w14:paraId="778F41F4">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投标有效期</w:t>
      </w:r>
    </w:p>
    <w:p w14:paraId="06CCF26F">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投标文件应在本招标文件《投标人须知资料表》中规定的投标有效期内保持有效，投标有效期少于招标文件规定期限的，其</w:t>
      </w:r>
      <w:r>
        <w:rPr>
          <w:rFonts w:hint="eastAsia" w:ascii="宋体" w:hAnsi="宋体" w:eastAsia="宋体" w:cs="宋体"/>
          <w:b/>
          <w:snapToGrid w:val="0"/>
          <w:color w:val="000000" w:themeColor="text1"/>
          <w:spacing w:val="0"/>
          <w:sz w:val="24"/>
          <w14:textFill>
            <w14:solidFill>
              <w14:schemeClr w14:val="tx1"/>
            </w14:solidFill>
          </w14:textFill>
        </w:rPr>
        <w:t>投标无效。</w:t>
      </w:r>
    </w:p>
    <w:p w14:paraId="2AC1A582">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186" w:name="_Toc150774633"/>
      <w:bookmarkStart w:id="187" w:name="_Toc265228371"/>
      <w:bookmarkStart w:id="188" w:name="_Toc151193775"/>
      <w:bookmarkStart w:id="189" w:name="_Toc149720826"/>
      <w:bookmarkStart w:id="190" w:name="_Toc164229228"/>
      <w:bookmarkStart w:id="191" w:name="_Toc150774738"/>
      <w:bookmarkStart w:id="192" w:name="_Toc264969223"/>
      <w:bookmarkStart w:id="193" w:name="_Toc150509284"/>
      <w:bookmarkStart w:id="194" w:name="_Toc142311035"/>
      <w:bookmarkStart w:id="195" w:name="_Toc151193921"/>
      <w:bookmarkStart w:id="196" w:name="_Toc164608647"/>
      <w:bookmarkStart w:id="197" w:name="_Toc127151734"/>
      <w:bookmarkStart w:id="198" w:name="_Toc226965723"/>
      <w:bookmarkStart w:id="199" w:name="_Toc127161447"/>
      <w:bookmarkStart w:id="200" w:name="_Toc151193631"/>
      <w:bookmarkStart w:id="201" w:name="_Toc226965806"/>
      <w:bookmarkStart w:id="202" w:name="_Toc195842898"/>
      <w:bookmarkStart w:id="203" w:name="_Toc226309777"/>
      <w:bookmarkStart w:id="204" w:name="_Toc164351627"/>
      <w:bookmarkStart w:id="205" w:name="_Toc150480771"/>
      <w:bookmarkStart w:id="206" w:name="_Toc305158801"/>
      <w:bookmarkStart w:id="207" w:name="_Toc164229374"/>
      <w:bookmarkStart w:id="208" w:name="_Toc305158875"/>
      <w:bookmarkStart w:id="209" w:name="_Toc164608802"/>
      <w:bookmarkStart w:id="210" w:name="_Toc151190160"/>
      <w:bookmarkStart w:id="211" w:name="_Toc151193703"/>
      <w:bookmarkStart w:id="212" w:name="_Toc520356158"/>
      <w:bookmarkStart w:id="213" w:name="_Toc151193847"/>
      <w:bookmarkStart w:id="214" w:name="_Toc226337229"/>
      <w:bookmarkStart w:id="215" w:name="_Toc127151533"/>
      <w:r>
        <w:rPr>
          <w:rFonts w:hint="eastAsia" w:ascii="宋体" w:hAnsi="宋体" w:eastAsia="宋体" w:cs="宋体"/>
          <w:snapToGrid w:val="0"/>
          <w:color w:val="000000" w:themeColor="text1"/>
          <w:spacing w:val="0"/>
          <w:sz w:val="24"/>
          <w14:textFill>
            <w14:solidFill>
              <w14:schemeClr w14:val="tx1"/>
            </w14:solidFill>
          </w14:textFill>
        </w:rPr>
        <w:t>投标文件的</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rPr>
          <w:rFonts w:hint="eastAsia" w:ascii="宋体" w:hAnsi="宋体" w:eastAsia="宋体" w:cs="宋体"/>
          <w:snapToGrid w:val="0"/>
          <w:color w:val="000000" w:themeColor="text1"/>
          <w:spacing w:val="0"/>
          <w:sz w:val="24"/>
          <w14:textFill>
            <w14:solidFill>
              <w14:schemeClr w14:val="tx1"/>
            </w14:solidFill>
          </w14:textFill>
        </w:rPr>
        <w:t>制作、密封与盖章</w:t>
      </w:r>
    </w:p>
    <w:p w14:paraId="0969AD15">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招标文件要求签字的内容，可以使用电子签章或使用原件的电子件（电子件指扫描件、照片等形式电子文件）；要求第三方出具的加盖公章原件（如联合协议、分包意向协议、制造商授权书等），投标文件中应使用原件的电子件。</w:t>
      </w:r>
    </w:p>
    <w:p w14:paraId="30924F6F">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招标文件要求加盖公章的内容，一般通过投标文件编制工具加盖电子签章。</w:t>
      </w:r>
    </w:p>
    <w:p w14:paraId="57A128F4">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216" w:name="_Toc151190161"/>
      <w:bookmarkStart w:id="217" w:name="_Toc265228372"/>
      <w:bookmarkStart w:id="218" w:name="_Toc151193848"/>
      <w:bookmarkStart w:id="219" w:name="_Toc305158802"/>
      <w:bookmarkStart w:id="220" w:name="_Toc150509285"/>
      <w:bookmarkStart w:id="221" w:name="_Toc151193776"/>
      <w:bookmarkStart w:id="222" w:name="_Toc305158876"/>
      <w:bookmarkStart w:id="223" w:name="_Toc150480772"/>
      <w:bookmarkStart w:id="224" w:name="_Toc520356159"/>
      <w:bookmarkStart w:id="225" w:name="_Toc226337230"/>
      <w:bookmarkStart w:id="226" w:name="_Toc195842899"/>
      <w:bookmarkStart w:id="227" w:name="_Toc151193922"/>
      <w:bookmarkStart w:id="228" w:name="_Toc264969224"/>
      <w:bookmarkStart w:id="229" w:name="_Toc226965724"/>
      <w:bookmarkStart w:id="230" w:name="_Toc150774634"/>
      <w:bookmarkStart w:id="231" w:name="_Toc226309778"/>
      <w:bookmarkStart w:id="232" w:name="_Toc142311036"/>
      <w:bookmarkStart w:id="233" w:name="_Toc151193632"/>
      <w:bookmarkStart w:id="234" w:name="_Toc127151534"/>
      <w:bookmarkStart w:id="235" w:name="_Toc150774739"/>
      <w:bookmarkStart w:id="236" w:name="_Toc226965807"/>
      <w:bookmarkStart w:id="237" w:name="_Toc151193704"/>
      <w:r>
        <w:rPr>
          <w:rFonts w:hint="eastAsia" w:ascii="宋体" w:hAnsi="宋体" w:eastAsia="宋体" w:cs="宋体"/>
          <w:b/>
          <w:snapToGrid w:val="0"/>
          <w:color w:val="000000" w:themeColor="text1"/>
          <w:spacing w:val="0"/>
          <w:sz w:val="28"/>
          <w:szCs w:val="28"/>
          <w14:textFill>
            <w14:solidFill>
              <w14:schemeClr w14:val="tx1"/>
            </w14:solidFill>
          </w14:textFill>
        </w:rPr>
        <w:t>四、投标文件的提交</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14:paraId="154DAE64">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238" w:name="_Toc150774635"/>
      <w:bookmarkStart w:id="239" w:name="_Toc264969225"/>
      <w:bookmarkStart w:id="240" w:name="_Toc142311037"/>
      <w:bookmarkStart w:id="241" w:name="_Toc151193705"/>
      <w:bookmarkStart w:id="242" w:name="_Toc164229230"/>
      <w:bookmarkStart w:id="243" w:name="_Toc226965725"/>
      <w:bookmarkStart w:id="244" w:name="_Toc305158877"/>
      <w:bookmarkStart w:id="245" w:name="_Toc127151736"/>
      <w:bookmarkStart w:id="246" w:name="_Toc150774740"/>
      <w:bookmarkStart w:id="247" w:name="_Toc520356160"/>
      <w:bookmarkStart w:id="248" w:name="_Toc151190162"/>
      <w:bookmarkStart w:id="249" w:name="_Toc151193633"/>
      <w:bookmarkStart w:id="250" w:name="_Toc195842900"/>
      <w:bookmarkStart w:id="251" w:name="_Toc164608649"/>
      <w:bookmarkStart w:id="252" w:name="_Toc226337231"/>
      <w:bookmarkStart w:id="253" w:name="_Toc305158803"/>
      <w:bookmarkStart w:id="254" w:name="_Toc164608804"/>
      <w:bookmarkStart w:id="255" w:name="_Toc150509286"/>
      <w:bookmarkStart w:id="256" w:name="_Toc151193849"/>
      <w:bookmarkStart w:id="257" w:name="_Toc127161449"/>
      <w:bookmarkStart w:id="258" w:name="_Toc265228373"/>
      <w:bookmarkStart w:id="259" w:name="_Toc226965808"/>
      <w:bookmarkStart w:id="260" w:name="_Toc164229376"/>
      <w:bookmarkStart w:id="261" w:name="_Toc151193923"/>
      <w:bookmarkStart w:id="262" w:name="_Toc149720828"/>
      <w:bookmarkStart w:id="263" w:name="_Toc151193777"/>
      <w:bookmarkStart w:id="264" w:name="_Toc127151535"/>
      <w:bookmarkStart w:id="265" w:name="_Toc150480773"/>
      <w:bookmarkStart w:id="266" w:name="_Toc226309779"/>
      <w:bookmarkStart w:id="267" w:name="_Toc164351629"/>
      <w:r>
        <w:rPr>
          <w:rFonts w:hint="eastAsia" w:ascii="宋体" w:hAnsi="宋体" w:eastAsia="宋体" w:cs="宋体"/>
          <w:snapToGrid w:val="0"/>
          <w:color w:val="000000" w:themeColor="text1"/>
          <w:spacing w:val="0"/>
          <w:sz w:val="24"/>
          <w14:textFill>
            <w14:solidFill>
              <w14:schemeClr w14:val="tx1"/>
            </w14:solidFill>
          </w14:textFill>
        </w:rPr>
        <w:t>投标文件的</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r>
        <w:rPr>
          <w:rFonts w:hint="eastAsia" w:ascii="宋体" w:hAnsi="宋体" w:eastAsia="宋体" w:cs="宋体"/>
          <w:snapToGrid w:val="0"/>
          <w:color w:val="000000" w:themeColor="text1"/>
          <w:spacing w:val="0"/>
          <w:sz w:val="24"/>
          <w14:textFill>
            <w14:solidFill>
              <w14:schemeClr w14:val="tx1"/>
            </w14:solidFill>
          </w14:textFill>
        </w:rPr>
        <w:t>提交</w:t>
      </w:r>
    </w:p>
    <w:p w14:paraId="44A95938">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本项目使用“苏采云”系统。投标人根据招标文件及“苏采云”系统供应商操作手册要求编制、生成并提交电子投标文件。</w:t>
      </w:r>
    </w:p>
    <w:p w14:paraId="596372C2">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采购人及采购代理机构拒绝接受通过“苏采云”系统以外任何形式提交的投标文件。</w:t>
      </w:r>
    </w:p>
    <w:p w14:paraId="33E82634">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268" w:name="_Toc150480774"/>
      <w:bookmarkStart w:id="269" w:name="_Toc149720829"/>
      <w:bookmarkStart w:id="270" w:name="_Toc151193706"/>
      <w:bookmarkStart w:id="271" w:name="_Toc305158878"/>
      <w:bookmarkStart w:id="272" w:name="_Toc265228374"/>
      <w:bookmarkStart w:id="273" w:name="_Toc195842901"/>
      <w:bookmarkStart w:id="274" w:name="_Toc151193778"/>
      <w:bookmarkStart w:id="275" w:name="_Toc127151536"/>
      <w:bookmarkStart w:id="276" w:name="_Toc151193924"/>
      <w:bookmarkStart w:id="277" w:name="_Toc151190163"/>
      <w:bookmarkStart w:id="278" w:name="_Toc150774636"/>
      <w:bookmarkStart w:id="279" w:name="_Toc520356161"/>
      <w:bookmarkStart w:id="280" w:name="_Toc226965726"/>
      <w:bookmarkStart w:id="281" w:name="_Toc164229231"/>
      <w:bookmarkStart w:id="282" w:name="_Toc151193850"/>
      <w:bookmarkStart w:id="283" w:name="_Toc150774741"/>
      <w:bookmarkStart w:id="284" w:name="_Toc264969226"/>
      <w:bookmarkStart w:id="285" w:name="_Toc164608650"/>
      <w:bookmarkStart w:id="286" w:name="_Toc151193634"/>
      <w:bookmarkStart w:id="287" w:name="_Toc164608805"/>
      <w:bookmarkStart w:id="288" w:name="_Toc127151737"/>
      <w:bookmarkStart w:id="289" w:name="_Toc164351630"/>
      <w:bookmarkStart w:id="290" w:name="_Toc164229377"/>
      <w:bookmarkStart w:id="291" w:name="_Toc226337232"/>
      <w:bookmarkStart w:id="292" w:name="_Toc127161450"/>
      <w:bookmarkStart w:id="293" w:name="_Toc305158804"/>
      <w:bookmarkStart w:id="294" w:name="_Toc150509287"/>
      <w:bookmarkStart w:id="295" w:name="_Toc226309780"/>
      <w:bookmarkStart w:id="296" w:name="_Toc142311038"/>
      <w:bookmarkStart w:id="297" w:name="_Toc226965809"/>
      <w:r>
        <w:rPr>
          <w:rFonts w:hint="eastAsia" w:ascii="宋体" w:hAnsi="宋体" w:eastAsia="宋体" w:cs="宋体"/>
          <w:snapToGrid w:val="0"/>
          <w:color w:val="000000" w:themeColor="text1"/>
          <w:spacing w:val="0"/>
          <w:sz w:val="24"/>
          <w14:textFill>
            <w14:solidFill>
              <w14:schemeClr w14:val="tx1"/>
            </w14:solidFill>
          </w14:textFill>
        </w:rPr>
        <w:t>投标截止</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r>
        <w:rPr>
          <w:rFonts w:hint="eastAsia" w:ascii="宋体" w:hAnsi="宋体" w:eastAsia="宋体" w:cs="宋体"/>
          <w:snapToGrid w:val="0"/>
          <w:color w:val="000000" w:themeColor="text1"/>
          <w:spacing w:val="0"/>
          <w:sz w:val="24"/>
          <w14:textFill>
            <w14:solidFill>
              <w14:schemeClr w14:val="tx1"/>
            </w14:solidFill>
          </w14:textFill>
        </w:rPr>
        <w:t>时间</w:t>
      </w:r>
    </w:p>
    <w:p w14:paraId="3D506353">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投标人应在招标文件要求提交投标文件截止时间前，将电子投标文件提交至“苏采云”系统。</w:t>
      </w:r>
    </w:p>
    <w:p w14:paraId="7FA457E5">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298" w:name="_Toc164608806"/>
      <w:bookmarkStart w:id="299" w:name="_Toc226309781"/>
      <w:bookmarkStart w:id="300" w:name="_Toc127151537"/>
      <w:bookmarkStart w:id="301" w:name="_Toc305158805"/>
      <w:bookmarkStart w:id="302" w:name="_Toc195842902"/>
      <w:bookmarkStart w:id="303" w:name="_Toc151193779"/>
      <w:bookmarkStart w:id="304" w:name="_Toc151190164"/>
      <w:bookmarkStart w:id="305" w:name="_Toc264969227"/>
      <w:bookmarkStart w:id="306" w:name="_Toc151193851"/>
      <w:bookmarkStart w:id="307" w:name="_Toc149720830"/>
      <w:bookmarkStart w:id="308" w:name="_Toc150774742"/>
      <w:bookmarkStart w:id="309" w:name="_Toc164229232"/>
      <w:bookmarkStart w:id="310" w:name="_Toc305158879"/>
      <w:bookmarkStart w:id="311" w:name="_Toc265228375"/>
      <w:bookmarkStart w:id="312" w:name="_Toc142311039"/>
      <w:bookmarkStart w:id="313" w:name="_Toc226337233"/>
      <w:bookmarkStart w:id="314" w:name="_Toc164229378"/>
      <w:bookmarkStart w:id="315" w:name="_Toc226965810"/>
      <w:bookmarkStart w:id="316" w:name="_Toc520356162"/>
      <w:bookmarkStart w:id="317" w:name="_Toc150480775"/>
      <w:bookmarkStart w:id="318" w:name="_Toc151193707"/>
      <w:bookmarkStart w:id="319" w:name="_Toc151193635"/>
      <w:bookmarkStart w:id="320" w:name="_Toc164608651"/>
      <w:bookmarkStart w:id="321" w:name="_Toc151193925"/>
      <w:bookmarkStart w:id="322" w:name="_Toc164351631"/>
      <w:bookmarkStart w:id="323" w:name="_Toc127151738"/>
      <w:bookmarkStart w:id="324" w:name="_Toc226965727"/>
      <w:bookmarkStart w:id="325" w:name="_Toc127161451"/>
      <w:bookmarkStart w:id="326" w:name="_Toc150774637"/>
      <w:bookmarkStart w:id="327" w:name="_Toc150509288"/>
      <w:r>
        <w:rPr>
          <w:rFonts w:hint="eastAsia" w:ascii="宋体" w:hAnsi="宋体" w:eastAsia="宋体" w:cs="宋体"/>
          <w:snapToGrid w:val="0"/>
          <w:color w:val="000000" w:themeColor="text1"/>
          <w:spacing w:val="0"/>
          <w:sz w:val="24"/>
          <w14:textFill>
            <w14:solidFill>
              <w14:schemeClr w14:val="tx1"/>
            </w14:solidFill>
          </w14:textFill>
        </w:rPr>
        <w:t>投标文件的修改与撤回</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14:paraId="27F45B2C">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投标截止时间前，投标人可以通过“苏采云”系统对所提交的投标文件进行补充、修改或者撤回。具体操作方法见《操作手册》。</w:t>
      </w:r>
    </w:p>
    <w:p w14:paraId="47A518CD">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投标人对投标文件的补充、修改的内容应当按照招标文件要求签署、加盖公章，作为投标文件的组成部分。</w:t>
      </w:r>
    </w:p>
    <w:p w14:paraId="5B93A667">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在投标截止时间至招标文件中规定的投标有效期满之间的这段时间内，投标人不得撤回其投标。</w:t>
      </w:r>
    </w:p>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14:paraId="315AC94D">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bookmarkStart w:id="328" w:name="_Toc150774638"/>
      <w:bookmarkStart w:id="329" w:name="_Toc226965728"/>
      <w:bookmarkStart w:id="330" w:name="_Toc305158806"/>
      <w:bookmarkStart w:id="331" w:name="_Toc264969228"/>
      <w:bookmarkStart w:id="332" w:name="_Toc226337234"/>
      <w:bookmarkStart w:id="333" w:name="_Toc520356163"/>
      <w:bookmarkStart w:id="334" w:name="_Toc265228376"/>
      <w:bookmarkStart w:id="335" w:name="_Toc127151538"/>
      <w:bookmarkStart w:id="336" w:name="_Toc151193780"/>
      <w:bookmarkStart w:id="337" w:name="_Toc226309782"/>
      <w:bookmarkStart w:id="338" w:name="_Toc305158880"/>
      <w:bookmarkStart w:id="339" w:name="_Toc142311040"/>
      <w:bookmarkStart w:id="340" w:name="_Toc151193708"/>
      <w:bookmarkStart w:id="341" w:name="_Toc151193926"/>
      <w:bookmarkStart w:id="342" w:name="_Toc151193636"/>
      <w:bookmarkStart w:id="343" w:name="_Toc150480776"/>
      <w:bookmarkStart w:id="344" w:name="_Toc195842903"/>
      <w:bookmarkStart w:id="345" w:name="_Toc151193852"/>
      <w:bookmarkStart w:id="346" w:name="_Toc150509289"/>
      <w:bookmarkStart w:id="347" w:name="_Toc226965811"/>
      <w:bookmarkStart w:id="348" w:name="_Toc151190165"/>
      <w:bookmarkStart w:id="349" w:name="_Toc150774743"/>
      <w:r>
        <w:rPr>
          <w:rFonts w:hint="eastAsia" w:ascii="宋体" w:hAnsi="宋体" w:eastAsia="宋体" w:cs="宋体"/>
          <w:b/>
          <w:snapToGrid w:val="0"/>
          <w:color w:val="000000" w:themeColor="text1"/>
          <w:spacing w:val="0"/>
          <w:sz w:val="28"/>
          <w:szCs w:val="28"/>
          <w14:textFill>
            <w14:solidFill>
              <w14:schemeClr w14:val="tx1"/>
            </w14:solidFill>
          </w14:textFill>
        </w:rPr>
        <w:t>五</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r>
        <w:rPr>
          <w:rFonts w:hint="eastAsia" w:ascii="宋体" w:hAnsi="宋体" w:eastAsia="宋体" w:cs="宋体"/>
          <w:b/>
          <w:snapToGrid w:val="0"/>
          <w:color w:val="000000" w:themeColor="text1"/>
          <w:spacing w:val="0"/>
          <w:sz w:val="28"/>
          <w:szCs w:val="28"/>
          <w14:textFill>
            <w14:solidFill>
              <w14:schemeClr w14:val="tx1"/>
            </w14:solidFill>
          </w14:textFill>
        </w:rPr>
        <w:t>、开标、资格审查及评标</w:t>
      </w:r>
    </w:p>
    <w:p w14:paraId="6E3B0A64">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开标</w:t>
      </w:r>
    </w:p>
    <w:p w14:paraId="7BD973AA">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采购人或采购代理机构将按招标文件的规定，在投标截止时间的同一时间和招标文件预先确定的地点组织开标。</w:t>
      </w:r>
    </w:p>
    <w:p w14:paraId="616D4527">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本项目开标采用不见面招投标模式，使用“苏采云”系统在线进行开标。投标人应在规定的时间内对投标文件进行解密，因非系统原因导致的解密失败，视为</w:t>
      </w:r>
      <w:r>
        <w:rPr>
          <w:rFonts w:hint="eastAsia" w:ascii="宋体" w:hAnsi="宋体" w:eastAsia="宋体" w:cs="宋体"/>
          <w:b/>
          <w:snapToGrid w:val="0"/>
          <w:color w:val="000000" w:themeColor="text1"/>
          <w:spacing w:val="0"/>
          <w:sz w:val="24"/>
          <w14:textFill>
            <w14:solidFill>
              <w14:schemeClr w14:val="tx1"/>
            </w14:solidFill>
          </w14:textFill>
        </w:rPr>
        <w:t>投标无效</w:t>
      </w:r>
      <w:r>
        <w:rPr>
          <w:rFonts w:hint="eastAsia" w:ascii="宋体" w:hAnsi="宋体" w:eastAsia="宋体" w:cs="宋体"/>
          <w:snapToGrid w:val="0"/>
          <w:color w:val="000000" w:themeColor="text1"/>
          <w:spacing w:val="0"/>
          <w:sz w:val="24"/>
          <w14:textFill>
            <w14:solidFill>
              <w14:schemeClr w14:val="tx1"/>
            </w14:solidFill>
          </w14:textFill>
        </w:rPr>
        <w:t>。</w:t>
      </w:r>
    </w:p>
    <w:p w14:paraId="25AE00E0">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开标过程将使用“苏采云”系统公布投标人名称、投标价格和招标文件规定的需要宣布的其他内容并进行记录，并由参加开标的各投标人代表在规定时间内确认。投标人超过规定时间未确认但是未提出疑义的，系统将视同已确认。</w:t>
      </w:r>
    </w:p>
    <w:p w14:paraId="693D8E3C">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投标人如果对开标过程和开标记录有疑义，应当根据《操作手册》规定提出，如 “苏采云”系统中《开标记录表》宣布后5分钟内未提出的，视同认可开标结果。</w:t>
      </w:r>
    </w:p>
    <w:p w14:paraId="59E67BC6">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本项目（每标段）投标人不足3家的，不予开标。</w:t>
      </w:r>
    </w:p>
    <w:p w14:paraId="5D12590F">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p>
    <w:p w14:paraId="1F902423">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p>
    <w:p w14:paraId="1C9024F1">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如果在采购活动过程中出现以下情形，导致““苏采云”系统”系统无法正常运行，或者无法保证本项目采购活动的公平、公正和安全时，代理机构可以延缓或者暂停采购活动，情况严重的可以终止采购活动：1)平台系统发生故障而无法登录访问的；2)平台系统应用或数据库出现错误，不能进行正常操作的；3)平台系统发现严重安全漏洞，有潜在泄密危险的；4)病毒发作导致平台系统不能进行正常操作的；5)其他无法保证本次采购活动的公平、公正和安全的情况。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14:paraId="4687A3C9">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资格审查</w:t>
      </w:r>
    </w:p>
    <w:p w14:paraId="44CD661D">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见第三章《资格审查》</w:t>
      </w:r>
    </w:p>
    <w:p w14:paraId="0D05074B">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350" w:name="_Toc164351634"/>
      <w:bookmarkStart w:id="351" w:name="_Toc150774745"/>
      <w:bookmarkStart w:id="352" w:name="_Toc149720833"/>
      <w:bookmarkStart w:id="353" w:name="_Toc150509291"/>
      <w:bookmarkStart w:id="354" w:name="_Toc195842905"/>
      <w:bookmarkStart w:id="355" w:name="_Toc150774640"/>
      <w:bookmarkStart w:id="356" w:name="_Toc226309784"/>
      <w:bookmarkStart w:id="357" w:name="_Toc151193710"/>
      <w:bookmarkStart w:id="358" w:name="_Toc127151540"/>
      <w:bookmarkStart w:id="359" w:name="_Toc151193782"/>
      <w:bookmarkStart w:id="360" w:name="_Toc151193928"/>
      <w:bookmarkStart w:id="361" w:name="_Toc305158882"/>
      <w:bookmarkStart w:id="362" w:name="_Toc226965813"/>
      <w:bookmarkStart w:id="363" w:name="_Toc164608809"/>
      <w:bookmarkStart w:id="364" w:name="_Toc127161454"/>
      <w:bookmarkStart w:id="365" w:name="_Toc150480778"/>
      <w:bookmarkStart w:id="366" w:name="_Toc226965730"/>
      <w:bookmarkStart w:id="367" w:name="_Toc305158808"/>
      <w:bookmarkStart w:id="368" w:name="_Toc151193638"/>
      <w:bookmarkStart w:id="369" w:name="_Toc164229381"/>
      <w:bookmarkStart w:id="370" w:name="_Toc226337236"/>
      <w:bookmarkStart w:id="371" w:name="_Toc127151741"/>
      <w:bookmarkStart w:id="372" w:name="_Toc164608654"/>
      <w:bookmarkStart w:id="373" w:name="_Toc151193854"/>
      <w:bookmarkStart w:id="374" w:name="_Toc142311042"/>
      <w:bookmarkStart w:id="375" w:name="_Toc265228378"/>
      <w:bookmarkStart w:id="376" w:name="_Toc264969230"/>
      <w:bookmarkStart w:id="377" w:name="_Toc164229235"/>
      <w:bookmarkStart w:id="378" w:name="_Toc151190167"/>
      <w:r>
        <w:rPr>
          <w:rFonts w:hint="eastAsia" w:ascii="宋体" w:hAnsi="宋体" w:eastAsia="宋体" w:cs="宋体"/>
          <w:snapToGrid w:val="0"/>
          <w:color w:val="000000" w:themeColor="text1"/>
          <w:spacing w:val="0"/>
          <w:sz w:val="24"/>
          <w14:textFill>
            <w14:solidFill>
              <w14:schemeClr w14:val="tx1"/>
            </w14:solidFill>
          </w14:textFill>
        </w:rPr>
        <w:t>评标委员会</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14:paraId="2D6B8A49">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评标委员会根据政府采购有关规定和本次招标采购项目的特点进行组建，并负责具体评标事务，独立履行职责。</w:t>
      </w:r>
    </w:p>
    <w:p w14:paraId="03D19119">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评审专家须符合相关规定。依法自行选定评审专家的，采购人和采购代理机构将查询有关信用记录，对具有行贿、受贿、欺诈等不良信用记录的人员，拒绝其参与政府采购活动。</w:t>
      </w:r>
    </w:p>
    <w:p w14:paraId="02A40CC4">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评标程序、评标方法和评标标准</w:t>
      </w:r>
    </w:p>
    <w:p w14:paraId="42B0476B">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见第四章《评标程序、评标方法和评标标准》。</w:t>
      </w:r>
    </w:p>
    <w:p w14:paraId="42D93CB9">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评审内容的保密</w:t>
      </w:r>
    </w:p>
    <w:p w14:paraId="228FB8B9">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开标开始后，直到宣布授予中标人合同为止，凡属于审查、澄清、评价和比较投标文件的所有资料，有关授予合同的信息都不应向投标人或与评审无关的其他人泄露。</w:t>
      </w:r>
    </w:p>
    <w:p w14:paraId="157F4BA9">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在评审过程中，投标人不得以任何行为影响评审过程，否则其投标文件将被作为无效投标文件。</w:t>
      </w:r>
    </w:p>
    <w:p w14:paraId="441DE45A">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评标委员会不向未中标的投标人解释未中标原因，也不公布评审过程中的相关细节。</w:t>
      </w:r>
    </w:p>
    <w:p w14:paraId="02D63881">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bookmarkStart w:id="379" w:name="_Toc520356169"/>
      <w:bookmarkStart w:id="380" w:name="_Toc226309789"/>
      <w:bookmarkStart w:id="381" w:name="_Toc305158813"/>
      <w:bookmarkStart w:id="382" w:name="_Toc195842910"/>
      <w:bookmarkStart w:id="383" w:name="_Toc150774645"/>
      <w:bookmarkStart w:id="384" w:name="_Toc226965735"/>
      <w:bookmarkStart w:id="385" w:name="_Toc151193933"/>
      <w:bookmarkStart w:id="386" w:name="_Toc151193643"/>
      <w:bookmarkStart w:id="387" w:name="_Toc150480783"/>
      <w:bookmarkStart w:id="388" w:name="_Toc151193787"/>
      <w:bookmarkStart w:id="389" w:name="_Toc226965818"/>
      <w:bookmarkStart w:id="390" w:name="_Toc305158887"/>
      <w:bookmarkStart w:id="391" w:name="_Toc142311047"/>
      <w:bookmarkStart w:id="392" w:name="_Toc264969235"/>
      <w:bookmarkStart w:id="393" w:name="_Toc151193859"/>
      <w:bookmarkStart w:id="394" w:name="_Toc150774750"/>
      <w:bookmarkStart w:id="395" w:name="_Toc150509296"/>
      <w:bookmarkStart w:id="396" w:name="_Toc151190172"/>
      <w:bookmarkStart w:id="397" w:name="_Toc226337241"/>
      <w:bookmarkStart w:id="398" w:name="_Toc265228383"/>
      <w:bookmarkStart w:id="399" w:name="_Toc127151545"/>
      <w:bookmarkStart w:id="400" w:name="_Toc151193715"/>
      <w:r>
        <w:rPr>
          <w:rFonts w:hint="eastAsia" w:ascii="宋体" w:hAnsi="宋体" w:eastAsia="宋体" w:cs="宋体"/>
          <w:b/>
          <w:snapToGrid w:val="0"/>
          <w:color w:val="000000" w:themeColor="text1"/>
          <w:spacing w:val="0"/>
          <w:sz w:val="28"/>
          <w:szCs w:val="28"/>
          <w14:textFill>
            <w14:solidFill>
              <w14:schemeClr w14:val="tx1"/>
            </w14:solidFill>
          </w14:textFill>
        </w:rPr>
        <w:t>六</w:t>
      </w:r>
      <w:bookmarkEnd w:id="379"/>
      <w:r>
        <w:rPr>
          <w:rFonts w:hint="eastAsia" w:ascii="宋体" w:hAnsi="宋体" w:eastAsia="宋体" w:cs="宋体"/>
          <w:b/>
          <w:snapToGrid w:val="0"/>
          <w:color w:val="000000" w:themeColor="text1"/>
          <w:spacing w:val="0"/>
          <w:sz w:val="28"/>
          <w:szCs w:val="28"/>
          <w14:textFill>
            <w14:solidFill>
              <w14:schemeClr w14:val="tx1"/>
            </w14:solidFill>
          </w14:textFill>
        </w:rPr>
        <w:t>、确定</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Pr>
          <w:rFonts w:hint="eastAsia" w:ascii="宋体" w:hAnsi="宋体" w:eastAsia="宋体" w:cs="宋体"/>
          <w:b/>
          <w:snapToGrid w:val="0"/>
          <w:color w:val="000000" w:themeColor="text1"/>
          <w:spacing w:val="0"/>
          <w:sz w:val="28"/>
          <w:szCs w:val="28"/>
          <w14:textFill>
            <w14:solidFill>
              <w14:schemeClr w14:val="tx1"/>
            </w14:solidFill>
          </w14:textFill>
        </w:rPr>
        <w:t>中标</w:t>
      </w:r>
    </w:p>
    <w:p w14:paraId="7FA62390">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401" w:name="_Toc164608661"/>
      <w:bookmarkStart w:id="402" w:name="_Toc151193861"/>
      <w:bookmarkStart w:id="403" w:name="_Toc151193935"/>
      <w:bookmarkStart w:id="404" w:name="_Toc305158889"/>
      <w:bookmarkStart w:id="405" w:name="_Toc164229242"/>
      <w:bookmarkStart w:id="406" w:name="_Toc265228385"/>
      <w:bookmarkStart w:id="407" w:name="_Toc226337243"/>
      <w:bookmarkStart w:id="408" w:name="_Toc127161461"/>
      <w:bookmarkStart w:id="409" w:name="_Toc264969237"/>
      <w:bookmarkStart w:id="410" w:name="_Toc127151547"/>
      <w:bookmarkStart w:id="411" w:name="_Toc151193717"/>
      <w:bookmarkStart w:id="412" w:name="_Toc226965737"/>
      <w:bookmarkStart w:id="413" w:name="_Toc151193645"/>
      <w:bookmarkStart w:id="414" w:name="_Toc149720840"/>
      <w:bookmarkStart w:id="415" w:name="_Toc226309791"/>
      <w:bookmarkStart w:id="416" w:name="_Toc151193789"/>
      <w:bookmarkStart w:id="417" w:name="_Toc164608816"/>
      <w:bookmarkStart w:id="418" w:name="_Toc195842912"/>
      <w:bookmarkStart w:id="419" w:name="_Toc226965820"/>
      <w:bookmarkStart w:id="420" w:name="_Toc164351641"/>
      <w:bookmarkStart w:id="421" w:name="_Toc142311049"/>
      <w:bookmarkStart w:id="422" w:name="_Toc305158815"/>
      <w:bookmarkStart w:id="423" w:name="_Toc151190174"/>
      <w:bookmarkStart w:id="424" w:name="_Toc150509298"/>
      <w:bookmarkStart w:id="425" w:name="_Toc150480785"/>
      <w:bookmarkStart w:id="426" w:name="_Toc150774752"/>
      <w:bookmarkStart w:id="427" w:name="_Toc164229388"/>
      <w:bookmarkStart w:id="428" w:name="_Toc127151748"/>
      <w:bookmarkStart w:id="429" w:name="_Toc150774647"/>
      <w:r>
        <w:rPr>
          <w:rFonts w:hint="eastAsia" w:ascii="宋体" w:hAnsi="宋体" w:eastAsia="宋体" w:cs="宋体"/>
          <w:snapToGrid w:val="0"/>
          <w:color w:val="000000" w:themeColor="text1"/>
          <w:spacing w:val="0"/>
          <w:sz w:val="24"/>
          <w14:textFill>
            <w14:solidFill>
              <w14:schemeClr w14:val="tx1"/>
            </w14:solidFill>
          </w14:textFill>
        </w:rPr>
        <w:t>确定</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r>
        <w:rPr>
          <w:rFonts w:hint="eastAsia" w:ascii="宋体" w:hAnsi="宋体" w:eastAsia="宋体" w:cs="宋体"/>
          <w:snapToGrid w:val="0"/>
          <w:color w:val="000000" w:themeColor="text1"/>
          <w:spacing w:val="0"/>
          <w:sz w:val="24"/>
          <w14:textFill>
            <w14:solidFill>
              <w14:schemeClr w14:val="tx1"/>
            </w14:solidFill>
          </w14:textFill>
        </w:rPr>
        <w:t>中标人</w:t>
      </w:r>
    </w:p>
    <w:p w14:paraId="5B46FBC3">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采购人将在评标报告确定的中标候选人名单中按顺序确定中标人，中标候选人并列的，由采购人依法确定。</w:t>
      </w:r>
    </w:p>
    <w:p w14:paraId="23C0ADB4">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430" w:name="_Toc305158817"/>
      <w:bookmarkStart w:id="431" w:name="_Toc305158891"/>
      <w:r>
        <w:rPr>
          <w:rFonts w:hint="eastAsia" w:ascii="宋体" w:hAnsi="宋体" w:eastAsia="宋体" w:cs="宋体"/>
          <w:snapToGrid w:val="0"/>
          <w:color w:val="000000" w:themeColor="text1"/>
          <w:spacing w:val="0"/>
          <w:sz w:val="24"/>
          <w14:textFill>
            <w14:solidFill>
              <w14:schemeClr w14:val="tx1"/>
            </w14:solidFill>
          </w14:textFill>
        </w:rPr>
        <w:t>中标公告与中标通知书</w:t>
      </w:r>
      <w:bookmarkEnd w:id="430"/>
      <w:bookmarkEnd w:id="431"/>
    </w:p>
    <w:p w14:paraId="57A6D306">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采购人或采购代理机构自中标人确定之日起2个工作日内，在常州市政府采购网、</w:t>
      </w:r>
      <w:r>
        <w:rPr>
          <w:rFonts w:hint="eastAsia" w:ascii="宋体" w:hAnsi="宋体" w:eastAsia="宋体" w:cs="宋体"/>
          <w:snapToGrid w:val="0"/>
          <w:color w:val="000000" w:themeColor="text1"/>
          <w:spacing w:val="0"/>
          <w:sz w:val="24"/>
          <w:szCs w:val="24"/>
          <w:lang w:eastAsia="zh-CN"/>
          <w14:textFill>
            <w14:solidFill>
              <w14:schemeClr w14:val="tx1"/>
            </w14:solidFill>
          </w14:textFill>
        </w:rPr>
        <w:t>江苏嘉丰工程咨询有限公司</w:t>
      </w:r>
      <w:r>
        <w:rPr>
          <w:rFonts w:hint="eastAsia" w:ascii="宋体" w:hAnsi="宋体" w:eastAsia="宋体" w:cs="宋体"/>
          <w:snapToGrid w:val="0"/>
          <w:color w:val="000000" w:themeColor="text1"/>
          <w:spacing w:val="0"/>
          <w:sz w:val="24"/>
          <w:szCs w:val="24"/>
          <w14:textFill>
            <w14:solidFill>
              <w14:schemeClr w14:val="tx1"/>
            </w14:solidFill>
          </w14:textFill>
        </w:rPr>
        <w:t>网</w:t>
      </w:r>
      <w:r>
        <w:rPr>
          <w:rFonts w:hint="eastAsia" w:ascii="宋体" w:hAnsi="宋体" w:eastAsia="宋体" w:cs="宋体"/>
          <w:snapToGrid w:val="0"/>
          <w:color w:val="000000" w:themeColor="text1"/>
          <w:spacing w:val="0"/>
          <w:sz w:val="24"/>
          <w14:textFill>
            <w14:solidFill>
              <w14:schemeClr w14:val="tx1"/>
            </w14:solidFill>
          </w14:textFill>
        </w:rPr>
        <w:t>公告中标结果，同时向中标人发出中标通知书，中标公告期限为1个工作日。</w:t>
      </w:r>
    </w:p>
    <w:p w14:paraId="1C0CE99D">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中标通知书对采购人和中标供应商均具有法律效力。中标通知书发出后，采购人改变中标结果的，或者中标供应商放弃中标项目的，应当依法承担法律责任。</w:t>
      </w:r>
    </w:p>
    <w:p w14:paraId="701339CF">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废标</w:t>
      </w:r>
    </w:p>
    <w:p w14:paraId="0ABD8458">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在招标采购中，出现下列情形之一的，应予废标：</w:t>
      </w:r>
    </w:p>
    <w:p w14:paraId="5A2E6C77">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符合专业条件的投标人或者对招标文件作实质响应的投标人不足三家的；</w:t>
      </w:r>
    </w:p>
    <w:p w14:paraId="2AD5A364">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出现影响采购公正的违法、违规行为的；</w:t>
      </w:r>
    </w:p>
    <w:p w14:paraId="243FCC72">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投标人的报价均超过了采购预算，采购人不能支付的</w:t>
      </w:r>
      <w:r>
        <w:rPr>
          <w:rFonts w:hint="eastAsia" w:ascii="宋体" w:hAnsi="宋体" w:eastAsia="宋体" w:cs="宋体"/>
          <w:snapToGrid w:val="0"/>
          <w:color w:val="000000" w:themeColor="text1"/>
          <w:spacing w:val="0"/>
          <w:sz w:val="24"/>
          <w:szCs w:val="20"/>
          <w14:textFill>
            <w14:solidFill>
              <w14:schemeClr w14:val="tx1"/>
            </w14:solidFill>
          </w14:textFill>
        </w:rPr>
        <w:t>；</w:t>
      </w:r>
    </w:p>
    <w:p w14:paraId="7D485D7A">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因重大变故，采购任务取消的；</w:t>
      </w:r>
    </w:p>
    <w:p w14:paraId="08676C8E">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平台系统出现序号18.8的所述情形，情况严重且影响采购活动公平、公正性的。</w:t>
      </w:r>
    </w:p>
    <w:p w14:paraId="0BF4FFD1">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432" w:name="_Toc150509301"/>
      <w:bookmarkStart w:id="433" w:name="_Toc151193720"/>
      <w:bookmarkStart w:id="434" w:name="_Toc164229391"/>
      <w:bookmarkStart w:id="435" w:name="_Toc195842915"/>
      <w:bookmarkStart w:id="436" w:name="_Toc151193648"/>
      <w:bookmarkStart w:id="437" w:name="_Toc226965740"/>
      <w:bookmarkStart w:id="438" w:name="_Toc265228388"/>
      <w:bookmarkStart w:id="439" w:name="_Toc151193792"/>
      <w:bookmarkStart w:id="440" w:name="_Toc149720843"/>
      <w:bookmarkStart w:id="441" w:name="_Toc127151550"/>
      <w:bookmarkStart w:id="442" w:name="_Toc151190177"/>
      <w:bookmarkStart w:id="443" w:name="_Toc305158892"/>
      <w:bookmarkStart w:id="444" w:name="_Toc164229245"/>
      <w:bookmarkStart w:id="445" w:name="_Toc151193938"/>
      <w:bookmarkStart w:id="446" w:name="_Ref467307204"/>
      <w:bookmarkStart w:id="447" w:name="_Toc520356175"/>
      <w:bookmarkStart w:id="448" w:name="_Toc226965823"/>
      <w:bookmarkStart w:id="449" w:name="_Ref467307062"/>
      <w:bookmarkStart w:id="450" w:name="_Toc127161464"/>
      <w:bookmarkStart w:id="451" w:name="_Toc164351644"/>
      <w:bookmarkStart w:id="452" w:name="_Toc164608664"/>
      <w:bookmarkStart w:id="453" w:name="_Ref467306377"/>
      <w:bookmarkStart w:id="454" w:name="_Toc142311052"/>
      <w:bookmarkStart w:id="455" w:name="_Toc264969240"/>
      <w:bookmarkStart w:id="456" w:name="_Toc226309794"/>
      <w:bookmarkStart w:id="457" w:name="_Toc151193864"/>
      <w:bookmarkStart w:id="458" w:name="_Toc150480788"/>
      <w:bookmarkStart w:id="459" w:name="_Toc150774650"/>
      <w:bookmarkStart w:id="460" w:name="_Toc226337246"/>
      <w:bookmarkStart w:id="461" w:name="_Toc164608819"/>
      <w:bookmarkStart w:id="462" w:name="_Ref467306978"/>
      <w:bookmarkStart w:id="463" w:name="_Toc127151751"/>
      <w:bookmarkStart w:id="464" w:name="_Toc305158818"/>
      <w:bookmarkStart w:id="465" w:name="_Toc150774755"/>
      <w:r>
        <w:rPr>
          <w:rFonts w:hint="eastAsia" w:ascii="宋体" w:hAnsi="宋体" w:eastAsia="宋体" w:cs="宋体"/>
          <w:snapToGrid w:val="0"/>
          <w:color w:val="000000" w:themeColor="text1"/>
          <w:spacing w:val="0"/>
          <w:sz w:val="24"/>
          <w14:textFill>
            <w14:solidFill>
              <w14:schemeClr w14:val="tx1"/>
            </w14:solidFill>
          </w14:textFill>
        </w:rPr>
        <w:t>签订合同</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p>
    <w:p w14:paraId="79D8F1A0">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中标人、采购人应当自中标通知书发出之日起30日内，按照招标文件和中标人投标文件的规定签订书面合同。所签订的合同不得对招标文件确定的事项和中标人投标文件作实质性修改。</w:t>
      </w:r>
    </w:p>
    <w:p w14:paraId="2DA11A29">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中标人拒绝与采购人签订合同的，采购人可以按照评标报告推荐的中标候选人名单排序，确定下一候选人为中标人，也可以重新开展政府采购活动。</w:t>
      </w:r>
    </w:p>
    <w:p w14:paraId="36659558">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联合体中标的，联合体各方应当共同与采购人签订合同，就中标项目向采购人承担连带责任。</w:t>
      </w:r>
    </w:p>
    <w:p w14:paraId="5A6EB86F">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政府采购合同不能转包。</w:t>
      </w:r>
    </w:p>
    <w:p w14:paraId="11BC247A">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snapToGrid w:val="0"/>
          <w:color w:val="000000" w:themeColor="text1"/>
          <w:spacing w:val="0"/>
          <w:sz w:val="24"/>
          <w14:textFill>
            <w14:solidFill>
              <w14:schemeClr w14:val="tx1"/>
            </w14:solidFill>
          </w14:textFill>
        </w:rPr>
        <w:t>，</w:t>
      </w:r>
      <w:r>
        <w:rPr>
          <w:rFonts w:hint="eastAsia" w:ascii="宋体" w:hAnsi="宋体" w:eastAsia="宋体" w:cs="宋体"/>
          <w:snapToGrid w:val="0"/>
          <w:color w:val="000000" w:themeColor="text1"/>
          <w:spacing w:val="0"/>
          <w:sz w:val="24"/>
          <w14:textFill>
            <w14:solidFill>
              <w14:schemeClr w14:val="tx1"/>
            </w14:solidFill>
          </w14:textFill>
        </w:rPr>
        <w:t>否则</w:t>
      </w:r>
      <w:r>
        <w:rPr>
          <w:rFonts w:hint="eastAsia" w:ascii="宋体" w:hAnsi="宋体" w:eastAsia="宋体" w:cs="宋体"/>
          <w:b/>
          <w:snapToGrid w:val="0"/>
          <w:color w:val="000000" w:themeColor="text1"/>
          <w:spacing w:val="0"/>
          <w:sz w:val="24"/>
          <w14:textFill>
            <w14:solidFill>
              <w14:schemeClr w14:val="tx1"/>
            </w14:solidFill>
          </w14:textFill>
        </w:rPr>
        <w:t>投标无效</w:t>
      </w:r>
      <w:r>
        <w:rPr>
          <w:rFonts w:hint="eastAsia" w:ascii="宋体" w:hAnsi="宋体" w:eastAsia="宋体" w:cs="宋体"/>
          <w:snapToGrid w:val="0"/>
          <w:color w:val="000000" w:themeColor="text1"/>
          <w:spacing w:val="0"/>
          <w:sz w:val="24"/>
          <w14:textFill>
            <w14:solidFill>
              <w14:schemeClr w14:val="tx1"/>
            </w14:solidFill>
          </w14:textFill>
        </w:rPr>
        <w:t>。中标人就采购项目和分包项目向采购人负责，分包供应商就分包项目承担责任。</w:t>
      </w:r>
    </w:p>
    <w:p w14:paraId="69AE3EE3">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询问与质疑</w:t>
      </w:r>
    </w:p>
    <w:p w14:paraId="445C6EEE">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询问</w:t>
      </w:r>
    </w:p>
    <w:p w14:paraId="7469B3B2">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投标人对政府采购活动事项有疑问的，可依法提出询问，并按《投标人须知资料表》载明的形式送达采购人或采购代理机构。</w:t>
      </w:r>
    </w:p>
    <w:p w14:paraId="6DC83FC9">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采购人或采购代理机构对供应商依法提出的询问，在3个工作日内作出答复，但答复的内容不得涉及商业秘密。</w:t>
      </w:r>
    </w:p>
    <w:p w14:paraId="27172364">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质疑</w:t>
      </w:r>
    </w:p>
    <w:p w14:paraId="41FE7B20">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734117C7">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b/>
          <w:snapToGrid w:val="0"/>
          <w:color w:val="000000" w:themeColor="text1"/>
          <w:spacing w:val="0"/>
          <w:sz w:val="24"/>
          <w14:textFill>
            <w14:solidFill>
              <w14:schemeClr w14:val="tx1"/>
            </w14:solidFill>
          </w14:textFill>
        </w:rPr>
        <w:t>招标文件中采购需求以及相关部分（第四章、第五章以及投标人资格要求）由采购人负责制定和管理，对该部分内容有询问或者质疑的，投标人应当向采购人书面提出，由采购人负责接收和回复。采购人委托采购代理机构采购的，采购代理机构在委托授权范围内作出答复。</w:t>
      </w:r>
    </w:p>
    <w:p w14:paraId="51E7C502">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质疑函须使用财政部制定的范本文件。（下载网址：</w:t>
      </w: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HYPERLINK "http://gks.mof.gov.cn/ztztz/zhengfucaigouguanli/201802/t20180201_2804589.htm" \o "http://gks.mof.gov.cn/ztztz/zhengfucaigouguanli/201802/t20180201_2804589.htm"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sz w:val="24"/>
          <w14:textFill>
            <w14:solidFill>
              <w14:schemeClr w14:val="tx1"/>
            </w14:solidFill>
          </w14:textFill>
        </w:rPr>
        <w:t>http://gk</w:t>
      </w:r>
      <w:bookmarkStart w:id="466" w:name="_Hlt100654014"/>
      <w:r>
        <w:rPr>
          <w:rFonts w:hint="eastAsia" w:ascii="宋体" w:hAnsi="宋体" w:eastAsia="宋体" w:cs="宋体"/>
          <w:snapToGrid w:val="0"/>
          <w:color w:val="000000" w:themeColor="text1"/>
          <w:spacing w:val="0"/>
          <w:sz w:val="24"/>
          <w14:textFill>
            <w14:solidFill>
              <w14:schemeClr w14:val="tx1"/>
            </w14:solidFill>
          </w14:textFill>
        </w:rPr>
        <w:t>s</w:t>
      </w:r>
      <w:bookmarkEnd w:id="466"/>
      <w:r>
        <w:rPr>
          <w:rFonts w:hint="eastAsia" w:ascii="宋体" w:hAnsi="宋体" w:eastAsia="宋体" w:cs="宋体"/>
          <w:snapToGrid w:val="0"/>
          <w:color w:val="000000" w:themeColor="text1"/>
          <w:spacing w:val="0"/>
          <w:sz w:val="24"/>
          <w14:textFill>
            <w14:solidFill>
              <w14:schemeClr w14:val="tx1"/>
            </w14:solidFill>
          </w14:textFill>
        </w:rPr>
        <w:t>.m</w:t>
      </w:r>
      <w:bookmarkStart w:id="467" w:name="_Hlt100653994"/>
      <w:bookmarkStart w:id="468" w:name="_Hlt100653993"/>
      <w:r>
        <w:rPr>
          <w:rFonts w:hint="eastAsia" w:ascii="宋体" w:hAnsi="宋体" w:eastAsia="宋体" w:cs="宋体"/>
          <w:snapToGrid w:val="0"/>
          <w:color w:val="000000" w:themeColor="text1"/>
          <w:spacing w:val="0"/>
          <w:sz w:val="24"/>
          <w14:textFill>
            <w14:solidFill>
              <w14:schemeClr w14:val="tx1"/>
            </w14:solidFill>
          </w14:textFill>
        </w:rPr>
        <w:t>o</w:t>
      </w:r>
      <w:bookmarkEnd w:id="467"/>
      <w:bookmarkEnd w:id="468"/>
      <w:bookmarkStart w:id="469" w:name="_Hlt101169156"/>
      <w:r>
        <w:rPr>
          <w:rFonts w:hint="eastAsia" w:ascii="宋体" w:hAnsi="宋体" w:eastAsia="宋体" w:cs="宋体"/>
          <w:snapToGrid w:val="0"/>
          <w:color w:val="000000" w:themeColor="text1"/>
          <w:spacing w:val="0"/>
          <w:sz w:val="24"/>
          <w14:textFill>
            <w14:solidFill>
              <w14:schemeClr w14:val="tx1"/>
            </w14:solidFill>
          </w14:textFill>
        </w:rPr>
        <w:t>f</w:t>
      </w:r>
      <w:bookmarkEnd w:id="469"/>
      <w:r>
        <w:rPr>
          <w:rFonts w:hint="eastAsia" w:ascii="宋体" w:hAnsi="宋体" w:eastAsia="宋体" w:cs="宋体"/>
          <w:snapToGrid w:val="0"/>
          <w:color w:val="000000" w:themeColor="text1"/>
          <w:spacing w:val="0"/>
          <w:sz w:val="24"/>
          <w14:textFill>
            <w14:solidFill>
              <w14:schemeClr w14:val="tx1"/>
            </w14:solidFill>
          </w14:textFill>
        </w:rPr>
        <w:t>.gov.cn/ztztz/zhengfucaigouguanli/201802/t20180201_2804589.htm</w:t>
      </w:r>
      <w:r>
        <w:rPr>
          <w:rFonts w:hint="eastAsia" w:ascii="宋体" w:hAnsi="宋体" w:eastAsia="宋体" w:cs="宋体"/>
          <w:snapToGrid w:val="0"/>
          <w:color w:val="000000" w:themeColor="text1"/>
          <w:spacing w:val="0"/>
          <w:sz w:val="24"/>
          <w14:textFill>
            <w14:solidFill>
              <w14:schemeClr w14:val="tx1"/>
            </w14:solidFill>
          </w14:textFill>
        </w:rPr>
        <w:fldChar w:fldCharType="end"/>
      </w:r>
      <w:r>
        <w:rPr>
          <w:rFonts w:hint="eastAsia" w:ascii="宋体" w:hAnsi="宋体" w:eastAsia="宋体" w:cs="宋体"/>
          <w:snapToGrid w:val="0"/>
          <w:color w:val="000000" w:themeColor="text1"/>
          <w:spacing w:val="0"/>
          <w:sz w:val="24"/>
          <w14:textFill>
            <w14:solidFill>
              <w14:schemeClr w14:val="tx1"/>
            </w14:solidFill>
          </w14:textFill>
        </w:rPr>
        <w:t>）。</w:t>
      </w:r>
    </w:p>
    <w:p w14:paraId="67B7C4C7">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投标人为自然人的，应当由本人签字；投标人为法人或者其他组织的，应当由法定代表人、主要负责人，或者其授权代表签字或者加盖公章，并加盖公章。</w:t>
      </w:r>
    </w:p>
    <w:p w14:paraId="3415FA73">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投标人应在法定质疑期内一次性提出针对同一采购程序环节的质疑，法定质疑期内针对同一采购程序环节再次提出的质疑，采购人、采购代理机构有权不予答复。</w:t>
      </w:r>
    </w:p>
    <w:p w14:paraId="2DDC7990">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接收询问和质疑的联系部门、联系电话和通讯地址见《投标人须知资料表》。</w:t>
      </w:r>
    </w:p>
    <w:p w14:paraId="2C89BD5A">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代理费</w:t>
      </w:r>
    </w:p>
    <w:p w14:paraId="705BEC44">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收费对象、收费标准及缴纳时间见《投标人须知资料表》。由中标人支付的，中标人须一次性向采购代理机构缴纳代理费，投标报价应包含代理费用。</w:t>
      </w:r>
    </w:p>
    <w:p w14:paraId="28F159DC">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履约保证金</w:t>
      </w:r>
    </w:p>
    <w:p w14:paraId="7348C6DC">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lang w:val="en-US" w:eastAsia="zh-CN"/>
          <w14:textFill>
            <w14:solidFill>
              <w14:schemeClr w14:val="tx1"/>
            </w14:solidFill>
          </w14:textFill>
        </w:rPr>
        <w:t>履约保证金详见前附表</w:t>
      </w:r>
      <w:r>
        <w:rPr>
          <w:rFonts w:hint="eastAsia" w:ascii="宋体" w:hAnsi="宋体" w:eastAsia="宋体" w:cs="宋体"/>
          <w:snapToGrid w:val="0"/>
          <w:color w:val="000000" w:themeColor="text1"/>
          <w:spacing w:val="0"/>
          <w:sz w:val="24"/>
          <w14:textFill>
            <w14:solidFill>
              <w14:schemeClr w14:val="tx1"/>
            </w14:solidFill>
          </w14:textFill>
        </w:rPr>
        <w:t>。</w:t>
      </w:r>
    </w:p>
    <w:p w14:paraId="54B26F33">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纸质投标文件</w:t>
      </w:r>
    </w:p>
    <w:p w14:paraId="3F2393BA">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中标人在签订合同前向代理机构提供</w:t>
      </w:r>
      <w:r>
        <w:rPr>
          <w:rFonts w:hint="eastAsia" w:ascii="宋体" w:hAnsi="宋体" w:eastAsia="宋体" w:cs="宋体"/>
          <w:b/>
          <w:bCs/>
          <w:snapToGrid w:val="0"/>
          <w:color w:val="000000" w:themeColor="text1"/>
          <w:spacing w:val="0"/>
          <w:sz w:val="24"/>
          <w14:textFill>
            <w14:solidFill>
              <w14:schemeClr w14:val="tx1"/>
            </w14:solidFill>
          </w14:textFill>
        </w:rPr>
        <w:t>正本1套、副本1套纸质投标文件</w:t>
      </w:r>
      <w:r>
        <w:rPr>
          <w:rFonts w:hint="eastAsia" w:ascii="宋体" w:hAnsi="宋体" w:eastAsia="宋体" w:cs="宋体"/>
          <w:snapToGrid w:val="0"/>
          <w:color w:val="000000" w:themeColor="text1"/>
          <w:spacing w:val="0"/>
          <w:sz w:val="24"/>
          <w14:textFill>
            <w14:solidFill>
              <w14:schemeClr w14:val="tx1"/>
            </w14:solidFill>
          </w14:textFill>
        </w:rPr>
        <w:t>，在每一份纸质投标文件上要明确注明“正本” 或“副本”字样。</w:t>
      </w:r>
    </w:p>
    <w:p w14:paraId="4988AEF6">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纸质投标文件需与政府采购系统的投标文件一致，中标人应按照要求签字、盖章，副本可通过正本复印。</w:t>
      </w:r>
    </w:p>
    <w:p w14:paraId="46FAECC6">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招标文件所表述（指定）的公章是指法定名称章，不包括合同专用章、业务专用章等印章；盖章是指加盖鲜章。</w:t>
      </w:r>
    </w:p>
    <w:p w14:paraId="66492F3E">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47F3A3CF">
      <w:pPr>
        <w:pStyle w:val="4"/>
        <w:keepNext w:val="0"/>
        <w:keepLines w:val="0"/>
        <w:kinsoku/>
        <w:wordWrap/>
        <w:overflowPunct/>
        <w:topLinePunct w:val="0"/>
        <w:autoSpaceDE/>
        <w:autoSpaceDN/>
        <w:bidi w:val="0"/>
        <w:adjustRightInd w:val="0"/>
        <w:snapToGrid w:val="0"/>
        <w:spacing w:line="360" w:lineRule="auto"/>
        <w:ind w:left="0" w:leftChars="0" w:right="0" w:hanging="343"/>
        <w:textAlignment w:val="auto"/>
        <w:rPr>
          <w:rFonts w:hint="eastAsia" w:ascii="宋体" w:hAnsi="宋体" w:eastAsia="宋体" w:cs="宋体"/>
          <w:snapToGrid w:val="0"/>
          <w:color w:val="000000" w:themeColor="text1"/>
          <w:spacing w:val="0"/>
          <w14:textFill>
            <w14:solidFill>
              <w14:schemeClr w14:val="tx1"/>
            </w14:solidFill>
          </w14:textFill>
        </w:rPr>
      </w:pPr>
      <w:bookmarkStart w:id="470" w:name="_Toc16933"/>
      <w:bookmarkStart w:id="471" w:name="_Toc104818927"/>
      <w:r>
        <w:rPr>
          <w:rFonts w:hint="eastAsia" w:ascii="宋体" w:hAnsi="宋体" w:eastAsia="宋体" w:cs="宋体"/>
          <w:snapToGrid w:val="0"/>
          <w:color w:val="000000" w:themeColor="text1"/>
          <w:spacing w:val="0"/>
          <w14:textFill>
            <w14:solidFill>
              <w14:schemeClr w14:val="tx1"/>
            </w14:solidFill>
          </w14:textFill>
        </w:rPr>
        <w:t>第三章 资格审查</w:t>
      </w:r>
      <w:bookmarkEnd w:id="470"/>
    </w:p>
    <w:p w14:paraId="5CB99828">
      <w:pPr>
        <w:keepNext w:val="0"/>
        <w:keepLines w:val="0"/>
        <w:kinsoku/>
        <w:wordWrap/>
        <w:overflowPunct/>
        <w:topLinePunct w:val="0"/>
        <w:autoSpaceDE/>
        <w:autoSpaceDN/>
        <w:bidi w:val="0"/>
        <w:adjustRightInd w:val="0"/>
        <w:snapToGrid w:val="0"/>
        <w:spacing w:line="360" w:lineRule="auto"/>
        <w:ind w:left="0" w:leftChars="0" w:right="0" w:hanging="229"/>
        <w:jc w:val="center"/>
        <w:textAlignment w:val="auto"/>
        <w:rPr>
          <w:rFonts w:hint="eastAsia" w:ascii="宋体" w:hAnsi="宋体" w:eastAsia="宋体" w:cs="宋体"/>
          <w:b/>
          <w:snapToGrid w:val="0"/>
          <w:color w:val="000000" w:themeColor="text1"/>
          <w:spacing w:val="0"/>
          <w:sz w:val="24"/>
          <w:szCs w:val="24"/>
          <w14:textFill>
            <w14:solidFill>
              <w14:schemeClr w14:val="tx1"/>
            </w14:solidFill>
          </w14:textFill>
        </w:rPr>
      </w:pPr>
      <w:bookmarkStart w:id="472" w:name="_Toc99301422"/>
      <w:r>
        <w:rPr>
          <w:rFonts w:hint="eastAsia" w:ascii="宋体" w:hAnsi="宋体" w:eastAsia="宋体" w:cs="宋体"/>
          <w:b/>
          <w:snapToGrid w:val="0"/>
          <w:color w:val="000000" w:themeColor="text1"/>
          <w:spacing w:val="0"/>
          <w:sz w:val="24"/>
          <w:szCs w:val="24"/>
          <w14:textFill>
            <w14:solidFill>
              <w14:schemeClr w14:val="tx1"/>
            </w14:solidFill>
          </w14:textFill>
        </w:rPr>
        <w:t>一、资格审查程序</w:t>
      </w:r>
      <w:bookmarkEnd w:id="472"/>
    </w:p>
    <w:p w14:paraId="55268906">
      <w:pPr>
        <w:pStyle w:val="17"/>
        <w:keepNext w:val="0"/>
        <w:keepLines w:val="0"/>
        <w:numPr>
          <w:ilvl w:val="0"/>
          <w:numId w:val="3"/>
        </w:numPr>
        <w:kinsoku/>
        <w:wordWrap/>
        <w:overflowPunct/>
        <w:topLinePunct w:val="0"/>
        <w:autoSpaceDE/>
        <w:autoSpaceDN/>
        <w:bidi w:val="0"/>
        <w:adjustRightInd w:val="0"/>
        <w:snapToGrid w:val="0"/>
        <w:spacing w:line="360" w:lineRule="auto"/>
        <w:ind w:left="0" w:leftChars="0" w:right="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开标结束后，采购人将根据《资格审查要求》中的规定，对投标人进行资格审查，并形成资格审查结果</w:t>
      </w:r>
      <w:r>
        <w:rPr>
          <w:rFonts w:hint="eastAsia" w:ascii="宋体" w:hAnsi="宋体" w:eastAsia="宋体" w:cs="宋体"/>
          <w:snapToGrid w:val="0"/>
          <w:color w:val="000000" w:themeColor="text1"/>
          <w:spacing w:val="0"/>
          <w:sz w:val="24"/>
          <w:szCs w:val="24"/>
          <w14:textFill>
            <w14:solidFill>
              <w14:schemeClr w14:val="tx1"/>
            </w14:solidFill>
          </w14:textFill>
        </w:rPr>
        <w:t>。</w:t>
      </w:r>
    </w:p>
    <w:p w14:paraId="5F68F06D">
      <w:pPr>
        <w:pStyle w:val="17"/>
        <w:keepNext w:val="0"/>
        <w:keepLines w:val="0"/>
        <w:numPr>
          <w:ilvl w:val="0"/>
          <w:numId w:val="3"/>
        </w:numPr>
        <w:kinsoku/>
        <w:wordWrap/>
        <w:overflowPunct/>
        <w:topLinePunct w:val="0"/>
        <w:autoSpaceDE/>
        <w:autoSpaceDN/>
        <w:bidi w:val="0"/>
        <w:adjustRightInd w:val="0"/>
        <w:snapToGrid w:val="0"/>
        <w:spacing w:line="360" w:lineRule="auto"/>
        <w:ind w:left="0" w:leftChars="0" w:right="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《资格审查要求》中对格式有要求的，除招标文件另有规定外，均为“实质性格式”文件</w:t>
      </w:r>
      <w:r>
        <w:rPr>
          <w:rFonts w:hint="eastAsia" w:ascii="宋体" w:hAnsi="宋体" w:eastAsia="宋体" w:cs="宋体"/>
          <w:snapToGrid w:val="0"/>
          <w:color w:val="000000" w:themeColor="text1"/>
          <w:spacing w:val="0"/>
          <w:sz w:val="24"/>
          <w:szCs w:val="24"/>
          <w14:textFill>
            <w14:solidFill>
              <w14:schemeClr w14:val="tx1"/>
            </w14:solidFill>
          </w14:textFill>
        </w:rPr>
        <w:t>。</w:t>
      </w:r>
    </w:p>
    <w:p w14:paraId="2FB22824">
      <w:pPr>
        <w:pStyle w:val="17"/>
        <w:keepNext w:val="0"/>
        <w:keepLines w:val="0"/>
        <w:numPr>
          <w:ilvl w:val="0"/>
          <w:numId w:val="3"/>
        </w:numPr>
        <w:kinsoku/>
        <w:wordWrap/>
        <w:overflowPunct/>
        <w:topLinePunct w:val="0"/>
        <w:autoSpaceDE/>
        <w:autoSpaceDN/>
        <w:bidi w:val="0"/>
        <w:adjustRightInd w:val="0"/>
        <w:snapToGrid w:val="0"/>
        <w:spacing w:line="360" w:lineRule="auto"/>
        <w:ind w:left="0" w:leftChars="0" w:right="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投标人《资格证明文件》有任何一项不符合《资格审查要求》的，资格审查不合格，其投标无效。</w:t>
      </w:r>
    </w:p>
    <w:p w14:paraId="2C4BB55B">
      <w:pPr>
        <w:pStyle w:val="17"/>
        <w:keepNext w:val="0"/>
        <w:keepLines w:val="0"/>
        <w:numPr>
          <w:ilvl w:val="0"/>
          <w:numId w:val="3"/>
        </w:numPr>
        <w:kinsoku/>
        <w:wordWrap/>
        <w:overflowPunct/>
        <w:topLinePunct w:val="0"/>
        <w:autoSpaceDE/>
        <w:autoSpaceDN/>
        <w:bidi w:val="0"/>
        <w:adjustRightInd w:val="0"/>
        <w:snapToGrid w:val="0"/>
        <w:spacing w:line="360" w:lineRule="auto"/>
        <w:ind w:left="0" w:leftChars="0" w:right="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资格审查合格的投标人不足3家的，不进行评标。</w:t>
      </w:r>
    </w:p>
    <w:p w14:paraId="1805FB0B">
      <w:pPr>
        <w:keepNext w:val="0"/>
        <w:keepLines w:val="0"/>
        <w:kinsoku/>
        <w:wordWrap/>
        <w:overflowPunct/>
        <w:topLinePunct w:val="0"/>
        <w:autoSpaceDE/>
        <w:autoSpaceDN/>
        <w:bidi w:val="0"/>
        <w:adjustRightInd w:val="0"/>
        <w:snapToGrid w:val="0"/>
        <w:spacing w:line="360" w:lineRule="auto"/>
        <w:ind w:left="0" w:leftChars="0" w:right="0" w:hanging="229"/>
        <w:jc w:val="center"/>
        <w:textAlignment w:val="auto"/>
        <w:rPr>
          <w:rFonts w:hint="eastAsia" w:ascii="宋体" w:hAnsi="宋体" w:eastAsia="宋体" w:cs="宋体"/>
          <w:b/>
          <w:snapToGrid w:val="0"/>
          <w:color w:val="000000" w:themeColor="text1"/>
          <w:spacing w:val="0"/>
          <w:sz w:val="24"/>
          <w:szCs w:val="24"/>
          <w14:textFill>
            <w14:solidFill>
              <w14:schemeClr w14:val="tx1"/>
            </w14:solidFill>
          </w14:textFill>
        </w:rPr>
      </w:pPr>
      <w:r>
        <w:rPr>
          <w:rFonts w:hint="eastAsia" w:ascii="宋体" w:hAnsi="宋体" w:eastAsia="宋体" w:cs="宋体"/>
          <w:b/>
          <w:snapToGrid w:val="0"/>
          <w:color w:val="000000" w:themeColor="text1"/>
          <w:spacing w:val="0"/>
          <w:sz w:val="24"/>
          <w:szCs w:val="24"/>
          <w14:textFill>
            <w14:solidFill>
              <w14:schemeClr w14:val="tx1"/>
            </w14:solidFill>
          </w14:textFill>
        </w:rPr>
        <w:t>二、资格审查要求</w:t>
      </w:r>
    </w:p>
    <w:tbl>
      <w:tblPr>
        <w:tblStyle w:val="13"/>
        <w:tblW w:w="52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5"/>
        <w:gridCol w:w="2011"/>
        <w:gridCol w:w="4584"/>
        <w:gridCol w:w="1771"/>
      </w:tblGrid>
      <w:tr w14:paraId="78DF0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428" w:type="pct"/>
            <w:noWrap w:val="0"/>
            <w:tcMar>
              <w:left w:w="227" w:type="dxa"/>
            </w:tcMar>
            <w:vAlign w:val="center"/>
          </w:tcPr>
          <w:p w14:paraId="7AC5F64D">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序号</w:t>
            </w:r>
          </w:p>
        </w:tc>
        <w:tc>
          <w:tcPr>
            <w:tcW w:w="1098" w:type="pct"/>
            <w:noWrap w:val="0"/>
            <w:tcMar>
              <w:left w:w="227" w:type="dxa"/>
            </w:tcMar>
            <w:vAlign w:val="center"/>
          </w:tcPr>
          <w:p w14:paraId="69D650B3">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审查因素</w:t>
            </w:r>
          </w:p>
        </w:tc>
        <w:tc>
          <w:tcPr>
            <w:tcW w:w="2504" w:type="pct"/>
            <w:noWrap w:val="0"/>
            <w:tcMar>
              <w:left w:w="227" w:type="dxa"/>
            </w:tcMar>
            <w:vAlign w:val="center"/>
          </w:tcPr>
          <w:p w14:paraId="51BB3717">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审查内容</w:t>
            </w:r>
          </w:p>
        </w:tc>
        <w:tc>
          <w:tcPr>
            <w:tcW w:w="967" w:type="pct"/>
            <w:noWrap w:val="0"/>
            <w:tcMar>
              <w:left w:w="227" w:type="dxa"/>
            </w:tcMar>
            <w:vAlign w:val="center"/>
          </w:tcPr>
          <w:p w14:paraId="27BBD0F1">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格式要求</w:t>
            </w:r>
          </w:p>
        </w:tc>
      </w:tr>
      <w:tr w14:paraId="0BBEBE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428" w:type="pct"/>
            <w:noWrap w:val="0"/>
            <w:tcMar>
              <w:left w:w="227" w:type="dxa"/>
            </w:tcMar>
            <w:vAlign w:val="center"/>
          </w:tcPr>
          <w:p w14:paraId="628BF26E">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w:t>
            </w:r>
          </w:p>
        </w:tc>
        <w:tc>
          <w:tcPr>
            <w:tcW w:w="1098" w:type="pct"/>
            <w:noWrap w:val="0"/>
            <w:tcMar>
              <w:left w:w="227" w:type="dxa"/>
            </w:tcMar>
            <w:vAlign w:val="center"/>
          </w:tcPr>
          <w:p w14:paraId="4EB67A9B">
            <w:pPr>
              <w:keepNext w:val="0"/>
              <w:keepLines w:val="0"/>
              <w:kinsoku/>
              <w:wordWrap/>
              <w:overflowPunct/>
              <w:topLinePunct w:val="0"/>
              <w:autoSpaceDE/>
              <w:autoSpaceDN/>
              <w:bidi w:val="0"/>
              <w:adjustRightInd w:val="0"/>
              <w:snapToGrid w:val="0"/>
              <w:spacing w:line="360" w:lineRule="auto"/>
              <w:ind w:left="0" w:leftChars="0" w:right="0"/>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满足《中华人民共和国政府采购法》第二十二条规定及法律法规的其他规定</w:t>
            </w:r>
          </w:p>
        </w:tc>
        <w:tc>
          <w:tcPr>
            <w:tcW w:w="2504" w:type="pct"/>
            <w:noWrap w:val="0"/>
            <w:tcMar>
              <w:left w:w="227" w:type="dxa"/>
            </w:tcMar>
            <w:vAlign w:val="center"/>
          </w:tcPr>
          <w:p w14:paraId="537C1716">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具体规定见第一章《投标邀请》</w:t>
            </w:r>
          </w:p>
        </w:tc>
        <w:tc>
          <w:tcPr>
            <w:tcW w:w="967" w:type="pct"/>
            <w:noWrap w:val="0"/>
            <w:tcMar>
              <w:left w:w="227" w:type="dxa"/>
            </w:tcMar>
            <w:vAlign w:val="center"/>
          </w:tcPr>
          <w:p w14:paraId="54E45A3D">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p>
        </w:tc>
      </w:tr>
      <w:tr w14:paraId="095FA4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jc w:val="center"/>
        </w:trPr>
        <w:tc>
          <w:tcPr>
            <w:tcW w:w="428" w:type="pct"/>
            <w:noWrap w:val="0"/>
            <w:tcMar>
              <w:left w:w="227" w:type="dxa"/>
            </w:tcMar>
            <w:vAlign w:val="center"/>
          </w:tcPr>
          <w:p w14:paraId="7A572E61">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1-1</w:t>
            </w:r>
          </w:p>
        </w:tc>
        <w:tc>
          <w:tcPr>
            <w:tcW w:w="1098" w:type="pct"/>
            <w:noWrap w:val="0"/>
            <w:tcMar>
              <w:top w:w="0" w:type="dxa"/>
              <w:left w:w="227" w:type="dxa"/>
              <w:bottom w:w="0" w:type="dxa"/>
              <w:right w:w="108" w:type="dxa"/>
            </w:tcMar>
            <w:vAlign w:val="center"/>
          </w:tcPr>
          <w:p w14:paraId="2F12AE39">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投标人资格声明函</w:t>
            </w:r>
          </w:p>
        </w:tc>
        <w:tc>
          <w:tcPr>
            <w:tcW w:w="2504" w:type="pct"/>
            <w:noWrap w:val="0"/>
            <w:tcMar>
              <w:left w:w="227" w:type="dxa"/>
            </w:tcMar>
            <w:vAlign w:val="center"/>
          </w:tcPr>
          <w:p w14:paraId="37A3AEDA">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提供了符合招标文件要求的《投标人资格声明函》</w:t>
            </w:r>
          </w:p>
        </w:tc>
        <w:tc>
          <w:tcPr>
            <w:tcW w:w="967" w:type="pct"/>
            <w:noWrap w:val="0"/>
            <w:tcMar>
              <w:left w:w="227" w:type="dxa"/>
            </w:tcMar>
            <w:vAlign w:val="center"/>
          </w:tcPr>
          <w:p w14:paraId="4FD523AC">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格式见《投标文件格式》</w:t>
            </w:r>
          </w:p>
        </w:tc>
      </w:tr>
      <w:tr w14:paraId="4E5BE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jc w:val="center"/>
        </w:trPr>
        <w:tc>
          <w:tcPr>
            <w:tcW w:w="428" w:type="pct"/>
            <w:noWrap w:val="0"/>
            <w:tcMar>
              <w:left w:w="227" w:type="dxa"/>
            </w:tcMar>
            <w:vAlign w:val="center"/>
          </w:tcPr>
          <w:p w14:paraId="067C55A7">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1-2</w:t>
            </w:r>
          </w:p>
        </w:tc>
        <w:tc>
          <w:tcPr>
            <w:tcW w:w="1098" w:type="pct"/>
            <w:noWrap w:val="0"/>
            <w:tcMar>
              <w:top w:w="0" w:type="dxa"/>
              <w:left w:w="227" w:type="dxa"/>
              <w:bottom w:w="0" w:type="dxa"/>
              <w:right w:w="108" w:type="dxa"/>
            </w:tcMar>
            <w:vAlign w:val="center"/>
          </w:tcPr>
          <w:p w14:paraId="4A1E8FA5">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投标人营业执照</w:t>
            </w:r>
          </w:p>
        </w:tc>
        <w:tc>
          <w:tcPr>
            <w:tcW w:w="2504" w:type="pct"/>
            <w:noWrap w:val="0"/>
            <w:tcMar>
              <w:left w:w="227" w:type="dxa"/>
            </w:tcMar>
            <w:vAlign w:val="center"/>
          </w:tcPr>
          <w:p w14:paraId="54051E96">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法人或者其他组织提供营业执照等证明文件，自然人提供营业执照（如有）及身份证明（双面）</w:t>
            </w:r>
          </w:p>
        </w:tc>
        <w:tc>
          <w:tcPr>
            <w:tcW w:w="967" w:type="pct"/>
            <w:noWrap w:val="0"/>
            <w:tcMar>
              <w:left w:w="227" w:type="dxa"/>
            </w:tcMar>
            <w:vAlign w:val="center"/>
          </w:tcPr>
          <w:p w14:paraId="4FE0B228">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提供扫描件加盖公章</w:t>
            </w:r>
          </w:p>
        </w:tc>
      </w:tr>
      <w:tr w14:paraId="79C02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jc w:val="center"/>
        </w:trPr>
        <w:tc>
          <w:tcPr>
            <w:tcW w:w="428" w:type="pct"/>
            <w:noWrap w:val="0"/>
            <w:tcMar>
              <w:left w:w="227" w:type="dxa"/>
            </w:tcMar>
            <w:vAlign w:val="center"/>
          </w:tcPr>
          <w:p w14:paraId="673D8127">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1-3</w:t>
            </w:r>
          </w:p>
        </w:tc>
        <w:tc>
          <w:tcPr>
            <w:tcW w:w="1098" w:type="pct"/>
            <w:noWrap w:val="0"/>
            <w:tcMar>
              <w:top w:w="0" w:type="dxa"/>
              <w:left w:w="227" w:type="dxa"/>
              <w:bottom w:w="0" w:type="dxa"/>
              <w:right w:w="108" w:type="dxa"/>
            </w:tcMar>
            <w:vAlign w:val="center"/>
          </w:tcPr>
          <w:p w14:paraId="64C1D5BC">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投标人信用记录</w:t>
            </w:r>
          </w:p>
        </w:tc>
        <w:tc>
          <w:tcPr>
            <w:tcW w:w="2504" w:type="pct"/>
            <w:noWrap w:val="0"/>
            <w:tcMar>
              <w:left w:w="227" w:type="dxa"/>
            </w:tcMar>
            <w:vAlign w:val="center"/>
          </w:tcPr>
          <w:p w14:paraId="06EA1587">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查询渠道：信用中国网站和中国政府采购网（www.creditchina.gov.cn、www.ccgp.gov.cn）；</w:t>
            </w:r>
          </w:p>
          <w:p w14:paraId="56DBA858">
            <w:pPr>
              <w:keepNext w:val="0"/>
              <w:keepLines w:val="0"/>
              <w:tabs>
                <w:tab w:val="left" w:pos="900"/>
                <w:tab w:val="left" w:pos="1980"/>
              </w:tabs>
              <w:kinsoku/>
              <w:wordWrap/>
              <w:overflowPunct/>
              <w:topLinePunct w:val="0"/>
              <w:autoSpaceDE/>
              <w:autoSpaceDN/>
              <w:bidi w:val="0"/>
              <w:adjustRightInd w:val="0"/>
              <w:snapToGrid w:val="0"/>
              <w:spacing w:line="360" w:lineRule="auto"/>
              <w:ind w:left="-199" w:leftChars="-95" w:right="0" w:firstLine="0" w:firstLineChars="0"/>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截止时点：投标截止时间以后、资格审查阶段采购人或采购代理机构的实际查询时间；</w:t>
            </w:r>
          </w:p>
          <w:p w14:paraId="48D02FA2">
            <w:pPr>
              <w:keepNext w:val="0"/>
              <w:keepLines w:val="0"/>
              <w:tabs>
                <w:tab w:val="left" w:pos="900"/>
                <w:tab w:val="left" w:pos="1980"/>
              </w:tabs>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信用信息查询记录和证据留存具体方式：查询结果网页打印页作为查询记录和证据，与其他采购文件一并保存；</w:t>
            </w:r>
          </w:p>
          <w:p w14:paraId="3C0C6A73">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967" w:type="pct"/>
            <w:noWrap w:val="0"/>
            <w:tcMar>
              <w:left w:w="227" w:type="dxa"/>
            </w:tcMar>
            <w:vAlign w:val="center"/>
          </w:tcPr>
          <w:p w14:paraId="244FA88C">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无须投标人提供，由采购代理机构查询。</w:t>
            </w:r>
          </w:p>
        </w:tc>
      </w:tr>
      <w:tr w14:paraId="4964B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jc w:val="center"/>
        </w:trPr>
        <w:tc>
          <w:tcPr>
            <w:tcW w:w="428" w:type="pct"/>
            <w:noWrap w:val="0"/>
            <w:tcMar>
              <w:left w:w="227" w:type="dxa"/>
            </w:tcMar>
            <w:vAlign w:val="center"/>
          </w:tcPr>
          <w:p w14:paraId="466E5A15">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2</w:t>
            </w:r>
          </w:p>
        </w:tc>
        <w:tc>
          <w:tcPr>
            <w:tcW w:w="1098" w:type="pct"/>
            <w:noWrap w:val="0"/>
            <w:tcMar>
              <w:top w:w="0" w:type="dxa"/>
              <w:left w:w="227" w:type="dxa"/>
              <w:bottom w:w="0" w:type="dxa"/>
              <w:right w:w="108" w:type="dxa"/>
            </w:tcMar>
            <w:vAlign w:val="center"/>
          </w:tcPr>
          <w:p w14:paraId="6B43C553">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落实政府采购政策需满足的资格要求</w:t>
            </w:r>
          </w:p>
        </w:tc>
        <w:tc>
          <w:tcPr>
            <w:tcW w:w="2504" w:type="pct"/>
            <w:noWrap w:val="0"/>
            <w:tcMar>
              <w:left w:w="227" w:type="dxa"/>
            </w:tcMar>
            <w:vAlign w:val="center"/>
          </w:tcPr>
          <w:p w14:paraId="7A969413">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具体要求见第一章《采购邀请》</w:t>
            </w:r>
          </w:p>
        </w:tc>
        <w:tc>
          <w:tcPr>
            <w:tcW w:w="967" w:type="pct"/>
            <w:noWrap w:val="0"/>
            <w:tcMar>
              <w:left w:w="227" w:type="dxa"/>
            </w:tcMar>
            <w:vAlign w:val="center"/>
          </w:tcPr>
          <w:p w14:paraId="4AC73CF3">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p>
        </w:tc>
      </w:tr>
      <w:tr w14:paraId="69F6A7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jc w:val="center"/>
        </w:trPr>
        <w:tc>
          <w:tcPr>
            <w:tcW w:w="428" w:type="pct"/>
            <w:noWrap w:val="0"/>
            <w:tcMar>
              <w:left w:w="227" w:type="dxa"/>
            </w:tcMar>
            <w:vAlign w:val="center"/>
          </w:tcPr>
          <w:p w14:paraId="58787EA6">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2-1</w:t>
            </w:r>
          </w:p>
        </w:tc>
        <w:tc>
          <w:tcPr>
            <w:tcW w:w="1098" w:type="pct"/>
            <w:noWrap w:val="0"/>
            <w:tcMar>
              <w:top w:w="0" w:type="dxa"/>
              <w:left w:w="227" w:type="dxa"/>
              <w:bottom w:w="0" w:type="dxa"/>
              <w:right w:w="108" w:type="dxa"/>
            </w:tcMar>
            <w:vAlign w:val="center"/>
          </w:tcPr>
          <w:p w14:paraId="4FCFEA46">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中小企业声明函</w:t>
            </w:r>
          </w:p>
        </w:tc>
        <w:tc>
          <w:tcPr>
            <w:tcW w:w="2504" w:type="pct"/>
            <w:noWrap w:val="0"/>
            <w:tcMar>
              <w:left w:w="227" w:type="dxa"/>
            </w:tcMar>
            <w:vAlign w:val="center"/>
          </w:tcPr>
          <w:p w14:paraId="53B596CD">
            <w:pPr>
              <w:keepNext w:val="0"/>
              <w:keepLines w:val="0"/>
              <w:tabs>
                <w:tab w:val="left" w:pos="900"/>
                <w:tab w:val="left" w:pos="1980"/>
              </w:tabs>
              <w:kinsoku/>
              <w:wordWrap/>
              <w:overflowPunct/>
              <w:topLinePunct w:val="0"/>
              <w:autoSpaceDE/>
              <w:autoSpaceDN/>
              <w:bidi w:val="0"/>
              <w:adjustRightInd w:val="0"/>
              <w:snapToGrid w:val="0"/>
              <w:spacing w:line="360" w:lineRule="auto"/>
              <w:ind w:left="0" w:leftChars="0" w:right="0"/>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当本项目（包）涉及预留份额专门面向中小企业采购，此时建议在《资格证明文件》中提供。不属于该情况的，本项可删除，防止误导供应商)</w:t>
            </w:r>
          </w:p>
          <w:p w14:paraId="23711944">
            <w:pPr>
              <w:keepNext w:val="0"/>
              <w:keepLines w:val="0"/>
              <w:tabs>
                <w:tab w:val="left" w:pos="900"/>
                <w:tab w:val="left" w:pos="1980"/>
              </w:tabs>
              <w:kinsoku/>
              <w:wordWrap/>
              <w:overflowPunct/>
              <w:topLinePunct w:val="0"/>
              <w:autoSpaceDE/>
              <w:autoSpaceDN/>
              <w:bidi w:val="0"/>
              <w:adjustRightInd w:val="0"/>
              <w:snapToGrid w:val="0"/>
              <w:spacing w:line="360" w:lineRule="auto"/>
              <w:ind w:left="0" w:leftChars="0" w:right="0"/>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1、供应商单独参与投标的，应提供中小企业声明函；如为监狱企业或残疾人福利性单位，不必提供中小企业声明函，但须按注1或注2要求提供证明材料。</w:t>
            </w:r>
          </w:p>
          <w:p w14:paraId="0517CB40">
            <w:pPr>
              <w:keepNext w:val="0"/>
              <w:keepLines w:val="0"/>
              <w:tabs>
                <w:tab w:val="left" w:pos="900"/>
                <w:tab w:val="left" w:pos="1980"/>
              </w:tabs>
              <w:kinsoku/>
              <w:wordWrap/>
              <w:overflowPunct/>
              <w:topLinePunct w:val="0"/>
              <w:autoSpaceDE/>
              <w:autoSpaceDN/>
              <w:bidi w:val="0"/>
              <w:adjustRightInd w:val="0"/>
              <w:snapToGrid w:val="0"/>
              <w:spacing w:line="360" w:lineRule="auto"/>
              <w:ind w:left="0" w:leftChars="0" w:right="0"/>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2、如采购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7EE17D16">
            <w:pPr>
              <w:keepNext w:val="0"/>
              <w:keepLines w:val="0"/>
              <w:tabs>
                <w:tab w:val="left" w:pos="900"/>
                <w:tab w:val="left" w:pos="1980"/>
              </w:tabs>
              <w:kinsoku/>
              <w:wordWrap/>
              <w:overflowPunct/>
              <w:topLinePunct w:val="0"/>
              <w:autoSpaceDE/>
              <w:autoSpaceDN/>
              <w:bidi w:val="0"/>
              <w:adjustRightInd w:val="0"/>
              <w:snapToGrid w:val="0"/>
              <w:spacing w:line="360" w:lineRule="auto"/>
              <w:ind w:left="0" w:leftChars="0" w:right="0"/>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注1：监狱企业须提供由省级以上监狱管理局（常州市含教育矫治局）、戒毒管理局（含新疆生产建设兵团）出具的属于监狱企业的证明文件。</w:t>
            </w:r>
          </w:p>
          <w:p w14:paraId="75741BC9">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注2：残疾人福利性单位须按采购文件要求提供《残疾人福利性单位声明函》。</w:t>
            </w:r>
          </w:p>
        </w:tc>
        <w:tc>
          <w:tcPr>
            <w:tcW w:w="967" w:type="pct"/>
            <w:noWrap w:val="0"/>
            <w:tcMar>
              <w:left w:w="227" w:type="dxa"/>
            </w:tcMar>
            <w:vAlign w:val="center"/>
          </w:tcPr>
          <w:p w14:paraId="019C50D2">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格式见《响应文件格式》</w:t>
            </w:r>
          </w:p>
        </w:tc>
      </w:tr>
    </w:tbl>
    <w:p w14:paraId="3C415DAF">
      <w:pPr>
        <w:keepNext w:val="0"/>
        <w:keepLines w:val="0"/>
        <w:kinsoku/>
        <w:wordWrap/>
        <w:overflowPunct/>
        <w:topLinePunct w:val="0"/>
        <w:autoSpaceDE/>
        <w:autoSpaceDN/>
        <w:bidi w:val="0"/>
        <w:adjustRightInd w:val="0"/>
        <w:snapToGrid w:val="0"/>
        <w:spacing w:line="360" w:lineRule="auto"/>
        <w:ind w:left="0" w:leftChars="0" w:right="0" w:hanging="228"/>
        <w:textAlignment w:val="auto"/>
        <w:rPr>
          <w:rFonts w:hint="eastAsia" w:ascii="宋体" w:hAnsi="宋体" w:eastAsia="宋体" w:cs="宋体"/>
          <w:snapToGrid w:val="0"/>
          <w:color w:val="000000" w:themeColor="text1"/>
          <w:spacing w:val="0"/>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r>
        <w:rPr>
          <w:rFonts w:hint="eastAsia" w:ascii="宋体" w:hAnsi="宋体" w:eastAsia="宋体" w:cs="宋体"/>
          <w:snapToGrid w:val="0"/>
          <w:color w:val="000000" w:themeColor="text1"/>
          <w:spacing w:val="0"/>
          <w:sz w:val="24"/>
          <w14:textFill>
            <w14:solidFill>
              <w14:schemeClr w14:val="tx1"/>
            </w14:solidFill>
          </w14:textFill>
        </w:rPr>
        <w:br w:type="page" w:clear="all"/>
      </w:r>
    </w:p>
    <w:p w14:paraId="3EBD7B27">
      <w:pPr>
        <w:pStyle w:val="4"/>
        <w:keepNext w:val="0"/>
        <w:keepLines w:val="0"/>
        <w:kinsoku/>
        <w:wordWrap/>
        <w:overflowPunct/>
        <w:topLinePunct w:val="0"/>
        <w:autoSpaceDE/>
        <w:autoSpaceDN/>
        <w:bidi w:val="0"/>
        <w:adjustRightInd w:val="0"/>
        <w:snapToGrid w:val="0"/>
        <w:spacing w:line="360" w:lineRule="auto"/>
        <w:ind w:left="0" w:leftChars="0" w:right="0" w:hanging="343"/>
        <w:textAlignment w:val="auto"/>
        <w:rPr>
          <w:rFonts w:hint="eastAsia" w:ascii="宋体" w:hAnsi="宋体" w:eastAsia="宋体" w:cs="宋体"/>
          <w:snapToGrid w:val="0"/>
          <w:color w:val="000000" w:themeColor="text1"/>
          <w:spacing w:val="0"/>
          <w14:textFill>
            <w14:solidFill>
              <w14:schemeClr w14:val="tx1"/>
            </w14:solidFill>
          </w14:textFill>
        </w:rPr>
      </w:pPr>
      <w:bookmarkStart w:id="473" w:name="_Toc24211"/>
      <w:r>
        <w:rPr>
          <w:rFonts w:hint="eastAsia" w:ascii="宋体" w:hAnsi="宋体" w:eastAsia="宋体" w:cs="宋体"/>
          <w:snapToGrid w:val="0"/>
          <w:color w:val="000000" w:themeColor="text1"/>
          <w:spacing w:val="0"/>
          <w14:textFill>
            <w14:solidFill>
              <w14:schemeClr w14:val="tx1"/>
            </w14:solidFill>
          </w14:textFill>
        </w:rPr>
        <w:t>第四章评标程序、评标方法和评标标准</w:t>
      </w:r>
      <w:bookmarkEnd w:id="471"/>
      <w:bookmarkEnd w:id="473"/>
    </w:p>
    <w:p w14:paraId="71302F0F">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一、评标程序</w:t>
      </w:r>
    </w:p>
    <w:p w14:paraId="184F95FC">
      <w:pPr>
        <w:pStyle w:val="17"/>
        <w:keepNext w:val="0"/>
        <w:keepLines w:val="0"/>
        <w:numPr>
          <w:ilvl w:val="0"/>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474" w:name="_Toc151193855"/>
      <w:bookmarkStart w:id="475" w:name="_Toc264969231"/>
      <w:bookmarkStart w:id="476" w:name="_Toc151193783"/>
      <w:bookmarkStart w:id="477" w:name="_Toc164229236"/>
      <w:bookmarkStart w:id="478" w:name="_Toc226965814"/>
      <w:bookmarkStart w:id="479" w:name="_Toc305158809"/>
      <w:bookmarkStart w:id="480" w:name="_Toc164608655"/>
      <w:bookmarkStart w:id="481" w:name="_Toc127161455"/>
      <w:bookmarkStart w:id="482" w:name="_Toc151193639"/>
      <w:bookmarkStart w:id="483" w:name="_Toc151193929"/>
      <w:bookmarkStart w:id="484" w:name="_Toc127151541"/>
      <w:bookmarkStart w:id="485" w:name="_Toc195842906"/>
      <w:bookmarkStart w:id="486" w:name="_Toc150509292"/>
      <w:bookmarkStart w:id="487" w:name="_Toc164608810"/>
      <w:bookmarkStart w:id="488" w:name="_Toc149720834"/>
      <w:bookmarkStart w:id="489" w:name="_Toc150774641"/>
      <w:bookmarkStart w:id="490" w:name="_Toc127151742"/>
      <w:bookmarkStart w:id="491" w:name="_Toc150774746"/>
      <w:bookmarkStart w:id="492" w:name="_Toc226309785"/>
      <w:bookmarkStart w:id="493" w:name="_Toc151193711"/>
      <w:bookmarkStart w:id="494" w:name="_Toc226965731"/>
      <w:bookmarkStart w:id="495" w:name="_Toc226337237"/>
      <w:bookmarkStart w:id="496" w:name="_Toc150480779"/>
      <w:bookmarkStart w:id="497" w:name="_Toc305158883"/>
      <w:bookmarkStart w:id="498" w:name="_Toc164351635"/>
      <w:bookmarkStart w:id="499" w:name="_Toc151190168"/>
      <w:bookmarkStart w:id="500" w:name="_Toc142311043"/>
      <w:bookmarkStart w:id="501" w:name="_Toc164229382"/>
      <w:bookmarkStart w:id="502" w:name="_Toc265228379"/>
      <w:r>
        <w:rPr>
          <w:rFonts w:hint="eastAsia" w:ascii="宋体" w:hAnsi="宋体" w:eastAsia="宋体" w:cs="宋体"/>
          <w:snapToGrid w:val="0"/>
          <w:color w:val="000000" w:themeColor="text1"/>
          <w:spacing w:val="0"/>
          <w:sz w:val="24"/>
          <w14:textFill>
            <w14:solidFill>
              <w14:schemeClr w14:val="tx1"/>
            </w14:solidFill>
          </w14:textFill>
        </w:rPr>
        <w:t>投标文件的符合性审查</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 w14:paraId="285DAB82">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评标委员会对资格审查合格的投标人的投标文件进行符合性审查，以确定其是否满足招标文件的实质性要求。</w:t>
      </w:r>
    </w:p>
    <w:p w14:paraId="57A53B78">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b/>
          <w:snapToGrid w:val="0"/>
          <w:color w:val="000000" w:themeColor="text1"/>
          <w:spacing w:val="0"/>
          <w:sz w:val="24"/>
          <w14:textFill>
            <w14:solidFill>
              <w14:schemeClr w14:val="tx1"/>
            </w14:solidFill>
          </w14:textFill>
        </w:rPr>
        <w:t>投标无效</w:t>
      </w:r>
      <w:r>
        <w:rPr>
          <w:rFonts w:hint="eastAsia" w:ascii="宋体" w:hAnsi="宋体" w:eastAsia="宋体" w:cs="宋体"/>
          <w:snapToGrid w:val="0"/>
          <w:color w:val="000000" w:themeColor="text1"/>
          <w:spacing w:val="0"/>
          <w:sz w:val="24"/>
          <w14:textFill>
            <w14:solidFill>
              <w14:schemeClr w14:val="tx1"/>
            </w14:solidFill>
          </w14:textFill>
        </w:rPr>
        <w:t>。</w:t>
      </w:r>
    </w:p>
    <w:p w14:paraId="266F8B55">
      <w:pPr>
        <w:keepNext w:val="0"/>
        <w:keepLines w:val="0"/>
        <w:kinsoku/>
        <w:wordWrap/>
        <w:overflowPunct/>
        <w:topLinePunct w:val="0"/>
        <w:autoSpaceDE/>
        <w:autoSpaceDN/>
        <w:bidi w:val="0"/>
        <w:adjustRightInd w:val="0"/>
        <w:snapToGrid w:val="0"/>
        <w:spacing w:line="360" w:lineRule="auto"/>
        <w:ind w:left="0" w:leftChars="0" w:right="0" w:hanging="200"/>
        <w:jc w:val="center"/>
        <w:textAlignment w:val="auto"/>
        <w:rPr>
          <w:rFonts w:hint="eastAsia" w:ascii="宋体" w:hAnsi="宋体" w:eastAsia="宋体" w:cs="宋体"/>
          <w:b/>
          <w:snapToGrid w:val="0"/>
          <w:color w:val="000000" w:themeColor="text1"/>
          <w:spacing w:val="0"/>
          <w:szCs w:val="21"/>
          <w14:textFill>
            <w14:solidFill>
              <w14:schemeClr w14:val="tx1"/>
            </w14:solidFill>
          </w14:textFill>
        </w:rPr>
      </w:pPr>
      <w:r>
        <w:rPr>
          <w:rFonts w:hint="eastAsia" w:ascii="宋体" w:hAnsi="宋体" w:eastAsia="宋体" w:cs="宋体"/>
          <w:b/>
          <w:snapToGrid w:val="0"/>
          <w:color w:val="000000" w:themeColor="text1"/>
          <w:spacing w:val="0"/>
          <w:szCs w:val="21"/>
          <w14:textFill>
            <w14:solidFill>
              <w14:schemeClr w14:val="tx1"/>
            </w14:solidFill>
          </w14:textFill>
        </w:rPr>
        <w:t>符合性审查要求</w:t>
      </w:r>
    </w:p>
    <w:tbl>
      <w:tblPr>
        <w:tblStyle w:val="13"/>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813"/>
        <w:gridCol w:w="6108"/>
      </w:tblGrid>
      <w:tr w14:paraId="6D385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0" w:type="dxa"/>
            <w:noWrap w:val="0"/>
            <w:tcMar>
              <w:top w:w="0" w:type="dxa"/>
              <w:left w:w="283" w:type="dxa"/>
              <w:bottom w:w="0" w:type="dxa"/>
              <w:right w:w="108" w:type="dxa"/>
            </w:tcMar>
            <w:vAlign w:val="center"/>
          </w:tcPr>
          <w:p w14:paraId="71C7B997">
            <w:pPr>
              <w:keepNext w:val="0"/>
              <w:keepLines w:val="0"/>
              <w:widowControl/>
              <w:kinsoku/>
              <w:wordWrap/>
              <w:overflowPunct/>
              <w:topLinePunct w:val="0"/>
              <w:autoSpaceDE/>
              <w:autoSpaceDN/>
              <w:bidi w:val="0"/>
              <w:adjustRightInd w:val="0"/>
              <w:snapToGrid w:val="0"/>
              <w:spacing w:line="360" w:lineRule="auto"/>
              <w:ind w:left="0" w:leftChars="0" w:right="0" w:hanging="200"/>
              <w:jc w:val="center"/>
              <w:textAlignment w:val="auto"/>
              <w:rPr>
                <w:rFonts w:hint="eastAsia" w:ascii="宋体" w:hAnsi="宋体" w:eastAsia="宋体" w:cs="宋体"/>
                <w:b/>
                <w:snapToGrid w:val="0"/>
                <w:color w:val="000000" w:themeColor="text1"/>
                <w:spacing w:val="0"/>
                <w:szCs w:val="21"/>
                <w14:textFill>
                  <w14:solidFill>
                    <w14:schemeClr w14:val="tx1"/>
                  </w14:solidFill>
                </w14:textFill>
              </w:rPr>
            </w:pPr>
            <w:r>
              <w:rPr>
                <w:rFonts w:hint="eastAsia" w:ascii="宋体" w:hAnsi="宋体" w:eastAsia="宋体" w:cs="宋体"/>
                <w:b/>
                <w:snapToGrid w:val="0"/>
                <w:color w:val="000000" w:themeColor="text1"/>
                <w:spacing w:val="0"/>
                <w:szCs w:val="21"/>
                <w14:textFill>
                  <w14:solidFill>
                    <w14:schemeClr w14:val="tx1"/>
                  </w14:solidFill>
                </w14:textFill>
              </w:rPr>
              <w:t>序号</w:t>
            </w:r>
          </w:p>
        </w:tc>
        <w:tc>
          <w:tcPr>
            <w:tcW w:w="1813" w:type="dxa"/>
            <w:noWrap w:val="0"/>
            <w:tcMar>
              <w:top w:w="0" w:type="dxa"/>
              <w:left w:w="283" w:type="dxa"/>
              <w:bottom w:w="0" w:type="dxa"/>
              <w:right w:w="108" w:type="dxa"/>
            </w:tcMar>
            <w:vAlign w:val="center"/>
          </w:tcPr>
          <w:p w14:paraId="2FC76A4A">
            <w:pPr>
              <w:keepNext w:val="0"/>
              <w:keepLines w:val="0"/>
              <w:widowControl/>
              <w:kinsoku/>
              <w:wordWrap/>
              <w:overflowPunct/>
              <w:topLinePunct w:val="0"/>
              <w:autoSpaceDE/>
              <w:autoSpaceDN/>
              <w:bidi w:val="0"/>
              <w:adjustRightInd w:val="0"/>
              <w:snapToGrid w:val="0"/>
              <w:spacing w:line="360" w:lineRule="auto"/>
              <w:ind w:left="0" w:leftChars="0" w:right="0" w:hanging="200"/>
              <w:jc w:val="center"/>
              <w:textAlignment w:val="auto"/>
              <w:rPr>
                <w:rFonts w:hint="eastAsia" w:ascii="宋体" w:hAnsi="宋体" w:eastAsia="宋体" w:cs="宋体"/>
                <w:b/>
                <w:snapToGrid w:val="0"/>
                <w:color w:val="000000" w:themeColor="text1"/>
                <w:spacing w:val="0"/>
                <w:szCs w:val="21"/>
                <w14:textFill>
                  <w14:solidFill>
                    <w14:schemeClr w14:val="tx1"/>
                  </w14:solidFill>
                </w14:textFill>
              </w:rPr>
            </w:pPr>
            <w:r>
              <w:rPr>
                <w:rFonts w:hint="eastAsia" w:ascii="宋体" w:hAnsi="宋体" w:eastAsia="宋体" w:cs="宋体"/>
                <w:b/>
                <w:snapToGrid w:val="0"/>
                <w:color w:val="000000" w:themeColor="text1"/>
                <w:spacing w:val="0"/>
                <w:szCs w:val="21"/>
                <w14:textFill>
                  <w14:solidFill>
                    <w14:schemeClr w14:val="tx1"/>
                  </w14:solidFill>
                </w14:textFill>
              </w:rPr>
              <w:t>审查因素</w:t>
            </w:r>
          </w:p>
        </w:tc>
        <w:tc>
          <w:tcPr>
            <w:tcW w:w="6108" w:type="dxa"/>
            <w:noWrap w:val="0"/>
            <w:tcMar>
              <w:top w:w="0" w:type="dxa"/>
              <w:left w:w="283" w:type="dxa"/>
              <w:bottom w:w="0" w:type="dxa"/>
              <w:right w:w="108" w:type="dxa"/>
            </w:tcMar>
            <w:vAlign w:val="center"/>
          </w:tcPr>
          <w:p w14:paraId="2828C8BE">
            <w:pPr>
              <w:keepNext w:val="0"/>
              <w:keepLines w:val="0"/>
              <w:widowControl/>
              <w:kinsoku/>
              <w:wordWrap/>
              <w:overflowPunct/>
              <w:topLinePunct w:val="0"/>
              <w:autoSpaceDE/>
              <w:autoSpaceDN/>
              <w:bidi w:val="0"/>
              <w:adjustRightInd w:val="0"/>
              <w:snapToGrid w:val="0"/>
              <w:spacing w:line="360" w:lineRule="auto"/>
              <w:ind w:left="0" w:leftChars="0" w:right="0" w:hanging="200"/>
              <w:jc w:val="center"/>
              <w:textAlignment w:val="auto"/>
              <w:rPr>
                <w:rFonts w:hint="eastAsia" w:ascii="宋体" w:hAnsi="宋体" w:eastAsia="宋体" w:cs="宋体"/>
                <w:b/>
                <w:snapToGrid w:val="0"/>
                <w:color w:val="000000" w:themeColor="text1"/>
                <w:spacing w:val="0"/>
                <w:szCs w:val="21"/>
                <w14:textFill>
                  <w14:solidFill>
                    <w14:schemeClr w14:val="tx1"/>
                  </w14:solidFill>
                </w14:textFill>
              </w:rPr>
            </w:pPr>
            <w:r>
              <w:rPr>
                <w:rFonts w:hint="eastAsia" w:ascii="宋体" w:hAnsi="宋体" w:eastAsia="宋体" w:cs="宋体"/>
                <w:b/>
                <w:snapToGrid w:val="0"/>
                <w:color w:val="000000" w:themeColor="text1"/>
                <w:spacing w:val="0"/>
                <w:szCs w:val="21"/>
                <w14:textFill>
                  <w14:solidFill>
                    <w14:schemeClr w14:val="tx1"/>
                  </w14:solidFill>
                </w14:textFill>
              </w:rPr>
              <w:t>审查内容</w:t>
            </w:r>
          </w:p>
        </w:tc>
      </w:tr>
      <w:tr w14:paraId="1CDAD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2AD7D718">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w:t>
            </w:r>
          </w:p>
        </w:tc>
        <w:tc>
          <w:tcPr>
            <w:tcW w:w="1813" w:type="dxa"/>
            <w:noWrap w:val="0"/>
            <w:tcMar>
              <w:top w:w="0" w:type="dxa"/>
              <w:left w:w="283" w:type="dxa"/>
              <w:bottom w:w="0" w:type="dxa"/>
              <w:right w:w="108" w:type="dxa"/>
            </w:tcMar>
            <w:vAlign w:val="center"/>
          </w:tcPr>
          <w:p w14:paraId="5CC6E245">
            <w:pPr>
              <w:keepNext w:val="0"/>
              <w:keepLines w:val="0"/>
              <w:widowControl/>
              <w:kinsoku/>
              <w:wordWrap/>
              <w:overflowPunct/>
              <w:topLinePunct w:val="0"/>
              <w:autoSpaceDE/>
              <w:autoSpaceDN/>
              <w:bidi w:val="0"/>
              <w:adjustRightInd w:val="0"/>
              <w:snapToGrid w:val="0"/>
              <w:spacing w:line="360" w:lineRule="auto"/>
              <w:ind w:left="-199" w:leftChars="-95" w:right="0" w:firstLine="0" w:firstLineChars="0"/>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投标函、法定代表人资格证明书和政府采购供应商信用承诺书</w:t>
            </w:r>
          </w:p>
        </w:tc>
        <w:tc>
          <w:tcPr>
            <w:tcW w:w="6108" w:type="dxa"/>
            <w:noWrap w:val="0"/>
            <w:tcMar>
              <w:top w:w="0" w:type="dxa"/>
              <w:left w:w="283" w:type="dxa"/>
              <w:bottom w:w="0" w:type="dxa"/>
              <w:right w:w="108" w:type="dxa"/>
            </w:tcMar>
            <w:vAlign w:val="center"/>
          </w:tcPr>
          <w:p w14:paraId="1E5F6099">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按招标文件要求提供投标函、法定代表人资格证明书</w:t>
            </w:r>
            <w:r>
              <w:rPr>
                <w:rFonts w:hint="eastAsia" w:ascii="宋体" w:hAnsi="宋体" w:eastAsia="宋体" w:cs="宋体"/>
                <w:b/>
                <w:bCs/>
                <w:snapToGrid w:val="0"/>
                <w:color w:val="000000" w:themeColor="text1"/>
                <w:spacing w:val="0"/>
                <w:szCs w:val="21"/>
                <w14:textFill>
                  <w14:solidFill>
                    <w14:schemeClr w14:val="tx1"/>
                  </w14:solidFill>
                </w14:textFill>
              </w:rPr>
              <w:t>、</w:t>
            </w:r>
            <w:r>
              <w:rPr>
                <w:rFonts w:hint="eastAsia" w:ascii="宋体" w:hAnsi="宋体" w:eastAsia="宋体" w:cs="宋体"/>
                <w:snapToGrid w:val="0"/>
                <w:color w:val="000000" w:themeColor="text1"/>
                <w:spacing w:val="0"/>
                <w:szCs w:val="21"/>
                <w14:textFill>
                  <w14:solidFill>
                    <w14:schemeClr w14:val="tx1"/>
                  </w14:solidFill>
                </w14:textFill>
              </w:rPr>
              <w:t>政府采购供应商信用承诺书；</w:t>
            </w:r>
          </w:p>
        </w:tc>
      </w:tr>
      <w:tr w14:paraId="3C3A6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3089CFE3">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2</w:t>
            </w:r>
          </w:p>
        </w:tc>
        <w:tc>
          <w:tcPr>
            <w:tcW w:w="1813" w:type="dxa"/>
            <w:noWrap w:val="0"/>
            <w:tcMar>
              <w:top w:w="0" w:type="dxa"/>
              <w:left w:w="283" w:type="dxa"/>
              <w:bottom w:w="0" w:type="dxa"/>
              <w:right w:w="108" w:type="dxa"/>
            </w:tcMar>
            <w:vAlign w:val="center"/>
          </w:tcPr>
          <w:p w14:paraId="41BB9BB3">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投标完整性</w:t>
            </w:r>
          </w:p>
        </w:tc>
        <w:tc>
          <w:tcPr>
            <w:tcW w:w="6108" w:type="dxa"/>
            <w:noWrap w:val="0"/>
            <w:tcMar>
              <w:top w:w="0" w:type="dxa"/>
              <w:left w:w="283" w:type="dxa"/>
              <w:bottom w:w="0" w:type="dxa"/>
              <w:right w:w="108" w:type="dxa"/>
            </w:tcMar>
            <w:vAlign w:val="center"/>
          </w:tcPr>
          <w:p w14:paraId="4BB9A135">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未将一个采购包中的内容拆开投标；（由评委审查，无需供应商提供材料）</w:t>
            </w:r>
          </w:p>
        </w:tc>
      </w:tr>
      <w:tr w14:paraId="18B6C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69EE16E3">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3</w:t>
            </w:r>
          </w:p>
        </w:tc>
        <w:tc>
          <w:tcPr>
            <w:tcW w:w="1813" w:type="dxa"/>
            <w:noWrap w:val="0"/>
            <w:tcMar>
              <w:top w:w="0" w:type="dxa"/>
              <w:left w:w="283" w:type="dxa"/>
              <w:bottom w:w="0" w:type="dxa"/>
              <w:right w:w="108" w:type="dxa"/>
            </w:tcMar>
            <w:vAlign w:val="center"/>
          </w:tcPr>
          <w:p w14:paraId="56E54678">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投标报价</w:t>
            </w:r>
          </w:p>
        </w:tc>
        <w:tc>
          <w:tcPr>
            <w:tcW w:w="6108" w:type="dxa"/>
            <w:noWrap w:val="0"/>
            <w:tcMar>
              <w:top w:w="0" w:type="dxa"/>
              <w:left w:w="283" w:type="dxa"/>
              <w:bottom w:w="0" w:type="dxa"/>
              <w:right w:w="108" w:type="dxa"/>
            </w:tcMar>
            <w:vAlign w:val="center"/>
          </w:tcPr>
          <w:p w14:paraId="4CA95B40">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投标报价未超过招标文件中规定的项目/采购包预算金额或者项目/采购包最高限价；（由评委审查，无需供应商提供材料）</w:t>
            </w:r>
          </w:p>
        </w:tc>
      </w:tr>
      <w:tr w14:paraId="6065E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6D955BE9">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4</w:t>
            </w:r>
          </w:p>
        </w:tc>
        <w:tc>
          <w:tcPr>
            <w:tcW w:w="1813" w:type="dxa"/>
            <w:noWrap w:val="0"/>
            <w:tcMar>
              <w:top w:w="0" w:type="dxa"/>
              <w:left w:w="283" w:type="dxa"/>
              <w:bottom w:w="0" w:type="dxa"/>
              <w:right w:w="108" w:type="dxa"/>
            </w:tcMar>
            <w:vAlign w:val="center"/>
          </w:tcPr>
          <w:p w14:paraId="347CCECC">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报价唯一性</w:t>
            </w:r>
          </w:p>
        </w:tc>
        <w:tc>
          <w:tcPr>
            <w:tcW w:w="6108" w:type="dxa"/>
            <w:noWrap w:val="0"/>
            <w:tcMar>
              <w:top w:w="0" w:type="dxa"/>
              <w:left w:w="283" w:type="dxa"/>
              <w:bottom w:w="0" w:type="dxa"/>
              <w:right w:w="108" w:type="dxa"/>
            </w:tcMar>
            <w:vAlign w:val="center"/>
          </w:tcPr>
          <w:p w14:paraId="69412AE7">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投标文件未出现可选择性或可调整的报价（招标文件另有规定的除外）；</w:t>
            </w:r>
            <w:r>
              <w:rPr>
                <w:rFonts w:hint="eastAsia" w:ascii="宋体" w:hAnsi="宋体" w:eastAsia="宋体" w:cs="宋体"/>
                <w:b/>
                <w:snapToGrid w:val="0"/>
                <w:color w:val="000000" w:themeColor="text1"/>
                <w:spacing w:val="0"/>
                <w:szCs w:val="21"/>
                <w14:textFill>
                  <w14:solidFill>
                    <w14:schemeClr w14:val="tx1"/>
                  </w14:solidFill>
                </w14:textFill>
              </w:rPr>
              <w:t>提供《开标一览表》</w:t>
            </w:r>
            <w:r>
              <w:rPr>
                <w:rFonts w:hint="eastAsia" w:ascii="宋体" w:hAnsi="宋体" w:eastAsia="宋体" w:cs="宋体"/>
                <w:snapToGrid w:val="0"/>
                <w:color w:val="000000" w:themeColor="text1"/>
                <w:spacing w:val="0"/>
                <w:szCs w:val="21"/>
                <w14:textFill>
                  <w14:solidFill>
                    <w14:schemeClr w14:val="tx1"/>
                  </w14:solidFill>
                </w14:textFill>
              </w:rPr>
              <w:t>，详见附件格式</w:t>
            </w:r>
          </w:p>
        </w:tc>
      </w:tr>
      <w:tr w14:paraId="158F1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6D2910E5">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5</w:t>
            </w:r>
          </w:p>
        </w:tc>
        <w:tc>
          <w:tcPr>
            <w:tcW w:w="1813" w:type="dxa"/>
            <w:noWrap w:val="0"/>
            <w:tcMar>
              <w:top w:w="0" w:type="dxa"/>
              <w:left w:w="283" w:type="dxa"/>
              <w:bottom w:w="0" w:type="dxa"/>
              <w:right w:w="108" w:type="dxa"/>
            </w:tcMar>
            <w:vAlign w:val="center"/>
          </w:tcPr>
          <w:p w14:paraId="7A263743">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投标有效期</w:t>
            </w:r>
          </w:p>
        </w:tc>
        <w:tc>
          <w:tcPr>
            <w:tcW w:w="6108" w:type="dxa"/>
            <w:noWrap w:val="0"/>
            <w:tcMar>
              <w:top w:w="0" w:type="dxa"/>
              <w:left w:w="283" w:type="dxa"/>
              <w:bottom w:w="0" w:type="dxa"/>
              <w:right w:w="108" w:type="dxa"/>
            </w:tcMar>
            <w:vAlign w:val="center"/>
          </w:tcPr>
          <w:p w14:paraId="5FD527B3">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投标文件中承诺的投标有效期满足招标文件中载明的投标有效期的；（详见附件投标函）</w:t>
            </w:r>
          </w:p>
        </w:tc>
      </w:tr>
      <w:tr w14:paraId="33FE5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744B22DD">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6</w:t>
            </w:r>
          </w:p>
        </w:tc>
        <w:tc>
          <w:tcPr>
            <w:tcW w:w="1813" w:type="dxa"/>
            <w:noWrap w:val="0"/>
            <w:tcMar>
              <w:top w:w="0" w:type="dxa"/>
              <w:left w:w="283" w:type="dxa"/>
              <w:bottom w:w="0" w:type="dxa"/>
              <w:right w:w="108" w:type="dxa"/>
            </w:tcMar>
            <w:vAlign w:val="center"/>
          </w:tcPr>
          <w:p w14:paraId="607D0733">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签署、加盖公章</w:t>
            </w:r>
          </w:p>
        </w:tc>
        <w:tc>
          <w:tcPr>
            <w:tcW w:w="6108" w:type="dxa"/>
            <w:noWrap w:val="0"/>
            <w:tcMar>
              <w:top w:w="0" w:type="dxa"/>
              <w:left w:w="283" w:type="dxa"/>
              <w:bottom w:w="0" w:type="dxa"/>
              <w:right w:w="108" w:type="dxa"/>
            </w:tcMar>
            <w:vAlign w:val="center"/>
          </w:tcPr>
          <w:p w14:paraId="7E8F162D">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按照招标文件要求签署、加盖公章的；（由评委审查，无需供应商提供材料）</w:t>
            </w:r>
          </w:p>
        </w:tc>
      </w:tr>
      <w:tr w14:paraId="2C937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56A4C58F">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7</w:t>
            </w:r>
          </w:p>
        </w:tc>
        <w:tc>
          <w:tcPr>
            <w:tcW w:w="1813" w:type="dxa"/>
            <w:noWrap w:val="0"/>
            <w:tcMar>
              <w:top w:w="0" w:type="dxa"/>
              <w:left w:w="283" w:type="dxa"/>
              <w:bottom w:w="0" w:type="dxa"/>
              <w:right w:w="108" w:type="dxa"/>
            </w:tcMar>
            <w:vAlign w:val="center"/>
          </w:tcPr>
          <w:p w14:paraId="623A15BA">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实质性格式</w:t>
            </w:r>
          </w:p>
        </w:tc>
        <w:tc>
          <w:tcPr>
            <w:tcW w:w="6108" w:type="dxa"/>
            <w:noWrap w:val="0"/>
            <w:tcMar>
              <w:top w:w="0" w:type="dxa"/>
              <w:left w:w="283" w:type="dxa"/>
              <w:bottom w:w="0" w:type="dxa"/>
              <w:right w:w="108" w:type="dxa"/>
            </w:tcMar>
            <w:vAlign w:val="center"/>
          </w:tcPr>
          <w:p w14:paraId="325CDD58">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标记为“实质性格式”的文件均按招标文件要求提供；除前面已提供的实质性格式文件以外，</w:t>
            </w:r>
            <w:r>
              <w:rPr>
                <w:rFonts w:hint="eastAsia" w:ascii="宋体" w:hAnsi="宋体" w:eastAsia="宋体" w:cs="宋体"/>
                <w:b/>
                <w:snapToGrid w:val="0"/>
                <w:color w:val="000000" w:themeColor="text1"/>
                <w:spacing w:val="0"/>
                <w:szCs w:val="21"/>
                <w14:textFill>
                  <w14:solidFill>
                    <w14:schemeClr w14:val="tx1"/>
                  </w14:solidFill>
                </w14:textFill>
              </w:rPr>
              <w:t>还需提供：合同条款偏离表，采购需求偏离表</w:t>
            </w:r>
            <w:r>
              <w:rPr>
                <w:rFonts w:hint="eastAsia" w:ascii="宋体" w:hAnsi="宋体" w:eastAsia="宋体" w:cs="宋体"/>
                <w:snapToGrid w:val="0"/>
                <w:color w:val="000000" w:themeColor="text1"/>
                <w:spacing w:val="0"/>
                <w:szCs w:val="21"/>
                <w14:textFill>
                  <w14:solidFill>
                    <w14:schemeClr w14:val="tx1"/>
                  </w14:solidFill>
                </w14:textFill>
              </w:rPr>
              <w:t>，详见附件格式。</w:t>
            </w:r>
          </w:p>
        </w:tc>
      </w:tr>
      <w:tr w14:paraId="4A9C7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1F8F3596">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8</w:t>
            </w:r>
          </w:p>
        </w:tc>
        <w:tc>
          <w:tcPr>
            <w:tcW w:w="1813" w:type="dxa"/>
            <w:noWrap w:val="0"/>
            <w:tcMar>
              <w:top w:w="0" w:type="dxa"/>
              <w:left w:w="283" w:type="dxa"/>
              <w:bottom w:w="0" w:type="dxa"/>
              <w:right w:w="108" w:type="dxa"/>
            </w:tcMar>
            <w:vAlign w:val="center"/>
          </w:tcPr>
          <w:p w14:paraId="00339E04">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★号条款响应</w:t>
            </w:r>
          </w:p>
        </w:tc>
        <w:tc>
          <w:tcPr>
            <w:tcW w:w="6108" w:type="dxa"/>
            <w:noWrap w:val="0"/>
            <w:tcMar>
              <w:top w:w="0" w:type="dxa"/>
              <w:left w:w="283" w:type="dxa"/>
              <w:bottom w:w="0" w:type="dxa"/>
              <w:right w:w="108" w:type="dxa"/>
            </w:tcMar>
            <w:vAlign w:val="center"/>
          </w:tcPr>
          <w:p w14:paraId="44E67C2B">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投标文件满足招标文件第五章《采购需求》中★号条款要求的。</w:t>
            </w:r>
            <w:r>
              <w:rPr>
                <w:rFonts w:hint="eastAsia" w:ascii="宋体" w:hAnsi="宋体" w:eastAsia="宋体" w:cs="宋体"/>
                <w:b/>
                <w:bCs/>
                <w:snapToGrid w:val="0"/>
                <w:color w:val="000000" w:themeColor="text1"/>
                <w:spacing w:val="0"/>
                <w:szCs w:val="21"/>
                <w14:textFill>
                  <w14:solidFill>
                    <w14:schemeClr w14:val="tx1"/>
                  </w14:solidFill>
                </w14:textFill>
              </w:rPr>
              <w:t>（如第五章《采购需求》中有★号条款要求的，按照序号逐项提供相关证明材料；如第五章《采购需求》中没有★号条款要求的，则无需供应商提供材料。）</w:t>
            </w:r>
          </w:p>
        </w:tc>
      </w:tr>
      <w:tr w14:paraId="73296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1481D97A">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9</w:t>
            </w:r>
          </w:p>
        </w:tc>
        <w:tc>
          <w:tcPr>
            <w:tcW w:w="1813" w:type="dxa"/>
            <w:noWrap w:val="0"/>
            <w:tcMar>
              <w:top w:w="0" w:type="dxa"/>
              <w:left w:w="283" w:type="dxa"/>
              <w:bottom w:w="0" w:type="dxa"/>
              <w:right w:w="108" w:type="dxa"/>
            </w:tcMar>
            <w:vAlign w:val="center"/>
          </w:tcPr>
          <w:p w14:paraId="107F6FB0">
            <w:pPr>
              <w:keepNext w:val="0"/>
              <w:keepLines w:val="0"/>
              <w:widowControl/>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分包承担主体资质（如有）</w:t>
            </w:r>
          </w:p>
        </w:tc>
        <w:tc>
          <w:tcPr>
            <w:tcW w:w="6108" w:type="dxa"/>
            <w:noWrap w:val="0"/>
            <w:tcMar>
              <w:top w:w="0" w:type="dxa"/>
              <w:left w:w="283" w:type="dxa"/>
              <w:bottom w:w="0" w:type="dxa"/>
              <w:right w:w="108" w:type="dxa"/>
            </w:tcMar>
            <w:vAlign w:val="center"/>
          </w:tcPr>
          <w:p w14:paraId="524B75BF">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分包承担主体具备《投标人须知资料表》载明的资质条件且提供了资质证书（如有）；</w:t>
            </w:r>
          </w:p>
        </w:tc>
      </w:tr>
      <w:tr w14:paraId="4B0A8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6E322F36">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10</w:t>
            </w:r>
          </w:p>
        </w:tc>
        <w:tc>
          <w:tcPr>
            <w:tcW w:w="1813" w:type="dxa"/>
            <w:noWrap w:val="0"/>
            <w:tcMar>
              <w:top w:w="0" w:type="dxa"/>
              <w:left w:w="283" w:type="dxa"/>
              <w:bottom w:w="0" w:type="dxa"/>
              <w:right w:w="108" w:type="dxa"/>
            </w:tcMar>
            <w:vAlign w:val="center"/>
          </w:tcPr>
          <w:p w14:paraId="09545F0D">
            <w:pPr>
              <w:keepNext w:val="0"/>
              <w:keepLines w:val="0"/>
              <w:widowControl/>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分包意向协议</w:t>
            </w:r>
          </w:p>
          <w:p w14:paraId="6D72E2AC">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（如有）</w:t>
            </w:r>
          </w:p>
        </w:tc>
        <w:tc>
          <w:tcPr>
            <w:tcW w:w="6108" w:type="dxa"/>
            <w:noWrap w:val="0"/>
            <w:tcMar>
              <w:top w:w="0" w:type="dxa"/>
              <w:left w:w="283" w:type="dxa"/>
              <w:bottom w:w="0" w:type="dxa"/>
              <w:right w:w="108" w:type="dxa"/>
            </w:tcMar>
            <w:vAlign w:val="center"/>
          </w:tcPr>
          <w:p w14:paraId="0F74D5FE">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按招标文件规定签订并提供分包意向协议原件；（如有）</w:t>
            </w:r>
          </w:p>
        </w:tc>
      </w:tr>
      <w:tr w14:paraId="365A2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37DBD51F">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11</w:t>
            </w:r>
          </w:p>
        </w:tc>
        <w:tc>
          <w:tcPr>
            <w:tcW w:w="1813" w:type="dxa"/>
            <w:noWrap w:val="0"/>
            <w:tcMar>
              <w:top w:w="0" w:type="dxa"/>
              <w:left w:w="283" w:type="dxa"/>
              <w:bottom w:w="0" w:type="dxa"/>
              <w:right w:w="108" w:type="dxa"/>
            </w:tcMar>
            <w:vAlign w:val="center"/>
          </w:tcPr>
          <w:p w14:paraId="56B2AB78">
            <w:pPr>
              <w:keepNext w:val="0"/>
              <w:keepLines w:val="0"/>
              <w:widowControl/>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报价的修正（如有）</w:t>
            </w:r>
          </w:p>
        </w:tc>
        <w:tc>
          <w:tcPr>
            <w:tcW w:w="6108" w:type="dxa"/>
            <w:noWrap w:val="0"/>
            <w:tcMar>
              <w:top w:w="0" w:type="dxa"/>
              <w:left w:w="283" w:type="dxa"/>
              <w:bottom w:w="0" w:type="dxa"/>
              <w:right w:w="108" w:type="dxa"/>
            </w:tcMar>
            <w:vAlign w:val="center"/>
          </w:tcPr>
          <w:p w14:paraId="3E7DCBB6">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不涉及报价修正，或投标文件报价出现前后不一致时，投标人对修正后的报价予以确认；（如有，由评委审查，无需供应商提供材料）</w:t>
            </w:r>
          </w:p>
        </w:tc>
      </w:tr>
      <w:tr w14:paraId="23D71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5EF52905">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12</w:t>
            </w:r>
          </w:p>
        </w:tc>
        <w:tc>
          <w:tcPr>
            <w:tcW w:w="1813" w:type="dxa"/>
            <w:noWrap w:val="0"/>
            <w:tcMar>
              <w:top w:w="0" w:type="dxa"/>
              <w:left w:w="283" w:type="dxa"/>
              <w:bottom w:w="0" w:type="dxa"/>
              <w:right w:w="108" w:type="dxa"/>
            </w:tcMar>
            <w:vAlign w:val="center"/>
          </w:tcPr>
          <w:p w14:paraId="4F787DBC">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报价合理性</w:t>
            </w:r>
          </w:p>
        </w:tc>
        <w:tc>
          <w:tcPr>
            <w:tcW w:w="6108" w:type="dxa"/>
            <w:noWrap w:val="0"/>
            <w:tcMar>
              <w:top w:w="0" w:type="dxa"/>
              <w:left w:w="283" w:type="dxa"/>
              <w:bottom w:w="0" w:type="dxa"/>
              <w:right w:w="108" w:type="dxa"/>
            </w:tcMar>
            <w:vAlign w:val="center"/>
          </w:tcPr>
          <w:p w14:paraId="6249EF20">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报价合理，或投标人的报价明显低于其他通过符合性审查投标人的报价，有可能影响产品质量或者不能诚信履约的，能够应评标委员会要求在规定时间内证明其报价合理性的；（由评委审查，无需供应商提供材料）</w:t>
            </w:r>
          </w:p>
        </w:tc>
      </w:tr>
      <w:tr w14:paraId="4E503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1FE73CB5">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13</w:t>
            </w:r>
          </w:p>
        </w:tc>
        <w:tc>
          <w:tcPr>
            <w:tcW w:w="1813" w:type="dxa"/>
            <w:noWrap w:val="0"/>
            <w:tcMar>
              <w:top w:w="0" w:type="dxa"/>
              <w:left w:w="283" w:type="dxa"/>
              <w:bottom w:w="0" w:type="dxa"/>
              <w:right w:w="108" w:type="dxa"/>
            </w:tcMar>
            <w:vAlign w:val="center"/>
          </w:tcPr>
          <w:p w14:paraId="05A1FF88">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进口产品</w:t>
            </w:r>
          </w:p>
          <w:p w14:paraId="2F29195D">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（如有）</w:t>
            </w:r>
          </w:p>
        </w:tc>
        <w:tc>
          <w:tcPr>
            <w:tcW w:w="6108" w:type="dxa"/>
            <w:noWrap w:val="0"/>
            <w:tcMar>
              <w:top w:w="0" w:type="dxa"/>
              <w:left w:w="283" w:type="dxa"/>
              <w:bottom w:w="0" w:type="dxa"/>
              <w:right w:w="108" w:type="dxa"/>
            </w:tcMar>
            <w:vAlign w:val="center"/>
          </w:tcPr>
          <w:p w14:paraId="4557C8AD">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招标文件不接受进口产品投标的内容时，投标人所投产品非进口产品的；（由评委审查，无需供应商提供材料）</w:t>
            </w:r>
          </w:p>
        </w:tc>
      </w:tr>
      <w:tr w14:paraId="684B3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458DB8F8">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14</w:t>
            </w:r>
          </w:p>
        </w:tc>
        <w:tc>
          <w:tcPr>
            <w:tcW w:w="1813" w:type="dxa"/>
            <w:noWrap w:val="0"/>
            <w:tcMar>
              <w:top w:w="0" w:type="dxa"/>
              <w:left w:w="283" w:type="dxa"/>
              <w:bottom w:w="0" w:type="dxa"/>
              <w:right w:w="108" w:type="dxa"/>
            </w:tcMar>
            <w:vAlign w:val="center"/>
          </w:tcPr>
          <w:p w14:paraId="6CED929E">
            <w:pPr>
              <w:keepNext w:val="0"/>
              <w:keepLines w:val="0"/>
              <w:widowControl/>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国家有关部门对投标人的投标产品有强制性规定或要求的</w:t>
            </w:r>
          </w:p>
        </w:tc>
        <w:tc>
          <w:tcPr>
            <w:tcW w:w="6108" w:type="dxa"/>
            <w:noWrap w:val="0"/>
            <w:tcMar>
              <w:top w:w="0" w:type="dxa"/>
              <w:left w:w="283" w:type="dxa"/>
              <w:bottom w:w="0" w:type="dxa"/>
              <w:right w:w="108" w:type="dxa"/>
            </w:tcMar>
            <w:vAlign w:val="center"/>
          </w:tcPr>
          <w:p w14:paraId="2E831A0C">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国家有关部门对投标人的投标产品有强制性规定或要求的（如相应技术、安全、节能和环保等），投标人的投标产品应符合相应规定或要求，并提供证明文件：</w:t>
            </w:r>
          </w:p>
          <w:p w14:paraId="69691A15">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1）采购的产品若属于《节能产品政府采购品目清单》范围中政府强制采购产品，则投标人所报产品必须获得国家确定的认证机构出具的、处于有效期之内的节能产品认证证书；</w:t>
            </w:r>
          </w:p>
          <w:p w14:paraId="7CD2B217">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2）投标产品如涉及计算机信息系统安全专用产品的，须提供公安部颁发的计算机信息系统安全专用产品销售许可证；</w:t>
            </w:r>
          </w:p>
          <w:p w14:paraId="0A59E0F9">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3）投标产品如有属于开展国家信息安全产品认证产品范围的，须提供由中国网络安全审查技术与认证中心（原中国信息安全认证中心）按国家标准认证颁发的有效认证证书等）；</w:t>
            </w:r>
          </w:p>
          <w:p w14:paraId="5242ED4E">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p>
        </w:tc>
      </w:tr>
      <w:tr w14:paraId="1B96C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5CDB39D4">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15</w:t>
            </w:r>
          </w:p>
        </w:tc>
        <w:tc>
          <w:tcPr>
            <w:tcW w:w="1813" w:type="dxa"/>
            <w:noWrap w:val="0"/>
            <w:tcMar>
              <w:top w:w="0" w:type="dxa"/>
              <w:left w:w="283" w:type="dxa"/>
              <w:bottom w:w="0" w:type="dxa"/>
              <w:right w:w="108" w:type="dxa"/>
            </w:tcMar>
            <w:vAlign w:val="center"/>
          </w:tcPr>
          <w:p w14:paraId="7CF9527A">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公平竞争</w:t>
            </w:r>
          </w:p>
        </w:tc>
        <w:tc>
          <w:tcPr>
            <w:tcW w:w="6108" w:type="dxa"/>
            <w:noWrap w:val="0"/>
            <w:tcMar>
              <w:top w:w="0" w:type="dxa"/>
              <w:left w:w="283" w:type="dxa"/>
              <w:bottom w:w="0" w:type="dxa"/>
              <w:right w:w="108" w:type="dxa"/>
            </w:tcMar>
            <w:vAlign w:val="center"/>
          </w:tcPr>
          <w:p w14:paraId="0EC3F6BF">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投标人遵循公平竞争的原则，不存在恶意串通，妨碍其他投标人的竞争行为，不存在损害采购人或者其他投标人的合法权益情形的；（由评委审查，无需供应商提供材料）</w:t>
            </w:r>
          </w:p>
        </w:tc>
      </w:tr>
      <w:tr w14:paraId="63100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32E21F92">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16</w:t>
            </w:r>
          </w:p>
        </w:tc>
        <w:tc>
          <w:tcPr>
            <w:tcW w:w="1813" w:type="dxa"/>
            <w:noWrap w:val="0"/>
            <w:tcMar>
              <w:top w:w="0" w:type="dxa"/>
              <w:left w:w="283" w:type="dxa"/>
              <w:bottom w:w="0" w:type="dxa"/>
              <w:right w:w="108" w:type="dxa"/>
            </w:tcMar>
            <w:vAlign w:val="center"/>
          </w:tcPr>
          <w:p w14:paraId="409B3329">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串通投标</w:t>
            </w:r>
          </w:p>
        </w:tc>
        <w:tc>
          <w:tcPr>
            <w:tcW w:w="6108" w:type="dxa"/>
            <w:noWrap w:val="0"/>
            <w:tcMar>
              <w:top w:w="0" w:type="dxa"/>
              <w:left w:w="283" w:type="dxa"/>
              <w:bottom w:w="0" w:type="dxa"/>
              <w:right w:w="108" w:type="dxa"/>
            </w:tcMar>
            <w:vAlign w:val="center"/>
          </w:tcPr>
          <w:p w14:paraId="2110E690">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0D7FF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634EEEBC">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17</w:t>
            </w:r>
          </w:p>
        </w:tc>
        <w:tc>
          <w:tcPr>
            <w:tcW w:w="1813" w:type="dxa"/>
            <w:noWrap w:val="0"/>
            <w:tcMar>
              <w:top w:w="0" w:type="dxa"/>
              <w:left w:w="283" w:type="dxa"/>
              <w:bottom w:w="0" w:type="dxa"/>
              <w:right w:w="108" w:type="dxa"/>
            </w:tcMar>
            <w:vAlign w:val="center"/>
          </w:tcPr>
          <w:p w14:paraId="329CF787">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附加条件</w:t>
            </w:r>
          </w:p>
        </w:tc>
        <w:tc>
          <w:tcPr>
            <w:tcW w:w="6108" w:type="dxa"/>
            <w:noWrap w:val="0"/>
            <w:tcMar>
              <w:top w:w="0" w:type="dxa"/>
              <w:left w:w="283" w:type="dxa"/>
              <w:bottom w:w="0" w:type="dxa"/>
              <w:right w:w="108" w:type="dxa"/>
            </w:tcMar>
            <w:vAlign w:val="center"/>
          </w:tcPr>
          <w:p w14:paraId="736A9A44">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投标文件未含有采购人不能接受的附加条件的；（由评委审查，无需供应商提供材料）</w:t>
            </w:r>
          </w:p>
        </w:tc>
      </w:tr>
      <w:tr w14:paraId="52D53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5875ECAD">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18</w:t>
            </w:r>
          </w:p>
        </w:tc>
        <w:tc>
          <w:tcPr>
            <w:tcW w:w="1813" w:type="dxa"/>
            <w:noWrap w:val="0"/>
            <w:tcMar>
              <w:top w:w="0" w:type="dxa"/>
              <w:left w:w="283" w:type="dxa"/>
              <w:bottom w:w="0" w:type="dxa"/>
              <w:right w:w="108" w:type="dxa"/>
            </w:tcMar>
            <w:vAlign w:val="center"/>
          </w:tcPr>
          <w:p w14:paraId="3B00521C">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其他无效情形</w:t>
            </w:r>
          </w:p>
        </w:tc>
        <w:tc>
          <w:tcPr>
            <w:tcW w:w="6108" w:type="dxa"/>
            <w:noWrap w:val="0"/>
            <w:tcMar>
              <w:top w:w="0" w:type="dxa"/>
              <w:left w:w="283" w:type="dxa"/>
              <w:bottom w:w="0" w:type="dxa"/>
              <w:right w:w="108" w:type="dxa"/>
            </w:tcMar>
            <w:vAlign w:val="center"/>
          </w:tcPr>
          <w:p w14:paraId="6BEE7133">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投标人、投标文件不存在不符合法律、法规和招标文件规定的其他无效情形。（由评委审查，无需供应商提供材料）</w:t>
            </w:r>
          </w:p>
        </w:tc>
      </w:tr>
    </w:tbl>
    <w:p w14:paraId="6925204B">
      <w:pPr>
        <w:pStyle w:val="17"/>
        <w:keepNext w:val="0"/>
        <w:keepLines w:val="0"/>
        <w:numPr>
          <w:ilvl w:val="0"/>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投标文件有关事项的澄清或者说明</w:t>
      </w:r>
    </w:p>
    <w:p w14:paraId="0637DF80">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过程中，评标委员会将通过“苏采云”系统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eastAsia="宋体" w:cs="宋体"/>
          <w:snapToGrid w:val="0"/>
          <w:color w:val="000000" w:themeColor="text1"/>
          <w:spacing w:val="0"/>
          <w:sz w:val="24"/>
          <w:szCs w:val="24"/>
          <w14:textFill>
            <w14:solidFill>
              <w14:schemeClr w14:val="tx1"/>
            </w14:solidFill>
          </w14:textFill>
        </w:rPr>
        <w:t>接到评标委员会澄清、说明和补正要求的投标人如未按规定做出澄清、说明和补正，其风险由投标人自行承担。</w:t>
      </w:r>
    </w:p>
    <w:p w14:paraId="57B12074">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snapToGrid w:val="0"/>
          <w:color w:val="000000" w:themeColor="text1"/>
          <w:spacing w:val="0"/>
          <w:sz w:val="24"/>
          <w14:textFill>
            <w14:solidFill>
              <w14:schemeClr w14:val="tx1"/>
            </w14:solidFill>
          </w14:textFill>
        </w:rPr>
        <w:t>无效投标处理</w:t>
      </w:r>
      <w:r>
        <w:rPr>
          <w:rFonts w:hint="eastAsia" w:ascii="宋体" w:hAnsi="宋体" w:eastAsia="宋体" w:cs="宋体"/>
          <w:snapToGrid w:val="0"/>
          <w:color w:val="000000" w:themeColor="text1"/>
          <w:spacing w:val="0"/>
          <w:sz w:val="24"/>
          <w14:textFill>
            <w14:solidFill>
              <w14:schemeClr w14:val="tx1"/>
            </w14:solidFill>
          </w14:textFill>
        </w:rPr>
        <w:t>。</w:t>
      </w:r>
    </w:p>
    <w:p w14:paraId="16C76785">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snapToGrid w:val="0"/>
          <w:color w:val="000000" w:themeColor="text1"/>
          <w:spacing w:val="0"/>
          <w:sz w:val="24"/>
          <w14:textFill>
            <w14:solidFill>
              <w14:schemeClr w14:val="tx1"/>
            </w14:solidFill>
          </w14:textFill>
        </w:rPr>
        <w:t>投标无效</w:t>
      </w:r>
      <w:r>
        <w:rPr>
          <w:rFonts w:hint="eastAsia" w:ascii="宋体" w:hAnsi="宋体" w:eastAsia="宋体" w:cs="宋体"/>
          <w:snapToGrid w:val="0"/>
          <w:color w:val="000000" w:themeColor="text1"/>
          <w:spacing w:val="0"/>
          <w:sz w:val="24"/>
          <w14:textFill>
            <w14:solidFill>
              <w14:schemeClr w14:val="tx1"/>
            </w14:solidFill>
          </w14:textFill>
        </w:rPr>
        <w:t>。</w:t>
      </w:r>
    </w:p>
    <w:p w14:paraId="24839493">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投标文件报价出现前后不一致的，按照下列规定修正。</w:t>
      </w:r>
    </w:p>
    <w:p w14:paraId="5C6A85E6">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招标文件对于报价修正是否另有规定：</w:t>
      </w:r>
    </w:p>
    <w:p w14:paraId="210C5BE8">
      <w:pPr>
        <w:keepNext w:val="0"/>
        <w:keepLines w:val="0"/>
        <w:kinsoku/>
        <w:wordWrap/>
        <w:overflowPunct/>
        <w:topLinePunct w:val="0"/>
        <w:autoSpaceDE/>
        <w:autoSpaceDN/>
        <w:bidi w:val="0"/>
        <w:adjustRightInd w:val="0"/>
        <w:snapToGrid w:val="0"/>
        <w:spacing w:line="360" w:lineRule="auto"/>
        <w:ind w:left="0" w:leftChars="0" w:right="0" w:firstLine="96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□有，具体规定为：</w:t>
      </w:r>
    </w:p>
    <w:p w14:paraId="63BA09F5">
      <w:pPr>
        <w:keepNext w:val="0"/>
        <w:keepLines w:val="0"/>
        <w:kinsoku/>
        <w:wordWrap/>
        <w:overflowPunct/>
        <w:topLinePunct w:val="0"/>
        <w:autoSpaceDE/>
        <w:autoSpaceDN/>
        <w:bidi w:val="0"/>
        <w:adjustRightInd w:val="0"/>
        <w:snapToGrid w:val="0"/>
        <w:spacing w:line="360" w:lineRule="auto"/>
        <w:ind w:left="0" w:leftChars="0" w:right="0" w:firstLine="96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■无，按下述2.4.2.2—2.4.7项规定修正</w:t>
      </w:r>
    </w:p>
    <w:p w14:paraId="58866B5D">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单独递交的开标一览表（报价表）与投标文件中开标一览表（报价表）内容不一致的，以单独递交的开标一览表（报价表）为准；</w:t>
      </w:r>
    </w:p>
    <w:p w14:paraId="392CC661">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投标文件中开标一览表（报价表）内容与投标文件中相应内容不一致的，以开标一览表（报价表）为准；</w:t>
      </w:r>
    </w:p>
    <w:p w14:paraId="649E76E0">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大写金额和小写金额不一致的，以大写金额为准；</w:t>
      </w:r>
    </w:p>
    <w:p w14:paraId="43AC861C">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单价金额小数点或者百分比有明显错位的，以开标一览表的总价为准，并修改单价；</w:t>
      </w:r>
    </w:p>
    <w:p w14:paraId="05EFC308">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总价金额与按单价汇总金额不一致的，以单价金额计算结果为准；</w:t>
      </w:r>
    </w:p>
    <w:p w14:paraId="2F8D6A71">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同时出现两种以上不一致的，按照前款规定的顺序修正。评标委员会</w:t>
      </w:r>
      <w:r>
        <w:rPr>
          <w:rFonts w:hint="eastAsia" w:ascii="宋体" w:hAnsi="宋体" w:eastAsia="宋体" w:cs="宋体"/>
          <w:bCs/>
          <w:snapToGrid w:val="0"/>
          <w:color w:val="000000" w:themeColor="text1"/>
          <w:spacing w:val="0"/>
          <w:sz w:val="24"/>
          <w14:textFill>
            <w14:solidFill>
              <w14:schemeClr w14:val="tx1"/>
            </w14:solidFill>
          </w14:textFill>
        </w:rPr>
        <w:t>将按上述修正错误的方法调整投标文件中的投标报价，并通过“</w:t>
      </w:r>
      <w:r>
        <w:rPr>
          <w:rFonts w:hint="eastAsia" w:ascii="宋体" w:hAnsi="宋体" w:eastAsia="宋体" w:cs="宋体"/>
          <w:snapToGrid w:val="0"/>
          <w:color w:val="000000" w:themeColor="text1"/>
          <w:spacing w:val="0"/>
          <w:sz w:val="24"/>
          <w:szCs w:val="24"/>
          <w14:textFill>
            <w14:solidFill>
              <w14:schemeClr w14:val="tx1"/>
            </w14:solidFill>
          </w14:textFill>
        </w:rPr>
        <w:t>苏采云”系统</w:t>
      </w:r>
      <w:r>
        <w:rPr>
          <w:rFonts w:hint="eastAsia" w:ascii="宋体" w:hAnsi="宋体" w:eastAsia="宋体" w:cs="宋体"/>
          <w:bCs/>
          <w:snapToGrid w:val="0"/>
          <w:color w:val="000000" w:themeColor="text1"/>
          <w:spacing w:val="0"/>
          <w:sz w:val="24"/>
          <w14:textFill>
            <w14:solidFill>
              <w14:schemeClr w14:val="tx1"/>
            </w14:solidFill>
          </w14:textFill>
        </w:rPr>
        <w:t>告知投标人，</w:t>
      </w:r>
      <w:r>
        <w:rPr>
          <w:rFonts w:hint="eastAsia" w:ascii="宋体" w:hAnsi="宋体" w:eastAsia="宋体" w:cs="宋体"/>
          <w:snapToGrid w:val="0"/>
          <w:color w:val="000000" w:themeColor="text1"/>
          <w:spacing w:val="0"/>
          <w:sz w:val="24"/>
          <w14:textFill>
            <w14:solidFill>
              <w14:schemeClr w14:val="tx1"/>
            </w14:solidFill>
          </w14:textFill>
        </w:rPr>
        <w:t>修正后的报价经投标人书面确认后产生约束力，投标人不确认的，其</w:t>
      </w:r>
      <w:r>
        <w:rPr>
          <w:rFonts w:hint="eastAsia" w:ascii="宋体" w:hAnsi="宋体" w:eastAsia="宋体" w:cs="宋体"/>
          <w:b/>
          <w:snapToGrid w:val="0"/>
          <w:color w:val="000000" w:themeColor="text1"/>
          <w:spacing w:val="0"/>
          <w:sz w:val="24"/>
          <w14:textFill>
            <w14:solidFill>
              <w14:schemeClr w14:val="tx1"/>
            </w14:solidFill>
          </w14:textFill>
        </w:rPr>
        <w:t>投标无效；</w:t>
      </w:r>
    </w:p>
    <w:p w14:paraId="396543A2">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default" w:ascii="宋体" w:hAnsi="宋体" w:eastAsia="宋体" w:cs="宋体"/>
          <w:snapToGrid w:val="0"/>
          <w:color w:val="000000" w:themeColor="text1"/>
          <w:spacing w:val="0"/>
          <w:sz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lang w:val="en-US" w:eastAsia="zh-CN"/>
          <w14:textFill>
            <w14:solidFill>
              <w14:schemeClr w14:val="tx1"/>
            </w14:solidFill>
          </w14:textFill>
        </w:rPr>
        <w:t>根据财库〔2026〕02号文件规定，评审委员会应针对响应文件进行政府采购异常低价审查：</w:t>
      </w:r>
    </w:p>
    <w:p w14:paraId="155EC977">
      <w:pPr>
        <w:pStyle w:val="17"/>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rPr>
          <w:rFonts w:hint="eastAsia" w:ascii="宋体" w:hAnsi="宋体" w:eastAsia="宋体" w:cs="宋体"/>
          <w:snapToGrid w:val="0"/>
          <w:color w:val="000000" w:themeColor="text1"/>
          <w:spacing w:val="0"/>
          <w:sz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lang w:val="en-US" w:eastAsia="zh-CN"/>
          <w14:textFill>
            <w14:solidFill>
              <w14:schemeClr w14:val="tx1"/>
            </w14:solidFill>
          </w14:textFill>
        </w:rPr>
        <w:t>（一）采购人应当在采购文件中明确，政府采购评审中出现下列情形之一的，评审委员会应当启动异常低价响应审查程序：</w:t>
      </w:r>
    </w:p>
    <w:p w14:paraId="2CF4D6D6">
      <w:pPr>
        <w:pStyle w:val="17"/>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rPr>
          <w:rFonts w:hint="eastAsia" w:ascii="宋体" w:hAnsi="宋体" w:eastAsia="宋体" w:cs="宋体"/>
          <w:snapToGrid w:val="0"/>
          <w:color w:val="000000" w:themeColor="text1"/>
          <w:spacing w:val="0"/>
          <w:sz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lang w:val="en-US" w:eastAsia="zh-CN"/>
          <w14:textFill>
            <w14:solidFill>
              <w14:schemeClr w14:val="tx1"/>
            </w14:solidFill>
          </w14:textFill>
        </w:rPr>
        <w:t>1.响应报价低于全部通过符合性审查供应商响应报价平均值50%的，即响应报价&lt;全部通过符合性审查供应商响应报价平均值×50%；</w:t>
      </w:r>
    </w:p>
    <w:p w14:paraId="11C753AD">
      <w:pPr>
        <w:pStyle w:val="17"/>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rPr>
          <w:rFonts w:hint="eastAsia" w:ascii="宋体" w:hAnsi="宋体" w:eastAsia="宋体" w:cs="宋体"/>
          <w:snapToGrid w:val="0"/>
          <w:color w:val="000000" w:themeColor="text1"/>
          <w:spacing w:val="0"/>
          <w:sz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lang w:val="en-US" w:eastAsia="zh-CN"/>
          <w14:textFill>
            <w14:solidFill>
              <w14:schemeClr w14:val="tx1"/>
            </w14:solidFill>
          </w14:textFill>
        </w:rPr>
        <w:t>2.响应报价低于通过符合性审查的次低报价供应商响应报价50%的，即响应报价&lt;通过符合性审查的次低报价供应商响应报价×50%；</w:t>
      </w:r>
    </w:p>
    <w:p w14:paraId="20DD2E6C">
      <w:pPr>
        <w:pStyle w:val="17"/>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rPr>
          <w:rFonts w:hint="eastAsia" w:ascii="宋体" w:hAnsi="宋体" w:eastAsia="宋体" w:cs="宋体"/>
          <w:snapToGrid w:val="0"/>
          <w:color w:val="000000" w:themeColor="text1"/>
          <w:spacing w:val="0"/>
          <w:sz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lang w:val="en-US" w:eastAsia="zh-CN"/>
          <w14:textFill>
            <w14:solidFill>
              <w14:schemeClr w14:val="tx1"/>
            </w14:solidFill>
          </w14:textFill>
        </w:rPr>
        <w:t>3.响应报价低于采购项目最高限价45%的，即响应报价&lt;采购项目最高限价×45%；</w:t>
      </w:r>
    </w:p>
    <w:p w14:paraId="076864D0">
      <w:pPr>
        <w:pStyle w:val="17"/>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rPr>
          <w:rFonts w:hint="eastAsia" w:ascii="宋体" w:hAnsi="宋体" w:eastAsia="宋体" w:cs="宋体"/>
          <w:snapToGrid w:val="0"/>
          <w:color w:val="000000" w:themeColor="text1"/>
          <w:spacing w:val="0"/>
          <w:sz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lang w:val="en-US" w:eastAsia="zh-CN"/>
          <w14:textFill>
            <w14:solidFill>
              <w14:schemeClr w14:val="tx1"/>
            </w14:solidFill>
          </w14:textFill>
        </w:rPr>
        <w:t>4.评审委员会基于专业判断，认为供应商报价过低，有可能影响产品质量或者不能诚信履约的其他情形。</w:t>
      </w:r>
    </w:p>
    <w:p w14:paraId="2BCEB6BE">
      <w:pPr>
        <w:pStyle w:val="17"/>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rPr>
          <w:rFonts w:hint="eastAsia" w:ascii="宋体" w:hAnsi="宋体" w:eastAsia="宋体" w:cs="宋体"/>
          <w:snapToGrid w:val="0"/>
          <w:color w:val="000000" w:themeColor="text1"/>
          <w:spacing w:val="0"/>
          <w:sz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lang w:val="en-US" w:eastAsia="zh-CN"/>
          <w14:textFill>
            <w14:solidFill>
              <w14:schemeClr w14:val="tx1"/>
            </w14:solidFill>
          </w14:textFill>
        </w:rPr>
        <w:t>（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27B39BC7">
      <w:pPr>
        <w:pStyle w:val="17"/>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rPr>
          <w:rFonts w:hint="eastAsia" w:ascii="宋体" w:hAnsi="宋体" w:eastAsia="宋体" w:cs="宋体"/>
          <w:snapToGrid w:val="0"/>
          <w:color w:val="000000" w:themeColor="text1"/>
          <w:spacing w:val="0"/>
          <w:sz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lang w:val="en-US" w:eastAsia="zh-CN"/>
          <w14:textFill>
            <w14:solidFill>
              <w14:schemeClr w14:val="tx1"/>
            </w14:solidFill>
          </w14:textFill>
        </w:rPr>
        <w:t>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p>
    <w:p w14:paraId="377613DE">
      <w:pPr>
        <w:pStyle w:val="17"/>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rPr>
          <w:rFonts w:hint="eastAsia" w:ascii="宋体" w:hAnsi="宋体" w:eastAsia="宋体" w:cs="宋体"/>
          <w:snapToGrid w:val="0"/>
          <w:color w:val="000000" w:themeColor="text1"/>
          <w:spacing w:val="0"/>
          <w:sz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lang w:val="en-US" w:eastAsia="zh-CN"/>
          <w14:textFill>
            <w14:solidFill>
              <w14:schemeClr w14:val="tx1"/>
            </w14:solidFill>
          </w14:textFill>
        </w:rPr>
        <w:t>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F91FCF0">
      <w:pPr>
        <w:pStyle w:val="17"/>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lang w:val="en-US" w:eastAsia="zh-CN"/>
          <w14:textFill>
            <w14:solidFill>
              <w14:schemeClr w14:val="tx1"/>
            </w14:solidFill>
          </w14:textFill>
        </w:rPr>
        <w:t>异常低价响应审查的启动原因、审查意见和审查结果应当在评审报告中记录，并随供应商提供的相关书面说明及证明材料，以及评审委员会有关互联网浏览、查询历史一并归档。</w:t>
      </w:r>
    </w:p>
    <w:p w14:paraId="3BD6576A">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落实政府采购政策的价格调整：只有符合第二章《投标人须知》5.2条规定情形的，可以享受中小企业扶持政策，用扣除后的价格参加评审；否则，评标时价格不予扣除。</w:t>
      </w:r>
    </w:p>
    <w:p w14:paraId="1188F80F">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对于未预留份额专门面向中小企业采购的采购项目，以及预留份额项目中的非预留部分采购包，对小微企业报价给予20%的扣除，用扣除后的价格参加评审。</w:t>
      </w:r>
    </w:p>
    <w:p w14:paraId="664F18A3">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对于未预留份额专门面向中小企业采购的采购项目，以及预留份额项目中的非预留部分采购包，且接受大中型企业与</w:t>
      </w:r>
      <w:r>
        <w:rPr>
          <w:rFonts w:hint="eastAsia" w:ascii="宋体" w:hAnsi="宋体" w:eastAsia="宋体" w:cs="宋体"/>
          <w:b/>
          <w:snapToGrid w:val="0"/>
          <w:color w:val="000000" w:themeColor="text1"/>
          <w:spacing w:val="0"/>
          <w:sz w:val="24"/>
          <w14:textFill>
            <w14:solidFill>
              <w14:schemeClr w14:val="tx1"/>
            </w14:solidFill>
          </w14:textFill>
        </w:rPr>
        <w:t>小微企业</w:t>
      </w:r>
      <w:r>
        <w:rPr>
          <w:rFonts w:hint="eastAsia" w:ascii="宋体" w:hAnsi="宋体" w:eastAsia="宋体" w:cs="宋体"/>
          <w:snapToGrid w:val="0"/>
          <w:color w:val="000000" w:themeColor="text1"/>
          <w:spacing w:val="0"/>
          <w:sz w:val="24"/>
          <w14:textFill>
            <w14:solidFill>
              <w14:schemeClr w14:val="tx1"/>
            </w14:solidFill>
          </w14:textFill>
        </w:rPr>
        <w:t>组成联合体或者允许大中型企业向一家或者多家</w:t>
      </w:r>
      <w:r>
        <w:rPr>
          <w:rFonts w:hint="eastAsia" w:ascii="宋体" w:hAnsi="宋体" w:eastAsia="宋体" w:cs="宋体"/>
          <w:b/>
          <w:snapToGrid w:val="0"/>
          <w:color w:val="000000" w:themeColor="text1"/>
          <w:spacing w:val="0"/>
          <w:sz w:val="24"/>
          <w14:textFill>
            <w14:solidFill>
              <w14:schemeClr w14:val="tx1"/>
            </w14:solidFill>
          </w14:textFill>
        </w:rPr>
        <w:t>小微企业</w:t>
      </w:r>
      <w:r>
        <w:rPr>
          <w:rFonts w:hint="eastAsia" w:ascii="宋体" w:hAnsi="宋体" w:eastAsia="宋体" w:cs="宋体"/>
          <w:snapToGrid w:val="0"/>
          <w:color w:val="000000" w:themeColor="text1"/>
          <w:spacing w:val="0"/>
          <w:sz w:val="24"/>
          <w14:textFill>
            <w14:solidFill>
              <w14:schemeClr w14:val="tx1"/>
            </w14:solidFill>
          </w14:textFill>
        </w:rPr>
        <w:t>分包的采购项目，对于联合协议或者分包意向协议约定</w:t>
      </w:r>
      <w:r>
        <w:rPr>
          <w:rFonts w:hint="eastAsia" w:ascii="宋体" w:hAnsi="宋体" w:eastAsia="宋体" w:cs="宋体"/>
          <w:b/>
          <w:snapToGrid w:val="0"/>
          <w:color w:val="000000" w:themeColor="text1"/>
          <w:spacing w:val="0"/>
          <w:sz w:val="24"/>
          <w14:textFill>
            <w14:solidFill>
              <w14:schemeClr w14:val="tx1"/>
            </w14:solidFill>
          </w14:textFill>
        </w:rPr>
        <w:t>小微企业</w:t>
      </w:r>
      <w:r>
        <w:rPr>
          <w:rFonts w:hint="eastAsia" w:ascii="宋体" w:hAnsi="宋体" w:eastAsia="宋体" w:cs="宋体"/>
          <w:snapToGrid w:val="0"/>
          <w:color w:val="000000" w:themeColor="text1"/>
          <w:spacing w:val="0"/>
          <w:sz w:val="24"/>
          <w14:textFill>
            <w14:solidFill>
              <w14:schemeClr w14:val="tx1"/>
            </w14:solidFill>
          </w14:textFill>
        </w:rPr>
        <w:t>的合同份额占到合同总金额 30%以上的联合体或者大中型企业的报价给予</w:t>
      </w:r>
      <w:r>
        <w:rPr>
          <w:rFonts w:hint="eastAsia" w:ascii="宋体" w:hAnsi="宋体" w:eastAsia="宋体" w:cs="宋体"/>
          <w:snapToGrid w:val="0"/>
          <w:color w:val="000000" w:themeColor="text1"/>
          <w:spacing w:val="0"/>
          <w:sz w:val="24"/>
          <w:u w:val="single"/>
          <w14:textFill>
            <w14:solidFill>
              <w14:schemeClr w14:val="tx1"/>
            </w14:solidFill>
          </w14:textFill>
        </w:rPr>
        <w:t>3</w:t>
      </w:r>
      <w:r>
        <w:rPr>
          <w:rFonts w:hint="eastAsia" w:ascii="宋体" w:hAnsi="宋体" w:eastAsia="宋体" w:cs="宋体"/>
          <w:snapToGrid w:val="0"/>
          <w:color w:val="000000" w:themeColor="text1"/>
          <w:spacing w:val="0"/>
          <w:sz w:val="24"/>
          <w14:textFill>
            <w14:solidFill>
              <w14:schemeClr w14:val="tx1"/>
            </w14:solidFill>
          </w14:textFill>
        </w:rPr>
        <w:t>%的扣除，用扣除后的价格参加评审。</w:t>
      </w:r>
    </w:p>
    <w:p w14:paraId="1F21FF18">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组成联合体或者接受分包的小微企业与联合体内其他企业、分包企业之间存在直接控股、管理关系的，不享受价格扣除优惠政策。</w:t>
      </w:r>
    </w:p>
    <w:p w14:paraId="53F44F76">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价格扣除比例对小型企业和微型企业同等对待，不作区分。</w:t>
      </w:r>
    </w:p>
    <w:p w14:paraId="3240CE0B">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中小企业参加政府采购活动，应当按照招标文件给定的格式出具《中小企业声明函》，否则不得享受相关中小企业扶持政策。</w:t>
      </w:r>
    </w:p>
    <w:p w14:paraId="156F26EE">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监狱企业提供了由省级以上监狱管理局（常州市含教育矫治局）、戒毒管理局（含新疆生产建设兵团）出具的属于监狱企业的证明文件的，视同小微企业。</w:t>
      </w:r>
    </w:p>
    <w:p w14:paraId="21198F11">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残疾人福利性单位按招标文件要求提供了《残疾人福利性单位声明函》（见附件）的，视同小微企业。</w:t>
      </w:r>
    </w:p>
    <w:p w14:paraId="5136CB3F">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若投标人同时属于小型或微型企业、监狱企业、残疾人福利性单位中的两种及以上，将不重复享受小微企业价格扣减的优惠政策。</w:t>
      </w:r>
    </w:p>
    <w:p w14:paraId="7D51AFC1">
      <w:pPr>
        <w:pStyle w:val="17"/>
        <w:keepNext w:val="0"/>
        <w:keepLines w:val="0"/>
        <w:numPr>
          <w:ilvl w:val="0"/>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投标文件的比较和评价</w:t>
      </w:r>
      <w:r>
        <w:rPr>
          <w:rFonts w:hint="eastAsia" w:ascii="宋体" w:hAnsi="宋体" w:eastAsia="宋体" w:cs="宋体"/>
          <w:b/>
          <w:snapToGrid w:val="0"/>
          <w:color w:val="000000" w:themeColor="text1"/>
          <w:spacing w:val="0"/>
          <w:sz w:val="24"/>
          <w14:textFill>
            <w14:solidFill>
              <w14:schemeClr w14:val="tx1"/>
            </w14:solidFill>
          </w14:textFill>
        </w:rPr>
        <w:t>：</w:t>
      </w:r>
    </w:p>
    <w:p w14:paraId="0E431E09">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评标委员会将按照招标文件中规定的评标方法和标准，对符合性审查合格的投标文件进行商务和技术评估，综合比较与评价；未通过符合性审查的投标文件不得进入比较与评价；</w:t>
      </w:r>
    </w:p>
    <w:p w14:paraId="4BA14790">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评标方法和评标标准；</w:t>
      </w:r>
    </w:p>
    <w:p w14:paraId="7B876764">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本项目采用的评标方法为：</w:t>
      </w:r>
    </w:p>
    <w:p w14:paraId="383487DA">
      <w:pPr>
        <w:keepNext w:val="0"/>
        <w:keepLines w:val="0"/>
        <w:kinsoku/>
        <w:wordWrap/>
        <w:overflowPunct/>
        <w:topLinePunct w:val="0"/>
        <w:autoSpaceDE/>
        <w:autoSpaceDN/>
        <w:bidi w:val="0"/>
        <w:adjustRightInd w:val="0"/>
        <w:snapToGrid w:val="0"/>
        <w:spacing w:line="360" w:lineRule="auto"/>
        <w:ind w:left="0" w:leftChars="0" w:right="0" w:firstLine="24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w:t>
      </w:r>
      <w:r>
        <w:rPr>
          <w:rFonts w:hint="eastAsia" w:ascii="宋体" w:hAnsi="宋体" w:eastAsia="宋体" w:cs="宋体"/>
          <w:snapToGrid w:val="0"/>
          <w:color w:val="000000" w:themeColor="text1"/>
          <w:spacing w:val="0"/>
          <w:sz w:val="24"/>
          <w14:textFill>
            <w14:solidFill>
              <w14:schemeClr w14:val="tx1"/>
            </w14:solidFill>
          </w14:textFill>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1F484E3C">
      <w:pPr>
        <w:keepNext w:val="0"/>
        <w:keepLines w:val="0"/>
        <w:kinsoku/>
        <w:wordWrap/>
        <w:overflowPunct/>
        <w:topLinePunct w:val="0"/>
        <w:autoSpaceDE/>
        <w:autoSpaceDN/>
        <w:bidi w:val="0"/>
        <w:adjustRightInd w:val="0"/>
        <w:snapToGrid w:val="0"/>
        <w:spacing w:line="360" w:lineRule="auto"/>
        <w:ind w:left="0" w:leftChars="0" w:right="0" w:firstLine="24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w:t>
      </w:r>
      <w:r>
        <w:rPr>
          <w:rFonts w:hint="eastAsia" w:ascii="宋体" w:hAnsi="宋体" w:eastAsia="宋体" w:cs="宋体"/>
          <w:snapToGrid w:val="0"/>
          <w:color w:val="000000" w:themeColor="text1"/>
          <w:spacing w:val="0"/>
          <w:sz w:val="24"/>
          <w14:textFill>
            <w14:solidFill>
              <w14:schemeClr w14:val="tx1"/>
            </w14:solidFill>
          </w14:textFill>
        </w:rPr>
        <w:t>最低评标价法，指投标文件满足招标文件全部实质性要求，且投标报价最低的投标人为中标候选人的评标方法。</w:t>
      </w:r>
    </w:p>
    <w:p w14:paraId="38747DC5">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snapToGrid w:val="0"/>
          <w:color w:val="000000" w:themeColor="text1"/>
          <w:spacing w:val="0"/>
          <w:sz w:val="24"/>
          <w14:textFill>
            <w14:solidFill>
              <w14:schemeClr w14:val="tx1"/>
            </w14:solidFill>
          </w14:textFill>
        </w:rPr>
        <w:t>投标无效。</w:t>
      </w:r>
    </w:p>
    <w:p w14:paraId="5F826DC8">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非政府强制采购的节能产品或环境标志产品，依据品目清单和认证证书实施政府优先采购。优先采购的具体规定（如涉及）</w:t>
      </w:r>
      <w:r>
        <w:rPr>
          <w:rFonts w:hint="eastAsia" w:ascii="宋体" w:hAnsi="宋体" w:eastAsia="宋体" w:cs="宋体"/>
          <w:snapToGrid w:val="0"/>
          <w:color w:val="000000" w:themeColor="text1"/>
          <w:spacing w:val="0"/>
          <w:sz w:val="24"/>
          <w:u w:val="single"/>
          <w14:textFill>
            <w14:solidFill>
              <w14:schemeClr w14:val="tx1"/>
            </w14:solidFill>
          </w14:textFill>
        </w:rPr>
        <w:t xml:space="preserve">  /  </w:t>
      </w:r>
      <w:r>
        <w:rPr>
          <w:rFonts w:hint="eastAsia" w:ascii="宋体" w:hAnsi="宋体" w:eastAsia="宋体" w:cs="宋体"/>
          <w:snapToGrid w:val="0"/>
          <w:color w:val="000000" w:themeColor="text1"/>
          <w:spacing w:val="0"/>
          <w:sz w:val="24"/>
          <w14:textFill>
            <w14:solidFill>
              <w14:schemeClr w14:val="tx1"/>
            </w14:solidFill>
          </w14:textFill>
        </w:rPr>
        <w:t>。</w:t>
      </w:r>
    </w:p>
    <w:p w14:paraId="0403593B">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关于无线局域网认证产品政府采购清单中的产品，优先采购的具体规定（如涉及）</w:t>
      </w:r>
      <w:r>
        <w:rPr>
          <w:rFonts w:hint="eastAsia" w:ascii="宋体" w:hAnsi="宋体" w:eastAsia="宋体" w:cs="宋体"/>
          <w:snapToGrid w:val="0"/>
          <w:color w:val="000000" w:themeColor="text1"/>
          <w:spacing w:val="0"/>
          <w:sz w:val="24"/>
          <w:u w:val="single"/>
          <w14:textFill>
            <w14:solidFill>
              <w14:schemeClr w14:val="tx1"/>
            </w14:solidFill>
          </w14:textFill>
        </w:rPr>
        <w:t xml:space="preserve">  /  </w:t>
      </w:r>
      <w:r>
        <w:rPr>
          <w:rFonts w:hint="eastAsia" w:ascii="宋体" w:hAnsi="宋体" w:eastAsia="宋体" w:cs="宋体"/>
          <w:snapToGrid w:val="0"/>
          <w:color w:val="000000" w:themeColor="text1"/>
          <w:spacing w:val="0"/>
          <w:sz w:val="24"/>
          <w14:textFill>
            <w14:solidFill>
              <w14:schemeClr w14:val="tx1"/>
            </w14:solidFill>
          </w14:textFill>
        </w:rPr>
        <w:t>。</w:t>
      </w:r>
    </w:p>
    <w:p w14:paraId="0FBA8896">
      <w:pPr>
        <w:pStyle w:val="17"/>
        <w:keepNext w:val="0"/>
        <w:keepLines w:val="0"/>
        <w:numPr>
          <w:ilvl w:val="0"/>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确定中标候选人名单</w:t>
      </w:r>
    </w:p>
    <w:p w14:paraId="3F5EB43E">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347D8F44">
      <w:pPr>
        <w:keepNext w:val="0"/>
        <w:keepLines w:val="0"/>
        <w:kinsoku/>
        <w:wordWrap/>
        <w:overflowPunct/>
        <w:topLinePunct w:val="0"/>
        <w:autoSpaceDE/>
        <w:autoSpaceDN/>
        <w:bidi w:val="0"/>
        <w:adjustRightInd w:val="0"/>
        <w:snapToGrid w:val="0"/>
        <w:spacing w:line="360" w:lineRule="auto"/>
        <w:ind w:left="0" w:leftChars="0" w:right="0" w:firstLine="24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w:t>
      </w:r>
      <w:r>
        <w:rPr>
          <w:rFonts w:hint="eastAsia" w:ascii="宋体" w:hAnsi="宋体" w:eastAsia="宋体" w:cs="宋体"/>
          <w:snapToGrid w:val="0"/>
          <w:color w:val="000000" w:themeColor="text1"/>
          <w:spacing w:val="0"/>
          <w:sz w:val="24"/>
          <w14:textFill>
            <w14:solidFill>
              <w14:schemeClr w14:val="tx1"/>
            </w14:solidFill>
          </w14:textFill>
        </w:rPr>
        <w:t>随机抽取</w:t>
      </w:r>
    </w:p>
    <w:p w14:paraId="5BE3CE6B">
      <w:pPr>
        <w:keepNext w:val="0"/>
        <w:keepLines w:val="0"/>
        <w:kinsoku/>
        <w:wordWrap/>
        <w:overflowPunct/>
        <w:topLinePunct w:val="0"/>
        <w:autoSpaceDE/>
        <w:autoSpaceDN/>
        <w:bidi w:val="0"/>
        <w:adjustRightInd w:val="0"/>
        <w:snapToGrid w:val="0"/>
        <w:spacing w:line="360" w:lineRule="auto"/>
        <w:ind w:left="0" w:leftChars="0" w:right="0" w:firstLine="24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w:t>
      </w:r>
      <w:r>
        <w:rPr>
          <w:rFonts w:hint="eastAsia" w:ascii="宋体" w:hAnsi="宋体" w:eastAsia="宋体" w:cs="宋体"/>
          <w:snapToGrid w:val="0"/>
          <w:color w:val="000000" w:themeColor="text1"/>
          <w:spacing w:val="0"/>
          <w:sz w:val="24"/>
          <w14:textFill>
            <w14:solidFill>
              <w14:schemeClr w14:val="tx1"/>
            </w14:solidFill>
          </w14:textFill>
        </w:rPr>
        <w:t>其他方式，具体要求：_____</w:t>
      </w:r>
    </w:p>
    <w:p w14:paraId="078BC71F">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29F6355">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采用最低评标价法时，评标结果按本章2.4、2.5调整后的投标报价由低到高顺序排列。投标报价相同的并列。投标文件满足招标文件全部实质性要求且投标报价最低的投标人为排名第一的中标候选人。</w:t>
      </w:r>
    </w:p>
    <w:p w14:paraId="6527AB6E">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评标委员会要对评分汇总情况进行复核，特别是对排名第一的、报价最低的、投标或响应文件被认定为无效的情形进行重点复核。</w:t>
      </w:r>
    </w:p>
    <w:p w14:paraId="61ABF1FF">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评标委员会将根据各投标人的评标排序，依次推荐本项目（各采购包）的中标候选人，起草并签署评标报告。</w:t>
      </w:r>
    </w:p>
    <w:p w14:paraId="541C0127">
      <w:pPr>
        <w:pStyle w:val="17"/>
        <w:keepNext w:val="0"/>
        <w:keepLines w:val="0"/>
        <w:numPr>
          <w:ilvl w:val="0"/>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报告违法行为</w:t>
      </w:r>
    </w:p>
    <w:p w14:paraId="1D79A96E">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评标委员会在评标过程中发现投标人有行贿、提供虚假材料或者串通等违法行为时，有向采购人、采购代理机构或者有关部门报告的职责。</w:t>
      </w:r>
    </w:p>
    <w:p w14:paraId="53776DC4">
      <w:pPr>
        <w:pStyle w:val="17"/>
        <w:keepNext w:val="0"/>
        <w:keepLines w:val="0"/>
        <w:numPr>
          <w:ilvl w:val="0"/>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未通过资格审查或符合性审查的投标人，评标委员会将在“</w:t>
      </w:r>
      <w:r>
        <w:rPr>
          <w:rFonts w:hint="eastAsia" w:ascii="宋体" w:hAnsi="宋体" w:eastAsia="宋体" w:cs="宋体"/>
          <w:snapToGrid w:val="0"/>
          <w:color w:val="000000" w:themeColor="text1"/>
          <w:spacing w:val="0"/>
          <w:sz w:val="24"/>
          <w:szCs w:val="24"/>
          <w14:textFill>
            <w14:solidFill>
              <w14:schemeClr w14:val="tx1"/>
            </w14:solidFill>
          </w14:textFill>
        </w:rPr>
        <w:t>苏采云”系统</w:t>
      </w:r>
      <w:r>
        <w:rPr>
          <w:rFonts w:hint="eastAsia" w:ascii="宋体" w:hAnsi="宋体" w:eastAsia="宋体" w:cs="宋体"/>
          <w:bCs/>
          <w:snapToGrid w:val="0"/>
          <w:color w:val="000000" w:themeColor="text1"/>
          <w:spacing w:val="0"/>
          <w:sz w:val="24"/>
          <w14:textFill>
            <w14:solidFill>
              <w14:schemeClr w14:val="tx1"/>
            </w14:solidFill>
          </w14:textFill>
        </w:rPr>
        <w:t>中告知未通过资格审查或符合性审查的原因，评标结束后，代理机构将不再告知未通过资格审查和符合性审查的原因。</w:t>
      </w:r>
    </w:p>
    <w:p w14:paraId="45A868E2">
      <w:pPr>
        <w:pStyle w:val="17"/>
        <w:keepNext w:val="0"/>
        <w:keepLines w:val="0"/>
        <w:numPr>
          <w:ilvl w:val="0"/>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503" w:name="_Hlk159067375"/>
      <w:r>
        <w:rPr>
          <w:rFonts w:hint="eastAsia" w:ascii="宋体" w:hAnsi="宋体" w:eastAsia="宋体" w:cs="宋体"/>
          <w:snapToGrid w:val="0"/>
          <w:color w:val="000000" w:themeColor="text1"/>
          <w:spacing w:val="0"/>
          <w:sz w:val="24"/>
          <w:szCs w:val="24"/>
          <w14:textFill>
            <w14:solidFill>
              <w14:schemeClr w14:val="tx1"/>
            </w14:solidFill>
          </w14:textFill>
        </w:rPr>
        <w:t>采用综合评分法的项目，未中标的投标人可于中标结果公告期限届满之日起通过“苏采云”系统查看自己的评审得分及排序情况。</w:t>
      </w:r>
      <w:bookmarkEnd w:id="503"/>
    </w:p>
    <w:p w14:paraId="6AF91ABE">
      <w:pPr>
        <w:pStyle w:val="17"/>
        <w:keepNext w:val="0"/>
        <w:keepLines w:val="0"/>
        <w:numPr>
          <w:ilvl w:val="0"/>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0E3A29BF">
      <w:pPr>
        <w:pStyle w:val="4"/>
        <w:keepNext w:val="0"/>
        <w:keepLines w:val="0"/>
        <w:kinsoku/>
        <w:wordWrap/>
        <w:overflowPunct/>
        <w:topLinePunct w:val="0"/>
        <w:autoSpaceDE/>
        <w:autoSpaceDN/>
        <w:bidi w:val="0"/>
        <w:adjustRightInd w:val="0"/>
        <w:snapToGrid w:val="0"/>
        <w:spacing w:line="360" w:lineRule="auto"/>
        <w:ind w:left="0" w:leftChars="0" w:right="0" w:hanging="343"/>
        <w:textAlignment w:val="auto"/>
        <w:rPr>
          <w:rFonts w:hint="eastAsia" w:ascii="宋体" w:hAnsi="宋体" w:eastAsia="宋体" w:cs="宋体"/>
          <w:snapToGrid w:val="0"/>
          <w:color w:val="000000" w:themeColor="text1"/>
          <w:spacing w:val="0"/>
          <w:sz w:val="24"/>
          <w:szCs w:val="24"/>
          <w:highlight w:val="none"/>
          <w14:textFill>
            <w14:solidFill>
              <w14:schemeClr w14:val="tx1"/>
            </w14:solidFill>
          </w14:textFill>
        </w:rPr>
      </w:pPr>
      <w:bookmarkStart w:id="504" w:name="_Toc104818929"/>
      <w:r>
        <w:rPr>
          <w:rFonts w:hint="eastAsia" w:ascii="宋体" w:hAnsi="宋体" w:eastAsia="宋体" w:cs="宋体"/>
          <w:snapToGrid w:val="0"/>
          <w:color w:val="000000" w:themeColor="text1"/>
          <w:spacing w:val="0"/>
          <w:sz w:val="24"/>
          <w:szCs w:val="24"/>
          <w:highlight w:val="none"/>
          <w14:textFill>
            <w14:solidFill>
              <w14:schemeClr w14:val="tx1"/>
            </w14:solidFill>
          </w14:textFill>
        </w:rPr>
        <w:t>二、评标标准</w:t>
      </w:r>
    </w:p>
    <w:tbl>
      <w:tblPr>
        <w:tblStyle w:val="13"/>
        <w:tblW w:w="9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6"/>
        <w:gridCol w:w="1227"/>
        <w:gridCol w:w="887"/>
        <w:gridCol w:w="4450"/>
        <w:gridCol w:w="2308"/>
      </w:tblGrid>
      <w:tr w14:paraId="0F37C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6" w:type="dxa"/>
            <w:noWrap w:val="0"/>
            <w:vAlign w:val="center"/>
          </w:tcPr>
          <w:p w14:paraId="6FE97869">
            <w:pPr>
              <w:keepNext w:val="0"/>
              <w:keepLines w:val="0"/>
              <w:pageBreakBefore w:val="0"/>
              <w:spacing w:line="360" w:lineRule="auto"/>
              <w:ind w:left="0" w:firstLine="28"/>
              <w:jc w:val="cente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t>序号</w:t>
            </w:r>
          </w:p>
        </w:tc>
        <w:tc>
          <w:tcPr>
            <w:tcW w:w="1227" w:type="dxa"/>
            <w:noWrap w:val="0"/>
            <w:vAlign w:val="center"/>
          </w:tcPr>
          <w:p w14:paraId="1EBD816E">
            <w:pPr>
              <w:keepNext w:val="0"/>
              <w:keepLines w:val="0"/>
              <w:pageBreakBefore w:val="0"/>
              <w:spacing w:line="360" w:lineRule="auto"/>
              <w:ind w:left="0" w:firstLine="28"/>
              <w:jc w:val="cente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t>评分因素</w:t>
            </w:r>
          </w:p>
        </w:tc>
        <w:tc>
          <w:tcPr>
            <w:tcW w:w="887" w:type="dxa"/>
            <w:noWrap w:val="0"/>
            <w:vAlign w:val="center"/>
          </w:tcPr>
          <w:p w14:paraId="3A034054">
            <w:pPr>
              <w:keepNext w:val="0"/>
              <w:keepLines w:val="0"/>
              <w:pageBreakBefore w:val="0"/>
              <w:spacing w:line="360" w:lineRule="auto"/>
              <w:ind w:left="0" w:firstLine="28"/>
              <w:jc w:val="cente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t>分值</w:t>
            </w:r>
          </w:p>
        </w:tc>
        <w:tc>
          <w:tcPr>
            <w:tcW w:w="4450" w:type="dxa"/>
            <w:noWrap w:val="0"/>
            <w:vAlign w:val="center"/>
          </w:tcPr>
          <w:p w14:paraId="3481B151">
            <w:pPr>
              <w:keepNext w:val="0"/>
              <w:keepLines w:val="0"/>
              <w:pageBreakBefore w:val="0"/>
              <w:spacing w:line="360" w:lineRule="auto"/>
              <w:ind w:left="0" w:firstLine="28"/>
              <w:jc w:val="cente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t>评分标准</w:t>
            </w:r>
          </w:p>
        </w:tc>
        <w:tc>
          <w:tcPr>
            <w:tcW w:w="2308" w:type="dxa"/>
            <w:noWrap w:val="0"/>
            <w:vAlign w:val="center"/>
          </w:tcPr>
          <w:p w14:paraId="2B8E4E59">
            <w:pPr>
              <w:keepNext w:val="0"/>
              <w:keepLines w:val="0"/>
              <w:pageBreakBefore w:val="0"/>
              <w:widowControl w:val="0"/>
              <w:spacing w:before="0" w:after="0" w:line="360" w:lineRule="auto"/>
              <w:ind w:left="0"/>
              <w:jc w:val="cente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t>说明</w:t>
            </w:r>
          </w:p>
        </w:tc>
      </w:tr>
      <w:tr w14:paraId="192FA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756" w:type="dxa"/>
            <w:noWrap w:val="0"/>
            <w:vAlign w:val="center"/>
          </w:tcPr>
          <w:p w14:paraId="60500EB5">
            <w:pPr>
              <w:keepNext w:val="0"/>
              <w:keepLines w:val="0"/>
              <w:pageBreakBefore w:val="0"/>
              <w:spacing w:line="360" w:lineRule="auto"/>
              <w:ind w:left="0" w:firstLine="28"/>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w:t>
            </w:r>
          </w:p>
        </w:tc>
        <w:tc>
          <w:tcPr>
            <w:tcW w:w="1227" w:type="dxa"/>
            <w:noWrap w:val="0"/>
            <w:vAlign w:val="center"/>
          </w:tcPr>
          <w:p w14:paraId="0A1033FE">
            <w:pPr>
              <w:keepNext w:val="0"/>
              <w:keepLines w:val="0"/>
              <w:pageBreakBefore w:val="0"/>
              <w:spacing w:line="360" w:lineRule="auto"/>
              <w:ind w:left="0" w:firstLine="28"/>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价格分</w:t>
            </w:r>
          </w:p>
        </w:tc>
        <w:tc>
          <w:tcPr>
            <w:tcW w:w="887" w:type="dxa"/>
            <w:noWrap w:val="0"/>
            <w:vAlign w:val="center"/>
          </w:tcPr>
          <w:p w14:paraId="3C7C8683">
            <w:pPr>
              <w:keepNext w:val="0"/>
              <w:keepLines w:val="0"/>
              <w:pageBreakBefore w:val="0"/>
              <w:spacing w:line="360" w:lineRule="auto"/>
              <w:ind w:left="0" w:firstLine="28"/>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10</w:t>
            </w:r>
          </w:p>
        </w:tc>
        <w:tc>
          <w:tcPr>
            <w:tcW w:w="4450" w:type="dxa"/>
            <w:noWrap w:val="0"/>
            <w:vAlign w:val="center"/>
          </w:tcPr>
          <w:p w14:paraId="565EE60F">
            <w:pPr>
              <w:keepNext w:val="0"/>
              <w:keepLines w:val="0"/>
              <w:pageBreakBefore w:val="0"/>
              <w:spacing w:line="360" w:lineRule="auto"/>
              <w:ind w:left="0"/>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满足采购文件要求且最终报价最低的报价为评标基准价，其价格分为满分。其他供应商的价格分统一按照下列公式计算：</w:t>
            </w:r>
          </w:p>
          <w:p w14:paraId="2B68E7A0">
            <w:pPr>
              <w:keepNext w:val="0"/>
              <w:keepLines w:val="0"/>
              <w:pageBreakBefore w:val="0"/>
              <w:spacing w:line="360" w:lineRule="auto"/>
              <w:ind w:left="0"/>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价格分得分＝（评标基准价/最终报价）×分值。</w:t>
            </w:r>
          </w:p>
        </w:tc>
        <w:tc>
          <w:tcPr>
            <w:tcW w:w="2308" w:type="dxa"/>
            <w:noWrap w:val="0"/>
            <w:vAlign w:val="center"/>
          </w:tcPr>
          <w:p w14:paraId="334B8ADB">
            <w:pPr>
              <w:keepNext w:val="0"/>
              <w:keepLines w:val="0"/>
              <w:pageBreakBefore w:val="0"/>
              <w:numPr>
                <w:ilvl w:val="0"/>
                <w:numId w:val="0"/>
              </w:numPr>
              <w:spacing w:line="360" w:lineRule="auto"/>
              <w:ind w:left="0"/>
              <w:jc w:val="both"/>
              <w:rPr>
                <w:rFonts w:hint="eastAsia" w:ascii="Times New Roman" w:hAnsi="Times New Roman" w:eastAsia="宋体" w:cs="Times New Roman"/>
                <w:color w:val="000000" w:themeColor="text1"/>
                <w:kern w:val="0"/>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此处最终报价指经过报价修正，及因落实政府采购政策进行价格调整后的最终报价，详见第三章《评标方法和评标标准》3。</w:t>
            </w:r>
          </w:p>
        </w:tc>
      </w:tr>
      <w:tr w14:paraId="74A30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756" w:type="dxa"/>
            <w:noWrap w:val="0"/>
            <w:vAlign w:val="center"/>
          </w:tcPr>
          <w:p w14:paraId="2AA1C16D">
            <w:pPr>
              <w:keepNext w:val="0"/>
              <w:keepLines w:val="0"/>
              <w:pageBreakBefore w:val="0"/>
              <w:spacing w:line="360" w:lineRule="auto"/>
              <w:ind w:left="0" w:firstLine="28"/>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w:t>
            </w:r>
          </w:p>
        </w:tc>
        <w:tc>
          <w:tcPr>
            <w:tcW w:w="8872" w:type="dxa"/>
            <w:gridSpan w:val="4"/>
            <w:noWrap w:val="0"/>
            <w:vAlign w:val="center"/>
          </w:tcPr>
          <w:p w14:paraId="544DB77B">
            <w:pPr>
              <w:keepNext w:val="0"/>
              <w:keepLines w:val="0"/>
              <w:pageBreakBefore w:val="0"/>
              <w:spacing w:line="360" w:lineRule="auto"/>
              <w:ind w:left="0"/>
              <w:jc w:val="both"/>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主观分（40分）</w:t>
            </w:r>
          </w:p>
        </w:tc>
      </w:tr>
      <w:tr w14:paraId="11F4D7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56" w:type="dxa"/>
            <w:noWrap w:val="0"/>
            <w:vAlign w:val="center"/>
          </w:tcPr>
          <w:p w14:paraId="04D84F9D">
            <w:pPr>
              <w:keepNext w:val="0"/>
              <w:keepLines w:val="0"/>
              <w:pageBreakBefore w:val="0"/>
              <w:spacing w:line="360" w:lineRule="auto"/>
              <w:ind w:left="0" w:firstLine="28"/>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2.1</w:t>
            </w:r>
          </w:p>
        </w:tc>
        <w:tc>
          <w:tcPr>
            <w:tcW w:w="1227" w:type="dxa"/>
            <w:noWrap w:val="0"/>
            <w:vAlign w:val="center"/>
          </w:tcPr>
          <w:p w14:paraId="30C16CBA">
            <w:pPr>
              <w:keepNext w:val="0"/>
              <w:keepLines w:val="0"/>
              <w:pageBreakBefore w:val="0"/>
              <w:spacing w:line="360" w:lineRule="auto"/>
              <w:ind w:left="0" w:firstLine="28"/>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承保服务方案</w:t>
            </w:r>
          </w:p>
        </w:tc>
        <w:tc>
          <w:tcPr>
            <w:tcW w:w="887" w:type="dxa"/>
            <w:noWrap w:val="0"/>
            <w:vAlign w:val="center"/>
          </w:tcPr>
          <w:p w14:paraId="5E3FB0AD">
            <w:pPr>
              <w:ind w:firstLine="28" w:firstLineChars="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Calibri" w:hAnsi="Calibri" w:eastAsia="宋体" w:cs="Times New Roman"/>
                <w:color w:val="000000" w:themeColor="text1"/>
                <w:kern w:val="2"/>
                <w:sz w:val="24"/>
                <w:szCs w:val="24"/>
                <w:lang w:val="en-US" w:eastAsia="zh-CN" w:bidi="ar-SA"/>
                <w14:textFill>
                  <w14:solidFill>
                    <w14:schemeClr w14:val="tx1"/>
                  </w14:solidFill>
                </w14:textFill>
              </w:rPr>
              <w:t>12</w:t>
            </w:r>
          </w:p>
        </w:tc>
        <w:tc>
          <w:tcPr>
            <w:tcW w:w="4450" w:type="dxa"/>
            <w:noWrap w:val="0"/>
            <w:vAlign w:val="center"/>
          </w:tcPr>
          <w:p w14:paraId="114FAE9B">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响应人根据自身对项目的理解制定承保服务方案，内容及要求应包括但不限于以下：</w:t>
            </w:r>
          </w:p>
          <w:p w14:paraId="7BAC3AFC">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（1）承保服务流程简便清晰的，得3分；承保服务流程较简便清晰的，得2分；承保服务流程一般的，得1分；不提供的不得分。</w:t>
            </w:r>
          </w:p>
          <w:p w14:paraId="73169C46">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（2）承保所需资料合理必要的，得3分；承保所需资料较合理必要的，得2分；承保所需资料合理性一般的，得1分；不提供的不得分。</w:t>
            </w:r>
          </w:p>
          <w:p w14:paraId="0E12BEE4">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（3）承保服务内容完整丰富的，得3分；承保服务内容较完整丰富的，得2分；承保服务内容一般的，得1分；不提供的不得分。</w:t>
            </w:r>
          </w:p>
          <w:p w14:paraId="785CA784">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Calibri" w:hAnsi="Calibri" w:eastAsia="宋体" w:cs="Times New Roman"/>
                <w:color w:val="000000" w:themeColor="text1"/>
                <w:kern w:val="2"/>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（4）为本项目配有专属日常服务团队且有明确分工，岗位布置合理的，得3分；岗位布置教合理的，得2分；岗位布置一般的，得1分；不提供的不得分。</w:t>
            </w:r>
          </w:p>
        </w:tc>
        <w:tc>
          <w:tcPr>
            <w:tcW w:w="2308" w:type="dxa"/>
            <w:noWrap w:val="0"/>
            <w:vAlign w:val="center"/>
          </w:tcPr>
          <w:p w14:paraId="7D3C3A56">
            <w:pPr>
              <w:keepNext w:val="0"/>
              <w:keepLines w:val="0"/>
              <w:pageBreakBefore w:val="0"/>
              <w:spacing w:line="360" w:lineRule="auto"/>
              <w:ind w:left="0"/>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r>
      <w:tr w14:paraId="78573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66" w:hRule="atLeast"/>
          <w:jc w:val="center"/>
        </w:trPr>
        <w:tc>
          <w:tcPr>
            <w:tcW w:w="756" w:type="dxa"/>
            <w:noWrap w:val="0"/>
            <w:vAlign w:val="center"/>
          </w:tcPr>
          <w:p w14:paraId="7F5E79B1">
            <w:pPr>
              <w:keepNext w:val="0"/>
              <w:keepLines w:val="0"/>
              <w:pageBreakBefore w:val="0"/>
              <w:spacing w:line="360" w:lineRule="auto"/>
              <w:ind w:left="0" w:firstLine="28"/>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2.2</w:t>
            </w:r>
          </w:p>
        </w:tc>
        <w:tc>
          <w:tcPr>
            <w:tcW w:w="1227" w:type="dxa"/>
            <w:noWrap w:val="0"/>
            <w:vAlign w:val="center"/>
          </w:tcPr>
          <w:p w14:paraId="7CD08F6F">
            <w:pPr>
              <w:keepNext w:val="0"/>
              <w:keepLines w:val="0"/>
              <w:pageBreakBefore w:val="0"/>
              <w:spacing w:line="360" w:lineRule="auto"/>
              <w:ind w:left="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整体实施及理赔服务方案</w:t>
            </w:r>
          </w:p>
        </w:tc>
        <w:tc>
          <w:tcPr>
            <w:tcW w:w="887" w:type="dxa"/>
            <w:noWrap w:val="0"/>
            <w:vAlign w:val="center"/>
          </w:tcPr>
          <w:p w14:paraId="2FFB76C2">
            <w:pPr>
              <w:keepNext w:val="0"/>
              <w:keepLines w:val="0"/>
              <w:pageBreakBefore w:val="0"/>
              <w:spacing w:line="360" w:lineRule="auto"/>
              <w:ind w:left="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12</w:t>
            </w:r>
          </w:p>
        </w:tc>
        <w:tc>
          <w:tcPr>
            <w:tcW w:w="4450" w:type="dxa"/>
            <w:noWrap w:val="0"/>
            <w:vAlign w:val="center"/>
          </w:tcPr>
          <w:p w14:paraId="6203BC49">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响应人根据自身对项目的理解制定理赔服务方案，内容及要求应包括但不限于以下：</w:t>
            </w:r>
          </w:p>
          <w:p w14:paraId="331AFC16">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（1）理赔服务流程设置科学、清晰简便的，得3分；理赔服务流程设置较科学、清晰简便的，得2分；理赔服务流程设置一般的，得1分；不提供的不得分。</w:t>
            </w:r>
          </w:p>
          <w:p w14:paraId="21347060">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（2）理赔所需提供资料合理必要的，得3分；理赔所需提供资料较合理必要的，得2分；理赔所需提供资料一般的，得1分；不提供的不得分。</w:t>
            </w:r>
          </w:p>
          <w:p w14:paraId="17C36A7C">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（3）理赔服务承诺：对理赔范围进行承诺并有详细阐述的得3分；对理赔范围进行承诺并有简单阐述的得2分；对理赔范围进行承诺但没有阐述的得1分；不提供的不得分。</w:t>
            </w:r>
          </w:p>
          <w:p w14:paraId="5A0BD8E3">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Calibri" w:hAnsi="Calibri" w:eastAsia="宋体" w:cs="Times New Roman"/>
                <w:color w:val="000000" w:themeColor="text1"/>
                <w:kern w:val="2"/>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（4）为本项目配有专属理赔服务团队且有明确分工，岗位布置合理的，得3分；岗位布置教合理的，得2分；岗位布置一般的，得1分。不提供的不得分。</w:t>
            </w:r>
          </w:p>
        </w:tc>
        <w:tc>
          <w:tcPr>
            <w:tcW w:w="2308" w:type="dxa"/>
            <w:noWrap w:val="0"/>
            <w:vAlign w:val="center"/>
          </w:tcPr>
          <w:p w14:paraId="409EF18E">
            <w:pPr>
              <w:keepNext w:val="0"/>
              <w:keepLines w:val="0"/>
              <w:pageBreakBefore w:val="0"/>
              <w:spacing w:line="360" w:lineRule="auto"/>
              <w:ind w:left="0"/>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r>
      <w:tr w14:paraId="64B5F2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6" w:type="dxa"/>
            <w:noWrap w:val="0"/>
            <w:vAlign w:val="center"/>
          </w:tcPr>
          <w:p w14:paraId="76206FA7">
            <w:pPr>
              <w:keepNext w:val="0"/>
              <w:keepLines w:val="0"/>
              <w:pageBreakBefore w:val="0"/>
              <w:spacing w:line="360" w:lineRule="auto"/>
              <w:ind w:left="0" w:firstLine="28"/>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2.3</w:t>
            </w:r>
          </w:p>
        </w:tc>
        <w:tc>
          <w:tcPr>
            <w:tcW w:w="1227" w:type="dxa"/>
            <w:noWrap w:val="0"/>
            <w:vAlign w:val="center"/>
          </w:tcPr>
          <w:p w14:paraId="327A4ECE">
            <w:pPr>
              <w:keepNext w:val="0"/>
              <w:keepLines w:val="0"/>
              <w:pageBreakBefore w:val="0"/>
              <w:spacing w:line="360" w:lineRule="auto"/>
              <w:ind w:left="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宣传和培训服务方案</w:t>
            </w:r>
          </w:p>
        </w:tc>
        <w:tc>
          <w:tcPr>
            <w:tcW w:w="887" w:type="dxa"/>
            <w:noWrap w:val="0"/>
            <w:vAlign w:val="center"/>
          </w:tcPr>
          <w:p w14:paraId="6A9DF8A6">
            <w:pPr>
              <w:keepNext w:val="0"/>
              <w:keepLines w:val="0"/>
              <w:pageBreakBefore w:val="0"/>
              <w:spacing w:line="360" w:lineRule="auto"/>
              <w:ind w:left="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9</w:t>
            </w:r>
          </w:p>
        </w:tc>
        <w:tc>
          <w:tcPr>
            <w:tcW w:w="4450" w:type="dxa"/>
            <w:noWrap w:val="0"/>
            <w:vAlign w:val="center"/>
          </w:tcPr>
          <w:p w14:paraId="6ADC3A28">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响应人结合项目需求和实际情况，提供宣传和培训服务方案，包括：①政策宣传（须在县市级及以上报纸或各类融媒体平台进行宣传）与业务咨询方案；②政策和业务培训（为乡镇街道工作人员及市民提供培训）</w:t>
            </w:r>
          </w:p>
          <w:p w14:paraId="1D0827F5">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（1）宣传明确县市级以上报刊、融媒体具体投放计划，咨询渠道完善；分乡镇人员、市民定制培训，方案详实可落地的，得9分；</w:t>
            </w:r>
          </w:p>
          <w:p w14:paraId="186A382F">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（2）确定县市级以上宣传平台，宣传和咨询细节欠缺；分类开展培训，内容大体完整，少量细节不足的，得6分；</w:t>
            </w:r>
          </w:p>
          <w:p w14:paraId="7E11B3AD">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（3）仅写明在市级以上平台宣传，无具体方案；培训区分两类人群，但内容笼统简略或空洞的，得3分。</w:t>
            </w:r>
          </w:p>
          <w:p w14:paraId="6D5596F3">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（4）不提供的不得分。</w:t>
            </w:r>
          </w:p>
        </w:tc>
        <w:tc>
          <w:tcPr>
            <w:tcW w:w="2308" w:type="dxa"/>
            <w:noWrap w:val="0"/>
            <w:vAlign w:val="center"/>
          </w:tcPr>
          <w:p w14:paraId="50293C2B">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r>
      <w:tr w14:paraId="37A8D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8" w:hRule="atLeast"/>
          <w:jc w:val="center"/>
        </w:trPr>
        <w:tc>
          <w:tcPr>
            <w:tcW w:w="756" w:type="dxa"/>
            <w:noWrap w:val="0"/>
            <w:vAlign w:val="center"/>
          </w:tcPr>
          <w:p w14:paraId="15050240">
            <w:pPr>
              <w:keepNext w:val="0"/>
              <w:keepLines w:val="0"/>
              <w:pageBreakBefore w:val="0"/>
              <w:spacing w:line="360" w:lineRule="auto"/>
              <w:ind w:left="0" w:firstLine="28"/>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2.4</w:t>
            </w:r>
          </w:p>
        </w:tc>
        <w:tc>
          <w:tcPr>
            <w:tcW w:w="1227" w:type="dxa"/>
            <w:noWrap w:val="0"/>
            <w:vAlign w:val="center"/>
          </w:tcPr>
          <w:p w14:paraId="27777807">
            <w:pPr>
              <w:keepNext w:val="0"/>
              <w:keepLines w:val="0"/>
              <w:pageBreakBefore w:val="0"/>
              <w:spacing w:line="360" w:lineRule="auto"/>
              <w:ind w:left="0"/>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服务质量承诺及监督措施</w:t>
            </w:r>
          </w:p>
        </w:tc>
        <w:tc>
          <w:tcPr>
            <w:tcW w:w="887" w:type="dxa"/>
            <w:noWrap w:val="0"/>
            <w:vAlign w:val="center"/>
          </w:tcPr>
          <w:p w14:paraId="1AB108FB">
            <w:pPr>
              <w:keepNext w:val="0"/>
              <w:keepLines w:val="0"/>
              <w:pageBreakBefore w:val="0"/>
              <w:spacing w:line="360" w:lineRule="auto"/>
              <w:ind w:left="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7</w:t>
            </w:r>
          </w:p>
        </w:tc>
        <w:tc>
          <w:tcPr>
            <w:tcW w:w="4450" w:type="dxa"/>
            <w:shd w:val="clear" w:color="auto" w:fill="auto"/>
            <w:noWrap w:val="0"/>
            <w:vAlign w:val="center"/>
          </w:tcPr>
          <w:p w14:paraId="10B70E79">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响应人结合项目需求和实际情况，提供服务质量承诺及监督措施，包括：①服务投诉处理办法；②服务监督措施；③赔款滞纳金管理方案；④争议处理方案；⑤赔款未及时到位的违约责任及应对措施。</w:t>
            </w:r>
          </w:p>
          <w:p w14:paraId="6068ABB3">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（1）内容齐全完整，投诉、监督、滞纳金、争议、违约赔付细则清晰，时限、流程、赔付标准明确，贴合项目实际，可落地执行的，得7分；</w:t>
            </w:r>
          </w:p>
          <w:p w14:paraId="01423D09">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（2）内容均有阐述，主体条款齐全，个别细则简略，关键标准不够细化，整体方案可行，得4分</w:t>
            </w:r>
          </w:p>
          <w:p w14:paraId="65949811">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（3）内容基本覆盖，内容笼统，缺少时限、标准等关键细节，仅搭建基础框架，得1分。</w:t>
            </w:r>
          </w:p>
          <w:p w14:paraId="612D2452">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default" w:ascii="Calibri" w:hAnsi="Calibri" w:eastAsia="宋体" w:cs="Times New Roman"/>
                <w:color w:val="000000" w:themeColor="text1"/>
                <w:kern w:val="2"/>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（4）不提供的不得分。</w:t>
            </w:r>
          </w:p>
        </w:tc>
        <w:tc>
          <w:tcPr>
            <w:tcW w:w="2308" w:type="dxa"/>
            <w:noWrap w:val="0"/>
            <w:vAlign w:val="center"/>
          </w:tcPr>
          <w:p w14:paraId="348AF7F0">
            <w:pPr>
              <w:keepNext w:val="0"/>
              <w:keepLines w:val="0"/>
              <w:pageBreakBefore w:val="0"/>
              <w:spacing w:line="360" w:lineRule="auto"/>
              <w:ind w:left="0"/>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r>
      <w:tr w14:paraId="0FB9B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756" w:type="dxa"/>
            <w:noWrap w:val="0"/>
            <w:vAlign w:val="center"/>
          </w:tcPr>
          <w:p w14:paraId="7472BF2B">
            <w:pPr>
              <w:keepNext w:val="0"/>
              <w:keepLines w:val="0"/>
              <w:pageBreakBefore w:val="0"/>
              <w:spacing w:line="360" w:lineRule="auto"/>
              <w:ind w:left="0" w:firstLine="28"/>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3</w:t>
            </w:r>
          </w:p>
        </w:tc>
        <w:tc>
          <w:tcPr>
            <w:tcW w:w="8872" w:type="dxa"/>
            <w:gridSpan w:val="4"/>
            <w:noWrap w:val="0"/>
            <w:vAlign w:val="center"/>
          </w:tcPr>
          <w:p w14:paraId="3A842DCC">
            <w:pPr>
              <w:keepNext w:val="0"/>
              <w:keepLines w:val="0"/>
              <w:pageBreakBefore w:val="0"/>
              <w:spacing w:line="360" w:lineRule="auto"/>
              <w:ind w:left="0"/>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客观分（50分）</w:t>
            </w:r>
          </w:p>
        </w:tc>
      </w:tr>
      <w:tr w14:paraId="16CA8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0" w:hRule="atLeast"/>
          <w:jc w:val="center"/>
        </w:trPr>
        <w:tc>
          <w:tcPr>
            <w:tcW w:w="756" w:type="dxa"/>
            <w:noWrap w:val="0"/>
            <w:vAlign w:val="center"/>
          </w:tcPr>
          <w:p w14:paraId="1414470A">
            <w:pPr>
              <w:keepNext w:val="0"/>
              <w:keepLines w:val="0"/>
              <w:pageBreakBefore w:val="0"/>
              <w:spacing w:line="360" w:lineRule="auto"/>
              <w:ind w:left="0" w:firstLine="28"/>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3.1</w:t>
            </w:r>
          </w:p>
        </w:tc>
        <w:tc>
          <w:tcPr>
            <w:tcW w:w="1227" w:type="dxa"/>
            <w:noWrap w:val="0"/>
            <w:vAlign w:val="center"/>
          </w:tcPr>
          <w:p w14:paraId="17A18E19">
            <w:pPr>
              <w:keepNext w:val="0"/>
              <w:keepLines w:val="0"/>
              <w:pageBreakBefore w:val="0"/>
              <w:widowControl/>
              <w:spacing w:line="360" w:lineRule="auto"/>
              <w:ind w:left="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类似业绩</w:t>
            </w:r>
          </w:p>
        </w:tc>
        <w:tc>
          <w:tcPr>
            <w:tcW w:w="887" w:type="dxa"/>
            <w:noWrap w:val="0"/>
            <w:vAlign w:val="center"/>
          </w:tcPr>
          <w:p w14:paraId="2A60AC66">
            <w:pPr>
              <w:keepNext w:val="0"/>
              <w:keepLines w:val="0"/>
              <w:pageBreakBefore w:val="0"/>
              <w:widowControl/>
              <w:spacing w:line="360" w:lineRule="auto"/>
              <w:ind w:left="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5</w:t>
            </w:r>
          </w:p>
        </w:tc>
        <w:tc>
          <w:tcPr>
            <w:tcW w:w="4450" w:type="dxa"/>
            <w:shd w:val="clear" w:color="auto" w:fill="auto"/>
            <w:noWrap w:val="0"/>
            <w:vAlign w:val="center"/>
          </w:tcPr>
          <w:p w14:paraId="661F6C66">
            <w:pPr>
              <w:widowControl/>
              <w:spacing w:line="360" w:lineRule="auto"/>
              <w:jc w:val="left"/>
              <w:rPr>
                <w:rFonts w:hint="eastAsia" w:ascii="Times New Roman" w:hAnsi="Times New Roman" w:eastAsia="宋体" w:cs="Times New Roman"/>
                <w:color w:val="000000" w:themeColor="text1"/>
                <w:kern w:val="0"/>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bidi="ar-SA"/>
                <w14:textFill>
                  <w14:solidFill>
                    <w14:schemeClr w14:val="tx1"/>
                  </w14:solidFill>
                </w14:textFill>
              </w:rPr>
              <w:t>供应商或其分支机构</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近三年（投标截止时间往前推）</w:t>
            </w:r>
            <w:r>
              <w:rPr>
                <w:rFonts w:hint="eastAsia" w:ascii="宋体" w:hAnsi="宋体" w:eastAsia="宋体" w:cs="宋体"/>
                <w:b w:val="0"/>
                <w:bCs w:val="0"/>
                <w:color w:val="000000" w:themeColor="text1"/>
                <w:kern w:val="0"/>
                <w:sz w:val="24"/>
                <w:szCs w:val="24"/>
                <w:highlight w:val="none"/>
                <w:lang w:val="en-US" w:eastAsia="zh-CN" w:bidi="ar-SA"/>
                <w14:textFill>
                  <w14:solidFill>
                    <w14:schemeClr w14:val="tx1"/>
                  </w14:solidFill>
                </w14:textFill>
              </w:rPr>
              <w:t>以来承保过类似项目业绩的，有1项得1分，本项最高5分。</w:t>
            </w:r>
          </w:p>
        </w:tc>
        <w:tc>
          <w:tcPr>
            <w:tcW w:w="2308" w:type="dxa"/>
            <w:shd w:val="clear" w:color="auto" w:fill="auto"/>
            <w:noWrap w:val="0"/>
            <w:vAlign w:val="center"/>
          </w:tcPr>
          <w:p w14:paraId="4ACCB435">
            <w:pPr>
              <w:spacing w:line="360" w:lineRule="auto"/>
              <w:rPr>
                <w:rFonts w:hint="eastAsia" w:ascii="Times New Roman" w:hAnsi="Times New Roman" w:eastAsia="宋体" w:cs="Times New Roman"/>
                <w:color w:val="000000" w:themeColor="text1"/>
                <w:kern w:val="0"/>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须提供合同或保单，不提供不得分。时间以合同</w:t>
            </w:r>
            <w:r>
              <w:rPr>
                <w:rFonts w:hint="eastAsia"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签订时间</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或保单</w:t>
            </w:r>
            <w:r>
              <w:rPr>
                <w:rFonts w:hint="eastAsia"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生成</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时间</w:t>
            </w:r>
            <w:r>
              <w:rPr>
                <w:rFonts w:hint="eastAsia"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为准</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w:t>
            </w:r>
            <w:r>
              <w:rPr>
                <w:rFonts w:hint="eastAsia"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同一投保人，同一保障内容，不同保险期限的保险合同不能累计得分。</w:t>
            </w:r>
          </w:p>
        </w:tc>
      </w:tr>
      <w:tr w14:paraId="32774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7" w:hRule="atLeast"/>
          <w:jc w:val="center"/>
        </w:trPr>
        <w:tc>
          <w:tcPr>
            <w:tcW w:w="756" w:type="dxa"/>
            <w:vMerge w:val="restart"/>
            <w:noWrap w:val="0"/>
            <w:vAlign w:val="center"/>
          </w:tcPr>
          <w:p w14:paraId="6C28866D">
            <w:pPr>
              <w:keepNext w:val="0"/>
              <w:keepLines w:val="0"/>
              <w:pageBreakBefore w:val="0"/>
              <w:spacing w:line="360" w:lineRule="auto"/>
              <w:ind w:left="0" w:firstLine="28"/>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3.2</w:t>
            </w:r>
          </w:p>
        </w:tc>
        <w:tc>
          <w:tcPr>
            <w:tcW w:w="1227" w:type="dxa"/>
            <w:vMerge w:val="restart"/>
            <w:noWrap w:val="0"/>
            <w:vAlign w:val="center"/>
          </w:tcPr>
          <w:p w14:paraId="4D5B4747">
            <w:pPr>
              <w:keepNext w:val="0"/>
              <w:keepLines w:val="0"/>
              <w:pageBreakBefore w:val="0"/>
              <w:widowControl/>
              <w:spacing w:line="360" w:lineRule="auto"/>
              <w:ind w:left="0"/>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企业实力</w:t>
            </w:r>
          </w:p>
        </w:tc>
        <w:tc>
          <w:tcPr>
            <w:tcW w:w="887" w:type="dxa"/>
            <w:noWrap w:val="0"/>
            <w:vAlign w:val="center"/>
          </w:tcPr>
          <w:p w14:paraId="6560FCE5">
            <w:pPr>
              <w:keepNext w:val="0"/>
              <w:keepLines w:val="0"/>
              <w:pageBreakBefore w:val="0"/>
              <w:widowControl/>
              <w:spacing w:line="360" w:lineRule="auto"/>
              <w:ind w:left="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9</w:t>
            </w:r>
          </w:p>
        </w:tc>
        <w:tc>
          <w:tcPr>
            <w:tcW w:w="4450" w:type="dxa"/>
            <w:noWrap w:val="0"/>
            <w:vAlign w:val="center"/>
          </w:tcPr>
          <w:p w14:paraId="3633709A">
            <w:pPr>
              <w:widowControl/>
              <w:spacing w:line="360" w:lineRule="auto"/>
              <w:jc w:val="left"/>
              <w:rPr>
                <w:rFonts w:hint="default" w:ascii="宋体" w:hAnsi="宋体" w:eastAsia="宋体" w:cs="Times New Roman"/>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bidi="ar-SA"/>
                <w14:textFill>
                  <w14:solidFill>
                    <w14:schemeClr w14:val="tx1"/>
                  </w14:solidFill>
                </w14:textFill>
              </w:rPr>
              <w:t>根据各供应商总公司2025年度核心偿付能力充足率进行评分：核心偿付能力充足率≥210%的得9分；210%＞核心偿付能力充足率≥180%的得6分；180%＞核心偿付能力充足率≥140%的得3分；其余不得分。</w:t>
            </w:r>
          </w:p>
        </w:tc>
        <w:tc>
          <w:tcPr>
            <w:tcW w:w="2308" w:type="dxa"/>
            <w:noWrap w:val="0"/>
            <w:vAlign w:val="center"/>
          </w:tcPr>
          <w:p w14:paraId="3BFF1027">
            <w:pPr>
              <w:spacing w:line="360" w:lineRule="auto"/>
              <w:rPr>
                <w:rFonts w:hint="default" w:ascii="宋体" w:hAnsi="宋体" w:eastAsia="宋体" w:cs="Times New Roman"/>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kern w:val="0"/>
                <w:sz w:val="24"/>
                <w:szCs w:val="24"/>
                <w:highlight w:val="none"/>
                <w:lang w:val="en-US" w:eastAsia="zh-CN" w:bidi="ar-SA"/>
                <w14:textFill>
                  <w14:solidFill>
                    <w14:schemeClr w14:val="tx1"/>
                  </w14:solidFill>
                </w14:textFill>
              </w:rPr>
              <w:t>以响应文件递交截止日当天中国保险行业协会官网发布的信息为准；须提供网页截图及网页查询网址，不提供不得分。</w:t>
            </w:r>
          </w:p>
        </w:tc>
      </w:tr>
      <w:tr w14:paraId="37E55D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0" w:hRule="atLeast"/>
          <w:jc w:val="center"/>
        </w:trPr>
        <w:tc>
          <w:tcPr>
            <w:tcW w:w="756" w:type="dxa"/>
            <w:vMerge w:val="continue"/>
            <w:noWrap w:val="0"/>
            <w:vAlign w:val="center"/>
          </w:tcPr>
          <w:p w14:paraId="7B1570DE">
            <w:pPr>
              <w:keepNext w:val="0"/>
              <w:keepLines w:val="0"/>
              <w:pageBreakBefore w:val="0"/>
              <w:spacing w:line="360" w:lineRule="auto"/>
              <w:ind w:left="0" w:firstLine="28"/>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c>
          <w:tcPr>
            <w:tcW w:w="1227" w:type="dxa"/>
            <w:vMerge w:val="continue"/>
            <w:noWrap w:val="0"/>
            <w:vAlign w:val="center"/>
          </w:tcPr>
          <w:p w14:paraId="65D47A3C">
            <w:pPr>
              <w:keepNext w:val="0"/>
              <w:keepLines w:val="0"/>
              <w:pageBreakBefore w:val="0"/>
              <w:widowControl/>
              <w:spacing w:line="360" w:lineRule="auto"/>
              <w:ind w:left="0"/>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c>
          <w:tcPr>
            <w:tcW w:w="887" w:type="dxa"/>
            <w:noWrap w:val="0"/>
            <w:vAlign w:val="center"/>
          </w:tcPr>
          <w:p w14:paraId="000F4F59">
            <w:pPr>
              <w:keepNext w:val="0"/>
              <w:keepLines w:val="0"/>
              <w:pageBreakBefore w:val="0"/>
              <w:widowControl/>
              <w:spacing w:line="360" w:lineRule="auto"/>
              <w:ind w:left="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9</w:t>
            </w:r>
          </w:p>
        </w:tc>
        <w:tc>
          <w:tcPr>
            <w:tcW w:w="4450" w:type="dxa"/>
            <w:shd w:val="clear" w:color="auto" w:fill="auto"/>
            <w:noWrap w:val="0"/>
            <w:vAlign w:val="center"/>
          </w:tcPr>
          <w:p w14:paraId="10AB7BBF">
            <w:pPr>
              <w:widowControl/>
              <w:spacing w:line="360" w:lineRule="auto"/>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响应人所属总公司在开标前十二个月内，经保险监管部门评定的最新一期风险综合评级结果为：</w:t>
            </w:r>
          </w:p>
          <w:p w14:paraId="487F7977">
            <w:pPr>
              <w:widowControl/>
              <w:spacing w:line="360" w:lineRule="auto"/>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A类得9分；</w:t>
            </w:r>
          </w:p>
          <w:p w14:paraId="10BC35BF">
            <w:pPr>
              <w:widowControl/>
              <w:spacing w:line="360" w:lineRule="auto"/>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B类得6分；</w:t>
            </w:r>
          </w:p>
          <w:p w14:paraId="5B933559">
            <w:pPr>
              <w:widowControl/>
              <w:spacing w:line="360" w:lineRule="auto"/>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C类得3分；</w:t>
            </w:r>
          </w:p>
          <w:p w14:paraId="5CDA51EF">
            <w:pPr>
              <w:widowControl/>
              <w:spacing w:line="360" w:lineRule="auto"/>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D类不得分；</w:t>
            </w:r>
          </w:p>
          <w:p w14:paraId="6A760103">
            <w:pPr>
              <w:widowControl/>
              <w:spacing w:line="360" w:lineRule="auto"/>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本项最高得9分。</w:t>
            </w:r>
          </w:p>
        </w:tc>
        <w:tc>
          <w:tcPr>
            <w:tcW w:w="2308" w:type="dxa"/>
            <w:shd w:val="clear" w:color="auto" w:fill="auto"/>
            <w:noWrap w:val="0"/>
            <w:vAlign w:val="center"/>
          </w:tcPr>
          <w:p w14:paraId="1449CB0F">
            <w:pPr>
              <w:widowControl/>
              <w:spacing w:line="360" w:lineRule="auto"/>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提供保险监管部门对响应人分类监管结果的通知文件复印件或保险监管部门偿二代监管信息系统发布信息页面截图或总公司最新偿付能力报告中“风险综合评级（分类监管）” 章节复印件作为证明材料并加盖响应人公章。</w:t>
            </w:r>
          </w:p>
        </w:tc>
      </w:tr>
      <w:tr w14:paraId="41AC3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0" w:hRule="atLeast"/>
          <w:jc w:val="center"/>
        </w:trPr>
        <w:tc>
          <w:tcPr>
            <w:tcW w:w="756" w:type="dxa"/>
            <w:vMerge w:val="continue"/>
            <w:shd w:val="clear" w:color="auto" w:fill="auto"/>
            <w:noWrap w:val="0"/>
            <w:vAlign w:val="center"/>
          </w:tcPr>
          <w:p w14:paraId="399F3CAA">
            <w:pPr>
              <w:keepNext w:val="0"/>
              <w:keepLines w:val="0"/>
              <w:pageBreakBefore w:val="0"/>
              <w:spacing w:line="360" w:lineRule="auto"/>
              <w:ind w:left="0" w:firstLine="28"/>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c>
          <w:tcPr>
            <w:tcW w:w="1227" w:type="dxa"/>
            <w:vMerge w:val="continue"/>
            <w:shd w:val="clear" w:color="auto" w:fill="auto"/>
            <w:noWrap w:val="0"/>
            <w:vAlign w:val="center"/>
          </w:tcPr>
          <w:p w14:paraId="0192C788">
            <w:pPr>
              <w:keepNext w:val="0"/>
              <w:keepLines w:val="0"/>
              <w:pageBreakBefore w:val="0"/>
              <w:spacing w:line="360" w:lineRule="auto"/>
              <w:ind w:left="0"/>
              <w:jc w:val="center"/>
              <w:rPr>
                <w:rFonts w:hint="eastAsia" w:ascii="宋体" w:hAnsi="宋体" w:eastAsia="宋体" w:cs="Times New Roman"/>
                <w:color w:val="000000" w:themeColor="text1"/>
                <w:kern w:val="0"/>
                <w:sz w:val="24"/>
                <w:szCs w:val="24"/>
                <w:highlight w:val="none"/>
                <w:lang w:val="en-US" w:eastAsia="zh-CN" w:bidi="ar-SA"/>
                <w14:textFill>
                  <w14:solidFill>
                    <w14:schemeClr w14:val="tx1"/>
                  </w14:solidFill>
                </w14:textFill>
              </w:rPr>
            </w:pPr>
          </w:p>
        </w:tc>
        <w:tc>
          <w:tcPr>
            <w:tcW w:w="887" w:type="dxa"/>
            <w:shd w:val="clear" w:color="auto" w:fill="auto"/>
            <w:noWrap w:val="0"/>
            <w:vAlign w:val="center"/>
          </w:tcPr>
          <w:p w14:paraId="383494D0">
            <w:pPr>
              <w:keepNext w:val="0"/>
              <w:keepLines w:val="0"/>
              <w:pageBreakBefore w:val="0"/>
              <w:spacing w:line="360" w:lineRule="auto"/>
              <w:ind w:left="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9</w:t>
            </w:r>
          </w:p>
        </w:tc>
        <w:tc>
          <w:tcPr>
            <w:tcW w:w="4450" w:type="dxa"/>
            <w:shd w:val="clear" w:color="auto" w:fill="auto"/>
            <w:noWrap w:val="0"/>
            <w:vAlign w:val="center"/>
          </w:tcPr>
          <w:p w14:paraId="223B2140">
            <w:pPr>
              <w:spacing w:line="276" w:lineRule="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bidi="ar-SA"/>
                <w14:textFill>
                  <w14:solidFill>
                    <w14:schemeClr w14:val="tx1"/>
                  </w14:solidFill>
                </w14:textFill>
              </w:rPr>
              <w:t>根据各供应商</w:t>
            </w:r>
            <w:r>
              <w:rPr>
                <w:rFonts w:hint="eastAsia" w:ascii="宋体" w:hAnsi="宋体" w:eastAsia="宋体" w:cs="宋体"/>
                <w:color w:val="000000" w:themeColor="text1"/>
                <w:kern w:val="2"/>
                <w:sz w:val="24"/>
                <w:szCs w:val="24"/>
                <w:lang w:val="en-US" w:eastAsia="zh-CN" w:bidi="ar-SA"/>
                <w14:textFill>
                  <w14:solidFill>
                    <w14:schemeClr w14:val="tx1"/>
                  </w14:solidFill>
                </w14:textFill>
              </w:rPr>
              <w:t>总公司2025年未到期责任准备金进行评分，未到期责任准备金第一得9分，每下降一位减2分。</w:t>
            </w:r>
          </w:p>
        </w:tc>
        <w:tc>
          <w:tcPr>
            <w:tcW w:w="2308" w:type="dxa"/>
            <w:shd w:val="clear" w:color="auto" w:fill="auto"/>
            <w:noWrap w:val="0"/>
            <w:vAlign w:val="center"/>
          </w:tcPr>
          <w:p w14:paraId="61429F91">
            <w:pPr>
              <w:ind w:left="-38" w:leftChars="0"/>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提供响应人所属总公司</w:t>
            </w:r>
            <w:r>
              <w:rPr>
                <w:rFonts w:hint="eastAsia" w:ascii="宋体" w:hAnsi="宋体" w:eastAsia="宋体" w:cs="宋体"/>
                <w:color w:val="000000" w:themeColor="text1"/>
                <w:kern w:val="2"/>
                <w:sz w:val="24"/>
                <w:szCs w:val="24"/>
                <w:lang w:val="en-US" w:eastAsia="zh-CN" w:bidi="ar-SA"/>
                <w14:textFill>
                  <w14:solidFill>
                    <w14:schemeClr w14:val="tx1"/>
                  </w14:solidFill>
                </w14:textFill>
              </w:rPr>
              <w:t>2025</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年第四季度财务审计报告复印件加盖响应人公章，不提供不得分。</w:t>
            </w:r>
          </w:p>
        </w:tc>
      </w:tr>
      <w:tr w14:paraId="005CB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756" w:type="dxa"/>
            <w:vMerge w:val="continue"/>
            <w:shd w:val="clear" w:color="auto" w:fill="auto"/>
            <w:noWrap w:val="0"/>
            <w:vAlign w:val="center"/>
          </w:tcPr>
          <w:p w14:paraId="14061CCB">
            <w:pPr>
              <w:keepNext w:val="0"/>
              <w:keepLines w:val="0"/>
              <w:pageBreakBefore w:val="0"/>
              <w:spacing w:line="360" w:lineRule="auto"/>
              <w:ind w:left="0" w:firstLine="28"/>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c>
          <w:tcPr>
            <w:tcW w:w="1227" w:type="dxa"/>
            <w:vMerge w:val="continue"/>
            <w:shd w:val="clear" w:color="auto" w:fill="auto"/>
            <w:noWrap w:val="0"/>
            <w:vAlign w:val="center"/>
          </w:tcPr>
          <w:p w14:paraId="67B8A3B6">
            <w:pPr>
              <w:keepNext w:val="0"/>
              <w:keepLines w:val="0"/>
              <w:pageBreakBefore w:val="0"/>
              <w:spacing w:line="360" w:lineRule="auto"/>
              <w:ind w:left="0"/>
              <w:jc w:val="center"/>
              <w:rPr>
                <w:rFonts w:hint="eastAsia" w:ascii="宋体" w:hAnsi="宋体" w:eastAsia="宋体" w:cs="Times New Roman"/>
                <w:color w:val="000000" w:themeColor="text1"/>
                <w:kern w:val="0"/>
                <w:sz w:val="24"/>
                <w:szCs w:val="24"/>
                <w:highlight w:val="none"/>
                <w:lang w:val="en-US" w:eastAsia="zh-CN" w:bidi="ar-SA"/>
                <w14:textFill>
                  <w14:solidFill>
                    <w14:schemeClr w14:val="tx1"/>
                  </w14:solidFill>
                </w14:textFill>
              </w:rPr>
            </w:pPr>
          </w:p>
        </w:tc>
        <w:tc>
          <w:tcPr>
            <w:tcW w:w="887" w:type="dxa"/>
            <w:shd w:val="clear" w:color="auto" w:fill="auto"/>
            <w:noWrap w:val="0"/>
            <w:vAlign w:val="center"/>
          </w:tcPr>
          <w:p w14:paraId="377866F8">
            <w:pPr>
              <w:keepNext w:val="0"/>
              <w:keepLines w:val="0"/>
              <w:pageBreakBefore w:val="0"/>
              <w:spacing w:line="360" w:lineRule="auto"/>
              <w:ind w:left="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9</w:t>
            </w:r>
          </w:p>
        </w:tc>
        <w:tc>
          <w:tcPr>
            <w:tcW w:w="4450" w:type="dxa"/>
            <w:shd w:val="clear" w:color="auto" w:fill="auto"/>
            <w:noWrap w:val="0"/>
            <w:vAlign w:val="center"/>
          </w:tcPr>
          <w:p w14:paraId="2C7E2C52">
            <w:pPr>
              <w:widowControl w:val="0"/>
              <w:spacing w:before="120" w:line="360" w:lineRule="auto"/>
              <w:jc w:val="both"/>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t>响应人或其分支机</w:t>
            </w:r>
            <w:r>
              <w:rPr>
                <w:rFonts w:hint="eastAsia"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构自2023年以来获得地市级及以上明星企业评级的，五星企业每有一次得3分，四星企业每有一</w:t>
            </w:r>
            <w:r>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t>次得2分，三星企业每有一次得1分，最高9分。</w:t>
            </w:r>
          </w:p>
        </w:tc>
        <w:tc>
          <w:tcPr>
            <w:tcW w:w="2308" w:type="dxa"/>
            <w:shd w:val="clear" w:color="auto" w:fill="auto"/>
            <w:noWrap w:val="0"/>
            <w:vAlign w:val="center"/>
          </w:tcPr>
          <w:p w14:paraId="77D87AA4">
            <w:pPr>
              <w:keepNext w:val="0"/>
              <w:keepLines w:val="0"/>
              <w:pageBreakBefore w:val="0"/>
              <w:spacing w:line="360" w:lineRule="auto"/>
              <w:ind w:left="0"/>
              <w:jc w:val="both"/>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提供获奖证明材料，不提供不得分。时间以获奖证明材料上所载时间为准。</w:t>
            </w:r>
          </w:p>
        </w:tc>
      </w:tr>
      <w:tr w14:paraId="2658AF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0" w:hRule="atLeast"/>
          <w:jc w:val="center"/>
        </w:trPr>
        <w:tc>
          <w:tcPr>
            <w:tcW w:w="756" w:type="dxa"/>
            <w:shd w:val="clear" w:color="auto" w:fill="auto"/>
            <w:noWrap w:val="0"/>
            <w:vAlign w:val="center"/>
          </w:tcPr>
          <w:p w14:paraId="1DFBF2FC">
            <w:pPr>
              <w:keepNext w:val="0"/>
              <w:keepLines w:val="0"/>
              <w:pageBreakBefore w:val="0"/>
              <w:spacing w:line="360" w:lineRule="auto"/>
              <w:ind w:left="0" w:firstLine="28"/>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3.3</w:t>
            </w:r>
          </w:p>
        </w:tc>
        <w:tc>
          <w:tcPr>
            <w:tcW w:w="1227" w:type="dxa"/>
            <w:shd w:val="clear" w:color="auto" w:fill="auto"/>
            <w:noWrap w:val="0"/>
            <w:vAlign w:val="center"/>
          </w:tcPr>
          <w:p w14:paraId="238ED133">
            <w:pPr>
              <w:keepNext w:val="0"/>
              <w:keepLines w:val="0"/>
              <w:pageBreakBefore w:val="0"/>
              <w:spacing w:line="360" w:lineRule="auto"/>
              <w:ind w:left="0"/>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kern w:val="0"/>
                <w:sz w:val="24"/>
                <w:szCs w:val="24"/>
                <w:highlight w:val="none"/>
                <w:lang w:val="en-US" w:eastAsia="zh-CN" w:bidi="ar-SA"/>
                <w14:textFill>
                  <w14:solidFill>
                    <w14:schemeClr w14:val="tx1"/>
                  </w14:solidFill>
                </w14:textFill>
              </w:rPr>
              <w:t>增值服务</w:t>
            </w:r>
          </w:p>
        </w:tc>
        <w:tc>
          <w:tcPr>
            <w:tcW w:w="887" w:type="dxa"/>
            <w:shd w:val="clear" w:color="auto" w:fill="auto"/>
            <w:noWrap w:val="0"/>
            <w:vAlign w:val="center"/>
          </w:tcPr>
          <w:p w14:paraId="09017591">
            <w:pPr>
              <w:keepNext w:val="0"/>
              <w:keepLines w:val="0"/>
              <w:pageBreakBefore w:val="0"/>
              <w:spacing w:line="360" w:lineRule="auto"/>
              <w:ind w:left="0"/>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9</w:t>
            </w:r>
          </w:p>
        </w:tc>
        <w:tc>
          <w:tcPr>
            <w:tcW w:w="4450" w:type="dxa"/>
            <w:shd w:val="clear" w:color="auto" w:fill="auto"/>
            <w:noWrap w:val="0"/>
            <w:vAlign w:val="center"/>
          </w:tcPr>
          <w:p w14:paraId="46E01E36">
            <w:pPr>
              <w:keepNext w:val="0"/>
              <w:keepLines w:val="0"/>
              <w:pageBreakBefore w:val="0"/>
              <w:spacing w:line="360" w:lineRule="auto"/>
              <w:ind w:left="0"/>
              <w:jc w:val="both"/>
              <w:rPr>
                <w:rFonts w:hint="eastAsia" w:ascii="宋体" w:hAnsi="宋体" w:eastAsia="宋体" w:cs="宋体"/>
                <w:b w:val="0"/>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bidi="ar-SA"/>
                <w14:textFill>
                  <w14:solidFill>
                    <w14:schemeClr w14:val="tx1"/>
                  </w14:solidFill>
                </w14:textFill>
              </w:rPr>
              <w:t>对本项目提供自主创新增值服务，每有一项实质性自主创新增值服务的得3分，本项最高9分。</w:t>
            </w:r>
          </w:p>
          <w:p w14:paraId="17D87BD5">
            <w:pPr>
              <w:widowControl w:val="0"/>
              <w:spacing w:before="120" w:line="360" w:lineRule="auto"/>
              <w:jc w:val="both"/>
              <w:rPr>
                <w:rFonts w:hint="default" w:ascii="Arial" w:hAnsi="Arial"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t>注：实质性是指有利于本项目实施，或有利于保障对象。</w:t>
            </w:r>
          </w:p>
        </w:tc>
        <w:tc>
          <w:tcPr>
            <w:tcW w:w="2308" w:type="dxa"/>
            <w:shd w:val="clear" w:color="auto" w:fill="auto"/>
            <w:noWrap w:val="0"/>
            <w:vAlign w:val="center"/>
          </w:tcPr>
          <w:p w14:paraId="1D28A3B4">
            <w:pPr>
              <w:keepNext w:val="0"/>
              <w:keepLines w:val="0"/>
              <w:pageBreakBefore w:val="0"/>
              <w:spacing w:line="360" w:lineRule="auto"/>
              <w:ind w:left="0"/>
              <w:jc w:val="both"/>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t>须提供相应证明或承诺，不提供不得分。</w:t>
            </w:r>
          </w:p>
        </w:tc>
      </w:tr>
      <w:tr w14:paraId="544ACD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1" w:hRule="atLeast"/>
          <w:jc w:val="center"/>
        </w:trPr>
        <w:tc>
          <w:tcPr>
            <w:tcW w:w="1983" w:type="dxa"/>
            <w:gridSpan w:val="2"/>
            <w:noWrap w:val="0"/>
            <w:vAlign w:val="center"/>
          </w:tcPr>
          <w:p w14:paraId="2D8190AE">
            <w:pPr>
              <w:keepNext w:val="0"/>
              <w:keepLines w:val="0"/>
              <w:pageBreakBefore w:val="0"/>
              <w:spacing w:line="360" w:lineRule="auto"/>
              <w:ind w:left="0" w:firstLine="28"/>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合计</w:t>
            </w:r>
          </w:p>
        </w:tc>
        <w:tc>
          <w:tcPr>
            <w:tcW w:w="887" w:type="dxa"/>
            <w:noWrap w:val="0"/>
            <w:vAlign w:val="center"/>
          </w:tcPr>
          <w:p w14:paraId="3DF2B9DB">
            <w:pPr>
              <w:keepNext w:val="0"/>
              <w:keepLines w:val="0"/>
              <w:pageBreakBefore w:val="0"/>
              <w:spacing w:line="360" w:lineRule="auto"/>
              <w:ind w:left="0" w:firstLine="28"/>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100</w:t>
            </w:r>
          </w:p>
        </w:tc>
        <w:tc>
          <w:tcPr>
            <w:tcW w:w="6758" w:type="dxa"/>
            <w:gridSpan w:val="2"/>
            <w:noWrap w:val="0"/>
            <w:vAlign w:val="center"/>
          </w:tcPr>
          <w:p w14:paraId="51EAC894">
            <w:pPr>
              <w:keepNext w:val="0"/>
              <w:keepLines w:val="0"/>
              <w:pageBreakBefore w:val="0"/>
              <w:spacing w:line="360" w:lineRule="auto"/>
              <w:ind w:left="0"/>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r>
    </w:tbl>
    <w:p w14:paraId="758713FA">
      <w:pPr>
        <w:keepNext w:val="0"/>
        <w:keepLines w:val="0"/>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b/>
          <w:snapToGrid w:val="0"/>
          <w:color w:val="000000" w:themeColor="text1"/>
          <w:spacing w:val="0"/>
          <w:szCs w:val="21"/>
          <w14:textFill>
            <w14:solidFill>
              <w14:schemeClr w14:val="tx1"/>
            </w14:solidFill>
          </w14:textFill>
        </w:rPr>
      </w:pPr>
    </w:p>
    <w:p w14:paraId="756B4420">
      <w:pPr>
        <w:keepNext w:val="0"/>
        <w:keepLines w:val="0"/>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b/>
          <w:snapToGrid w:val="0"/>
          <w:color w:val="000000" w:themeColor="text1"/>
          <w:spacing w:val="0"/>
          <w:szCs w:val="21"/>
          <w14:textFill>
            <w14:solidFill>
              <w14:schemeClr w14:val="tx1"/>
            </w14:solidFill>
          </w14:textFill>
        </w:rPr>
      </w:pPr>
    </w:p>
    <w:p w14:paraId="6ADBBA5E">
      <w:pPr>
        <w:keepNext w:val="0"/>
        <w:keepLines w:val="0"/>
        <w:pageBreakBefore w:val="0"/>
        <w:widowControl w:val="0"/>
        <w:numPr>
          <w:ilvl w:val="0"/>
          <w:numId w:val="0"/>
        </w:numPr>
        <w:kinsoku/>
        <w:wordWrap/>
        <w:overflowPunct/>
        <w:topLinePunct w:val="0"/>
        <w:autoSpaceDE/>
        <w:autoSpaceDN/>
        <w:bidi w:val="0"/>
        <w:adjustRightInd/>
        <w:spacing w:beforeAutospacing="0" w:afterAutospacing="0" w:line="400" w:lineRule="exact"/>
        <w:ind w:left="0" w:leftChars="0" w:firstLine="482" w:firstLineChars="200"/>
        <w:contextualSpacing/>
        <w:jc w:val="both"/>
        <w:textAlignment w:val="auto"/>
        <w:rPr>
          <w:rFonts w:hint="eastAsia" w:ascii="宋体" w:hAnsi="宋体" w:eastAsia="宋体" w:cs="宋体"/>
          <w:b/>
          <w:color w:val="000000" w:themeColor="text1"/>
          <w:kern w:val="2"/>
          <w:sz w:val="24"/>
          <w:szCs w:val="24"/>
          <w:highlight w:val="none"/>
          <w:lang w:val="en-US" w:eastAsia="zh-CN" w:bidi="ar-SA"/>
          <w14:textFill>
            <w14:solidFill>
              <w14:schemeClr w14:val="tx1"/>
            </w14:solidFill>
          </w14:textFill>
        </w:rPr>
        <w:sectPr>
          <w:footerReference r:id="rId8" w:type="default"/>
          <w:pgSz w:w="11910" w:h="16850"/>
          <w:pgMar w:top="1134" w:right="1134" w:bottom="1134" w:left="1134" w:header="0" w:footer="1077" w:gutter="0"/>
          <w:pgNumType w:fmt="decimal"/>
          <w:cols w:space="720" w:num="1"/>
          <w:rtlGutter w:val="0"/>
        </w:sectPr>
      </w:pPr>
      <w:bookmarkStart w:id="505" w:name="_Toc17863"/>
    </w:p>
    <w:p w14:paraId="4BBE9258">
      <w:pPr>
        <w:keepNext w:val="0"/>
        <w:keepLines w:val="0"/>
        <w:pageBreakBefore w:val="0"/>
        <w:widowControl w:val="0"/>
        <w:numPr>
          <w:ilvl w:val="0"/>
          <w:numId w:val="0"/>
        </w:numPr>
        <w:kinsoku/>
        <w:wordWrap/>
        <w:overflowPunct/>
        <w:topLinePunct w:val="0"/>
        <w:autoSpaceDE/>
        <w:autoSpaceDN/>
        <w:bidi w:val="0"/>
        <w:adjustRightInd/>
        <w:spacing w:beforeAutospacing="0" w:afterAutospacing="0" w:line="400" w:lineRule="exact"/>
        <w:ind w:left="0" w:leftChars="0" w:firstLine="643" w:firstLineChars="200"/>
        <w:contextualSpacing/>
        <w:jc w:val="center"/>
        <w:textAlignment w:val="auto"/>
        <w:rPr>
          <w:rFonts w:hint="eastAsia" w:ascii="宋体" w:hAnsi="宋体" w:eastAsia="宋体" w:cs="宋体"/>
          <w:b/>
          <w:bCs/>
          <w:color w:val="000000" w:themeColor="text1"/>
          <w:kern w:val="2"/>
          <w:sz w:val="32"/>
          <w:szCs w:val="32"/>
          <w:highlight w:val="none"/>
          <w:lang w:val="en-US" w:eastAsia="zh-CN" w:bidi="ar-SA"/>
          <w14:textFill>
            <w14:solidFill>
              <w14:schemeClr w14:val="tx1"/>
            </w14:solidFill>
          </w14:textFill>
        </w:rPr>
      </w:pPr>
      <w:r>
        <w:rPr>
          <w:rFonts w:hint="eastAsia" w:ascii="宋体" w:hAnsi="宋体" w:eastAsia="宋体" w:cs="宋体"/>
          <w:b/>
          <w:bCs/>
          <w:snapToGrid w:val="0"/>
          <w:color w:val="000000" w:themeColor="text1"/>
          <w:spacing w:val="0"/>
          <w:kern w:val="0"/>
          <w:sz w:val="32"/>
          <w:szCs w:val="32"/>
          <w:lang w:val="en-US" w:eastAsia="zh-CN" w:bidi="ar-SA"/>
          <w14:textFill>
            <w14:solidFill>
              <w14:schemeClr w14:val="tx1"/>
            </w14:solidFill>
          </w14:textFill>
        </w:rPr>
        <w:t>第五章 采购需求</w:t>
      </w:r>
    </w:p>
    <w:p w14:paraId="77F8049F">
      <w:pPr>
        <w:spacing w:line="360" w:lineRule="auto"/>
        <w:contextualSpacing/>
        <w:rPr>
          <w:rFonts w:hint="eastAsia" w:ascii="Times New Roman" w:hAnsi="Times New Roman" w:eastAsia="宋体" w:cs="Times New Roman"/>
          <w:b/>
          <w:color w:val="000000" w:themeColor="text1"/>
          <w:kern w:val="2"/>
          <w:sz w:val="24"/>
          <w:szCs w:val="24"/>
          <w:lang w:val="en-US" w:eastAsia="zh-CN" w:bidi="ar-SA"/>
          <w14:textFill>
            <w14:solidFill>
              <w14:schemeClr w14:val="tx1"/>
            </w14:solidFill>
          </w14:textFill>
        </w:rPr>
      </w:pPr>
      <w:r>
        <w:rPr>
          <w:rFonts w:hint="eastAsia" w:ascii="Times New Roman" w:hAnsi="Times New Roman" w:eastAsia="宋体" w:cs="Times New Roman"/>
          <w:b/>
          <w:color w:val="000000" w:themeColor="text1"/>
          <w:kern w:val="2"/>
          <w:sz w:val="24"/>
          <w:szCs w:val="24"/>
          <w:lang w:val="en-US" w:eastAsia="zh-CN" w:bidi="ar-SA"/>
          <w14:textFill>
            <w14:solidFill>
              <w14:schemeClr w14:val="tx1"/>
            </w14:solidFill>
          </w14:textFill>
        </w:rPr>
        <w:t>一、项目概况：</w:t>
      </w:r>
    </w:p>
    <w:p w14:paraId="5DFD9188">
      <w:pPr>
        <w:widowControl w:val="0"/>
        <w:spacing w:after="120" w:line="480" w:lineRule="exact"/>
        <w:ind w:left="420" w:leftChars="200" w:firstLine="480" w:firstLineChars="200"/>
        <w:jc w:val="both"/>
        <w:rPr>
          <w:rFonts w:hint="eastAsia" w:ascii="Times New Roman" w:hAnsi="Times New Roman" w:eastAsia="宋体" w:cs="Times New Roman"/>
          <w:color w:val="000000" w:themeColor="text1"/>
          <w:kern w:val="0"/>
          <w:sz w:val="24"/>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1"/>
          <w:lang w:val="en-US" w:eastAsia="zh-CN" w:bidi="ar-SA"/>
          <w14:textFill>
            <w14:solidFill>
              <w14:schemeClr w14:val="tx1"/>
            </w14:solidFill>
          </w14:textFill>
        </w:rPr>
        <w:t>为提高我区残疾人保障水平，防止因残致贫、意外返贫等现象发生，进行金坛区持证残疾人商业保险采购工作。</w:t>
      </w:r>
    </w:p>
    <w:p w14:paraId="15ECCEC9">
      <w:pPr>
        <w:spacing w:line="360" w:lineRule="auto"/>
        <w:contextualSpacing/>
        <w:rPr>
          <w:rFonts w:hint="eastAsia" w:ascii="Times New Roman" w:hAnsi="Times New Roman" w:eastAsia="宋体" w:cs="Times New Roman"/>
          <w:b/>
          <w:color w:val="000000" w:themeColor="text1"/>
          <w:kern w:val="2"/>
          <w:sz w:val="24"/>
          <w:szCs w:val="24"/>
          <w:lang w:val="en-US" w:eastAsia="zh-CN" w:bidi="ar-SA"/>
          <w14:textFill>
            <w14:solidFill>
              <w14:schemeClr w14:val="tx1"/>
            </w14:solidFill>
          </w14:textFill>
        </w:rPr>
      </w:pPr>
      <w:r>
        <w:rPr>
          <w:rFonts w:hint="eastAsia" w:ascii="Times New Roman" w:hAnsi="Times New Roman" w:eastAsia="宋体" w:cs="Times New Roman"/>
          <w:b/>
          <w:color w:val="000000" w:themeColor="text1"/>
          <w:kern w:val="2"/>
          <w:sz w:val="24"/>
          <w:szCs w:val="24"/>
          <w:lang w:val="en-US" w:eastAsia="zh-CN" w:bidi="ar-SA"/>
          <w14:textFill>
            <w14:solidFill>
              <w14:schemeClr w14:val="tx1"/>
            </w14:solidFill>
          </w14:textFill>
        </w:rPr>
        <w:t>二、项目内容：</w:t>
      </w:r>
    </w:p>
    <w:p w14:paraId="5E9AB0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1、投保人：常州市金坛区残疾人联合会。</w:t>
      </w:r>
    </w:p>
    <w:p w14:paraId="63B90A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2、被保险人：</w:t>
      </w:r>
      <w:r>
        <w:rPr>
          <w:rFonts w:hint="default" w:ascii="宋体" w:hAnsi="宋体" w:eastAsia="宋体" w:cs="宋体"/>
          <w:color w:val="000000" w:themeColor="text1"/>
          <w:kern w:val="0"/>
          <w:sz w:val="24"/>
          <w:szCs w:val="24"/>
          <w:lang w:val="en-US" w:eastAsia="zh-CN" w:bidi="ar-SA"/>
          <w14:textFill>
            <w14:solidFill>
              <w14:schemeClr w14:val="tx1"/>
            </w14:solidFill>
          </w14:textFill>
        </w:rPr>
        <w:t>常州市金坛区</w:t>
      </w:r>
      <w:r>
        <w:rPr>
          <w:rFonts w:hint="eastAsia" w:ascii="宋体" w:hAnsi="宋体" w:eastAsia="宋体" w:cs="宋体"/>
          <w:color w:val="000000" w:themeColor="text1"/>
          <w:kern w:val="0"/>
          <w:sz w:val="24"/>
          <w:szCs w:val="24"/>
          <w:lang w:val="en-US" w:eastAsia="zh-CN" w:bidi="ar-SA"/>
          <w14:textFill>
            <w14:solidFill>
              <w14:schemeClr w14:val="tx1"/>
            </w14:solidFill>
          </w14:textFill>
        </w:rPr>
        <w:t>户籍并持有</w:t>
      </w:r>
      <w:r>
        <w:rPr>
          <w:rFonts w:hint="default" w:ascii="宋体" w:hAnsi="宋体" w:eastAsia="宋体" w:cs="宋体"/>
          <w:color w:val="000000" w:themeColor="text1"/>
          <w:kern w:val="0"/>
          <w:sz w:val="24"/>
          <w:szCs w:val="24"/>
          <w:lang w:val="en-US" w:eastAsia="zh-CN" w:bidi="ar-SA"/>
          <w14:textFill>
            <w14:solidFill>
              <w14:schemeClr w14:val="tx1"/>
            </w14:solidFill>
          </w14:textFill>
        </w:rPr>
        <w:t>国家统一发放残疾人证的残疾人</w:t>
      </w: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p>
    <w:p w14:paraId="0D054E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3、被保险人人</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数：</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预估</w:t>
      </w:r>
      <w:r>
        <w:rPr>
          <w:rFonts w:hint="default" w:ascii="宋体" w:hAnsi="宋体" w:eastAsia="宋体" w:cs="宋体"/>
          <w:color w:val="000000" w:themeColor="text1"/>
          <w:kern w:val="0"/>
          <w:sz w:val="24"/>
          <w:szCs w:val="24"/>
          <w:highlight w:val="none"/>
          <w:u w:val="single"/>
          <w:lang w:val="en-US" w:eastAsia="zh-CN" w:bidi="ar-SA"/>
          <w14:textFill>
            <w14:solidFill>
              <w14:schemeClr w14:val="tx1"/>
            </w14:solidFill>
          </w14:textFill>
        </w:rPr>
        <w:t>1</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45</w:t>
      </w:r>
      <w:r>
        <w:rPr>
          <w:rFonts w:hint="default" w:ascii="宋体" w:hAnsi="宋体" w:eastAsia="宋体" w:cs="宋体"/>
          <w:color w:val="000000" w:themeColor="text1"/>
          <w:kern w:val="0"/>
          <w:sz w:val="24"/>
          <w:szCs w:val="24"/>
          <w:highlight w:val="none"/>
          <w:u w:val="single"/>
          <w:lang w:val="en-US" w:eastAsia="zh-CN" w:bidi="ar-SA"/>
          <w14:textFill>
            <w14:solidFill>
              <w14:schemeClr w14:val="tx1"/>
            </w14:solidFill>
          </w14:textFill>
        </w:rPr>
        <w:t>00人</w:t>
      </w:r>
      <w: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具体人数及名单</w:t>
      </w:r>
      <w:r>
        <w:rPr>
          <w:rFonts w:hint="eastAsia" w:ascii="宋体" w:hAnsi="宋体" w:eastAsia="宋体" w:cs="宋体"/>
          <w:color w:val="000000" w:themeColor="text1"/>
          <w:kern w:val="0"/>
          <w:sz w:val="24"/>
          <w:szCs w:val="24"/>
          <w:lang w:val="en-US" w:eastAsia="zh-CN" w:bidi="ar-SA"/>
          <w14:textFill>
            <w14:solidFill>
              <w14:schemeClr w14:val="tx1"/>
            </w14:solidFill>
          </w14:textFill>
        </w:rPr>
        <w:t>待办理投保手续时提供。</w:t>
      </w:r>
    </w:p>
    <w:p w14:paraId="050CFC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4、保险期限：合同期满考核达标的可续签 1 年合同，续签次数不得超过 2 次。</w:t>
      </w:r>
    </w:p>
    <w:p w14:paraId="3C66FC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5、保险费：</w:t>
      </w:r>
      <w:r>
        <w:rPr>
          <w:rFonts w:hint="eastAsia" w:ascii="宋体" w:hAnsi="宋体" w:eastAsia="宋体" w:cs="宋体"/>
          <w:color w:val="000000" w:themeColor="text1"/>
          <w:kern w:val="0"/>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SA"/>
          <w14:textFill>
            <w14:solidFill>
              <w14:schemeClr w14:val="tx1"/>
            </w14:solidFill>
          </w14:textFill>
        </w:rPr>
        <w:t>元/人/年（按照中标价执行）。</w:t>
      </w:r>
    </w:p>
    <w:p w14:paraId="1ECEAA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6、项目预算：145万元/年。</w:t>
      </w:r>
    </w:p>
    <w:p w14:paraId="255D8C0B">
      <w:pPr>
        <w:spacing w:line="360" w:lineRule="auto"/>
        <w:contextualSpacing/>
        <w:rPr>
          <w:rFonts w:hint="default" w:ascii="Times New Roman" w:hAnsi="Times New Roman" w:eastAsia="宋体" w:cs="Times New Roman"/>
          <w:b/>
          <w:color w:val="000000" w:themeColor="text1"/>
          <w:kern w:val="2"/>
          <w:sz w:val="24"/>
          <w:szCs w:val="24"/>
          <w:lang w:val="en-US" w:eastAsia="zh-CN" w:bidi="ar-SA"/>
          <w14:textFill>
            <w14:solidFill>
              <w14:schemeClr w14:val="tx1"/>
            </w14:solidFill>
          </w14:textFill>
        </w:rPr>
      </w:pPr>
      <w:r>
        <w:rPr>
          <w:rFonts w:hint="eastAsia" w:ascii="Times New Roman" w:hAnsi="Times New Roman" w:eastAsia="宋体" w:cs="Times New Roman"/>
          <w:b/>
          <w:color w:val="000000" w:themeColor="text1"/>
          <w:kern w:val="2"/>
          <w:sz w:val="24"/>
          <w:szCs w:val="24"/>
          <w:lang w:val="en-US" w:eastAsia="zh-CN" w:bidi="ar-SA"/>
          <w14:textFill>
            <w14:solidFill>
              <w14:schemeClr w14:val="tx1"/>
            </w14:solidFill>
          </w14:textFill>
        </w:rPr>
        <w:t>三、保险保障内容</w:t>
      </w:r>
    </w:p>
    <w:tbl>
      <w:tblPr>
        <w:tblStyle w:val="14"/>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5"/>
        <w:gridCol w:w="3615"/>
        <w:gridCol w:w="4110"/>
      </w:tblGrid>
      <w:tr w14:paraId="4ECCF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dxa"/>
            <w:vMerge w:val="restart"/>
            <w:vAlign w:val="center"/>
          </w:tcPr>
          <w:p w14:paraId="6AA55401">
            <w:pPr>
              <w:jc w:val="center"/>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保险内容</w:t>
            </w:r>
          </w:p>
        </w:tc>
        <w:tc>
          <w:tcPr>
            <w:tcW w:w="3615" w:type="dxa"/>
            <w:vAlign w:val="center"/>
          </w:tcPr>
          <w:p w14:paraId="0C7161F2">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本年拟续保条件</w:t>
            </w:r>
          </w:p>
        </w:tc>
        <w:tc>
          <w:tcPr>
            <w:tcW w:w="4110" w:type="dxa"/>
            <w:vMerge w:val="restart"/>
            <w:vAlign w:val="center"/>
          </w:tcPr>
          <w:p w14:paraId="5D03BC3C">
            <w:pPr>
              <w:jc w:val="center"/>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保障释义</w:t>
            </w:r>
          </w:p>
        </w:tc>
      </w:tr>
      <w:tr w14:paraId="4F44C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dxa"/>
            <w:vMerge w:val="continue"/>
          </w:tcPr>
          <w:p w14:paraId="62A1C538">
            <w:pPr>
              <w:jc w:val="center"/>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p>
        </w:tc>
        <w:tc>
          <w:tcPr>
            <w:tcW w:w="3615" w:type="dxa"/>
            <w:vAlign w:val="center"/>
          </w:tcPr>
          <w:p w14:paraId="0D7FBF05">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保险金额</w:t>
            </w:r>
          </w:p>
        </w:tc>
        <w:tc>
          <w:tcPr>
            <w:tcW w:w="4110" w:type="dxa"/>
            <w:vMerge w:val="continue"/>
          </w:tcPr>
          <w:p w14:paraId="0424A698">
            <w:pPr>
              <w:jc w:val="center"/>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p>
        </w:tc>
      </w:tr>
      <w:tr w14:paraId="0A2DA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dxa"/>
            <w:vAlign w:val="center"/>
          </w:tcPr>
          <w:p w14:paraId="31947D4A">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重大疾病</w:t>
            </w:r>
          </w:p>
        </w:tc>
        <w:tc>
          <w:tcPr>
            <w:tcW w:w="3615" w:type="dxa"/>
            <w:vAlign w:val="center"/>
          </w:tcPr>
          <w:p w14:paraId="7AD5D1D5">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60周岁以下人员保额1.3万元</w:t>
            </w:r>
          </w:p>
          <w:p w14:paraId="2B9DB5A2">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60周岁及以上人员保额1万元</w:t>
            </w:r>
          </w:p>
        </w:tc>
        <w:tc>
          <w:tcPr>
            <w:tcW w:w="4110" w:type="dxa"/>
            <w:vAlign w:val="center"/>
          </w:tcPr>
          <w:p w14:paraId="3F7D1992">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被保险人因意外或自合同生效之日出现的疾病，经医生确诊首次发生合同所附的重大疾病，给付重大疾病保险金。</w:t>
            </w:r>
          </w:p>
        </w:tc>
      </w:tr>
      <w:tr w14:paraId="60815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dxa"/>
            <w:vAlign w:val="center"/>
          </w:tcPr>
          <w:p w14:paraId="0A812167">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highlight w:val="none"/>
                <w:lang w:val="en-US" w:eastAsia="zh-CN" w:bidi="ar-SA"/>
                <w14:textFill>
                  <w14:solidFill>
                    <w14:schemeClr w14:val="tx1"/>
                  </w14:solidFill>
                </w14:textFill>
              </w:rPr>
              <w:t>轻症疾病</w:t>
            </w:r>
          </w:p>
        </w:tc>
        <w:tc>
          <w:tcPr>
            <w:tcW w:w="3615" w:type="dxa"/>
            <w:vAlign w:val="center"/>
          </w:tcPr>
          <w:p w14:paraId="1F1D90AF">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eastAsia" w:ascii="微软雅黑" w:hAnsi="微软雅黑" w:eastAsia="微软雅黑" w:cs="微软雅黑"/>
                <w:color w:val="000000" w:themeColor="text1"/>
                <w:kern w:val="0"/>
                <w:sz w:val="24"/>
                <w:szCs w:val="24"/>
                <w:highlight w:val="no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highlight w:val="none"/>
                <w:lang w:val="en-US" w:eastAsia="zh-CN" w:bidi="ar-SA"/>
                <w14:textFill>
                  <w14:solidFill>
                    <w14:schemeClr w14:val="tx1"/>
                  </w14:solidFill>
                </w14:textFill>
              </w:rPr>
              <w:t>60周岁以下人员保额6000元</w:t>
            </w:r>
          </w:p>
          <w:p w14:paraId="4EA80D30">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highlight w:val="none"/>
                <w:lang w:val="en-US" w:eastAsia="zh-CN" w:bidi="ar-SA"/>
                <w14:textFill>
                  <w14:solidFill>
                    <w14:schemeClr w14:val="tx1"/>
                  </w14:solidFill>
                </w14:textFill>
              </w:rPr>
              <w:t>60周岁及以上人员保额3000元</w:t>
            </w:r>
          </w:p>
        </w:tc>
        <w:tc>
          <w:tcPr>
            <w:tcW w:w="4110" w:type="dxa"/>
            <w:vAlign w:val="center"/>
          </w:tcPr>
          <w:p w14:paraId="022D4370">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highlight w:val="none"/>
                <w:lang w:val="en-US" w:eastAsia="zh-CN" w:bidi="ar-SA"/>
                <w14:textFill>
                  <w14:solidFill>
                    <w14:schemeClr w14:val="tx1"/>
                  </w14:solidFill>
                </w14:textFill>
              </w:rPr>
              <w:t>仅承保轻度恶性肿瘤、</w:t>
            </w:r>
            <w:r>
              <w:rPr>
                <w:rFonts w:hint="eastAsia" w:ascii="微软雅黑" w:hAnsi="微软雅黑" w:eastAsia="微软雅黑" w:cs="微软雅黑"/>
                <w:color w:val="000000" w:themeColor="text1"/>
                <w:spacing w:val="8"/>
                <w:kern w:val="0"/>
                <w:sz w:val="24"/>
                <w:szCs w:val="24"/>
                <w:highlight w:val="none"/>
                <w:lang w:val="en-US" w:eastAsia="zh-CN" w:bidi="ar-SA"/>
                <w14:textFill>
                  <w14:solidFill>
                    <w14:schemeClr w14:val="tx1"/>
                  </w14:solidFill>
                </w14:textFill>
              </w:rPr>
              <w:t>较轻急性心肌梗死、轻度脑中风后遗症。</w:t>
            </w:r>
          </w:p>
        </w:tc>
      </w:tr>
      <w:tr w14:paraId="510A1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dxa"/>
            <w:vAlign w:val="center"/>
          </w:tcPr>
          <w:p w14:paraId="3AE95679">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重疾住院津贴</w:t>
            </w:r>
          </w:p>
        </w:tc>
        <w:tc>
          <w:tcPr>
            <w:tcW w:w="3615" w:type="dxa"/>
            <w:vAlign w:val="center"/>
          </w:tcPr>
          <w:p w14:paraId="110D8033">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50元/天</w:t>
            </w:r>
          </w:p>
          <w:p w14:paraId="46BDDB75">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累计120天</w:t>
            </w:r>
          </w:p>
        </w:tc>
        <w:tc>
          <w:tcPr>
            <w:tcW w:w="4110" w:type="dxa"/>
            <w:vAlign w:val="center"/>
          </w:tcPr>
          <w:p w14:paraId="767FBDF1">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被保险人自合同生效之日起首次经医院确诊为重大疾病且必须住院治疗，自住院第一日起按每天50元给付住院津贴，被保险人无论一次或多次住院，全年累计给付天数以120天为限。</w:t>
            </w:r>
          </w:p>
        </w:tc>
      </w:tr>
      <w:tr w14:paraId="1C64E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dxa"/>
            <w:vAlign w:val="center"/>
          </w:tcPr>
          <w:p w14:paraId="577DBA6D">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意外身故</w:t>
            </w:r>
          </w:p>
        </w:tc>
        <w:tc>
          <w:tcPr>
            <w:tcW w:w="3615" w:type="dxa"/>
            <w:vAlign w:val="center"/>
          </w:tcPr>
          <w:p w14:paraId="270B60E2">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60周岁以下人员保额1万元</w:t>
            </w:r>
          </w:p>
          <w:p w14:paraId="5B257CDA">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60周岁及以上人员保额5000元</w:t>
            </w:r>
          </w:p>
        </w:tc>
        <w:tc>
          <w:tcPr>
            <w:tcW w:w="4110" w:type="dxa"/>
            <w:vAlign w:val="center"/>
          </w:tcPr>
          <w:p w14:paraId="5B8BD177">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在保险期间内，被保险人遭受意外伤害事故，并因该事故身故的，保险人根据合同的约定给付“意外伤害身故保险金”。</w:t>
            </w:r>
          </w:p>
        </w:tc>
      </w:tr>
      <w:tr w14:paraId="2BFCD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dxa"/>
            <w:vAlign w:val="center"/>
          </w:tcPr>
          <w:p w14:paraId="6B2FFD62">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意外伤残</w:t>
            </w:r>
          </w:p>
        </w:tc>
        <w:tc>
          <w:tcPr>
            <w:tcW w:w="3615" w:type="dxa"/>
            <w:vAlign w:val="center"/>
          </w:tcPr>
          <w:p w14:paraId="1BA9DFEF">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5万元</w:t>
            </w:r>
          </w:p>
        </w:tc>
        <w:tc>
          <w:tcPr>
            <w:tcW w:w="4110" w:type="dxa"/>
            <w:vAlign w:val="center"/>
          </w:tcPr>
          <w:p w14:paraId="360E9F00">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人身意外伤残等级赔付比例按人身保险伤残评定标准（行业标准），赔付比例：一级100%，二级90%，三级80%，四级70%，五级60%，六级50%，七级40%，八级30%，九级20%，十级10%。</w:t>
            </w:r>
          </w:p>
        </w:tc>
      </w:tr>
      <w:tr w14:paraId="0C800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dxa"/>
            <w:vAlign w:val="center"/>
          </w:tcPr>
          <w:p w14:paraId="56A6F71E">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意外医疗费用</w:t>
            </w:r>
          </w:p>
        </w:tc>
        <w:tc>
          <w:tcPr>
            <w:tcW w:w="3615" w:type="dxa"/>
            <w:vAlign w:val="center"/>
          </w:tcPr>
          <w:p w14:paraId="3D082283">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交通事故全年龄段3000元；</w:t>
            </w:r>
          </w:p>
          <w:p w14:paraId="6EB3C7F6">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除交通事故外的其他事故：</w:t>
            </w:r>
          </w:p>
          <w:p w14:paraId="2D801369">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60周岁以下人员5000元；</w:t>
            </w:r>
          </w:p>
          <w:p w14:paraId="16DF2DE1">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60周岁及以上人员3000元</w:t>
            </w:r>
          </w:p>
        </w:tc>
        <w:tc>
          <w:tcPr>
            <w:tcW w:w="4110" w:type="dxa"/>
            <w:vAlign w:val="center"/>
          </w:tcPr>
          <w:p w14:paraId="468352AE">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在保险期间内，被保险人因遭受意外伤害在一级以上（含一级）医院或保险人认可的医疗机构所支出的、符合当地社会基本医疗保险机构规定可报销的医疗费用，保险人按自付部分的（100%）医疗费用赔偿。</w:t>
            </w:r>
          </w:p>
        </w:tc>
      </w:tr>
      <w:tr w14:paraId="6027B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dxa"/>
            <w:vAlign w:val="center"/>
          </w:tcPr>
          <w:p w14:paraId="2D9404B0">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意外住院津贴</w:t>
            </w:r>
          </w:p>
        </w:tc>
        <w:tc>
          <w:tcPr>
            <w:tcW w:w="3615" w:type="dxa"/>
            <w:vAlign w:val="center"/>
          </w:tcPr>
          <w:p w14:paraId="7A7109A6">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50元/天,</w:t>
            </w:r>
          </w:p>
          <w:p w14:paraId="21D28470">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累计120天</w:t>
            </w:r>
          </w:p>
        </w:tc>
        <w:tc>
          <w:tcPr>
            <w:tcW w:w="4110" w:type="dxa"/>
            <w:vAlign w:val="center"/>
          </w:tcPr>
          <w:p w14:paraId="571AF9F4">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被保险人遭受意外伤害事故并自事故发生之日起180天内（含第180日）因该事故在保险人指定或认可的医院住院治疗的，保险人按被保险人的实际住院天数乘以日生活津贴计算给付意外住院津贴保险金。被保险人多次遭受意外伤害事故进行住院治疗，保险人按约定分别给付意外住院津贴保险金，但每一保险年度内对同一被保险人一次或多次累计给付津贴天数以120天为限，当累计给付金额达到120天时，本附加合同对该被保险人的保险责任终止。</w:t>
            </w:r>
          </w:p>
        </w:tc>
      </w:tr>
    </w:tbl>
    <w:p w14:paraId="3E6D5266">
      <w:pPr>
        <w:rPr>
          <w:rFonts w:hint="default" w:ascii="Calibri" w:hAnsi="Calibri" w:eastAsia="宋体" w:cs="Times New Roman"/>
          <w:color w:val="000000" w:themeColor="text1"/>
          <w:kern w:val="2"/>
          <w:szCs w:val="24"/>
          <w:lang w:val="en-US" w:eastAsia="zh-CN" w:bidi="ar-SA"/>
          <w14:textFill>
            <w14:solidFill>
              <w14:schemeClr w14:val="tx1"/>
            </w14:solidFill>
          </w14:textFill>
        </w:rPr>
      </w:pPr>
    </w:p>
    <w:p w14:paraId="60689834">
      <w:pPr>
        <w:rPr>
          <w:rFonts w:hint="default" w:ascii="微软雅黑" w:hAnsi="微软雅黑" w:eastAsia="微软雅黑" w:cs="微软雅黑"/>
          <w:color w:val="000000" w:themeColor="text1"/>
          <w:kern w:val="2"/>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4"/>
          <w:szCs w:val="24"/>
          <w:lang w:val="en-US" w:eastAsia="zh-CN" w:bidi="ar-SA"/>
          <w14:textFill>
            <w14:solidFill>
              <w14:schemeClr w14:val="tx1"/>
            </w14:solidFill>
          </w14:textFill>
        </w:rPr>
        <w:t>特别约定：</w:t>
      </w:r>
    </w:p>
    <w:p w14:paraId="7F7D1702">
      <w:pPr>
        <w:rPr>
          <w:rFonts w:hint="eastAsia" w:ascii="微软雅黑" w:hAnsi="微软雅黑" w:eastAsia="微软雅黑" w:cs="微软雅黑"/>
          <w:color w:val="000000" w:themeColor="text1"/>
          <w:kern w:val="2"/>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4"/>
          <w:szCs w:val="24"/>
          <w:lang w:val="en-US" w:eastAsia="zh-CN" w:bidi="ar-SA"/>
          <w14:textFill>
            <w14:solidFill>
              <w14:schemeClr w14:val="tx1"/>
            </w14:solidFill>
          </w14:textFill>
        </w:rPr>
        <w:t>1、意外医疗费用：交通事故全年龄段3000元；除交通事故外的其他事故：60周岁以下人员5000元；60周岁及以上人员3000元。在保险期间内，被保险人因遭受意外伤害在一级以上（含一级）医院或保险人认可的医疗机构所支出的、符合当地社会基本医疗保险机构规定可报销的医疗费用，保险人按自付部分的（100%）医疗费用赔偿。</w:t>
      </w:r>
    </w:p>
    <w:p w14:paraId="75F4336A">
      <w:pPr>
        <w:rPr>
          <w:rFonts w:hint="eastAsia" w:ascii="微软雅黑" w:hAnsi="微软雅黑" w:eastAsia="微软雅黑" w:cs="微软雅黑"/>
          <w:color w:val="000000" w:themeColor="text1"/>
          <w:kern w:val="2"/>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4"/>
          <w:szCs w:val="24"/>
          <w:lang w:val="en-US" w:eastAsia="zh-CN" w:bidi="ar-SA"/>
          <w14:textFill>
            <w14:solidFill>
              <w14:schemeClr w14:val="tx1"/>
            </w14:solidFill>
          </w14:textFill>
        </w:rPr>
        <w:t>2、轻度疾病保险：60周岁以下人员保额6000元，60周岁及以上人员保额3000元。仅承保轻度恶性肿瘤、较轻急性心肌梗死、轻度脑中风后遗症。</w:t>
      </w:r>
    </w:p>
    <w:p w14:paraId="025AF0AC">
      <w:pPr>
        <w:rPr>
          <w:rFonts w:hint="eastAsia" w:ascii="微软雅黑" w:hAnsi="微软雅黑" w:eastAsia="微软雅黑" w:cs="微软雅黑"/>
          <w:color w:val="000000" w:themeColor="text1"/>
          <w:kern w:val="2"/>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4"/>
          <w:szCs w:val="24"/>
          <w:lang w:val="en-US" w:eastAsia="zh-CN" w:bidi="ar-SA"/>
          <w14:textFill>
            <w14:solidFill>
              <w14:schemeClr w14:val="tx1"/>
            </w14:solidFill>
          </w14:textFill>
        </w:rPr>
        <w:t>3、意外医疗费用扩展至一级以上（含一级）医院或保险人认可的医疗机构所支出的、符合当地社会基本医疗保险机构规定可报销的医疗费用。</w:t>
      </w:r>
    </w:p>
    <w:p w14:paraId="3E1AE574">
      <w:pPr>
        <w:rPr>
          <w:rFonts w:hint="eastAsia" w:ascii="微软雅黑" w:hAnsi="微软雅黑" w:eastAsia="微软雅黑" w:cs="微软雅黑"/>
          <w:color w:val="000000" w:themeColor="text1"/>
          <w:kern w:val="2"/>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4"/>
          <w:szCs w:val="24"/>
          <w:lang w:val="en-US" w:eastAsia="zh-CN" w:bidi="ar-SA"/>
          <w14:textFill>
            <w14:solidFill>
              <w14:schemeClr w14:val="tx1"/>
            </w14:solidFill>
          </w14:textFill>
        </w:rPr>
        <w:t>4、保全增加人员两项保险责任“重大疾病保险、重疾住院津贴”的等待期均为30天，起保日期以残疾证发放日期为准。</w:t>
      </w:r>
    </w:p>
    <w:p w14:paraId="013C6DC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p>
    <w:p w14:paraId="33152F41">
      <w:pPr>
        <w:widowControl w:val="0"/>
        <w:spacing w:after="120" w:line="480" w:lineRule="exact"/>
        <w:ind w:left="0" w:leftChars="0" w:firstLine="241" w:firstLineChars="100"/>
        <w:jc w:val="both"/>
        <w:rPr>
          <w:rFonts w:hint="eastAsia" w:ascii="Times New Roman" w:hAnsi="Times New Roman" w:eastAsia="宋体" w:cs="Times New Roman"/>
          <w:color w:val="000000" w:themeColor="text1"/>
          <w:kern w:val="2"/>
          <w:sz w:val="24"/>
          <w:szCs w:val="20"/>
          <w:lang w:val="en-US" w:eastAsia="zh-CN" w:bidi="ar-SA"/>
          <w14:textFill>
            <w14:solidFill>
              <w14:schemeClr w14:val="tx1"/>
            </w14:solidFill>
          </w14:textFill>
        </w:rPr>
      </w:pPr>
      <w:r>
        <w:rPr>
          <w:rFonts w:hint="eastAsia" w:ascii="Times New Roman" w:hAnsi="Times New Roman" w:eastAsia="宋体" w:cs="Times New Roman"/>
          <w:b/>
          <w:bCs/>
          <w:color w:val="000000" w:themeColor="text1"/>
          <w:kern w:val="2"/>
          <w:sz w:val="24"/>
          <w:szCs w:val="20"/>
          <w:lang w:val="en-US" w:eastAsia="zh-CN" w:bidi="ar-SA"/>
          <w14:textFill>
            <w14:solidFill>
              <w14:schemeClr w14:val="tx1"/>
            </w14:solidFill>
          </w14:textFill>
        </w:rPr>
        <w:t>二十八种重大疾病如下：</w:t>
      </w:r>
    </w:p>
    <w:p w14:paraId="713D129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1.恶性肿瘤——重度</w:t>
      </w:r>
    </w:p>
    <w:p w14:paraId="3AE762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指恶性细胞不受控制的进行性增长和扩散，浸润和破坏周围正常组织，可以经血管、淋巴管和体腔扩散转移到身体其他部位，病灶经组织病理学检查（涵盖骨髓病理学检查）</w:t>
      </w:r>
      <w:r>
        <w:rPr>
          <w:rFonts w:hint="eastAsia" w:ascii="宋体" w:hAnsi="宋体" w:eastAsia="宋体" w:cs="宋体"/>
          <w:color w:val="000000" w:themeColor="text1"/>
          <w:kern w:val="0"/>
          <w:sz w:val="24"/>
          <w:szCs w:val="24"/>
          <w:lang w:val="en-US" w:eastAsia="zh-CN" w:bidi="ar-SA"/>
          <w14:textFill>
            <w14:solidFill>
              <w14:schemeClr w14:val="tx1"/>
            </w14:solidFill>
          </w14:textFill>
        </w:rPr>
        <w:footnoteReference w:id="0"/>
      </w:r>
      <w:r>
        <w:rPr>
          <w:rFonts w:hint="eastAsia" w:ascii="宋体" w:hAnsi="宋体" w:eastAsia="宋体" w:cs="宋体"/>
          <w:color w:val="000000" w:themeColor="text1"/>
          <w:kern w:val="0"/>
          <w:sz w:val="24"/>
          <w:szCs w:val="24"/>
          <w:lang w:val="en-US" w:eastAsia="zh-CN" w:bidi="ar-SA"/>
          <w14:textFill>
            <w14:solidFill>
              <w14:schemeClr w14:val="tx1"/>
            </w14:solidFill>
          </w14:textFill>
        </w:rPr>
        <w:t>结果明确诊断，临床诊断属于世界卫生组织（WHO，World Health Organization）《疾病和有关健康问题的国际统计分类》第十次修订版（ICD-10）的恶性肿瘤类别及《国际疾病分类肿瘤学专辑》第三版（ICD-O-3）</w:t>
      </w:r>
      <w:r>
        <w:rPr>
          <w:rFonts w:hint="eastAsia" w:ascii="宋体" w:hAnsi="宋体" w:eastAsia="宋体" w:cs="宋体"/>
          <w:color w:val="000000" w:themeColor="text1"/>
          <w:kern w:val="0"/>
          <w:sz w:val="24"/>
          <w:szCs w:val="24"/>
          <w:lang w:val="en-US" w:eastAsia="zh-CN" w:bidi="ar-SA"/>
          <w14:textFill>
            <w14:solidFill>
              <w14:schemeClr w14:val="tx1"/>
            </w14:solidFill>
          </w14:textFill>
        </w:rPr>
        <w:footnoteReference w:id="1"/>
      </w:r>
      <w:r>
        <w:rPr>
          <w:rFonts w:hint="eastAsia" w:ascii="宋体" w:hAnsi="宋体" w:eastAsia="宋体" w:cs="宋体"/>
          <w:color w:val="000000" w:themeColor="text1"/>
          <w:kern w:val="0"/>
          <w:sz w:val="24"/>
          <w:szCs w:val="24"/>
          <w:lang w:val="en-US" w:eastAsia="zh-CN" w:bidi="ar-SA"/>
          <w14:textFill>
            <w14:solidFill>
              <w14:schemeClr w14:val="tx1"/>
            </w14:solidFill>
          </w14:textFill>
        </w:rPr>
        <w:t>的肿瘤形态学编码属于3、6、9（恶性肿瘤）范畴的疾病。</w:t>
      </w:r>
    </w:p>
    <w:p w14:paraId="49FE51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下列疾病不属于“恶性肿瘤——重度”，不在保障范围内：</w:t>
      </w:r>
    </w:p>
    <w:p w14:paraId="511560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ICD-O-3肿瘤形态学编码属于0（良性肿瘤）、1（动态未定性肿瘤）、2（原位癌和非侵袭性癌）范畴的疾病，如：</w:t>
      </w:r>
    </w:p>
    <w:p w14:paraId="504FBF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原位癌，癌前病变，非浸润性癌，非侵袭性癌，肿瘤细胞未侵犯基底层，上皮内瘤变，细胞不典型性增生等；</w:t>
      </w:r>
    </w:p>
    <w:p w14:paraId="4F3C80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交界性肿瘤，交界恶性肿瘤，肿瘤低度恶性潜能，潜在低度恶性肿瘤等；</w:t>
      </w:r>
    </w:p>
    <w:p w14:paraId="3E7FC5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TNM分期为Ⅰ期或更轻分期的甲状腺癌</w:t>
      </w:r>
      <w:r>
        <w:rPr>
          <w:rFonts w:hint="eastAsia" w:ascii="宋体" w:hAnsi="宋体" w:eastAsia="宋体" w:cs="宋体"/>
          <w:color w:val="000000" w:themeColor="text1"/>
          <w:kern w:val="0"/>
          <w:sz w:val="24"/>
          <w:szCs w:val="24"/>
          <w:lang w:val="en-US" w:eastAsia="zh-CN" w:bidi="ar-SA"/>
          <w14:textFill>
            <w14:solidFill>
              <w14:schemeClr w14:val="tx1"/>
            </w14:solidFill>
          </w14:textFill>
        </w:rPr>
        <w:footnoteReference w:id="2"/>
      </w: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p>
    <w:p w14:paraId="0E6EEB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TNM分期为T1N0M0期或更轻分期的前列腺癌；</w:t>
      </w:r>
    </w:p>
    <w:p w14:paraId="317590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黑色素瘤以外的未发生淋巴结和远处转移的皮肤恶性肿瘤；</w:t>
      </w:r>
    </w:p>
    <w:p w14:paraId="41C175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相当于Binet分期方案A期程度的慢性淋巴细胞白血病；</w:t>
      </w:r>
    </w:p>
    <w:p w14:paraId="25F29D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相当于Ann Arbor分期方案Ⅰ期程度的何杰金氏病；</w:t>
      </w:r>
    </w:p>
    <w:p w14:paraId="71D808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未发生淋巴结和远处转移且WHO分级为G1级别（核分裂像&lt;10/50HPF和ki-67≤2%）或更轻分级的神经内分泌肿瘤。</w:t>
      </w:r>
    </w:p>
    <w:p w14:paraId="7E59DA9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2.较重急性心肌梗死</w:t>
      </w:r>
    </w:p>
    <w:p w14:paraId="17C986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急性心肌梗死指由于冠状动脉闭塞或梗阻引起部分心肌严重的持久性缺血造成急性心肌坏死。急性心肌梗死的诊断必须依据国际国内诊断标准，符合（1）检测到肌酸激酶同工酶（CK-MB）或肌钙蛋白（cTn）升高和/或降低的动态变化，至少一次达到或超过心肌梗死的临床诊断标准；（2）同时存在下列之一的证据，包括：缺血性胸痛症状、新发生的缺血性心电图改变、新生成的病理性Q波、影像学证据显示有新出现的心肌活性丧失或新出现局部室壁运动异常、冠脉造影证实存在冠状动脉血栓。</w:t>
      </w:r>
    </w:p>
    <w:p w14:paraId="73203E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较重急性心肌梗死指依照上述标准被明确诊断为急性心肌梗死，并且必须同时满足下列至少一项条件：</w:t>
      </w:r>
    </w:p>
    <w:p w14:paraId="42053A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心肌损伤标志物肌钙蛋白（cTn）升高，至少一次检测结果达到该检验正常参考值上限的15倍（含）以上；</w:t>
      </w:r>
    </w:p>
    <w:p w14:paraId="09D722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肌酸激酶同工酶（CK-MB）升高，至少一次检测结果达到该检验正常参考值上限的2倍（含）以上；</w:t>
      </w:r>
    </w:p>
    <w:p w14:paraId="43A66A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出现左心室收缩功能下降，在确诊6周以后，检测左室射血分数（LVEF）低于50%（不含）；</w:t>
      </w:r>
    </w:p>
    <w:p w14:paraId="02B005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影像学检查证实存在新发的乳头肌功能失调或断裂引起的中度（含）以上的二尖瓣反流；</w:t>
      </w:r>
    </w:p>
    <w:p w14:paraId="1FD5C9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影像学检查证实存在新出现的室壁瘤；</w:t>
      </w:r>
    </w:p>
    <w:p w14:paraId="316880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出现室性心动过速、心室颤动或心源性休克。</w:t>
      </w:r>
    </w:p>
    <w:p w14:paraId="4239DA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其他非冠状动脉阻塞性疾病所引起的肌钙蛋白（cTn）升高不在保障范围内。</w:t>
      </w:r>
    </w:p>
    <w:p w14:paraId="4EF34FC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3.严重脑中风后遗症</w:t>
      </w:r>
      <w:r>
        <w:rPr>
          <w:rFonts w:hint="eastAsia" w:ascii="宋体" w:hAnsi="宋体" w:eastAsia="宋体" w:cs="宋体"/>
          <w:color w:val="000000" w:themeColor="text1"/>
          <w:kern w:val="0"/>
          <w:sz w:val="24"/>
          <w:szCs w:val="24"/>
          <w:lang w:val="en-US" w:eastAsia="zh-CN" w:bidi="ar-SA"/>
          <w14:textFill>
            <w14:solidFill>
              <w14:schemeClr w14:val="tx1"/>
            </w14:solidFill>
          </w14:textFill>
        </w:rPr>
        <w:tab/>
      </w:r>
    </w:p>
    <w:p w14:paraId="7BA112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脑血管的突发病变引起脑血管出血、栓塞或梗塞，须由头颅断层扫描（CT）、核磁共振检查（MRI）等影像学检查证实，并导致神经系统永久性的功能障碍。神经系统永久性的功能障碍，指疾病确诊180天后，仍遗留下列至少一种障碍：</w:t>
      </w:r>
    </w:p>
    <w:p w14:paraId="77C25B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一肢（含）以上肢体</w:t>
      </w:r>
      <w:r>
        <w:rPr>
          <w:rFonts w:hint="eastAsia" w:ascii="宋体" w:hAnsi="宋体" w:eastAsia="宋体" w:cs="宋体"/>
          <w:color w:val="000000" w:themeColor="text1"/>
          <w:kern w:val="0"/>
          <w:sz w:val="24"/>
          <w:szCs w:val="24"/>
          <w:lang w:val="en-US" w:eastAsia="zh-CN" w:bidi="ar-SA"/>
          <w14:textFill>
            <w14:solidFill>
              <w14:schemeClr w14:val="tx1"/>
            </w14:solidFill>
          </w14:textFill>
        </w:rPr>
        <w:footnoteReference w:id="3"/>
      </w:r>
      <w:r>
        <w:rPr>
          <w:rFonts w:hint="eastAsia" w:ascii="宋体" w:hAnsi="宋体" w:eastAsia="宋体" w:cs="宋体"/>
          <w:color w:val="000000" w:themeColor="text1"/>
          <w:kern w:val="0"/>
          <w:sz w:val="24"/>
          <w:szCs w:val="24"/>
          <w:lang w:val="en-US" w:eastAsia="zh-CN" w:bidi="ar-SA"/>
          <w14:textFill>
            <w14:solidFill>
              <w14:schemeClr w14:val="tx1"/>
            </w14:solidFill>
          </w14:textFill>
        </w:rPr>
        <w:t>肌力</w:t>
      </w:r>
      <w:r>
        <w:rPr>
          <w:rFonts w:hint="eastAsia" w:ascii="宋体" w:hAnsi="宋体" w:eastAsia="宋体" w:cs="宋体"/>
          <w:color w:val="000000" w:themeColor="text1"/>
          <w:kern w:val="0"/>
          <w:sz w:val="24"/>
          <w:szCs w:val="24"/>
          <w:lang w:val="en-US" w:eastAsia="zh-CN" w:bidi="ar-SA"/>
          <w14:textFill>
            <w14:solidFill>
              <w14:schemeClr w14:val="tx1"/>
            </w14:solidFill>
          </w14:textFill>
        </w:rPr>
        <w:footnoteReference w:id="4"/>
      </w:r>
      <w:r>
        <w:rPr>
          <w:rFonts w:hint="eastAsia" w:ascii="宋体" w:hAnsi="宋体" w:eastAsia="宋体" w:cs="宋体"/>
          <w:color w:val="000000" w:themeColor="text1"/>
          <w:kern w:val="0"/>
          <w:sz w:val="24"/>
          <w:szCs w:val="24"/>
          <w:lang w:val="en-US" w:eastAsia="zh-CN" w:bidi="ar-SA"/>
          <w14:textFill>
            <w14:solidFill>
              <w14:schemeClr w14:val="tx1"/>
            </w14:solidFill>
          </w14:textFill>
        </w:rPr>
        <w:t>2级（含）以下；</w:t>
      </w:r>
    </w:p>
    <w:p w14:paraId="6CEEEB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语言能力完全丧失</w:t>
      </w:r>
      <w:r>
        <w:rPr>
          <w:rFonts w:hint="eastAsia" w:ascii="宋体" w:hAnsi="宋体" w:eastAsia="宋体" w:cs="宋体"/>
          <w:color w:val="000000" w:themeColor="text1"/>
          <w:kern w:val="0"/>
          <w:sz w:val="24"/>
          <w:szCs w:val="24"/>
          <w:lang w:val="en-US" w:eastAsia="zh-CN" w:bidi="ar-SA"/>
          <w14:textFill>
            <w14:solidFill>
              <w14:schemeClr w14:val="tx1"/>
            </w14:solidFill>
          </w14:textFill>
        </w:rPr>
        <w:footnoteReference w:id="5"/>
      </w:r>
      <w:r>
        <w:rPr>
          <w:rFonts w:hint="eastAsia" w:ascii="宋体" w:hAnsi="宋体" w:eastAsia="宋体" w:cs="宋体"/>
          <w:color w:val="000000" w:themeColor="text1"/>
          <w:kern w:val="0"/>
          <w:sz w:val="24"/>
          <w:szCs w:val="24"/>
          <w:lang w:val="en-US" w:eastAsia="zh-CN" w:bidi="ar-SA"/>
          <w14:textFill>
            <w14:solidFill>
              <w14:schemeClr w14:val="tx1"/>
            </w14:solidFill>
          </w14:textFill>
        </w:rPr>
        <w:t>，或严重咀嚼吞咽功能障碍</w:t>
      </w:r>
      <w:r>
        <w:rPr>
          <w:rFonts w:hint="eastAsia" w:ascii="宋体" w:hAnsi="宋体" w:eastAsia="宋体" w:cs="宋体"/>
          <w:color w:val="000000" w:themeColor="text1"/>
          <w:kern w:val="0"/>
          <w:sz w:val="24"/>
          <w:szCs w:val="24"/>
          <w:lang w:val="en-US" w:eastAsia="zh-CN" w:bidi="ar-SA"/>
          <w14:textFill>
            <w14:solidFill>
              <w14:schemeClr w14:val="tx1"/>
            </w14:solidFill>
          </w14:textFill>
        </w:rPr>
        <w:footnoteReference w:id="6"/>
      </w: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p>
    <w:p w14:paraId="228495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自主生活能力完全丧失，无法独立完成六项基本日常生活活动</w:t>
      </w:r>
      <w:r>
        <w:rPr>
          <w:rFonts w:hint="eastAsia" w:ascii="宋体" w:hAnsi="宋体" w:eastAsia="宋体" w:cs="宋体"/>
          <w:color w:val="000000" w:themeColor="text1"/>
          <w:kern w:val="0"/>
          <w:sz w:val="24"/>
          <w:szCs w:val="24"/>
          <w:lang w:val="en-US" w:eastAsia="zh-CN" w:bidi="ar-SA"/>
          <w14:textFill>
            <w14:solidFill>
              <w14:schemeClr w14:val="tx1"/>
            </w14:solidFill>
          </w14:textFill>
        </w:rPr>
        <w:footnoteReference w:id="7"/>
      </w:r>
      <w:r>
        <w:rPr>
          <w:rFonts w:hint="eastAsia" w:ascii="宋体" w:hAnsi="宋体" w:eastAsia="宋体" w:cs="宋体"/>
          <w:color w:val="000000" w:themeColor="text1"/>
          <w:kern w:val="0"/>
          <w:sz w:val="24"/>
          <w:szCs w:val="24"/>
          <w:lang w:val="en-US" w:eastAsia="zh-CN" w:bidi="ar-SA"/>
          <w14:textFill>
            <w14:solidFill>
              <w14:schemeClr w14:val="tx1"/>
            </w14:solidFill>
          </w14:textFill>
        </w:rPr>
        <w:t>中的三项或三项以上。</w:t>
      </w:r>
    </w:p>
    <w:p w14:paraId="1875614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4.重大器官移植术或造血干细胞移植术</w:t>
      </w:r>
    </w:p>
    <w:p w14:paraId="58CEFB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重大器官移植术，指因相应器官功能衰竭，已经实施了肾脏、肝脏、心脏、肺脏或小肠的异体移植手术。</w:t>
      </w:r>
    </w:p>
    <w:p w14:paraId="27B4BF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造血干细胞移植术，指因造血功能损害或造血系统恶性肿瘤，已经实施了造血干细胞（包括骨髓造血干细胞、外周血造血干细胞和脐血造血干细胞）的移植手术。</w:t>
      </w:r>
    </w:p>
    <w:p w14:paraId="187868A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5.冠状动脉搭桥术（或称冠状动脉旁路移植术）</w:t>
      </w:r>
    </w:p>
    <w:p w14:paraId="1480E3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指为治疗严重的冠心病，已经实施了切开心包进行的冠状动脉血管旁路移植的手术。</w:t>
      </w:r>
    </w:p>
    <w:p w14:paraId="513CBD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所有未切开心包的冠状动脉介入治疗不在保障范围内。</w:t>
      </w:r>
    </w:p>
    <w:p w14:paraId="2B9A5A0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6.严重慢性肾衰竭</w:t>
      </w:r>
    </w:p>
    <w:p w14:paraId="09C4170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 xml:space="preserve">指双肾功能慢性不可逆性衰竭，依据肾脏病预后质量倡议（K/DOQI）制定的指南，分期达到慢性肾脏病5期，且经诊断后已经进行了至少90天的规律性透析治疗。规律性透析是指每周进行血液透析或每天进行腹膜透析。 </w:t>
      </w:r>
    </w:p>
    <w:p w14:paraId="7BD6219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7.多个肢体缺失</w:t>
      </w:r>
    </w:p>
    <w:p w14:paraId="581E2C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指因疾病或意外伤害导致两个或两个以上肢体自腕关节或踝关节近端（靠近躯干端）以上完全性断离。</w:t>
      </w:r>
    </w:p>
    <w:p w14:paraId="1456B6F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8.急性重症肝炎或亚急性重症肝炎</w:t>
      </w:r>
    </w:p>
    <w:p w14:paraId="3D09C7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指因肝炎病毒感染引起肝脏组织弥漫性坏死，导致急性肝功能衰竭，且经血清学或病毒学检查证实，并须满足下列全部条件：</w:t>
      </w:r>
    </w:p>
    <w:p w14:paraId="7F2377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重度黄疸或黄疸迅速加重；</w:t>
      </w:r>
    </w:p>
    <w:p w14:paraId="0DB453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肝性脑病；</w:t>
      </w:r>
    </w:p>
    <w:p w14:paraId="63F655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B超或其他影像学检查显示肝脏体积急速萎缩；</w:t>
      </w:r>
    </w:p>
    <w:p w14:paraId="27A273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肝功能指标进行性恶化。</w:t>
      </w:r>
    </w:p>
    <w:p w14:paraId="4A54A1B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9.严重非恶性颅内肿瘤</w:t>
      </w:r>
    </w:p>
    <w:p w14:paraId="4E01F3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起源于脑、脑神经、脑被膜的非恶性肿瘤，ICD-O-3肿瘤形态学编码属于0（良性肿瘤）、1（动态未定性肿瘤）范畴，并已经引起颅内压升高或神经系统功能损害，出现视乳头水肿或视觉受损、听觉受损、面部或肢体瘫痪、癫痫等，须由头颅断层扫描（CT）、核磁共振检查（MRI）或正电子发射断层扫描（PET）等影像学检查证实，且须满足下列至少一项条件：</w:t>
      </w:r>
    </w:p>
    <w:p w14:paraId="76609E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已经实施了开颅进行的颅内肿瘤完全或部分切除手术；</w:t>
      </w:r>
    </w:p>
    <w:p w14:paraId="4E2C3C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已经实施了针对颅内肿瘤的放射治疗，如γ刀、质子重离子治疗等。</w:t>
      </w:r>
    </w:p>
    <w:p w14:paraId="613FF8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下列疾病不在保障范围内：</w:t>
      </w:r>
    </w:p>
    <w:p w14:paraId="29FD37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脑垂体瘤；</w:t>
      </w:r>
    </w:p>
    <w:p w14:paraId="01C353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脑囊肿；</w:t>
      </w:r>
    </w:p>
    <w:p w14:paraId="4475D0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颅内血管性疾病（如脑动脉瘤、脑动静脉畸形、海绵状血管瘤、毛细血管扩张症等）。</w:t>
      </w:r>
    </w:p>
    <w:p w14:paraId="785AD9F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10.严重慢性肝衰竭</w:t>
      </w:r>
    </w:p>
    <w:p w14:paraId="42B5F2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指因慢性肝脏疾病导致的肝衰竭，且须满足下列全部条件：</w:t>
      </w:r>
    </w:p>
    <w:p w14:paraId="7BEE25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持续性黄疸；</w:t>
      </w:r>
    </w:p>
    <w:p w14:paraId="1A1413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腹水；</w:t>
      </w:r>
    </w:p>
    <w:p w14:paraId="680A41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肝性脑病；</w:t>
      </w:r>
    </w:p>
    <w:p w14:paraId="413D47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充血性脾肿大伴脾功能亢进或食管胃底静脉曲张。</w:t>
      </w:r>
    </w:p>
    <w:p w14:paraId="44921B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因酗酒或药物滥用导致的肝衰竭不在保障范围内。</w:t>
      </w:r>
    </w:p>
    <w:p w14:paraId="072548A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11.严重脑炎后遗症或严重脑膜炎后遗症</w:t>
      </w:r>
    </w:p>
    <w:p w14:paraId="2A9EF3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指因患脑炎或脑膜炎导致的神经系统永久性的功能障碍。神经系统永久性的功能障碍，指经相关专科医生确诊疾病180天后，仍遗留下列至少一种障碍：</w:t>
      </w:r>
    </w:p>
    <w:p w14:paraId="1FCF6E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一肢（含）以上肢体肌力2级（含）以下；</w:t>
      </w:r>
    </w:p>
    <w:p w14:paraId="740326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语言能力完全丧失，或严重咀嚼吞咽功能障碍；</w:t>
      </w:r>
    </w:p>
    <w:p w14:paraId="3AF708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由具有评估资格的专科医生根据临床痴呆评定量表（CDR，Clinical Dementia Rating）评估结果为3分；</w:t>
      </w:r>
    </w:p>
    <w:p w14:paraId="43DBD0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自主生活能力完全丧失，无法独立完成六项基本日常生活活动中的三项或三项以上。</w:t>
      </w:r>
    </w:p>
    <w:p w14:paraId="120300B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12.深度昏迷</w:t>
      </w:r>
    </w:p>
    <w:p w14:paraId="54851B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指因疾病或意外伤害导致意识丧失，对外界刺激和体内需求均无反应，昏迷程度按照格拉斯哥昏迷分级（GCS，Glasgow Coma Scale）结果为5分或5分以下，且已经持续使用呼吸机及其他生命维持系统96小时以上。</w:t>
      </w:r>
    </w:p>
    <w:p w14:paraId="7B1924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因酗酒或药物滥用导致的深度昏迷不在保障范围内。</w:t>
      </w:r>
    </w:p>
    <w:p w14:paraId="5861B8B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13.双耳失聪</w:t>
      </w:r>
    </w:p>
    <w:p w14:paraId="3E6435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指因疾病或意外伤害导致双耳听力永久不可逆</w:t>
      </w:r>
      <w:r>
        <w:rPr>
          <w:rFonts w:hint="eastAsia" w:ascii="宋体" w:hAnsi="宋体" w:eastAsia="宋体" w:cs="宋体"/>
          <w:color w:val="000000" w:themeColor="text1"/>
          <w:kern w:val="0"/>
          <w:sz w:val="24"/>
          <w:szCs w:val="24"/>
          <w:lang w:val="en-US" w:eastAsia="zh-CN" w:bidi="ar-SA"/>
          <w14:textFill>
            <w14:solidFill>
              <w14:schemeClr w14:val="tx1"/>
            </w14:solidFill>
          </w14:textFill>
        </w:rPr>
        <w:footnoteReference w:id="8"/>
      </w:r>
      <w:r>
        <w:rPr>
          <w:rFonts w:hint="eastAsia" w:ascii="宋体" w:hAnsi="宋体" w:eastAsia="宋体" w:cs="宋体"/>
          <w:color w:val="000000" w:themeColor="text1"/>
          <w:kern w:val="0"/>
          <w:sz w:val="24"/>
          <w:szCs w:val="24"/>
          <w:lang w:val="en-US" w:eastAsia="zh-CN" w:bidi="ar-SA"/>
          <w14:textFill>
            <w14:solidFill>
              <w14:schemeClr w14:val="tx1"/>
            </w14:solidFill>
          </w14:textFill>
        </w:rPr>
        <w:t>性丧失，在500赫兹、1000赫兹和2000赫兹语音频率下，平均听阈大于等于91分贝，且经纯音听力测试、声导抗检测或听觉诱发电位检测等证实。</w:t>
      </w:r>
    </w:p>
    <w:p w14:paraId="5837F1B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14.双目失明</w:t>
      </w:r>
    </w:p>
    <w:p w14:paraId="043E97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指因疾病或意外伤害导致双眼视力永久不可逆性丧失，双眼中较好眼须满足下列至少一项条件：</w:t>
      </w:r>
    </w:p>
    <w:p w14:paraId="7626B1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眼球缺失或摘除；</w:t>
      </w:r>
    </w:p>
    <w:p w14:paraId="30351F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矫正视力低于0.02（采用国际标准视力表，如果使用其他视力表应进行换算）；</w:t>
      </w:r>
    </w:p>
    <w:p w14:paraId="7A3B28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视野半径小于5度。</w:t>
      </w:r>
    </w:p>
    <w:p w14:paraId="3DCA46E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15.瘫痪</w:t>
      </w:r>
    </w:p>
    <w:p w14:paraId="310CC8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疾病或意外伤害导致两肢或两肢以上肢体随意运动功能永久完全丧失。肢体随意运动功能永久完全丧失，指疾病确诊180天后或意外伤害发生180天后，每肢三大关节中的两大关节仍然完全僵硬，或肢体肌力在2级（含）以下。</w:t>
      </w:r>
    </w:p>
    <w:p w14:paraId="50C6B41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16.心脏瓣膜手术</w:t>
      </w:r>
    </w:p>
    <w:p w14:paraId="45F01D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指为治疗心脏瓣膜疾病，已经实施了切开心脏进行的心脏瓣膜置换或修复的手术。</w:t>
      </w:r>
    </w:p>
    <w:p w14:paraId="16C6D5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所有未切开心脏的心脏瓣膜介入手术不在保障范围内。</w:t>
      </w:r>
    </w:p>
    <w:p w14:paraId="551EE2B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17.严重阿尔茨海默病</w:t>
      </w:r>
    </w:p>
    <w:p w14:paraId="609FD6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大脑进行性、不可逆性改变导致智能严重衰退或丧失，临床表现为严重的认知功能障碍、精神行为异常和社交能力减退等，其日常生活必须持续受到他人监护。须由头颅断层扫描（CT）、核磁共振检查（MRI）或正电子发射断层扫描（PET）等影像学检查证实，并经相关专科医生确诊，且须满足下列至少一项条件：</w:t>
      </w:r>
    </w:p>
    <w:p w14:paraId="19AF62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由具有评估资格的专科医生根据临床痴呆评定量表（CDR，Clinical Dementia Rating）评估结果为3分；</w:t>
      </w:r>
    </w:p>
    <w:p w14:paraId="1104F0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自主生活能力完全丧失，无法独立完成六项基本日常生活活动中的三项或三项以上。</w:t>
      </w:r>
    </w:p>
    <w:p w14:paraId="4CA5B1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阿尔茨海默病之外的其他类型痴呆不在保障范围内。</w:t>
      </w:r>
    </w:p>
    <w:p w14:paraId="6081A6A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18.严重脑损伤</w:t>
      </w:r>
    </w:p>
    <w:p w14:paraId="75BA33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头部遭受机械性外力，引起脑重要部位损伤，导致神经系统永久性的功能障碍。须由头颅断层扫描（CT）、核磁共振检查（MRI）或正电子发射断层扫描（PET）等影像学检查证实。神经系统永久性的功能障碍，指脑损伤180天后，仍遗留下列至少一种障碍：</w:t>
      </w:r>
    </w:p>
    <w:p w14:paraId="69042C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一肢（含）以上肢体肌力2级（含）以下；</w:t>
      </w:r>
    </w:p>
    <w:p w14:paraId="73A8FC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语言能力完全丧失，或严重咀嚼吞咽功能障碍；</w:t>
      </w:r>
    </w:p>
    <w:p w14:paraId="587324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自主生活能力完全丧失，无法独立完成六项基本日常生活活动中的三项或三项以上。</w:t>
      </w:r>
    </w:p>
    <w:p w14:paraId="1B014FD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19.严重原发性帕金森病</w:t>
      </w:r>
    </w:p>
    <w:p w14:paraId="6A5B07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是一种中枢神经系统的退行性疾病，临床表现为运动迟缓、静止性震颤或肌强直等，经相关专科医生确诊，且须满足自主生活能力完全丧失，无法独立完成六项基本日常生活活动中的三项或三项以上。</w:t>
      </w:r>
    </w:p>
    <w:p w14:paraId="261CAC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继发性帕金森综合征、帕金森叠加综合征不在保障范围内。</w:t>
      </w:r>
    </w:p>
    <w:p w14:paraId="043BC22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20.严重Ⅲ度烧伤</w:t>
      </w:r>
    </w:p>
    <w:p w14:paraId="35B76C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指烧伤程度为Ⅲ度，且Ⅲ度烧伤的面积达到全身体表面积的20％或20％以上。体表面积根据《中国新九分法》计算。</w:t>
      </w:r>
    </w:p>
    <w:p w14:paraId="18C89D8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21.严重特发性肺动脉高压</w:t>
      </w:r>
    </w:p>
    <w:p w14:paraId="19C46C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指不明原因的肺动脉压力持续性增高，进行性发展而导致的慢性疾病，已经造成永久不可逆性的体力活动能力受限，达到美国纽约心脏病学会（New York Heart Association，NYHA）心功能状态分级</w:t>
      </w:r>
      <w:r>
        <w:rPr>
          <w:rFonts w:hint="eastAsia" w:ascii="宋体" w:hAnsi="宋体" w:eastAsia="宋体" w:cs="宋体"/>
          <w:color w:val="000000" w:themeColor="text1"/>
          <w:kern w:val="0"/>
          <w:sz w:val="24"/>
          <w:szCs w:val="24"/>
          <w:lang w:val="en-US" w:eastAsia="zh-CN" w:bidi="ar-SA"/>
          <w14:textFill>
            <w14:solidFill>
              <w14:schemeClr w14:val="tx1"/>
            </w14:solidFill>
          </w14:textFill>
        </w:rPr>
        <w:footnoteReference w:id="9"/>
      </w:r>
      <w:r>
        <w:rPr>
          <w:rFonts w:hint="eastAsia" w:ascii="宋体" w:hAnsi="宋体" w:eastAsia="宋体" w:cs="宋体"/>
          <w:color w:val="000000" w:themeColor="text1"/>
          <w:kern w:val="0"/>
          <w:sz w:val="24"/>
          <w:szCs w:val="24"/>
          <w:lang w:val="en-US" w:eastAsia="zh-CN" w:bidi="ar-SA"/>
          <w14:textFill>
            <w14:solidFill>
              <w14:schemeClr w14:val="tx1"/>
            </w14:solidFill>
          </w14:textFill>
        </w:rPr>
        <w:t>IV级，且静息状态下肺动脉平均压在36mmHg（含）以上。</w:t>
      </w:r>
    </w:p>
    <w:p w14:paraId="03D47C6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22.严重运动神经元病</w:t>
      </w:r>
    </w:p>
    <w:p w14:paraId="39A7DA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是一组中枢神经系统运动神经元的进行性变性疾病，包括进行性脊肌萎缩症、进行性延髓麻痹症、原发性侧索硬化症、肌萎缩性侧索硬化症,经相关专科医生确诊，且须满足下列至少一项条件：</w:t>
      </w:r>
    </w:p>
    <w:p w14:paraId="07F298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严重咀嚼吞咽功能障碍；</w:t>
      </w:r>
    </w:p>
    <w:p w14:paraId="2C49F0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呼吸肌麻痹导致严重呼吸困难，且已经持续使用呼吸机7天（含）以上；</w:t>
      </w:r>
    </w:p>
    <w:p w14:paraId="494537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自主生活能力完全丧失，无法独立完成六项基本日常生活活动中的三项或三项以上。</w:t>
      </w:r>
    </w:p>
    <w:p w14:paraId="28E5FD9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23.语言能力丧失</w:t>
      </w:r>
    </w:p>
    <w:p w14:paraId="3B6FD4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指因疾病或意外伤害导致语言能力完全丧失，经过积极治疗至少12个月（声带完全切除不受此时间限制），仍无法通过现有医疗手段恢复。</w:t>
      </w:r>
    </w:p>
    <w:p w14:paraId="75749F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精神心理因素所致的语言能力丧失不在保障范围内。</w:t>
      </w:r>
    </w:p>
    <w:p w14:paraId="24ECF57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24</w:t>
      </w: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ab/>
      </w: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.重型再生障碍性贫血</w:t>
      </w:r>
    </w:p>
    <w:p w14:paraId="0624EE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指因骨髓造血功能慢性持续性衰竭导致的贫血、中性粒细胞减少及血小板减少，且须满足下列全部条件：</w:t>
      </w:r>
    </w:p>
    <w:p w14:paraId="29A6EF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骨髓穿刺检查或骨髓活检结果支持诊断：骨髓细胞增生程度&lt;正常的25%；如≥正常的25%但&lt;50%，则残存的造血细胞应&lt;30%；</w:t>
      </w:r>
    </w:p>
    <w:p w14:paraId="371D56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外周血象须具备以下三项条件中的两项：</w:t>
      </w:r>
    </w:p>
    <w:p w14:paraId="4B146F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中性粒细胞绝对值&lt;0.5×109/L；</w:t>
      </w:r>
    </w:p>
    <w:p w14:paraId="20E2FE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网织红细胞计数&lt;20×109/L；</w:t>
      </w:r>
    </w:p>
    <w:p w14:paraId="45BD50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血小板绝对值&lt;20×109/L。</w:t>
      </w:r>
    </w:p>
    <w:p w14:paraId="0312723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25.主动脉手术</w:t>
      </w:r>
    </w:p>
    <w:p w14:paraId="5460B2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为治疗主动脉疾病或主动脉创伤，已经实施了开胸（含胸腔镜下）或开腹（含腹腔镜下）进行的切除、置换、修补病损主动脉血管、主动脉创伤后修复的手术。主动脉指升主动脉、主动脉弓和降主动脉（含胸主动脉和腹主动脉），不包括升主动脉、主动脉弓和降主动脉的分支血管。</w:t>
      </w:r>
    </w:p>
    <w:p w14:paraId="5C96CD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所有未实施开胸或开腹的动脉内介入治疗不在保障范围内。</w:t>
      </w:r>
    </w:p>
    <w:p w14:paraId="23C429E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26.严重慢性呼吸衰竭</w:t>
      </w:r>
    </w:p>
    <w:p w14:paraId="251A1F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指因慢性呼吸系统疾病导致永久不可逆性的呼吸衰竭，经过积极治疗180天后满足以下所有条件：</w:t>
      </w:r>
    </w:p>
    <w:p w14:paraId="39EF18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静息时出现呼吸困难；</w:t>
      </w:r>
    </w:p>
    <w:p w14:paraId="513377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肺功能第一秒用力呼气容积（FEV1）占预计值的百分比＜30%；</w:t>
      </w:r>
    </w:p>
    <w:p w14:paraId="5F2958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在静息状态、呼吸空气条件下，动脉血氧分压（PaO2）＜50mmHg。</w:t>
      </w:r>
    </w:p>
    <w:p w14:paraId="09E27A5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27</w:t>
      </w: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ab/>
      </w: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.严重克罗恩病</w:t>
      </w:r>
    </w:p>
    <w:p w14:paraId="0E4B7E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 xml:space="preserve">指一种慢性肉芽肿性肠炎，具有特征性的克罗恩病（Crohn病）病理组织学变化，须根据组织病理学特点诊断，且已经造成瘘管形成并伴有肠梗阻或肠穿孔。 </w:t>
      </w:r>
    </w:p>
    <w:p w14:paraId="34F4173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28</w:t>
      </w: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ab/>
      </w: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.严重溃疡性结肠炎</w:t>
      </w:r>
    </w:p>
    <w:p w14:paraId="36F1DE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指伴有致命性电解质紊乱的急性暴发性溃疡性结肠炎，病变已经累及全结肠，表现为严重的血便和系统性症状体征，须根据组织病理学特点诊断。</w:t>
      </w:r>
    </w:p>
    <w:p w14:paraId="6B1A400F">
      <w:pPr>
        <w:rPr>
          <w:rFonts w:hint="default" w:ascii="Calibri" w:hAnsi="Calibri" w:eastAsia="宋体" w:cs="Times New Roman"/>
          <w:color w:val="000000" w:themeColor="text1"/>
          <w:kern w:val="2"/>
          <w:szCs w:val="24"/>
          <w:lang w:val="en-US" w:eastAsia="zh-CN" w:bidi="ar-SA"/>
          <w14:textFill>
            <w14:solidFill>
              <w14:schemeClr w14:val="tx1"/>
            </w14:solidFill>
          </w14:textFill>
        </w:rPr>
      </w:pPr>
    </w:p>
    <w:p w14:paraId="68C18A02">
      <w:pPr>
        <w:keepNext w:val="0"/>
        <w:keepLines w:val="0"/>
        <w:pageBreakBefore w:val="0"/>
        <w:widowControl w:val="0"/>
        <w:numPr>
          <w:ilvl w:val="0"/>
          <w:numId w:val="0"/>
        </w:numPr>
        <w:kinsoku/>
        <w:wordWrap/>
        <w:overflowPunct/>
        <w:topLinePunct w:val="0"/>
        <w:autoSpaceDE/>
        <w:autoSpaceDN/>
        <w:bidi w:val="0"/>
        <w:adjustRightInd/>
        <w:spacing w:beforeAutospacing="0" w:afterAutospacing="0" w:line="400" w:lineRule="exact"/>
        <w:contextualSpacing/>
        <w:jc w:val="center"/>
        <w:textAlignment w:val="auto"/>
        <w:rPr>
          <w:rFonts w:hint="default" w:ascii="Times New Roman" w:hAnsi="Times New Roman" w:eastAsia="宋体" w:cs="Times New Roman"/>
          <w:b/>
          <w:color w:val="000000" w:themeColor="text1"/>
          <w:kern w:val="2"/>
          <w:sz w:val="36"/>
          <w:szCs w:val="36"/>
          <w:lang w:val="en-US" w:eastAsia="zh-CN" w:bidi="ar-SA"/>
          <w14:textFill>
            <w14:solidFill>
              <w14:schemeClr w14:val="tx1"/>
            </w14:solidFill>
          </w14:textFill>
        </w:rPr>
      </w:pPr>
      <w:r>
        <w:rPr>
          <w:b/>
          <w:color w:val="000000" w:themeColor="text1"/>
          <w:sz w:val="36"/>
          <w:szCs w:val="36"/>
          <w14:textFill>
            <w14:solidFill>
              <w14:schemeClr w14:val="tx1"/>
            </w14:solidFill>
          </w14:textFill>
        </w:rPr>
        <w:br w:type="page"/>
      </w:r>
      <w:r>
        <w:rPr>
          <w:rFonts w:hint="eastAsia" w:ascii="宋体" w:hAnsi="宋体" w:eastAsia="宋体" w:cs="宋体"/>
          <w:b/>
          <w:bCs/>
          <w:snapToGrid w:val="0"/>
          <w:color w:val="000000" w:themeColor="text1"/>
          <w:spacing w:val="0"/>
          <w:kern w:val="0"/>
          <w:sz w:val="32"/>
          <w:szCs w:val="32"/>
          <w:lang w:val="en-US" w:eastAsia="zh-CN" w:bidi="ar-SA"/>
          <w14:textFill>
            <w14:solidFill>
              <w14:schemeClr w14:val="tx1"/>
            </w14:solidFill>
          </w14:textFill>
        </w:rPr>
        <w:t>第六章 拟签订的合同文本</w:t>
      </w:r>
      <w:bookmarkEnd w:id="504"/>
      <w:bookmarkEnd w:id="505"/>
    </w:p>
    <w:p w14:paraId="06A057DA">
      <w:pPr>
        <w:tabs>
          <w:tab w:val="left" w:pos="900"/>
          <w:tab w:val="left" w:pos="1080"/>
        </w:tabs>
        <w:snapToGrid w:val="0"/>
        <w:spacing w:line="360" w:lineRule="auto"/>
        <w:rPr>
          <w:rFonts w:hint="default" w:ascii="Times New Roman" w:hAnsi="Times New Roman" w:eastAsia="宋体" w:cs="Times New Roman"/>
          <w:color w:val="000000" w:themeColor="text1"/>
          <w:kern w:val="0"/>
          <w:sz w:val="18"/>
          <w:szCs w:val="18"/>
          <w:lang w:val="en-US" w:eastAsia="zh-CN" w:bidi="ar-SA"/>
          <w14:textFill>
            <w14:solidFill>
              <w14:schemeClr w14:val="tx1"/>
            </w14:solidFill>
          </w14:textFill>
        </w:rPr>
      </w:pPr>
    </w:p>
    <w:p w14:paraId="4153090C">
      <w:pPr>
        <w:tabs>
          <w:tab w:val="left" w:pos="900"/>
          <w:tab w:val="left" w:pos="1080"/>
        </w:tabs>
        <w:snapToGrid w:val="0"/>
        <w:spacing w:line="360" w:lineRule="auto"/>
        <w:rPr>
          <w:rFonts w:hint="default" w:ascii="Times New Roman" w:hAnsi="Times New Roman" w:eastAsia="宋体" w:cs="Times New Roman"/>
          <w:color w:val="000000" w:themeColor="text1"/>
          <w:kern w:val="0"/>
          <w:sz w:val="18"/>
          <w:szCs w:val="18"/>
          <w:lang w:val="en-US" w:eastAsia="zh-CN" w:bidi="ar-SA"/>
          <w14:textFill>
            <w14:solidFill>
              <w14:schemeClr w14:val="tx1"/>
            </w14:solidFill>
          </w14:textFill>
        </w:rPr>
      </w:pPr>
    </w:p>
    <w:p w14:paraId="64C51E2A">
      <w:pPr>
        <w:widowControl/>
        <w:jc w:val="left"/>
        <w:rPr>
          <w:rFonts w:hint="default" w:ascii="Times New Roman" w:hAnsi="Times New Roman" w:eastAsia="宋体" w:cs="Times New Roman"/>
          <w:b/>
          <w:color w:val="000000" w:themeColor="text1"/>
          <w:kern w:val="2"/>
          <w:sz w:val="36"/>
          <w:szCs w:val="36"/>
          <w:lang w:val="en-US" w:eastAsia="zh-CN" w:bidi="ar-SA"/>
          <w14:textFill>
            <w14:solidFill>
              <w14:schemeClr w14:val="tx1"/>
            </w14:solidFill>
          </w14:textFill>
        </w:rPr>
      </w:pPr>
    </w:p>
    <w:p w14:paraId="6862CE46">
      <w:pPr>
        <w:widowControl/>
        <w:jc w:val="left"/>
        <w:rPr>
          <w:rFonts w:hint="default" w:ascii="Times New Roman" w:hAnsi="Times New Roman" w:eastAsia="宋体" w:cs="Times New Roman"/>
          <w:b/>
          <w:color w:val="000000" w:themeColor="text1"/>
          <w:kern w:val="2"/>
          <w:sz w:val="36"/>
          <w:szCs w:val="36"/>
          <w:lang w:val="en-US" w:eastAsia="zh-CN" w:bidi="ar-SA"/>
          <w14:textFill>
            <w14:solidFill>
              <w14:schemeClr w14:val="tx1"/>
            </w14:solidFill>
          </w14:textFill>
        </w:rPr>
      </w:pPr>
    </w:p>
    <w:p w14:paraId="6224BED0">
      <w:pPr>
        <w:ind w:firstLine="1807" w:firstLineChars="500"/>
        <w:rPr>
          <w:rFonts w:hint="default" w:ascii="宋体" w:hAnsi="宋体" w:eastAsia="宋体" w:cs="宋体"/>
          <w:b/>
          <w:bCs/>
          <w:color w:val="000000" w:themeColor="text1"/>
          <w:kern w:val="2"/>
          <w:sz w:val="36"/>
          <w:szCs w:val="36"/>
          <w:lang w:val="en-US" w:eastAsia="zh-CN" w:bidi="ar-SA"/>
          <w14:textFill>
            <w14:solidFill>
              <w14:schemeClr w14:val="tx1"/>
            </w14:solidFill>
          </w14:textFill>
        </w:rPr>
      </w:pPr>
    </w:p>
    <w:p w14:paraId="61103A25">
      <w:pPr>
        <w:jc w:val="center"/>
        <w:rPr>
          <w:rFonts w:hint="default" w:ascii="宋体" w:hAnsi="宋体" w:eastAsia="宋体" w:cs="宋体"/>
          <w:color w:val="000000" w:themeColor="text1"/>
          <w:kern w:val="2"/>
          <w:sz w:val="52"/>
          <w:szCs w:val="52"/>
          <w:lang w:val="en-US" w:eastAsia="zh-CN" w:bidi="ar-SA"/>
          <w14:textFill>
            <w14:solidFill>
              <w14:schemeClr w14:val="tx1"/>
            </w14:solidFill>
          </w14:textFill>
        </w:rPr>
      </w:pPr>
      <w:r>
        <w:rPr>
          <w:rFonts w:hint="eastAsia" w:ascii="宋体" w:hAnsi="宋体" w:eastAsia="宋体" w:cs="宋体"/>
          <w:color w:val="000000" w:themeColor="text1"/>
          <w:kern w:val="2"/>
          <w:sz w:val="52"/>
          <w:szCs w:val="52"/>
          <w:lang w:val="en-US" w:eastAsia="zh-CN" w:bidi="ar-SA"/>
          <w14:textFill>
            <w14:solidFill>
              <w14:schemeClr w14:val="tx1"/>
            </w14:solidFill>
          </w14:textFill>
        </w:rPr>
        <w:t>合同协议书</w:t>
      </w:r>
    </w:p>
    <w:p w14:paraId="76EC6C78">
      <w:pPr>
        <w:jc w:val="left"/>
        <w:rPr>
          <w:rFonts w:hint="default" w:ascii="宋体" w:hAnsi="宋体" w:eastAsia="宋体" w:cs="宋体"/>
          <w:color w:val="000000" w:themeColor="text1"/>
          <w:kern w:val="2"/>
          <w:sz w:val="28"/>
          <w:szCs w:val="28"/>
          <w:lang w:val="en-US" w:eastAsia="zh-CN" w:bidi="ar-SA"/>
          <w14:textFill>
            <w14:solidFill>
              <w14:schemeClr w14:val="tx1"/>
            </w14:solidFill>
          </w14:textFill>
        </w:rPr>
      </w:pPr>
    </w:p>
    <w:p w14:paraId="6370F1BD">
      <w:pPr>
        <w:jc w:val="left"/>
        <w:rPr>
          <w:rFonts w:hint="default" w:ascii="宋体" w:hAnsi="宋体" w:eastAsia="宋体" w:cs="宋体"/>
          <w:color w:val="000000" w:themeColor="text1"/>
          <w:kern w:val="2"/>
          <w:sz w:val="28"/>
          <w:szCs w:val="28"/>
          <w:lang w:val="en-US" w:eastAsia="zh-CN" w:bidi="ar-SA"/>
          <w14:textFill>
            <w14:solidFill>
              <w14:schemeClr w14:val="tx1"/>
            </w14:solidFill>
          </w14:textFill>
        </w:rPr>
      </w:pPr>
    </w:p>
    <w:p w14:paraId="0A776D4F">
      <w:pPr>
        <w:jc w:val="left"/>
        <w:rPr>
          <w:rFonts w:hint="default" w:ascii="宋体" w:hAnsi="宋体" w:eastAsia="宋体" w:cs="宋体"/>
          <w:color w:val="000000" w:themeColor="text1"/>
          <w:kern w:val="2"/>
          <w:sz w:val="28"/>
          <w:szCs w:val="28"/>
          <w:lang w:val="en-US" w:eastAsia="zh-CN" w:bidi="ar-SA"/>
          <w14:textFill>
            <w14:solidFill>
              <w14:schemeClr w14:val="tx1"/>
            </w14:solidFill>
          </w14:textFill>
        </w:rPr>
      </w:pPr>
    </w:p>
    <w:p w14:paraId="57185776">
      <w:pPr>
        <w:ind w:firstLine="840" w:firstLineChars="300"/>
        <w:jc w:val="left"/>
        <w:rPr>
          <w:rFonts w:hint="default"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项目名称：</w:t>
      </w:r>
    </w:p>
    <w:p w14:paraId="690D15A5">
      <w:pPr>
        <w:ind w:firstLine="840" w:firstLineChars="300"/>
        <w:jc w:val="left"/>
        <w:rPr>
          <w:rFonts w:hint="default"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项目编号：</w:t>
      </w:r>
    </w:p>
    <w:p w14:paraId="105679C2">
      <w:pPr>
        <w:ind w:firstLine="840" w:firstLineChars="300"/>
        <w:jc w:val="left"/>
        <w:rPr>
          <w:rFonts w:hint="default"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合同编号：</w:t>
      </w:r>
    </w:p>
    <w:p w14:paraId="3554878D">
      <w:pPr>
        <w:jc w:val="left"/>
        <w:rPr>
          <w:rFonts w:hint="default" w:ascii="宋体" w:hAnsi="宋体" w:eastAsia="宋体" w:cs="宋体"/>
          <w:color w:val="000000" w:themeColor="text1"/>
          <w:kern w:val="2"/>
          <w:sz w:val="28"/>
          <w:szCs w:val="28"/>
          <w:lang w:val="en-US" w:eastAsia="zh-CN" w:bidi="ar-SA"/>
          <w14:textFill>
            <w14:solidFill>
              <w14:schemeClr w14:val="tx1"/>
            </w14:solidFill>
          </w14:textFill>
        </w:rPr>
      </w:pPr>
    </w:p>
    <w:p w14:paraId="046E2244">
      <w:pPr>
        <w:jc w:val="left"/>
        <w:rPr>
          <w:rFonts w:hint="default" w:ascii="宋体" w:hAnsi="宋体" w:eastAsia="宋体" w:cs="宋体"/>
          <w:color w:val="000000" w:themeColor="text1"/>
          <w:kern w:val="2"/>
          <w:sz w:val="28"/>
          <w:szCs w:val="28"/>
          <w:lang w:val="en-US" w:eastAsia="zh-CN" w:bidi="ar-SA"/>
          <w14:textFill>
            <w14:solidFill>
              <w14:schemeClr w14:val="tx1"/>
            </w14:solidFill>
          </w14:textFill>
        </w:rPr>
      </w:pPr>
    </w:p>
    <w:p w14:paraId="633F1E5B">
      <w:pPr>
        <w:jc w:val="left"/>
        <w:rPr>
          <w:rFonts w:hint="default" w:ascii="宋体" w:hAnsi="宋体" w:eastAsia="宋体" w:cs="宋体"/>
          <w:color w:val="000000" w:themeColor="text1"/>
          <w:kern w:val="2"/>
          <w:sz w:val="28"/>
          <w:szCs w:val="28"/>
          <w:lang w:val="en-US" w:eastAsia="zh-CN" w:bidi="ar-SA"/>
          <w14:textFill>
            <w14:solidFill>
              <w14:schemeClr w14:val="tx1"/>
            </w14:solidFill>
          </w14:textFill>
        </w:rPr>
      </w:pPr>
    </w:p>
    <w:p w14:paraId="70024FEB">
      <w:pPr>
        <w:pStyle w:val="2"/>
        <w:rPr>
          <w:rFonts w:hint="default" w:ascii="宋体" w:hAnsi="宋体" w:eastAsia="宋体" w:cs="宋体"/>
          <w:color w:val="000000" w:themeColor="text1"/>
          <w:kern w:val="2"/>
          <w:sz w:val="28"/>
          <w:szCs w:val="28"/>
          <w:lang w:val="en-US" w:eastAsia="zh-CN" w:bidi="ar-SA"/>
          <w14:textFill>
            <w14:solidFill>
              <w14:schemeClr w14:val="tx1"/>
            </w14:solidFill>
          </w14:textFill>
        </w:rPr>
      </w:pPr>
    </w:p>
    <w:p w14:paraId="37C7FFAA">
      <w:pPr>
        <w:rPr>
          <w:rFonts w:hint="default"/>
          <w:color w:val="000000" w:themeColor="text1"/>
          <w:lang w:val="en-US" w:eastAsia="zh-CN"/>
          <w14:textFill>
            <w14:solidFill>
              <w14:schemeClr w14:val="tx1"/>
            </w14:solidFill>
          </w14:textFill>
        </w:rPr>
      </w:pPr>
    </w:p>
    <w:p w14:paraId="77DC857B">
      <w:pPr>
        <w:ind w:firstLine="840" w:firstLineChars="300"/>
        <w:jc w:val="left"/>
        <w:rPr>
          <w:rFonts w:hint="default"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采购人（甲方）：</w:t>
      </w:r>
    </w:p>
    <w:p w14:paraId="3BBBEDE9">
      <w:pPr>
        <w:ind w:firstLine="840" w:firstLineChars="300"/>
        <w:jc w:val="left"/>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中标投标人（乙方）：</w:t>
      </w:r>
    </w:p>
    <w:p w14:paraId="6D8BB82A">
      <w:pPr>
        <w:ind w:firstLine="840" w:firstLineChars="300"/>
        <w:jc w:val="left"/>
        <w:rPr>
          <w:rFonts w:hint="eastAsia" w:ascii="宋体" w:hAnsi="宋体" w:eastAsia="宋体" w:cs="宋体"/>
          <w:color w:val="000000" w:themeColor="text1"/>
          <w:kern w:val="2"/>
          <w:sz w:val="28"/>
          <w:szCs w:val="28"/>
          <w:lang w:val="en-US" w:eastAsia="zh-CN" w:bidi="ar-SA"/>
          <w14:textFill>
            <w14:solidFill>
              <w14:schemeClr w14:val="tx1"/>
            </w14:solidFill>
          </w14:textFill>
        </w:rPr>
      </w:pPr>
    </w:p>
    <w:p w14:paraId="3A517BDB">
      <w:pPr>
        <w:ind w:firstLine="840" w:firstLineChars="300"/>
        <w:jc w:val="left"/>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 xml:space="preserve">签订地：                                                             </w:t>
      </w:r>
    </w:p>
    <w:p w14:paraId="5725DC72">
      <w:pPr>
        <w:ind w:firstLine="840" w:firstLineChars="300"/>
        <w:jc w:val="left"/>
        <w:rPr>
          <w:rFonts w:hint="default"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 xml:space="preserve">         </w:t>
      </w:r>
    </w:p>
    <w:p w14:paraId="115A869C">
      <w:pPr>
        <w:ind w:firstLine="840" w:firstLineChars="300"/>
        <w:jc w:val="left"/>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签订日期：    年     月     日</w:t>
      </w:r>
    </w:p>
    <w:p w14:paraId="310F0027">
      <w:pPr>
        <w:spacing w:line="360" w:lineRule="auto"/>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Cs w:val="24"/>
          <w:lang w:val="en-US" w:eastAsia="zh-CN" w:bidi="ar-SA"/>
          <w14:textFill>
            <w14:solidFill>
              <w14:schemeClr w14:val="tx1"/>
            </w14:solidFill>
          </w14:textFill>
        </w:rPr>
        <w:br w:type="page"/>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甲方：常州市金坛区残疾人联合会</w:t>
      </w:r>
    </w:p>
    <w:p w14:paraId="6108B5A1">
      <w:pPr>
        <w:spacing w:line="360" w:lineRule="auto"/>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乙方：                    （中标商业保险机构）</w:t>
      </w:r>
    </w:p>
    <w:p w14:paraId="6204EC59">
      <w:pPr>
        <w:spacing w:line="360" w:lineRule="auto"/>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 xml:space="preserve">  </w:t>
      </w:r>
    </w:p>
    <w:p w14:paraId="239850FA">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根据《中华人民共和国民法典》、《中华人民共和国政府采购法》和《中华人民共和国保险法》及相关法律、法规的有关规定，甲方与通过</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招标选定的乙方经过协商，甲乙双方在平等互利的基础上，本着平等协作和诚实信用的原则，签订如下合同：</w:t>
      </w:r>
      <w:r>
        <w:rPr>
          <w:rFonts w:hint="default" w:ascii="宋体" w:hAnsi="宋体" w:eastAsia="宋体" w:cs="Times New Roman"/>
          <w:color w:val="000000" w:themeColor="text1"/>
          <w:kern w:val="2"/>
          <w:sz w:val="24"/>
          <w:szCs w:val="24"/>
          <w:lang w:val="en-US" w:eastAsia="zh-CN" w:bidi="ar-SA"/>
          <w14:textFill>
            <w14:solidFill>
              <w14:schemeClr w14:val="tx1"/>
            </w14:solidFill>
          </w14:textFill>
        </w:rPr>
        <w:t xml:space="preserve"> </w:t>
      </w:r>
    </w:p>
    <w:p w14:paraId="7CF5282C">
      <w:pPr>
        <w:spacing w:line="360" w:lineRule="auto"/>
        <w:rPr>
          <w:rFonts w:hint="default" w:ascii="宋体" w:hAnsi="宋体" w:eastAsia="宋体" w:cs="Times New Roman"/>
          <w:b/>
          <w:bCs/>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b/>
          <w:bCs/>
          <w:color w:val="000000" w:themeColor="text1"/>
          <w:kern w:val="2"/>
          <w:sz w:val="24"/>
          <w:szCs w:val="24"/>
          <w:lang w:val="en-US" w:eastAsia="zh-CN" w:bidi="ar-SA"/>
          <w14:textFill>
            <w14:solidFill>
              <w14:schemeClr w14:val="tx1"/>
            </w14:solidFill>
          </w14:textFill>
        </w:rPr>
        <w:t>一、合同概况</w:t>
      </w:r>
    </w:p>
    <w:p w14:paraId="6A733AEA">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甲方作为投保人，为</w:t>
      </w:r>
      <w:r>
        <w:rPr>
          <w:rFonts w:hint="default" w:ascii="宋体" w:hAnsi="宋体" w:eastAsia="宋体" w:cs="宋体"/>
          <w:color w:val="000000" w:themeColor="text1"/>
          <w:kern w:val="0"/>
          <w:sz w:val="24"/>
          <w:szCs w:val="24"/>
          <w:lang w:val="en-US" w:eastAsia="zh-CN" w:bidi="ar-SA"/>
          <w14:textFill>
            <w14:solidFill>
              <w14:schemeClr w14:val="tx1"/>
            </w14:solidFill>
          </w14:textFill>
        </w:rPr>
        <w:t>常州市金坛区</w:t>
      </w:r>
      <w:r>
        <w:rPr>
          <w:rFonts w:hint="eastAsia" w:ascii="宋体" w:hAnsi="宋体" w:eastAsia="宋体" w:cs="宋体"/>
          <w:color w:val="000000" w:themeColor="text1"/>
          <w:kern w:val="0"/>
          <w:sz w:val="24"/>
          <w:szCs w:val="24"/>
          <w:lang w:val="en-US" w:eastAsia="zh-CN" w:bidi="ar-SA"/>
          <w14:textFill>
            <w14:solidFill>
              <w14:schemeClr w14:val="tx1"/>
            </w14:solidFill>
          </w14:textFill>
        </w:rPr>
        <w:t>户籍并持有</w:t>
      </w:r>
      <w:r>
        <w:rPr>
          <w:rFonts w:hint="default" w:ascii="宋体" w:hAnsi="宋体" w:eastAsia="宋体" w:cs="宋体"/>
          <w:color w:val="000000" w:themeColor="text1"/>
          <w:kern w:val="0"/>
          <w:sz w:val="24"/>
          <w:szCs w:val="24"/>
          <w:lang w:val="en-US" w:eastAsia="zh-CN" w:bidi="ar-SA"/>
          <w14:textFill>
            <w14:solidFill>
              <w14:schemeClr w14:val="tx1"/>
            </w14:solidFill>
          </w14:textFill>
        </w:rPr>
        <w:t>国家统一发放残疾人证的残疾人</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向乙方统一投保商业保险</w:t>
      </w:r>
      <w:r>
        <w:rPr>
          <w:rFonts w:hint="eastAsia" w:ascii="Times New Roman" w:hAnsi="宋体" w:eastAsia="宋体" w:cs="Times New Roman"/>
          <w:color w:val="000000" w:themeColor="text1"/>
          <w:kern w:val="2"/>
          <w:sz w:val="24"/>
          <w:szCs w:val="24"/>
          <w:lang w:val="en-US" w:eastAsia="zh-CN" w:bidi="ar-SA"/>
          <w14:textFill>
            <w14:solidFill>
              <w14:schemeClr w14:val="tx1"/>
            </w14:solidFill>
          </w14:textFill>
        </w:rPr>
        <w:t>项目</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保障内容所列明的保险产品。乙方已向甲方说明了保险计划所对应的保险条款的内容，并特别对保险条款中的保险责任及责任免除的内容进行了明确说明，甲方同意，乙方根据甲方的参保人员参与的保险计划所对应的条款承担保险责任，并在符合所对应条款的责任免除事项时不承担保险责任。本协议与所对应保险条款有冲突的，以本协议为准；本协议没有约定的，以所对应的保险条款为准。</w:t>
      </w:r>
    </w:p>
    <w:p w14:paraId="24AC45BA">
      <w:pPr>
        <w:spacing w:line="360" w:lineRule="auto"/>
        <w:rPr>
          <w:rFonts w:hint="default" w:ascii="宋体" w:hAnsi="宋体" w:eastAsia="宋体" w:cs="Times New Roman"/>
          <w:b/>
          <w:bCs/>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b/>
          <w:bCs/>
          <w:color w:val="000000" w:themeColor="text1"/>
          <w:kern w:val="2"/>
          <w:sz w:val="24"/>
          <w:szCs w:val="24"/>
          <w:lang w:val="en-US" w:eastAsia="zh-CN" w:bidi="ar-SA"/>
          <w14:textFill>
            <w14:solidFill>
              <w14:schemeClr w14:val="tx1"/>
            </w14:solidFill>
          </w14:textFill>
        </w:rPr>
        <w:t>二、保费价格与支付</w:t>
      </w:r>
    </w:p>
    <w:p w14:paraId="1A097187">
      <w:pPr>
        <w:spacing w:line="360" w:lineRule="auto"/>
        <w:ind w:firstLine="480" w:firstLineChars="200"/>
        <w:rPr>
          <w:rFonts w:hint="default" w:ascii="宋体" w:hAnsi="宋体" w:eastAsia="宋体" w:cs="Times New Roman"/>
          <w:b/>
          <w:bCs/>
          <w:color w:val="000000" w:themeColor="text1"/>
          <w:kern w:val="2"/>
          <w:sz w:val="24"/>
          <w:szCs w:val="24"/>
          <w:highlight w:val="none"/>
          <w:lang w:val="en-US" w:eastAsia="zh-CN" w:bidi="ar-SA"/>
          <w14:textFill>
            <w14:solidFill>
              <w14:schemeClr w14:val="tx1"/>
            </w14:solidFill>
          </w14:textFill>
        </w:rPr>
      </w:pPr>
      <w:r>
        <w:rPr>
          <w:rFonts w:hint="eastAsia" w:ascii="宋体" w:hAnsi="宋体"/>
          <w:color w:val="000000" w:themeColor="text1"/>
          <w:sz w:val="24"/>
          <w14:textFill>
            <w14:solidFill>
              <w14:schemeClr w14:val="tx1"/>
            </w14:solidFill>
          </w14:textFill>
        </w:rPr>
        <w:t>金坛区持证残疾人商业保险的保费为</w:t>
      </w:r>
      <w:r>
        <w:rPr>
          <w:rFonts w:hint="eastAsia" w:ascii="宋体" w:hAnsi="宋体"/>
          <w:color w:val="000000" w:themeColor="text1"/>
          <w:sz w:val="24"/>
          <w:u w:val="single"/>
          <w14:textFill>
            <w14:solidFill>
              <w14:schemeClr w14:val="tx1"/>
            </w14:solidFill>
          </w14:textFill>
        </w:rPr>
        <w:t>每人每年</w:t>
      </w:r>
      <w:r>
        <w:rPr>
          <w:rFonts w:hint="eastAsia" w:ascii="宋体" w:hAnsi="宋体"/>
          <w:color w:val="000000" w:themeColor="text1"/>
          <w:sz w:val="24"/>
          <w:u w:val="single"/>
          <w:lang w:val="en-US" w:eastAsia="zh-CN"/>
          <w14:textFill>
            <w14:solidFill>
              <w14:schemeClr w14:val="tx1"/>
            </w14:solidFill>
          </w14:textFill>
        </w:rPr>
        <w:t xml:space="preserve">      </w:t>
      </w:r>
      <w:r>
        <w:rPr>
          <w:rFonts w:hint="eastAsia" w:ascii="宋体" w:hAnsi="宋体"/>
          <w:color w:val="000000" w:themeColor="text1"/>
          <w:sz w:val="24"/>
          <w:u w:val="none"/>
          <w:lang w:val="en-US" w:eastAsia="zh-CN"/>
          <w14:textFill>
            <w14:solidFill>
              <w14:schemeClr w14:val="tx1"/>
            </w14:solidFill>
          </w14:textFill>
        </w:rPr>
        <w:t>元</w:t>
      </w:r>
      <w:r>
        <w:rPr>
          <w:rFonts w:hint="eastAsia" w:ascii="宋体" w:hAnsi="宋体"/>
          <w:color w:val="000000" w:themeColor="text1"/>
          <w:sz w:val="24"/>
          <w:u w:val="none"/>
          <w14:textFill>
            <w14:solidFill>
              <w14:schemeClr w14:val="tx1"/>
            </w14:solidFill>
          </w14:textFill>
        </w:rPr>
        <w:t>，</w:t>
      </w:r>
      <w:r>
        <w:rPr>
          <w:rFonts w:hint="eastAsia" w:ascii="宋体" w:hAnsi="宋体"/>
          <w:color w:val="000000" w:themeColor="text1"/>
          <w:sz w:val="24"/>
          <w14:textFill>
            <w14:solidFill>
              <w14:schemeClr w14:val="tx1"/>
            </w14:solidFill>
          </w14:textFill>
        </w:rPr>
        <w:t>甲方根据本年度实际参保人数</w:t>
      </w:r>
      <w:r>
        <w:rPr>
          <w:rFonts w:hint="eastAsia" w:ascii="宋体" w:hAnsi="宋体"/>
          <w:color w:val="000000" w:themeColor="text1"/>
          <w:sz w:val="24"/>
          <w:lang w:eastAsia="zh-CN"/>
          <w14:textFill>
            <w14:solidFill>
              <w14:schemeClr w14:val="tx1"/>
            </w14:solidFill>
          </w14:textFill>
        </w:rPr>
        <w:t>支付保费，</w:t>
      </w:r>
      <w:r>
        <w:rPr>
          <w:rFonts w:hint="eastAsia" w:ascii="宋体" w:hAnsi="宋体"/>
          <w:color w:val="000000" w:themeColor="text1"/>
          <w:sz w:val="24"/>
          <w:lang w:val="en-US" w:eastAsia="zh-CN"/>
          <w14:textFill>
            <w14:solidFill>
              <w14:schemeClr w14:val="tx1"/>
            </w14:solidFill>
          </w14:textFill>
        </w:rPr>
        <w:t>保费总额</w:t>
      </w:r>
      <w:r>
        <w:rPr>
          <w:rFonts w:hint="eastAsia" w:ascii="宋体" w:hAnsi="宋体"/>
          <w:color w:val="000000" w:themeColor="text1"/>
          <w:sz w:val="24"/>
          <w:u w:val="single"/>
          <w:lang w:val="en-US" w:eastAsia="zh-CN"/>
          <w14:textFill>
            <w14:solidFill>
              <w14:schemeClr w14:val="tx1"/>
            </w14:solidFill>
          </w14:textFill>
        </w:rPr>
        <w:t xml:space="preserve">     </w:t>
      </w:r>
      <w:r>
        <w:rPr>
          <w:rFonts w:hint="eastAsia" w:ascii="宋体" w:hAnsi="宋体"/>
          <w:color w:val="000000" w:themeColor="text1"/>
          <w:sz w:val="24"/>
          <w:u w:val="none"/>
          <w:lang w:val="en-US" w:eastAsia="zh-CN"/>
          <w14:textFill>
            <w14:solidFill>
              <w14:schemeClr w14:val="tx1"/>
            </w14:solidFill>
          </w14:textFill>
        </w:rPr>
        <w:t>元。</w:t>
      </w:r>
    </w:p>
    <w:p w14:paraId="33478C88">
      <w:pPr>
        <w:spacing w:line="360" w:lineRule="auto"/>
        <w:ind w:firstLine="480" w:firstLineChars="200"/>
        <w:rPr>
          <w:rFonts w:hint="eastAsia" w:ascii="宋体" w:hAnsi="宋体"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4"/>
          <w:szCs w:val="24"/>
          <w:highlight w:val="none"/>
          <w:lang w:val="en-US" w:eastAsia="zh-CN" w:bidi="ar-SA"/>
          <w14:textFill>
            <w14:solidFill>
              <w14:schemeClr w14:val="tx1"/>
            </w14:solidFill>
          </w14:textFill>
        </w:rPr>
        <w:t>保费支付：甲方将保费全额支付至中标供应商指定账户，乙方收到保费后1个工作日内开具保单及全额保险费对应的增值税专用发票给甲方。</w:t>
      </w:r>
    </w:p>
    <w:p w14:paraId="6042F986">
      <w:pPr>
        <w:numPr>
          <w:ilvl w:val="0"/>
          <w:numId w:val="5"/>
        </w:numPr>
        <w:spacing w:line="360" w:lineRule="auto"/>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b/>
          <w:bCs/>
          <w:color w:val="000000" w:themeColor="text1"/>
          <w:kern w:val="2"/>
          <w:sz w:val="24"/>
          <w:szCs w:val="24"/>
          <w:lang w:val="en-US" w:eastAsia="zh-CN" w:bidi="ar-SA"/>
          <w14:textFill>
            <w14:solidFill>
              <w14:schemeClr w14:val="tx1"/>
            </w14:solidFill>
          </w14:textFill>
        </w:rPr>
        <w:t>合同期：</w:t>
      </w:r>
      <w:r>
        <w:rPr>
          <w:rFonts w:hint="eastAsia" w:ascii="宋体" w:hAnsi="宋体" w:eastAsia="宋体" w:cs="Times New Roman"/>
          <w:b w:val="0"/>
          <w:bCs w:val="0"/>
          <w:color w:val="000000" w:themeColor="text1"/>
          <w:kern w:val="2"/>
          <w:sz w:val="24"/>
          <w:szCs w:val="24"/>
          <w:lang w:val="en-US" w:eastAsia="zh-CN" w:bidi="ar-SA"/>
          <w14:textFill>
            <w14:solidFill>
              <w14:schemeClr w14:val="tx1"/>
            </w14:solidFill>
          </w14:textFill>
        </w:rPr>
        <w:t>项目合同期：三年（</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年</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u w:val="none"/>
          <w:lang w:val="en-US" w:eastAsia="zh-CN" w:bidi="ar-SA"/>
          <w14:textFill>
            <w14:solidFill>
              <w14:schemeClr w14:val="tx1"/>
            </w14:solidFill>
          </w14:textFill>
        </w:rPr>
        <w:t>月</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u w:val="none"/>
          <w:lang w:val="en-US" w:eastAsia="zh-CN" w:bidi="ar-SA"/>
          <w14:textFill>
            <w14:solidFill>
              <w14:schemeClr w14:val="tx1"/>
            </w14:solidFill>
          </w14:textFill>
        </w:rPr>
        <w:t>日</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至</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年</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u w:val="none"/>
          <w:lang w:val="en-US" w:eastAsia="zh-CN" w:bidi="ar-SA"/>
          <w14:textFill>
            <w14:solidFill>
              <w14:schemeClr w14:val="tx1"/>
            </w14:solidFill>
          </w14:textFill>
        </w:rPr>
        <w:t>月</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u w:val="none"/>
          <w:lang w:val="en-US" w:eastAsia="zh-CN" w:bidi="ar-SA"/>
          <w14:textFill>
            <w14:solidFill>
              <w14:schemeClr w14:val="tx1"/>
            </w14:solidFill>
          </w14:textFill>
        </w:rPr>
        <w:t>日</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）合同期满经甲方认可，续签下一年合同，最多续签二年；</w:t>
      </w:r>
    </w:p>
    <w:p w14:paraId="5EE526DF">
      <w:pPr>
        <w:numPr>
          <w:ilvl w:val="0"/>
          <w:numId w:val="0"/>
        </w:numPr>
        <w:spacing w:line="360" w:lineRule="auto"/>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4"/>
          <w:szCs w:val="24"/>
          <w:lang w:val="en-US" w:eastAsia="zh-CN" w:bidi="ar-SA"/>
          <w14:textFill>
            <w14:solidFill>
              <w14:schemeClr w14:val="tx1"/>
            </w14:solidFill>
          </w14:textFill>
        </w:rPr>
        <w:t>本合同期限：</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一年（</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年</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u w:val="none"/>
          <w:lang w:val="en-US" w:eastAsia="zh-CN" w:bidi="ar-SA"/>
          <w14:textFill>
            <w14:solidFill>
              <w14:schemeClr w14:val="tx1"/>
            </w14:solidFill>
          </w14:textFill>
        </w:rPr>
        <w:t>月</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u w:val="none"/>
          <w:lang w:val="en-US" w:eastAsia="zh-CN" w:bidi="ar-SA"/>
          <w14:textFill>
            <w14:solidFill>
              <w14:schemeClr w14:val="tx1"/>
            </w14:solidFill>
          </w14:textFill>
        </w:rPr>
        <w:t>日</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至</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年</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u w:val="none"/>
          <w:lang w:val="en-US" w:eastAsia="zh-CN" w:bidi="ar-SA"/>
          <w14:textFill>
            <w14:solidFill>
              <w14:schemeClr w14:val="tx1"/>
            </w14:solidFill>
          </w14:textFill>
        </w:rPr>
        <w:t>月</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u w:val="none"/>
          <w:lang w:val="en-US" w:eastAsia="zh-CN" w:bidi="ar-SA"/>
          <w14:textFill>
            <w14:solidFill>
              <w14:schemeClr w14:val="tx1"/>
            </w14:solidFill>
          </w14:textFill>
        </w:rPr>
        <w:t>日</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w:t>
      </w:r>
    </w:p>
    <w:p w14:paraId="190FF75D">
      <w:pPr>
        <w:spacing w:line="360" w:lineRule="auto"/>
        <w:rPr>
          <w:rFonts w:hint="default" w:ascii="宋体" w:hAnsi="宋体" w:eastAsia="宋体" w:cs="Times New Roman"/>
          <w:b/>
          <w:bCs/>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b/>
          <w:bCs/>
          <w:color w:val="000000" w:themeColor="text1"/>
          <w:kern w:val="2"/>
          <w:sz w:val="24"/>
          <w:szCs w:val="24"/>
          <w:lang w:val="en-US" w:eastAsia="zh-CN" w:bidi="ar-SA"/>
          <w14:textFill>
            <w14:solidFill>
              <w14:schemeClr w14:val="tx1"/>
            </w14:solidFill>
          </w14:textFill>
        </w:rPr>
        <w:t>四、赔付条件和标准</w:t>
      </w:r>
    </w:p>
    <w:p w14:paraId="7608C1AB">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详见采购需求及有关说明</w:t>
      </w:r>
    </w:p>
    <w:p w14:paraId="249E4C0A">
      <w:pPr>
        <w:spacing w:line="360" w:lineRule="auto"/>
        <w:rPr>
          <w:rFonts w:hint="default" w:ascii="宋体" w:hAnsi="宋体" w:eastAsia="宋体" w:cs="Times New Roman"/>
          <w:b/>
          <w:bCs/>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b/>
          <w:bCs/>
          <w:color w:val="000000" w:themeColor="text1"/>
          <w:kern w:val="2"/>
          <w:sz w:val="24"/>
          <w:szCs w:val="24"/>
          <w:lang w:val="en-US" w:eastAsia="zh-CN" w:bidi="ar-SA"/>
          <w14:textFill>
            <w14:solidFill>
              <w14:schemeClr w14:val="tx1"/>
            </w14:solidFill>
          </w14:textFill>
        </w:rPr>
        <w:t>五、下列文件为本合同不可分割部分</w:t>
      </w:r>
    </w:p>
    <w:p w14:paraId="475CEB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5.1 中标通知书。</w:t>
      </w:r>
    </w:p>
    <w:p w14:paraId="1AACE5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5.2 乙方中标的投标文件及其他承诺。</w:t>
      </w:r>
    </w:p>
    <w:p w14:paraId="0FF7DA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5.3招标文件</w:t>
      </w:r>
    </w:p>
    <w:p w14:paraId="054999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5.4投保人的投保材料；</w:t>
      </w:r>
    </w:p>
    <w:p w14:paraId="10461D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5.5投保单、保险单及批改申请书、批单。</w:t>
      </w:r>
    </w:p>
    <w:p w14:paraId="1012DA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5.6 与本次招标有关的并经当事人双方确认的其他文件。</w:t>
      </w:r>
    </w:p>
    <w:p w14:paraId="6682BC10">
      <w:pPr>
        <w:spacing w:line="360" w:lineRule="auto"/>
        <w:rPr>
          <w:rFonts w:hint="default" w:ascii="宋体" w:hAnsi="宋体" w:eastAsia="宋体" w:cs="Times New Roman"/>
          <w:b/>
          <w:bCs/>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b/>
          <w:bCs/>
          <w:color w:val="000000" w:themeColor="text1"/>
          <w:kern w:val="2"/>
          <w:sz w:val="24"/>
          <w:szCs w:val="24"/>
          <w:lang w:val="en-US" w:eastAsia="zh-CN" w:bidi="ar-SA"/>
          <w14:textFill>
            <w14:solidFill>
              <w14:schemeClr w14:val="tx1"/>
            </w14:solidFill>
          </w14:textFill>
        </w:rPr>
        <w:t>六、违约责任</w:t>
      </w:r>
    </w:p>
    <w:p w14:paraId="30F73A78">
      <w:pPr>
        <w:spacing w:line="360" w:lineRule="auto"/>
        <w:ind w:firstLine="480" w:firstLineChars="200"/>
        <w:rPr>
          <w:rFonts w:hint="default"/>
          <w:color w:val="000000" w:themeColor="text1"/>
          <w:lang w:val="en-US" w:eastAsia="zh-CN"/>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在合同期内，合同一方不履行合同义务或者履行合同义务不符合约定的，应当承担继续履行、采取补救措施或赔偿损失等违约责任。</w:t>
      </w:r>
    </w:p>
    <w:p w14:paraId="79E1F371">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6.1乙方因违反本合同约定，或发生其他严重损害参保人员权益的情况，甲方可以扣除部分履约保证金并提前终止合作，并就违约情况提请有关部门依法追究责任。</w:t>
      </w:r>
    </w:p>
    <w:p w14:paraId="17404D24">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6.2乙方利用专业技术和行业信息优势之便，故意隐瞒和掩盖自身过失，违背投标承诺和未尽义务，甲方均可追究乙方的违约责任并索取赔偿，且不受合同时效的限制。</w:t>
      </w:r>
    </w:p>
    <w:p w14:paraId="6B5847FC">
      <w:pPr>
        <w:spacing w:line="360" w:lineRule="auto"/>
        <w:ind w:firstLine="480" w:firstLineChars="200"/>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6.3合同期内，乙方未履行合同责任、无故终止合同或无正当理由拒绝续签合同的，扣除全部履约保证金，情节严重的甲方有权单方解除本合同，并报相关部门依法追究其责任。</w:t>
      </w:r>
    </w:p>
    <w:p w14:paraId="609AEF6A">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6.4合同期内，如甲方遇上级取消本项目或本项目预算，甲方享有停止续签合同的权力，造成损失与甲方无关。</w:t>
      </w:r>
    </w:p>
    <w:p w14:paraId="44E72255">
      <w:pPr>
        <w:spacing w:line="360" w:lineRule="auto"/>
        <w:rPr>
          <w:rFonts w:hint="default" w:ascii="宋体" w:hAnsi="宋体" w:eastAsia="宋体" w:cs="Times New Roman"/>
          <w:b/>
          <w:bCs/>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b/>
          <w:bCs/>
          <w:color w:val="000000" w:themeColor="text1"/>
          <w:kern w:val="2"/>
          <w:sz w:val="24"/>
          <w:szCs w:val="24"/>
          <w:lang w:val="en-US" w:eastAsia="zh-CN" w:bidi="ar-SA"/>
          <w14:textFill>
            <w14:solidFill>
              <w14:schemeClr w14:val="tx1"/>
            </w14:solidFill>
          </w14:textFill>
        </w:rPr>
        <w:t>七、合同修改</w:t>
      </w:r>
    </w:p>
    <w:p w14:paraId="2B8BA79B">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对于本合同的未尽事宜，需进行修改、补充或完善的，甲乙双方必须就所修改的内容签订书面的合同修改书，作为本合同的补充协议。补充协议与本合同具有同等法律效力。</w:t>
      </w:r>
    </w:p>
    <w:p w14:paraId="6226B187">
      <w:pPr>
        <w:spacing w:line="360" w:lineRule="auto"/>
        <w:rPr>
          <w:rFonts w:hint="default" w:ascii="宋体" w:hAnsi="宋体" w:eastAsia="宋体" w:cs="Times New Roman"/>
          <w:b/>
          <w:bCs/>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b/>
          <w:bCs/>
          <w:color w:val="000000" w:themeColor="text1"/>
          <w:kern w:val="2"/>
          <w:sz w:val="24"/>
          <w:szCs w:val="24"/>
          <w:lang w:val="en-US" w:eastAsia="zh-CN" w:bidi="ar-SA"/>
          <w14:textFill>
            <w14:solidFill>
              <w14:schemeClr w14:val="tx1"/>
            </w14:solidFill>
          </w14:textFill>
        </w:rPr>
        <w:t>八、合同生效及其它</w:t>
      </w:r>
    </w:p>
    <w:p w14:paraId="6F2856A5">
      <w:pPr>
        <w:spacing w:line="360" w:lineRule="auto"/>
        <w:ind w:firstLine="480" w:firstLineChars="200"/>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8.1双方对涉及对方的信息均具有保密的责任和义务，甲方向乙方提供的被保险人个人信息, 未经甲方许可，乙方不得对外披露或用作他途，否则将承担由此引起的法律后果。</w:t>
      </w:r>
    </w:p>
    <w:p w14:paraId="1FDA869D">
      <w:pPr>
        <w:spacing w:line="360" w:lineRule="auto"/>
        <w:ind w:firstLine="480" w:firstLineChars="200"/>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8.2 合同一式伍份，以中文书写，由甲方、乙方各执贰份，代理公司壹份。合同经甲乙双方代表签字并加盖公章。</w:t>
      </w:r>
    </w:p>
    <w:p w14:paraId="50F15194">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8.3 合同签订后甲乙双方即直接产生权利与义务的关系，合同执行过程中出现的问题应按照《中华人民共和国民法典》等有关规定处理，在合同履行过程中，双方如有争议，可提请各自主管部门进行协调。</w:t>
      </w:r>
    </w:p>
    <w:p w14:paraId="5DB73AC3">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8.4 合同在执行过程中出现的未尽事宜，双方在不违背本合同和招标文件的原则下协商解决，协商结果以书面形式盖章记录在案，作为本合同的附件，与本合同具有同等效力。双方协商不成，提交至甲方所在地人民法院诉讼。</w:t>
      </w:r>
    </w:p>
    <w:p w14:paraId="0E4C1572">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8.5 本合同未尽事宜应按照《中华人民共和国民法典》、《中华人民共和国政府采购法》之规定解释。</w:t>
      </w:r>
    </w:p>
    <w:p w14:paraId="5F4DBD8C">
      <w:pPr>
        <w:pStyle w:val="5"/>
        <w:rPr>
          <w:rFonts w:hint="eastAsia" w:ascii="宋体" w:hAnsi="宋体" w:eastAsia="宋体" w:cs="Times New Roman"/>
          <w:color w:val="000000" w:themeColor="text1"/>
          <w:kern w:val="0"/>
          <w:sz w:val="24"/>
          <w:lang w:val="en-US" w:eastAsia="zh-CN" w:bidi="ar-SA"/>
          <w14:textFill>
            <w14:solidFill>
              <w14:schemeClr w14:val="tx1"/>
            </w14:solidFill>
          </w14:textFill>
        </w:rPr>
      </w:pPr>
      <w:r>
        <w:rPr>
          <w:rFonts w:hint="eastAsia" w:ascii="宋体" w:hAnsi="宋体" w:eastAsia="宋体" w:cs="Times New Roman"/>
          <w:color w:val="000000" w:themeColor="text1"/>
          <w:kern w:val="0"/>
          <w:sz w:val="24"/>
          <w:lang w:val="en-US" w:eastAsia="zh-CN" w:bidi="ar-SA"/>
          <w14:textFill>
            <w14:solidFill>
              <w14:schemeClr w14:val="tx1"/>
            </w14:solidFill>
          </w14:textFill>
        </w:rPr>
        <w:t>以下无正文：</w:t>
      </w:r>
    </w:p>
    <w:p w14:paraId="7C7209F6">
      <w:pPr>
        <w:rPr>
          <w:rFonts w:hint="eastAsia" w:ascii="Times New Roman" w:hAnsi="Times New Roman" w:eastAsia="宋体" w:cs="Times New Roman"/>
          <w:color w:val="000000" w:themeColor="text1"/>
          <w:kern w:val="2"/>
          <w:szCs w:val="24"/>
          <w:lang w:val="en-US" w:eastAsia="zh-CN" w:bidi="ar-SA"/>
          <w14:textFill>
            <w14:solidFill>
              <w14:schemeClr w14:val="tx1"/>
            </w14:solidFill>
          </w14:textFill>
        </w:rPr>
      </w:pPr>
    </w:p>
    <w:p w14:paraId="038355D4">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甲      方：                               乙      方：</w:t>
      </w:r>
    </w:p>
    <w:p w14:paraId="1096988F">
      <w:pPr>
        <w:tabs>
          <w:tab w:val="left" w:pos="5115"/>
        </w:tabs>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单位名称（章）：                           单位名称（章）：</w:t>
      </w:r>
    </w:p>
    <w:p w14:paraId="76C33D8E">
      <w:pPr>
        <w:tabs>
          <w:tab w:val="left" w:pos="5115"/>
        </w:tabs>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单位地址：                                 单位地址：</w:t>
      </w:r>
    </w:p>
    <w:p w14:paraId="5ADEC6E2">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法定代表人：                               法定代表人：</w:t>
      </w:r>
    </w:p>
    <w:p w14:paraId="176788E1">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或委托代理人：                             或委托代表人：</w:t>
      </w:r>
    </w:p>
    <w:p w14:paraId="093BD978">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传真:                                      传真:</w:t>
      </w:r>
    </w:p>
    <w:p w14:paraId="272378A1">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传真接收人:                                传真接收人：</w:t>
      </w:r>
    </w:p>
    <w:p w14:paraId="7A9EC505">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开户银行：                                 开户银行：</w:t>
      </w:r>
    </w:p>
    <w:p w14:paraId="670EB135">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银行帐号：                                 银行帐号：</w:t>
      </w:r>
    </w:p>
    <w:p w14:paraId="61B7756D">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电    话：                                 电    话：</w:t>
      </w:r>
    </w:p>
    <w:p w14:paraId="419B023F">
      <w:pPr>
        <w:rPr>
          <w:rFonts w:hint="eastAsia" w:ascii="Times New Roman" w:hAnsi="Times New Roman" w:eastAsia="宋体" w:cs="Times New Roman"/>
          <w:snapToGrid w:val="0"/>
          <w:color w:val="000000" w:themeColor="text1"/>
          <w:kern w:val="2"/>
          <w:szCs w:val="24"/>
          <w:lang w:val="en-US" w:eastAsia="zh-CN" w:bidi="ar-SA"/>
          <w14:textFill>
            <w14:solidFill>
              <w14:schemeClr w14:val="tx1"/>
            </w14:solidFill>
          </w14:textFill>
        </w:rPr>
      </w:pPr>
    </w:p>
    <w:p w14:paraId="6BB47D89">
      <w:pPr>
        <w:tabs>
          <w:tab w:val="left" w:pos="5115"/>
        </w:tabs>
        <w:spacing w:line="360" w:lineRule="auto"/>
        <w:ind w:firstLine="480" w:firstLineChars="200"/>
        <w:jc w:val="both"/>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p>
    <w:p w14:paraId="560D0FAD">
      <w:pPr>
        <w:tabs>
          <w:tab w:val="left" w:pos="5115"/>
        </w:tabs>
        <w:spacing w:line="360" w:lineRule="auto"/>
        <w:ind w:firstLine="480" w:firstLineChars="200"/>
        <w:jc w:val="both"/>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p>
    <w:p w14:paraId="10C16132">
      <w:pPr>
        <w:tabs>
          <w:tab w:val="left" w:pos="5115"/>
        </w:tabs>
        <w:spacing w:line="360" w:lineRule="auto"/>
        <w:ind w:firstLine="480" w:firstLineChars="200"/>
        <w:jc w:val="both"/>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p>
    <w:p w14:paraId="647AE179">
      <w:pPr>
        <w:widowControl w:val="0"/>
        <w:spacing w:before="120" w:line="22" w:lineRule="atLeast"/>
        <w:jc w:val="both"/>
        <w:rPr>
          <w:rFonts w:ascii="宋体" w:hAnsi="宋体" w:eastAsia="宋体" w:cs="Times New Roman"/>
          <w:color w:val="000000" w:themeColor="text1"/>
          <w:kern w:val="2"/>
          <w:sz w:val="24"/>
          <w:szCs w:val="24"/>
          <w:lang w:val="en-US" w:eastAsia="zh-CN" w:bidi="ar-SA"/>
          <w14:textFill>
            <w14:solidFill>
              <w14:schemeClr w14:val="tx1"/>
            </w14:solidFill>
          </w14:textFill>
        </w:rPr>
      </w:pPr>
    </w:p>
    <w:p w14:paraId="0B32320D">
      <w:pPr>
        <w:keepNext/>
        <w:keepLines/>
        <w:widowControl w:val="0"/>
        <w:autoSpaceDE w:val="0"/>
        <w:autoSpaceDN w:val="0"/>
        <w:adjustRightInd w:val="0"/>
        <w:spacing w:before="360" w:after="120"/>
        <w:jc w:val="left"/>
        <w:outlineLvl w:val="2"/>
        <w:rPr>
          <w:rFonts w:hint="eastAsia" w:ascii="宋体" w:hAnsi="Times New Roman" w:eastAsia="宋体" w:cs="Times New Roman"/>
          <w:b/>
          <w:color w:val="000000" w:themeColor="text1"/>
          <w:kern w:val="0"/>
          <w:sz w:val="24"/>
          <w:szCs w:val="20"/>
          <w:u w:val="single"/>
          <w:lang w:val="en-US" w:eastAsia="zh-CN" w:bidi="ar-SA"/>
          <w14:textFill>
            <w14:solidFill>
              <w14:schemeClr w14:val="tx1"/>
            </w14:solidFill>
          </w14:textFill>
        </w:rPr>
      </w:pPr>
    </w:p>
    <w:p w14:paraId="07508981">
      <w:pPr>
        <w:keepNext w:val="0"/>
        <w:keepLines w:val="0"/>
        <w:pageBreakBefore w:val="0"/>
        <w:widowControl w:val="0"/>
        <w:kinsoku/>
        <w:wordWrap/>
        <w:overflowPunct/>
        <w:topLinePunct w:val="0"/>
        <w:bidi w:val="0"/>
        <w:snapToGrid/>
        <w:spacing w:line="440" w:lineRule="exact"/>
        <w:ind w:firstLine="630" w:firstLineChars="3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2"/>
          <w:szCs w:val="24"/>
          <w:lang w:val="en-US" w:eastAsia="zh-CN" w:bidi="ar-SA"/>
          <w14:textFill>
            <w14:solidFill>
              <w14:schemeClr w14:val="tx1"/>
            </w14:solidFill>
          </w14:textFill>
        </w:rPr>
        <w:br w:type="page"/>
      </w:r>
    </w:p>
    <w:p w14:paraId="0726D13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right"/>
        <w:textAlignment w:val="baseline"/>
        <w:rPr>
          <w:rFonts w:hint="eastAsia" w:ascii="宋体" w:hAnsi="宋体" w:eastAsia="宋体" w:cs="宋体"/>
          <w:color w:val="000000" w:themeColor="text1"/>
          <w:spacing w:val="0"/>
          <w:kern w:val="0"/>
          <w:position w:val="0"/>
          <w:sz w:val="24"/>
          <w:szCs w:val="24"/>
          <w:lang w:val="en-US" w:eastAsia="zh-CN" w:bidi="ar-SA"/>
          <w14:textFill>
            <w14:solidFill>
              <w14:schemeClr w14:val="tx1"/>
            </w14:solidFill>
          </w14:textFill>
        </w:rPr>
      </w:pPr>
    </w:p>
    <w:p w14:paraId="1B05FAF8">
      <w:pPr>
        <w:keepNext w:val="0"/>
        <w:keepLines w:val="0"/>
        <w:kinsoku/>
        <w:wordWrap/>
        <w:overflowPunct/>
        <w:topLinePunct w:val="0"/>
        <w:autoSpaceDE/>
        <w:autoSpaceDN/>
        <w:bidi w:val="0"/>
        <w:adjustRightInd w:val="0"/>
        <w:snapToGrid w:val="0"/>
        <w:spacing w:line="360" w:lineRule="auto"/>
        <w:ind w:left="0" w:leftChars="0" w:right="0" w:firstLine="0" w:firstLineChars="0"/>
        <w:textAlignment w:val="auto"/>
        <w:rPr>
          <w:rFonts w:hint="eastAsia" w:ascii="宋体" w:hAnsi="宋体" w:eastAsia="宋体" w:cs="宋体"/>
          <w:b/>
          <w:snapToGrid w:val="0"/>
          <w:color w:val="000000" w:themeColor="text1"/>
          <w:spacing w:val="0"/>
          <w:sz w:val="24"/>
          <w14:textFill>
            <w14:solidFill>
              <w14:schemeClr w14:val="tx1"/>
            </w14:solidFill>
          </w14:textFill>
        </w:rPr>
      </w:pPr>
      <w:r>
        <w:rPr>
          <w:rFonts w:hint="eastAsia" w:ascii="宋体" w:hAnsi="宋体" w:eastAsia="宋体" w:cs="宋体"/>
          <w:b/>
          <w:snapToGrid w:val="0"/>
          <w:color w:val="000000" w:themeColor="text1"/>
          <w:spacing w:val="0"/>
          <w:sz w:val="24"/>
          <w14:textFill>
            <w14:solidFill>
              <w14:schemeClr w14:val="tx1"/>
            </w14:solidFill>
          </w14:textFill>
        </w:rPr>
        <w:t>投标文件封面（非实质性格式）</w:t>
      </w:r>
    </w:p>
    <w:p w14:paraId="3CE9B281">
      <w:pPr>
        <w:keepNext w:val="0"/>
        <w:keepLines w:val="0"/>
        <w:kinsoku/>
        <w:wordWrap/>
        <w:overflowPunct/>
        <w:topLinePunct w:val="0"/>
        <w:autoSpaceDE/>
        <w:autoSpaceDN/>
        <w:bidi w:val="0"/>
        <w:adjustRightInd w:val="0"/>
        <w:snapToGrid w:val="0"/>
        <w:spacing w:line="360" w:lineRule="auto"/>
        <w:ind w:left="0" w:leftChars="0" w:right="0" w:hanging="915"/>
        <w:jc w:val="center"/>
        <w:textAlignment w:val="auto"/>
        <w:rPr>
          <w:rFonts w:hint="eastAsia" w:ascii="宋体" w:hAnsi="宋体" w:eastAsia="宋体" w:cs="宋体"/>
          <w:b/>
          <w:snapToGrid w:val="0"/>
          <w:color w:val="000000" w:themeColor="text1"/>
          <w:spacing w:val="0"/>
          <w:sz w:val="84"/>
          <w:szCs w:val="84"/>
          <w14:textFill>
            <w14:solidFill>
              <w14:schemeClr w14:val="tx1"/>
            </w14:solidFill>
          </w14:textFill>
        </w:rPr>
      </w:pPr>
    </w:p>
    <w:p w14:paraId="6049058B">
      <w:pPr>
        <w:keepNext w:val="0"/>
        <w:keepLines w:val="0"/>
        <w:kinsoku/>
        <w:wordWrap/>
        <w:overflowPunct/>
        <w:topLinePunct w:val="0"/>
        <w:autoSpaceDE/>
        <w:autoSpaceDN/>
        <w:bidi w:val="0"/>
        <w:adjustRightInd w:val="0"/>
        <w:snapToGrid w:val="0"/>
        <w:spacing w:line="360" w:lineRule="auto"/>
        <w:ind w:left="0" w:leftChars="0" w:right="0" w:hanging="915"/>
        <w:jc w:val="center"/>
        <w:textAlignment w:val="auto"/>
        <w:rPr>
          <w:rFonts w:hint="eastAsia" w:ascii="宋体" w:hAnsi="宋体" w:eastAsia="宋体" w:cs="宋体"/>
          <w:b/>
          <w:snapToGrid w:val="0"/>
          <w:color w:val="000000" w:themeColor="text1"/>
          <w:spacing w:val="0"/>
          <w:sz w:val="84"/>
          <w:szCs w:val="84"/>
          <w14:textFill>
            <w14:solidFill>
              <w14:schemeClr w14:val="tx1"/>
            </w14:solidFill>
          </w14:textFill>
        </w:rPr>
      </w:pPr>
    </w:p>
    <w:p w14:paraId="60718E20">
      <w:pPr>
        <w:keepNext w:val="0"/>
        <w:keepLines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b/>
          <w:snapToGrid w:val="0"/>
          <w:color w:val="000000" w:themeColor="text1"/>
          <w:spacing w:val="0"/>
          <w:sz w:val="84"/>
          <w:szCs w:val="84"/>
          <w14:textFill>
            <w14:solidFill>
              <w14:schemeClr w14:val="tx1"/>
            </w14:solidFill>
          </w14:textFill>
        </w:rPr>
      </w:pPr>
      <w:r>
        <w:rPr>
          <w:rFonts w:hint="eastAsia" w:ascii="宋体" w:hAnsi="宋体" w:eastAsia="宋体" w:cs="宋体"/>
          <w:b/>
          <w:snapToGrid w:val="0"/>
          <w:color w:val="000000" w:themeColor="text1"/>
          <w:spacing w:val="0"/>
          <w:sz w:val="84"/>
          <w:szCs w:val="84"/>
          <w14:textFill>
            <w14:solidFill>
              <w14:schemeClr w14:val="tx1"/>
            </w14:solidFill>
          </w14:textFill>
        </w:rPr>
        <w:t>投 标 文</w:t>
      </w:r>
      <w:r>
        <w:rPr>
          <w:rFonts w:hint="eastAsia" w:ascii="宋体" w:hAnsi="宋体" w:eastAsia="宋体" w:cs="宋体"/>
          <w:b/>
          <w:snapToGrid w:val="0"/>
          <w:color w:val="000000" w:themeColor="text1"/>
          <w:spacing w:val="0"/>
          <w:sz w:val="84"/>
          <w:szCs w:val="84"/>
          <w:lang w:val="en-US" w:eastAsia="zh-CN"/>
          <w14:textFill>
            <w14:solidFill>
              <w14:schemeClr w14:val="tx1"/>
            </w14:solidFill>
          </w14:textFill>
        </w:rPr>
        <w:t xml:space="preserve"> </w:t>
      </w:r>
      <w:r>
        <w:rPr>
          <w:rFonts w:hint="eastAsia" w:ascii="宋体" w:hAnsi="宋体" w:eastAsia="宋体" w:cs="宋体"/>
          <w:b/>
          <w:snapToGrid w:val="0"/>
          <w:color w:val="000000" w:themeColor="text1"/>
          <w:spacing w:val="0"/>
          <w:sz w:val="84"/>
          <w:szCs w:val="84"/>
          <w14:textFill>
            <w14:solidFill>
              <w14:schemeClr w14:val="tx1"/>
            </w14:solidFill>
          </w14:textFill>
        </w:rPr>
        <w:t>件</w:t>
      </w:r>
    </w:p>
    <w:p w14:paraId="511038EE">
      <w:pPr>
        <w:keepNext w:val="0"/>
        <w:keepLines w:val="0"/>
        <w:kinsoku/>
        <w:wordWrap/>
        <w:overflowPunct/>
        <w:topLinePunct w:val="0"/>
        <w:autoSpaceDE/>
        <w:autoSpaceDN/>
        <w:bidi w:val="0"/>
        <w:adjustRightInd w:val="0"/>
        <w:snapToGrid w:val="0"/>
        <w:spacing w:line="360" w:lineRule="auto"/>
        <w:ind w:left="0" w:leftChars="0" w:right="0" w:hanging="915"/>
        <w:jc w:val="center"/>
        <w:textAlignment w:val="auto"/>
        <w:rPr>
          <w:rFonts w:hint="eastAsia" w:ascii="宋体" w:hAnsi="宋体" w:eastAsia="宋体" w:cs="宋体"/>
          <w:b/>
          <w:snapToGrid w:val="0"/>
          <w:color w:val="000000" w:themeColor="text1"/>
          <w:spacing w:val="0"/>
          <w:sz w:val="84"/>
          <w:szCs w:val="84"/>
          <w14:textFill>
            <w14:solidFill>
              <w14:schemeClr w14:val="tx1"/>
            </w14:solidFill>
          </w14:textFill>
        </w:rPr>
      </w:pPr>
    </w:p>
    <w:p w14:paraId="551A10D2">
      <w:pPr>
        <w:keepNext w:val="0"/>
        <w:keepLines w:val="0"/>
        <w:kinsoku/>
        <w:wordWrap/>
        <w:overflowPunct/>
        <w:topLinePunct w:val="0"/>
        <w:autoSpaceDE/>
        <w:autoSpaceDN/>
        <w:bidi w:val="0"/>
        <w:adjustRightInd w:val="0"/>
        <w:snapToGrid w:val="0"/>
        <w:spacing w:line="360" w:lineRule="auto"/>
        <w:ind w:left="0" w:leftChars="0" w:right="0" w:hanging="915"/>
        <w:jc w:val="center"/>
        <w:textAlignment w:val="auto"/>
        <w:rPr>
          <w:rFonts w:hint="eastAsia" w:ascii="宋体" w:hAnsi="宋体" w:eastAsia="宋体" w:cs="宋体"/>
          <w:b/>
          <w:snapToGrid w:val="0"/>
          <w:color w:val="000000" w:themeColor="text1"/>
          <w:spacing w:val="0"/>
          <w:sz w:val="84"/>
          <w:szCs w:val="84"/>
          <w14:textFill>
            <w14:solidFill>
              <w14:schemeClr w14:val="tx1"/>
            </w14:solidFill>
          </w14:textFill>
        </w:rPr>
      </w:pPr>
    </w:p>
    <w:p w14:paraId="641C3B89">
      <w:pPr>
        <w:pStyle w:val="8"/>
        <w:rPr>
          <w:rFonts w:hint="eastAsia" w:ascii="宋体" w:hAnsi="宋体" w:eastAsia="宋体" w:cs="宋体"/>
          <w:color w:val="000000" w:themeColor="text1"/>
          <w14:textFill>
            <w14:solidFill>
              <w14:schemeClr w14:val="tx1"/>
            </w14:solidFill>
          </w14:textFill>
        </w:rPr>
      </w:pPr>
    </w:p>
    <w:p w14:paraId="424F34E7">
      <w:pPr>
        <w:keepNext w:val="0"/>
        <w:keepLines w:val="0"/>
        <w:kinsoku/>
        <w:wordWrap/>
        <w:overflowPunct/>
        <w:topLinePunct w:val="0"/>
        <w:autoSpaceDE/>
        <w:autoSpaceDN/>
        <w:bidi w:val="0"/>
        <w:adjustRightInd w:val="0"/>
        <w:snapToGrid w:val="0"/>
        <w:spacing w:line="360" w:lineRule="auto"/>
        <w:ind w:left="0" w:leftChars="0" w:right="0" w:firstLine="1084"/>
        <w:textAlignment w:val="auto"/>
        <w:rPr>
          <w:rFonts w:hint="eastAsia" w:ascii="宋体" w:hAnsi="宋体" w:eastAsia="宋体" w:cs="宋体"/>
          <w:b/>
          <w:snapToGrid w:val="0"/>
          <w:color w:val="000000" w:themeColor="text1"/>
          <w:spacing w:val="0"/>
          <w:sz w:val="36"/>
          <w14:textFill>
            <w14:solidFill>
              <w14:schemeClr w14:val="tx1"/>
            </w14:solidFill>
          </w14:textFill>
        </w:rPr>
      </w:pPr>
      <w:r>
        <w:rPr>
          <w:rFonts w:hint="eastAsia" w:ascii="宋体" w:hAnsi="宋体" w:eastAsia="宋体" w:cs="宋体"/>
          <w:b/>
          <w:snapToGrid w:val="0"/>
          <w:color w:val="000000" w:themeColor="text1"/>
          <w:spacing w:val="0"/>
          <w:sz w:val="36"/>
          <w14:textFill>
            <w14:solidFill>
              <w14:schemeClr w14:val="tx1"/>
            </w14:solidFill>
          </w14:textFill>
        </w:rPr>
        <w:t>项 目 名 称：</w:t>
      </w:r>
    </w:p>
    <w:p w14:paraId="1FAC1285">
      <w:pPr>
        <w:keepNext w:val="0"/>
        <w:keepLines w:val="0"/>
        <w:kinsoku/>
        <w:wordWrap/>
        <w:overflowPunct/>
        <w:topLinePunct w:val="0"/>
        <w:autoSpaceDE/>
        <w:autoSpaceDN/>
        <w:bidi w:val="0"/>
        <w:adjustRightInd w:val="0"/>
        <w:snapToGrid w:val="0"/>
        <w:spacing w:line="360" w:lineRule="auto"/>
        <w:ind w:left="0" w:leftChars="0" w:right="0" w:firstLine="1084"/>
        <w:textAlignment w:val="auto"/>
        <w:rPr>
          <w:rFonts w:hint="eastAsia" w:ascii="宋体" w:hAnsi="宋体" w:eastAsia="宋体" w:cs="宋体"/>
          <w:b/>
          <w:snapToGrid w:val="0"/>
          <w:color w:val="000000" w:themeColor="text1"/>
          <w:spacing w:val="0"/>
          <w:sz w:val="36"/>
          <w:u w:val="single"/>
          <w14:textFill>
            <w14:solidFill>
              <w14:schemeClr w14:val="tx1"/>
            </w14:solidFill>
          </w14:textFill>
        </w:rPr>
      </w:pPr>
      <w:r>
        <w:rPr>
          <w:rFonts w:hint="eastAsia" w:ascii="宋体" w:hAnsi="宋体" w:eastAsia="宋体" w:cs="宋体"/>
          <w:b/>
          <w:snapToGrid w:val="0"/>
          <w:color w:val="000000" w:themeColor="text1"/>
          <w:spacing w:val="0"/>
          <w:sz w:val="36"/>
          <w14:textFill>
            <w14:solidFill>
              <w14:schemeClr w14:val="tx1"/>
            </w14:solidFill>
          </w14:textFill>
        </w:rPr>
        <w:t>项 目 编 号：</w:t>
      </w:r>
    </w:p>
    <w:p w14:paraId="171A10C1">
      <w:pPr>
        <w:keepNext w:val="0"/>
        <w:keepLines w:val="0"/>
        <w:kinsoku/>
        <w:wordWrap/>
        <w:overflowPunct/>
        <w:topLinePunct w:val="0"/>
        <w:autoSpaceDE/>
        <w:autoSpaceDN/>
        <w:bidi w:val="0"/>
        <w:adjustRightInd w:val="0"/>
        <w:snapToGrid w:val="0"/>
        <w:spacing w:line="360" w:lineRule="auto"/>
        <w:ind w:left="0" w:leftChars="0" w:right="0" w:firstLine="1084"/>
        <w:jc w:val="both"/>
        <w:textAlignment w:val="auto"/>
        <w:rPr>
          <w:rFonts w:hint="eastAsia" w:ascii="宋体" w:hAnsi="宋体" w:eastAsia="宋体" w:cs="宋体"/>
          <w:b/>
          <w:snapToGrid w:val="0"/>
          <w:color w:val="000000" w:themeColor="text1"/>
          <w:spacing w:val="0"/>
          <w:sz w:val="36"/>
          <w14:textFill>
            <w14:solidFill>
              <w14:schemeClr w14:val="tx1"/>
            </w14:solidFill>
          </w14:textFill>
        </w:rPr>
      </w:pPr>
      <w:r>
        <w:rPr>
          <w:rFonts w:hint="eastAsia" w:ascii="宋体" w:hAnsi="宋体" w:eastAsia="宋体" w:cs="宋体"/>
          <w:b/>
          <w:snapToGrid w:val="0"/>
          <w:color w:val="000000" w:themeColor="text1"/>
          <w:spacing w:val="18"/>
          <w:kern w:val="0"/>
          <w:sz w:val="36"/>
          <w:fitText w:val="2340" w:id="1937841382"/>
          <w14:textFill>
            <w14:solidFill>
              <w14:schemeClr w14:val="tx1"/>
            </w14:solidFill>
          </w14:textFill>
        </w:rPr>
        <w:t>投标人名称</w:t>
      </w:r>
      <w:r>
        <w:rPr>
          <w:rFonts w:hint="eastAsia" w:ascii="宋体" w:hAnsi="宋体" w:eastAsia="宋体" w:cs="宋体"/>
          <w:b/>
          <w:snapToGrid w:val="0"/>
          <w:color w:val="000000" w:themeColor="text1"/>
          <w:spacing w:val="0"/>
          <w:kern w:val="0"/>
          <w:sz w:val="36"/>
          <w:fitText w:val="2340" w:id="1937841382"/>
          <w14:textFill>
            <w14:solidFill>
              <w14:schemeClr w14:val="tx1"/>
            </w14:solidFill>
          </w14:textFill>
        </w:rPr>
        <w:t>：</w:t>
      </w:r>
    </w:p>
    <w:p w14:paraId="65C04B62">
      <w:pPr>
        <w:keepNext w:val="0"/>
        <w:keepLines w:val="0"/>
        <w:kinsoku/>
        <w:wordWrap/>
        <w:overflowPunct/>
        <w:topLinePunct w:val="0"/>
        <w:autoSpaceDE/>
        <w:autoSpaceDN/>
        <w:bidi w:val="0"/>
        <w:adjustRightInd w:val="0"/>
        <w:snapToGrid w:val="0"/>
        <w:spacing w:line="360" w:lineRule="auto"/>
        <w:ind w:left="0" w:leftChars="0" w:right="0" w:firstLine="1084"/>
        <w:textAlignment w:val="auto"/>
        <w:rPr>
          <w:rFonts w:hint="eastAsia" w:ascii="宋体" w:hAnsi="宋体" w:eastAsia="宋体" w:cs="宋体"/>
          <w:b/>
          <w:snapToGrid w:val="0"/>
          <w:color w:val="000000" w:themeColor="text1"/>
          <w:spacing w:val="0"/>
          <w:sz w:val="36"/>
          <w:u w:val="single"/>
          <w14:textFill>
            <w14:solidFill>
              <w14:schemeClr w14:val="tx1"/>
            </w14:solidFill>
          </w14:textFill>
        </w:rPr>
      </w:pPr>
      <w:r>
        <w:rPr>
          <w:rFonts w:hint="eastAsia" w:ascii="宋体" w:hAnsi="宋体" w:eastAsia="宋体" w:cs="宋体"/>
          <w:b/>
          <w:snapToGrid w:val="0"/>
          <w:color w:val="000000" w:themeColor="text1"/>
          <w:spacing w:val="0"/>
          <w:sz w:val="36"/>
          <w14:textFill>
            <w14:solidFill>
              <w14:schemeClr w14:val="tx1"/>
            </w14:solidFill>
          </w14:textFill>
        </w:rPr>
        <w:t>日      期 ：</w:t>
      </w:r>
    </w:p>
    <w:p w14:paraId="73AAAE08">
      <w:pPr>
        <w:keepNext w:val="0"/>
        <w:keepLines w:val="0"/>
        <w:kinsoku/>
        <w:wordWrap/>
        <w:overflowPunct/>
        <w:topLinePunct w:val="0"/>
        <w:autoSpaceDE/>
        <w:autoSpaceDN/>
        <w:bidi w:val="0"/>
        <w:adjustRightInd w:val="0"/>
        <w:snapToGrid w:val="0"/>
        <w:spacing w:line="360" w:lineRule="auto"/>
        <w:ind w:left="0" w:leftChars="0" w:right="0" w:hanging="343"/>
        <w:textAlignment w:val="auto"/>
        <w:rPr>
          <w:rFonts w:hint="eastAsia" w:ascii="宋体" w:hAnsi="宋体" w:eastAsia="宋体" w:cs="宋体"/>
          <w:b/>
          <w:snapToGrid w:val="0"/>
          <w:color w:val="000000" w:themeColor="text1"/>
          <w:spacing w:val="0"/>
          <w:sz w:val="36"/>
          <w14:textFill>
            <w14:solidFill>
              <w14:schemeClr w14:val="tx1"/>
            </w14:solidFill>
          </w14:textFill>
        </w:rPr>
        <w:sectPr>
          <w:headerReference r:id="rId9" w:type="default"/>
          <w:footerReference r:id="rId10" w:type="default"/>
          <w:pgSz w:w="11906" w:h="16838"/>
          <w:pgMar w:top="1440" w:right="1800" w:bottom="1440" w:left="1800" w:header="851" w:footer="992" w:gutter="0"/>
          <w:pgNumType w:fmt="decimal"/>
          <w:cols w:space="425" w:num="1"/>
          <w:docGrid w:linePitch="360" w:charSpace="0"/>
        </w:sectPr>
      </w:pPr>
    </w:p>
    <w:p w14:paraId="3A789078">
      <w:pPr>
        <w:keepNext w:val="0"/>
        <w:keepLines w:val="0"/>
        <w:kinsoku/>
        <w:wordWrap/>
        <w:overflowPunct/>
        <w:topLinePunct w:val="0"/>
        <w:autoSpaceDE/>
        <w:autoSpaceDN/>
        <w:bidi w:val="0"/>
        <w:adjustRightInd w:val="0"/>
        <w:snapToGrid w:val="0"/>
        <w:spacing w:line="360" w:lineRule="auto"/>
        <w:ind w:left="0" w:leftChars="0" w:right="0" w:hanging="267"/>
        <w:textAlignment w:val="auto"/>
        <w:outlineLvl w:val="2"/>
        <w:rPr>
          <w:rFonts w:hint="eastAsia" w:ascii="宋体" w:hAnsi="宋体" w:eastAsia="宋体" w:cs="宋体"/>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一、资格证明文件</w:t>
      </w:r>
    </w:p>
    <w:p w14:paraId="30A66698">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 xml:space="preserve">1 </w:t>
      </w:r>
      <w:r>
        <w:rPr>
          <w:rFonts w:hint="eastAsia" w:ascii="宋体" w:hAnsi="宋体" w:eastAsia="宋体" w:cs="宋体"/>
          <w:snapToGrid w:val="0"/>
          <w:color w:val="000000" w:themeColor="text1"/>
          <w:spacing w:val="0"/>
          <w:sz w:val="24"/>
          <w14:textFill>
            <w14:solidFill>
              <w14:schemeClr w14:val="tx1"/>
            </w14:solidFill>
          </w14:textFill>
        </w:rPr>
        <w:t>满足《中华人民共和国政府采购法》第二十二条规定及法律法规的其他规定</w:t>
      </w:r>
    </w:p>
    <w:p w14:paraId="4A070252">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1-1投标人</w:t>
      </w:r>
      <w:r>
        <w:rPr>
          <w:rFonts w:hint="eastAsia" w:ascii="宋体" w:hAnsi="宋体" w:eastAsia="宋体" w:cs="宋体"/>
          <w:snapToGrid w:val="0"/>
          <w:color w:val="000000" w:themeColor="text1"/>
          <w:spacing w:val="0"/>
          <w:sz w:val="24"/>
          <w14:textFill>
            <w14:solidFill>
              <w14:schemeClr w14:val="tx1"/>
            </w14:solidFill>
          </w14:textFill>
        </w:rPr>
        <w:t>资格</w:t>
      </w:r>
      <w:r>
        <w:rPr>
          <w:rFonts w:hint="eastAsia" w:ascii="宋体" w:hAnsi="宋体" w:eastAsia="宋体" w:cs="宋体"/>
          <w:bCs/>
          <w:snapToGrid w:val="0"/>
          <w:color w:val="000000" w:themeColor="text1"/>
          <w:spacing w:val="0"/>
          <w:sz w:val="24"/>
          <w14:textFill>
            <w14:solidFill>
              <w14:schemeClr w14:val="tx1"/>
            </w14:solidFill>
          </w14:textFill>
        </w:rPr>
        <w:t>声明函（实质性格式）</w:t>
      </w:r>
    </w:p>
    <w:p w14:paraId="07E38CC8">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投标人资格声明函</w:t>
      </w:r>
    </w:p>
    <w:p w14:paraId="0C3E25ED">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lang w:eastAsia="zh-CN"/>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致：</w:t>
      </w:r>
      <w:r>
        <w:rPr>
          <w:rFonts w:hint="eastAsia" w:ascii="宋体" w:hAnsi="宋体" w:eastAsia="宋体" w:cs="宋体"/>
          <w:bCs/>
          <w:snapToGrid w:val="0"/>
          <w:color w:val="000000" w:themeColor="text1"/>
          <w:spacing w:val="0"/>
          <w:sz w:val="24"/>
          <w:lang w:eastAsia="zh-CN"/>
          <w14:textFill>
            <w14:solidFill>
              <w14:schemeClr w14:val="tx1"/>
            </w14:solidFill>
          </w14:textFill>
        </w:rPr>
        <w:t>常州市金坛区残疾人联合会</w:t>
      </w:r>
    </w:p>
    <w:p w14:paraId="4825CA36">
      <w:pPr>
        <w:keepNext w:val="0"/>
        <w:keepLines w:val="0"/>
        <w:kinsoku/>
        <w:wordWrap/>
        <w:overflowPunct/>
        <w:topLinePunct w:val="0"/>
        <w:autoSpaceDE/>
        <w:autoSpaceDN/>
        <w:bidi w:val="0"/>
        <w:adjustRightInd w:val="0"/>
        <w:snapToGrid w:val="0"/>
        <w:spacing w:line="360" w:lineRule="auto"/>
        <w:ind w:left="479" w:leftChars="228" w:right="0" w:firstLine="460" w:firstLineChars="192"/>
        <w:contextualSpacing/>
        <w:textAlignment w:val="auto"/>
        <w:rPr>
          <w:rFonts w:hint="eastAsia" w:ascii="宋体" w:hAnsi="宋体" w:eastAsia="宋体" w:cs="宋体"/>
          <w:bCs/>
          <w:snapToGrid w:val="0"/>
          <w:color w:val="000000" w:themeColor="text1"/>
          <w:spacing w:val="0"/>
          <w:sz w:val="24"/>
          <w:lang w:eastAsia="zh-CN"/>
          <w14:textFill>
            <w14:solidFill>
              <w14:schemeClr w14:val="tx1"/>
            </w14:solidFill>
          </w14:textFill>
        </w:rPr>
      </w:pPr>
      <w:r>
        <w:rPr>
          <w:rFonts w:hint="eastAsia" w:ascii="宋体" w:hAnsi="宋体" w:eastAsia="宋体" w:cs="宋体"/>
          <w:bCs/>
          <w:snapToGrid w:val="0"/>
          <w:color w:val="000000" w:themeColor="text1"/>
          <w:spacing w:val="0"/>
          <w:sz w:val="24"/>
          <w:lang w:eastAsia="zh-CN"/>
          <w14:textFill>
            <w14:solidFill>
              <w14:schemeClr w14:val="tx1"/>
            </w14:solidFill>
          </w14:textFill>
        </w:rPr>
        <w:t>江苏嘉丰工程咨询有限公司</w:t>
      </w:r>
    </w:p>
    <w:p w14:paraId="586E58B7">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按照《中华人民共和国政府采购法》第二十二条和招标文件的规定，我单位郑重声明如下：</w:t>
      </w:r>
    </w:p>
    <w:p w14:paraId="029BAA83">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一、我单位是按照中华人民共和国法律规定登记注册的，注册地点为</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r>
        <w:rPr>
          <w:rFonts w:hint="eastAsia" w:ascii="宋体" w:hAnsi="宋体" w:eastAsia="宋体" w:cs="宋体"/>
          <w:bCs/>
          <w:snapToGrid w:val="0"/>
          <w:color w:val="000000" w:themeColor="text1"/>
          <w:spacing w:val="0"/>
          <w:sz w:val="24"/>
          <w14:textFill>
            <w14:solidFill>
              <w14:schemeClr w14:val="tx1"/>
            </w14:solidFill>
          </w14:textFill>
        </w:rPr>
        <w:t>，全称为</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r>
        <w:rPr>
          <w:rFonts w:hint="eastAsia" w:ascii="宋体" w:hAnsi="宋体" w:eastAsia="宋体" w:cs="宋体"/>
          <w:bCs/>
          <w:snapToGrid w:val="0"/>
          <w:color w:val="000000" w:themeColor="text1"/>
          <w:spacing w:val="0"/>
          <w:sz w:val="24"/>
          <w14:textFill>
            <w14:solidFill>
              <w14:schemeClr w14:val="tx1"/>
            </w14:solidFill>
          </w14:textFill>
        </w:rPr>
        <w:t>，统一社会信用代码为</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r>
        <w:rPr>
          <w:rFonts w:hint="eastAsia" w:ascii="宋体" w:hAnsi="宋体" w:eastAsia="宋体" w:cs="宋体"/>
          <w:bCs/>
          <w:snapToGrid w:val="0"/>
          <w:color w:val="000000" w:themeColor="text1"/>
          <w:spacing w:val="0"/>
          <w:sz w:val="24"/>
          <w14:textFill>
            <w14:solidFill>
              <w14:schemeClr w14:val="tx1"/>
            </w14:solidFill>
          </w14:textFill>
        </w:rPr>
        <w:t>，法定代表人（单位负责人）为</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r>
        <w:rPr>
          <w:rFonts w:hint="eastAsia" w:ascii="宋体" w:hAnsi="宋体" w:eastAsia="宋体" w:cs="宋体"/>
          <w:bCs/>
          <w:snapToGrid w:val="0"/>
          <w:color w:val="000000" w:themeColor="text1"/>
          <w:spacing w:val="0"/>
          <w:sz w:val="24"/>
          <w14:textFill>
            <w14:solidFill>
              <w14:schemeClr w14:val="tx1"/>
            </w14:solidFill>
          </w14:textFill>
        </w:rPr>
        <w:t>，具有独立承担民事责任的能力。</w:t>
      </w:r>
    </w:p>
    <w:p w14:paraId="6399D581">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二、我单位具有良好的商业信誉（指投标人经营状况良好，无本资格声明第十条情形）和健全的财务会计制度。</w:t>
      </w:r>
    </w:p>
    <w:p w14:paraId="040BAF4A">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三、我单位依法进行纳税和社会保险申报并实际履行了义务。</w:t>
      </w:r>
    </w:p>
    <w:p w14:paraId="04063AEF">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四、我单位具有履行本项目采购合同所必需的设备和专业技术能力，并具有履行合同的良好记录。为履行本项采购合同我单位具备如下主要设备和主要专业技术能力:</w:t>
      </w:r>
    </w:p>
    <w:p w14:paraId="4054AA41">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主要设备有：</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p>
    <w:p w14:paraId="3F12B248">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主要专业技术能力有：</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p>
    <w:p w14:paraId="61B5C9D7">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p>
    <w:p w14:paraId="0DAA69DD">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六、我单位具备法律、行政法规规定的其他条件。</w:t>
      </w:r>
    </w:p>
    <w:p w14:paraId="296617F7">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七、与我单位存在“单位负责人为同一人或者存在直接控股、管理关系”的其他单位信息如下（如无此情形的，填写“无”）：</w:t>
      </w:r>
    </w:p>
    <w:p w14:paraId="7417EA56">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u w:val="single"/>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1、与我单位的法定代表人（单位负责人）为同一人的其他单位如下：</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p>
    <w:p w14:paraId="43B2E649">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2、我单位直接控股的其他单位如下：</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p>
    <w:p w14:paraId="0E3DEECA">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3、与我单位存在管理关系的其他单位如下：</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p>
    <w:p w14:paraId="3CA794E2">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八、我单位不属于为本项目提供整体设计、规范编制或者项目管理、监理、检测等服务的投标人。</w:t>
      </w:r>
    </w:p>
    <w:p w14:paraId="16BCBE26">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九、我单位无以下不良信用记录情形：</w:t>
      </w:r>
    </w:p>
    <w:p w14:paraId="33FE1172">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1、在“信用中国”网站被列入失信被执行人和重大税收违法案件当事人名单；</w:t>
      </w:r>
    </w:p>
    <w:p w14:paraId="2A7C71CE">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2、在“中国政府采购网”网站被列入政府采购严重违法失信行为记录名单；</w:t>
      </w:r>
    </w:p>
    <w:p w14:paraId="2CD9AACF">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3、不符合《政府采购法》第二十二条规定的条件。</w:t>
      </w:r>
    </w:p>
    <w:p w14:paraId="64A7CB67">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68E69EFC">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我单位保证上述声明的事项都是真实的，如有虚假，我单位愿意承担相应的法律责任，并承担因此所造成的一切损失</w:t>
      </w:r>
    </w:p>
    <w:p w14:paraId="2CE11656">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440424B1">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4B097D01">
      <w:pPr>
        <w:keepNext w:val="0"/>
        <w:keepLines w:val="0"/>
        <w:kinsoku/>
        <w:wordWrap/>
        <w:overflowPunct/>
        <w:topLinePunct w:val="0"/>
        <w:autoSpaceDE/>
        <w:autoSpaceDN/>
        <w:bidi w:val="0"/>
        <w:adjustRightInd w:val="0"/>
        <w:snapToGrid w:val="0"/>
        <w:spacing w:line="360" w:lineRule="auto"/>
        <w:ind w:left="0" w:leftChars="0" w:right="0" w:firstLine="480"/>
        <w:contextualSpacing/>
        <w:jc w:val="left"/>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投标人：（加盖公章）</w:t>
      </w:r>
    </w:p>
    <w:p w14:paraId="5FD2F6C5">
      <w:pPr>
        <w:keepNext w:val="0"/>
        <w:keepLines w:val="0"/>
        <w:kinsoku/>
        <w:wordWrap/>
        <w:overflowPunct/>
        <w:topLinePunct w:val="0"/>
        <w:autoSpaceDE/>
        <w:autoSpaceDN/>
        <w:bidi w:val="0"/>
        <w:adjustRightInd w:val="0"/>
        <w:snapToGrid w:val="0"/>
        <w:spacing w:line="360" w:lineRule="auto"/>
        <w:ind w:left="0" w:leftChars="0" w:right="0" w:firstLine="480"/>
        <w:contextualSpacing/>
        <w:jc w:val="left"/>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法定代表人（或单位负责人）签字或盖章：</w:t>
      </w:r>
    </w:p>
    <w:p w14:paraId="3C46E61B">
      <w:pPr>
        <w:keepNext w:val="0"/>
        <w:keepLines w:val="0"/>
        <w:kinsoku/>
        <w:wordWrap/>
        <w:overflowPunct/>
        <w:topLinePunct w:val="0"/>
        <w:autoSpaceDE/>
        <w:autoSpaceDN/>
        <w:bidi w:val="0"/>
        <w:adjustRightInd w:val="0"/>
        <w:snapToGrid w:val="0"/>
        <w:spacing w:line="360" w:lineRule="auto"/>
        <w:ind w:left="0" w:leftChars="0" w:right="0" w:firstLine="480"/>
        <w:contextualSpacing/>
        <w:jc w:val="left"/>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日期：    年    月    日</w:t>
      </w:r>
    </w:p>
    <w:p w14:paraId="36D5FF98">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53EF9993">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r>
        <w:rPr>
          <w:rFonts w:hint="eastAsia" w:ascii="宋体" w:hAnsi="宋体" w:eastAsia="宋体" w:cs="宋体"/>
          <w:bCs/>
          <w:snapToGrid w:val="0"/>
          <w:color w:val="000000" w:themeColor="text1"/>
          <w:spacing w:val="0"/>
          <w:sz w:val="24"/>
          <w14:textFill>
            <w14:solidFill>
              <w14:schemeClr w14:val="tx1"/>
            </w14:solidFill>
          </w14:textFill>
        </w:rPr>
        <w:t>说明：投标人承诺不实的，依据《政府采购法》第七十七条“提供虚假材料谋取中标、成交的”有关规定予以处理。</w:t>
      </w:r>
    </w:p>
    <w:p w14:paraId="2CA68A4D">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 xml:space="preserve">1-2 </w:t>
      </w:r>
      <w:r>
        <w:rPr>
          <w:rFonts w:hint="eastAsia" w:ascii="宋体" w:hAnsi="宋体" w:eastAsia="宋体" w:cs="宋体"/>
          <w:snapToGrid w:val="0"/>
          <w:color w:val="000000" w:themeColor="text1"/>
          <w:spacing w:val="0"/>
          <w:sz w:val="24"/>
          <w14:textFill>
            <w14:solidFill>
              <w14:schemeClr w14:val="tx1"/>
            </w14:solidFill>
          </w14:textFill>
        </w:rPr>
        <w:t>营业执照</w:t>
      </w:r>
      <w:r>
        <w:rPr>
          <w:rFonts w:hint="eastAsia" w:ascii="宋体" w:hAnsi="宋体" w:eastAsia="宋体" w:cs="宋体"/>
          <w:snapToGrid w:val="0"/>
          <w:color w:val="000000" w:themeColor="text1"/>
          <w:spacing w:val="0"/>
          <w:sz w:val="24"/>
          <w:szCs w:val="20"/>
          <w14:textFill>
            <w14:solidFill>
              <w14:schemeClr w14:val="tx1"/>
            </w14:solidFill>
          </w14:textFill>
        </w:rPr>
        <w:t>（实质性格式）</w:t>
      </w:r>
    </w:p>
    <w:p w14:paraId="3FDC0C2D">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投标人为法人或者其他组织的营业执照等证明文件</w:t>
      </w:r>
      <w:r>
        <w:rPr>
          <w:rFonts w:hint="eastAsia" w:ascii="宋体" w:hAnsi="宋体" w:eastAsia="宋体" w:cs="宋体"/>
          <w:snapToGrid w:val="0"/>
          <w:color w:val="000000" w:themeColor="text1"/>
          <w:spacing w:val="0"/>
          <w:sz w:val="24"/>
          <w14:textFill>
            <w14:solidFill>
              <w14:schemeClr w14:val="tx1"/>
            </w14:solidFill>
          </w14:textFill>
        </w:rPr>
        <w:t>扫描件</w:t>
      </w:r>
      <w:r>
        <w:rPr>
          <w:rFonts w:hint="eastAsia" w:ascii="宋体" w:hAnsi="宋体" w:eastAsia="宋体" w:cs="宋体"/>
          <w:bCs/>
          <w:snapToGrid w:val="0"/>
          <w:color w:val="000000" w:themeColor="text1"/>
          <w:spacing w:val="0"/>
          <w:sz w:val="24"/>
          <w14:textFill>
            <w14:solidFill>
              <w14:schemeClr w14:val="tx1"/>
            </w14:solidFill>
          </w14:textFill>
        </w:rPr>
        <w:t>加盖公章，投标人为自然人提供营业执照（如有）及身份证明</w:t>
      </w:r>
      <w:r>
        <w:rPr>
          <w:rFonts w:hint="eastAsia" w:ascii="宋体" w:hAnsi="宋体" w:eastAsia="宋体" w:cs="宋体"/>
          <w:snapToGrid w:val="0"/>
          <w:color w:val="000000" w:themeColor="text1"/>
          <w:spacing w:val="0"/>
          <w:sz w:val="24"/>
          <w14:textFill>
            <w14:solidFill>
              <w14:schemeClr w14:val="tx1"/>
            </w14:solidFill>
          </w14:textFill>
        </w:rPr>
        <w:t>扫描件</w:t>
      </w:r>
      <w:r>
        <w:rPr>
          <w:rFonts w:hint="eastAsia" w:ascii="宋体" w:hAnsi="宋体" w:eastAsia="宋体" w:cs="宋体"/>
          <w:bCs/>
          <w:snapToGrid w:val="0"/>
          <w:color w:val="000000" w:themeColor="text1"/>
          <w:spacing w:val="0"/>
          <w:sz w:val="24"/>
          <w14:textFill>
            <w14:solidFill>
              <w14:schemeClr w14:val="tx1"/>
            </w14:solidFill>
          </w14:textFill>
        </w:rPr>
        <w:t>加盖公章（双面）。</w:t>
      </w:r>
    </w:p>
    <w:p w14:paraId="393EA66A">
      <w:pPr>
        <w:keepNext w:val="0"/>
        <w:keepLines w:val="0"/>
        <w:kinsoku/>
        <w:wordWrap/>
        <w:overflowPunct/>
        <w:topLinePunct w:val="0"/>
        <w:autoSpaceDE/>
        <w:autoSpaceDN/>
        <w:bidi w:val="0"/>
        <w:adjustRightInd w:val="0"/>
        <w:snapToGrid w:val="0"/>
        <w:spacing w:line="360" w:lineRule="auto"/>
        <w:ind w:left="0" w:leftChars="0" w:right="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575DE74E">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 xml:space="preserve">2 </w:t>
      </w:r>
      <w:r>
        <w:rPr>
          <w:rFonts w:hint="eastAsia" w:ascii="宋体" w:hAnsi="宋体" w:eastAsia="宋体" w:cs="宋体"/>
          <w:snapToGrid w:val="0"/>
          <w:color w:val="000000" w:themeColor="text1"/>
          <w:spacing w:val="0"/>
          <w:sz w:val="24"/>
          <w14:textFill>
            <w14:solidFill>
              <w14:schemeClr w14:val="tx1"/>
            </w14:solidFill>
          </w14:textFill>
        </w:rPr>
        <w:t>落实政府采购政策需满足的资格要求</w:t>
      </w:r>
    </w:p>
    <w:p w14:paraId="7BCF589E">
      <w:pPr>
        <w:pStyle w:val="8"/>
        <w:keepNext w:val="0"/>
        <w:keepLines w:val="0"/>
        <w:kinsoku/>
        <w:wordWrap/>
        <w:overflowPunct/>
        <w:topLinePunct w:val="0"/>
        <w:autoSpaceDE/>
        <w:autoSpaceDN/>
        <w:bidi w:val="0"/>
        <w:adjustRightInd w:val="0"/>
        <w:snapToGrid w:val="0"/>
        <w:spacing w:before="0" w:line="360" w:lineRule="auto"/>
        <w:ind w:left="0" w:leftChars="0" w:right="0"/>
        <w:textAlignment w:val="auto"/>
        <w:rPr>
          <w:rFonts w:hint="eastAsia" w:ascii="宋体" w:hAnsi="宋体" w:eastAsia="宋体" w:cs="宋体"/>
          <w:snapToGrid w:val="0"/>
          <w:color w:val="000000" w:themeColor="text1"/>
          <w:spacing w:val="0"/>
          <w14:textFill>
            <w14:solidFill>
              <w14:schemeClr w14:val="tx1"/>
            </w14:solidFill>
          </w14:textFill>
        </w:rPr>
      </w:pPr>
      <w:r>
        <w:rPr>
          <w:rFonts w:hint="eastAsia" w:ascii="宋体" w:hAnsi="宋体" w:eastAsia="宋体" w:cs="宋体"/>
          <w:snapToGrid w:val="0"/>
          <w:color w:val="000000" w:themeColor="text1"/>
          <w:spacing w:val="0"/>
          <w14:textFill>
            <w14:solidFill>
              <w14:schemeClr w14:val="tx1"/>
            </w14:solidFill>
          </w14:textFill>
        </w:rPr>
        <w:t>2-1中小企业声明函</w:t>
      </w:r>
    </w:p>
    <w:p w14:paraId="1546312D">
      <w:pPr>
        <w:keepNext w:val="0"/>
        <w:keepLines w:val="0"/>
        <w:tabs>
          <w:tab w:val="left" w:pos="5580"/>
        </w:tabs>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说明：</w:t>
      </w:r>
    </w:p>
    <w:p w14:paraId="6606E980">
      <w:pPr>
        <w:keepNext w:val="0"/>
        <w:keepLines w:val="0"/>
        <w:tabs>
          <w:tab w:val="left" w:pos="5580"/>
        </w:tabs>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p>
    <w:p w14:paraId="471ECF43">
      <w:pPr>
        <w:keepNext w:val="0"/>
        <w:keepLines w:val="0"/>
        <w:tabs>
          <w:tab w:val="left" w:pos="5580"/>
        </w:tabs>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2）对于联合体中由中小企业承担的部分，或者分包给中小企业的部分，必须全部由中小企业制造、承建或者承接。投标人应当在声明函“项目名称”部分标明联合体中中小企业承担的具体内容或者中小企业的具体分包内容。</w:t>
      </w:r>
    </w:p>
    <w:p w14:paraId="1D7B6DD8">
      <w:pPr>
        <w:keepNext w:val="0"/>
        <w:keepLines w:val="0"/>
        <w:tabs>
          <w:tab w:val="left" w:pos="5580"/>
        </w:tabs>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3）对于多标的的采购项目，投标人应充分、准确地了解所投产品制造企业信息。对相关情况了解不清楚的，不建议填报本声明函。</w:t>
      </w:r>
    </w:p>
    <w:p w14:paraId="39E7C6F1">
      <w:pPr>
        <w:keepNext w:val="0"/>
        <w:keepLines w:val="0"/>
        <w:tabs>
          <w:tab w:val="left" w:pos="5580"/>
        </w:tabs>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4）中小企业认定标准以《关于印发中小企业划型标准规定的通知》（工信部联企业〔2011〕300号）文件规定为准。</w:t>
      </w:r>
    </w:p>
    <w:p w14:paraId="1E1234F8">
      <w:pPr>
        <w:keepNext w:val="0"/>
        <w:keepLines w:val="0"/>
        <w:tabs>
          <w:tab w:val="left" w:pos="5580"/>
        </w:tabs>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202.106.120.146/baosong/appweb/orgScale.html）</w:t>
      </w:r>
    </w:p>
    <w:p w14:paraId="1D81AA7B">
      <w:pPr>
        <w:keepNext w:val="0"/>
        <w:keepLines w:val="0"/>
        <w:tabs>
          <w:tab w:val="left" w:pos="5580"/>
        </w:tabs>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b/>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6）</w:t>
      </w:r>
      <w:r>
        <w:rPr>
          <w:rFonts w:hint="eastAsia" w:ascii="宋体" w:hAnsi="宋体" w:eastAsia="宋体" w:cs="宋体"/>
          <w:b/>
          <w:snapToGrid w:val="0"/>
          <w:color w:val="000000" w:themeColor="text1"/>
          <w:spacing w:val="0"/>
          <w:sz w:val="24"/>
          <w14:textFill>
            <w14:solidFill>
              <w14:schemeClr w14:val="tx1"/>
            </w14:solidFill>
          </w14:textFill>
        </w:rPr>
        <w:t>在货物采购项目中，投标人提供的货物既有中型企业制造货物，也有小微企业制造货物的，不享受小微企业扶持政策，不予价格扣除。</w:t>
      </w:r>
    </w:p>
    <w:p w14:paraId="59CF42FC">
      <w:pPr>
        <w:keepNext w:val="0"/>
        <w:keepLines w:val="0"/>
        <w:kinsoku/>
        <w:wordWrap/>
        <w:overflowPunct/>
        <w:topLinePunct w:val="0"/>
        <w:autoSpaceDE/>
        <w:autoSpaceDN/>
        <w:bidi w:val="0"/>
        <w:adjustRightInd w:val="0"/>
        <w:snapToGrid w:val="0"/>
        <w:spacing w:line="360" w:lineRule="auto"/>
        <w:ind w:left="0" w:leftChars="0" w:right="0" w:firstLine="482"/>
        <w:contextualSpacing/>
        <w:textAlignment w:val="auto"/>
        <w:rPr>
          <w:rFonts w:hint="eastAsia" w:ascii="宋体" w:hAnsi="宋体" w:eastAsia="宋体" w:cs="宋体"/>
          <w:b/>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r>
        <w:rPr>
          <w:rFonts w:hint="eastAsia" w:ascii="宋体" w:hAnsi="宋体" w:eastAsia="宋体" w:cs="宋体"/>
          <w:b/>
          <w:snapToGrid w:val="0"/>
          <w:color w:val="000000" w:themeColor="text1"/>
          <w:spacing w:val="0"/>
          <w:sz w:val="24"/>
          <w14:textFill>
            <w14:solidFill>
              <w14:schemeClr w14:val="tx1"/>
            </w14:solidFill>
          </w14:textFill>
        </w:rPr>
        <w:t>7）小微企业未提供声明函的，价格分评审将不予价格扣除。</w:t>
      </w:r>
    </w:p>
    <w:p w14:paraId="57E7BD56">
      <w:pPr>
        <w:keepNext w:val="0"/>
        <w:keepLines w:val="0"/>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b/>
          <w:bCs/>
          <w:snapToGrid w:val="0"/>
          <w:color w:val="000000" w:themeColor="text1"/>
          <w:spacing w:val="0"/>
          <w:sz w:val="36"/>
          <w:szCs w:val="36"/>
          <w14:textFill>
            <w14:solidFill>
              <w14:schemeClr w14:val="tx1"/>
            </w14:solidFill>
          </w14:textFill>
        </w:rPr>
      </w:pPr>
      <w:r>
        <w:rPr>
          <w:rFonts w:hint="eastAsia" w:ascii="宋体" w:hAnsi="宋体" w:eastAsia="宋体" w:cs="宋体"/>
          <w:b/>
          <w:bCs/>
          <w:snapToGrid w:val="0"/>
          <w:color w:val="000000" w:themeColor="text1"/>
          <w:spacing w:val="0"/>
          <w:sz w:val="36"/>
          <w:szCs w:val="36"/>
          <w14:textFill>
            <w14:solidFill>
              <w14:schemeClr w14:val="tx1"/>
            </w14:solidFill>
          </w14:textFill>
        </w:rPr>
        <w:t>中小企业声明函（工程、服务）格式</w:t>
      </w:r>
    </w:p>
    <w:p w14:paraId="60E42E7D">
      <w:pPr>
        <w:keepNext w:val="0"/>
        <w:keepLines w:val="0"/>
        <w:kinsoku/>
        <w:wordWrap/>
        <w:overflowPunct/>
        <w:topLinePunct w:val="0"/>
        <w:autoSpaceDE/>
        <w:autoSpaceDN/>
        <w:bidi w:val="0"/>
        <w:adjustRightInd w:val="0"/>
        <w:snapToGrid w:val="0"/>
        <w:spacing w:line="360" w:lineRule="auto"/>
        <w:ind w:left="0" w:leftChars="0" w:right="0" w:firstLine="504"/>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0FD802D">
      <w:pPr>
        <w:keepNext w:val="0"/>
        <w:keepLines w:val="0"/>
        <w:kinsoku/>
        <w:wordWrap/>
        <w:overflowPunct/>
        <w:topLinePunct w:val="0"/>
        <w:autoSpaceDE/>
        <w:autoSpaceDN/>
        <w:bidi w:val="0"/>
        <w:adjustRightInd w:val="0"/>
        <w:snapToGrid w:val="0"/>
        <w:spacing w:line="360" w:lineRule="auto"/>
        <w:ind w:left="0" w:leftChars="0" w:right="0" w:firstLine="504"/>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1.</w:t>
      </w:r>
      <w:r>
        <w:rPr>
          <w:rFonts w:hint="eastAsia" w:ascii="宋体" w:hAnsi="宋体" w:eastAsia="宋体" w:cs="宋体"/>
          <w:snapToGrid w:val="0"/>
          <w:color w:val="000000" w:themeColor="text1"/>
          <w:spacing w:val="0"/>
          <w:sz w:val="24"/>
          <w:u w:val="single"/>
          <w14:textFill>
            <w14:solidFill>
              <w14:schemeClr w14:val="tx1"/>
            </w14:solidFill>
          </w14:textFill>
        </w:rPr>
        <w:t>（标的名称）</w:t>
      </w:r>
      <w:r>
        <w:rPr>
          <w:rFonts w:hint="eastAsia" w:ascii="宋体" w:hAnsi="宋体" w:eastAsia="宋体" w:cs="宋体"/>
          <w:snapToGrid w:val="0"/>
          <w:color w:val="000000" w:themeColor="text1"/>
          <w:spacing w:val="0"/>
          <w:sz w:val="24"/>
          <w14:textFill>
            <w14:solidFill>
              <w14:schemeClr w14:val="tx1"/>
            </w14:solidFill>
          </w14:textFill>
        </w:rPr>
        <w:t>，属于</w:t>
      </w:r>
      <w:r>
        <w:rPr>
          <w:rFonts w:hint="eastAsia" w:ascii="宋体" w:hAnsi="宋体" w:eastAsia="宋体" w:cs="宋体"/>
          <w:snapToGrid w:val="0"/>
          <w:color w:val="000000" w:themeColor="text1"/>
          <w:spacing w:val="0"/>
          <w:sz w:val="24"/>
          <w:u w:val="single"/>
          <w14:textFill>
            <w14:solidFill>
              <w14:schemeClr w14:val="tx1"/>
            </w14:solidFill>
          </w14:textFill>
        </w:rPr>
        <w:t>（采购文件中明确的所属行业）</w:t>
      </w:r>
      <w:r>
        <w:rPr>
          <w:rFonts w:hint="eastAsia" w:ascii="宋体" w:hAnsi="宋体" w:eastAsia="宋体" w:cs="宋体"/>
          <w:snapToGrid w:val="0"/>
          <w:color w:val="000000" w:themeColor="text1"/>
          <w:spacing w:val="0"/>
          <w:sz w:val="24"/>
          <w14:textFill>
            <w14:solidFill>
              <w14:schemeClr w14:val="tx1"/>
            </w14:solidFill>
          </w14:textFill>
        </w:rPr>
        <w:t>行业；承建（承接）企业为</w:t>
      </w:r>
      <w:r>
        <w:rPr>
          <w:rFonts w:hint="eastAsia" w:ascii="宋体" w:hAnsi="宋体" w:eastAsia="宋体" w:cs="宋体"/>
          <w:snapToGrid w:val="0"/>
          <w:color w:val="000000" w:themeColor="text1"/>
          <w:spacing w:val="0"/>
          <w:sz w:val="24"/>
          <w:u w:val="single"/>
          <w14:textFill>
            <w14:solidFill>
              <w14:schemeClr w14:val="tx1"/>
            </w14:solidFill>
          </w14:textFill>
        </w:rPr>
        <w:t>（企业名称）</w:t>
      </w:r>
      <w:r>
        <w:rPr>
          <w:rFonts w:hint="eastAsia" w:ascii="宋体" w:hAnsi="宋体" w:eastAsia="宋体" w:cs="宋体"/>
          <w:snapToGrid w:val="0"/>
          <w:color w:val="000000" w:themeColor="text1"/>
          <w:spacing w:val="0"/>
          <w:sz w:val="24"/>
          <w14:textFill>
            <w14:solidFill>
              <w14:schemeClr w14:val="tx1"/>
            </w14:solidFill>
          </w14:textFill>
        </w:rPr>
        <w:t>，从业人员______人，营业收入为______万元，资产总额为______万元</w:t>
      </w:r>
      <w:r>
        <w:rPr>
          <w:rFonts w:hint="eastAsia" w:ascii="宋体" w:hAnsi="宋体" w:eastAsia="宋体" w:cs="宋体"/>
          <w:snapToGrid w:val="0"/>
          <w:color w:val="000000" w:themeColor="text1"/>
          <w:spacing w:val="0"/>
          <w:sz w:val="24"/>
          <w:vertAlign w:val="superscript"/>
          <w14:textFill>
            <w14:solidFill>
              <w14:schemeClr w14:val="tx1"/>
            </w14:solidFill>
          </w14:textFill>
        </w:rPr>
        <w:t>1</w:t>
      </w:r>
      <w:r>
        <w:rPr>
          <w:rFonts w:hint="eastAsia" w:ascii="宋体" w:hAnsi="宋体" w:eastAsia="宋体" w:cs="宋体"/>
          <w:snapToGrid w:val="0"/>
          <w:color w:val="000000" w:themeColor="text1"/>
          <w:spacing w:val="0"/>
          <w:sz w:val="24"/>
          <w14:textFill>
            <w14:solidFill>
              <w14:schemeClr w14:val="tx1"/>
            </w14:solidFill>
          </w14:textFill>
        </w:rPr>
        <w:t>，属于（中型企业、小型企业、微型企业）；</w:t>
      </w:r>
    </w:p>
    <w:p w14:paraId="390635DE">
      <w:pPr>
        <w:keepNext w:val="0"/>
        <w:keepLines w:val="0"/>
        <w:kinsoku/>
        <w:wordWrap/>
        <w:overflowPunct/>
        <w:topLinePunct w:val="0"/>
        <w:autoSpaceDE/>
        <w:autoSpaceDN/>
        <w:bidi w:val="0"/>
        <w:adjustRightInd w:val="0"/>
        <w:snapToGrid w:val="0"/>
        <w:spacing w:line="360" w:lineRule="auto"/>
        <w:ind w:left="0" w:leftChars="0" w:right="0" w:firstLine="504"/>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2.</w:t>
      </w:r>
      <w:r>
        <w:rPr>
          <w:rFonts w:hint="eastAsia" w:ascii="宋体" w:hAnsi="宋体" w:eastAsia="宋体" w:cs="宋体"/>
          <w:snapToGrid w:val="0"/>
          <w:color w:val="000000" w:themeColor="text1"/>
          <w:spacing w:val="0"/>
          <w:sz w:val="24"/>
          <w:u w:val="single"/>
          <w14:textFill>
            <w14:solidFill>
              <w14:schemeClr w14:val="tx1"/>
            </w14:solidFill>
          </w14:textFill>
        </w:rPr>
        <w:t>（标的名称）</w:t>
      </w:r>
      <w:r>
        <w:rPr>
          <w:rFonts w:hint="eastAsia" w:ascii="宋体" w:hAnsi="宋体" w:eastAsia="宋体" w:cs="宋体"/>
          <w:snapToGrid w:val="0"/>
          <w:color w:val="000000" w:themeColor="text1"/>
          <w:spacing w:val="0"/>
          <w:sz w:val="24"/>
          <w14:textFill>
            <w14:solidFill>
              <w14:schemeClr w14:val="tx1"/>
            </w14:solidFill>
          </w14:textFill>
        </w:rPr>
        <w:t>，属于</w:t>
      </w:r>
      <w:r>
        <w:rPr>
          <w:rFonts w:hint="eastAsia" w:ascii="宋体" w:hAnsi="宋体" w:eastAsia="宋体" w:cs="宋体"/>
          <w:snapToGrid w:val="0"/>
          <w:color w:val="000000" w:themeColor="text1"/>
          <w:spacing w:val="0"/>
          <w:sz w:val="24"/>
          <w:u w:val="single"/>
          <w14:textFill>
            <w14:solidFill>
              <w14:schemeClr w14:val="tx1"/>
            </w14:solidFill>
          </w14:textFill>
        </w:rPr>
        <w:t>（采购文件中明确的所属行业）</w:t>
      </w:r>
      <w:r>
        <w:rPr>
          <w:rFonts w:hint="eastAsia" w:ascii="宋体" w:hAnsi="宋体" w:eastAsia="宋体" w:cs="宋体"/>
          <w:snapToGrid w:val="0"/>
          <w:color w:val="000000" w:themeColor="text1"/>
          <w:spacing w:val="0"/>
          <w:sz w:val="24"/>
          <w14:textFill>
            <w14:solidFill>
              <w14:schemeClr w14:val="tx1"/>
            </w14:solidFill>
          </w14:textFill>
        </w:rPr>
        <w:t>行业；承建（承接）企业为</w:t>
      </w:r>
      <w:r>
        <w:rPr>
          <w:rFonts w:hint="eastAsia" w:ascii="宋体" w:hAnsi="宋体" w:eastAsia="宋体" w:cs="宋体"/>
          <w:snapToGrid w:val="0"/>
          <w:color w:val="000000" w:themeColor="text1"/>
          <w:spacing w:val="0"/>
          <w:sz w:val="24"/>
          <w:u w:val="single"/>
          <w14:textFill>
            <w14:solidFill>
              <w14:schemeClr w14:val="tx1"/>
            </w14:solidFill>
          </w14:textFill>
        </w:rPr>
        <w:t>（企业名称）</w:t>
      </w:r>
      <w:r>
        <w:rPr>
          <w:rFonts w:hint="eastAsia" w:ascii="宋体" w:hAnsi="宋体" w:eastAsia="宋体" w:cs="宋体"/>
          <w:snapToGrid w:val="0"/>
          <w:color w:val="000000" w:themeColor="text1"/>
          <w:spacing w:val="0"/>
          <w:sz w:val="24"/>
          <w14:textFill>
            <w14:solidFill>
              <w14:schemeClr w14:val="tx1"/>
            </w14:solidFill>
          </w14:textFill>
        </w:rPr>
        <w:t>，从业人员______人，营业收入为______万元，资产总额为______万元，属于</w:t>
      </w:r>
      <w:r>
        <w:rPr>
          <w:rFonts w:hint="eastAsia" w:ascii="宋体" w:hAnsi="宋体" w:eastAsia="宋体" w:cs="宋体"/>
          <w:snapToGrid w:val="0"/>
          <w:color w:val="000000" w:themeColor="text1"/>
          <w:spacing w:val="0"/>
          <w:sz w:val="24"/>
          <w:u w:val="single"/>
          <w14:textFill>
            <w14:solidFill>
              <w14:schemeClr w14:val="tx1"/>
            </w14:solidFill>
          </w14:textFill>
        </w:rPr>
        <w:t>（中型企业、小型企业、微型企业）</w:t>
      </w:r>
      <w:r>
        <w:rPr>
          <w:rFonts w:hint="eastAsia" w:ascii="宋体" w:hAnsi="宋体" w:eastAsia="宋体" w:cs="宋体"/>
          <w:snapToGrid w:val="0"/>
          <w:color w:val="000000" w:themeColor="text1"/>
          <w:spacing w:val="0"/>
          <w:sz w:val="24"/>
          <w14:textFill>
            <w14:solidFill>
              <w14:schemeClr w14:val="tx1"/>
            </w14:solidFill>
          </w14:textFill>
        </w:rPr>
        <w:t>；</w:t>
      </w:r>
    </w:p>
    <w:p w14:paraId="0D7C6012">
      <w:pPr>
        <w:keepNext w:val="0"/>
        <w:keepLines w:val="0"/>
        <w:kinsoku/>
        <w:wordWrap/>
        <w:overflowPunct/>
        <w:topLinePunct w:val="0"/>
        <w:autoSpaceDE/>
        <w:autoSpaceDN/>
        <w:bidi w:val="0"/>
        <w:adjustRightInd w:val="0"/>
        <w:snapToGrid w:val="0"/>
        <w:spacing w:line="360" w:lineRule="auto"/>
        <w:ind w:left="0" w:leftChars="0" w:right="0" w:firstLine="504"/>
        <w:textAlignment w:val="auto"/>
        <w:rPr>
          <w:rFonts w:hint="eastAsia" w:ascii="宋体" w:hAnsi="宋体" w:eastAsia="宋体" w:cs="宋体"/>
          <w:snapToGrid w:val="0"/>
          <w:color w:val="000000" w:themeColor="text1"/>
          <w:spacing w:val="0"/>
          <w:sz w:val="24"/>
          <w14:textFill>
            <w14:solidFill>
              <w14:schemeClr w14:val="tx1"/>
            </w14:solidFill>
          </w14:textFill>
        </w:rPr>
      </w:pPr>
    </w:p>
    <w:p w14:paraId="4B8D5D7D">
      <w:pPr>
        <w:keepNext w:val="0"/>
        <w:keepLines w:val="0"/>
        <w:kinsoku/>
        <w:wordWrap/>
        <w:overflowPunct/>
        <w:topLinePunct w:val="0"/>
        <w:autoSpaceDE/>
        <w:autoSpaceDN/>
        <w:bidi w:val="0"/>
        <w:adjustRightInd w:val="0"/>
        <w:snapToGrid w:val="0"/>
        <w:spacing w:line="360" w:lineRule="auto"/>
        <w:ind w:left="0" w:leftChars="0" w:right="0" w:firstLine="504"/>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w:t>
      </w:r>
    </w:p>
    <w:p w14:paraId="77633F53">
      <w:pPr>
        <w:keepNext w:val="0"/>
        <w:keepLines w:val="0"/>
        <w:kinsoku/>
        <w:wordWrap/>
        <w:overflowPunct/>
        <w:topLinePunct w:val="0"/>
        <w:autoSpaceDE/>
        <w:autoSpaceDN/>
        <w:bidi w:val="0"/>
        <w:adjustRightInd w:val="0"/>
        <w:snapToGrid w:val="0"/>
        <w:spacing w:line="360" w:lineRule="auto"/>
        <w:ind w:left="0" w:leftChars="0" w:right="0" w:firstLine="504"/>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以上企业，不属于大企业的分支机构，不存在控股股东为大企业的情形，也不存在与大企业的负责人为同一人的情形。</w:t>
      </w:r>
    </w:p>
    <w:p w14:paraId="33CD4F7A">
      <w:pPr>
        <w:keepNext w:val="0"/>
        <w:keepLines w:val="0"/>
        <w:kinsoku/>
        <w:wordWrap/>
        <w:overflowPunct/>
        <w:topLinePunct w:val="0"/>
        <w:autoSpaceDE/>
        <w:autoSpaceDN/>
        <w:bidi w:val="0"/>
        <w:adjustRightInd w:val="0"/>
        <w:snapToGrid w:val="0"/>
        <w:spacing w:line="360" w:lineRule="auto"/>
        <w:ind w:left="0" w:leftChars="0" w:right="0" w:firstLine="504"/>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本企业对上述声明内容的真实性负责。如有虚假，将依法承担相应责任。</w:t>
      </w:r>
    </w:p>
    <w:p w14:paraId="118C5E49">
      <w:pPr>
        <w:keepNext w:val="0"/>
        <w:keepLines w:val="0"/>
        <w:kinsoku/>
        <w:wordWrap/>
        <w:overflowPunct/>
        <w:topLinePunct w:val="0"/>
        <w:autoSpaceDE/>
        <w:autoSpaceDN/>
        <w:bidi w:val="0"/>
        <w:adjustRightInd w:val="0"/>
        <w:snapToGrid w:val="0"/>
        <w:spacing w:line="360" w:lineRule="auto"/>
        <w:ind w:left="0" w:leftChars="0" w:right="0" w:firstLine="480"/>
        <w:jc w:val="right"/>
        <w:textAlignment w:val="auto"/>
        <w:rPr>
          <w:rFonts w:hint="eastAsia" w:ascii="宋体" w:hAnsi="宋体" w:eastAsia="宋体" w:cs="宋体"/>
          <w:snapToGrid w:val="0"/>
          <w:color w:val="000000" w:themeColor="text1"/>
          <w:spacing w:val="0"/>
          <w:sz w:val="24"/>
          <w14:textFill>
            <w14:solidFill>
              <w14:schemeClr w14:val="tx1"/>
            </w14:solidFill>
          </w14:textFill>
        </w:rPr>
      </w:pPr>
    </w:p>
    <w:p w14:paraId="64510BDD">
      <w:pPr>
        <w:keepNext w:val="0"/>
        <w:keepLines w:val="0"/>
        <w:kinsoku/>
        <w:wordWrap/>
        <w:overflowPunct/>
        <w:topLinePunct w:val="0"/>
        <w:autoSpaceDE/>
        <w:autoSpaceDN/>
        <w:bidi w:val="0"/>
        <w:adjustRightInd w:val="0"/>
        <w:snapToGrid w:val="0"/>
        <w:spacing w:line="360" w:lineRule="auto"/>
        <w:ind w:left="0" w:leftChars="0" w:right="0" w:firstLine="480"/>
        <w:jc w:val="righ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企业名称（加盖公章）：________</w:t>
      </w:r>
    </w:p>
    <w:p w14:paraId="2F3DDCE2">
      <w:pPr>
        <w:keepNext w:val="0"/>
        <w:keepLines w:val="0"/>
        <w:kinsoku/>
        <w:wordWrap/>
        <w:overflowPunct/>
        <w:topLinePunct w:val="0"/>
        <w:autoSpaceDE/>
        <w:autoSpaceDN/>
        <w:bidi w:val="0"/>
        <w:adjustRightInd w:val="0"/>
        <w:snapToGrid w:val="0"/>
        <w:spacing w:line="360" w:lineRule="auto"/>
        <w:ind w:left="0" w:leftChars="0" w:right="0" w:firstLine="480"/>
        <w:jc w:val="righ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日 期：________</w:t>
      </w:r>
    </w:p>
    <w:p w14:paraId="13252009">
      <w:pPr>
        <w:keepNext w:val="0"/>
        <w:keepLines w:val="0"/>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1"/>
          <w14:textFill>
            <w14:solidFill>
              <w14:schemeClr w14:val="tx1"/>
            </w14:solidFill>
          </w14:textFill>
        </w:rPr>
      </w:pPr>
    </w:p>
    <w:p w14:paraId="0A90F2E9">
      <w:pPr>
        <w:keepNext w:val="0"/>
        <w:keepLines w:val="0"/>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1"/>
          <w14:textFill>
            <w14:solidFill>
              <w14:schemeClr w14:val="tx1"/>
            </w14:solidFill>
          </w14:textFill>
        </w:rPr>
      </w:pPr>
    </w:p>
    <w:tbl>
      <w:tblPr>
        <w:tblStyle w:val="1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22"/>
      </w:tblGrid>
      <w:tr w14:paraId="395CAF3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tcPr>
          <w:p w14:paraId="4E7B255D">
            <w:pPr>
              <w:keepNext w:val="0"/>
              <w:keepLines w:val="0"/>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vertAlign w:val="superscript"/>
                <w14:textFill>
                  <w14:solidFill>
                    <w14:schemeClr w14:val="tx1"/>
                  </w14:solidFill>
                </w14:textFill>
              </w:rPr>
              <w:t>1</w:t>
            </w:r>
            <w:r>
              <w:rPr>
                <w:rFonts w:hint="eastAsia" w:ascii="宋体" w:hAnsi="宋体" w:eastAsia="宋体" w:cs="宋体"/>
                <w:snapToGrid w:val="0"/>
                <w:color w:val="000000" w:themeColor="text1"/>
                <w:spacing w:val="0"/>
                <w:szCs w:val="21"/>
                <w14:textFill>
                  <w14:solidFill>
                    <w14:schemeClr w14:val="tx1"/>
                  </w14:solidFill>
                </w14:textFill>
              </w:rPr>
              <w:t>从业人员、营业收入、资产总额填报上一年度数据，无上一年度数据的新成立企业可不填报。</w:t>
            </w:r>
          </w:p>
        </w:tc>
      </w:tr>
    </w:tbl>
    <w:p w14:paraId="3B1F76BF">
      <w:pPr>
        <w:keepNext w:val="0"/>
        <w:keepLines w:val="0"/>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Cs w:val="21"/>
          <w:vertAlign w:val="superscript"/>
          <w14:textFill>
            <w14:solidFill>
              <w14:schemeClr w14:val="tx1"/>
            </w14:solidFill>
          </w14:textFill>
        </w:rPr>
      </w:pPr>
    </w:p>
    <w:p w14:paraId="7943BE50">
      <w:pPr>
        <w:keepNext w:val="0"/>
        <w:keepLines w:val="0"/>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Cs w:val="21"/>
          <w:vertAlign w:val="superscript"/>
          <w14:textFill>
            <w14:solidFill>
              <w14:schemeClr w14:val="tx1"/>
            </w14:solidFill>
          </w14:textFill>
        </w:rPr>
      </w:pPr>
    </w:p>
    <w:p w14:paraId="79CA229B">
      <w:pPr>
        <w:keepNext w:val="0"/>
        <w:keepLines w:val="0"/>
        <w:kinsoku/>
        <w:wordWrap/>
        <w:overflowPunct/>
        <w:topLinePunct w:val="0"/>
        <w:autoSpaceDE/>
        <w:autoSpaceDN/>
        <w:bidi w:val="0"/>
        <w:adjustRightInd w:val="0"/>
        <w:snapToGrid w:val="0"/>
        <w:spacing w:line="360" w:lineRule="auto"/>
        <w:ind w:left="0" w:leftChars="0" w:right="0" w:firstLine="723"/>
        <w:jc w:val="left"/>
        <w:textAlignment w:val="auto"/>
        <w:rPr>
          <w:rFonts w:hint="eastAsia" w:ascii="宋体" w:hAnsi="宋体" w:eastAsia="宋体" w:cs="宋体"/>
          <w:b/>
          <w:snapToGrid w:val="0"/>
          <w:color w:val="000000" w:themeColor="text1"/>
          <w:spacing w:val="0"/>
          <w:sz w:val="36"/>
          <w:szCs w:val="36"/>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22E9780A">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残疾人福利性单位声明函格式</w:t>
      </w:r>
    </w:p>
    <w:p w14:paraId="4234D3C0">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本单位郑重声明，根据《财政部 民政部 中国残疾人联合会关于促进残疾人就业政府采购政策的通知》（财库〔2017〕 141号）的规定，本单位</w:t>
      </w:r>
      <w:r>
        <w:rPr>
          <w:rFonts w:hint="eastAsia" w:ascii="宋体" w:hAnsi="宋体" w:eastAsia="宋体" w:cs="宋体"/>
          <w:b/>
          <w:bCs/>
          <w:snapToGrid w:val="0"/>
          <w:color w:val="000000" w:themeColor="text1"/>
          <w:spacing w:val="0"/>
          <w:sz w:val="24"/>
          <w14:textFill>
            <w14:solidFill>
              <w14:schemeClr w14:val="tx1"/>
            </w14:solidFill>
          </w14:textFill>
        </w:rPr>
        <w:t>（请进行勾选）</w:t>
      </w:r>
      <w:r>
        <w:rPr>
          <w:rFonts w:hint="eastAsia" w:ascii="宋体" w:hAnsi="宋体" w:eastAsia="宋体" w:cs="宋体"/>
          <w:bCs/>
          <w:snapToGrid w:val="0"/>
          <w:color w:val="000000" w:themeColor="text1"/>
          <w:spacing w:val="0"/>
          <w:sz w:val="24"/>
          <w14:textFill>
            <w14:solidFill>
              <w14:schemeClr w14:val="tx1"/>
            </w14:solidFill>
          </w14:textFill>
        </w:rPr>
        <w:t>：</w:t>
      </w:r>
    </w:p>
    <w:p w14:paraId="0B9C477A">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□不属于符合条件的残疾人福利性单位。</w:t>
      </w:r>
    </w:p>
    <w:p w14:paraId="2ED03762">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141024B">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本单位对上述声明的真实性负责。如有虚假，将依法承担相应责任。</w:t>
      </w:r>
    </w:p>
    <w:p w14:paraId="6771EEC9">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5D16685A">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2CEEDF0E">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单位名称（盖章）：</w:t>
      </w:r>
    </w:p>
    <w:p w14:paraId="4BA9B879">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日  期：</w:t>
      </w:r>
    </w:p>
    <w:p w14:paraId="5802ED81">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24FC6A15">
      <w:pPr>
        <w:keepNext w:val="0"/>
        <w:keepLines w:val="0"/>
        <w:widowControl/>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br w:type="page" w:clear="all"/>
      </w:r>
    </w:p>
    <w:p w14:paraId="3644197A">
      <w:pPr>
        <w:keepNext w:val="0"/>
        <w:keepLines w:val="0"/>
        <w:kinsoku/>
        <w:wordWrap/>
        <w:overflowPunct/>
        <w:topLinePunct w:val="0"/>
        <w:autoSpaceDE/>
        <w:autoSpaceDN/>
        <w:bidi w:val="0"/>
        <w:adjustRightInd w:val="0"/>
        <w:snapToGrid w:val="0"/>
        <w:spacing w:line="360" w:lineRule="auto"/>
        <w:ind w:left="0" w:leftChars="0" w:right="0" w:hanging="267"/>
        <w:textAlignment w:val="auto"/>
        <w:outlineLvl w:val="2"/>
        <w:rPr>
          <w:rFonts w:hint="eastAsia" w:ascii="宋体" w:hAnsi="宋体" w:eastAsia="宋体" w:cs="宋体"/>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二、商务技术文件格式</w:t>
      </w:r>
    </w:p>
    <w:p w14:paraId="0584CC06">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1 投标函</w:t>
      </w:r>
      <w:r>
        <w:rPr>
          <w:rFonts w:hint="eastAsia" w:ascii="宋体" w:hAnsi="宋体" w:eastAsia="宋体" w:cs="宋体"/>
          <w:snapToGrid w:val="0"/>
          <w:color w:val="000000" w:themeColor="text1"/>
          <w:spacing w:val="0"/>
          <w:sz w:val="24"/>
          <w:szCs w:val="20"/>
          <w14:textFill>
            <w14:solidFill>
              <w14:schemeClr w14:val="tx1"/>
            </w14:solidFill>
          </w14:textFill>
        </w:rPr>
        <w:t>（实质性格式）</w:t>
      </w:r>
    </w:p>
    <w:p w14:paraId="2064476D">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投标函</w:t>
      </w:r>
    </w:p>
    <w:p w14:paraId="14EEE6CC">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lang w:eastAsia="zh-CN"/>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致：</w:t>
      </w:r>
      <w:r>
        <w:rPr>
          <w:rFonts w:hint="eastAsia" w:ascii="宋体" w:hAnsi="宋体" w:eastAsia="宋体" w:cs="宋体"/>
          <w:bCs/>
          <w:snapToGrid w:val="0"/>
          <w:color w:val="000000" w:themeColor="text1"/>
          <w:spacing w:val="0"/>
          <w:sz w:val="24"/>
          <w:lang w:eastAsia="zh-CN"/>
          <w14:textFill>
            <w14:solidFill>
              <w14:schemeClr w14:val="tx1"/>
            </w14:solidFill>
          </w14:textFill>
        </w:rPr>
        <w:t>常州市金坛区残疾人联合会</w:t>
      </w:r>
    </w:p>
    <w:p w14:paraId="06EE2021">
      <w:pPr>
        <w:keepNext w:val="0"/>
        <w:keepLines w:val="0"/>
        <w:kinsoku/>
        <w:wordWrap/>
        <w:overflowPunct/>
        <w:topLinePunct w:val="0"/>
        <w:autoSpaceDE/>
        <w:autoSpaceDN/>
        <w:bidi w:val="0"/>
        <w:adjustRightInd w:val="0"/>
        <w:snapToGrid w:val="0"/>
        <w:spacing w:line="360" w:lineRule="auto"/>
        <w:ind w:left="0" w:leftChars="0" w:right="0" w:firstLine="1024" w:firstLineChars="427"/>
        <w:contextualSpacing/>
        <w:textAlignment w:val="auto"/>
        <w:rPr>
          <w:rFonts w:hint="eastAsia" w:ascii="宋体" w:hAnsi="宋体" w:eastAsia="宋体" w:cs="宋体"/>
          <w:bCs/>
          <w:snapToGrid w:val="0"/>
          <w:color w:val="000000" w:themeColor="text1"/>
          <w:spacing w:val="0"/>
          <w:sz w:val="24"/>
          <w:lang w:eastAsia="zh-CN"/>
          <w14:textFill>
            <w14:solidFill>
              <w14:schemeClr w14:val="tx1"/>
            </w14:solidFill>
          </w14:textFill>
        </w:rPr>
      </w:pPr>
      <w:r>
        <w:rPr>
          <w:rFonts w:hint="eastAsia" w:ascii="宋体" w:hAnsi="宋体" w:eastAsia="宋体" w:cs="宋体"/>
          <w:bCs/>
          <w:snapToGrid w:val="0"/>
          <w:color w:val="000000" w:themeColor="text1"/>
          <w:spacing w:val="0"/>
          <w:sz w:val="24"/>
          <w:lang w:eastAsia="zh-CN"/>
          <w14:textFill>
            <w14:solidFill>
              <w14:schemeClr w14:val="tx1"/>
            </w14:solidFill>
          </w14:textFill>
        </w:rPr>
        <w:t>江苏嘉丰工程咨询有限公司</w:t>
      </w:r>
    </w:p>
    <w:p w14:paraId="3321AFFB">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我方参加你方就___________（项目名称，项目编号）组织的招标活动，并对此项目进行投标。</w:t>
      </w:r>
    </w:p>
    <w:p w14:paraId="6B4F8403">
      <w:pPr>
        <w:keepNext w:val="0"/>
        <w:keepLines w:val="0"/>
        <w:tabs>
          <w:tab w:val="left" w:pos="5580"/>
        </w:tabs>
        <w:kinsoku/>
        <w:wordWrap/>
        <w:overflowPunct/>
        <w:topLinePunct w:val="0"/>
        <w:autoSpaceDE/>
        <w:autoSpaceDN/>
        <w:bidi w:val="0"/>
        <w:adjustRightInd w:val="0"/>
        <w:snapToGrid w:val="0"/>
        <w:spacing w:line="360" w:lineRule="auto"/>
        <w:ind w:left="0" w:leftChars="0" w:right="0" w:hanging="228"/>
        <w:textAlignment w:val="auto"/>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1. 我方</w:t>
      </w:r>
      <w:r>
        <w:rPr>
          <w:rFonts w:hint="eastAsia" w:ascii="宋体" w:hAnsi="宋体" w:eastAsia="宋体" w:cs="宋体"/>
          <w:snapToGrid w:val="0"/>
          <w:color w:val="000000" w:themeColor="text1"/>
          <w:spacing w:val="0"/>
          <w:sz w:val="24"/>
          <w14:textFill>
            <w14:solidFill>
              <w14:schemeClr w14:val="tx1"/>
            </w14:solidFill>
          </w14:textFill>
        </w:rPr>
        <w:t>已详细审查全部招标文件</w:t>
      </w:r>
      <w:r>
        <w:rPr>
          <w:rFonts w:hint="eastAsia" w:ascii="宋体" w:hAnsi="宋体" w:eastAsia="宋体" w:cs="宋体"/>
          <w:snapToGrid w:val="0"/>
          <w:color w:val="000000" w:themeColor="text1"/>
          <w:spacing w:val="0"/>
          <w:sz w:val="24"/>
          <w:szCs w:val="20"/>
          <w14:textFill>
            <w14:solidFill>
              <w14:schemeClr w14:val="tx1"/>
            </w14:solidFill>
          </w14:textFill>
        </w:rPr>
        <w:t>，自愿参与投标并承诺如下：</w:t>
      </w:r>
    </w:p>
    <w:p w14:paraId="24DC2353">
      <w:pPr>
        <w:keepNext w:val="0"/>
        <w:keepLines w:val="0"/>
        <w:tabs>
          <w:tab w:val="left" w:pos="720"/>
          <w:tab w:val="left" w:pos="900"/>
        </w:tabs>
        <w:kinsoku/>
        <w:wordWrap/>
        <w:overflowPunct/>
        <w:topLinePunct w:val="0"/>
        <w:autoSpaceDE/>
        <w:autoSpaceDN/>
        <w:bidi w:val="0"/>
        <w:adjustRightInd w:val="0"/>
        <w:snapToGrid w:val="0"/>
        <w:spacing w:line="360" w:lineRule="auto"/>
        <w:ind w:left="0" w:leftChars="0" w:right="0" w:firstLine="72"/>
        <w:textAlignment w:val="auto"/>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（1）本投标有效期为自提交投标文件的截止之日起</w:t>
      </w:r>
      <w:r>
        <w:rPr>
          <w:rFonts w:hint="eastAsia" w:ascii="宋体" w:hAnsi="宋体" w:eastAsia="宋体" w:cs="宋体"/>
          <w:snapToGrid w:val="0"/>
          <w:color w:val="000000" w:themeColor="text1"/>
          <w:spacing w:val="0"/>
          <w:sz w:val="24"/>
          <w14:textFill>
            <w14:solidFill>
              <w14:schemeClr w14:val="tx1"/>
            </w14:solidFill>
          </w14:textFill>
        </w:rPr>
        <w:t>60</w:t>
      </w:r>
      <w:r>
        <w:rPr>
          <w:rFonts w:hint="eastAsia" w:ascii="宋体" w:hAnsi="宋体" w:eastAsia="宋体" w:cs="宋体"/>
          <w:snapToGrid w:val="0"/>
          <w:color w:val="000000" w:themeColor="text1"/>
          <w:spacing w:val="0"/>
          <w:sz w:val="24"/>
          <w:szCs w:val="20"/>
          <w14:textFill>
            <w14:solidFill>
              <w14:schemeClr w14:val="tx1"/>
            </w14:solidFill>
          </w14:textFill>
        </w:rPr>
        <w:t>个日历日。</w:t>
      </w:r>
    </w:p>
    <w:p w14:paraId="177C73AB">
      <w:pPr>
        <w:keepNext w:val="0"/>
        <w:keepLines w:val="0"/>
        <w:tabs>
          <w:tab w:val="left" w:pos="720"/>
          <w:tab w:val="left" w:pos="900"/>
        </w:tabs>
        <w:kinsoku/>
        <w:wordWrap/>
        <w:overflowPunct/>
        <w:topLinePunct w:val="0"/>
        <w:autoSpaceDE/>
        <w:autoSpaceDN/>
        <w:bidi w:val="0"/>
        <w:adjustRightInd w:val="0"/>
        <w:snapToGrid w:val="0"/>
        <w:spacing w:line="360" w:lineRule="auto"/>
        <w:ind w:left="0" w:leftChars="0" w:right="0" w:firstLine="72"/>
        <w:textAlignment w:val="auto"/>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（2）除合同条款及采购需求偏离表列出的偏离外，我方响应招标文件的全部要求。</w:t>
      </w:r>
    </w:p>
    <w:p w14:paraId="51D17A66">
      <w:pPr>
        <w:keepNext w:val="0"/>
        <w:keepLines w:val="0"/>
        <w:tabs>
          <w:tab w:val="left" w:pos="5580"/>
        </w:tabs>
        <w:kinsoku/>
        <w:wordWrap/>
        <w:overflowPunct/>
        <w:topLinePunct w:val="0"/>
        <w:autoSpaceDE/>
        <w:autoSpaceDN/>
        <w:bidi w:val="0"/>
        <w:adjustRightInd w:val="0"/>
        <w:snapToGrid w:val="0"/>
        <w:spacing w:line="360" w:lineRule="auto"/>
        <w:ind w:left="0" w:leftChars="0" w:right="0" w:firstLine="420"/>
        <w:textAlignment w:val="auto"/>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（3）我方已提供的全部文件资料是真实、准确的，并对此承担一切法律后果。</w:t>
      </w:r>
    </w:p>
    <w:p w14:paraId="6FA18911">
      <w:pPr>
        <w:keepNext w:val="0"/>
        <w:keepLines w:val="0"/>
        <w:tabs>
          <w:tab w:val="left" w:pos="5580"/>
        </w:tabs>
        <w:kinsoku/>
        <w:wordWrap/>
        <w:overflowPunct/>
        <w:topLinePunct w:val="0"/>
        <w:autoSpaceDE/>
        <w:autoSpaceDN/>
        <w:bidi w:val="0"/>
        <w:adjustRightInd w:val="0"/>
        <w:snapToGrid w:val="0"/>
        <w:spacing w:line="360" w:lineRule="auto"/>
        <w:ind w:left="0" w:leftChars="0" w:right="0" w:firstLine="420"/>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（4）如我方中标，我方将在法律规定的期限内与你方签订合同，按照招标文件要求提交履约保证金，并在合同约定的期限内完成合同规定的全部义务。</w:t>
      </w:r>
    </w:p>
    <w:p w14:paraId="6927A8A1">
      <w:pPr>
        <w:keepNext w:val="0"/>
        <w:keepLines w:val="0"/>
        <w:kinsoku/>
        <w:wordWrap/>
        <w:overflowPunct/>
        <w:topLinePunct w:val="0"/>
        <w:autoSpaceDE/>
        <w:autoSpaceDN/>
        <w:bidi w:val="0"/>
        <w:adjustRightInd w:val="0"/>
        <w:snapToGrid w:val="0"/>
        <w:spacing w:line="360" w:lineRule="auto"/>
        <w:ind w:left="0" w:leftChars="0" w:right="0" w:hanging="228"/>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2. 其他补充条款（如有）：</w:t>
      </w:r>
      <w:r>
        <w:rPr>
          <w:rFonts w:hint="eastAsia" w:ascii="宋体" w:hAnsi="宋体" w:eastAsia="宋体" w:cs="宋体"/>
          <w:snapToGrid w:val="0"/>
          <w:color w:val="000000" w:themeColor="text1"/>
          <w:spacing w:val="0"/>
          <w:sz w:val="24"/>
          <w:szCs w:val="20"/>
          <w14:textFill>
            <w14:solidFill>
              <w14:schemeClr w14:val="tx1"/>
            </w14:solidFill>
          </w14:textFill>
        </w:rPr>
        <w:t>___________</w:t>
      </w:r>
      <w:r>
        <w:rPr>
          <w:rFonts w:hint="eastAsia" w:ascii="宋体" w:hAnsi="宋体" w:eastAsia="宋体" w:cs="宋体"/>
          <w:snapToGrid w:val="0"/>
          <w:color w:val="000000" w:themeColor="text1"/>
          <w:spacing w:val="0"/>
          <w:sz w:val="24"/>
          <w14:textFill>
            <w14:solidFill>
              <w14:schemeClr w14:val="tx1"/>
            </w14:solidFill>
          </w14:textFill>
        </w:rPr>
        <w:t>。</w:t>
      </w:r>
    </w:p>
    <w:p w14:paraId="7ED2D7CA">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与本投标有关的一切正式往来信函请寄：</w:t>
      </w:r>
    </w:p>
    <w:p w14:paraId="380A4FEC">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4DFE085E">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地址_________________________</w:t>
      </w:r>
    </w:p>
    <w:p w14:paraId="1582F154">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传真_________________________</w:t>
      </w:r>
    </w:p>
    <w:p w14:paraId="25B69A81">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电话_________________________</w:t>
      </w:r>
    </w:p>
    <w:p w14:paraId="731900AA">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电子函件_____________________</w:t>
      </w:r>
    </w:p>
    <w:p w14:paraId="2C2301B5">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3F930910">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w:t>
      </w:r>
      <w:r>
        <w:rPr>
          <w:rFonts w:hint="eastAsia" w:ascii="宋体" w:hAnsi="宋体" w:eastAsia="宋体" w:cs="宋体"/>
          <w:bCs/>
          <w:snapToGrid w:val="0"/>
          <w:color w:val="000000" w:themeColor="text1"/>
          <w:spacing w:val="0"/>
          <w:sz w:val="24"/>
          <w:lang w:val="en-US" w:eastAsia="zh-CN"/>
          <w14:textFill>
            <w14:solidFill>
              <w14:schemeClr w14:val="tx1"/>
            </w14:solidFill>
          </w14:textFill>
        </w:rPr>
        <w:t>人</w:t>
      </w:r>
      <w:r>
        <w:rPr>
          <w:rFonts w:hint="eastAsia" w:ascii="宋体" w:hAnsi="宋体" w:eastAsia="宋体" w:cs="宋体"/>
          <w:bCs/>
          <w:snapToGrid w:val="0"/>
          <w:color w:val="000000" w:themeColor="text1"/>
          <w:spacing w:val="0"/>
          <w:sz w:val="24"/>
          <w14:textFill>
            <w14:solidFill>
              <w14:schemeClr w14:val="tx1"/>
            </w14:solidFill>
          </w14:textFill>
        </w:rPr>
        <w:t>名称（加盖公章） ___________</w:t>
      </w:r>
    </w:p>
    <w:p w14:paraId="4226C13D">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 xml:space="preserve">日期：_____年______月______日    </w:t>
      </w:r>
    </w:p>
    <w:p w14:paraId="717B6574">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1944C8D5">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2 法定代表人资格证明书（实质性格式）</w:t>
      </w:r>
    </w:p>
    <w:p w14:paraId="6D6391E8">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法定代表人资格证明书</w:t>
      </w:r>
    </w:p>
    <w:p w14:paraId="193AAD37">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单位名称:</w:t>
      </w:r>
    </w:p>
    <w:p w14:paraId="2BB34A5E">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地址:</w:t>
      </w:r>
    </w:p>
    <w:p w14:paraId="04A8650D">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姓名:     性别:       年龄:      职务:</w:t>
      </w:r>
    </w:p>
    <w:p w14:paraId="30A8EFBA">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系</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r>
        <w:rPr>
          <w:rFonts w:hint="eastAsia" w:ascii="宋体" w:hAnsi="宋体" w:eastAsia="宋体" w:cs="宋体"/>
          <w:bCs/>
          <w:snapToGrid w:val="0"/>
          <w:color w:val="000000" w:themeColor="text1"/>
          <w:spacing w:val="0"/>
          <w:sz w:val="24"/>
          <w14:textFill>
            <w14:solidFill>
              <w14:schemeClr w14:val="tx1"/>
            </w14:solidFill>
          </w14:textFill>
        </w:rPr>
        <w:t>（投标单位名称）的法定代表人。为参与</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r>
        <w:rPr>
          <w:rFonts w:hint="eastAsia" w:ascii="宋体" w:hAnsi="宋体" w:eastAsia="宋体" w:cs="宋体"/>
          <w:bCs/>
          <w:snapToGrid w:val="0"/>
          <w:color w:val="000000" w:themeColor="text1"/>
          <w:spacing w:val="0"/>
          <w:sz w:val="24"/>
          <w14:textFill>
            <w14:solidFill>
              <w14:schemeClr w14:val="tx1"/>
            </w14:solidFill>
          </w14:textFill>
        </w:rPr>
        <w:t>（项目名称）的政府采购活动，签署、澄清确认、递交、撤回、修改上述项目的投标文件、进行合同谈判、签署合同和处理与之有关的一切事务。</w:t>
      </w:r>
    </w:p>
    <w:p w14:paraId="6DFFBE68">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特此证明。</w:t>
      </w:r>
    </w:p>
    <w:p w14:paraId="09DF6CF0">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183D4ADD">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附：法定代表人（单位负责人）有效期内的身份证正反面</w:t>
      </w:r>
      <w:r>
        <w:rPr>
          <w:rFonts w:hint="eastAsia" w:ascii="宋体" w:hAnsi="宋体" w:eastAsia="宋体" w:cs="宋体"/>
          <w:snapToGrid w:val="0"/>
          <w:color w:val="000000" w:themeColor="text1"/>
          <w:spacing w:val="0"/>
          <w:sz w:val="24"/>
          <w14:textFill>
            <w14:solidFill>
              <w14:schemeClr w14:val="tx1"/>
            </w14:solidFill>
          </w14:textFill>
        </w:rPr>
        <w:t>扫描件</w:t>
      </w:r>
      <w:r>
        <w:rPr>
          <w:rFonts w:hint="eastAsia" w:ascii="宋体" w:hAnsi="宋体" w:eastAsia="宋体" w:cs="宋体"/>
          <w:bCs/>
          <w:snapToGrid w:val="0"/>
          <w:color w:val="000000" w:themeColor="text1"/>
          <w:spacing w:val="0"/>
          <w:sz w:val="24"/>
          <w14:textFill>
            <w14:solidFill>
              <w14:schemeClr w14:val="tx1"/>
            </w14:solidFill>
          </w14:textFill>
        </w:rPr>
        <w:t>。</w:t>
      </w:r>
    </w:p>
    <w:tbl>
      <w:tblPr>
        <w:tblStyle w:val="1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6118B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095C1AF5">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3F7E7937">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3278ECAB">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4536" w:type="dxa"/>
            <w:noWrap w:val="0"/>
          </w:tcPr>
          <w:p w14:paraId="70FC3A59">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75A89CF3">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7A309EA7">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bl>
    <w:p w14:paraId="62E55082">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60E0CC51">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58E8F4F0">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投标人：（加盖公章）</w:t>
      </w:r>
    </w:p>
    <w:p w14:paraId="3FF1B49C">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法定代表人签字或盖章：</w:t>
      </w:r>
    </w:p>
    <w:p w14:paraId="7A9A77C0">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日期：    年    月    日</w:t>
      </w:r>
    </w:p>
    <w:p w14:paraId="607C2EAC">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00F1AE9C">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说明：</w:t>
      </w:r>
    </w:p>
    <w:p w14:paraId="3A991AB4">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1.若投标人为事业单位或其他组织或分支机构（仅当招标文件注明允许分支机构投标的），则法定代表人（单位负责人）处的签署人可为单位负责人。</w:t>
      </w:r>
    </w:p>
    <w:p w14:paraId="428D6FB4">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2.投标人为自然人的情形，可不提供本《法定代表人资格证明书》。。</w:t>
      </w:r>
    </w:p>
    <w:p w14:paraId="495EBEE4">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0CD1C40A">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3 政府采购供应商信用承诺书（实质性格式）</w:t>
      </w:r>
    </w:p>
    <w:p w14:paraId="02D7DF12">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政府采购供应商信用承诺书</w:t>
      </w:r>
    </w:p>
    <w:p w14:paraId="58F0622F">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为维护公开、公平、公正的政府采购市场秩序，树立诚实守信的供应商形象，本单位在参与政府采购活动中,自愿作出以下承诺：</w:t>
      </w:r>
    </w:p>
    <w:p w14:paraId="725F27AB">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一、严格遵守国家法律、法规和规章，全面履行应尽的责任和义务，全面做到履约守信，具备《政府采购法》第二十二条第一款规定的条件。</w:t>
      </w:r>
    </w:p>
    <w:p w14:paraId="1841C236">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二、本单位已经阅读并充分理解《常州市政府采购供应商信用管理暂行办法》，自愿按照《常州市政府采购供应商信用管理暂行办法》规定，发生失信行为将记录并公开到“信用常州”、常州市政府采购网。</w:t>
      </w:r>
    </w:p>
    <w:p w14:paraId="60C06ED9">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三、本单位提供给注册登记部门、行业管理部门、司法部门、行业组织以及在政府采购活动中提交的所有资料均合法、真实、有效，无任何伪造、修改、虚假成份，并对所提供资料的真实性负责。</w:t>
      </w:r>
    </w:p>
    <w:p w14:paraId="51FE7079">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四、严格依法开展生产经营活动，主动接受行业监管，自愿接受依法开展的日常检查；违法失信经营后将自愿接受约束和惩戒，并依法承担相应责任。</w:t>
      </w:r>
    </w:p>
    <w:p w14:paraId="207FD7F3">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 xml:space="preserve">五、承诺本单位自觉接受行政管理部门、行业组织、社会公众、新闻舆论的监督。 </w:t>
      </w:r>
    </w:p>
    <w:p w14:paraId="45D7E9AA">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 xml:space="preserve">六、承诺本单位自我约束、自我管理，重合同、守信用，不制假售假、商标侵权、虚假宣传、违约毁约、恶意逃债、偷税漏税、价格欺诈、垄断和不正当竞争，维护经营者、消费者的合法权益。 </w:t>
      </w:r>
    </w:p>
    <w:p w14:paraId="0EFE5560">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七、</w:t>
      </w:r>
      <w:r>
        <w:rPr>
          <w:rFonts w:hint="eastAsia" w:ascii="宋体" w:hAnsi="宋体" w:cs="楷体"/>
          <w:color w:val="000000" w:themeColor="text1"/>
          <w:sz w:val="24"/>
          <w14:textFill>
            <w14:solidFill>
              <w14:schemeClr w14:val="tx1"/>
            </w14:solidFill>
          </w14:textFill>
        </w:rPr>
        <w:t xml:space="preserve">承诺本单位在信用中国网站中无重大违法违规、较重或严重失信记录。 </w:t>
      </w:r>
      <w:r>
        <w:rPr>
          <w:rFonts w:hint="eastAsia" w:ascii="宋体" w:hAnsi="宋体" w:eastAsia="宋体" w:cs="宋体"/>
          <w:bCs/>
          <w:snapToGrid w:val="0"/>
          <w:color w:val="000000" w:themeColor="text1"/>
          <w:spacing w:val="0"/>
          <w:sz w:val="24"/>
          <w14:textFill>
            <w14:solidFill>
              <w14:schemeClr w14:val="tx1"/>
            </w14:solidFill>
          </w14:textFill>
        </w:rPr>
        <w:t xml:space="preserve"> </w:t>
      </w:r>
    </w:p>
    <w:p w14:paraId="780EAF30">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八、承诺本单位提出政府采购质疑和投诉坚持依法依规、诚实信用原则。</w:t>
      </w:r>
    </w:p>
    <w:p w14:paraId="1686006E">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 xml:space="preserve">九、根据政府采购相关法律法规的规定需要作出的其他承诺。 </w:t>
      </w:r>
    </w:p>
    <w:p w14:paraId="18F0AE76">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十、承诺本单位若违背承诺约定，经查实，愿意接受行业主管部门和信用管理部门相应的规定处罚，承担违约责任，并依法承担相应的法律责任。</w:t>
      </w:r>
    </w:p>
    <w:p w14:paraId="623E6F29">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十一、承诺本单位同意将以上承诺事项上网公示，违背承诺约定行为将作为失信信息，记录到常州市公共信用信息系统，并予以公开。</w:t>
      </w:r>
    </w:p>
    <w:p w14:paraId="10E29422">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投标人名称（加盖公章）：____________</w:t>
      </w:r>
    </w:p>
    <w:p w14:paraId="6941414C">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 xml:space="preserve">日期：_____年______月______日   </w:t>
      </w:r>
    </w:p>
    <w:p w14:paraId="41C5D4F2">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szCs w:val="20"/>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4AC2E449">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4 报价一览表（实质性格式）</w:t>
      </w:r>
    </w:p>
    <w:p w14:paraId="1109D220">
      <w:pPr>
        <w:keepNext w:val="0"/>
        <w:keepLines w:val="0"/>
        <w:kinsoku/>
        <w:wordWrap/>
        <w:overflowPunct/>
        <w:topLinePunct w:val="0"/>
        <w:autoSpaceDE/>
        <w:autoSpaceDN/>
        <w:bidi w:val="0"/>
        <w:adjustRightInd w:val="0"/>
        <w:snapToGrid w:val="0"/>
        <w:spacing w:line="360" w:lineRule="auto"/>
        <w:ind w:left="0" w:leftChars="0" w:right="0" w:hanging="343"/>
        <w:jc w:val="center"/>
        <w:textAlignment w:val="auto"/>
        <w:rPr>
          <w:rFonts w:hint="eastAsia" w:ascii="宋体" w:hAnsi="宋体" w:eastAsia="宋体" w:cs="宋体"/>
          <w:b/>
          <w:snapToGrid w:val="0"/>
          <w:color w:val="000000" w:themeColor="text1"/>
          <w:spacing w:val="0"/>
          <w:sz w:val="36"/>
          <w:szCs w:val="36"/>
          <w14:textFill>
            <w14:solidFill>
              <w14:schemeClr w14:val="tx1"/>
            </w14:solidFill>
          </w14:textFill>
        </w:rPr>
      </w:pPr>
      <w:bookmarkStart w:id="506" w:name="_Toc264969248"/>
      <w:bookmarkStart w:id="507" w:name="_Toc226337254"/>
      <w:bookmarkStart w:id="508" w:name="_Toc226965748"/>
      <w:bookmarkStart w:id="509" w:name="_Toc195842923"/>
      <w:bookmarkStart w:id="510" w:name="_Toc305158826"/>
      <w:bookmarkStart w:id="511" w:name="_Toc305158900"/>
      <w:bookmarkStart w:id="512" w:name="_Toc164608672"/>
      <w:bookmarkStart w:id="513" w:name="_Toc226309802"/>
      <w:bookmarkStart w:id="514" w:name="_Toc226965831"/>
      <w:bookmarkStart w:id="515" w:name="_Toc265228396"/>
      <w:bookmarkStart w:id="516" w:name="_Toc164608827"/>
      <w:r>
        <w:rPr>
          <w:rFonts w:hint="eastAsia" w:ascii="宋体" w:hAnsi="宋体" w:eastAsia="宋体" w:cs="宋体"/>
          <w:b/>
          <w:snapToGrid w:val="0"/>
          <w:color w:val="000000" w:themeColor="text1"/>
          <w:spacing w:val="0"/>
          <w:sz w:val="36"/>
          <w:szCs w:val="36"/>
          <w14:textFill>
            <w14:solidFill>
              <w14:schemeClr w14:val="tx1"/>
            </w14:solidFill>
          </w14:textFill>
        </w:rPr>
        <w:t>开标一览表</w:t>
      </w:r>
      <w:bookmarkEnd w:id="506"/>
      <w:bookmarkEnd w:id="507"/>
      <w:bookmarkEnd w:id="508"/>
      <w:bookmarkEnd w:id="509"/>
      <w:bookmarkEnd w:id="510"/>
      <w:bookmarkEnd w:id="511"/>
      <w:bookmarkEnd w:id="512"/>
      <w:bookmarkEnd w:id="513"/>
      <w:bookmarkEnd w:id="514"/>
      <w:bookmarkEnd w:id="515"/>
      <w:bookmarkEnd w:id="516"/>
    </w:p>
    <w:p w14:paraId="45DD3EEE">
      <w:pPr>
        <w:keepNext w:val="0"/>
        <w:keepLines w:val="0"/>
        <w:tabs>
          <w:tab w:val="left" w:pos="1800"/>
          <w:tab w:val="left" w:pos="5580"/>
        </w:tabs>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i/>
          <w:snapToGrid w:val="0"/>
          <w:color w:val="000000" w:themeColor="text1"/>
          <w:spacing w:val="0"/>
          <w:sz w:val="24"/>
          <w14:textFill>
            <w14:solidFill>
              <w14:schemeClr w14:val="tx1"/>
            </w14:solidFill>
          </w14:textFill>
        </w:rPr>
      </w:pPr>
    </w:p>
    <w:p w14:paraId="114AF043">
      <w:pPr>
        <w:keepNext w:val="0"/>
        <w:keepLines w:val="0"/>
        <w:tabs>
          <w:tab w:val="left" w:pos="1800"/>
          <w:tab w:val="left" w:pos="5580"/>
        </w:tabs>
        <w:kinsoku/>
        <w:wordWrap/>
        <w:overflowPunct/>
        <w:topLinePunct w:val="0"/>
        <w:autoSpaceDE/>
        <w:autoSpaceDN/>
        <w:bidi w:val="0"/>
        <w:adjustRightInd w:val="0"/>
        <w:snapToGrid w:val="0"/>
        <w:spacing w:line="360" w:lineRule="auto"/>
        <w:ind w:left="0" w:leftChars="0" w:right="0" w:firstLine="240"/>
        <w:jc w:val="left"/>
        <w:textAlignment w:val="auto"/>
        <w:rPr>
          <w:rFonts w:hint="eastAsia" w:ascii="宋体" w:hAnsi="宋体" w:eastAsia="宋体" w:cs="宋体"/>
          <w:snapToGrid w:val="0"/>
          <w:color w:val="000000" w:themeColor="text1"/>
          <w:spacing w:val="0"/>
          <w:sz w:val="24"/>
          <w:u w:val="single"/>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项目编号/包号：_____________________     项目名称：____________</w:t>
      </w:r>
    </w:p>
    <w:p w14:paraId="146C7761">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p>
    <w:p w14:paraId="70537B7E">
      <w:pPr>
        <w:pStyle w:val="8"/>
        <w:keepNext w:val="0"/>
        <w:keepLines w:val="0"/>
        <w:kinsoku/>
        <w:wordWrap/>
        <w:overflowPunct/>
        <w:topLinePunct w:val="0"/>
        <w:autoSpaceDE/>
        <w:autoSpaceDN/>
        <w:bidi w:val="0"/>
        <w:adjustRightInd w:val="0"/>
        <w:snapToGrid w:val="0"/>
        <w:spacing w:before="0" w:line="360" w:lineRule="auto"/>
        <w:ind w:left="0" w:leftChars="0" w:right="0"/>
        <w:textAlignment w:val="auto"/>
        <w:rPr>
          <w:rFonts w:hint="eastAsia" w:ascii="宋体" w:hAnsi="宋体" w:eastAsia="宋体" w:cs="宋体"/>
          <w:snapToGrid w:val="0"/>
          <w:color w:val="000000" w:themeColor="text1"/>
          <w:spacing w:val="0"/>
          <w14:textFill>
            <w14:solidFill>
              <w14:schemeClr w14:val="tx1"/>
            </w14:solidFill>
          </w14:textFill>
        </w:rPr>
      </w:pPr>
    </w:p>
    <w:tbl>
      <w:tblPr>
        <w:tblStyle w:val="13"/>
        <w:tblW w:w="48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49"/>
        <w:gridCol w:w="3243"/>
        <w:gridCol w:w="1931"/>
        <w:gridCol w:w="2039"/>
      </w:tblGrid>
      <w:tr w14:paraId="56384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5" w:hRule="atLeast"/>
          <w:jc w:val="center"/>
        </w:trPr>
        <w:tc>
          <w:tcPr>
            <w:tcW w:w="527" w:type="pct"/>
            <w:vMerge w:val="restart"/>
            <w:tcBorders>
              <w:top w:val="single" w:color="auto" w:sz="4" w:space="0"/>
              <w:left w:val="single" w:color="auto" w:sz="4" w:space="0"/>
              <w:bottom w:val="single" w:color="auto" w:sz="4" w:space="0"/>
              <w:right w:val="single" w:color="auto" w:sz="4" w:space="0"/>
            </w:tcBorders>
            <w:noWrap w:val="0"/>
            <w:vAlign w:val="center"/>
          </w:tcPr>
          <w:p w14:paraId="6847E839">
            <w:pPr>
              <w:keepNext w:val="0"/>
              <w:keepLines w:val="0"/>
              <w:tabs>
                <w:tab w:val="left" w:pos="5580"/>
              </w:tabs>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b/>
                <w:snapToGrid w:val="0"/>
                <w:color w:val="000000" w:themeColor="text1"/>
                <w:spacing w:val="0"/>
                <w:sz w:val="24"/>
                <w14:textFill>
                  <w14:solidFill>
                    <w14:schemeClr w14:val="tx1"/>
                  </w14:solidFill>
                </w14:textFill>
              </w:rPr>
            </w:pPr>
            <w:r>
              <w:rPr>
                <w:rFonts w:hint="eastAsia" w:ascii="宋体" w:hAnsi="宋体" w:eastAsia="宋体" w:cs="宋体"/>
                <w:b/>
                <w:snapToGrid w:val="0"/>
                <w:color w:val="000000" w:themeColor="text1"/>
                <w:spacing w:val="0"/>
                <w:sz w:val="24"/>
                <w14:textFill>
                  <w14:solidFill>
                    <w14:schemeClr w14:val="tx1"/>
                  </w14:solidFill>
                </w14:textFill>
              </w:rPr>
              <w:t>序号</w:t>
            </w:r>
          </w:p>
        </w:tc>
        <w:tc>
          <w:tcPr>
            <w:tcW w:w="2011" w:type="pct"/>
            <w:vMerge w:val="restart"/>
            <w:tcBorders>
              <w:top w:val="single" w:color="auto" w:sz="4" w:space="0"/>
              <w:left w:val="single" w:color="auto" w:sz="4" w:space="0"/>
              <w:bottom w:val="single" w:color="auto" w:sz="4" w:space="0"/>
              <w:right w:val="single" w:color="auto" w:sz="4" w:space="0"/>
            </w:tcBorders>
            <w:noWrap w:val="0"/>
            <w:vAlign w:val="center"/>
          </w:tcPr>
          <w:p w14:paraId="07747535">
            <w:pPr>
              <w:keepNext w:val="0"/>
              <w:keepLines w:val="0"/>
              <w:tabs>
                <w:tab w:val="left" w:pos="5580"/>
              </w:tabs>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b/>
                <w:snapToGrid w:val="0"/>
                <w:color w:val="000000" w:themeColor="text1"/>
                <w:spacing w:val="0"/>
                <w:sz w:val="24"/>
                <w14:textFill>
                  <w14:solidFill>
                    <w14:schemeClr w14:val="tx1"/>
                  </w14:solidFill>
                </w14:textFill>
              </w:rPr>
            </w:pPr>
            <w:r>
              <w:rPr>
                <w:rFonts w:hint="eastAsia" w:ascii="宋体" w:hAnsi="宋体" w:eastAsia="宋体" w:cs="宋体"/>
                <w:b/>
                <w:snapToGrid w:val="0"/>
                <w:color w:val="000000" w:themeColor="text1"/>
                <w:spacing w:val="0"/>
                <w:sz w:val="24"/>
                <w14:textFill>
                  <w14:solidFill>
                    <w14:schemeClr w14:val="tx1"/>
                  </w14:solidFill>
                </w14:textFill>
              </w:rPr>
              <w:t>投标人名称</w:t>
            </w:r>
          </w:p>
        </w:tc>
        <w:tc>
          <w:tcPr>
            <w:tcW w:w="2461" w:type="pct"/>
            <w:gridSpan w:val="2"/>
            <w:tcBorders>
              <w:top w:val="single" w:color="auto" w:sz="4" w:space="0"/>
              <w:left w:val="single" w:color="auto" w:sz="4" w:space="0"/>
              <w:bottom w:val="single" w:color="auto" w:sz="4" w:space="0"/>
              <w:right w:val="single" w:color="auto" w:sz="4" w:space="0"/>
            </w:tcBorders>
            <w:noWrap w:val="0"/>
            <w:vAlign w:val="center"/>
          </w:tcPr>
          <w:p w14:paraId="30E8036D">
            <w:pPr>
              <w:keepNext w:val="0"/>
              <w:keepLines w:val="0"/>
              <w:tabs>
                <w:tab w:val="left" w:pos="5580"/>
              </w:tabs>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b/>
                <w:snapToGrid w:val="0"/>
                <w:color w:val="000000" w:themeColor="text1"/>
                <w:spacing w:val="0"/>
                <w:sz w:val="24"/>
                <w14:textFill>
                  <w14:solidFill>
                    <w14:schemeClr w14:val="tx1"/>
                  </w14:solidFill>
                </w14:textFill>
              </w:rPr>
            </w:pPr>
            <w:r>
              <w:rPr>
                <w:rFonts w:hint="eastAsia" w:ascii="宋体" w:hAnsi="宋体" w:eastAsia="宋体" w:cs="宋体"/>
                <w:b/>
                <w:snapToGrid w:val="0"/>
                <w:color w:val="000000" w:themeColor="text1"/>
                <w:spacing w:val="0"/>
                <w:sz w:val="24"/>
                <w14:textFill>
                  <w14:solidFill>
                    <w14:schemeClr w14:val="tx1"/>
                  </w14:solidFill>
                </w14:textFill>
              </w:rPr>
              <w:t>报价（元/年）</w:t>
            </w:r>
          </w:p>
        </w:tc>
      </w:tr>
      <w:tr w14:paraId="20D88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7" w:hRule="atLeast"/>
          <w:jc w:val="center"/>
        </w:trPr>
        <w:tc>
          <w:tcPr>
            <w:tcW w:w="527" w:type="pct"/>
            <w:vMerge w:val="continue"/>
            <w:tcBorders>
              <w:top w:val="single" w:color="auto" w:sz="4" w:space="0"/>
              <w:left w:val="single" w:color="auto" w:sz="4" w:space="0"/>
              <w:bottom w:val="single" w:color="auto" w:sz="4" w:space="0"/>
              <w:right w:val="single" w:color="auto" w:sz="4" w:space="0"/>
            </w:tcBorders>
            <w:noWrap w:val="0"/>
            <w:vAlign w:val="center"/>
          </w:tcPr>
          <w:p w14:paraId="59A0F652">
            <w:pPr>
              <w:keepNext w:val="0"/>
              <w:keepLines w:val="0"/>
              <w:widowControl/>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b/>
                <w:snapToGrid w:val="0"/>
                <w:color w:val="000000" w:themeColor="text1"/>
                <w:spacing w:val="0"/>
                <w:sz w:val="24"/>
                <w14:textFill>
                  <w14:solidFill>
                    <w14:schemeClr w14:val="tx1"/>
                  </w14:solidFill>
                </w14:textFill>
              </w:rPr>
            </w:pPr>
          </w:p>
        </w:tc>
        <w:tc>
          <w:tcPr>
            <w:tcW w:w="2011" w:type="pct"/>
            <w:vMerge w:val="continue"/>
            <w:tcBorders>
              <w:top w:val="single" w:color="auto" w:sz="4" w:space="0"/>
              <w:left w:val="single" w:color="auto" w:sz="4" w:space="0"/>
              <w:bottom w:val="single" w:color="auto" w:sz="4" w:space="0"/>
              <w:right w:val="single" w:color="auto" w:sz="4" w:space="0"/>
            </w:tcBorders>
            <w:noWrap w:val="0"/>
            <w:vAlign w:val="center"/>
          </w:tcPr>
          <w:p w14:paraId="3DAC4EE4">
            <w:pPr>
              <w:keepNext w:val="0"/>
              <w:keepLines w:val="0"/>
              <w:widowControl/>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b/>
                <w:snapToGrid w:val="0"/>
                <w:color w:val="000000" w:themeColor="text1"/>
                <w:spacing w:val="0"/>
                <w:sz w:val="24"/>
                <w14:textFill>
                  <w14:solidFill>
                    <w14:schemeClr w14:val="tx1"/>
                  </w14:solidFill>
                </w14:textFill>
              </w:rPr>
            </w:pPr>
          </w:p>
        </w:tc>
        <w:tc>
          <w:tcPr>
            <w:tcW w:w="1197" w:type="pct"/>
            <w:tcBorders>
              <w:top w:val="single" w:color="auto" w:sz="4" w:space="0"/>
              <w:left w:val="single" w:color="auto" w:sz="4" w:space="0"/>
              <w:bottom w:val="single" w:color="auto" w:sz="4" w:space="0"/>
              <w:right w:val="single" w:color="auto" w:sz="4" w:space="0"/>
            </w:tcBorders>
            <w:noWrap w:val="0"/>
            <w:vAlign w:val="center"/>
          </w:tcPr>
          <w:p w14:paraId="3DCD8F9F">
            <w:pPr>
              <w:keepNext w:val="0"/>
              <w:keepLines w:val="0"/>
              <w:tabs>
                <w:tab w:val="left" w:pos="5580"/>
              </w:tabs>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b/>
                <w:snapToGrid w:val="0"/>
                <w:color w:val="000000" w:themeColor="text1"/>
                <w:spacing w:val="0"/>
                <w:sz w:val="24"/>
                <w14:textFill>
                  <w14:solidFill>
                    <w14:schemeClr w14:val="tx1"/>
                  </w14:solidFill>
                </w14:textFill>
              </w:rPr>
            </w:pPr>
            <w:r>
              <w:rPr>
                <w:rFonts w:hint="eastAsia" w:ascii="宋体" w:hAnsi="宋体" w:eastAsia="宋体" w:cs="宋体"/>
                <w:b/>
                <w:snapToGrid w:val="0"/>
                <w:color w:val="000000" w:themeColor="text1"/>
                <w:spacing w:val="0"/>
                <w:sz w:val="24"/>
                <w14:textFill>
                  <w14:solidFill>
                    <w14:schemeClr w14:val="tx1"/>
                  </w14:solidFill>
                </w14:textFill>
              </w:rPr>
              <w:t>大写</w:t>
            </w:r>
          </w:p>
        </w:tc>
        <w:tc>
          <w:tcPr>
            <w:tcW w:w="1264" w:type="pct"/>
            <w:tcBorders>
              <w:top w:val="single" w:color="auto" w:sz="4" w:space="0"/>
              <w:left w:val="single" w:color="auto" w:sz="4" w:space="0"/>
              <w:bottom w:val="single" w:color="auto" w:sz="4" w:space="0"/>
              <w:right w:val="single" w:color="auto" w:sz="4" w:space="0"/>
            </w:tcBorders>
            <w:noWrap w:val="0"/>
            <w:vAlign w:val="center"/>
          </w:tcPr>
          <w:p w14:paraId="4E641B76">
            <w:pPr>
              <w:keepNext w:val="0"/>
              <w:keepLines w:val="0"/>
              <w:tabs>
                <w:tab w:val="left" w:pos="5580"/>
              </w:tabs>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b/>
                <w:snapToGrid w:val="0"/>
                <w:color w:val="000000" w:themeColor="text1"/>
                <w:spacing w:val="0"/>
                <w:sz w:val="24"/>
                <w14:textFill>
                  <w14:solidFill>
                    <w14:schemeClr w14:val="tx1"/>
                  </w14:solidFill>
                </w14:textFill>
              </w:rPr>
            </w:pPr>
            <w:r>
              <w:rPr>
                <w:rFonts w:hint="eastAsia" w:ascii="宋体" w:hAnsi="宋体" w:eastAsia="宋体" w:cs="宋体"/>
                <w:b/>
                <w:snapToGrid w:val="0"/>
                <w:color w:val="000000" w:themeColor="text1"/>
                <w:spacing w:val="0"/>
                <w:sz w:val="24"/>
                <w14:textFill>
                  <w14:solidFill>
                    <w14:schemeClr w14:val="tx1"/>
                  </w14:solidFill>
                </w14:textFill>
              </w:rPr>
              <w:t>小写</w:t>
            </w:r>
          </w:p>
        </w:tc>
      </w:tr>
      <w:tr w14:paraId="79D92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14" w:hRule="atLeast"/>
          <w:jc w:val="center"/>
        </w:trPr>
        <w:tc>
          <w:tcPr>
            <w:tcW w:w="527" w:type="pct"/>
            <w:tcBorders>
              <w:top w:val="single" w:color="auto" w:sz="4" w:space="0"/>
              <w:left w:val="single" w:color="auto" w:sz="4" w:space="0"/>
              <w:bottom w:val="single" w:color="auto" w:sz="4" w:space="0"/>
              <w:right w:val="single" w:color="auto" w:sz="4" w:space="0"/>
            </w:tcBorders>
            <w:noWrap w:val="0"/>
            <w:vAlign w:val="center"/>
          </w:tcPr>
          <w:p w14:paraId="2EBE56F6">
            <w:pPr>
              <w:keepNext w:val="0"/>
              <w:keepLines w:val="0"/>
              <w:tabs>
                <w:tab w:val="left" w:pos="5580"/>
              </w:tabs>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snapToGrid w:val="0"/>
                <w:color w:val="000000" w:themeColor="text1"/>
                <w:spacing w:val="0"/>
                <w:sz w:val="24"/>
                <w14:textFill>
                  <w14:solidFill>
                    <w14:schemeClr w14:val="tx1"/>
                  </w14:solidFill>
                </w14:textFill>
              </w:rPr>
            </w:pPr>
          </w:p>
        </w:tc>
        <w:tc>
          <w:tcPr>
            <w:tcW w:w="2011" w:type="pct"/>
            <w:tcBorders>
              <w:top w:val="single" w:color="auto" w:sz="4" w:space="0"/>
              <w:left w:val="single" w:color="auto" w:sz="4" w:space="0"/>
              <w:bottom w:val="single" w:color="auto" w:sz="4" w:space="0"/>
              <w:right w:val="single" w:color="auto" w:sz="4" w:space="0"/>
            </w:tcBorders>
            <w:noWrap w:val="0"/>
            <w:vAlign w:val="center"/>
          </w:tcPr>
          <w:p w14:paraId="1AAD3E0D">
            <w:pPr>
              <w:keepNext w:val="0"/>
              <w:keepLines w:val="0"/>
              <w:tabs>
                <w:tab w:val="left" w:pos="5580"/>
              </w:tabs>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snapToGrid w:val="0"/>
                <w:color w:val="000000" w:themeColor="text1"/>
                <w:spacing w:val="0"/>
                <w:sz w:val="24"/>
                <w14:textFill>
                  <w14:solidFill>
                    <w14:schemeClr w14:val="tx1"/>
                  </w14:solidFill>
                </w14:textFill>
              </w:rPr>
            </w:pPr>
          </w:p>
        </w:tc>
        <w:tc>
          <w:tcPr>
            <w:tcW w:w="1197" w:type="pct"/>
            <w:tcBorders>
              <w:top w:val="single" w:color="auto" w:sz="4" w:space="0"/>
              <w:left w:val="single" w:color="auto" w:sz="4" w:space="0"/>
              <w:bottom w:val="single" w:color="auto" w:sz="4" w:space="0"/>
              <w:right w:val="single" w:color="auto" w:sz="4" w:space="0"/>
            </w:tcBorders>
            <w:noWrap w:val="0"/>
            <w:vAlign w:val="center"/>
          </w:tcPr>
          <w:p w14:paraId="48821F6A">
            <w:pPr>
              <w:keepNext w:val="0"/>
              <w:keepLines w:val="0"/>
              <w:tabs>
                <w:tab w:val="left" w:pos="5580"/>
              </w:tabs>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snapToGrid w:val="0"/>
                <w:color w:val="000000" w:themeColor="text1"/>
                <w:spacing w:val="0"/>
                <w:sz w:val="24"/>
                <w14:textFill>
                  <w14:solidFill>
                    <w14:schemeClr w14:val="tx1"/>
                  </w14:solidFill>
                </w14:textFill>
              </w:rPr>
            </w:pPr>
          </w:p>
        </w:tc>
        <w:tc>
          <w:tcPr>
            <w:tcW w:w="1264" w:type="pct"/>
            <w:tcBorders>
              <w:top w:val="single" w:color="auto" w:sz="4" w:space="0"/>
              <w:left w:val="single" w:color="auto" w:sz="4" w:space="0"/>
              <w:bottom w:val="single" w:color="auto" w:sz="4" w:space="0"/>
              <w:right w:val="single" w:color="auto" w:sz="4" w:space="0"/>
            </w:tcBorders>
            <w:noWrap w:val="0"/>
            <w:vAlign w:val="center"/>
          </w:tcPr>
          <w:p w14:paraId="7CDD3518">
            <w:pPr>
              <w:keepNext w:val="0"/>
              <w:keepLines w:val="0"/>
              <w:tabs>
                <w:tab w:val="left" w:pos="5580"/>
              </w:tabs>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snapToGrid w:val="0"/>
                <w:color w:val="000000" w:themeColor="text1"/>
                <w:spacing w:val="0"/>
                <w:sz w:val="24"/>
                <w14:textFill>
                  <w14:solidFill>
                    <w14:schemeClr w14:val="tx1"/>
                  </w14:solidFill>
                </w14:textFill>
              </w:rPr>
            </w:pPr>
          </w:p>
        </w:tc>
      </w:tr>
    </w:tbl>
    <w:p w14:paraId="315F7498">
      <w:pPr>
        <w:keepNext w:val="0"/>
        <w:keepLines w:val="0"/>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p>
    <w:p w14:paraId="3524316B">
      <w:pPr>
        <w:pStyle w:val="8"/>
        <w:keepNext w:val="0"/>
        <w:keepLines w:val="0"/>
        <w:kinsoku/>
        <w:wordWrap/>
        <w:overflowPunct/>
        <w:topLinePunct w:val="0"/>
        <w:autoSpaceDE/>
        <w:autoSpaceDN/>
        <w:bidi w:val="0"/>
        <w:adjustRightInd w:val="0"/>
        <w:snapToGrid w:val="0"/>
        <w:spacing w:before="0" w:line="360" w:lineRule="auto"/>
        <w:ind w:left="0" w:leftChars="0" w:right="0" w:firstLine="200"/>
        <w:textAlignment w:val="auto"/>
        <w:rPr>
          <w:rFonts w:hint="eastAsia" w:ascii="宋体" w:hAnsi="宋体" w:eastAsia="宋体" w:cs="宋体"/>
          <w:snapToGrid w:val="0"/>
          <w:color w:val="000000" w:themeColor="text1"/>
          <w:spacing w:val="0"/>
          <w14:textFill>
            <w14:solidFill>
              <w14:schemeClr w14:val="tx1"/>
            </w14:solidFill>
          </w14:textFill>
        </w:rPr>
      </w:pPr>
      <w:r>
        <w:rPr>
          <w:rFonts w:hint="eastAsia" w:ascii="宋体" w:hAnsi="宋体" w:eastAsia="宋体" w:cs="宋体"/>
          <w:b/>
          <w:snapToGrid w:val="0"/>
          <w:color w:val="000000" w:themeColor="text1"/>
          <w:spacing w:val="0"/>
          <w:sz w:val="21"/>
          <w:szCs w:val="21"/>
          <w14:textFill>
            <w14:solidFill>
              <w14:schemeClr w14:val="tx1"/>
            </w14:solidFill>
          </w14:textFill>
        </w:rPr>
        <w:t xml:space="preserve"> </w:t>
      </w:r>
    </w:p>
    <w:p w14:paraId="0A0E540E">
      <w:pPr>
        <w:keepNext w:val="0"/>
        <w:keepLines w:val="0"/>
        <w:kinsoku/>
        <w:wordWrap/>
        <w:overflowPunct/>
        <w:topLinePunct w:val="0"/>
        <w:autoSpaceDE/>
        <w:autoSpaceDN/>
        <w:bidi w:val="0"/>
        <w:adjustRightInd w:val="0"/>
        <w:snapToGrid w:val="0"/>
        <w:spacing w:line="360" w:lineRule="auto"/>
        <w:ind w:right="0"/>
        <w:textAlignment w:val="auto"/>
        <w:rPr>
          <w:rFonts w:hint="eastAsia" w:ascii="宋体" w:hAnsi="宋体" w:eastAsia="宋体" w:cs="宋体"/>
          <w:snapToGrid w:val="0"/>
          <w:color w:val="000000" w:themeColor="text1"/>
          <w:spacing w:val="0"/>
          <w:sz w:val="24"/>
          <w:lang w:val="zh-CN"/>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投标人</w:t>
      </w:r>
      <w:r>
        <w:rPr>
          <w:rFonts w:hint="eastAsia" w:ascii="宋体" w:hAnsi="宋体" w:eastAsia="宋体" w:cs="宋体"/>
          <w:snapToGrid w:val="0"/>
          <w:color w:val="000000" w:themeColor="text1"/>
          <w:spacing w:val="0"/>
          <w:sz w:val="24"/>
          <w14:textFill>
            <w14:solidFill>
              <w14:schemeClr w14:val="tx1"/>
            </w14:solidFill>
          </w14:textFill>
        </w:rPr>
        <w:t>名称（加盖公章）</w:t>
      </w:r>
      <w:r>
        <w:rPr>
          <w:rFonts w:hint="eastAsia" w:ascii="宋体" w:hAnsi="宋体" w:eastAsia="宋体" w:cs="宋体"/>
          <w:snapToGrid w:val="0"/>
          <w:color w:val="000000" w:themeColor="text1"/>
          <w:spacing w:val="0"/>
          <w:sz w:val="24"/>
          <w:lang w:val="zh-CN"/>
          <w14:textFill>
            <w14:solidFill>
              <w14:schemeClr w14:val="tx1"/>
            </w14:solidFill>
          </w14:textFill>
        </w:rPr>
        <w:t>：____________</w:t>
      </w:r>
    </w:p>
    <w:p w14:paraId="48983A68">
      <w:pPr>
        <w:keepNext w:val="0"/>
        <w:keepLines w:val="0"/>
        <w:kinsoku/>
        <w:wordWrap/>
        <w:overflowPunct/>
        <w:topLinePunct w:val="0"/>
        <w:autoSpaceDE/>
        <w:autoSpaceDN/>
        <w:bidi w:val="0"/>
        <w:adjustRightInd w:val="0"/>
        <w:snapToGrid w:val="0"/>
        <w:spacing w:line="360" w:lineRule="auto"/>
        <w:ind w:right="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 xml:space="preserve">日期：_____年______月______日  </w:t>
      </w:r>
    </w:p>
    <w:p w14:paraId="430183BA">
      <w:pPr>
        <w:keepNext w:val="0"/>
        <w:keepLines w:val="0"/>
        <w:kinsoku/>
        <w:wordWrap/>
        <w:overflowPunct/>
        <w:topLinePunct w:val="0"/>
        <w:autoSpaceDE/>
        <w:autoSpaceDN/>
        <w:bidi w:val="0"/>
        <w:adjustRightInd w:val="0"/>
        <w:snapToGrid w:val="0"/>
        <w:spacing w:line="360" w:lineRule="auto"/>
        <w:ind w:left="0" w:leftChars="0" w:right="0"/>
        <w:textAlignment w:val="auto"/>
        <w:outlineLvl w:val="2"/>
        <w:rPr>
          <w:rFonts w:hint="eastAsia" w:ascii="宋体" w:hAnsi="宋体" w:eastAsia="宋体" w:cs="宋体"/>
          <w:snapToGrid w:val="0"/>
          <w:color w:val="000000" w:themeColor="text1"/>
          <w:spacing w:val="0"/>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30C019E3">
      <w:pPr>
        <w:keepNext w:val="0"/>
        <w:keepLines w:val="0"/>
        <w:kinsoku/>
        <w:wordWrap/>
        <w:overflowPunct/>
        <w:topLinePunct w:val="0"/>
        <w:autoSpaceDE/>
        <w:autoSpaceDN/>
        <w:bidi w:val="0"/>
        <w:adjustRightInd w:val="0"/>
        <w:snapToGrid w:val="0"/>
        <w:spacing w:line="360" w:lineRule="auto"/>
        <w:ind w:left="0" w:leftChars="0" w:right="0"/>
        <w:textAlignment w:val="auto"/>
        <w:outlineLvl w:val="2"/>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14:textFill>
            <w14:solidFill>
              <w14:schemeClr w14:val="tx1"/>
            </w14:solidFill>
          </w14:textFill>
        </w:rPr>
        <w:t>5</w:t>
      </w:r>
      <w:r>
        <w:rPr>
          <w:rFonts w:hint="eastAsia" w:ascii="宋体" w:hAnsi="宋体" w:eastAsia="宋体" w:cs="宋体"/>
          <w:snapToGrid w:val="0"/>
          <w:color w:val="000000" w:themeColor="text1"/>
          <w:spacing w:val="0"/>
          <w:sz w:val="24"/>
          <w:szCs w:val="20"/>
          <w14:textFill>
            <w14:solidFill>
              <w14:schemeClr w14:val="tx1"/>
            </w14:solidFill>
          </w14:textFill>
        </w:rPr>
        <w:t>分项报价表</w:t>
      </w:r>
    </w:p>
    <w:p w14:paraId="10FCC58C">
      <w:pPr>
        <w:keepNext w:val="0"/>
        <w:keepLines w:val="0"/>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b/>
          <w:snapToGrid w:val="0"/>
          <w:color w:val="000000" w:themeColor="text1"/>
          <w:spacing w:val="0"/>
          <w:sz w:val="36"/>
          <w:szCs w:val="36"/>
          <w14:textFill>
            <w14:solidFill>
              <w14:schemeClr w14:val="tx1"/>
            </w14:solidFill>
          </w14:textFill>
        </w:rPr>
      </w:pPr>
      <w:r>
        <w:rPr>
          <w:rFonts w:hint="eastAsia" w:ascii="宋体" w:hAnsi="宋体" w:eastAsia="宋体" w:cs="宋体"/>
          <w:b/>
          <w:snapToGrid w:val="0"/>
          <w:color w:val="000000" w:themeColor="text1"/>
          <w:spacing w:val="0"/>
          <w:sz w:val="36"/>
          <w:szCs w:val="36"/>
          <w14:textFill>
            <w14:solidFill>
              <w14:schemeClr w14:val="tx1"/>
            </w14:solidFill>
          </w14:textFill>
        </w:rPr>
        <w:t>分项报价表</w:t>
      </w:r>
    </w:p>
    <w:p w14:paraId="3842B7E3">
      <w:pPr>
        <w:pStyle w:val="6"/>
        <w:rPr>
          <w:rFonts w:hint="eastAsia"/>
          <w:color w:val="000000" w:themeColor="text1"/>
          <w14:textFill>
            <w14:solidFill>
              <w14:schemeClr w14:val="tx1"/>
            </w14:solidFill>
          </w14:textFill>
        </w:rPr>
      </w:pPr>
    </w:p>
    <w:p w14:paraId="7ECD7163">
      <w:pPr>
        <w:keepNext w:val="0"/>
        <w:keepLines w:val="0"/>
        <w:kinsoku/>
        <w:wordWrap/>
        <w:overflowPunct/>
        <w:topLinePunct w:val="0"/>
        <w:autoSpaceDE/>
        <w:autoSpaceDN/>
        <w:bidi w:val="0"/>
        <w:adjustRightInd w:val="0"/>
        <w:snapToGrid w:val="0"/>
        <w:spacing w:line="360" w:lineRule="auto"/>
        <w:ind w:left="0" w:leftChars="0" w:right="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项目编号/包号：___________ 项目名称：__________报价单位：人民币元</w:t>
      </w:r>
    </w:p>
    <w:tbl>
      <w:tblPr>
        <w:tblStyle w:val="13"/>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1423"/>
        <w:gridCol w:w="2533"/>
        <w:gridCol w:w="1042"/>
        <w:gridCol w:w="992"/>
        <w:gridCol w:w="919"/>
        <w:gridCol w:w="1072"/>
      </w:tblGrid>
      <w:tr w14:paraId="6E263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669" w:type="dxa"/>
            <w:vMerge w:val="restart"/>
            <w:tcBorders>
              <w:top w:val="single" w:color="auto" w:sz="4" w:space="0"/>
              <w:left w:val="single" w:color="auto" w:sz="4" w:space="0"/>
              <w:bottom w:val="single" w:color="auto" w:sz="4" w:space="0"/>
              <w:right w:val="single" w:color="auto" w:sz="4" w:space="0"/>
            </w:tcBorders>
            <w:noWrap w:val="0"/>
            <w:vAlign w:val="center"/>
          </w:tcPr>
          <w:p w14:paraId="0B384CE6">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序号</w:t>
            </w:r>
          </w:p>
        </w:tc>
        <w:tc>
          <w:tcPr>
            <w:tcW w:w="1423" w:type="dxa"/>
            <w:vMerge w:val="restart"/>
            <w:tcBorders>
              <w:top w:val="single" w:color="auto" w:sz="4" w:space="0"/>
              <w:left w:val="single" w:color="auto" w:sz="4" w:space="0"/>
              <w:bottom w:val="single" w:color="auto" w:sz="4" w:space="0"/>
              <w:right w:val="single" w:color="auto" w:sz="4" w:space="0"/>
            </w:tcBorders>
            <w:noWrap w:val="0"/>
            <w:vAlign w:val="center"/>
          </w:tcPr>
          <w:p w14:paraId="2BFAD3EF">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分项名称</w:t>
            </w:r>
          </w:p>
        </w:tc>
        <w:tc>
          <w:tcPr>
            <w:tcW w:w="2533" w:type="dxa"/>
            <w:vMerge w:val="restart"/>
            <w:tcBorders>
              <w:top w:val="single" w:color="auto" w:sz="4" w:space="0"/>
              <w:left w:val="single" w:color="auto" w:sz="4" w:space="0"/>
              <w:bottom w:val="single" w:color="auto" w:sz="4" w:space="0"/>
              <w:right w:val="single" w:color="auto" w:sz="4" w:space="0"/>
            </w:tcBorders>
            <w:noWrap w:val="0"/>
            <w:vAlign w:val="center"/>
          </w:tcPr>
          <w:p w14:paraId="3A9FD3A2">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服务内容</w:t>
            </w:r>
          </w:p>
        </w:tc>
        <w:tc>
          <w:tcPr>
            <w:tcW w:w="1042" w:type="dxa"/>
            <w:vMerge w:val="restart"/>
            <w:tcBorders>
              <w:top w:val="single" w:color="auto" w:sz="4" w:space="0"/>
              <w:left w:val="single" w:color="auto" w:sz="4" w:space="0"/>
              <w:bottom w:val="single" w:color="auto" w:sz="4" w:space="0"/>
              <w:right w:val="single" w:color="auto" w:sz="4" w:space="0"/>
            </w:tcBorders>
            <w:noWrap w:val="0"/>
            <w:vAlign w:val="center"/>
          </w:tcPr>
          <w:p w14:paraId="4C656C60">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数量</w:t>
            </w:r>
          </w:p>
        </w:tc>
        <w:tc>
          <w:tcPr>
            <w:tcW w:w="992" w:type="dxa"/>
            <w:vMerge w:val="restart"/>
            <w:tcBorders>
              <w:top w:val="single" w:color="auto" w:sz="4" w:space="0"/>
              <w:left w:val="single" w:color="auto" w:sz="4" w:space="0"/>
              <w:bottom w:val="single" w:color="auto" w:sz="4" w:space="0"/>
              <w:right w:val="single" w:color="auto" w:sz="4" w:space="0"/>
            </w:tcBorders>
            <w:noWrap w:val="0"/>
            <w:vAlign w:val="center"/>
          </w:tcPr>
          <w:p w14:paraId="52F746DF">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单位</w:t>
            </w:r>
          </w:p>
        </w:tc>
        <w:tc>
          <w:tcPr>
            <w:tcW w:w="1991" w:type="dxa"/>
            <w:gridSpan w:val="2"/>
            <w:tcBorders>
              <w:top w:val="single" w:color="auto" w:sz="4" w:space="0"/>
              <w:left w:val="single" w:color="auto" w:sz="4" w:space="0"/>
              <w:bottom w:val="single" w:color="auto" w:sz="4" w:space="0"/>
              <w:right w:val="single" w:color="auto" w:sz="4" w:space="0"/>
            </w:tcBorders>
            <w:noWrap w:val="0"/>
            <w:vAlign w:val="center"/>
          </w:tcPr>
          <w:p w14:paraId="4862785F">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报价</w:t>
            </w:r>
          </w:p>
        </w:tc>
      </w:tr>
      <w:tr w14:paraId="6D89D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669" w:type="dxa"/>
            <w:vMerge w:val="continue"/>
            <w:tcBorders>
              <w:top w:val="single" w:color="auto" w:sz="4" w:space="0"/>
              <w:left w:val="single" w:color="auto" w:sz="4" w:space="0"/>
              <w:bottom w:val="single" w:color="auto" w:sz="4" w:space="0"/>
              <w:right w:val="single" w:color="auto" w:sz="4" w:space="0"/>
            </w:tcBorders>
            <w:noWrap w:val="0"/>
            <w:vAlign w:val="center"/>
          </w:tcPr>
          <w:p w14:paraId="0B5DBFE8">
            <w:pPr>
              <w:widowControl/>
              <w:jc w:val="left"/>
              <w:rPr>
                <w:rFonts w:ascii="宋体" w:hAnsi="宋体" w:eastAsia="宋体" w:cs="Arial"/>
                <w:color w:val="000000" w:themeColor="text1"/>
                <w:kern w:val="0"/>
                <w:sz w:val="24"/>
                <w:highlight w:val="none"/>
                <w14:textFill>
                  <w14:solidFill>
                    <w14:schemeClr w14:val="tx1"/>
                  </w14:solidFill>
                </w14:textFill>
              </w:rPr>
            </w:pPr>
          </w:p>
        </w:tc>
        <w:tc>
          <w:tcPr>
            <w:tcW w:w="1423" w:type="dxa"/>
            <w:vMerge w:val="continue"/>
            <w:tcBorders>
              <w:top w:val="single" w:color="auto" w:sz="4" w:space="0"/>
              <w:left w:val="single" w:color="auto" w:sz="4" w:space="0"/>
              <w:bottom w:val="single" w:color="auto" w:sz="4" w:space="0"/>
              <w:right w:val="single" w:color="auto" w:sz="4" w:space="0"/>
            </w:tcBorders>
            <w:noWrap w:val="0"/>
            <w:vAlign w:val="center"/>
          </w:tcPr>
          <w:p w14:paraId="36CCF2B3">
            <w:pPr>
              <w:widowControl/>
              <w:jc w:val="left"/>
              <w:rPr>
                <w:rFonts w:ascii="宋体" w:hAnsi="宋体" w:eastAsia="宋体" w:cs="Arial"/>
                <w:color w:val="000000" w:themeColor="text1"/>
                <w:kern w:val="0"/>
                <w:sz w:val="24"/>
                <w:highlight w:val="none"/>
                <w14:textFill>
                  <w14:solidFill>
                    <w14:schemeClr w14:val="tx1"/>
                  </w14:solidFill>
                </w14:textFill>
              </w:rPr>
            </w:pPr>
          </w:p>
        </w:tc>
        <w:tc>
          <w:tcPr>
            <w:tcW w:w="2533" w:type="dxa"/>
            <w:vMerge w:val="continue"/>
            <w:tcBorders>
              <w:top w:val="single" w:color="auto" w:sz="4" w:space="0"/>
              <w:left w:val="single" w:color="auto" w:sz="4" w:space="0"/>
              <w:bottom w:val="single" w:color="auto" w:sz="4" w:space="0"/>
              <w:right w:val="single" w:color="auto" w:sz="4" w:space="0"/>
            </w:tcBorders>
            <w:noWrap w:val="0"/>
            <w:vAlign w:val="center"/>
          </w:tcPr>
          <w:p w14:paraId="26056A52">
            <w:pPr>
              <w:widowControl/>
              <w:jc w:val="left"/>
              <w:rPr>
                <w:rFonts w:ascii="宋体" w:hAnsi="宋体" w:eastAsia="宋体" w:cs="Arial"/>
                <w:color w:val="000000" w:themeColor="text1"/>
                <w:kern w:val="0"/>
                <w:sz w:val="24"/>
                <w:highlight w:val="none"/>
                <w14:textFill>
                  <w14:solidFill>
                    <w14:schemeClr w14:val="tx1"/>
                  </w14:solidFill>
                </w14:textFill>
              </w:rPr>
            </w:pPr>
          </w:p>
        </w:tc>
        <w:tc>
          <w:tcPr>
            <w:tcW w:w="1042" w:type="dxa"/>
            <w:vMerge w:val="continue"/>
            <w:tcBorders>
              <w:top w:val="single" w:color="auto" w:sz="4" w:space="0"/>
              <w:left w:val="single" w:color="auto" w:sz="4" w:space="0"/>
              <w:bottom w:val="single" w:color="auto" w:sz="4" w:space="0"/>
              <w:right w:val="single" w:color="auto" w:sz="4" w:space="0"/>
            </w:tcBorders>
            <w:noWrap w:val="0"/>
            <w:vAlign w:val="center"/>
          </w:tcPr>
          <w:p w14:paraId="0B7EB12F">
            <w:pPr>
              <w:widowControl/>
              <w:jc w:val="left"/>
              <w:rPr>
                <w:rFonts w:ascii="宋体" w:hAnsi="宋体" w:eastAsia="宋体" w:cs="Arial"/>
                <w:color w:val="000000" w:themeColor="text1"/>
                <w:kern w:val="0"/>
                <w:sz w:val="24"/>
                <w:highlight w:val="none"/>
                <w14:textFill>
                  <w14:solidFill>
                    <w14:schemeClr w14:val="tx1"/>
                  </w14:solidFill>
                </w14:textFill>
              </w:rPr>
            </w:pPr>
          </w:p>
        </w:tc>
        <w:tc>
          <w:tcPr>
            <w:tcW w:w="992" w:type="dxa"/>
            <w:vMerge w:val="continue"/>
            <w:tcBorders>
              <w:top w:val="single" w:color="auto" w:sz="4" w:space="0"/>
              <w:left w:val="single" w:color="auto" w:sz="4" w:space="0"/>
              <w:bottom w:val="single" w:color="auto" w:sz="4" w:space="0"/>
              <w:right w:val="single" w:color="auto" w:sz="4" w:space="0"/>
            </w:tcBorders>
            <w:noWrap w:val="0"/>
            <w:vAlign w:val="center"/>
          </w:tcPr>
          <w:p w14:paraId="1207F053">
            <w:pPr>
              <w:widowControl/>
              <w:jc w:val="left"/>
              <w:rPr>
                <w:rFonts w:ascii="宋体" w:hAnsi="宋体" w:eastAsia="宋体" w:cs="Arial"/>
                <w:color w:val="000000" w:themeColor="text1"/>
                <w:kern w:val="0"/>
                <w:sz w:val="24"/>
                <w:highlight w:val="none"/>
                <w14:textFill>
                  <w14:solidFill>
                    <w14:schemeClr w14:val="tx1"/>
                  </w14:solidFill>
                </w14:textFill>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333E2B2F">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单价</w:t>
            </w:r>
          </w:p>
        </w:tc>
        <w:tc>
          <w:tcPr>
            <w:tcW w:w="1072" w:type="dxa"/>
            <w:tcBorders>
              <w:top w:val="single" w:color="auto" w:sz="4" w:space="0"/>
              <w:left w:val="single" w:color="auto" w:sz="4" w:space="0"/>
              <w:bottom w:val="single" w:color="auto" w:sz="4" w:space="0"/>
              <w:right w:val="single" w:color="auto" w:sz="4" w:space="0"/>
            </w:tcBorders>
            <w:noWrap w:val="0"/>
            <w:vAlign w:val="center"/>
          </w:tcPr>
          <w:p w14:paraId="01B767E4">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合价</w:t>
            </w:r>
          </w:p>
        </w:tc>
      </w:tr>
      <w:tr w14:paraId="57C64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12D97CB8">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1</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10F566A4">
            <w:pPr>
              <w:widowControl/>
              <w:snapToGrid w:val="0"/>
              <w:spacing w:line="360" w:lineRule="auto"/>
              <w:jc w:val="center"/>
              <w:rPr>
                <w:rFonts w:ascii="宋体" w:hAnsi="宋体" w:eastAsia="宋体" w:cs="Arial"/>
                <w:b/>
                <w:bCs/>
                <w:color w:val="000000" w:themeColor="text1"/>
                <w:kern w:val="0"/>
                <w:sz w:val="24"/>
                <w:highlight w:val="none"/>
                <w14:textFill>
                  <w14:solidFill>
                    <w14:schemeClr w14:val="tx1"/>
                  </w14:solidFill>
                </w14:textFill>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64AE58FF">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529CAA9B">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4DCA492D">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1734A78F">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49458FF8">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r>
      <w:tr w14:paraId="7E701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4AA92008">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2</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33D82713">
            <w:pPr>
              <w:widowControl/>
              <w:snapToGrid w:val="0"/>
              <w:spacing w:line="360" w:lineRule="auto"/>
              <w:jc w:val="center"/>
              <w:rPr>
                <w:rFonts w:ascii="宋体" w:hAnsi="宋体" w:eastAsia="宋体" w:cs="Arial"/>
                <w:b/>
                <w:bCs/>
                <w:color w:val="000000" w:themeColor="text1"/>
                <w:kern w:val="0"/>
                <w:sz w:val="24"/>
                <w:highlight w:val="none"/>
                <w14:textFill>
                  <w14:solidFill>
                    <w14:schemeClr w14:val="tx1"/>
                  </w14:solidFill>
                </w14:textFill>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565B6763">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3C3C49A8">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42329272">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3FBCE016">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234FB50B">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r>
      <w:tr w14:paraId="78EE6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12AFEDD3">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3</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3BF3295B">
            <w:pPr>
              <w:widowControl/>
              <w:snapToGrid w:val="0"/>
              <w:spacing w:line="360" w:lineRule="auto"/>
              <w:jc w:val="center"/>
              <w:rPr>
                <w:rFonts w:ascii="宋体" w:hAnsi="宋体" w:eastAsia="宋体" w:cs="Arial"/>
                <w:b/>
                <w:bCs/>
                <w:color w:val="000000" w:themeColor="text1"/>
                <w:kern w:val="0"/>
                <w:sz w:val="24"/>
                <w:highlight w:val="none"/>
                <w14:textFill>
                  <w14:solidFill>
                    <w14:schemeClr w14:val="tx1"/>
                  </w14:solidFill>
                </w14:textFill>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01D0EC96">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55E538D8">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3E0A2FFF">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01580DBB">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6D8AA9C1">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r>
      <w:tr w14:paraId="4486F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50B70281">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4</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0EDB47D8">
            <w:pPr>
              <w:widowControl/>
              <w:snapToGrid w:val="0"/>
              <w:spacing w:line="360" w:lineRule="auto"/>
              <w:jc w:val="center"/>
              <w:rPr>
                <w:rFonts w:ascii="宋体" w:hAnsi="宋体" w:eastAsia="宋体" w:cs="Arial"/>
                <w:b/>
                <w:bCs/>
                <w:color w:val="000000" w:themeColor="text1"/>
                <w:kern w:val="0"/>
                <w:sz w:val="24"/>
                <w:highlight w:val="none"/>
                <w14:textFill>
                  <w14:solidFill>
                    <w14:schemeClr w14:val="tx1"/>
                  </w14:solidFill>
                </w14:textFill>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2C145B3F">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5E687F86">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31DC8974">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745B3340">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478E0A36">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r>
      <w:tr w14:paraId="4CA3D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49A5E044">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5</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4B0E308D">
            <w:pPr>
              <w:widowControl/>
              <w:snapToGrid w:val="0"/>
              <w:spacing w:line="360" w:lineRule="auto"/>
              <w:jc w:val="center"/>
              <w:rPr>
                <w:rFonts w:ascii="宋体" w:hAnsi="宋体" w:eastAsia="宋体" w:cs="Arial"/>
                <w:b/>
                <w:bCs/>
                <w:color w:val="000000" w:themeColor="text1"/>
                <w:kern w:val="0"/>
                <w:sz w:val="24"/>
                <w:highlight w:val="none"/>
                <w14:textFill>
                  <w14:solidFill>
                    <w14:schemeClr w14:val="tx1"/>
                  </w14:solidFill>
                </w14:textFill>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2CFEC038">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2BAED8B5">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32F72ABE">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4360FFFE">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4998FF9D">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r>
      <w:tr w14:paraId="30966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3700EB5B">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7594853D">
            <w:pPr>
              <w:widowControl/>
              <w:snapToGrid w:val="0"/>
              <w:spacing w:line="360" w:lineRule="auto"/>
              <w:jc w:val="center"/>
              <w:rPr>
                <w:rFonts w:ascii="宋体" w:hAnsi="宋体" w:eastAsia="宋体" w:cs="Arial"/>
                <w:b/>
                <w:bCs/>
                <w:color w:val="000000" w:themeColor="text1"/>
                <w:kern w:val="0"/>
                <w:sz w:val="24"/>
                <w:highlight w:val="none"/>
                <w14:textFill>
                  <w14:solidFill>
                    <w14:schemeClr w14:val="tx1"/>
                  </w14:solidFill>
                </w14:textFill>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1859DC27">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29000C86">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5EBF9D04">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433BE489">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0C57ACEA">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r>
      <w:tr w14:paraId="1EFC0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25" w:type="dxa"/>
            <w:gridSpan w:val="3"/>
            <w:tcBorders>
              <w:top w:val="single" w:color="auto" w:sz="4" w:space="0"/>
              <w:left w:val="single" w:color="auto" w:sz="4" w:space="0"/>
              <w:bottom w:val="single" w:color="auto" w:sz="4" w:space="0"/>
              <w:right w:val="single" w:color="auto" w:sz="4" w:space="0"/>
            </w:tcBorders>
            <w:noWrap w:val="0"/>
            <w:vAlign w:val="center"/>
          </w:tcPr>
          <w:p w14:paraId="4C15769F">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总价</w:t>
            </w:r>
          </w:p>
        </w:tc>
        <w:tc>
          <w:tcPr>
            <w:tcW w:w="4025" w:type="dxa"/>
            <w:gridSpan w:val="4"/>
            <w:tcBorders>
              <w:top w:val="single" w:color="auto" w:sz="4" w:space="0"/>
              <w:left w:val="single" w:color="auto" w:sz="4" w:space="0"/>
              <w:bottom w:val="single" w:color="auto" w:sz="4" w:space="0"/>
              <w:right w:val="single" w:color="auto" w:sz="4" w:space="0"/>
            </w:tcBorders>
            <w:noWrap w:val="0"/>
            <w:vAlign w:val="center"/>
          </w:tcPr>
          <w:p w14:paraId="65C0E31E">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r>
    </w:tbl>
    <w:p w14:paraId="62D40CD7">
      <w:pPr>
        <w:pStyle w:val="2"/>
        <w:rPr>
          <w:rFonts w:hint="eastAsia" w:ascii="宋体" w:hAnsi="宋体" w:eastAsia="宋体" w:cs="宋体"/>
          <w:bCs/>
          <w:snapToGrid w:val="0"/>
          <w:color w:val="000000" w:themeColor="text1"/>
          <w:spacing w:val="0"/>
          <w:sz w:val="24"/>
          <w14:textFill>
            <w14:solidFill>
              <w14:schemeClr w14:val="tx1"/>
            </w14:solidFill>
          </w14:textFill>
        </w:rPr>
      </w:pPr>
    </w:p>
    <w:p w14:paraId="6533BCE8">
      <w:pPr>
        <w:rPr>
          <w:rFonts w:hint="eastAsia"/>
          <w:color w:val="000000" w:themeColor="text1"/>
          <w14:textFill>
            <w14:solidFill>
              <w14:schemeClr w14:val="tx1"/>
            </w14:solidFill>
          </w14:textFill>
        </w:rPr>
      </w:pPr>
    </w:p>
    <w:p w14:paraId="082C1568">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投标人名称（加盖公章）：____________</w:t>
      </w:r>
    </w:p>
    <w:p w14:paraId="5AC5B544">
      <w:pPr>
        <w:keepNext w:val="0"/>
        <w:keepLines w:val="0"/>
        <w:tabs>
          <w:tab w:val="left" w:pos="1800"/>
          <w:tab w:val="left" w:pos="5580"/>
        </w:tabs>
        <w:kinsoku/>
        <w:wordWrap/>
        <w:overflowPunct/>
        <w:topLinePunct w:val="0"/>
        <w:autoSpaceDE/>
        <w:autoSpaceDN/>
        <w:bidi w:val="0"/>
        <w:adjustRightInd w:val="0"/>
        <w:snapToGrid w:val="0"/>
        <w:spacing w:line="360" w:lineRule="auto"/>
        <w:ind w:left="0" w:leftChars="0" w:right="0" w:firstLine="48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日期：_____年______月______日</w:t>
      </w:r>
    </w:p>
    <w:p w14:paraId="2B91A20A">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0B5A026F">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6 合同条款偏离表</w:t>
      </w:r>
    </w:p>
    <w:p w14:paraId="08BED28E">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合同条款偏离表</w:t>
      </w:r>
    </w:p>
    <w:p w14:paraId="731ADC69">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default" w:ascii="宋体" w:hAnsi="宋体" w:eastAsia="宋体" w:cs="宋体"/>
          <w:bCs/>
          <w:snapToGrid w:val="0"/>
          <w:color w:val="000000" w:themeColor="text1"/>
          <w:spacing w:val="0"/>
          <w:sz w:val="24"/>
          <w:lang w:val="en-US" w:eastAsia="zh-CN"/>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项目编号/包号：</w:t>
      </w:r>
      <w:r>
        <w:rPr>
          <w:rFonts w:hint="eastAsia" w:ascii="宋体" w:hAnsi="宋体" w:eastAsia="宋体" w:cs="宋体"/>
          <w:bCs/>
          <w:snapToGrid w:val="0"/>
          <w:color w:val="000000" w:themeColor="text1"/>
          <w:spacing w:val="0"/>
          <w:sz w:val="24"/>
          <w:u w:val="single"/>
          <w:lang w:val="en-US" w:eastAsia="zh-CN"/>
          <w14:textFill>
            <w14:solidFill>
              <w14:schemeClr w14:val="tx1"/>
            </w14:solidFill>
          </w14:textFill>
        </w:rPr>
        <w:t xml:space="preserve">              </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r>
        <w:rPr>
          <w:rFonts w:hint="eastAsia" w:ascii="宋体" w:hAnsi="宋体" w:eastAsia="宋体" w:cs="宋体"/>
          <w:bCs/>
          <w:snapToGrid w:val="0"/>
          <w:color w:val="000000" w:themeColor="text1"/>
          <w:spacing w:val="0"/>
          <w:sz w:val="24"/>
          <w14:textFill>
            <w14:solidFill>
              <w14:schemeClr w14:val="tx1"/>
            </w14:solidFill>
          </w14:textFill>
        </w:rPr>
        <w:t xml:space="preserve">   项目名称：</w:t>
      </w:r>
      <w:r>
        <w:rPr>
          <w:rFonts w:hint="eastAsia" w:ascii="宋体" w:hAnsi="宋体" w:eastAsia="宋体" w:cs="宋体"/>
          <w:bCs/>
          <w:snapToGrid w:val="0"/>
          <w:color w:val="000000" w:themeColor="text1"/>
          <w:spacing w:val="0"/>
          <w:sz w:val="24"/>
          <w:u w:val="single"/>
          <w:lang w:val="en-US" w:eastAsia="zh-CN"/>
          <w14:textFill>
            <w14:solidFill>
              <w14:schemeClr w14:val="tx1"/>
            </w14:solidFill>
          </w14:textFill>
        </w:rPr>
        <w:t xml:space="preserve">                  </w:t>
      </w:r>
    </w:p>
    <w:tbl>
      <w:tblPr>
        <w:tblStyle w:val="13"/>
        <w:tblW w:w="8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
        <w:gridCol w:w="1915"/>
        <w:gridCol w:w="1835"/>
        <w:gridCol w:w="1684"/>
        <w:gridCol w:w="1183"/>
        <w:gridCol w:w="912"/>
      </w:tblGrid>
      <w:tr w14:paraId="453A0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8420" w:type="dxa"/>
            <w:gridSpan w:val="6"/>
            <w:noWrap w:val="0"/>
            <w:tcMar>
              <w:top w:w="0" w:type="dxa"/>
              <w:left w:w="340" w:type="dxa"/>
              <w:bottom w:w="0" w:type="dxa"/>
              <w:right w:w="57" w:type="dxa"/>
            </w:tcMar>
            <w:vAlign w:val="center"/>
          </w:tcPr>
          <w:p w14:paraId="70F141DC">
            <w:pPr>
              <w:keepNext w:val="0"/>
              <w:keepLines w:val="0"/>
              <w:kinsoku/>
              <w:wordWrap/>
              <w:overflowPunct/>
              <w:topLinePunct w:val="0"/>
              <w:autoSpaceDE/>
              <w:autoSpaceDN/>
              <w:bidi w:val="0"/>
              <w:adjustRightInd w:val="0"/>
              <w:snapToGrid w:val="0"/>
              <w:spacing w:line="360" w:lineRule="auto"/>
              <w:ind w:left="0" w:leftChars="0" w:right="0" w:hanging="228"/>
              <w:contextualSpacing/>
              <w:jc w:val="left"/>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r>
              <w:rPr>
                <w:rFonts w:hint="eastAsia" w:ascii="宋体" w:hAnsi="宋体" w:eastAsia="宋体" w:cs="宋体"/>
                <w:bCs/>
                <w:snapToGrid w:val="0"/>
                <w:color w:val="000000" w:themeColor="text1"/>
                <w:spacing w:val="0"/>
                <w:w w:val="100"/>
                <w:sz w:val="24"/>
                <w14:textFill>
                  <w14:solidFill>
                    <w14:schemeClr w14:val="tx1"/>
                  </w14:solidFill>
                </w14:textFill>
              </w:rPr>
              <w:t>对本项目合同条款的偏离情况（请进行勾选）：</w:t>
            </w:r>
          </w:p>
          <w:p w14:paraId="2C913807">
            <w:pPr>
              <w:keepNext w:val="0"/>
              <w:keepLines w:val="0"/>
              <w:kinsoku/>
              <w:wordWrap/>
              <w:overflowPunct/>
              <w:topLinePunct w:val="0"/>
              <w:autoSpaceDE/>
              <w:autoSpaceDN/>
              <w:bidi w:val="0"/>
              <w:adjustRightInd w:val="0"/>
              <w:snapToGrid w:val="0"/>
              <w:spacing w:line="360" w:lineRule="auto"/>
              <w:ind w:left="0" w:leftChars="0" w:right="0" w:hanging="228"/>
              <w:contextualSpacing/>
              <w:jc w:val="left"/>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r>
              <w:rPr>
                <w:rFonts w:hint="eastAsia" w:ascii="宋体" w:hAnsi="宋体" w:eastAsia="宋体" w:cs="宋体"/>
                <w:bCs/>
                <w:snapToGrid w:val="0"/>
                <w:color w:val="000000" w:themeColor="text1"/>
                <w:spacing w:val="0"/>
                <w:w w:val="100"/>
                <w:sz w:val="24"/>
                <w14:textFill>
                  <w14:solidFill>
                    <w14:schemeClr w14:val="tx1"/>
                  </w14:solidFill>
                </w14:textFill>
              </w:rPr>
              <w:t>□无偏离（如无偏离，仅勾选无偏离即可）</w:t>
            </w:r>
          </w:p>
          <w:p w14:paraId="3535651F">
            <w:pPr>
              <w:keepNext w:val="0"/>
              <w:keepLines w:val="0"/>
              <w:kinsoku/>
              <w:wordWrap/>
              <w:overflowPunct/>
              <w:topLinePunct w:val="0"/>
              <w:autoSpaceDE/>
              <w:autoSpaceDN/>
              <w:bidi w:val="0"/>
              <w:adjustRightInd w:val="0"/>
              <w:snapToGrid w:val="0"/>
              <w:spacing w:line="360" w:lineRule="auto"/>
              <w:ind w:left="0" w:leftChars="0" w:right="0" w:hanging="228"/>
              <w:contextualSpacing/>
              <w:jc w:val="left"/>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r>
              <w:rPr>
                <w:rFonts w:hint="eastAsia" w:ascii="宋体" w:hAnsi="宋体" w:eastAsia="宋体" w:cs="宋体"/>
                <w:bCs/>
                <w:snapToGrid w:val="0"/>
                <w:color w:val="000000" w:themeColor="text1"/>
                <w:spacing w:val="0"/>
                <w:w w:val="100"/>
                <w:sz w:val="24"/>
                <w14:textFill>
                  <w14:solidFill>
                    <w14:schemeClr w14:val="tx1"/>
                  </w14:solidFill>
                </w14:textFill>
              </w:rPr>
              <w:t>□有偏离（如有负偏离，则须在本表中对负偏离项逐一列明）</w:t>
            </w:r>
          </w:p>
        </w:tc>
      </w:tr>
      <w:tr w14:paraId="6112D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891" w:type="dxa"/>
            <w:noWrap w:val="0"/>
            <w:tcMar>
              <w:top w:w="0" w:type="dxa"/>
              <w:left w:w="170" w:type="dxa"/>
              <w:bottom w:w="0" w:type="dxa"/>
              <w:right w:w="57" w:type="dxa"/>
            </w:tcMar>
            <w:vAlign w:val="center"/>
          </w:tcPr>
          <w:p w14:paraId="3FC5029E">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r>
              <w:rPr>
                <w:rFonts w:hint="eastAsia" w:ascii="宋体" w:hAnsi="宋体" w:eastAsia="宋体" w:cs="宋体"/>
                <w:bCs/>
                <w:snapToGrid w:val="0"/>
                <w:color w:val="000000" w:themeColor="text1"/>
                <w:spacing w:val="0"/>
                <w:w w:val="100"/>
                <w:sz w:val="24"/>
                <w14:textFill>
                  <w14:solidFill>
                    <w14:schemeClr w14:val="tx1"/>
                  </w14:solidFill>
                </w14:textFill>
              </w:rPr>
              <w:t>序号</w:t>
            </w:r>
          </w:p>
        </w:tc>
        <w:tc>
          <w:tcPr>
            <w:tcW w:w="1915" w:type="dxa"/>
            <w:noWrap w:val="0"/>
            <w:tcMar>
              <w:top w:w="0" w:type="dxa"/>
              <w:left w:w="170" w:type="dxa"/>
              <w:bottom w:w="0" w:type="dxa"/>
              <w:right w:w="57" w:type="dxa"/>
            </w:tcMar>
            <w:vAlign w:val="center"/>
          </w:tcPr>
          <w:p w14:paraId="7294E1FD">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r>
              <w:rPr>
                <w:rFonts w:hint="eastAsia" w:ascii="宋体" w:hAnsi="宋体" w:eastAsia="宋体" w:cs="宋体"/>
                <w:bCs/>
                <w:snapToGrid w:val="0"/>
                <w:color w:val="000000" w:themeColor="text1"/>
                <w:spacing w:val="0"/>
                <w:w w:val="100"/>
                <w:sz w:val="24"/>
                <w14:textFill>
                  <w14:solidFill>
                    <w14:schemeClr w14:val="tx1"/>
                  </w14:solidFill>
                </w14:textFill>
              </w:rPr>
              <w:t>招标文件条目号（页码）</w:t>
            </w:r>
          </w:p>
        </w:tc>
        <w:tc>
          <w:tcPr>
            <w:tcW w:w="1835" w:type="dxa"/>
            <w:noWrap w:val="0"/>
            <w:tcMar>
              <w:top w:w="0" w:type="dxa"/>
              <w:left w:w="170" w:type="dxa"/>
              <w:bottom w:w="0" w:type="dxa"/>
              <w:right w:w="57" w:type="dxa"/>
            </w:tcMar>
            <w:vAlign w:val="center"/>
          </w:tcPr>
          <w:p w14:paraId="33FC942E">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r>
              <w:rPr>
                <w:rFonts w:hint="eastAsia" w:ascii="宋体" w:hAnsi="宋体" w:eastAsia="宋体" w:cs="宋体"/>
                <w:bCs/>
                <w:snapToGrid w:val="0"/>
                <w:color w:val="000000" w:themeColor="text1"/>
                <w:spacing w:val="0"/>
                <w:w w:val="100"/>
                <w:sz w:val="24"/>
                <w14:textFill>
                  <w14:solidFill>
                    <w14:schemeClr w14:val="tx1"/>
                  </w14:solidFill>
                </w14:textFill>
              </w:rPr>
              <w:t>招标文件要求</w:t>
            </w:r>
          </w:p>
        </w:tc>
        <w:tc>
          <w:tcPr>
            <w:tcW w:w="1684" w:type="dxa"/>
            <w:noWrap w:val="0"/>
            <w:tcMar>
              <w:top w:w="0" w:type="dxa"/>
              <w:left w:w="170" w:type="dxa"/>
              <w:bottom w:w="0" w:type="dxa"/>
              <w:right w:w="57" w:type="dxa"/>
            </w:tcMar>
            <w:vAlign w:val="center"/>
          </w:tcPr>
          <w:p w14:paraId="512D7758">
            <w:pPr>
              <w:keepNext w:val="0"/>
              <w:keepLines w:val="0"/>
              <w:kinsoku/>
              <w:wordWrap/>
              <w:overflowPunct/>
              <w:topLinePunct w:val="0"/>
              <w:autoSpaceDE/>
              <w:autoSpaceDN/>
              <w:bidi w:val="0"/>
              <w:adjustRightInd w:val="0"/>
              <w:snapToGrid w:val="0"/>
              <w:spacing w:line="360" w:lineRule="auto"/>
              <w:ind w:left="0" w:leftChars="0" w:right="0" w:hanging="228"/>
              <w:contextualSpacing/>
              <w:jc w:val="right"/>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r>
              <w:rPr>
                <w:rFonts w:hint="eastAsia" w:ascii="宋体" w:hAnsi="宋体" w:eastAsia="宋体" w:cs="宋体"/>
                <w:bCs/>
                <w:snapToGrid w:val="0"/>
                <w:color w:val="000000" w:themeColor="text1"/>
                <w:spacing w:val="0"/>
                <w:w w:val="100"/>
                <w:sz w:val="24"/>
                <w14:textFill>
                  <w14:solidFill>
                    <w14:schemeClr w14:val="tx1"/>
                  </w14:solidFill>
                </w14:textFill>
              </w:rPr>
              <w:t>投标文件内容</w:t>
            </w:r>
          </w:p>
        </w:tc>
        <w:tc>
          <w:tcPr>
            <w:tcW w:w="1183" w:type="dxa"/>
            <w:noWrap w:val="0"/>
            <w:tcMar>
              <w:top w:w="0" w:type="dxa"/>
              <w:left w:w="170" w:type="dxa"/>
              <w:bottom w:w="0" w:type="dxa"/>
              <w:right w:w="57" w:type="dxa"/>
            </w:tcMar>
            <w:vAlign w:val="center"/>
          </w:tcPr>
          <w:p w14:paraId="77A47770">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r>
              <w:rPr>
                <w:rFonts w:hint="eastAsia" w:ascii="宋体" w:hAnsi="宋体" w:eastAsia="宋体" w:cs="宋体"/>
                <w:bCs/>
                <w:snapToGrid w:val="0"/>
                <w:color w:val="000000" w:themeColor="text1"/>
                <w:spacing w:val="0"/>
                <w:w w:val="100"/>
                <w:sz w:val="24"/>
                <w14:textFill>
                  <w14:solidFill>
                    <w14:schemeClr w14:val="tx1"/>
                  </w14:solidFill>
                </w14:textFill>
              </w:rPr>
              <w:t>偏离情况</w:t>
            </w:r>
          </w:p>
        </w:tc>
        <w:tc>
          <w:tcPr>
            <w:tcW w:w="912" w:type="dxa"/>
            <w:noWrap w:val="0"/>
            <w:tcMar>
              <w:top w:w="0" w:type="dxa"/>
              <w:left w:w="170" w:type="dxa"/>
              <w:bottom w:w="0" w:type="dxa"/>
              <w:right w:w="57" w:type="dxa"/>
            </w:tcMar>
            <w:vAlign w:val="center"/>
          </w:tcPr>
          <w:p w14:paraId="7BCA0062">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r>
              <w:rPr>
                <w:rFonts w:hint="eastAsia" w:ascii="宋体" w:hAnsi="宋体" w:eastAsia="宋体" w:cs="宋体"/>
                <w:bCs/>
                <w:snapToGrid w:val="0"/>
                <w:color w:val="000000" w:themeColor="text1"/>
                <w:spacing w:val="0"/>
                <w:w w:val="100"/>
                <w:sz w:val="24"/>
                <w14:textFill>
                  <w14:solidFill>
                    <w14:schemeClr w14:val="tx1"/>
                  </w14:solidFill>
                </w14:textFill>
              </w:rPr>
              <w:t>说明</w:t>
            </w:r>
          </w:p>
        </w:tc>
      </w:tr>
      <w:tr w14:paraId="7EB6C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891" w:type="dxa"/>
            <w:noWrap w:val="0"/>
            <w:tcMar>
              <w:top w:w="0" w:type="dxa"/>
              <w:left w:w="57" w:type="dxa"/>
              <w:bottom w:w="0" w:type="dxa"/>
              <w:right w:w="57" w:type="dxa"/>
            </w:tcMar>
            <w:vAlign w:val="center"/>
          </w:tcPr>
          <w:p w14:paraId="08C5659C">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915" w:type="dxa"/>
            <w:noWrap w:val="0"/>
            <w:tcMar>
              <w:top w:w="0" w:type="dxa"/>
              <w:left w:w="57" w:type="dxa"/>
              <w:bottom w:w="0" w:type="dxa"/>
              <w:right w:w="57" w:type="dxa"/>
            </w:tcMar>
            <w:vAlign w:val="center"/>
          </w:tcPr>
          <w:p w14:paraId="53E819F9">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835" w:type="dxa"/>
            <w:noWrap w:val="0"/>
            <w:tcMar>
              <w:top w:w="0" w:type="dxa"/>
              <w:left w:w="57" w:type="dxa"/>
              <w:bottom w:w="0" w:type="dxa"/>
              <w:right w:w="57" w:type="dxa"/>
            </w:tcMar>
            <w:vAlign w:val="center"/>
          </w:tcPr>
          <w:p w14:paraId="615FC219">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684" w:type="dxa"/>
            <w:noWrap w:val="0"/>
            <w:tcMar>
              <w:top w:w="0" w:type="dxa"/>
              <w:left w:w="57" w:type="dxa"/>
              <w:bottom w:w="0" w:type="dxa"/>
              <w:right w:w="57" w:type="dxa"/>
            </w:tcMar>
            <w:vAlign w:val="center"/>
          </w:tcPr>
          <w:p w14:paraId="302CCD33">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183" w:type="dxa"/>
            <w:noWrap w:val="0"/>
            <w:tcMar>
              <w:top w:w="0" w:type="dxa"/>
              <w:left w:w="57" w:type="dxa"/>
              <w:bottom w:w="0" w:type="dxa"/>
              <w:right w:w="57" w:type="dxa"/>
            </w:tcMar>
            <w:vAlign w:val="center"/>
          </w:tcPr>
          <w:p w14:paraId="5C68173C">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912" w:type="dxa"/>
            <w:noWrap w:val="0"/>
            <w:tcMar>
              <w:top w:w="0" w:type="dxa"/>
              <w:left w:w="57" w:type="dxa"/>
              <w:bottom w:w="0" w:type="dxa"/>
              <w:right w:w="57" w:type="dxa"/>
            </w:tcMar>
            <w:vAlign w:val="center"/>
          </w:tcPr>
          <w:p w14:paraId="5249D81E">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r>
      <w:tr w14:paraId="0474A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891" w:type="dxa"/>
            <w:noWrap w:val="0"/>
            <w:tcMar>
              <w:top w:w="0" w:type="dxa"/>
              <w:left w:w="57" w:type="dxa"/>
              <w:bottom w:w="0" w:type="dxa"/>
              <w:right w:w="57" w:type="dxa"/>
            </w:tcMar>
            <w:vAlign w:val="center"/>
          </w:tcPr>
          <w:p w14:paraId="6BD36681">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915" w:type="dxa"/>
            <w:noWrap w:val="0"/>
            <w:tcMar>
              <w:top w:w="0" w:type="dxa"/>
              <w:left w:w="57" w:type="dxa"/>
              <w:bottom w:w="0" w:type="dxa"/>
              <w:right w:w="57" w:type="dxa"/>
            </w:tcMar>
            <w:vAlign w:val="center"/>
          </w:tcPr>
          <w:p w14:paraId="1E669D0F">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835" w:type="dxa"/>
            <w:noWrap w:val="0"/>
            <w:tcMar>
              <w:top w:w="0" w:type="dxa"/>
              <w:left w:w="57" w:type="dxa"/>
              <w:bottom w:w="0" w:type="dxa"/>
              <w:right w:w="57" w:type="dxa"/>
            </w:tcMar>
            <w:vAlign w:val="center"/>
          </w:tcPr>
          <w:p w14:paraId="460E5F6B">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684" w:type="dxa"/>
            <w:noWrap w:val="0"/>
            <w:tcMar>
              <w:top w:w="0" w:type="dxa"/>
              <w:left w:w="57" w:type="dxa"/>
              <w:bottom w:w="0" w:type="dxa"/>
              <w:right w:w="57" w:type="dxa"/>
            </w:tcMar>
            <w:vAlign w:val="center"/>
          </w:tcPr>
          <w:p w14:paraId="11720C7F">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183" w:type="dxa"/>
            <w:noWrap w:val="0"/>
            <w:tcMar>
              <w:top w:w="0" w:type="dxa"/>
              <w:left w:w="57" w:type="dxa"/>
              <w:bottom w:w="0" w:type="dxa"/>
              <w:right w:w="57" w:type="dxa"/>
            </w:tcMar>
            <w:vAlign w:val="center"/>
          </w:tcPr>
          <w:p w14:paraId="2843DD28">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912" w:type="dxa"/>
            <w:noWrap w:val="0"/>
            <w:tcMar>
              <w:top w:w="0" w:type="dxa"/>
              <w:left w:w="57" w:type="dxa"/>
              <w:bottom w:w="0" w:type="dxa"/>
              <w:right w:w="57" w:type="dxa"/>
            </w:tcMar>
            <w:vAlign w:val="center"/>
          </w:tcPr>
          <w:p w14:paraId="24FCCCF4">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r>
      <w:tr w14:paraId="11DFE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891" w:type="dxa"/>
            <w:noWrap w:val="0"/>
            <w:tcMar>
              <w:top w:w="0" w:type="dxa"/>
              <w:left w:w="57" w:type="dxa"/>
              <w:bottom w:w="0" w:type="dxa"/>
              <w:right w:w="57" w:type="dxa"/>
            </w:tcMar>
            <w:vAlign w:val="center"/>
          </w:tcPr>
          <w:p w14:paraId="4097EB4F">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915" w:type="dxa"/>
            <w:noWrap w:val="0"/>
            <w:tcMar>
              <w:top w:w="0" w:type="dxa"/>
              <w:left w:w="57" w:type="dxa"/>
              <w:bottom w:w="0" w:type="dxa"/>
              <w:right w:w="57" w:type="dxa"/>
            </w:tcMar>
            <w:vAlign w:val="center"/>
          </w:tcPr>
          <w:p w14:paraId="2FE9CAF2">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835" w:type="dxa"/>
            <w:noWrap w:val="0"/>
            <w:tcMar>
              <w:top w:w="0" w:type="dxa"/>
              <w:left w:w="57" w:type="dxa"/>
              <w:bottom w:w="0" w:type="dxa"/>
              <w:right w:w="57" w:type="dxa"/>
            </w:tcMar>
            <w:vAlign w:val="center"/>
          </w:tcPr>
          <w:p w14:paraId="7B6E5190">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684" w:type="dxa"/>
            <w:noWrap w:val="0"/>
            <w:tcMar>
              <w:top w:w="0" w:type="dxa"/>
              <w:left w:w="57" w:type="dxa"/>
              <w:bottom w:w="0" w:type="dxa"/>
              <w:right w:w="57" w:type="dxa"/>
            </w:tcMar>
            <w:vAlign w:val="center"/>
          </w:tcPr>
          <w:p w14:paraId="7165702B">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183" w:type="dxa"/>
            <w:noWrap w:val="0"/>
            <w:tcMar>
              <w:top w:w="0" w:type="dxa"/>
              <w:left w:w="57" w:type="dxa"/>
              <w:bottom w:w="0" w:type="dxa"/>
              <w:right w:w="57" w:type="dxa"/>
            </w:tcMar>
            <w:vAlign w:val="center"/>
          </w:tcPr>
          <w:p w14:paraId="249E5C29">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912" w:type="dxa"/>
            <w:noWrap w:val="0"/>
            <w:tcMar>
              <w:top w:w="0" w:type="dxa"/>
              <w:left w:w="57" w:type="dxa"/>
              <w:bottom w:w="0" w:type="dxa"/>
              <w:right w:w="57" w:type="dxa"/>
            </w:tcMar>
            <w:vAlign w:val="center"/>
          </w:tcPr>
          <w:p w14:paraId="1C7BCA43">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r>
      <w:tr w14:paraId="4F153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891" w:type="dxa"/>
            <w:noWrap w:val="0"/>
            <w:tcMar>
              <w:top w:w="0" w:type="dxa"/>
              <w:left w:w="57" w:type="dxa"/>
              <w:bottom w:w="0" w:type="dxa"/>
              <w:right w:w="57" w:type="dxa"/>
            </w:tcMar>
            <w:vAlign w:val="center"/>
          </w:tcPr>
          <w:p w14:paraId="17882757">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915" w:type="dxa"/>
            <w:noWrap w:val="0"/>
            <w:tcMar>
              <w:top w:w="0" w:type="dxa"/>
              <w:left w:w="57" w:type="dxa"/>
              <w:bottom w:w="0" w:type="dxa"/>
              <w:right w:w="57" w:type="dxa"/>
            </w:tcMar>
            <w:vAlign w:val="center"/>
          </w:tcPr>
          <w:p w14:paraId="35633958">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835" w:type="dxa"/>
            <w:noWrap w:val="0"/>
            <w:tcMar>
              <w:top w:w="0" w:type="dxa"/>
              <w:left w:w="57" w:type="dxa"/>
              <w:bottom w:w="0" w:type="dxa"/>
              <w:right w:w="57" w:type="dxa"/>
            </w:tcMar>
            <w:vAlign w:val="center"/>
          </w:tcPr>
          <w:p w14:paraId="695B804C">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684" w:type="dxa"/>
            <w:noWrap w:val="0"/>
            <w:tcMar>
              <w:top w:w="0" w:type="dxa"/>
              <w:left w:w="57" w:type="dxa"/>
              <w:bottom w:w="0" w:type="dxa"/>
              <w:right w:w="57" w:type="dxa"/>
            </w:tcMar>
            <w:vAlign w:val="center"/>
          </w:tcPr>
          <w:p w14:paraId="57D57CB2">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183" w:type="dxa"/>
            <w:noWrap w:val="0"/>
            <w:tcMar>
              <w:top w:w="0" w:type="dxa"/>
              <w:left w:w="57" w:type="dxa"/>
              <w:bottom w:w="0" w:type="dxa"/>
              <w:right w:w="57" w:type="dxa"/>
            </w:tcMar>
            <w:vAlign w:val="center"/>
          </w:tcPr>
          <w:p w14:paraId="5E352C4C">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912" w:type="dxa"/>
            <w:noWrap w:val="0"/>
            <w:tcMar>
              <w:top w:w="0" w:type="dxa"/>
              <w:left w:w="57" w:type="dxa"/>
              <w:bottom w:w="0" w:type="dxa"/>
              <w:right w:w="57" w:type="dxa"/>
            </w:tcMar>
            <w:vAlign w:val="center"/>
          </w:tcPr>
          <w:p w14:paraId="0A08A1B8">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r>
    </w:tbl>
    <w:p w14:paraId="3EF96CA1">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注：</w:t>
      </w:r>
    </w:p>
    <w:p w14:paraId="321F15B8">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1. 对合同条款中的所有要求，除本表所列明的所有偏离外，均视作投标人已对之理解和响应。</w:t>
      </w:r>
    </w:p>
    <w:p w14:paraId="1D9D4208">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2. “偏离情况”列应据实填写“正偏离”或“负偏离”。</w:t>
      </w:r>
    </w:p>
    <w:p w14:paraId="7ED53BEC">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6114EF61">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28B76C09">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投标人名称（加盖公章）：____________</w:t>
      </w:r>
    </w:p>
    <w:p w14:paraId="63CBD5A2">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r>
        <w:rPr>
          <w:rFonts w:hint="eastAsia" w:ascii="宋体" w:hAnsi="宋体" w:eastAsia="宋体" w:cs="宋体"/>
          <w:bCs/>
          <w:snapToGrid w:val="0"/>
          <w:color w:val="000000" w:themeColor="text1"/>
          <w:spacing w:val="0"/>
          <w:sz w:val="24"/>
          <w14:textFill>
            <w14:solidFill>
              <w14:schemeClr w14:val="tx1"/>
            </w14:solidFill>
          </w14:textFill>
        </w:rPr>
        <w:t>日期：_____年______月______日</w:t>
      </w:r>
    </w:p>
    <w:p w14:paraId="66F47D6B">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7 采购需求偏离表（实质性格式）</w:t>
      </w:r>
    </w:p>
    <w:p w14:paraId="71677161">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采购需求偏离表</w:t>
      </w:r>
    </w:p>
    <w:p w14:paraId="764A3431">
      <w:pPr>
        <w:keepNext w:val="0"/>
        <w:keepLines w:val="0"/>
        <w:kinsoku/>
        <w:wordWrap/>
        <w:overflowPunct/>
        <w:topLinePunct w:val="0"/>
        <w:autoSpaceDE/>
        <w:autoSpaceDN/>
        <w:bidi w:val="0"/>
        <w:adjustRightInd w:val="0"/>
        <w:snapToGrid w:val="0"/>
        <w:spacing w:line="360" w:lineRule="auto"/>
        <w:ind w:left="0" w:leftChars="0" w:right="0" w:hanging="228"/>
        <w:contextualSpacing/>
        <w:jc w:val="left"/>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项目编号/包号：_____________________项目名称_______________________</w:t>
      </w:r>
    </w:p>
    <w:p w14:paraId="25D8F619">
      <w:pPr>
        <w:keepNext w:val="0"/>
        <w:keepLines w:val="0"/>
        <w:kinsoku/>
        <w:wordWrap/>
        <w:overflowPunct/>
        <w:topLinePunct w:val="0"/>
        <w:autoSpaceDE/>
        <w:autoSpaceDN/>
        <w:bidi w:val="0"/>
        <w:adjustRightInd w:val="0"/>
        <w:snapToGrid w:val="0"/>
        <w:spacing w:line="360" w:lineRule="auto"/>
        <w:ind w:left="0" w:leftChars="0" w:right="0" w:hanging="228"/>
        <w:contextualSpacing/>
        <w:jc w:val="left"/>
        <w:textAlignment w:val="auto"/>
        <w:rPr>
          <w:rFonts w:hint="eastAsia" w:ascii="宋体" w:hAnsi="宋体" w:eastAsia="宋体" w:cs="宋体"/>
          <w:bCs/>
          <w:snapToGrid w:val="0"/>
          <w:color w:val="000000" w:themeColor="text1"/>
          <w:spacing w:val="0"/>
          <w:sz w:val="24"/>
          <w14:textFill>
            <w14:solidFill>
              <w14:schemeClr w14:val="tx1"/>
            </w14:solidFill>
          </w14:textFill>
        </w:rPr>
      </w:pPr>
    </w:p>
    <w:tbl>
      <w:tblPr>
        <w:tblStyle w:val="13"/>
        <w:tblW w:w="91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2"/>
        <w:gridCol w:w="1907"/>
        <w:gridCol w:w="1843"/>
        <w:gridCol w:w="1869"/>
        <w:gridCol w:w="1667"/>
        <w:gridCol w:w="959"/>
      </w:tblGrid>
      <w:tr w14:paraId="3FED3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107" w:type="dxa"/>
            <w:gridSpan w:val="6"/>
            <w:noWrap w:val="0"/>
            <w:tcMar>
              <w:top w:w="0" w:type="dxa"/>
              <w:left w:w="340" w:type="dxa"/>
              <w:bottom w:w="0" w:type="dxa"/>
              <w:right w:w="108" w:type="dxa"/>
            </w:tcMar>
            <w:vAlign w:val="center"/>
          </w:tcPr>
          <w:p w14:paraId="39E0E24A">
            <w:pPr>
              <w:keepNext w:val="0"/>
              <w:keepLines w:val="0"/>
              <w:kinsoku/>
              <w:wordWrap/>
              <w:overflowPunct/>
              <w:topLinePunct w:val="0"/>
              <w:autoSpaceDE/>
              <w:autoSpaceDN/>
              <w:bidi w:val="0"/>
              <w:adjustRightInd w:val="0"/>
              <w:snapToGrid w:val="0"/>
              <w:spacing w:line="360" w:lineRule="auto"/>
              <w:ind w:left="0" w:leftChars="0" w:right="0" w:hanging="228"/>
              <w:contextualSpacing/>
              <w:jc w:val="left"/>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对本项目采购需求的偏离情况（请进行勾选）：</w:t>
            </w:r>
          </w:p>
          <w:p w14:paraId="3218F960">
            <w:pPr>
              <w:keepNext w:val="0"/>
              <w:keepLines w:val="0"/>
              <w:kinsoku/>
              <w:wordWrap/>
              <w:overflowPunct/>
              <w:topLinePunct w:val="0"/>
              <w:autoSpaceDE/>
              <w:autoSpaceDN/>
              <w:bidi w:val="0"/>
              <w:adjustRightInd w:val="0"/>
              <w:snapToGrid w:val="0"/>
              <w:spacing w:line="360" w:lineRule="auto"/>
              <w:ind w:left="0" w:leftChars="0" w:right="0" w:hanging="228"/>
              <w:contextualSpacing/>
              <w:jc w:val="left"/>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□无偏离（如无偏离，仅勾选无偏离即可）</w:t>
            </w:r>
          </w:p>
          <w:p w14:paraId="28B87A46">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□有偏离（如有偏离，则须在本表中对偏离项逐一列明）</w:t>
            </w:r>
          </w:p>
        </w:tc>
      </w:tr>
      <w:tr w14:paraId="702CE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62" w:type="dxa"/>
            <w:noWrap w:val="0"/>
            <w:tcMar>
              <w:top w:w="0" w:type="dxa"/>
              <w:left w:w="340" w:type="dxa"/>
              <w:bottom w:w="0" w:type="dxa"/>
              <w:right w:w="108" w:type="dxa"/>
            </w:tcMar>
            <w:vAlign w:val="center"/>
          </w:tcPr>
          <w:p w14:paraId="5B703A60">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序号</w:t>
            </w:r>
          </w:p>
        </w:tc>
        <w:tc>
          <w:tcPr>
            <w:tcW w:w="1907" w:type="dxa"/>
            <w:noWrap w:val="0"/>
            <w:tcMar>
              <w:top w:w="0" w:type="dxa"/>
              <w:left w:w="340" w:type="dxa"/>
              <w:bottom w:w="0" w:type="dxa"/>
              <w:right w:w="108" w:type="dxa"/>
            </w:tcMar>
            <w:vAlign w:val="center"/>
          </w:tcPr>
          <w:p w14:paraId="522EC7BA">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招标文件条目号（页码）</w:t>
            </w:r>
          </w:p>
        </w:tc>
        <w:tc>
          <w:tcPr>
            <w:tcW w:w="1843" w:type="dxa"/>
            <w:noWrap w:val="0"/>
            <w:tcMar>
              <w:top w:w="0" w:type="dxa"/>
              <w:left w:w="340" w:type="dxa"/>
              <w:bottom w:w="0" w:type="dxa"/>
              <w:right w:w="108" w:type="dxa"/>
            </w:tcMar>
            <w:vAlign w:val="center"/>
          </w:tcPr>
          <w:p w14:paraId="0C9BDC24">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招标文件要求</w:t>
            </w:r>
          </w:p>
        </w:tc>
        <w:tc>
          <w:tcPr>
            <w:tcW w:w="1869" w:type="dxa"/>
            <w:noWrap w:val="0"/>
            <w:tcMar>
              <w:top w:w="0" w:type="dxa"/>
              <w:left w:w="340" w:type="dxa"/>
              <w:bottom w:w="0" w:type="dxa"/>
              <w:right w:w="108" w:type="dxa"/>
            </w:tcMar>
            <w:vAlign w:val="center"/>
          </w:tcPr>
          <w:p w14:paraId="525EC68A">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投标文件内容</w:t>
            </w:r>
          </w:p>
        </w:tc>
        <w:tc>
          <w:tcPr>
            <w:tcW w:w="1667" w:type="dxa"/>
            <w:noWrap w:val="0"/>
            <w:tcMar>
              <w:top w:w="0" w:type="dxa"/>
              <w:left w:w="340" w:type="dxa"/>
              <w:bottom w:w="0" w:type="dxa"/>
              <w:right w:w="108" w:type="dxa"/>
            </w:tcMar>
            <w:vAlign w:val="center"/>
          </w:tcPr>
          <w:p w14:paraId="79D6E67D">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偏离情况</w:t>
            </w:r>
          </w:p>
          <w:p w14:paraId="37963755">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（据实填写）</w:t>
            </w:r>
          </w:p>
        </w:tc>
        <w:tc>
          <w:tcPr>
            <w:tcW w:w="959" w:type="dxa"/>
            <w:noWrap w:val="0"/>
            <w:tcMar>
              <w:top w:w="0" w:type="dxa"/>
              <w:left w:w="340" w:type="dxa"/>
              <w:bottom w:w="0" w:type="dxa"/>
              <w:right w:w="108" w:type="dxa"/>
            </w:tcMar>
            <w:vAlign w:val="center"/>
          </w:tcPr>
          <w:p w14:paraId="000D7B85">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说明</w:t>
            </w:r>
          </w:p>
        </w:tc>
      </w:tr>
      <w:tr w14:paraId="547B0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62" w:type="dxa"/>
            <w:noWrap w:val="0"/>
            <w:tcMar>
              <w:top w:w="0" w:type="dxa"/>
              <w:left w:w="340" w:type="dxa"/>
              <w:bottom w:w="0" w:type="dxa"/>
              <w:right w:w="108" w:type="dxa"/>
            </w:tcMar>
            <w:vAlign w:val="center"/>
          </w:tcPr>
          <w:p w14:paraId="6BAA3DE8">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907" w:type="dxa"/>
            <w:noWrap w:val="0"/>
            <w:tcMar>
              <w:top w:w="0" w:type="dxa"/>
              <w:left w:w="340" w:type="dxa"/>
              <w:bottom w:w="0" w:type="dxa"/>
              <w:right w:w="108" w:type="dxa"/>
            </w:tcMar>
            <w:vAlign w:val="center"/>
          </w:tcPr>
          <w:p w14:paraId="5664ACA1">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843" w:type="dxa"/>
            <w:noWrap w:val="0"/>
            <w:tcMar>
              <w:top w:w="0" w:type="dxa"/>
              <w:left w:w="340" w:type="dxa"/>
              <w:bottom w:w="0" w:type="dxa"/>
              <w:right w:w="108" w:type="dxa"/>
            </w:tcMar>
            <w:vAlign w:val="center"/>
          </w:tcPr>
          <w:p w14:paraId="3AF233F2">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869" w:type="dxa"/>
            <w:noWrap w:val="0"/>
            <w:tcMar>
              <w:top w:w="0" w:type="dxa"/>
              <w:left w:w="340" w:type="dxa"/>
              <w:bottom w:w="0" w:type="dxa"/>
              <w:right w:w="108" w:type="dxa"/>
            </w:tcMar>
            <w:vAlign w:val="center"/>
          </w:tcPr>
          <w:p w14:paraId="3B23BA05">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67" w:type="dxa"/>
            <w:noWrap w:val="0"/>
            <w:tcMar>
              <w:top w:w="0" w:type="dxa"/>
              <w:left w:w="340" w:type="dxa"/>
              <w:bottom w:w="0" w:type="dxa"/>
              <w:right w:w="108" w:type="dxa"/>
            </w:tcMar>
            <w:vAlign w:val="center"/>
          </w:tcPr>
          <w:p w14:paraId="5EEEA4E1">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59" w:type="dxa"/>
            <w:noWrap w:val="0"/>
            <w:tcMar>
              <w:top w:w="0" w:type="dxa"/>
              <w:left w:w="340" w:type="dxa"/>
              <w:bottom w:w="0" w:type="dxa"/>
              <w:right w:w="108" w:type="dxa"/>
            </w:tcMar>
            <w:vAlign w:val="center"/>
          </w:tcPr>
          <w:p w14:paraId="4499155E">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3917C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62" w:type="dxa"/>
            <w:noWrap w:val="0"/>
            <w:tcMar>
              <w:top w:w="0" w:type="dxa"/>
              <w:left w:w="340" w:type="dxa"/>
              <w:bottom w:w="0" w:type="dxa"/>
              <w:right w:w="108" w:type="dxa"/>
            </w:tcMar>
            <w:vAlign w:val="center"/>
          </w:tcPr>
          <w:p w14:paraId="777BEE56">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907" w:type="dxa"/>
            <w:noWrap w:val="0"/>
            <w:tcMar>
              <w:top w:w="0" w:type="dxa"/>
              <w:left w:w="340" w:type="dxa"/>
              <w:bottom w:w="0" w:type="dxa"/>
              <w:right w:w="108" w:type="dxa"/>
            </w:tcMar>
            <w:vAlign w:val="center"/>
          </w:tcPr>
          <w:p w14:paraId="0531759E">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843" w:type="dxa"/>
            <w:noWrap w:val="0"/>
            <w:tcMar>
              <w:top w:w="0" w:type="dxa"/>
              <w:left w:w="340" w:type="dxa"/>
              <w:bottom w:w="0" w:type="dxa"/>
              <w:right w:w="108" w:type="dxa"/>
            </w:tcMar>
            <w:vAlign w:val="center"/>
          </w:tcPr>
          <w:p w14:paraId="576EA76F">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869" w:type="dxa"/>
            <w:noWrap w:val="0"/>
            <w:tcMar>
              <w:top w:w="0" w:type="dxa"/>
              <w:left w:w="340" w:type="dxa"/>
              <w:bottom w:w="0" w:type="dxa"/>
              <w:right w:w="108" w:type="dxa"/>
            </w:tcMar>
            <w:vAlign w:val="center"/>
          </w:tcPr>
          <w:p w14:paraId="082936D5">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67" w:type="dxa"/>
            <w:noWrap w:val="0"/>
            <w:tcMar>
              <w:top w:w="0" w:type="dxa"/>
              <w:left w:w="340" w:type="dxa"/>
              <w:bottom w:w="0" w:type="dxa"/>
              <w:right w:w="108" w:type="dxa"/>
            </w:tcMar>
            <w:vAlign w:val="center"/>
          </w:tcPr>
          <w:p w14:paraId="565910AD">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59" w:type="dxa"/>
            <w:noWrap w:val="0"/>
            <w:tcMar>
              <w:top w:w="0" w:type="dxa"/>
              <w:left w:w="340" w:type="dxa"/>
              <w:bottom w:w="0" w:type="dxa"/>
              <w:right w:w="108" w:type="dxa"/>
            </w:tcMar>
            <w:vAlign w:val="center"/>
          </w:tcPr>
          <w:p w14:paraId="3E5BAD76">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2FE90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62" w:type="dxa"/>
            <w:noWrap w:val="0"/>
            <w:tcMar>
              <w:top w:w="0" w:type="dxa"/>
              <w:left w:w="340" w:type="dxa"/>
              <w:bottom w:w="0" w:type="dxa"/>
              <w:right w:w="108" w:type="dxa"/>
            </w:tcMar>
            <w:vAlign w:val="center"/>
          </w:tcPr>
          <w:p w14:paraId="14172F12">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907" w:type="dxa"/>
            <w:noWrap w:val="0"/>
            <w:tcMar>
              <w:top w:w="0" w:type="dxa"/>
              <w:left w:w="340" w:type="dxa"/>
              <w:bottom w:w="0" w:type="dxa"/>
              <w:right w:w="108" w:type="dxa"/>
            </w:tcMar>
            <w:vAlign w:val="center"/>
          </w:tcPr>
          <w:p w14:paraId="781326C8">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843" w:type="dxa"/>
            <w:noWrap w:val="0"/>
            <w:tcMar>
              <w:top w:w="0" w:type="dxa"/>
              <w:left w:w="340" w:type="dxa"/>
              <w:bottom w:w="0" w:type="dxa"/>
              <w:right w:w="108" w:type="dxa"/>
            </w:tcMar>
            <w:vAlign w:val="center"/>
          </w:tcPr>
          <w:p w14:paraId="1B9D7408">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869" w:type="dxa"/>
            <w:noWrap w:val="0"/>
            <w:tcMar>
              <w:top w:w="0" w:type="dxa"/>
              <w:left w:w="340" w:type="dxa"/>
              <w:bottom w:w="0" w:type="dxa"/>
              <w:right w:w="108" w:type="dxa"/>
            </w:tcMar>
            <w:vAlign w:val="center"/>
          </w:tcPr>
          <w:p w14:paraId="46893C6C">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67" w:type="dxa"/>
            <w:noWrap w:val="0"/>
            <w:tcMar>
              <w:top w:w="0" w:type="dxa"/>
              <w:left w:w="340" w:type="dxa"/>
              <w:bottom w:w="0" w:type="dxa"/>
              <w:right w:w="108" w:type="dxa"/>
            </w:tcMar>
            <w:vAlign w:val="center"/>
          </w:tcPr>
          <w:p w14:paraId="1A5340F8">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59" w:type="dxa"/>
            <w:noWrap w:val="0"/>
            <w:tcMar>
              <w:top w:w="0" w:type="dxa"/>
              <w:left w:w="340" w:type="dxa"/>
              <w:bottom w:w="0" w:type="dxa"/>
              <w:right w:w="108" w:type="dxa"/>
            </w:tcMar>
            <w:vAlign w:val="center"/>
          </w:tcPr>
          <w:p w14:paraId="39CA4BFA">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1F43A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62" w:type="dxa"/>
            <w:noWrap w:val="0"/>
            <w:tcMar>
              <w:top w:w="0" w:type="dxa"/>
              <w:left w:w="340" w:type="dxa"/>
              <w:bottom w:w="0" w:type="dxa"/>
              <w:right w:w="108" w:type="dxa"/>
            </w:tcMar>
            <w:vAlign w:val="center"/>
          </w:tcPr>
          <w:p w14:paraId="5D9139B9">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907" w:type="dxa"/>
            <w:noWrap w:val="0"/>
            <w:tcMar>
              <w:top w:w="0" w:type="dxa"/>
              <w:left w:w="340" w:type="dxa"/>
              <w:bottom w:w="0" w:type="dxa"/>
              <w:right w:w="108" w:type="dxa"/>
            </w:tcMar>
            <w:vAlign w:val="center"/>
          </w:tcPr>
          <w:p w14:paraId="24893561">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843" w:type="dxa"/>
            <w:noWrap w:val="0"/>
            <w:tcMar>
              <w:top w:w="0" w:type="dxa"/>
              <w:left w:w="340" w:type="dxa"/>
              <w:bottom w:w="0" w:type="dxa"/>
              <w:right w:w="108" w:type="dxa"/>
            </w:tcMar>
            <w:vAlign w:val="center"/>
          </w:tcPr>
          <w:p w14:paraId="569A2685">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869" w:type="dxa"/>
            <w:noWrap w:val="0"/>
            <w:tcMar>
              <w:top w:w="0" w:type="dxa"/>
              <w:left w:w="340" w:type="dxa"/>
              <w:bottom w:w="0" w:type="dxa"/>
              <w:right w:w="108" w:type="dxa"/>
            </w:tcMar>
            <w:vAlign w:val="center"/>
          </w:tcPr>
          <w:p w14:paraId="0F65D6A9">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67" w:type="dxa"/>
            <w:noWrap w:val="0"/>
            <w:tcMar>
              <w:top w:w="0" w:type="dxa"/>
              <w:left w:w="340" w:type="dxa"/>
              <w:bottom w:w="0" w:type="dxa"/>
              <w:right w:w="108" w:type="dxa"/>
            </w:tcMar>
            <w:vAlign w:val="center"/>
          </w:tcPr>
          <w:p w14:paraId="1F3D462E">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59" w:type="dxa"/>
            <w:noWrap w:val="0"/>
            <w:tcMar>
              <w:top w:w="0" w:type="dxa"/>
              <w:left w:w="340" w:type="dxa"/>
              <w:bottom w:w="0" w:type="dxa"/>
              <w:right w:w="108" w:type="dxa"/>
            </w:tcMar>
            <w:vAlign w:val="center"/>
          </w:tcPr>
          <w:p w14:paraId="5B4920D9">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bl>
    <w:p w14:paraId="4C20CBA7">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注：</w:t>
      </w:r>
    </w:p>
    <w:p w14:paraId="47A2B183">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1. 对招标文件中的所有商务、技术要求，除本表所列明的所有偏离外，均视作投标人已对之理解和响应。此表中内容为空白，投标无效。</w:t>
      </w:r>
    </w:p>
    <w:p w14:paraId="5F920FD3">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2.“偏离情况”列应据实填写“正偏离”或“负偏离”。</w:t>
      </w:r>
    </w:p>
    <w:p w14:paraId="48209155">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51C2A8BB">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投标人名称（加盖公章）： ____________</w:t>
      </w:r>
    </w:p>
    <w:p w14:paraId="0A57F23F">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日期：_____年______月______</w:t>
      </w:r>
    </w:p>
    <w:p w14:paraId="7CDA2FBD">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06D0D07F">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default" w:ascii="宋体" w:hAnsi="宋体" w:eastAsia="宋体" w:cs="宋体"/>
          <w:snapToGrid w:val="0"/>
          <w:color w:val="000000" w:themeColor="text1"/>
          <w:spacing w:val="0"/>
          <w:sz w:val="24"/>
          <w:szCs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 xml:space="preserve">8 </w:t>
      </w:r>
      <w:r>
        <w:rPr>
          <w:rFonts w:hint="eastAsia" w:ascii="宋体" w:hAnsi="宋体" w:eastAsia="宋体" w:cs="宋体"/>
          <w:snapToGrid w:val="0"/>
          <w:color w:val="000000" w:themeColor="text1"/>
          <w:spacing w:val="0"/>
          <w:sz w:val="24"/>
          <w:lang w:val="en-US" w:eastAsia="zh-CN"/>
          <w14:textFill>
            <w14:solidFill>
              <w14:schemeClr w14:val="tx1"/>
            </w14:solidFill>
          </w14:textFill>
        </w:rPr>
        <w:t>技术</w:t>
      </w:r>
      <w:r>
        <w:rPr>
          <w:rFonts w:hint="eastAsia" w:ascii="宋体" w:hAnsi="宋体" w:eastAsia="宋体" w:cs="宋体"/>
          <w:snapToGrid w:val="0"/>
          <w:color w:val="000000" w:themeColor="text1"/>
          <w:spacing w:val="0"/>
          <w:sz w:val="24"/>
          <w14:textFill>
            <w14:solidFill>
              <w14:schemeClr w14:val="tx1"/>
            </w14:solidFill>
          </w14:textFill>
        </w:rPr>
        <w:t>方案</w:t>
      </w:r>
    </w:p>
    <w:p w14:paraId="6426E512">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snapToGrid w:val="0"/>
          <w:color w:val="000000" w:themeColor="text1"/>
          <w:spacing w:val="0"/>
          <w:sz w:val="24"/>
          <w:szCs w:val="24"/>
          <w:lang w:eastAsia="zh-CN"/>
          <w14:textFill>
            <w14:solidFill>
              <w14:schemeClr w14:val="tx1"/>
            </w14:solidFill>
          </w14:textFill>
        </w:rPr>
      </w:pPr>
    </w:p>
    <w:p w14:paraId="0CBF0F30">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4AF26B6E">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9 参加本项目人员一览表</w:t>
      </w:r>
    </w:p>
    <w:p w14:paraId="4DBE9C7A">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参加本项目人员一览表</w:t>
      </w:r>
    </w:p>
    <w:p w14:paraId="4A20DEFE">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 xml:space="preserve">项目编号： </w:t>
      </w:r>
    </w:p>
    <w:tbl>
      <w:tblPr>
        <w:tblStyle w:val="13"/>
        <w:tblW w:w="92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64"/>
        <w:gridCol w:w="945"/>
        <w:gridCol w:w="945"/>
        <w:gridCol w:w="945"/>
        <w:gridCol w:w="945"/>
        <w:gridCol w:w="945"/>
        <w:gridCol w:w="945"/>
        <w:gridCol w:w="945"/>
        <w:gridCol w:w="945"/>
        <w:gridCol w:w="945"/>
      </w:tblGrid>
      <w:tr w14:paraId="4160E8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noWrap w:val="0"/>
            <w:vAlign w:val="center"/>
          </w:tcPr>
          <w:p w14:paraId="2AEFA25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序号</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E6CC90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姓名</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6C4DC9A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性别</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183B6E9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年龄</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0912AE4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毕业学校和学历</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447EC7E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专业</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A76C64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职称</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12D463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专业培训及证书</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405B71A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责任</w:t>
            </w:r>
          </w:p>
          <w:p w14:paraId="5E0FDB3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或分工</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62AC03E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项目经历或主要工作</w:t>
            </w:r>
          </w:p>
          <w:p w14:paraId="2B64E7D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业绩</w:t>
            </w:r>
          </w:p>
        </w:tc>
      </w:tr>
      <w:tr w14:paraId="44B089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noWrap w:val="0"/>
            <w:vAlign w:val="center"/>
          </w:tcPr>
          <w:p w14:paraId="24BC765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22ADED5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3F91C9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C41CE9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204EAE8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5E7287F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63552C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235C0E9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238D2FA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73E64E3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7EFA5D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noWrap w:val="0"/>
            <w:vAlign w:val="center"/>
          </w:tcPr>
          <w:p w14:paraId="168EB8D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258B89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9087E8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6A6F7FB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2DABBB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5AB8DD9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AF6807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75E8A9C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73E1D22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6F0E153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3D175B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noWrap w:val="0"/>
            <w:vAlign w:val="center"/>
          </w:tcPr>
          <w:p w14:paraId="59AA530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251DB5A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2C4E31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674F6DE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18AC6CC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585534E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6593A23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1FF631C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10B24E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1A654E8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4D356C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noWrap w:val="0"/>
            <w:vAlign w:val="center"/>
          </w:tcPr>
          <w:p w14:paraId="60955C9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18956C5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1734928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05C7968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E39473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0A1355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0540EF4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0EBAEE4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6D2F62A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0B1345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162FBF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noWrap w:val="0"/>
            <w:vAlign w:val="center"/>
          </w:tcPr>
          <w:p w14:paraId="78309CF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D24FCD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5113B74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0AEA4A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69BD2DB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1AC7D5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75D60A0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154C385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7B2DF00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BD9C52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31C262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noWrap w:val="0"/>
            <w:vAlign w:val="center"/>
          </w:tcPr>
          <w:p w14:paraId="7D40065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928C77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13CCAC8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278A657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0CCAF2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FFBE5D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7C53F39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7C324E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E5A855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7053CE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bl>
    <w:p w14:paraId="5347C746">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181E48D7">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注：参加本项目人员须是投标人正式职工。</w:t>
      </w:r>
    </w:p>
    <w:p w14:paraId="583AD0F6">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7066A3FF">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投标人名称（加盖公章）： ____________</w:t>
      </w:r>
    </w:p>
    <w:p w14:paraId="075C8619">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 xml:space="preserve">日期：_____年______月______日   </w:t>
      </w:r>
      <w:bookmarkStart w:id="517" w:name="_Toc288738839"/>
      <w:bookmarkStart w:id="518" w:name="_Toc288738397"/>
    </w:p>
    <w:p w14:paraId="7B6E598C">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br w:type="page" w:clear="all"/>
      </w:r>
      <w:r>
        <w:rPr>
          <w:rFonts w:hint="eastAsia" w:ascii="宋体" w:hAnsi="宋体" w:eastAsia="宋体" w:cs="宋体"/>
          <w:snapToGrid w:val="0"/>
          <w:color w:val="000000" w:themeColor="text1"/>
          <w:spacing w:val="0"/>
          <w:sz w:val="24"/>
          <w14:textFill>
            <w14:solidFill>
              <w14:schemeClr w14:val="tx1"/>
            </w14:solidFill>
          </w14:textFill>
        </w:rPr>
        <w:t>10 相关业绩案例一览表</w:t>
      </w:r>
    </w:p>
    <w:p w14:paraId="20DFC361">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相关业绩案例一览表</w:t>
      </w:r>
      <w:bookmarkEnd w:id="517"/>
      <w:bookmarkEnd w:id="518"/>
    </w:p>
    <w:p w14:paraId="225C6814">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 xml:space="preserve">项目编号：                   </w:t>
      </w:r>
    </w:p>
    <w:tbl>
      <w:tblPr>
        <w:tblStyle w:val="13"/>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7CD86F69">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7911EA0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项目时间</w:t>
            </w:r>
          </w:p>
        </w:tc>
        <w:tc>
          <w:tcPr>
            <w:tcW w:w="1681" w:type="dxa"/>
            <w:tcBorders>
              <w:top w:val="single" w:color="auto" w:sz="6" w:space="0"/>
              <w:left w:val="single" w:color="auto" w:sz="6" w:space="0"/>
              <w:bottom w:val="single" w:color="auto" w:sz="6" w:space="0"/>
              <w:right w:val="single" w:color="auto" w:sz="6" w:space="0"/>
            </w:tcBorders>
            <w:noWrap w:val="0"/>
            <w:vAlign w:val="center"/>
          </w:tcPr>
          <w:p w14:paraId="1006978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项目甲方单位</w:t>
            </w:r>
          </w:p>
        </w:tc>
        <w:tc>
          <w:tcPr>
            <w:tcW w:w="1521" w:type="dxa"/>
            <w:tcBorders>
              <w:top w:val="single" w:color="auto" w:sz="6" w:space="0"/>
              <w:left w:val="single" w:color="auto" w:sz="6" w:space="0"/>
              <w:bottom w:val="single" w:color="auto" w:sz="6" w:space="0"/>
              <w:right w:val="single" w:color="auto" w:sz="6" w:space="0"/>
            </w:tcBorders>
            <w:noWrap w:val="0"/>
            <w:vAlign w:val="center"/>
          </w:tcPr>
          <w:p w14:paraId="15A2DD1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项目名称</w:t>
            </w:r>
          </w:p>
        </w:tc>
        <w:tc>
          <w:tcPr>
            <w:tcW w:w="1198" w:type="dxa"/>
            <w:tcBorders>
              <w:top w:val="single" w:color="auto" w:sz="6" w:space="0"/>
              <w:left w:val="single" w:color="auto" w:sz="6" w:space="0"/>
              <w:bottom w:val="single" w:color="auto" w:sz="6" w:space="0"/>
              <w:right w:val="single" w:color="auto" w:sz="6" w:space="0"/>
            </w:tcBorders>
            <w:noWrap w:val="0"/>
            <w:vAlign w:val="center"/>
          </w:tcPr>
          <w:p w14:paraId="417A54B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合同金额</w:t>
            </w:r>
          </w:p>
        </w:tc>
        <w:tc>
          <w:tcPr>
            <w:tcW w:w="1730" w:type="dxa"/>
            <w:tcBorders>
              <w:top w:val="single" w:color="auto" w:sz="6" w:space="0"/>
              <w:left w:val="single" w:color="auto" w:sz="6" w:space="0"/>
              <w:bottom w:val="single" w:color="auto" w:sz="6" w:space="0"/>
              <w:right w:val="single" w:color="auto" w:sz="6" w:space="0"/>
            </w:tcBorders>
            <w:noWrap w:val="0"/>
            <w:vAlign w:val="center"/>
          </w:tcPr>
          <w:p w14:paraId="64904B8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单位地址</w:t>
            </w:r>
          </w:p>
        </w:tc>
        <w:tc>
          <w:tcPr>
            <w:tcW w:w="1597" w:type="dxa"/>
            <w:tcBorders>
              <w:top w:val="single" w:color="auto" w:sz="6" w:space="0"/>
              <w:left w:val="single" w:color="auto" w:sz="6" w:space="0"/>
              <w:bottom w:val="single" w:color="auto" w:sz="6" w:space="0"/>
              <w:right w:val="single" w:color="auto" w:sz="6" w:space="0"/>
            </w:tcBorders>
            <w:noWrap w:val="0"/>
            <w:vAlign w:val="center"/>
          </w:tcPr>
          <w:p w14:paraId="2CE7584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联系电话</w:t>
            </w:r>
          </w:p>
        </w:tc>
      </w:tr>
      <w:tr w14:paraId="0C367817">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1FBD070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6AA9FB4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20CC469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5B58D49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4267B72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35868C6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2EA10885">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12CCC39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07BB265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48C45D8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635270A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27DB338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1A77F99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3FA00AA7">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4CE4035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5AA766A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5917D67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3AB6B52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0B508F4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04D1048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1447AD1E">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74381AA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396C62E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6BA919E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6A08982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5713441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08C776D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6B970324">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62686EA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0ABE8D5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28D3A08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52CEC92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209AC44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2F072D7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459FCB15">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199A42D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6608056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0CD4326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5FC5415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3953522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0FFE120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773E623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3EB2022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5E8449A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033B699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6D383A4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091351E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4536C76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28F83FE7">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6637984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6E8C008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1ACC9C0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5C62F60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4CECB0E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3DA4CCA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6DF7261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6AF4671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7D64CBC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4B0601C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04350EA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3DB42CD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319CDB4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bl>
    <w:p w14:paraId="2D0B2575">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354E50C8">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0630645D">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投标人名称（加盖公章）： ____________</w:t>
      </w:r>
    </w:p>
    <w:p w14:paraId="24BF46BA">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 xml:space="preserve">日期：_____年______月______日   </w:t>
      </w:r>
    </w:p>
    <w:p w14:paraId="1088236F">
      <w:pPr>
        <w:keepNext w:val="0"/>
        <w:keepLines w:val="0"/>
        <w:widowControl/>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br w:type="page" w:clear="all"/>
      </w:r>
    </w:p>
    <w:p w14:paraId="0DE27051">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7D999CAA">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11 招标文件要求提供或投标人认为应附的其他材料</w:t>
      </w:r>
    </w:p>
    <w:p w14:paraId="69F1EAC6">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3E6E0377">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637FD025">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43A96966">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outlineLvl w:val="2"/>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（全文完）</w:t>
      </w:r>
    </w:p>
    <w:p w14:paraId="0C3E6D22">
      <w:pPr>
        <w:rPr>
          <w:color w:val="000000" w:themeColor="text1"/>
          <w14:textFill>
            <w14:solidFill>
              <w14:schemeClr w14:val="tx1"/>
            </w14:solidFill>
          </w14:textFill>
        </w:rPr>
      </w:pPr>
    </w:p>
    <w:sectPr>
      <w:pgSz w:w="11906" w:h="16838"/>
      <w:pgMar w:top="1440" w:right="1800" w:bottom="1440" w:left="1800" w:header="851" w:footer="992" w:gutter="0"/>
      <w:pgNumType w:fmt="decimal"/>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8119952"/>
    </w:sdtPr>
    <w:sdtContent>
      <w:p w14:paraId="56463913">
        <w:pPr>
          <w:pStyle w:val="9"/>
          <w:jc w:val="cente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B20F0B">
    <w:pPr>
      <w:pStyle w:val="9"/>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DA56AA">
    <w:pPr>
      <w:pStyle w:val="9"/>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9349"/>
                          </w:sdtPr>
                          <w:sdtContent>
                            <w:p w14:paraId="468BD5E8">
                              <w:pPr>
                                <w:pStyle w:val="9"/>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1</w:t>
                              </w:r>
                              <w:r>
                                <w:rPr>
                                  <w:rFonts w:asciiTheme="minorEastAsia" w:hAnsiTheme="minorEastAsia"/>
                                </w:rPr>
                                <w:fldChar w:fldCharType="end"/>
                              </w:r>
                            </w:p>
                          </w:sdtContent>
                        </w:sdt>
                        <w:p w14:paraId="1D184233">
                          <w:pPr>
                            <w:pStyle w:val="8"/>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sdt>
                    <w:sdtPr>
                      <w:id w:val="147459349"/>
                    </w:sdtPr>
                    <w:sdtContent>
                      <w:p w14:paraId="468BD5E8">
                        <w:pPr>
                          <w:pStyle w:val="9"/>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1</w:t>
                        </w:r>
                        <w:r>
                          <w:rPr>
                            <w:rFonts w:asciiTheme="minorEastAsia" w:hAnsiTheme="minorEastAsia"/>
                          </w:rPr>
                          <w:fldChar w:fldCharType="end"/>
                        </w:r>
                      </w:p>
                    </w:sdtContent>
                  </w:sdt>
                  <w:p w14:paraId="1D184233">
                    <w:pPr>
                      <w:pStyle w:val="8"/>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87F41">
    <w:pPr>
      <w:pStyle w:val="9"/>
    </w:pPr>
  </w:p>
  <w:p w14:paraId="3E8013C6">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C11A8B">
                          <w:pPr>
                            <w:pStyle w:val="9"/>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1C11A8B">
                    <w:pPr>
                      <w:pStyle w:val="9"/>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A952F">
    <w:pPr>
      <w:spacing w:line="173" w:lineRule="auto"/>
      <w:ind w:left="4223"/>
      <w:rPr>
        <w:rFonts w:ascii="Times New Roman" w:hAnsi="Times New Roman" w:eastAsia="Times New Roman" w:cs="Times New Roman"/>
        <w:sz w:val="14"/>
        <w:szCs w:val="14"/>
      </w:rPr>
    </w:pPr>
    <w:r>
      <w:rPr>
        <w:sz w:val="1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425165">
                          <w:pPr>
                            <w:pStyle w:val="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8425165">
                    <w:pPr>
                      <w:pStyle w:val="9"/>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0">
    <w:p>
      <w:r>
        <w:separator/>
      </w:r>
    </w:p>
  </w:footnote>
  <w:footnote w:type="continuationSeparator" w:id="21">
    <w:p>
      <w:r>
        <w:continuationSeparator/>
      </w:r>
    </w:p>
  </w:footnote>
  <w:footnote w:id="0">
    <w:p w14:paraId="474A1C32">
      <w:pPr>
        <w:keepNext/>
        <w:keepLines/>
        <w:widowControl w:val="0"/>
        <w:autoSpaceDE w:val="0"/>
        <w:autoSpaceDN w:val="0"/>
        <w:adjustRightInd w:val="0"/>
        <w:snapToGrid w:val="0"/>
        <w:spacing w:before="0" w:after="0" w:line="240" w:lineRule="auto"/>
        <w:jc w:val="both"/>
        <w:outlineLvl w:val="1"/>
        <w:rPr>
          <w:rFonts w:hint="default" w:ascii="Arial" w:hAnsi="Arial" w:eastAsia="黑体" w:cs="Times New Roman"/>
          <w:b w:val="0"/>
          <w:kern w:val="0"/>
          <w:sz w:val="18"/>
          <w:szCs w:val="20"/>
          <w:lang w:val="en-US" w:eastAsia="zh-CN" w:bidi="ar-SA"/>
        </w:rPr>
      </w:pPr>
    </w:p>
  </w:footnote>
  <w:footnote w:id="1">
    <w:p w14:paraId="424CEDBC">
      <w:pPr>
        <w:widowControl w:val="0"/>
        <w:adjustRightInd/>
        <w:snapToGrid w:val="0"/>
        <w:ind w:left="0" w:leftChars="0" w:firstLine="0" w:firstLineChars="0"/>
        <w:jc w:val="both"/>
        <w:rPr>
          <w:rFonts w:hint="default" w:ascii="宋体" w:hAnsi="宋体" w:eastAsia="宋体" w:cs="Times New Roman"/>
          <w:b/>
          <w:kern w:val="2"/>
          <w:sz w:val="18"/>
          <w:szCs w:val="21"/>
          <w:lang w:val="en-US" w:eastAsia="zh-CN" w:bidi="ar-SA"/>
        </w:rPr>
      </w:pPr>
    </w:p>
  </w:footnote>
  <w:footnote w:id="2">
    <w:p w14:paraId="733D4DF1">
      <w:pPr>
        <w:widowControl w:val="0"/>
        <w:adjustRightInd/>
        <w:snapToGrid w:val="0"/>
        <w:ind w:left="0" w:leftChars="0" w:firstLine="0" w:firstLineChars="0"/>
        <w:jc w:val="both"/>
        <w:rPr>
          <w:rFonts w:hint="default" w:ascii="宋体" w:hAnsi="宋体" w:eastAsia="宋体" w:cs="Times New Roman"/>
          <w:b/>
          <w:kern w:val="2"/>
          <w:sz w:val="18"/>
          <w:szCs w:val="21"/>
          <w:lang w:val="en-US" w:eastAsia="zh-CN" w:bidi="ar-SA"/>
        </w:rPr>
      </w:pPr>
    </w:p>
  </w:footnote>
  <w:footnote w:id="3">
    <w:p w14:paraId="42DD303E">
      <w:pPr>
        <w:widowControl w:val="0"/>
        <w:adjustRightInd w:val="0"/>
        <w:snapToGrid w:val="0"/>
        <w:ind w:left="0" w:leftChars="0" w:firstLine="0" w:firstLineChars="0"/>
        <w:jc w:val="both"/>
        <w:rPr>
          <w:rFonts w:hint="default" w:ascii="宋体" w:hAnsi="宋体" w:eastAsia="宋体" w:cs="Times New Roman"/>
          <w:b/>
          <w:kern w:val="2"/>
          <w:sz w:val="18"/>
          <w:szCs w:val="21"/>
          <w:lang w:val="en-US" w:eastAsia="zh-CN" w:bidi="ar-SA"/>
        </w:rPr>
      </w:pPr>
    </w:p>
  </w:footnote>
  <w:footnote w:id="4">
    <w:p w14:paraId="167192DE">
      <w:pPr>
        <w:widowControl w:val="0"/>
        <w:adjustRightInd w:val="0"/>
        <w:snapToGrid w:val="0"/>
        <w:spacing w:line="204" w:lineRule="auto"/>
        <w:ind w:left="0" w:leftChars="0" w:firstLine="0" w:firstLineChars="0"/>
        <w:jc w:val="both"/>
        <w:rPr>
          <w:rFonts w:hint="default" w:ascii="宋体" w:hAnsi="宋体" w:eastAsia="宋体" w:cs="Times New Roman"/>
          <w:b/>
          <w:kern w:val="2"/>
          <w:sz w:val="18"/>
          <w:szCs w:val="21"/>
          <w:lang w:val="en-US" w:eastAsia="zh-CN" w:bidi="ar-SA"/>
        </w:rPr>
      </w:pPr>
    </w:p>
  </w:footnote>
  <w:footnote w:id="5">
    <w:p w14:paraId="585768CA">
      <w:pPr>
        <w:widowControl w:val="0"/>
        <w:adjustRightInd w:val="0"/>
        <w:snapToGrid w:val="0"/>
        <w:ind w:left="0" w:leftChars="0" w:firstLine="0" w:firstLineChars="0"/>
        <w:jc w:val="both"/>
        <w:rPr>
          <w:rFonts w:hint="default" w:ascii="宋体" w:hAnsi="宋体" w:eastAsia="宋体" w:cs="Times New Roman"/>
          <w:b/>
          <w:kern w:val="2"/>
          <w:sz w:val="18"/>
          <w:szCs w:val="21"/>
          <w:lang w:val="en-US" w:eastAsia="zh-CN" w:bidi="ar-SA"/>
        </w:rPr>
      </w:pPr>
    </w:p>
  </w:footnote>
  <w:footnote w:id="6">
    <w:p w14:paraId="130D380A">
      <w:pPr>
        <w:widowControl w:val="0"/>
        <w:adjustRightInd w:val="0"/>
        <w:snapToGrid w:val="0"/>
        <w:ind w:left="0" w:leftChars="0" w:firstLine="0" w:firstLineChars="0"/>
        <w:jc w:val="both"/>
        <w:rPr>
          <w:rFonts w:hint="default" w:ascii="宋体" w:hAnsi="宋体" w:eastAsia="宋体" w:cs="Times New Roman"/>
          <w:b/>
          <w:kern w:val="2"/>
          <w:sz w:val="18"/>
          <w:szCs w:val="21"/>
          <w:lang w:val="en-US" w:eastAsia="zh-CN" w:bidi="ar-SA"/>
        </w:rPr>
      </w:pPr>
    </w:p>
  </w:footnote>
  <w:footnote w:id="7">
    <w:p w14:paraId="4E74D6D2">
      <w:pPr>
        <w:widowControl w:val="0"/>
        <w:tabs>
          <w:tab w:val="left" w:pos="632"/>
        </w:tabs>
        <w:adjustRightInd w:val="0"/>
        <w:snapToGrid w:val="0"/>
        <w:ind w:left="0" w:leftChars="0" w:firstLine="0" w:firstLineChars="0"/>
        <w:jc w:val="both"/>
        <w:rPr>
          <w:rFonts w:hint="eastAsia" w:ascii="宋体" w:hAnsi="宋体" w:eastAsia="宋体" w:cs="Times New Roman"/>
          <w:b/>
          <w:kern w:val="2"/>
          <w:sz w:val="18"/>
          <w:szCs w:val="21"/>
          <w:lang w:val="en-US" w:eastAsia="zh-CN" w:bidi="ar-SA"/>
        </w:rPr>
      </w:pPr>
    </w:p>
  </w:footnote>
  <w:footnote w:id="8">
    <w:p w14:paraId="55CA327B">
      <w:pPr>
        <w:widowControl w:val="0"/>
        <w:adjustRightInd w:val="0"/>
        <w:snapToGrid w:val="0"/>
        <w:ind w:left="0" w:leftChars="0" w:firstLine="0" w:firstLineChars="0"/>
        <w:jc w:val="both"/>
        <w:rPr>
          <w:rFonts w:hint="default" w:ascii="宋体" w:hAnsi="宋体" w:eastAsia="宋体" w:cs="Times New Roman"/>
          <w:b/>
          <w:kern w:val="2"/>
          <w:sz w:val="21"/>
          <w:szCs w:val="21"/>
          <w:lang w:val="en-US" w:eastAsia="zh-CN" w:bidi="ar-SA"/>
        </w:rPr>
      </w:pPr>
    </w:p>
  </w:footnote>
  <w:footnote w:id="9">
    <w:p w14:paraId="6FE454F2">
      <w:pPr>
        <w:widowControl w:val="0"/>
        <w:adjustRightInd w:val="0"/>
        <w:snapToGrid w:val="0"/>
        <w:ind w:left="0" w:leftChars="0" w:firstLine="0" w:firstLineChars="0"/>
        <w:jc w:val="both"/>
        <w:rPr>
          <w:rFonts w:hint="default" w:ascii="宋体" w:hAnsi="宋体" w:eastAsia="宋体" w:cs="Times New Roman"/>
          <w:color w:val="0000FF"/>
          <w:kern w:val="2"/>
          <w:sz w:val="21"/>
          <w:szCs w:val="21"/>
          <w:lang w:val="en-US" w:eastAsia="zh-CN" w:bidi="ar-SA"/>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F1644">
    <w:pPr>
      <w:pStyle w:val="10"/>
      <w:jc w:val="right"/>
    </w:pPr>
    <w:r>
      <w:rPr>
        <w:rFonts w:hint="eastAsia"/>
      </w:rPr>
      <w:t>常州市政府采购项目公开招标文件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E8D76">
    <w:pPr>
      <w:spacing w:before="77" w:line="221" w:lineRule="auto"/>
      <w:ind w:left="5437"/>
      <w:rPr>
        <w:rFonts w:ascii="Arial" w:hAnsi="Arial" w:eastAsia="Arial" w:cs="Arial"/>
        <w:sz w:val="29"/>
        <w:szCs w:val="29"/>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E12C52"/>
    <w:multiLevelType w:val="multilevel"/>
    <w:tmpl w:val="C4E12C52"/>
    <w:lvl w:ilvl="0" w:tentative="0">
      <w:start w:val="1"/>
      <w:numFmt w:val="decimal"/>
      <w:lvlText w:val="%1"/>
      <w:lvlJc w:val="left"/>
      <w:pPr>
        <w:ind w:left="284" w:hanging="284"/>
      </w:pPr>
      <w:rPr>
        <w:rFonts w:hint="eastAsia"/>
      </w:rPr>
    </w:lvl>
    <w:lvl w:ilvl="1" w:tentative="0">
      <w:start w:val="1"/>
      <w:numFmt w:val="decimal"/>
      <w:lvlText w:val="%1.%2"/>
      <w:lvlJc w:val="left"/>
      <w:pPr>
        <w:ind w:left="851" w:hanging="567"/>
      </w:pPr>
      <w:rPr>
        <w:rFonts w:hint="eastAsia"/>
      </w:rPr>
    </w:lvl>
    <w:lvl w:ilvl="2" w:tentative="0">
      <w:start w:val="1"/>
      <w:numFmt w:val="decimal"/>
      <w:lvlText w:val="%1.%2.%3"/>
      <w:lvlJc w:val="left"/>
      <w:pPr>
        <w:ind w:left="1418" w:hanging="851"/>
      </w:pPr>
      <w:rPr>
        <w:rFonts w:hint="eastAsia"/>
      </w:rPr>
    </w:lvl>
    <w:lvl w:ilvl="3" w:tentative="0">
      <w:start w:val="1"/>
      <w:numFmt w:val="decimal"/>
      <w:lvlText w:val="%1.%2.%3.%4"/>
      <w:lvlJc w:val="left"/>
      <w:pPr>
        <w:ind w:left="1985" w:hanging="1134"/>
      </w:pPr>
      <w:rPr>
        <w:rFonts w:hint="eastAsia"/>
      </w:rPr>
    </w:lvl>
    <w:lvl w:ilvl="4" w:tentative="0">
      <w:start w:val="1"/>
      <w:numFmt w:val="decimal"/>
      <w:lvlText w:val="%1.%2.%3.%4.%5"/>
      <w:lvlJc w:val="left"/>
      <w:pPr>
        <w:ind w:left="2125" w:hanging="425"/>
      </w:pPr>
      <w:rPr>
        <w:rFonts w:hint="eastAsia"/>
      </w:rPr>
    </w:lvl>
    <w:lvl w:ilvl="5" w:tentative="0">
      <w:start w:val="1"/>
      <w:numFmt w:val="decimal"/>
      <w:lvlText w:val="%1.%2.%3.%4.%5.%6"/>
      <w:lvlJc w:val="left"/>
      <w:pPr>
        <w:ind w:left="2550" w:hanging="425"/>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abstractNum w:abstractNumId="1">
    <w:nsid w:val="C6D8BDE1"/>
    <w:multiLevelType w:val="singleLevel"/>
    <w:tmpl w:val="C6D8BDE1"/>
    <w:lvl w:ilvl="0" w:tentative="0">
      <w:start w:val="3"/>
      <w:numFmt w:val="chineseCounting"/>
      <w:suff w:val="nothing"/>
      <w:lvlText w:val="%1、"/>
      <w:lvlJc w:val="left"/>
      <w:rPr>
        <w:rFonts w:hint="eastAsia"/>
      </w:rPr>
    </w:lvl>
  </w:abstractNum>
  <w:abstractNum w:abstractNumId="2">
    <w:nsid w:val="0FD4FDFF"/>
    <w:multiLevelType w:val="multilevel"/>
    <w:tmpl w:val="0FD4FDFF"/>
    <w:lvl w:ilvl="0" w:tentative="0">
      <w:start w:val="1"/>
      <w:numFmt w:val="decimal"/>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3">
    <w:nsid w:val="5F734CCC"/>
    <w:multiLevelType w:val="multilevel"/>
    <w:tmpl w:val="5F734CCC"/>
    <w:lvl w:ilvl="0" w:tentative="0">
      <w:start w:val="1"/>
      <w:numFmt w:val="decimal"/>
      <w:lvlText w:val="%1"/>
      <w:lvlJc w:val="left"/>
      <w:pPr>
        <w:ind w:left="284" w:hanging="284"/>
      </w:pPr>
      <w:rPr>
        <w:rFonts w:hint="eastAsia"/>
      </w:rPr>
    </w:lvl>
    <w:lvl w:ilvl="1" w:tentative="0">
      <w:start w:val="1"/>
      <w:numFmt w:val="decimal"/>
      <w:lvlText w:val="%1.%2"/>
      <w:lvlJc w:val="left"/>
      <w:pPr>
        <w:ind w:left="1134" w:hanging="1134"/>
      </w:pPr>
      <w:rPr>
        <w:rFonts w:hint="eastAsia"/>
      </w:rPr>
    </w:lvl>
    <w:lvl w:ilvl="2" w:tentative="0">
      <w:start w:val="1"/>
      <w:numFmt w:val="decimal"/>
      <w:lvlText w:val="%1.%2.%3"/>
      <w:lvlJc w:val="left"/>
      <w:pPr>
        <w:ind w:left="1275" w:hanging="425"/>
      </w:pPr>
      <w:rPr>
        <w:rFonts w:hint="eastAsia"/>
      </w:rPr>
    </w:lvl>
    <w:lvl w:ilvl="3" w:tentative="0">
      <w:start w:val="1"/>
      <w:numFmt w:val="decimal"/>
      <w:lvlText w:val="%1.%2.%3.%4"/>
      <w:lvlJc w:val="left"/>
      <w:pPr>
        <w:ind w:left="1700" w:hanging="425"/>
      </w:pPr>
      <w:rPr>
        <w:rFonts w:hint="eastAsia"/>
      </w:rPr>
    </w:lvl>
    <w:lvl w:ilvl="4" w:tentative="0">
      <w:start w:val="1"/>
      <w:numFmt w:val="decimal"/>
      <w:lvlText w:val="%1.%2.%3.%4.%5"/>
      <w:lvlJc w:val="left"/>
      <w:pPr>
        <w:ind w:left="2125" w:hanging="425"/>
      </w:pPr>
      <w:rPr>
        <w:rFonts w:hint="eastAsia"/>
      </w:rPr>
    </w:lvl>
    <w:lvl w:ilvl="5" w:tentative="0">
      <w:start w:val="1"/>
      <w:numFmt w:val="decimal"/>
      <w:lvlText w:val="%1.%2.%3.%4.%5.%6"/>
      <w:lvlJc w:val="left"/>
      <w:pPr>
        <w:ind w:left="2550" w:hanging="425"/>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abstractNum w:abstractNumId="4">
    <w:nsid w:val="6FD2270D"/>
    <w:multiLevelType w:val="multilevel"/>
    <w:tmpl w:val="6FD2270D"/>
    <w:lvl w:ilvl="0" w:tentative="0">
      <w:start w:val="1"/>
      <w:numFmt w:val="decimal"/>
      <w:lvlText w:val="%1"/>
      <w:lvlJc w:val="left"/>
      <w:pPr>
        <w:ind w:left="284" w:hanging="284"/>
      </w:pPr>
      <w:rPr>
        <w:rFonts w:hint="eastAsia"/>
      </w:rPr>
    </w:lvl>
    <w:lvl w:ilvl="1" w:tentative="0">
      <w:start w:val="1"/>
      <w:numFmt w:val="decimal"/>
      <w:lvlText w:val="%1.%2"/>
      <w:lvlJc w:val="left"/>
      <w:pPr>
        <w:ind w:left="850" w:hanging="566"/>
      </w:pPr>
      <w:rPr>
        <w:rFonts w:hint="eastAsia"/>
      </w:rPr>
    </w:lvl>
    <w:lvl w:ilvl="2" w:tentative="0">
      <w:start w:val="1"/>
      <w:numFmt w:val="decimal"/>
      <w:lvlText w:val="%1.%2.%3"/>
      <w:lvlJc w:val="left"/>
      <w:pPr>
        <w:ind w:left="1418" w:hanging="851"/>
      </w:pPr>
      <w:rPr>
        <w:rFonts w:hint="eastAsia"/>
      </w:rPr>
    </w:lvl>
    <w:lvl w:ilvl="3" w:tentative="0">
      <w:start w:val="1"/>
      <w:numFmt w:val="decimal"/>
      <w:lvlText w:val="%1.%2.%3.%4"/>
      <w:lvlJc w:val="left"/>
      <w:pPr>
        <w:ind w:left="1985" w:hanging="1134"/>
      </w:pPr>
      <w:rPr>
        <w:rFonts w:hint="eastAsia"/>
      </w:rPr>
    </w:lvl>
    <w:lvl w:ilvl="4" w:tentative="0">
      <w:start w:val="1"/>
      <w:numFmt w:val="decimal"/>
      <w:lvlText w:val="%1.%2.%3.%4.%5"/>
      <w:lvlJc w:val="left"/>
      <w:pPr>
        <w:ind w:left="2125" w:hanging="425"/>
      </w:pPr>
      <w:rPr>
        <w:rFonts w:hint="eastAsia"/>
      </w:rPr>
    </w:lvl>
    <w:lvl w:ilvl="5" w:tentative="0">
      <w:start w:val="1"/>
      <w:numFmt w:val="decimal"/>
      <w:lvlText w:val="%1.%2.%3.%4.%5.%6"/>
      <w:lvlJc w:val="left"/>
      <w:pPr>
        <w:ind w:left="2550" w:hanging="425"/>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20"/>
    <w:footnote w:id="21"/>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006835"/>
    <w:rsid w:val="000D111D"/>
    <w:rsid w:val="00955970"/>
    <w:rsid w:val="0098388D"/>
    <w:rsid w:val="00A3295D"/>
    <w:rsid w:val="01A9669A"/>
    <w:rsid w:val="022950E4"/>
    <w:rsid w:val="02EA4873"/>
    <w:rsid w:val="04006835"/>
    <w:rsid w:val="042326BB"/>
    <w:rsid w:val="05E25CD6"/>
    <w:rsid w:val="065D6AF2"/>
    <w:rsid w:val="070E2AFA"/>
    <w:rsid w:val="080D19C3"/>
    <w:rsid w:val="083D3697"/>
    <w:rsid w:val="08430582"/>
    <w:rsid w:val="09CD27F9"/>
    <w:rsid w:val="09EA7EA0"/>
    <w:rsid w:val="0A171CC6"/>
    <w:rsid w:val="0E4D1706"/>
    <w:rsid w:val="0E7019A5"/>
    <w:rsid w:val="0E8536A2"/>
    <w:rsid w:val="0F321D48"/>
    <w:rsid w:val="0FC621C4"/>
    <w:rsid w:val="11576BB6"/>
    <w:rsid w:val="12502219"/>
    <w:rsid w:val="12A52565"/>
    <w:rsid w:val="14E5250B"/>
    <w:rsid w:val="166167A3"/>
    <w:rsid w:val="17171557"/>
    <w:rsid w:val="19EE2A43"/>
    <w:rsid w:val="1A0F4768"/>
    <w:rsid w:val="1ABD41C4"/>
    <w:rsid w:val="1B9211AC"/>
    <w:rsid w:val="1BEA723A"/>
    <w:rsid w:val="1E0A5972"/>
    <w:rsid w:val="1E3173A3"/>
    <w:rsid w:val="1E6A6411"/>
    <w:rsid w:val="1E836D7E"/>
    <w:rsid w:val="1EB3600A"/>
    <w:rsid w:val="2059673D"/>
    <w:rsid w:val="21115D92"/>
    <w:rsid w:val="21921F06"/>
    <w:rsid w:val="221B63A0"/>
    <w:rsid w:val="22D36C7A"/>
    <w:rsid w:val="234B1072"/>
    <w:rsid w:val="2392443F"/>
    <w:rsid w:val="23FA1FE5"/>
    <w:rsid w:val="25D24FC7"/>
    <w:rsid w:val="25EB292F"/>
    <w:rsid w:val="26192BF6"/>
    <w:rsid w:val="26753BA5"/>
    <w:rsid w:val="273121C1"/>
    <w:rsid w:val="29657243"/>
    <w:rsid w:val="2E7D1769"/>
    <w:rsid w:val="2E982B26"/>
    <w:rsid w:val="2EC35DF5"/>
    <w:rsid w:val="2FAA2B11"/>
    <w:rsid w:val="303074BA"/>
    <w:rsid w:val="303D1BD7"/>
    <w:rsid w:val="30A82681"/>
    <w:rsid w:val="30C01653"/>
    <w:rsid w:val="31A6555A"/>
    <w:rsid w:val="32F72511"/>
    <w:rsid w:val="35773495"/>
    <w:rsid w:val="36981915"/>
    <w:rsid w:val="37FC2378"/>
    <w:rsid w:val="3AC21656"/>
    <w:rsid w:val="3C801BC8"/>
    <w:rsid w:val="3CAF5C0A"/>
    <w:rsid w:val="3CD15B81"/>
    <w:rsid w:val="3EBC460F"/>
    <w:rsid w:val="3FFA719D"/>
    <w:rsid w:val="403B1563"/>
    <w:rsid w:val="40436D96"/>
    <w:rsid w:val="418335C1"/>
    <w:rsid w:val="41D57EC1"/>
    <w:rsid w:val="41E55C2A"/>
    <w:rsid w:val="42BD2703"/>
    <w:rsid w:val="43B9111D"/>
    <w:rsid w:val="44BC0EC5"/>
    <w:rsid w:val="44CE1EDA"/>
    <w:rsid w:val="453018B3"/>
    <w:rsid w:val="456450B8"/>
    <w:rsid w:val="45FD1795"/>
    <w:rsid w:val="468256A6"/>
    <w:rsid w:val="47307948"/>
    <w:rsid w:val="47D5062C"/>
    <w:rsid w:val="49415E3C"/>
    <w:rsid w:val="4B553E21"/>
    <w:rsid w:val="4B627C01"/>
    <w:rsid w:val="4BE551A5"/>
    <w:rsid w:val="4DD0778F"/>
    <w:rsid w:val="4E473EF5"/>
    <w:rsid w:val="4EB946C7"/>
    <w:rsid w:val="50354221"/>
    <w:rsid w:val="50A54F03"/>
    <w:rsid w:val="50AF7B2F"/>
    <w:rsid w:val="50E7551B"/>
    <w:rsid w:val="51181B78"/>
    <w:rsid w:val="532A16EF"/>
    <w:rsid w:val="542E520F"/>
    <w:rsid w:val="548D2752"/>
    <w:rsid w:val="55CC4CE0"/>
    <w:rsid w:val="56334D5F"/>
    <w:rsid w:val="575651A9"/>
    <w:rsid w:val="576C0528"/>
    <w:rsid w:val="587873A1"/>
    <w:rsid w:val="58922210"/>
    <w:rsid w:val="58ED359D"/>
    <w:rsid w:val="5ABF12B7"/>
    <w:rsid w:val="5AF57525"/>
    <w:rsid w:val="5B24736C"/>
    <w:rsid w:val="5B6F4A8B"/>
    <w:rsid w:val="5BFB00CD"/>
    <w:rsid w:val="5DFC1EDA"/>
    <w:rsid w:val="5E190CDE"/>
    <w:rsid w:val="5F0E45BB"/>
    <w:rsid w:val="600A6B30"/>
    <w:rsid w:val="60430294"/>
    <w:rsid w:val="6151078F"/>
    <w:rsid w:val="61736957"/>
    <w:rsid w:val="62567D75"/>
    <w:rsid w:val="62650996"/>
    <w:rsid w:val="62A25746"/>
    <w:rsid w:val="643C74D4"/>
    <w:rsid w:val="64AC6408"/>
    <w:rsid w:val="667473F9"/>
    <w:rsid w:val="696A6892"/>
    <w:rsid w:val="6B43383E"/>
    <w:rsid w:val="6B8C360D"/>
    <w:rsid w:val="6C111246"/>
    <w:rsid w:val="6C6D2921"/>
    <w:rsid w:val="6CBC7404"/>
    <w:rsid w:val="6D1C60F5"/>
    <w:rsid w:val="6D317DF2"/>
    <w:rsid w:val="6D413DAD"/>
    <w:rsid w:val="6D4A0EB4"/>
    <w:rsid w:val="6DB25D5C"/>
    <w:rsid w:val="6E7F693B"/>
    <w:rsid w:val="6FAA3E8C"/>
    <w:rsid w:val="702C664F"/>
    <w:rsid w:val="70F133F4"/>
    <w:rsid w:val="71B010DE"/>
    <w:rsid w:val="72C139C6"/>
    <w:rsid w:val="72D1172F"/>
    <w:rsid w:val="74237D69"/>
    <w:rsid w:val="77286DE9"/>
    <w:rsid w:val="775223B7"/>
    <w:rsid w:val="77F4039A"/>
    <w:rsid w:val="7AC73B44"/>
    <w:rsid w:val="7B494559"/>
    <w:rsid w:val="7C975798"/>
    <w:rsid w:val="7DCC32F2"/>
    <w:rsid w:val="7E3C03A5"/>
    <w:rsid w:val="7E7C2E97"/>
    <w:rsid w:val="7F5259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2"/>
    </w:rPr>
  </w:style>
  <w:style w:type="paragraph" w:styleId="4">
    <w:name w:val="heading 1"/>
    <w:basedOn w:val="1"/>
    <w:next w:val="1"/>
    <w:qFormat/>
    <w:uiPriority w:val="9"/>
    <w:pPr>
      <w:spacing w:line="360" w:lineRule="auto"/>
      <w:jc w:val="center"/>
      <w:outlineLvl w:val="0"/>
    </w:pPr>
    <w:rPr>
      <w:b/>
      <w:sz w:val="36"/>
      <w:szCs w:val="36"/>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unhideWhenUsed/>
    <w:qFormat/>
    <w:uiPriority w:val="99"/>
    <w:pPr>
      <w:ind w:firstLine="420"/>
    </w:pPr>
  </w:style>
  <w:style w:type="paragraph" w:styleId="3">
    <w:name w:val="Body Text Indent"/>
    <w:basedOn w:val="1"/>
    <w:next w:val="1"/>
    <w:semiHidden/>
    <w:unhideWhenUsed/>
    <w:qFormat/>
    <w:uiPriority w:val="99"/>
    <w:pPr>
      <w:spacing w:after="120"/>
      <w:ind w:left="420"/>
    </w:pPr>
  </w:style>
  <w:style w:type="paragraph" w:styleId="5">
    <w:name w:val="table of authorities"/>
    <w:next w:val="1"/>
    <w:unhideWhenUsed/>
    <w:qFormat/>
    <w:uiPriority w:val="99"/>
    <w:pPr>
      <w:widowControl w:val="0"/>
      <w:ind w:left="420" w:leftChars="200"/>
      <w:jc w:val="both"/>
    </w:pPr>
    <w:rPr>
      <w:rFonts w:ascii="Times New Roman" w:hAnsi="Times New Roman" w:eastAsia="宋体" w:cs="Times New Roman"/>
      <w:kern w:val="2"/>
      <w:sz w:val="21"/>
      <w:szCs w:val="24"/>
      <w:lang w:val="en-US" w:eastAsia="zh-CN" w:bidi="ar-SA"/>
    </w:rPr>
  </w:style>
  <w:style w:type="paragraph" w:styleId="6">
    <w:name w:val="Normal Indent"/>
    <w:basedOn w:val="1"/>
    <w:next w:val="1"/>
    <w:qFormat/>
    <w:uiPriority w:val="0"/>
    <w:pPr>
      <w:ind w:firstLine="420"/>
      <w:jc w:val="left"/>
    </w:pPr>
    <w:rPr>
      <w:rFonts w:ascii="宋体" w:hAnsi="Times New Roman" w:eastAsia="宋体" w:cs="Times New Roman"/>
      <w:sz w:val="24"/>
      <w:szCs w:val="24"/>
    </w:rPr>
  </w:style>
  <w:style w:type="paragraph" w:styleId="7">
    <w:name w:val="annotation text"/>
    <w:basedOn w:val="1"/>
    <w:qFormat/>
    <w:uiPriority w:val="99"/>
    <w:pPr>
      <w:jc w:val="left"/>
    </w:pPr>
    <w:rPr>
      <w:rFonts w:ascii="Times New Roman" w:hAnsi="Times New Roman" w:eastAsia="宋体" w:cs="Times New Roman"/>
      <w:szCs w:val="24"/>
    </w:rPr>
  </w:style>
  <w:style w:type="paragraph" w:styleId="8">
    <w:name w:val="Body Text"/>
    <w:basedOn w:val="1"/>
    <w:next w:val="1"/>
    <w:qFormat/>
    <w:uiPriority w:val="0"/>
    <w:pPr>
      <w:tabs>
        <w:tab w:val="left" w:pos="567"/>
      </w:tabs>
      <w:spacing w:before="120" w:line="22" w:lineRule="atLeast"/>
    </w:pPr>
    <w:rPr>
      <w:rFonts w:ascii="宋体" w:hAnsi="宋体" w:eastAsia="宋体" w:cs="Times New Roman"/>
      <w:sz w:val="24"/>
      <w:szCs w:val="24"/>
    </w:rPr>
  </w:style>
  <w:style w:type="paragraph" w:styleId="9">
    <w:name w:val="footer"/>
    <w:basedOn w:val="1"/>
    <w:unhideWhenUsed/>
    <w:qFormat/>
    <w:uiPriority w:val="99"/>
    <w:pPr>
      <w:tabs>
        <w:tab w:val="center" w:pos="4153"/>
        <w:tab w:val="right" w:pos="8306"/>
      </w:tabs>
      <w:jc w:val="left"/>
    </w:pPr>
    <w:rPr>
      <w:sz w:val="18"/>
      <w:szCs w:val="18"/>
    </w:rPr>
  </w:style>
  <w:style w:type="paragraph" w:styleId="10">
    <w:name w:val="header"/>
    <w:basedOn w:val="1"/>
    <w:unhideWhenUsed/>
    <w:qFormat/>
    <w:uiPriority w:val="99"/>
    <w:pPr>
      <w:pBdr>
        <w:bottom w:val="single" w:color="auto" w:sz="6" w:space="1"/>
      </w:pBdr>
      <w:tabs>
        <w:tab w:val="center" w:pos="4153"/>
        <w:tab w:val="right" w:pos="8306"/>
      </w:tabs>
      <w:jc w:val="center"/>
    </w:pPr>
    <w:rPr>
      <w:sz w:val="18"/>
      <w:szCs w:val="18"/>
    </w:rPr>
  </w:style>
  <w:style w:type="paragraph" w:styleId="11">
    <w:name w:val="toc 1"/>
    <w:basedOn w:val="1"/>
    <w:next w:val="1"/>
    <w:unhideWhenUsed/>
    <w:qFormat/>
    <w:uiPriority w:val="39"/>
    <w:rPr>
      <w:rFonts w:ascii="宋体" w:hAnsi="宋体" w:eastAsia="宋体" w:cs="宋体"/>
      <w:b/>
      <w:sz w:val="32"/>
    </w:r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table" w:styleId="14">
    <w:name w:val="Table Grid"/>
    <w:basedOn w:val="13"/>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6">
    <w:name w:val="NormalCharacter"/>
    <w:qFormat/>
    <w:uiPriority w:val="0"/>
  </w:style>
  <w:style w:type="paragraph" w:styleId="17">
    <w:name w:val="List Paragraph"/>
    <w:basedOn w:val="1"/>
    <w:qFormat/>
    <w:uiPriority w:val="34"/>
    <w:pPr>
      <w:ind w:firstLine="420"/>
    </w:p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67</Pages>
  <Words>20449</Words>
  <Characters>21116</Characters>
  <Lines>0</Lines>
  <Paragraphs>0</Paragraphs>
  <TotalTime>19</TotalTime>
  <ScaleCrop>false</ScaleCrop>
  <LinksUpToDate>false</LinksUpToDate>
  <CharactersWithSpaces>21238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2026-05-15T02:01:00Z</dcterms:created>
  <dc:creator>xunjing03</dc:creator>
  <cp:lastModifiedBy>Hannah~W</cp:lastModifiedBy>
  <cp:lastPrinted>2026-05-19T03:48:00Z</cp:lastPrinted>
  <dcterms:modified xsi:type="dcterms:W3CDTF">2026-07-13T07:08:00Z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F920D2144E0D499A9D85B40B1A901566</vt:lpwstr>
  </property>
  <property fmtid="{D5CDD505-2E9C-101B-9397-08002B2CF9AE}" pid="4" name="KSOTemplateDocerSaveRecord">
    <vt:lpwstr>eyJoZGlkIjoiMjhiYmQ2NTRjMGU2NjllODZiNWU0N2M5ZWZhMGZjNGIiLCJ1c2VySWQiOiIyOTE5Mzk5MzQifQ==</vt:lpwstr>
  </property>
</Properties>
</file>