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0"/>
        <w:ind w:firstLine="300"/>
        <w:spacing w:line="360" w:lineRule="auto"/>
        <w:rPr>
          <w:sz w:val="60"/>
          <w:szCs w:val="60"/>
          <w:highlight w:val="none"/>
        </w:rPr>
      </w:pPr>
      <w:r>
        <w:rPr>
          <w:sz w:val="60"/>
          <w:szCs w:val="60"/>
          <w:highlight w:val="none"/>
        </w:rPr>
      </w:r>
      <w:r/>
    </w:p>
    <w:p>
      <w:pPr>
        <w:pStyle w:val="1030"/>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0"/>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0"/>
        <w:jc w:val="center"/>
        <w:rPr>
          <w:b/>
          <w:bCs/>
          <w:sz w:val="60"/>
          <w:szCs w:val="60"/>
          <w:highlight w:val="none"/>
        </w:rPr>
      </w:pPr>
      <w:r>
        <w:rPr>
          <w:b/>
          <w:bCs/>
          <w:sz w:val="60"/>
          <w:szCs w:val="60"/>
          <w:highlight w:val="none"/>
        </w:rPr>
      </w:r>
      <w:r/>
    </w:p>
    <w:p>
      <w:pPr>
        <w:pStyle w:val="1030"/>
        <w:jc w:val="center"/>
        <w:spacing w:line="360" w:lineRule="auto"/>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highlight w:val="none"/>
        </w:rPr>
      </w:pPr>
      <w:r>
        <w:rPr>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2026年尧塘街道照明设施养护项目</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项目编号/包号：</w:t>
      </w:r>
      <w:r>
        <w:rPr>
          <w:rFonts w:hint="eastAsia" w:ascii="宋体" w:hAnsi="宋体" w:cs="宋体"/>
          <w:bCs/>
          <w:sz w:val="32"/>
          <w:szCs w:val="32"/>
          <w:highlight w:val="none"/>
          <w:lang w:eastAsia="zh-CN"/>
        </w:rPr>
        <w:t xml:space="preserve">JSZC-320413036-JTHY-G2026-0009</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常州市金坛区尧塘街道办事处</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0"/>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0"/>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8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8"/>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8"/>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8"/>
          <w:rFonts w:ascii="Times New Roman" w:hAnsi="Times New Roman"/>
          <w:highlight w:val="none"/>
        </w:rPr>
        <w:t xml:space="preserve">第三章   资</w:t>
      </w:r>
      <w:bookmarkStart w:id="1" w:name="_Hlt100754117"/>
      <w:r>
        <w:rPr>
          <w:rStyle w:val="1108"/>
          <w:rFonts w:ascii="Times New Roman" w:hAnsi="Times New Roman"/>
          <w:highlight w:val="none"/>
        </w:rPr>
        <w:t xml:space="preserve">格</w:t>
      </w:r>
      <w:bookmarkEnd w:id="1"/>
      <w:r>
        <w:rPr>
          <w:rStyle w:val="1108"/>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8"/>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8"/>
          <w:rFonts w:ascii="Times New Roman" w:hAnsi="Times New Roman"/>
          <w:highlight w:val="none"/>
        </w:rPr>
        <w:t xml:space="preserve">第五章   采购</w:t>
      </w:r>
      <w:bookmarkStart w:id="2" w:name="_Hlt100754103"/>
      <w:r/>
      <w:bookmarkStart w:id="3" w:name="_Hlt100754102"/>
      <w:r>
        <w:rPr>
          <w:rStyle w:val="1108"/>
          <w:rFonts w:ascii="Times New Roman" w:hAnsi="Times New Roman"/>
          <w:highlight w:val="none"/>
        </w:rPr>
        <w:t xml:space="preserve">需</w:t>
      </w:r>
      <w:bookmarkEnd w:id="2"/>
      <w:r/>
      <w:bookmarkEnd w:id="3"/>
      <w:r>
        <w:rPr>
          <w:rStyle w:val="1108"/>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8"/>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8"/>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0"/>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0"/>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2"/>
        <w:jc w:val="left"/>
        <w:spacing w:before="0" w:line="360" w:lineRule="auto"/>
        <w:rPr>
          <w:rFonts w:ascii="宋体" w:hAnsi="宋体" w:eastAsia="宋体"/>
          <w:sz w:val="21"/>
          <w:szCs w:val="21"/>
          <w:highlight w:val="none"/>
        </w:rPr>
      </w:pPr>
      <w:r/>
      <w:bookmarkStart w:id="5" w:name="_Toc35393790"/>
      <w:r/>
      <w:bookmarkStart w:id="6" w:name="_Toc28359002"/>
      <w:r/>
      <w:bookmarkStart w:id="7" w:name="_Toc28359079"/>
      <w:r/>
      <w:bookmarkStart w:id="8" w:name="_Toc35393621"/>
      <w:r/>
      <w:bookmarkStart w:id="9" w:name="_Hlk24379207"/>
      <w:r/>
      <w:bookmarkStart w:id="10" w:name="_Toc7145"/>
      <w:r/>
      <w:bookmarkStart w:id="11" w:name="_Toc28359008"/>
      <w:r/>
      <w:bookmarkStart w:id="12" w:name="_Toc35393796"/>
      <w:r/>
      <w:bookmarkStart w:id="13" w:name="_Toc28359085"/>
      <w:r/>
      <w:bookmarkStart w:id="14" w:name="_Toc35393627"/>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1.项目编号/包号：</w:t>
      </w:r>
      <w:r>
        <w:rPr>
          <w:rFonts w:hint="eastAsia" w:ascii="宋体" w:hAnsi="宋体"/>
          <w:szCs w:val="21"/>
          <w:highlight w:val="none"/>
          <w:lang w:eastAsia="zh-CN"/>
        </w:rPr>
        <w:t xml:space="preserve">JSZC-320413036-JTHY-G2026-0009</w:t>
      </w:r>
      <w:r>
        <w:rPr>
          <w:rFonts w:hint="eastAsia" w:ascii="宋体" w:hAnsi="宋体" w:eastAsia="宋体"/>
          <w:szCs w:val="21"/>
          <w:highlight w:val="none"/>
          <w:lang w:eastAsia="zh-CN"/>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2026年尧塘街道照明设施养护项目</w:t>
      </w:r>
      <w:r>
        <w:rPr>
          <w:rFonts w:hint="eastAsia" w:ascii="宋体" w:hAnsi="宋体" w:eastAsia="宋体"/>
          <w:szCs w:val="21"/>
          <w:highlight w:val="none"/>
          <w:lang w:eastAsia="zh-CN"/>
        </w:rPr>
      </w:r>
      <w:r/>
    </w:p>
    <w:p>
      <w:pPr>
        <w:pStyle w:val="1030"/>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120万元</w:t>
      </w:r>
      <w:r>
        <w:rPr>
          <w:rFonts w:hint="eastAsia" w:ascii="宋体" w:hAnsi="宋体" w:cs="宋体"/>
          <w:highlight w:val="none"/>
        </w:rPr>
        <w:t xml:space="preserve">。</w:t>
      </w:r>
      <w:r>
        <w:rPr>
          <w:rFonts w:hint="eastAsia" w:ascii="宋体" w:hAnsi="宋体" w:cs="宋体"/>
          <w:highlight w:val="none"/>
        </w:rPr>
      </w:r>
      <w:r/>
    </w:p>
    <w:p>
      <w:pPr>
        <w:pStyle w:val="1030"/>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120万元，本项目按优惠率报价，0≤投标优惠率＜100%，包含维护费用和照明零星任务费用，其中维护费用73.503万元，照明零星任务结算费用累计不超46.497万元。</w:t>
      </w:r>
      <w:r>
        <w:rPr>
          <w:rFonts w:hint="eastAsia" w:ascii="宋体" w:hAnsi="宋体"/>
          <w:szCs w:val="21"/>
          <w:highlight w:val="none"/>
        </w:rPr>
      </w:r>
      <w:r/>
    </w:p>
    <w:p>
      <w:pPr>
        <w:pStyle w:val="1030"/>
        <w:ind w:firstLine="420"/>
        <w:spacing w:line="360" w:lineRule="auto"/>
        <w:rPr>
          <w:rFonts w:ascii="宋体" w:hAnsi="宋体" w:cs="宋体"/>
          <w:spacing w:val="2"/>
          <w:highlight w:val="none"/>
          <w:lang w:val="en-US"/>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szCs w:val="21"/>
          <w:highlight w:val="none"/>
          <w:lang w:eastAsia="zh-CN"/>
        </w:rPr>
        <w:t xml:space="preserve">按照江苏省城市道路照明技术规范 DGJ32/TC06-2011等标准、办法对管辖范围照明设施进行维护。照明设施包括但不限于用于照明的照明器具、电器、灯杆以及管线、线缆、配电、监控、节能等系统的设备和附属设施等。维护范围内的高灯、中杆灯的光源不论功率大小均按一个光源计算；紧凑型荧光灯、LED 光源、大功率气体放电灯光源均按一个光源计算，其他钠灯光源不论功率大小均按一个光源计算。</w:t>
      </w:r>
      <w:r>
        <w:rPr>
          <w:rFonts w:ascii="宋体" w:hAnsi="宋体" w:cs="宋体"/>
          <w:spacing w:val="2"/>
          <w:highlight w:val="none"/>
          <w:lang w:val="en-US"/>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eastAsia="宋体" w:cs="宋体"/>
          <w:sz w:val="21"/>
          <w:szCs w:val="21"/>
          <w:highlight w:val="none"/>
          <w:lang w:eastAsia="zh-CN"/>
        </w:rPr>
        <w:t xml:space="preserve">自合同签订之日起一年（照明零星任务结算金额不超46.497万元）</w:t>
      </w:r>
      <w:r>
        <w:rPr>
          <w:rFonts w:hint="eastAsia" w:ascii="宋体" w:hAnsi="宋体" w:cs="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15" w:name="_Toc28359003"/>
      <w:r/>
      <w:bookmarkStart w:id="16" w:name="_Toc35393622"/>
      <w:r/>
      <w:bookmarkStart w:id="17" w:name="_Toc28359080"/>
      <w:r/>
      <w:bookmarkStart w:id="18" w:name="_Toc35393791"/>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0"/>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本项目专门面向中小企业采购。</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eastAsia="zh-CN"/>
        </w:rPr>
      </w:pPr>
      <w:r>
        <w:rPr>
          <w:rFonts w:ascii="宋体" w:hAnsi="宋体"/>
          <w:szCs w:val="21"/>
          <w:highlight w:val="none"/>
        </w:rPr>
        <w:t xml:space="preserve">3.2本项目是否属于政府购买服务：■是，公益一类事业单位、使用事业编制且由财政拨款保障的群团组织，不得作为承接主体</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val="en-US" w:eastAsia="zh-CN"/>
        </w:rPr>
      </w:pPr>
      <w:r>
        <w:rPr>
          <w:rFonts w:ascii="宋体" w:hAnsi="宋体"/>
          <w:szCs w:val="21"/>
        </w:rPr>
        <w:t xml:space="preserve">3.3其他特定资格要求：</w:t>
      </w:r>
      <w:r>
        <w:rPr>
          <w:rFonts w:hint="eastAsia" w:ascii="宋体" w:hAnsi="宋体"/>
          <w:szCs w:val="21"/>
          <w:lang w:val="en-US" w:eastAsia="zh-CN"/>
        </w:rPr>
        <w:t xml:space="preserve">无。</w:t>
      </w:r>
      <w:r>
        <w:rPr>
          <w:rFonts w:hint="eastAsia" w:ascii="宋体" w:hAnsi="宋体" w:eastAsia="宋体" w:cs="宋体"/>
          <w:sz w:val="21"/>
          <w:szCs w:val="21"/>
          <w:highlight w:val="none"/>
          <w:lang w:val="en-US" w:eastAsia="zh-CN"/>
        </w:rPr>
      </w:r>
      <w:r/>
    </w:p>
    <w:p>
      <w:pPr>
        <w:pStyle w:val="1032"/>
        <w:jc w:val="left"/>
        <w:spacing w:before="0" w:line="360" w:lineRule="auto"/>
        <w:widowControl/>
        <w:rPr>
          <w:rFonts w:ascii="宋体" w:hAnsi="宋体" w:eastAsia="宋体"/>
          <w:sz w:val="21"/>
          <w:szCs w:val="21"/>
          <w:highlight w:val="none"/>
        </w:rPr>
      </w:pPr>
      <w:r/>
      <w:bookmarkEnd w:id="19"/>
      <w:r/>
      <w:bookmarkEnd w:id="20"/>
      <w:r/>
      <w:bookmarkStart w:id="21" w:name="_Toc35393792"/>
      <w:r/>
      <w:bookmarkStart w:id="22" w:name="_Toc35393623"/>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28359005"/>
      <w:r/>
      <w:bookmarkStart w:id="24" w:name="_Toc35393624"/>
      <w:r/>
      <w:bookmarkStart w:id="25" w:name="_Toc35393793"/>
      <w:r/>
      <w:bookmarkStart w:id="26" w:name="_Toc28359082"/>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供应商持政务CA数字认证证书登录“苏采云”政府采购一体化平台获取电子版招标文件。</w:t>
      </w:r>
      <w:r>
        <w:rPr>
          <w:rFonts w:hint="eastAsia" w:ascii="宋体" w:hAnsi="宋体"/>
          <w:szCs w:val="21"/>
          <w:highlight w:val="none"/>
          <w:lang w:bidi="ar"/>
        </w:rPr>
      </w:r>
      <w:r/>
    </w:p>
    <w:p>
      <w:pPr>
        <w:pStyle w:val="1030"/>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2"/>
        <w:jc w:val="left"/>
        <w:spacing w:before="0" w:line="360" w:lineRule="auto"/>
        <w:widowControl/>
        <w:rPr>
          <w:rFonts w:hint="eastAsia" w:ascii="宋体" w:hAnsi="宋体" w:eastAsia="宋体"/>
          <w:sz w:val="21"/>
          <w:szCs w:val="21"/>
          <w:highlight w:val="none"/>
          <w:lang w:val="en-US" w:eastAsia="zh-CN"/>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hint="eastAsia" w:ascii="宋体" w:hAnsi="宋体" w:eastAsia="宋体"/>
          <w:sz w:val="21"/>
          <w:szCs w:val="21"/>
          <w:highlight w:val="none"/>
          <w:lang w:val="en-US" w:eastAsia="zh-CN"/>
        </w:rPr>
      </w:r>
      <w:r/>
    </w:p>
    <w:p>
      <w:pPr>
        <w:pStyle w:val="1030"/>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27</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下午14</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3</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0"/>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28359084"/>
      <w:r/>
      <w:bookmarkStart w:id="28" w:name="_Toc35393794"/>
      <w:r/>
      <w:bookmarkStart w:id="29" w:name="_Toc35393625"/>
      <w:r/>
      <w:bookmarkStart w:id="30" w:name="_Toc28359007"/>
      <w:r>
        <w:rPr>
          <w:rFonts w:hint="eastAsia" w:ascii="宋体" w:hAnsi="宋体" w:cs="宋体"/>
          <w:highlight w:val="none"/>
          <w:u w:val="single"/>
        </w:rPr>
        <w:t xml:space="preserve">本项目采用不见面交易方式，无需到现场提交，</w:t>
      </w:r>
      <w:r>
        <w:rPr>
          <w:rFonts w:hint="eastAsia" w:ascii="宋体" w:hAnsi="宋体" w:cs="宋体"/>
          <w:highlight w:val="none"/>
          <w:u w:val="single"/>
          <w:lang w:eastAsia="zh-CN"/>
        </w:rPr>
        <w:t xml:space="preserve">投标人</w:t>
      </w:r>
      <w:r>
        <w:rPr>
          <w:rFonts w:hint="eastAsia" w:ascii="宋体" w:hAnsi="宋体" w:cs="宋体"/>
          <w:highlight w:val="none"/>
          <w:u w:val="single"/>
        </w:rPr>
        <w:t xml:space="preserve">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0"/>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0"/>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szCs w:val="21"/>
          <w:highlight w:val="none"/>
          <w:lang w:val="zh-TW" w:eastAsia="zh-CN" w:bidi="ar"/>
        </w:rPr>
        <w:t xml:space="preserve">投标人</w:t>
      </w:r>
      <w:r>
        <w:rPr>
          <w:rFonts w:hint="eastAsia" w:ascii="宋体" w:hAnsi="宋体"/>
          <w:szCs w:val="21"/>
          <w:highlight w:val="none"/>
          <w:lang w:val="zh-TW" w:bidi="ar"/>
        </w:rPr>
        <w:t xml:space="preserve">自行承担。</w:t>
      </w:r>
      <w:r>
        <w:rPr>
          <w:rFonts w:hint="eastAsia" w:ascii="宋体" w:hAnsi="宋体"/>
          <w:szCs w:val="21"/>
          <w:highlight w:val="none"/>
          <w:lang w:val="zh-TW" w:bidi="ar"/>
        </w:rPr>
      </w:r>
      <w:r/>
    </w:p>
    <w:p>
      <w:pPr>
        <w:pStyle w:val="1030"/>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0"/>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0"/>
        <w:ind w:firstLine="420"/>
        <w:spacing w:line="360" w:lineRule="auto"/>
        <w:rPr>
          <w:rFonts w:hint="eastAsia" w:ascii="宋体" w:hAnsi="宋体" w:cs="宋体"/>
          <w:szCs w:val="21"/>
          <w:highlight w:val="none"/>
        </w:rPr>
      </w:pPr>
      <w:r/>
      <w:bookmarkStart w:id="33" w:name="_Toc28358998"/>
      <w:r/>
      <w:bookmarkStart w:id="34" w:name="_Toc35393786"/>
      <w:r/>
      <w:bookmarkStart w:id="35" w:name="_Toc28359075"/>
      <w:r/>
      <w:bookmarkStart w:id="36" w:name="_Toc35393617"/>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常州市金坛区尧塘街道办事处</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常州市金坛区尧汤路8号</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朱</w:t>
      </w:r>
      <w:r>
        <w:rPr>
          <w:rFonts w:hint="eastAsia" w:ascii="宋体" w:hAnsi="宋体" w:cs="宋体"/>
          <w:szCs w:val="21"/>
          <w:highlight w:val="none"/>
          <w:lang w:eastAsia="zh-CN"/>
        </w:rPr>
        <w:t xml:space="preserve">先生</w:t>
      </w:r>
      <w:r>
        <w:rPr>
          <w:rFonts w:hint="eastAsia" w:ascii="宋体" w:hAnsi="宋体" w:cs="宋体"/>
          <w:szCs w:val="21"/>
          <w:highlight w:val="none"/>
        </w:rPr>
      </w:r>
      <w:r/>
    </w:p>
    <w:p>
      <w:pPr>
        <w:pStyle w:val="1030"/>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话：0519-82595251</w:t>
      </w:r>
      <w:r>
        <w:rPr>
          <w:rFonts w:ascii="宋体" w:hAnsi="宋体" w:eastAsia="宋体" w:cs="宋体"/>
          <w:szCs w:val="21"/>
          <w:highlight w:val="none"/>
          <w:lang w:val="en-US" w:eastAsia="zh-CN"/>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bookmarkStart w:id="37" w:name="_Toc28359077"/>
      <w:r/>
      <w:bookmarkStart w:id="38" w:name="_Toc28359000"/>
      <w:r/>
      <w:bookmarkStart w:id="39" w:name="_Toc35393619"/>
      <w:r/>
      <w:bookmarkStart w:id="40" w:name="_Toc35393788"/>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w:t>
      </w:r>
      <w:r>
        <w:rPr>
          <w:rFonts w:hint="eastAsia" w:ascii="宋体" w:hAnsi="宋体" w:cs="宋体"/>
          <w:szCs w:val="21"/>
          <w:highlight w:val="none"/>
        </w:rPr>
      </w:r>
      <w:r/>
    </w:p>
    <w:p>
      <w:pPr>
        <w:pStyle w:val="1030"/>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b/>
          <w:sz w:val="24"/>
          <w:highlight w:val="none"/>
        </w:rPr>
      </w:r>
      <w:r/>
    </w:p>
    <w:p>
      <w:pPr>
        <w:pStyle w:val="1030"/>
        <w:jc w:val="both"/>
        <w:spacing w:line="360" w:lineRule="auto"/>
        <w:rPr>
          <w:b/>
          <w:sz w:val="36"/>
          <w:szCs w:val="36"/>
          <w:highlight w:val="none"/>
        </w:rPr>
        <w:outlineLvl w:val="0"/>
      </w:pPr>
      <w:r/>
      <w:bookmarkStart w:id="41" w:name="_Toc195842950"/>
      <w:r/>
      <w:bookmarkStart w:id="42" w:name="_Toc99301420"/>
      <w:r/>
      <w:bookmarkStart w:id="43" w:name="_Toc353873938"/>
      <w:r/>
      <w:bookmarkStart w:id="44" w:name="_Toc150774783"/>
      <w:r/>
      <w:bookmarkStart w:id="45" w:name="_Toc127161488"/>
      <w:r/>
      <w:bookmarkStart w:id="46" w:name="_Toc305158854"/>
      <w:r/>
      <w:bookmarkStart w:id="47" w:name="_Toc127151777"/>
      <w:r/>
      <w:bookmarkStart w:id="48" w:name="_Toc353825548"/>
      <w:r/>
      <w:bookmarkStart w:id="49" w:name="_Toc264969275"/>
      <w:r/>
      <w:bookmarkStart w:id="50" w:name="_Toc226965856"/>
      <w:r/>
      <w:bookmarkStart w:id="51" w:name="_Toc512937850"/>
      <w:r/>
      <w:bookmarkStart w:id="52" w:name="_Toc265228423"/>
      <w:r/>
      <w:bookmarkStart w:id="53" w:name="_Toc305158928"/>
      <w:r>
        <w:rPr>
          <w:b/>
          <w:sz w:val="36"/>
          <w:szCs w:val="36"/>
          <w:highlight w:val="none"/>
        </w:rPr>
      </w:r>
      <w:r/>
    </w:p>
    <w:p>
      <w:pPr>
        <w:pStyle w:val="1030"/>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2"/>
        <w:spacing w:before="0" w:line="360" w:lineRule="auto"/>
        <w:tabs>
          <w:tab w:val="center" w:pos="4592" w:leader="none"/>
          <w:tab w:val="left" w:pos="7860" w:leader="none"/>
        </w:tabs>
        <w:rPr>
          <w:rFonts w:ascii="Times New Roman" w:hAnsi="Times New Roman" w:eastAsia="宋体"/>
          <w:sz w:val="28"/>
          <w:highlight w:val="none"/>
        </w:rPr>
      </w:pPr>
      <w:r/>
      <w:bookmarkStart w:id="54" w:name="_Toc150480757"/>
      <w:r/>
      <w:bookmarkStart w:id="55" w:name="_Toc164229360"/>
      <w:r/>
      <w:bookmarkStart w:id="56" w:name="_Toc151193761"/>
      <w:r/>
      <w:bookmarkStart w:id="57" w:name="_Toc151193907"/>
      <w:r/>
      <w:bookmarkStart w:id="58" w:name="_Toc149720812"/>
      <w:r/>
      <w:bookmarkStart w:id="59" w:name="_Toc226309763"/>
      <w:r/>
      <w:bookmarkStart w:id="60" w:name="_Toc127151720"/>
      <w:r/>
      <w:bookmarkStart w:id="61" w:name="_Toc226337215"/>
      <w:r/>
      <w:bookmarkStart w:id="62" w:name="_Toc150774619"/>
      <w:r/>
      <w:bookmarkStart w:id="63" w:name="_Toc164351613"/>
      <w:r/>
      <w:bookmarkStart w:id="64" w:name="_Toc127161433"/>
      <w:r/>
      <w:bookmarkStart w:id="65" w:name="_Toc164608633"/>
      <w:r/>
      <w:bookmarkStart w:id="66" w:name="_Toc151193833"/>
      <w:r/>
      <w:bookmarkStart w:id="67" w:name="_Toc226965709"/>
      <w:r/>
      <w:bookmarkStart w:id="68" w:name="_Toc151193689"/>
      <w:r/>
      <w:bookmarkStart w:id="69" w:name="_Toc150774724"/>
      <w:r/>
      <w:bookmarkStart w:id="70" w:name="_Toc164608788"/>
      <w:r/>
      <w:bookmarkStart w:id="71" w:name="_Toc164229214"/>
      <w:r/>
      <w:bookmarkStart w:id="72" w:name="_Toc151193617"/>
      <w:r/>
      <w:bookmarkStart w:id="73" w:name="_Toc142311021"/>
      <w:r/>
      <w:bookmarkStart w:id="74" w:name="_Toc150509270"/>
      <w:r/>
      <w:bookmarkStart w:id="75" w:name="_Toc127151519"/>
      <w:r/>
      <w:bookmarkStart w:id="76" w:name="_Toc151190146"/>
      <w:r/>
      <w:bookmarkStart w:id="77" w:name="_Toc195842884"/>
      <w:r/>
      <w:bookmarkStart w:id="78" w:name="_Toc226965792"/>
      <w:r/>
      <w:bookmarkStart w:id="79" w:name="_Toc520356144"/>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0"/>
        <w:jc w:val="center"/>
        <w:rPr>
          <w:b/>
          <w:sz w:val="28"/>
          <w:szCs w:val="28"/>
          <w:highlight w:val="none"/>
        </w:rPr>
      </w:pPr>
      <w:r>
        <w:rPr>
          <w:b/>
          <w:sz w:val="28"/>
          <w:szCs w:val="28"/>
          <w:highlight w:val="none"/>
        </w:rPr>
      </w:r>
      <w:r/>
    </w:p>
    <w:p>
      <w:pPr>
        <w:pStyle w:val="1030"/>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本项目采购标的对应的中小企业划分标准所属行业：</w:t>
            </w:r>
            <w:r>
              <w:rPr>
                <w:rFonts w:hint="eastAsia" w:ascii="宋体" w:hAnsi="宋体" w:eastAsia="宋体" w:cs="宋体"/>
                <w:b/>
                <w:bCs/>
                <w:szCs w:val="21"/>
                <w:highlight w:val="none"/>
              </w:rPr>
              <w:t xml:space="preserve">其他未列明行业</w:t>
            </w:r>
            <w:r>
              <w:rPr>
                <w:rFonts w:hint="eastAsia" w:ascii="宋体" w:hAnsi="宋体" w:eastAsia="宋体" w:cs="宋体"/>
                <w:szCs w:val="21"/>
                <w:highlight w:val="none"/>
              </w:rPr>
              <w:t xml:space="preserve">。</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cs="宋体"/>
                <w:sz w:val="21"/>
                <w:szCs w:val="21"/>
                <w:highlight w:val="none"/>
              </w:rPr>
            </w:pPr>
            <w:r>
              <w:rPr>
                <w:rFonts w:hint="eastAsia"/>
                <w:sz w:val="21"/>
                <w:szCs w:val="21"/>
              </w:rPr>
              <w:t xml:space="preserve">本国产品政策支持</w:t>
            </w:r>
            <w:r>
              <w:rPr>
                <w:rFonts w:hint="eastAsia" w:ascii="宋体" w:hAnsi="宋体" w:cs="宋体"/>
                <w:sz w:val="21"/>
                <w:szCs w:val="21"/>
                <w:highlight w:val="none"/>
              </w:rPr>
            </w:r>
            <w:r/>
          </w:p>
        </w:tc>
        <w:tc>
          <w:tcPr>
            <w:tcW w:w="7551" w:type="dxa"/>
            <w:vAlign w:val="center"/>
            <w:textDirection w:val="lrTb"/>
            <w:noWrap w:val="false"/>
          </w:tcPr>
          <w:p>
            <w:pPr>
              <w:pStyle w:val="1030"/>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103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sz w:val="21"/>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本项目按优惠率报价，0≤投标优惠率＜100%</w:t>
            </w:r>
            <w:r>
              <w:rPr>
                <w:rFonts w:hint="eastAsia" w:ascii="宋体" w:hAnsi="宋体" w:cs="宋体"/>
                <w:b w:val="0"/>
                <w:bCs/>
                <w:color w:val="000000"/>
                <w:szCs w:val="21"/>
                <w:highlight w:val="none"/>
              </w:rPr>
              <w:t xml:space="preserve">，否则作无效</w:t>
            </w:r>
            <w:r>
              <w:rPr>
                <w:rFonts w:hint="eastAsia" w:ascii="宋体" w:hAnsi="宋体" w:cs="宋体"/>
                <w:b w:val="0"/>
                <w:bCs/>
                <w:color w:val="000000"/>
                <w:szCs w:val="21"/>
                <w:highlight w:val="none"/>
                <w:lang w:val="en-US" w:eastAsia="zh-CN"/>
              </w:rPr>
              <w:t xml:space="preserve">标</w:t>
            </w:r>
            <w:r>
              <w:rPr>
                <w:rFonts w:hint="eastAsia" w:ascii="宋体" w:hAnsi="宋体" w:cs="宋体"/>
                <w:b w:val="0"/>
                <w:bCs/>
                <w:color w:val="000000"/>
                <w:szCs w:val="21"/>
                <w:highlight w:val="none"/>
              </w:rPr>
              <w:t xml:space="preserve">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中标人</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w:t>
            </w:r>
            <w:r>
              <w:rPr>
                <w:rFonts w:hint="eastAsia" w:ascii="宋体" w:hAnsi="宋体" w:cs="宋体"/>
                <w:szCs w:val="21"/>
                <w:highlight w:val="none"/>
                <w:lang w:val="en-US" w:eastAsia="zh-CN"/>
              </w:rPr>
              <w:t xml:space="preserve">10000元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rPr>
              <w:t xml:space="preserve">请</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人在报价时综合考虑</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缴纳时间：中标单位在领取中标通知书时一次性支付给招标代理单位。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 </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4"/>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2026年7月1日至投标截止时间15日前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0"/>
              <w:spacing w:line="360" w:lineRule="auto"/>
              <w:rPr>
                <w:rFonts w:hint="eastAsia" w:ascii="宋体" w:hAnsi="宋体" w:eastAsia="宋体" w:cs="宋体"/>
                <w:bCs/>
                <w:color w:val="000000"/>
                <w:szCs w:val="21"/>
                <w:highlight w:val="none"/>
                <w:lang w:eastAsia="zh-CN"/>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lang w:val="en-US" w:eastAsia="zh-CN"/>
              </w:rPr>
              <w:t xml:space="preserve">是，</w:t>
            </w:r>
            <w:r>
              <w:rPr>
                <w:rFonts w:hint="eastAsia" w:ascii="宋体" w:hAnsi="宋体" w:cs="宋体"/>
                <w:bCs/>
                <w:szCs w:val="21"/>
                <w:highlight w:val="none"/>
                <w:lang w:val="en-US" w:eastAsia="zh-CN"/>
              </w:rPr>
              <w:t xml:space="preserve">中标人</w:t>
            </w:r>
            <w:r>
              <w:rPr>
                <w:rFonts w:hint="eastAsia" w:ascii="宋体" w:hAnsi="宋体" w:cs="宋体"/>
                <w:bCs/>
                <w:szCs w:val="21"/>
                <w:highlight w:val="none"/>
                <w:lang w:val="en-US" w:eastAsia="zh-CN"/>
              </w:rPr>
              <w:t xml:space="preserve">在合同签订前，向采购人提供</w:t>
            </w:r>
            <w:r>
              <w:rPr>
                <w:rFonts w:hint="eastAsia" w:ascii="宋体" w:hAnsi="宋体" w:cs="宋体"/>
                <w:b/>
                <w:bCs w:val="0"/>
                <w:szCs w:val="21"/>
                <w:highlight w:val="none"/>
                <w:lang w:val="en-US" w:eastAsia="zh-CN"/>
              </w:rPr>
              <w:t xml:space="preserve">5万元</w:t>
            </w:r>
            <w:r>
              <w:rPr>
                <w:rFonts w:hint="eastAsia" w:ascii="宋体" w:hAnsi="宋体" w:cs="宋体"/>
                <w:bCs/>
                <w:szCs w:val="21"/>
                <w:highlight w:val="none"/>
                <w:lang w:val="en-US" w:eastAsia="zh-CN"/>
              </w:rPr>
              <w:t xml:space="preserve">的履约保证金（成交供应商自主选择以支票、汇票、本票、保函等非现金形式缴纳或递交），合同期满后采购人一次性返还成交供应商的履约保证金（不计息）。</w:t>
            </w:r>
            <w:r>
              <w:rPr>
                <w:rFonts w:hint="eastAsia" w:ascii="宋体" w:hAnsi="宋体" w:eastAsia="宋体" w:cs="宋体"/>
                <w:bCs/>
                <w:color w:val="000000"/>
                <w:szCs w:val="21"/>
                <w:highlight w:val="none"/>
                <w:lang w:eastAsia="zh-CN"/>
              </w:rPr>
            </w:r>
            <w:r/>
          </w:p>
        </w:tc>
      </w:tr>
    </w:tbl>
    <w:p>
      <w:pPr>
        <w:pStyle w:val="1030"/>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0"/>
        <w:jc w:val="center"/>
        <w:spacing w:before="240" w:after="240"/>
        <w:rPr>
          <w:b/>
          <w:sz w:val="28"/>
          <w:szCs w:val="28"/>
          <w:highlight w:val="none"/>
        </w:rPr>
      </w:pPr>
      <w:r/>
      <w:bookmarkStart w:id="80" w:name="_Toc127151517"/>
      <w:r/>
      <w:bookmarkStart w:id="81" w:name="_Toc150480755"/>
      <w:r/>
      <w:bookmarkStart w:id="82" w:name="_Toc226337213"/>
      <w:r/>
      <w:bookmarkStart w:id="83" w:name="_Toc353825542"/>
      <w:r/>
      <w:bookmarkStart w:id="84" w:name="_Toc265228355"/>
      <w:r/>
      <w:bookmarkStart w:id="85" w:name="_Toc142311019"/>
      <w:r/>
      <w:bookmarkStart w:id="86" w:name="_Toc226965790"/>
      <w:r/>
      <w:bookmarkStart w:id="87" w:name="_Toc353873662"/>
      <w:r/>
      <w:bookmarkStart w:id="88" w:name="_Toc305158859"/>
      <w:r/>
      <w:bookmarkStart w:id="89" w:name="_Toc195842882"/>
      <w:r/>
      <w:bookmarkStart w:id="90" w:name="_Toc150774722"/>
      <w:r/>
      <w:bookmarkStart w:id="91" w:name="_Toc305158785"/>
      <w:r/>
      <w:bookmarkStart w:id="92" w:name="_Toc353873932"/>
      <w:r/>
      <w:bookmarkStart w:id="93" w:name="_Toc264969207"/>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2"/>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127151518"/>
      <w:r/>
      <w:bookmarkStart w:id="95" w:name="_Toc520356143"/>
      <w:r>
        <w:rPr>
          <w:rFonts w:ascii="Times New Roman" w:hAnsi="Times New Roman" w:eastAsia="宋体"/>
          <w:sz w:val="28"/>
          <w:highlight w:val="none"/>
        </w:rPr>
        <w:tab/>
      </w:r>
      <w:bookmarkEnd w:id="94"/>
      <w:r/>
      <w:bookmarkEnd w:id="95"/>
      <w:r/>
      <w:bookmarkStart w:id="96" w:name="_Toc265228356"/>
      <w:r/>
      <w:bookmarkStart w:id="97" w:name="_Toc151193906"/>
      <w:r/>
      <w:bookmarkStart w:id="98" w:name="_Toc195842883"/>
      <w:r/>
      <w:bookmarkStart w:id="99" w:name="_Toc150774723"/>
      <w:r/>
      <w:bookmarkStart w:id="100" w:name="_Toc151193688"/>
      <w:r/>
      <w:bookmarkStart w:id="101" w:name="_Toc142311020"/>
      <w:r/>
      <w:bookmarkStart w:id="102" w:name="_Toc150509269"/>
      <w:r/>
      <w:bookmarkStart w:id="103" w:name="_Toc226309762"/>
      <w:r/>
      <w:bookmarkStart w:id="104" w:name="_Toc226965791"/>
      <w:r/>
      <w:bookmarkStart w:id="105" w:name="_Toc305158786"/>
      <w:r/>
      <w:bookmarkStart w:id="106" w:name="_Toc264969208"/>
      <w:r/>
      <w:bookmarkStart w:id="107" w:name="_Toc151193760"/>
      <w:r/>
      <w:bookmarkStart w:id="108" w:name="_Toc151190145"/>
      <w:r/>
      <w:bookmarkStart w:id="109" w:name="_Toc226965708"/>
      <w:r/>
      <w:bookmarkStart w:id="110" w:name="_Toc151193616"/>
      <w:r/>
      <w:bookmarkStart w:id="111" w:name="_Toc305158860"/>
      <w:r/>
      <w:bookmarkStart w:id="112" w:name="_Toc150774618"/>
      <w:r/>
      <w:bookmarkStart w:id="113" w:name="_Toc226337214"/>
      <w:r/>
      <w:bookmarkStart w:id="114" w:name="_Toc151193832"/>
      <w:r/>
      <w:bookmarkStart w:id="115" w:name="_Toc150480756"/>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16" w:name="_Toc305158861"/>
      <w:r/>
      <w:bookmarkStart w:id="117" w:name="_Toc305158787"/>
      <w:r/>
      <w:bookmarkStart w:id="118" w:name="_Toc264969209"/>
      <w:r/>
      <w:bookmarkStart w:id="119" w:name="_Toc265228357"/>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20" w:name="_Toc127151721"/>
      <w:r/>
      <w:bookmarkStart w:id="121" w:name="_Toc151193618"/>
      <w:r/>
      <w:bookmarkStart w:id="122" w:name="_Toc151193834"/>
      <w:r/>
      <w:bookmarkStart w:id="123" w:name="_Toc150774620"/>
      <w:r/>
      <w:bookmarkStart w:id="124" w:name="_Toc226965710"/>
      <w:r/>
      <w:bookmarkStart w:id="125" w:name="_Toc127161434"/>
      <w:r/>
      <w:bookmarkStart w:id="126" w:name="_Toc151193908"/>
      <w:r/>
      <w:bookmarkStart w:id="127" w:name="_Toc151190147"/>
      <w:r/>
      <w:bookmarkStart w:id="128" w:name="_Toc150480758"/>
      <w:r/>
      <w:bookmarkStart w:id="129" w:name="_Toc164351614"/>
      <w:r/>
      <w:bookmarkStart w:id="130" w:name="_Toc226309764"/>
      <w:r/>
      <w:bookmarkStart w:id="131" w:name="_Toc226965793"/>
      <w:r/>
      <w:bookmarkStart w:id="132" w:name="_Toc150509271"/>
      <w:r/>
      <w:bookmarkStart w:id="133" w:name="_Toc164608789"/>
      <w:r/>
      <w:bookmarkStart w:id="134" w:name="_Toc151193762"/>
      <w:r/>
      <w:bookmarkStart w:id="135" w:name="_Toc305158788"/>
      <w:r/>
      <w:bookmarkStart w:id="136" w:name="_Toc164229215"/>
      <w:r/>
      <w:bookmarkStart w:id="137" w:name="_Toc264969210"/>
      <w:r/>
      <w:bookmarkStart w:id="138" w:name="_Toc127151520"/>
      <w:r/>
      <w:bookmarkStart w:id="139" w:name="_Toc164229361"/>
      <w:r/>
      <w:bookmarkStart w:id="140" w:name="_Toc195842885"/>
      <w:r/>
      <w:bookmarkStart w:id="141" w:name="_Toc226337216"/>
      <w:r/>
      <w:bookmarkStart w:id="142" w:name="_Toc142311022"/>
      <w:r/>
      <w:bookmarkStart w:id="143" w:name="_Toc150774725"/>
      <w:r/>
      <w:bookmarkStart w:id="144" w:name="_Toc305158862"/>
      <w:r/>
      <w:bookmarkStart w:id="145" w:name="_Toc265228358"/>
      <w:r/>
      <w:bookmarkStart w:id="146" w:name="_Toc164608634"/>
      <w:r/>
      <w:bookmarkStart w:id="147" w:name="_Toc151193690"/>
      <w:r/>
      <w:bookmarkStart w:id="148" w:name="_Toc149720813"/>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150774622"/>
      <w:r/>
      <w:bookmarkStart w:id="150" w:name="_Toc151193764"/>
      <w:r/>
      <w:bookmarkStart w:id="151" w:name="_Toc520356146"/>
      <w:r/>
      <w:bookmarkStart w:id="152" w:name="_Toc151193836"/>
      <w:r/>
      <w:bookmarkStart w:id="153" w:name="_Toc150480760"/>
      <w:r/>
      <w:bookmarkStart w:id="154" w:name="_Toc226965795"/>
      <w:r/>
      <w:bookmarkStart w:id="155" w:name="_Toc226337218"/>
      <w:r/>
      <w:bookmarkStart w:id="156" w:name="_Toc151193910"/>
      <w:r/>
      <w:bookmarkStart w:id="157" w:name="_Toc264969212"/>
      <w:r/>
      <w:bookmarkStart w:id="158" w:name="_Toc226965712"/>
      <w:r/>
      <w:bookmarkStart w:id="159" w:name="_Toc150509273"/>
      <w:r/>
      <w:bookmarkStart w:id="160" w:name="_Toc305158790"/>
      <w:r/>
      <w:bookmarkStart w:id="161" w:name="_Toc151193620"/>
      <w:r/>
      <w:bookmarkStart w:id="162" w:name="_Toc150774727"/>
      <w:r/>
      <w:bookmarkStart w:id="163" w:name="_Toc226309766"/>
      <w:r/>
      <w:bookmarkStart w:id="164" w:name="_Toc151193692"/>
      <w:r/>
      <w:bookmarkStart w:id="165" w:name="_Toc142311024"/>
      <w:r/>
      <w:bookmarkStart w:id="166" w:name="_Toc195842887"/>
      <w:r/>
      <w:bookmarkStart w:id="167" w:name="_Toc265228360"/>
      <w:r/>
      <w:bookmarkStart w:id="168" w:name="_Toc127151522"/>
      <w:r/>
      <w:bookmarkStart w:id="169" w:name="_Toc151190149"/>
      <w:r/>
      <w:bookmarkStart w:id="170" w:name="_Toc305158864"/>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0"/>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0"/>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0"/>
        <w:ind w:firstLine="1050"/>
        <w:spacing w:line="480" w:lineRule="exact"/>
        <w:rPr>
          <w:rFonts w:hint="eastAsia" w:ascii="宋体" w:hAnsi="宋体" w:cs="宋体"/>
          <w:szCs w:val="21"/>
          <w:highlight w:val="none"/>
        </w:rPr>
      </w:pPr>
      <w:r>
        <w:rPr>
          <w:rFonts w:hint="eastAsia" w:ascii="宋体" w:hAnsi="宋体" w:cs="宋体"/>
          <w:szCs w:val="21"/>
          <w:highlight w:val="none"/>
        </w:rPr>
        <w:t xml:space="preserve">5.7.2 推广应用绿色建材</w:t>
      </w:r>
      <w:r>
        <w:rPr>
          <w:rFonts w:hint="eastAsia" w:ascii="宋体" w:hAnsi="宋体" w:cs="宋体"/>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号）和《政府采购支持绿色建材促进建筑品质提升政策项目实施指南》（财办库〔2023〕52号）,依据相关需求标准确定采购需求，在采购文件和采购合同中载明具体需求、履约验收条款和违约责任。</w:t>
      </w:r>
      <w:r>
        <w:rPr>
          <w:rFonts w:hint="eastAsia" w:ascii="宋体" w:hAnsi="宋体" w:cs="宋体"/>
          <w:szCs w:val="21"/>
          <w:highlight w:val="none"/>
        </w:rPr>
      </w:r>
      <w:r/>
    </w:p>
    <w:p>
      <w:pPr>
        <w:pStyle w:val="1030"/>
        <w:ind w:firstLine="945"/>
        <w:spacing w:line="480" w:lineRule="exact"/>
        <w:rPr>
          <w:rFonts w:hint="eastAsia" w:ascii="宋体" w:hAnsi="宋体" w:cs="宋体"/>
          <w:szCs w:val="21"/>
          <w:highlight w:val="none"/>
        </w:rPr>
      </w:pPr>
      <w:r>
        <w:rPr>
          <w:rFonts w:hint="eastAsia" w:ascii="宋体" w:hAnsi="宋体" w:cs="宋体"/>
          <w:szCs w:val="21"/>
          <w:highlight w:val="none"/>
        </w:rPr>
        <w:t xml:space="preserve">5.7.3 优先使用低挥发性有机化合物产品</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hint="eastAsia" w:ascii="宋体" w:hAnsi="宋体" w:cs="宋体"/>
          <w:szCs w:val="21"/>
          <w:highlight w:val="none"/>
        </w:rPr>
      </w:r>
      <w:r/>
    </w:p>
    <w:p>
      <w:pPr>
        <w:pStyle w:val="1030"/>
        <w:spacing w:line="48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5.8     </w:t>
      </w:r>
      <w:r>
        <w:rPr>
          <w:rFonts w:hint="eastAsia" w:ascii="宋体" w:hAnsi="宋体" w:eastAsia="宋体" w:cs="宋体"/>
          <w:szCs w:val="21"/>
          <w:highlight w:val="none"/>
        </w:rPr>
        <w:t xml:space="preserve">政府采购中实施本国产品标准及相关政策</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5.8.1本项目对采购本国产品给予政策支持，具体内容见招标文件“第四章 评标程序、评标方法与评标标准”。</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0"/>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172" w:name="_Toc142311025"/>
      <w:r/>
      <w:bookmarkStart w:id="173" w:name="_Toc127151523"/>
      <w:r/>
      <w:bookmarkStart w:id="174" w:name="_Toc520356147"/>
      <w:r/>
      <w:bookmarkStart w:id="175" w:name="_Toc305158791"/>
      <w:r/>
      <w:bookmarkStart w:id="176" w:name="_Toc151193911"/>
      <w:r/>
      <w:bookmarkStart w:id="177" w:name="_Toc151193621"/>
      <w:r/>
      <w:bookmarkStart w:id="178" w:name="_Toc164229218"/>
      <w:r/>
      <w:bookmarkStart w:id="179" w:name="_Toc149720816"/>
      <w:r/>
      <w:bookmarkStart w:id="180" w:name="_Toc150509274"/>
      <w:r/>
      <w:bookmarkStart w:id="181" w:name="_Toc150774728"/>
      <w:r/>
      <w:bookmarkStart w:id="182" w:name="_Toc151193837"/>
      <w:r/>
      <w:bookmarkStart w:id="183" w:name="_Toc151193765"/>
      <w:r/>
      <w:bookmarkStart w:id="184" w:name="_Toc164229364"/>
      <w:r/>
      <w:bookmarkStart w:id="185" w:name="_Toc226965796"/>
      <w:r/>
      <w:bookmarkStart w:id="186" w:name="_Toc226965713"/>
      <w:r/>
      <w:bookmarkStart w:id="187" w:name="_Toc264969213"/>
      <w:r/>
      <w:bookmarkStart w:id="188" w:name="_Toc127161437"/>
      <w:r/>
      <w:bookmarkStart w:id="189" w:name="_Toc164351617"/>
      <w:r/>
      <w:bookmarkStart w:id="190" w:name="_Toc305158865"/>
      <w:r/>
      <w:bookmarkStart w:id="191" w:name="_Toc127151724"/>
      <w:r/>
      <w:bookmarkStart w:id="192" w:name="_Toc226309767"/>
      <w:r/>
      <w:bookmarkStart w:id="193" w:name="_Toc226337219"/>
      <w:r/>
      <w:bookmarkStart w:id="194" w:name="_Toc151193693"/>
      <w:r/>
      <w:bookmarkStart w:id="195" w:name="_Toc150480761"/>
      <w:r/>
      <w:bookmarkStart w:id="196" w:name="_Toc150774623"/>
      <w:r/>
      <w:bookmarkStart w:id="197" w:name="_Toc265228361"/>
      <w:r/>
      <w:bookmarkStart w:id="198" w:name="_Toc151190150"/>
      <w:r/>
      <w:bookmarkStart w:id="199" w:name="_Toc164608637"/>
      <w:r/>
      <w:bookmarkStart w:id="200" w:name="_Toc164608792"/>
      <w:r/>
      <w:bookmarkStart w:id="201" w:name="_Toc195842888"/>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0"/>
        <w:ind w:left="1080"/>
        <w:pageBreakBefore w:val="0"/>
        <w:spacing w:line="480" w:lineRule="exact"/>
        <w:widowControl w:val="off"/>
        <w:tabs>
          <w:tab w:val="left" w:pos="1080" w:leader="none"/>
          <w:tab w:val="left" w:pos="1561" w:leader="none"/>
        </w:tabs>
        <w:rPr>
          <w:rFonts w:hint="eastAsia" w:ascii="宋体" w:hAnsi="宋体" w:cs="宋体"/>
          <w:szCs w:val="21"/>
          <w:highlight w:val="none"/>
        </w:rPr>
      </w:pPr>
      <w:r/>
      <w:bookmarkStart w:id="202" w:name="_Toc264969216"/>
      <w:r/>
      <w:bookmarkStart w:id="203" w:name="_Toc195842891"/>
      <w:r/>
      <w:bookmarkStart w:id="204" w:name="_Toc127151526"/>
      <w:r/>
      <w:bookmarkStart w:id="205" w:name="_Toc226965716"/>
      <w:r/>
      <w:bookmarkStart w:id="206" w:name="_Toc151193624"/>
      <w:r/>
      <w:bookmarkStart w:id="207" w:name="_Toc305158868"/>
      <w:r/>
      <w:bookmarkStart w:id="208" w:name="_Toc516367020"/>
      <w:r/>
      <w:bookmarkStart w:id="209" w:name="_Toc150480764"/>
      <w:r/>
      <w:bookmarkStart w:id="210" w:name="_Toc151193914"/>
      <w:r/>
      <w:bookmarkStart w:id="211" w:name="_Toc520356150"/>
      <w:r/>
      <w:bookmarkStart w:id="212" w:name="_Toc226309770"/>
      <w:r/>
      <w:bookmarkStart w:id="213" w:name="_Toc151190153"/>
      <w:r/>
      <w:bookmarkStart w:id="214" w:name="_Toc150774626"/>
      <w:r/>
      <w:bookmarkStart w:id="215" w:name="_Toc265228364"/>
      <w:r/>
      <w:bookmarkStart w:id="216" w:name="_Toc150509277"/>
      <w:r/>
      <w:bookmarkStart w:id="217" w:name="_Toc226337222"/>
      <w:r/>
      <w:bookmarkStart w:id="218" w:name="_Toc226965799"/>
      <w:r/>
      <w:bookmarkStart w:id="219" w:name="_Toc151193768"/>
      <w:r/>
      <w:bookmarkStart w:id="220" w:name="_Toc150774731"/>
      <w:r/>
      <w:bookmarkStart w:id="221" w:name="_Toc151193696"/>
      <w:r/>
      <w:bookmarkStart w:id="222" w:name="_Toc151193840"/>
      <w:r/>
      <w:bookmarkStart w:id="223" w:name="_Toc142311028"/>
      <w:r/>
      <w:bookmarkStart w:id="224" w:name="_Toc305158794"/>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25" w:name="_Toc226337223"/>
      <w:r/>
      <w:bookmarkStart w:id="226" w:name="_Toc305158795"/>
      <w:r/>
      <w:bookmarkStart w:id="227" w:name="_Toc150774627"/>
      <w:r/>
      <w:bookmarkStart w:id="228" w:name="_Toc151193915"/>
      <w:r/>
      <w:bookmarkStart w:id="229" w:name="_Toc127161441"/>
      <w:r/>
      <w:bookmarkStart w:id="230" w:name="_Toc142311029"/>
      <w:r/>
      <w:bookmarkStart w:id="231" w:name="_Toc151193769"/>
      <w:r/>
      <w:bookmarkStart w:id="232" w:name="_Toc151193697"/>
      <w:r/>
      <w:bookmarkStart w:id="233" w:name="_Toc150774732"/>
      <w:r/>
      <w:bookmarkStart w:id="234" w:name="_Toc127151527"/>
      <w:r/>
      <w:bookmarkStart w:id="235" w:name="_Toc226965800"/>
      <w:r/>
      <w:bookmarkStart w:id="236" w:name="_Toc520356151"/>
      <w:r/>
      <w:bookmarkStart w:id="237" w:name="_Toc151193841"/>
      <w:r/>
      <w:bookmarkStart w:id="238" w:name="_Toc164608796"/>
      <w:r/>
      <w:bookmarkStart w:id="239" w:name="_Toc164229368"/>
      <w:r/>
      <w:bookmarkStart w:id="240" w:name="_Toc151190154"/>
      <w:r/>
      <w:bookmarkStart w:id="241" w:name="_Toc150509278"/>
      <w:r/>
      <w:bookmarkStart w:id="242" w:name="_Toc226309771"/>
      <w:r/>
      <w:bookmarkStart w:id="243" w:name="_Toc164608641"/>
      <w:r/>
      <w:bookmarkStart w:id="244" w:name="_Toc264969217"/>
      <w:r/>
      <w:bookmarkStart w:id="245" w:name="_Toc516367021"/>
      <w:r/>
      <w:bookmarkStart w:id="246" w:name="_Toc226965717"/>
      <w:r/>
      <w:bookmarkStart w:id="247" w:name="_Toc164229222"/>
      <w:r/>
      <w:bookmarkStart w:id="248" w:name="_Toc265228365"/>
      <w:r/>
      <w:bookmarkStart w:id="249" w:name="_Toc305158869"/>
      <w:r/>
      <w:bookmarkStart w:id="250" w:name="_Toc164351621"/>
      <w:r/>
      <w:bookmarkStart w:id="251" w:name="_Toc127151728"/>
      <w:r/>
      <w:bookmarkStart w:id="252" w:name="_Toc151193625"/>
      <w:r/>
      <w:bookmarkStart w:id="253" w:name="_Toc150480765"/>
      <w:r/>
      <w:bookmarkStart w:id="254" w:name="_Toc149720820"/>
      <w:r/>
      <w:bookmarkStart w:id="255" w:name="_Toc195842892"/>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56" w:name="_Toc520356152"/>
      <w:r/>
      <w:bookmarkStart w:id="257" w:name="_Toc151193770"/>
      <w:r/>
      <w:bookmarkStart w:id="258" w:name="_Toc195842893"/>
      <w:r/>
      <w:bookmarkStart w:id="259" w:name="_Toc226309772"/>
      <w:r/>
      <w:bookmarkStart w:id="260" w:name="_Toc226337224"/>
      <w:r/>
      <w:bookmarkStart w:id="261" w:name="_Toc150774628"/>
      <w:r/>
      <w:bookmarkStart w:id="262" w:name="_Toc164608642"/>
      <w:r/>
      <w:bookmarkStart w:id="263" w:name="_Toc264969218"/>
      <w:r/>
      <w:bookmarkStart w:id="264" w:name="_Toc305158870"/>
      <w:r/>
      <w:bookmarkStart w:id="265" w:name="_Toc226965718"/>
      <w:r/>
      <w:bookmarkStart w:id="266" w:name="_Toc142311030"/>
      <w:r/>
      <w:bookmarkStart w:id="267" w:name="_Toc151190155"/>
      <w:r/>
      <w:bookmarkStart w:id="268" w:name="_Toc127161442"/>
      <w:r/>
      <w:bookmarkStart w:id="269" w:name="_Toc265228366"/>
      <w:r/>
      <w:bookmarkStart w:id="270" w:name="_Toc164608797"/>
      <w:r/>
      <w:bookmarkStart w:id="271" w:name="_Toc127151729"/>
      <w:r/>
      <w:bookmarkStart w:id="272" w:name="_Toc151193626"/>
      <w:r/>
      <w:bookmarkStart w:id="273" w:name="_Toc164351622"/>
      <w:r/>
      <w:bookmarkStart w:id="274" w:name="_Toc150480766"/>
      <w:r/>
      <w:bookmarkStart w:id="275" w:name="_Toc164229369"/>
      <w:r/>
      <w:bookmarkStart w:id="276" w:name="_Toc150774733"/>
      <w:r/>
      <w:bookmarkStart w:id="277" w:name="_Toc127151528"/>
      <w:r/>
      <w:bookmarkStart w:id="278" w:name="_Toc149720821"/>
      <w:r/>
      <w:bookmarkStart w:id="279" w:name="_Toc151193698"/>
      <w:r/>
      <w:bookmarkStart w:id="280" w:name="_Toc151193916"/>
      <w:r/>
      <w:bookmarkStart w:id="281" w:name="_Toc150509279"/>
      <w:r/>
      <w:bookmarkStart w:id="282" w:name="_Toc226965801"/>
      <w:r/>
      <w:bookmarkStart w:id="283" w:name="_Toc305158796"/>
      <w:r/>
      <w:bookmarkStart w:id="284" w:name="_Toc151193842"/>
      <w:r/>
      <w:bookmarkStart w:id="285" w:name="_Ref467306195"/>
      <w:r/>
      <w:bookmarkStart w:id="286" w:name="_Toc516367022"/>
      <w:r/>
      <w:bookmarkStart w:id="287" w:name="_Toc164229223"/>
      <w:r/>
      <w:bookmarkStart w:id="288" w:name="_Ref467306676"/>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90" w:name="_Toc164608799"/>
      <w:r/>
      <w:bookmarkStart w:id="291" w:name="_Toc150774630"/>
      <w:r/>
      <w:bookmarkStart w:id="292" w:name="_Toc150480768"/>
      <w:r/>
      <w:bookmarkStart w:id="293" w:name="_Toc151193844"/>
      <w:r/>
      <w:bookmarkStart w:id="294" w:name="_Toc127161444"/>
      <w:r/>
      <w:bookmarkStart w:id="295" w:name="_Toc149720823"/>
      <w:r/>
      <w:bookmarkStart w:id="296" w:name="_Toc520356155"/>
      <w:r/>
      <w:bookmarkStart w:id="297" w:name="_Toc142311032"/>
      <w:r/>
      <w:bookmarkStart w:id="298" w:name="_Toc151193918"/>
      <w:r/>
      <w:bookmarkStart w:id="299" w:name="_Toc127151530"/>
      <w:r/>
      <w:bookmarkStart w:id="300" w:name="_Toc127151731"/>
      <w:r/>
      <w:bookmarkStart w:id="301" w:name="_Toc151193628"/>
      <w:r/>
      <w:bookmarkStart w:id="302" w:name="_Toc151190157"/>
      <w:r/>
      <w:bookmarkStart w:id="303" w:name="_Toc195842895"/>
      <w:r/>
      <w:bookmarkStart w:id="304" w:name="_Toc164608644"/>
      <w:r/>
      <w:bookmarkStart w:id="305" w:name="_Toc150509281"/>
      <w:r/>
      <w:bookmarkStart w:id="306" w:name="_Toc164229225"/>
      <w:r/>
      <w:bookmarkStart w:id="307" w:name="_Toc151193772"/>
      <w:r/>
      <w:bookmarkStart w:id="308" w:name="_Toc151193700"/>
      <w:r/>
      <w:bookmarkStart w:id="309" w:name="_Toc164229371"/>
      <w:r/>
      <w:bookmarkStart w:id="310" w:name="_Toc150774735"/>
      <w:r/>
      <w:bookmarkStart w:id="311" w:name="_Toc164351624"/>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12" w:name="_Toc226965804"/>
      <w:r/>
      <w:bookmarkStart w:id="313" w:name="_Toc127161445"/>
      <w:r/>
      <w:bookmarkStart w:id="314" w:name="_Toc151190158"/>
      <w:r/>
      <w:bookmarkStart w:id="315" w:name="_Toc164608800"/>
      <w:r/>
      <w:bookmarkStart w:id="316" w:name="_Toc264969221"/>
      <w:r/>
      <w:bookmarkStart w:id="317" w:name="_Toc150509282"/>
      <w:r/>
      <w:bookmarkStart w:id="318" w:name="_Toc127151531"/>
      <w:r/>
      <w:bookmarkStart w:id="319" w:name="_Ref467306513"/>
      <w:r/>
      <w:bookmarkStart w:id="320" w:name="_Toc164229372"/>
      <w:r/>
      <w:bookmarkStart w:id="321" w:name="_Toc164229226"/>
      <w:r/>
      <w:bookmarkStart w:id="322" w:name="_Toc305158799"/>
      <w:r/>
      <w:bookmarkStart w:id="323" w:name="_Toc520356156"/>
      <w:r/>
      <w:bookmarkStart w:id="324" w:name="_Toc151193701"/>
      <w:r/>
      <w:bookmarkStart w:id="325" w:name="_Toc127151732"/>
      <w:r/>
      <w:bookmarkStart w:id="326" w:name="_Toc195842896"/>
      <w:r/>
      <w:bookmarkStart w:id="327" w:name="_Toc142311033"/>
      <w:r/>
      <w:bookmarkStart w:id="328" w:name="_Toc151193773"/>
      <w:r/>
      <w:bookmarkStart w:id="329" w:name="_Toc164608645"/>
      <w:r/>
      <w:bookmarkStart w:id="330" w:name="_Toc226965721"/>
      <w:r/>
      <w:bookmarkStart w:id="331" w:name="_Toc151193845"/>
      <w:r/>
      <w:bookmarkStart w:id="332" w:name="_Toc150774736"/>
      <w:r/>
      <w:bookmarkStart w:id="333" w:name="_Toc151193629"/>
      <w:r/>
      <w:bookmarkStart w:id="334" w:name="_Toc149720824"/>
      <w:r/>
      <w:bookmarkStart w:id="335" w:name="_Toc164351625"/>
      <w:r/>
      <w:bookmarkStart w:id="336" w:name="_Toc226309775"/>
      <w:r/>
      <w:bookmarkStart w:id="337" w:name="_Toc150480769"/>
      <w:r/>
      <w:bookmarkStart w:id="338" w:name="_Toc151193919"/>
      <w:r/>
      <w:bookmarkStart w:id="339" w:name="_Toc226337227"/>
      <w:r/>
      <w:bookmarkStart w:id="340" w:name="_Toc265228369"/>
      <w:r/>
      <w:bookmarkStart w:id="341" w:name="_Toc150774631"/>
      <w:r/>
      <w:bookmarkStart w:id="342" w:name="_Toc305158873"/>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0"/>
        <w:ind w:left="357"/>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43" w:name="_Toc151193774"/>
      <w:r/>
      <w:bookmarkStart w:id="344" w:name="_Toc151190159"/>
      <w:r/>
      <w:bookmarkStart w:id="345" w:name="_Toc226965805"/>
      <w:r/>
      <w:bookmarkStart w:id="346" w:name="_Toc226965722"/>
      <w:r/>
      <w:bookmarkStart w:id="347" w:name="_Toc226337228"/>
      <w:r/>
      <w:bookmarkStart w:id="348" w:name="_Toc164608801"/>
      <w:r/>
      <w:bookmarkStart w:id="349" w:name="_Toc151193846"/>
      <w:r/>
      <w:bookmarkStart w:id="350" w:name="_Toc264969222"/>
      <w:r/>
      <w:bookmarkStart w:id="351" w:name="_Toc151193630"/>
      <w:r/>
      <w:bookmarkStart w:id="352" w:name="_Toc195842897"/>
      <w:r/>
      <w:bookmarkStart w:id="353" w:name="_Toc127151532"/>
      <w:r/>
      <w:bookmarkStart w:id="354" w:name="_Toc164229373"/>
      <w:r/>
      <w:bookmarkStart w:id="355" w:name="_Toc149720825"/>
      <w:r/>
      <w:bookmarkStart w:id="356" w:name="_Toc150480770"/>
      <w:r/>
      <w:bookmarkStart w:id="357" w:name="_Toc151193702"/>
      <w:r/>
      <w:bookmarkStart w:id="358" w:name="_Toc150774737"/>
      <w:r/>
      <w:bookmarkStart w:id="359" w:name="_Toc150509283"/>
      <w:r/>
      <w:bookmarkStart w:id="360" w:name="_Toc142311034"/>
      <w:r/>
      <w:bookmarkStart w:id="361" w:name="_Toc127151733"/>
      <w:r/>
      <w:bookmarkStart w:id="362" w:name="_Toc305158800"/>
      <w:r/>
      <w:bookmarkStart w:id="363" w:name="_Toc164351626"/>
      <w:r/>
      <w:bookmarkStart w:id="364" w:name="_Toc265228370"/>
      <w:r/>
      <w:bookmarkStart w:id="365" w:name="_Toc305158874"/>
      <w:r/>
      <w:bookmarkStart w:id="366" w:name="_Toc520356157"/>
      <w:r/>
      <w:bookmarkStart w:id="367" w:name="_Toc151193920"/>
      <w:r/>
      <w:bookmarkStart w:id="368" w:name="_Toc150774632"/>
      <w:r/>
      <w:bookmarkStart w:id="369" w:name="_Toc164608646"/>
      <w:r/>
      <w:bookmarkStart w:id="370" w:name="_Toc226309776"/>
      <w:r/>
      <w:bookmarkStart w:id="371" w:name="_Toc164229227"/>
      <w:r/>
      <w:bookmarkStart w:id="372" w:name="_Toc127161446"/>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73" w:name="_Toc127151734"/>
      <w:r/>
      <w:bookmarkStart w:id="374" w:name="_Toc127151533"/>
      <w:r/>
      <w:bookmarkStart w:id="375" w:name="_Toc151193631"/>
      <w:r/>
      <w:bookmarkStart w:id="376" w:name="_Toc226965723"/>
      <w:r/>
      <w:bookmarkStart w:id="377" w:name="_Toc142311035"/>
      <w:r/>
      <w:bookmarkStart w:id="378" w:name="_Toc164608647"/>
      <w:r/>
      <w:bookmarkStart w:id="379" w:name="_Toc149720826"/>
      <w:r/>
      <w:bookmarkStart w:id="380" w:name="_Toc164608802"/>
      <w:r/>
      <w:bookmarkStart w:id="381" w:name="_Toc150774633"/>
      <w:r/>
      <w:bookmarkStart w:id="382" w:name="_Toc151190160"/>
      <w:r/>
      <w:bookmarkStart w:id="383" w:name="_Toc226337229"/>
      <w:r/>
      <w:bookmarkStart w:id="384" w:name="_Toc150509284"/>
      <w:r/>
      <w:bookmarkStart w:id="385" w:name="_Toc164229374"/>
      <w:r/>
      <w:bookmarkStart w:id="386" w:name="_Toc164351627"/>
      <w:r/>
      <w:bookmarkStart w:id="387" w:name="_Toc164229228"/>
      <w:r/>
      <w:bookmarkStart w:id="388" w:name="_Toc305158801"/>
      <w:r/>
      <w:bookmarkStart w:id="389" w:name="_Toc226309777"/>
      <w:r/>
      <w:bookmarkStart w:id="390" w:name="_Toc195842898"/>
      <w:r/>
      <w:bookmarkStart w:id="391" w:name="_Toc151193775"/>
      <w:r/>
      <w:bookmarkStart w:id="392" w:name="_Toc226965806"/>
      <w:r/>
      <w:bookmarkStart w:id="393" w:name="_Toc265228371"/>
      <w:r/>
      <w:bookmarkStart w:id="394" w:name="_Toc127161447"/>
      <w:r/>
      <w:bookmarkStart w:id="395" w:name="_Toc151193703"/>
      <w:r/>
      <w:bookmarkStart w:id="396" w:name="_Toc520356158"/>
      <w:r/>
      <w:bookmarkStart w:id="397" w:name="_Toc264969223"/>
      <w:r/>
      <w:bookmarkStart w:id="398" w:name="_Toc305158875"/>
      <w:r/>
      <w:bookmarkStart w:id="399" w:name="_Toc150480771"/>
      <w:r/>
      <w:bookmarkStart w:id="400" w:name="_Toc151193847"/>
      <w:r/>
      <w:bookmarkStart w:id="401" w:name="_Toc150774738"/>
      <w:r/>
      <w:bookmarkStart w:id="402" w:name="_Toc151193921"/>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403" w:name="_Toc226965807"/>
      <w:r/>
      <w:bookmarkStart w:id="404" w:name="_Toc265228372"/>
      <w:r/>
      <w:bookmarkStart w:id="405" w:name="_Toc520356159"/>
      <w:r/>
      <w:bookmarkStart w:id="406" w:name="_Toc127151534"/>
      <w:r/>
      <w:bookmarkStart w:id="407" w:name="_Toc226965724"/>
      <w:r/>
      <w:bookmarkStart w:id="408" w:name="_Toc305158876"/>
      <w:r/>
      <w:bookmarkStart w:id="409" w:name="_Toc151193776"/>
      <w:r/>
      <w:bookmarkStart w:id="410" w:name="_Toc226309778"/>
      <w:r/>
      <w:bookmarkStart w:id="411" w:name="_Toc150480772"/>
      <w:r/>
      <w:bookmarkStart w:id="412" w:name="_Toc195842899"/>
      <w:r/>
      <w:bookmarkStart w:id="413" w:name="_Toc142311036"/>
      <w:r/>
      <w:bookmarkStart w:id="414" w:name="_Toc150774739"/>
      <w:r/>
      <w:bookmarkStart w:id="415" w:name="_Toc264969224"/>
      <w:r/>
      <w:bookmarkStart w:id="416" w:name="_Toc151193848"/>
      <w:r/>
      <w:bookmarkStart w:id="417" w:name="_Toc151190161"/>
      <w:r/>
      <w:bookmarkStart w:id="418" w:name="_Toc150509285"/>
      <w:r/>
      <w:bookmarkStart w:id="419" w:name="_Toc150774634"/>
      <w:r/>
      <w:bookmarkStart w:id="420" w:name="_Toc305158802"/>
      <w:r/>
      <w:bookmarkStart w:id="421" w:name="_Toc151193632"/>
      <w:r/>
      <w:bookmarkStart w:id="422" w:name="_Toc151193922"/>
      <w:r/>
      <w:bookmarkStart w:id="423" w:name="_Toc226337230"/>
      <w:r/>
      <w:bookmarkStart w:id="424" w:name="_Toc151193704"/>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0"/>
        <w:ind w:left="357"/>
        <w:pageBreakBefore w:val="0"/>
        <w:spacing w:line="480" w:lineRule="exact"/>
        <w:widowControl w:val="off"/>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25" w:name="_Toc226337231"/>
      <w:r/>
      <w:bookmarkStart w:id="426" w:name="_Toc164351629"/>
      <w:r/>
      <w:bookmarkStart w:id="427" w:name="_Toc226309779"/>
      <w:r/>
      <w:bookmarkStart w:id="428" w:name="_Toc151193923"/>
      <w:r/>
      <w:bookmarkStart w:id="429" w:name="_Toc150774740"/>
      <w:r/>
      <w:bookmarkStart w:id="430" w:name="_Toc142311037"/>
      <w:r/>
      <w:bookmarkStart w:id="431" w:name="_Toc164608804"/>
      <w:r/>
      <w:bookmarkStart w:id="432" w:name="_Toc305158877"/>
      <w:r/>
      <w:bookmarkStart w:id="433" w:name="_Toc265228373"/>
      <w:r/>
      <w:bookmarkStart w:id="434" w:name="_Toc150480773"/>
      <w:r/>
      <w:bookmarkStart w:id="435" w:name="_Toc164229230"/>
      <w:r/>
      <w:bookmarkStart w:id="436" w:name="_Toc150509286"/>
      <w:r/>
      <w:bookmarkStart w:id="437" w:name="_Toc127161449"/>
      <w:r/>
      <w:bookmarkStart w:id="438" w:name="_Toc127151736"/>
      <w:r/>
      <w:bookmarkStart w:id="439" w:name="_Toc149720828"/>
      <w:r/>
      <w:bookmarkStart w:id="440" w:name="_Toc195842900"/>
      <w:r/>
      <w:bookmarkStart w:id="441" w:name="_Toc151193705"/>
      <w:r/>
      <w:bookmarkStart w:id="442" w:name="_Toc226965725"/>
      <w:r/>
      <w:bookmarkStart w:id="443" w:name="_Toc151190162"/>
      <w:r/>
      <w:bookmarkStart w:id="444" w:name="_Toc264969225"/>
      <w:r/>
      <w:bookmarkStart w:id="445" w:name="_Toc151193633"/>
      <w:r/>
      <w:bookmarkStart w:id="446" w:name="_Toc520356160"/>
      <w:r/>
      <w:bookmarkStart w:id="447" w:name="_Toc150774635"/>
      <w:r/>
      <w:bookmarkStart w:id="448" w:name="_Toc164229376"/>
      <w:r/>
      <w:bookmarkStart w:id="449" w:name="_Toc151193777"/>
      <w:r/>
      <w:bookmarkStart w:id="450" w:name="_Toc151193849"/>
      <w:r/>
      <w:bookmarkStart w:id="451" w:name="_Toc305158803"/>
      <w:r/>
      <w:bookmarkStart w:id="452" w:name="_Toc127151535"/>
      <w:r/>
      <w:bookmarkStart w:id="453" w:name="_Toc226965808"/>
      <w:r/>
      <w:bookmarkStart w:id="454" w:name="_Toc164608649"/>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55" w:name="_Toc164608805"/>
      <w:r/>
      <w:bookmarkStart w:id="456" w:name="_Toc265228374"/>
      <w:r/>
      <w:bookmarkStart w:id="457" w:name="_Toc127151737"/>
      <w:r/>
      <w:bookmarkStart w:id="458" w:name="_Toc164229231"/>
      <w:r/>
      <w:bookmarkStart w:id="459" w:name="_Toc127151536"/>
      <w:r/>
      <w:bookmarkStart w:id="460" w:name="_Toc150774636"/>
      <w:r/>
      <w:bookmarkStart w:id="461" w:name="_Toc164351630"/>
      <w:r/>
      <w:bookmarkStart w:id="462" w:name="_Toc150774741"/>
      <w:r/>
      <w:bookmarkStart w:id="463" w:name="_Toc226965809"/>
      <w:r/>
      <w:bookmarkStart w:id="464" w:name="_Toc151193634"/>
      <w:r/>
      <w:bookmarkStart w:id="465" w:name="_Toc142311038"/>
      <w:r/>
      <w:bookmarkStart w:id="466" w:name="_Toc150480774"/>
      <w:r/>
      <w:bookmarkStart w:id="467" w:name="_Toc195842901"/>
      <w:r/>
      <w:bookmarkStart w:id="468" w:name="_Toc149720829"/>
      <w:r/>
      <w:bookmarkStart w:id="469" w:name="_Toc226337232"/>
      <w:r/>
      <w:bookmarkStart w:id="470" w:name="_Toc151193924"/>
      <w:r/>
      <w:bookmarkStart w:id="471" w:name="_Toc150509287"/>
      <w:r/>
      <w:bookmarkStart w:id="472" w:name="_Toc264969226"/>
      <w:r/>
      <w:bookmarkStart w:id="473" w:name="_Toc520356161"/>
      <w:r/>
      <w:bookmarkStart w:id="474" w:name="_Toc305158804"/>
      <w:r/>
      <w:bookmarkStart w:id="475" w:name="_Toc164229377"/>
      <w:r/>
      <w:bookmarkStart w:id="476" w:name="_Toc151193706"/>
      <w:r/>
      <w:bookmarkStart w:id="477" w:name="_Toc305158878"/>
      <w:r/>
      <w:bookmarkStart w:id="478" w:name="_Toc226965726"/>
      <w:r/>
      <w:bookmarkStart w:id="479" w:name="_Toc151190163"/>
      <w:r/>
      <w:bookmarkStart w:id="480" w:name="_Toc151193850"/>
      <w:r/>
      <w:bookmarkStart w:id="481" w:name="_Toc151193778"/>
      <w:r/>
      <w:bookmarkStart w:id="482" w:name="_Toc127161450"/>
      <w:r/>
      <w:bookmarkStart w:id="483" w:name="_Toc226309780"/>
      <w:r/>
      <w:bookmarkStart w:id="484" w:name="_Toc164608650"/>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85" w:name="_Toc195842902"/>
      <w:r/>
      <w:bookmarkStart w:id="486" w:name="_Toc150480775"/>
      <w:r/>
      <w:bookmarkStart w:id="487" w:name="_Toc520356162"/>
      <w:r/>
      <w:bookmarkStart w:id="488" w:name="_Toc226337233"/>
      <w:r/>
      <w:bookmarkStart w:id="489" w:name="_Toc226309781"/>
      <w:r/>
      <w:bookmarkStart w:id="490" w:name="_Toc164608806"/>
      <w:r/>
      <w:bookmarkStart w:id="491" w:name="_Toc149720830"/>
      <w:r/>
      <w:bookmarkStart w:id="492" w:name="_Toc150774742"/>
      <w:r/>
      <w:bookmarkStart w:id="493" w:name="_Toc164229232"/>
      <w:r/>
      <w:bookmarkStart w:id="494" w:name="_Toc127151537"/>
      <w:r/>
      <w:bookmarkStart w:id="495" w:name="_Toc142311039"/>
      <w:r/>
      <w:bookmarkStart w:id="496" w:name="_Toc150774637"/>
      <w:r/>
      <w:bookmarkStart w:id="497" w:name="_Toc151193851"/>
      <w:r/>
      <w:bookmarkStart w:id="498" w:name="_Toc164351631"/>
      <w:r/>
      <w:bookmarkStart w:id="499" w:name="_Toc264969227"/>
      <w:r/>
      <w:bookmarkStart w:id="500" w:name="_Toc305158879"/>
      <w:r/>
      <w:bookmarkStart w:id="501" w:name="_Toc151193635"/>
      <w:r/>
      <w:bookmarkStart w:id="502" w:name="_Toc151193925"/>
      <w:r/>
      <w:bookmarkStart w:id="503" w:name="_Toc151193779"/>
      <w:r/>
      <w:bookmarkStart w:id="504" w:name="_Toc151190164"/>
      <w:r/>
      <w:bookmarkStart w:id="505" w:name="_Toc150509288"/>
      <w:r/>
      <w:bookmarkStart w:id="506" w:name="_Toc226965727"/>
      <w:r/>
      <w:bookmarkStart w:id="507" w:name="_Toc265228375"/>
      <w:r/>
      <w:bookmarkStart w:id="508" w:name="_Toc305158805"/>
      <w:r/>
      <w:bookmarkStart w:id="509" w:name="_Toc127161451"/>
      <w:r/>
      <w:bookmarkStart w:id="510" w:name="_Toc226965810"/>
      <w:r/>
      <w:bookmarkStart w:id="511" w:name="_Toc164229378"/>
      <w:r/>
      <w:bookmarkStart w:id="512" w:name="_Toc127151738"/>
      <w:r/>
      <w:bookmarkStart w:id="513" w:name="_Toc151193707"/>
      <w:r/>
      <w:bookmarkStart w:id="514" w:name="_Toc164608651"/>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0"/>
        <w:pageBreakBefore w:val="0"/>
        <w:spacing w:line="480" w:lineRule="exact"/>
        <w:widowControl w:val="off"/>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15" w:name="_Toc151193852"/>
      <w:r/>
      <w:bookmarkStart w:id="516" w:name="_Toc151193708"/>
      <w:r/>
      <w:bookmarkStart w:id="517" w:name="_Toc305158806"/>
      <w:r/>
      <w:bookmarkStart w:id="518" w:name="_Toc150774743"/>
      <w:r/>
      <w:bookmarkStart w:id="519" w:name="_Toc226309782"/>
      <w:r/>
      <w:bookmarkStart w:id="520" w:name="_Toc151193926"/>
      <w:r/>
      <w:bookmarkStart w:id="521" w:name="_Toc151190165"/>
      <w:r/>
      <w:bookmarkStart w:id="522" w:name="_Toc150480776"/>
      <w:r/>
      <w:bookmarkStart w:id="523" w:name="_Toc265228376"/>
      <w:r/>
      <w:bookmarkStart w:id="524" w:name="_Toc226965728"/>
      <w:r/>
      <w:bookmarkStart w:id="525" w:name="_Toc150509289"/>
      <w:r/>
      <w:bookmarkStart w:id="526" w:name="_Toc151193780"/>
      <w:r/>
      <w:bookmarkStart w:id="527" w:name="_Toc142311040"/>
      <w:r/>
      <w:bookmarkStart w:id="528" w:name="_Toc127151538"/>
      <w:r/>
      <w:bookmarkStart w:id="529" w:name="_Toc226337234"/>
      <w:r/>
      <w:bookmarkStart w:id="530" w:name="_Toc305158880"/>
      <w:r/>
      <w:bookmarkStart w:id="531" w:name="_Toc151193636"/>
      <w:r/>
      <w:bookmarkStart w:id="532" w:name="_Toc150774638"/>
      <w:r/>
      <w:bookmarkStart w:id="533" w:name="_Toc226965811"/>
      <w:r/>
      <w:bookmarkStart w:id="534" w:name="_Toc520356163"/>
      <w:r/>
      <w:bookmarkStart w:id="535" w:name="_Toc195842903"/>
      <w:r/>
      <w:bookmarkStart w:id="536" w:name="_Toc264969228"/>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537" w:name="_Toc151193637"/>
      <w:r/>
      <w:bookmarkStart w:id="538" w:name="_Toc150774744"/>
      <w:r/>
      <w:bookmarkStart w:id="539" w:name="_Toc226309783"/>
      <w:r/>
      <w:bookmarkStart w:id="540" w:name="_Toc265228377"/>
      <w:r/>
      <w:bookmarkStart w:id="541" w:name="_Toc164351633"/>
      <w:r/>
      <w:bookmarkStart w:id="542" w:name="_Toc150480777"/>
      <w:r/>
      <w:bookmarkStart w:id="543" w:name="_Toc142311041"/>
      <w:r/>
      <w:bookmarkStart w:id="544" w:name="_Toc149720832"/>
      <w:r/>
      <w:bookmarkStart w:id="545" w:name="_Toc305158807"/>
      <w:r/>
      <w:bookmarkStart w:id="546" w:name="_Toc164608808"/>
      <w:r/>
      <w:bookmarkStart w:id="547" w:name="_Toc151193853"/>
      <w:r/>
      <w:bookmarkStart w:id="548" w:name="_Toc151193781"/>
      <w:r/>
      <w:bookmarkStart w:id="549" w:name="_Toc305158881"/>
      <w:r/>
      <w:bookmarkStart w:id="550" w:name="_Toc127151740"/>
      <w:r/>
      <w:bookmarkStart w:id="551" w:name="_Toc150774639"/>
      <w:r/>
      <w:bookmarkStart w:id="552" w:name="_Toc151190166"/>
      <w:r/>
      <w:bookmarkStart w:id="553" w:name="_Toc264969229"/>
      <w:r/>
      <w:bookmarkStart w:id="554" w:name="_Toc195842904"/>
      <w:r/>
      <w:bookmarkStart w:id="555" w:name="_Toc127151539"/>
      <w:r/>
      <w:bookmarkStart w:id="556" w:name="_Toc226965812"/>
      <w:r/>
      <w:bookmarkStart w:id="557" w:name="_Toc164229380"/>
      <w:r/>
      <w:bookmarkStart w:id="558" w:name="_Toc151193927"/>
      <w:r/>
      <w:bookmarkStart w:id="559" w:name="_Toc226965729"/>
      <w:r/>
      <w:bookmarkStart w:id="560" w:name="_Toc150509290"/>
      <w:r/>
      <w:bookmarkStart w:id="561" w:name="_Toc164229234"/>
      <w:r/>
      <w:bookmarkStart w:id="562" w:name="_Toc226337235"/>
      <w:r/>
      <w:bookmarkStart w:id="563" w:name="_Toc520356164"/>
      <w:r/>
      <w:bookmarkStart w:id="564" w:name="_Toc164608653"/>
      <w:r/>
      <w:bookmarkStart w:id="565" w:name="_Toc151193709"/>
      <w:r/>
      <w:bookmarkStart w:id="566" w:name="_Toc127161453"/>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0"/>
        <w:ind w:left="1134"/>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567"/>
      <w:r/>
      <w:bookmarkStart w:id="568" w:name="_Toc150774640"/>
      <w:r/>
      <w:bookmarkStart w:id="569" w:name="_Toc264969230"/>
      <w:r/>
      <w:bookmarkStart w:id="570" w:name="_Toc127151741"/>
      <w:r/>
      <w:bookmarkStart w:id="571" w:name="_Toc164229381"/>
      <w:r/>
      <w:bookmarkStart w:id="572" w:name="_Toc127151540"/>
      <w:r/>
      <w:bookmarkStart w:id="573" w:name="_Toc305158808"/>
      <w:r/>
      <w:bookmarkStart w:id="574" w:name="_Toc195842905"/>
      <w:r/>
      <w:bookmarkStart w:id="575" w:name="_Toc151193854"/>
      <w:r/>
      <w:bookmarkStart w:id="576" w:name="_Toc265228378"/>
      <w:r/>
      <w:bookmarkStart w:id="577" w:name="_Toc226965813"/>
      <w:r/>
      <w:bookmarkStart w:id="578" w:name="_Toc164608809"/>
      <w:r/>
      <w:bookmarkStart w:id="579" w:name="_Toc151193928"/>
      <w:r/>
      <w:bookmarkStart w:id="580" w:name="_Toc150774745"/>
      <w:r/>
      <w:bookmarkStart w:id="581" w:name="_Toc150509291"/>
      <w:r/>
      <w:bookmarkStart w:id="582" w:name="_Toc149720833"/>
      <w:r/>
      <w:bookmarkStart w:id="583" w:name="_Toc226965730"/>
      <w:r/>
      <w:bookmarkStart w:id="584" w:name="_Toc151193710"/>
      <w:r/>
      <w:bookmarkStart w:id="585" w:name="_Toc151190167"/>
      <w:r/>
      <w:bookmarkStart w:id="586" w:name="_Toc127161454"/>
      <w:r/>
      <w:bookmarkStart w:id="587" w:name="_Toc164351634"/>
      <w:r/>
      <w:bookmarkStart w:id="588" w:name="_Toc305158882"/>
      <w:r/>
      <w:bookmarkStart w:id="589" w:name="_Toc164229235"/>
      <w:r/>
      <w:bookmarkStart w:id="590" w:name="_Toc226309784"/>
      <w:r/>
      <w:bookmarkStart w:id="591" w:name="_Toc142311042"/>
      <w:r/>
      <w:bookmarkStart w:id="592" w:name="_Toc164608654"/>
      <w:r/>
      <w:bookmarkStart w:id="593" w:name="_Toc151193782"/>
      <w:r/>
      <w:bookmarkStart w:id="594" w:name="_Toc226337236"/>
      <w:r/>
      <w:bookmarkStart w:id="595" w:name="_Toc150480778"/>
      <w:r/>
      <w:bookmarkStart w:id="596" w:name="_Toc151193638"/>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0"/>
        <w:ind w:left="1080"/>
        <w:pageBreakBefore w:val="0"/>
        <w:spacing w:line="480" w:lineRule="exact"/>
        <w:widowControl w:val="off"/>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99" w:name="_Toc127151545"/>
      <w:r/>
      <w:bookmarkStart w:id="600" w:name="_Toc264969235"/>
      <w:r/>
      <w:bookmarkStart w:id="601" w:name="_Toc265228383"/>
      <w:r/>
      <w:bookmarkStart w:id="602" w:name="_Toc151193715"/>
      <w:r/>
      <w:bookmarkStart w:id="603" w:name="_Toc151190172"/>
      <w:r/>
      <w:bookmarkStart w:id="604" w:name="_Toc226309789"/>
      <w:r/>
      <w:bookmarkStart w:id="605" w:name="_Toc226337241"/>
      <w:r/>
      <w:bookmarkStart w:id="606" w:name="_Toc151193787"/>
      <w:r/>
      <w:bookmarkStart w:id="607" w:name="_Toc305158813"/>
      <w:r/>
      <w:bookmarkStart w:id="608" w:name="_Toc305158887"/>
      <w:r/>
      <w:bookmarkStart w:id="609" w:name="_Toc151193859"/>
      <w:r/>
      <w:bookmarkStart w:id="610" w:name="_Toc151193643"/>
      <w:r/>
      <w:bookmarkStart w:id="611" w:name="_Toc150480783"/>
      <w:r/>
      <w:bookmarkStart w:id="612" w:name="_Toc150509296"/>
      <w:r/>
      <w:bookmarkStart w:id="613" w:name="_Toc226965735"/>
      <w:r/>
      <w:bookmarkStart w:id="614" w:name="_Toc151193933"/>
      <w:r/>
      <w:bookmarkStart w:id="615" w:name="_Toc195842910"/>
      <w:r/>
      <w:bookmarkStart w:id="616" w:name="_Toc142311047"/>
      <w:r/>
      <w:bookmarkStart w:id="617" w:name="_Toc150774645"/>
      <w:r/>
      <w:bookmarkStart w:id="618" w:name="_Toc150774750"/>
      <w:r/>
      <w:bookmarkStart w:id="619" w:name="_Toc226965818"/>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305158815"/>
      <w:r/>
      <w:bookmarkStart w:id="621" w:name="_Toc149720840"/>
      <w:r/>
      <w:bookmarkStart w:id="622" w:name="_Toc150509298"/>
      <w:r/>
      <w:bookmarkStart w:id="623" w:name="_Toc127151547"/>
      <w:r/>
      <w:bookmarkStart w:id="624" w:name="_Toc142311049"/>
      <w:r/>
      <w:bookmarkStart w:id="625" w:name="_Toc226337243"/>
      <w:r/>
      <w:bookmarkStart w:id="626" w:name="_Toc151193935"/>
      <w:r/>
      <w:bookmarkStart w:id="627" w:name="_Toc226309791"/>
      <w:r/>
      <w:bookmarkStart w:id="628" w:name="_Toc127151748"/>
      <w:r/>
      <w:bookmarkStart w:id="629" w:name="_Toc164608661"/>
      <w:r/>
      <w:bookmarkStart w:id="630" w:name="_Toc195842912"/>
      <w:r/>
      <w:bookmarkStart w:id="631" w:name="_Toc226965820"/>
      <w:r/>
      <w:bookmarkStart w:id="632" w:name="_Toc226965737"/>
      <w:r/>
      <w:bookmarkStart w:id="633" w:name="_Toc150480785"/>
      <w:r/>
      <w:bookmarkStart w:id="634" w:name="_Toc151193717"/>
      <w:r/>
      <w:bookmarkStart w:id="635" w:name="_Toc150774647"/>
      <w:r/>
      <w:bookmarkStart w:id="636" w:name="_Toc264969237"/>
      <w:r/>
      <w:bookmarkStart w:id="637" w:name="_Toc151193789"/>
      <w:r/>
      <w:bookmarkStart w:id="638" w:name="_Toc164351641"/>
      <w:r/>
      <w:bookmarkStart w:id="639" w:name="_Toc265228385"/>
      <w:r/>
      <w:bookmarkStart w:id="640" w:name="_Toc164229242"/>
      <w:r/>
      <w:bookmarkStart w:id="641" w:name="_Toc150774752"/>
      <w:r/>
      <w:bookmarkStart w:id="642" w:name="_Toc164608816"/>
      <w:r/>
      <w:bookmarkStart w:id="643" w:name="_Toc305158889"/>
      <w:r/>
      <w:bookmarkStart w:id="644" w:name="_Toc151193861"/>
      <w:r/>
      <w:bookmarkStart w:id="645" w:name="_Toc151190174"/>
      <w:r/>
      <w:bookmarkStart w:id="646" w:name="_Toc127161461"/>
      <w:r/>
      <w:bookmarkStart w:id="647" w:name="_Toc151193645"/>
      <w:r/>
      <w:bookmarkStart w:id="648" w:name="_Toc164229388"/>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649" w:name="_Toc149720842"/>
      <w:r/>
      <w:bookmarkStart w:id="650" w:name="_Toc150774649"/>
      <w:r/>
      <w:bookmarkStart w:id="651" w:name="_Toc164608818"/>
      <w:r/>
      <w:bookmarkStart w:id="652" w:name="_Toc305158891"/>
      <w:r/>
      <w:bookmarkStart w:id="653" w:name="_Toc151193937"/>
      <w:r/>
      <w:bookmarkStart w:id="654" w:name="_Ref467307090"/>
      <w:r/>
      <w:bookmarkStart w:id="655" w:name="_Ref467306425"/>
      <w:r/>
      <w:bookmarkStart w:id="656" w:name="_Toc520356176"/>
      <w:r/>
      <w:bookmarkStart w:id="657" w:name="_Toc305158817"/>
      <w:r/>
      <w:bookmarkStart w:id="658" w:name="_Toc151193719"/>
      <w:r/>
      <w:bookmarkStart w:id="659" w:name="_Toc142311051"/>
      <w:r/>
      <w:bookmarkStart w:id="660" w:name="_Toc150509300"/>
      <w:r/>
      <w:bookmarkStart w:id="661" w:name="_Toc195842914"/>
      <w:r/>
      <w:bookmarkStart w:id="662" w:name="_Toc264969239"/>
      <w:r/>
      <w:bookmarkStart w:id="663" w:name="_Toc150774754"/>
      <w:r/>
      <w:bookmarkStart w:id="664" w:name="_Toc127161463"/>
      <w:r/>
      <w:bookmarkStart w:id="665" w:name="_Toc151190176"/>
      <w:r/>
      <w:bookmarkStart w:id="666" w:name="_Toc226965822"/>
      <w:r/>
      <w:bookmarkStart w:id="667" w:name="_Toc226965739"/>
      <w:r/>
      <w:bookmarkStart w:id="668" w:name="_Toc164229244"/>
      <w:r/>
      <w:bookmarkStart w:id="669" w:name="_Toc127151549"/>
      <w:r/>
      <w:bookmarkStart w:id="670" w:name="_Toc164351643"/>
      <w:r/>
      <w:bookmarkStart w:id="671" w:name="_Toc164608663"/>
      <w:r/>
      <w:bookmarkStart w:id="672" w:name="_Toc151193863"/>
      <w:r/>
      <w:bookmarkStart w:id="673" w:name="_Toc150480787"/>
      <w:r/>
      <w:bookmarkStart w:id="674" w:name="_Toc226309793"/>
      <w:r/>
      <w:bookmarkStart w:id="675" w:name="_Toc151193791"/>
      <w:r/>
      <w:bookmarkStart w:id="676" w:name="_Toc226337245"/>
      <w:r/>
      <w:bookmarkStart w:id="677" w:name="_Toc127151750"/>
      <w:r/>
      <w:bookmarkStart w:id="678" w:name="_Toc151193647"/>
      <w:r/>
      <w:bookmarkStart w:id="679" w:name="_Toc265228387"/>
      <w:r/>
      <w:bookmarkStart w:id="680" w:name="_Toc164229390"/>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195842915"/>
      <w:r/>
      <w:bookmarkStart w:id="682" w:name="_Toc127151550"/>
      <w:r/>
      <w:bookmarkStart w:id="683" w:name="_Toc226337246"/>
      <w:r/>
      <w:bookmarkStart w:id="684" w:name="_Toc164351644"/>
      <w:r/>
      <w:bookmarkStart w:id="685" w:name="_Ref467307062"/>
      <w:r/>
      <w:bookmarkStart w:id="686" w:name="_Toc520356175"/>
      <w:r/>
      <w:bookmarkStart w:id="687" w:name="_Toc127151751"/>
      <w:r/>
      <w:bookmarkStart w:id="688" w:name="_Toc149720843"/>
      <w:r/>
      <w:bookmarkStart w:id="689" w:name="_Toc127161464"/>
      <w:r/>
      <w:bookmarkStart w:id="690" w:name="_Toc164608819"/>
      <w:r/>
      <w:bookmarkStart w:id="691" w:name="_Toc226965740"/>
      <w:r/>
      <w:bookmarkStart w:id="692" w:name="_Toc305158818"/>
      <w:r/>
      <w:bookmarkStart w:id="693" w:name="_Toc151193938"/>
      <w:r/>
      <w:bookmarkStart w:id="694" w:name="_Ref467306377"/>
      <w:r/>
      <w:bookmarkStart w:id="695" w:name="_Toc151190177"/>
      <w:r/>
      <w:bookmarkStart w:id="696" w:name="_Toc150774650"/>
      <w:r/>
      <w:bookmarkStart w:id="697" w:name="_Toc305158892"/>
      <w:r/>
      <w:bookmarkStart w:id="698" w:name="_Ref467307204"/>
      <w:r/>
      <w:bookmarkStart w:id="699" w:name="_Ref467306978"/>
      <w:r/>
      <w:bookmarkStart w:id="700" w:name="_Toc150774755"/>
      <w:r/>
      <w:bookmarkStart w:id="701" w:name="_Toc264969240"/>
      <w:r/>
      <w:bookmarkStart w:id="702" w:name="_Toc265228388"/>
      <w:r/>
      <w:bookmarkStart w:id="703" w:name="_Toc164608664"/>
      <w:r/>
      <w:bookmarkStart w:id="704" w:name="_Toc151193792"/>
      <w:r/>
      <w:bookmarkStart w:id="705" w:name="_Toc226965823"/>
      <w:r/>
      <w:bookmarkStart w:id="706" w:name="_Toc151193864"/>
      <w:r/>
      <w:bookmarkStart w:id="707" w:name="_Toc150509301"/>
      <w:r/>
      <w:bookmarkStart w:id="708" w:name="_Toc151193720"/>
      <w:r/>
      <w:bookmarkStart w:id="709" w:name="_Toc164229245"/>
      <w:r/>
      <w:bookmarkStart w:id="710" w:name="_Toc164229391"/>
      <w:r/>
      <w:bookmarkStart w:id="711" w:name="_Toc150480788"/>
      <w:r/>
      <w:bookmarkStart w:id="712" w:name="_Toc142311052"/>
      <w:r/>
      <w:bookmarkStart w:id="713" w:name="_Toc151193648"/>
      <w:r/>
      <w:bookmarkStart w:id="714" w:name="_Toc226309794"/>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08"/>
          <w:rFonts w:hint="eastAsia" w:ascii="宋体" w:hAnsi="宋体" w:cs="宋体"/>
          <w:szCs w:val="21"/>
          <w:highlight w:val="none"/>
        </w:rPr>
        <w:t xml:space="preserve">http://gk</w:t>
      </w:r>
      <w:bookmarkStart w:id="715" w:name="_Hlt100654014"/>
      <w:r>
        <w:rPr>
          <w:rStyle w:val="1108"/>
          <w:rFonts w:hint="eastAsia" w:ascii="宋体" w:hAnsi="宋体" w:cs="宋体"/>
          <w:szCs w:val="21"/>
          <w:highlight w:val="none"/>
        </w:rPr>
        <w:t xml:space="preserve">s</w:t>
      </w:r>
      <w:bookmarkEnd w:id="715"/>
      <w:r>
        <w:rPr>
          <w:rStyle w:val="1108"/>
          <w:rFonts w:hint="eastAsia" w:ascii="宋体" w:hAnsi="宋体" w:cs="宋体"/>
          <w:szCs w:val="21"/>
          <w:highlight w:val="none"/>
        </w:rPr>
        <w:t xml:space="preserve">.m</w:t>
      </w:r>
      <w:bookmarkStart w:id="716" w:name="_Hlt100653994"/>
      <w:r/>
      <w:bookmarkStart w:id="717" w:name="_Hlt100653993"/>
      <w:r>
        <w:rPr>
          <w:rStyle w:val="1108"/>
          <w:rFonts w:hint="eastAsia" w:ascii="宋体" w:hAnsi="宋体" w:cs="宋体"/>
          <w:szCs w:val="21"/>
          <w:highlight w:val="none"/>
        </w:rPr>
        <w:t xml:space="preserve">o</w:t>
      </w:r>
      <w:bookmarkEnd w:id="716"/>
      <w:r/>
      <w:bookmarkEnd w:id="717"/>
      <w:r>
        <w:rPr>
          <w:rStyle w:val="1108"/>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0"/>
        <w:jc w:val="center"/>
        <w:spacing w:line="360" w:lineRule="auto"/>
        <w:rPr>
          <w:b/>
          <w:sz w:val="36"/>
          <w:szCs w:val="36"/>
          <w:highlight w:val="none"/>
        </w:rPr>
        <w:outlineLvl w:val="0"/>
      </w:pPr>
      <w:r/>
      <w:bookmarkStart w:id="718" w:name="_Toc150480792"/>
      <w:r/>
      <w:bookmarkStart w:id="719" w:name="_Toc305158896"/>
      <w:r/>
      <w:bookmarkStart w:id="720" w:name="_Toc226337250"/>
      <w:r/>
      <w:bookmarkStart w:id="721" w:name="_Toc150774759"/>
      <w:r/>
      <w:bookmarkStart w:id="722" w:name="_Toc353873934"/>
      <w:r/>
      <w:bookmarkStart w:id="723" w:name="_Toc142311056"/>
      <w:r/>
      <w:bookmarkStart w:id="724" w:name="_Toc353873664"/>
      <w:r/>
      <w:bookmarkStart w:id="725" w:name="_Toc264969244"/>
      <w:r/>
      <w:bookmarkStart w:id="726" w:name="_Toc305158822"/>
      <w:r/>
      <w:bookmarkStart w:id="727" w:name="_Toc127151554"/>
      <w:r/>
      <w:bookmarkStart w:id="728" w:name="_Toc265228392"/>
      <w:r/>
      <w:bookmarkStart w:id="729" w:name="_Toc353825544"/>
      <w:r/>
      <w:bookmarkStart w:id="730" w:name="_Toc226965827"/>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0"/>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0"/>
        <w:jc w:val="left"/>
        <w:widowControl/>
        <w:rPr>
          <w:sz w:val="24"/>
          <w:highlight w:val="none"/>
        </w:rPr>
      </w:pPr>
      <w:r>
        <w:rPr>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353825550"/>
            <w:r/>
            <w:bookmarkStart w:id="736" w:name="_Toc127151779"/>
            <w:r/>
            <w:bookmarkStart w:id="737" w:name="_Toc353873940"/>
            <w:r/>
            <w:bookmarkStart w:id="738" w:name="_Toc127161490"/>
            <w:r/>
            <w:bookmarkStart w:id="739" w:name="_Toc226965858"/>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844"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982"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中小企业声明函</w:t>
            </w:r>
            <w:r>
              <w:rPr>
                <w:rFonts w:hint="eastAsia" w:ascii="宋体" w:hAnsi="宋体" w:eastAsia="宋体" w:cs="宋体"/>
                <w:szCs w:val="21"/>
              </w:rPr>
            </w:r>
            <w:r/>
          </w:p>
        </w:tc>
        <w:tc>
          <w:tcPr>
            <w:tcW w:w="4824"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注2：残疾人福利性单位须按招标文件要求提供《残疾人福利性单位声明函》。</w:t>
            </w:r>
            <w:r>
              <w:rPr>
                <w:rFonts w:hint="eastAsia" w:ascii="宋体" w:hAnsi="宋体" w:eastAsia="宋体" w:cs="宋体"/>
                <w:szCs w:val="21"/>
              </w:rPr>
            </w:r>
            <w:r/>
          </w:p>
        </w:tc>
        <w:tc>
          <w:tcPr>
            <w:tcW w:w="1638"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格式见《投标文件格式》</w:t>
            </w:r>
            <w:r>
              <w:rPr>
                <w:rFonts w:hint="eastAsia" w:ascii="宋体" w:hAnsi="宋体" w:eastAsia="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0"/>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0"/>
        <w:jc w:val="left"/>
        <w:widowControl/>
        <w:rPr>
          <w:rFonts w:hint="eastAsia"/>
          <w:b/>
          <w:bCs/>
          <w:szCs w:val="21"/>
          <w:highlight w:val="none"/>
        </w:rPr>
      </w:pPr>
      <w:r>
        <w:rPr>
          <w:rFonts w:hint="eastAsia"/>
          <w:b/>
          <w:bCs/>
          <w:szCs w:val="21"/>
          <w:highlight w:val="none"/>
        </w:rPr>
      </w:r>
      <w:r/>
    </w:p>
    <w:p>
      <w:pPr>
        <w:pStyle w:val="1030"/>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0"/>
        <w:jc w:val="center"/>
        <w:spacing w:line="360" w:lineRule="auto"/>
        <w:rPr>
          <w:b/>
          <w:sz w:val="36"/>
          <w:szCs w:val="36"/>
          <w:highlight w:val="none"/>
        </w:rPr>
        <w:outlineLvl w:val="0"/>
      </w:pPr>
      <w:r/>
      <w:bookmarkStart w:id="740" w:name="_Toc99301423"/>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0"/>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0"/>
        <w:numPr>
          <w:ilvl w:val="0"/>
          <w:numId w:val="12"/>
        </w:numPr>
        <w:spacing w:line="360" w:lineRule="auto"/>
        <w:tabs>
          <w:tab w:val="left" w:pos="360" w:leader="none"/>
          <w:tab w:val="left" w:pos="900" w:leader="none"/>
        </w:tabs>
        <w:rPr>
          <w:szCs w:val="21"/>
          <w:highlight w:val="none"/>
        </w:rPr>
        <w:outlineLvl w:val="1"/>
      </w:pPr>
      <w:r/>
      <w:bookmarkStart w:id="742" w:name="_Toc151193855"/>
      <w:r/>
      <w:bookmarkStart w:id="743" w:name="_Toc150774641"/>
      <w:r/>
      <w:bookmarkStart w:id="744" w:name="_Toc142311043"/>
      <w:r/>
      <w:bookmarkStart w:id="745" w:name="_Toc164351635"/>
      <w:r/>
      <w:bookmarkStart w:id="746" w:name="_Toc127151541"/>
      <w:r/>
      <w:bookmarkStart w:id="747" w:name="_Toc164229236"/>
      <w:r/>
      <w:bookmarkStart w:id="748" w:name="_Toc150480779"/>
      <w:r/>
      <w:bookmarkStart w:id="749" w:name="_Toc127151742"/>
      <w:r/>
      <w:bookmarkStart w:id="750" w:name="_Toc151193639"/>
      <w:r/>
      <w:bookmarkStart w:id="751" w:name="_Toc265228379"/>
      <w:r/>
      <w:bookmarkStart w:id="752" w:name="_Toc164229382"/>
      <w:r/>
      <w:bookmarkStart w:id="753" w:name="_Toc195842906"/>
      <w:r/>
      <w:bookmarkStart w:id="754" w:name="_Toc305158809"/>
      <w:r/>
      <w:bookmarkStart w:id="755" w:name="_Toc149720834"/>
      <w:r/>
      <w:bookmarkStart w:id="756" w:name="_Toc164608810"/>
      <w:r/>
      <w:bookmarkStart w:id="757" w:name="_Toc127161455"/>
      <w:r/>
      <w:bookmarkStart w:id="758" w:name="_Toc226965731"/>
      <w:r/>
      <w:bookmarkStart w:id="759" w:name="_Toc151193783"/>
      <w:r/>
      <w:bookmarkStart w:id="760" w:name="_Toc264969231"/>
      <w:r/>
      <w:bookmarkStart w:id="761" w:name="_Toc305158883"/>
      <w:r/>
      <w:bookmarkStart w:id="762" w:name="_Toc151193711"/>
      <w:r/>
      <w:bookmarkStart w:id="763" w:name="_Toc226337237"/>
      <w:r/>
      <w:bookmarkStart w:id="764" w:name="_Toc150509292"/>
      <w:r/>
      <w:bookmarkStart w:id="765" w:name="_Toc226309785"/>
      <w:r/>
      <w:bookmarkStart w:id="766" w:name="_Toc151190168"/>
      <w:r/>
      <w:bookmarkStart w:id="767" w:name="_Toc164608655"/>
      <w:r/>
      <w:bookmarkStart w:id="768" w:name="_Toc151193929"/>
      <w:r/>
      <w:bookmarkStart w:id="769" w:name="_Toc150774746"/>
      <w:r/>
      <w:bookmarkStart w:id="770" w:name="_Toc226965814"/>
      <w:r/>
      <w:bookmarkStart w:id="771" w:name="_Toc353873941"/>
      <w:r/>
      <w:bookmarkStart w:id="772" w:name="_Toc353825551"/>
      <w:r/>
      <w:bookmarkStart w:id="773" w:name="_Toc264969245"/>
      <w:r/>
      <w:bookmarkStart w:id="774" w:name="_Toc265228393"/>
      <w:r/>
      <w:bookmarkStart w:id="775" w:name="_Toc226337251"/>
      <w:r/>
      <w:bookmarkStart w:id="776" w:name="_Toc195842920"/>
      <w:r/>
      <w:bookmarkStart w:id="777" w:name="_Toc127151555"/>
      <w:r/>
      <w:bookmarkStart w:id="778" w:name="_Toc150774760"/>
      <w:r/>
      <w:bookmarkStart w:id="779" w:name="_Toc305158897"/>
      <w:r/>
      <w:bookmarkStart w:id="780" w:name="_Toc353825545"/>
      <w:r/>
      <w:bookmarkStart w:id="781" w:name="_Toc226965828"/>
      <w:r/>
      <w:bookmarkStart w:id="782" w:name="_Toc353873935"/>
      <w:r/>
      <w:bookmarkStart w:id="783" w:name="_Toc150480793"/>
      <w:r/>
      <w:bookmarkStart w:id="784" w:name="_Toc353873665"/>
      <w:r/>
      <w:bookmarkStart w:id="785" w:name="_Toc305158823"/>
      <w:r/>
      <w:bookmarkStart w:id="786" w:name="_Toc142311057"/>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0"/>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0"/>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0"/>
        <w:numPr>
          <w:ilvl w:val="1"/>
          <w:numId w:val="12"/>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w:t>
      </w:r>
      <w:r>
        <w:rPr>
          <w:rFonts w:hint="eastAsia" w:ascii="宋体" w:hAnsi="宋体" w:eastAsia="宋体" w:cs="宋体"/>
          <w:sz w:val="21"/>
          <w:szCs w:val="21"/>
        </w:rPr>
        <w:t xml:space="preserve">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评审过程中出现下列情形之一的，</w:t>
      </w:r>
      <w:r>
        <w:rPr>
          <w:rFonts w:hint="eastAsia" w:ascii="宋体" w:hAnsi="宋体" w:eastAsia="宋体" w:cs="宋体"/>
          <w:color w:val="0000ff"/>
          <w:szCs w:val="21"/>
          <w:lang w:eastAsia="zh-CN"/>
        </w:rPr>
        <w:t xml:space="preserve">评标委员会</w:t>
      </w:r>
      <w:r>
        <w:rPr>
          <w:rFonts w:hint="eastAsia" w:ascii="宋体" w:hAnsi="宋体" w:eastAsia="宋体" w:cs="宋体"/>
          <w:color w:val="0000ff"/>
          <w:szCs w:val="21"/>
          <w:lang w:val="en-US" w:eastAsia="zh-CN"/>
        </w:rPr>
        <w:t xml:space="preserve">应当启动异常低价响应审查程序：</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（1）(1-投标优惠率报价)低于全部通过符合性审查投标人(1-投标优惠率报价)平均值50%的，即</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&lt;全部通过符合性审查投标人</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平均值×50%；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（2）</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低于通过符合性审查的次低报价投标人</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50%的，即</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&lt;通过符合性审查的次低报价投标人</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（3）</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低于45%的，即</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&lt;45%；</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（4）评标委员会基于专业判断，认为投标人报价过低，有可能影响产品质量或者不能诚信履约的其他情形。</w:t>
      </w:r>
      <w:r>
        <w:rPr>
          <w:rFonts w:hint="eastAsia" w:ascii="宋体" w:hAnsi="宋体" w:eastAsia="宋体" w:cs="宋体"/>
          <w:color w:val="0000ff"/>
          <w:szCs w:val="21"/>
          <w:lang w:val="en-US" w:eastAsia="zh-CN"/>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color w:val="0000ff"/>
          <w:szCs w:val="21"/>
          <w:lang w:val="en-US" w:eastAsia="zh-CN"/>
        </w:rPr>
        <w:t xml:space="preserve">启动异常低价响应审查后，评标委员会应当要求相关投标人在评标现场合理的时间（30分钟）内，提供项目具体成本测算等与报价合理性相关的书面说明及相关证明材</w:t>
      </w:r>
      <w:r>
        <w:rPr>
          <w:rFonts w:hint="eastAsia" w:ascii="宋体" w:hAnsi="宋体" w:eastAsia="宋体" w:cs="宋体"/>
          <w:color w:val="0000ff"/>
          <w:szCs w:val="21"/>
          <w:lang w:val="en-US" w:eastAsia="zh-CN"/>
        </w:rPr>
        <w:t xml:space="preserve">料（包括但不限于原材料成本、人工成本、制造费用等），对投标价格作出解释，由评标委员会依据专业经验，参考同类项目中标（成交）价格、类似产品市场价格水平、行业人工费用标准、国家有关部门指导行业协会发布的行业平均成本等情况，对投标人报价合理性进行判断。其中，属于第（3）项情形，投标人已随投标文件一并提交相关书面说明及必要的证明材料的，在评审时可不再重复提交。投标人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305158888"/>
      <w:r/>
      <w:bookmarkStart w:id="789" w:name="_Toc226965819"/>
      <w:r/>
      <w:bookmarkStart w:id="790" w:name="_Toc151190173"/>
      <w:r/>
      <w:bookmarkStart w:id="791" w:name="_Toc127151747"/>
      <w:r/>
      <w:bookmarkStart w:id="792" w:name="_Toc150774646"/>
      <w:r/>
      <w:bookmarkStart w:id="793" w:name="_Toc151193934"/>
      <w:r/>
      <w:bookmarkStart w:id="794" w:name="_Toc149720839"/>
      <w:r/>
      <w:bookmarkStart w:id="795" w:name="_Toc164608815"/>
      <w:r/>
      <w:bookmarkStart w:id="796" w:name="_Toc226965736"/>
      <w:r/>
      <w:bookmarkStart w:id="797" w:name="_Toc151193644"/>
      <w:r/>
      <w:bookmarkStart w:id="798" w:name="_Toc164608660"/>
      <w:r/>
      <w:bookmarkStart w:id="799" w:name="_Toc151193716"/>
      <w:r/>
      <w:bookmarkStart w:id="800" w:name="_Toc164229241"/>
      <w:r/>
      <w:bookmarkStart w:id="801" w:name="_Toc127151546"/>
      <w:r/>
      <w:bookmarkStart w:id="802" w:name="_Toc305158814"/>
      <w:r/>
      <w:bookmarkStart w:id="803" w:name="_Toc520356170"/>
      <w:r/>
      <w:bookmarkStart w:id="804" w:name="_Toc226309790"/>
      <w:r/>
      <w:bookmarkStart w:id="805" w:name="_Toc151193860"/>
      <w:r/>
      <w:bookmarkStart w:id="806" w:name="_Toc150774751"/>
      <w:r/>
      <w:bookmarkStart w:id="807" w:name="_Toc150509297"/>
      <w:r/>
      <w:bookmarkStart w:id="808" w:name="_Toc265228384"/>
      <w:r/>
      <w:bookmarkStart w:id="809" w:name="_Toc127161460"/>
      <w:r/>
      <w:bookmarkStart w:id="810" w:name="_Toc226337242"/>
      <w:r/>
      <w:bookmarkStart w:id="811" w:name="_Toc164351640"/>
      <w:r/>
      <w:bookmarkStart w:id="812" w:name="_Toc142311048"/>
      <w:r/>
      <w:bookmarkStart w:id="813" w:name="_Ref467307010"/>
      <w:r/>
      <w:bookmarkStart w:id="814" w:name="_Toc151193788"/>
      <w:r/>
      <w:bookmarkStart w:id="815" w:name="_Toc164229387"/>
      <w:r/>
      <w:bookmarkStart w:id="816" w:name="_Toc150480784"/>
      <w:r/>
      <w:bookmarkStart w:id="817" w:name="_Toc264969236"/>
      <w:r/>
      <w:bookmarkStart w:id="818" w:name="_Toc195842911"/>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序号</w:t>
            </w:r>
            <w:r>
              <w:rPr>
                <w:rFonts w:hint="eastAsia"/>
                <w:b/>
                <w:bCs/>
                <w:szCs w:val="21"/>
                <w:highlight w:val="none"/>
                <w:lang w:bidi="ar"/>
              </w:rPr>
            </w:r>
            <w:r/>
          </w:p>
        </w:tc>
        <w:tc>
          <w:tcPr>
            <w:tcW w:w="1126"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评分因素</w:t>
            </w:r>
            <w:r>
              <w:rPr>
                <w:rFonts w:hint="eastAsia"/>
                <w:b/>
                <w:bCs/>
                <w:szCs w:val="21"/>
                <w:highlight w:val="none"/>
                <w:lang w:bidi="ar"/>
              </w:rPr>
            </w:r>
            <w:r/>
          </w:p>
        </w:tc>
        <w:tc>
          <w:tcPr>
            <w:tcW w:w="700"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分值</w:t>
            </w:r>
            <w:r>
              <w:rPr>
                <w:rFonts w:hint="eastAsia"/>
                <w:b/>
                <w:bCs/>
                <w:szCs w:val="21"/>
                <w:highlight w:val="none"/>
                <w:lang w:bidi="ar"/>
              </w:rPr>
            </w:r>
            <w:r/>
          </w:p>
        </w:tc>
        <w:tc>
          <w:tcPr>
            <w:tcW w:w="4523"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ascii="宋体" w:hAnsi="宋体" w:cs="宋体"/>
                <w:b/>
                <w:bCs/>
                <w:szCs w:val="21"/>
              </w:rPr>
              <w:t xml:space="preserve">评分标准和评审材料</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b/>
                <w:bCs/>
                <w:szCs w:val="21"/>
                <w:highlight w:val="none"/>
                <w:lang w:bidi="ar"/>
              </w:rPr>
            </w:r>
            <w:r/>
          </w:p>
        </w:tc>
      </w:tr>
      <w:tr>
        <w:trPr>
          <w:trHeight w:val="90"/>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1</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价格分</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bidi="ar"/>
              </w:rPr>
              <w:framePr w:vAnchor="text" w:hAnchor="page" w:xAlign="center" w:y="394"/>
            </w:pPr>
            <w:r>
              <w:rPr>
                <w:rFonts w:hint="eastAsia"/>
                <w:szCs w:val="21"/>
                <w:highlight w:val="none"/>
                <w:lang w:val="en-US" w:eastAsia="zh-CN" w:bidi="ar"/>
              </w:rPr>
              <w:t xml:space="preserve">20</w:t>
            </w:r>
            <w:r>
              <w:rPr>
                <w:rFonts w:hint="eastAsia" w:eastAsia="宋体"/>
                <w:szCs w:val="21"/>
                <w:highlight w:val="none"/>
                <w:lang w:eastAsia="zh-CN" w:bidi="ar"/>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满足招标文件要求且投标优惠率最高的投标优惠率为评标基准优惠率，其价格分为满分。其他投标人的价格分统一按照下列公式计算：</w:t>
            </w:r>
            <w:r>
              <w:rPr>
                <w:rFonts w:hint="eastAsia" w:ascii="宋体" w:hAnsi="宋体" w:eastAsia="宋体" w:cs="宋体"/>
                <w:color w:val="000000"/>
                <w:sz w:val="21"/>
                <w:szCs w:val="21"/>
                <w:lang w:val="en-US" w:eastAsia="zh-CN"/>
              </w:rPr>
            </w:r>
            <w:r/>
          </w:p>
          <w:p>
            <w:pPr>
              <w:pStyle w:val="1030"/>
              <w:spacing w:line="360" w:lineRule="exact"/>
              <w:widowControl/>
              <w:rPr>
                <w:rFonts w:hint="eastAsia"/>
                <w:szCs w:val="21"/>
                <w:highlight w:val="none"/>
                <w:lang w:bidi="ar"/>
              </w:rPr>
              <w:framePr w:vAnchor="text" w:hAnchor="page" w:xAlign="center" w:y="394"/>
            </w:pPr>
            <w:r>
              <w:rPr>
                <w:rFonts w:hint="eastAsia" w:ascii="宋体" w:hAnsi="宋体" w:eastAsia="宋体" w:cs="宋体"/>
                <w:color w:val="000000"/>
                <w:sz w:val="21"/>
                <w:szCs w:val="21"/>
                <w:lang w:val="en-US" w:eastAsia="zh-CN"/>
              </w:rPr>
              <w:t xml:space="preserve">投标报价得分＝（1-评标基准优惠率）/（1-投标优惠率）×20。</w:t>
            </w:r>
            <w:r>
              <w:rPr>
                <w:rFonts w:hint="eastAsia"/>
                <w:szCs w:val="21"/>
                <w:highlight w:val="none"/>
                <w:lang w:bidi="ar"/>
              </w:rPr>
            </w:r>
            <w:r/>
          </w:p>
        </w:tc>
        <w:tc>
          <w:tcPr>
            <w:tcW w:w="702" w:type="dxa"/>
            <w:vAlign w:val="center"/>
            <w:textDirection w:val="lrTb"/>
            <w:noWrap w:val="false"/>
          </w:tcPr>
          <w:p>
            <w:pPr>
              <w:pStyle w:val="1030"/>
              <w:jc w:val="center"/>
              <w:rPr>
                <w:rFonts w:hint="eastAsia" w:eastAsia="宋体"/>
                <w:szCs w:val="21"/>
                <w:highlight w:val="none"/>
                <w:lang w:val="en-US" w:eastAsia="zh-CN" w:bidi="ar"/>
              </w:rPr>
              <w:framePr w:vAnchor="text" w:hAnchor="page" w:xAlign="center" w:y="394"/>
            </w:pPr>
            <w:r>
              <w:rPr>
                <w:rFonts w:hint="eastAsia"/>
                <w:szCs w:val="21"/>
                <w:highlight w:val="none"/>
                <w:lang w:val="en-US" w:eastAsia="zh-CN" w:bidi="ar"/>
              </w:rPr>
              <w:t xml:space="preserve">0</w:t>
            </w:r>
            <w:r>
              <w:rPr>
                <w:rFonts w:hint="eastAsia" w:eastAsia="宋体"/>
                <w:szCs w:val="21"/>
                <w:highlight w:val="none"/>
                <w:lang w:val="en-US" w:eastAsia="zh-CN" w:bidi="ar"/>
              </w:rPr>
            </w:r>
            <w:r/>
          </w:p>
        </w:tc>
        <w:tc>
          <w:tcPr>
            <w:tcW w:w="702" w:type="dxa"/>
            <w:vAlign w:val="center"/>
            <w:textDirection w:val="lrTb"/>
            <w:noWrap w:val="false"/>
          </w:tcPr>
          <w:p>
            <w:pPr>
              <w:pStyle w:val="1030"/>
              <w:jc w:val="center"/>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20</w:t>
            </w:r>
            <w:r>
              <w:rPr>
                <w:rFonts w:eastAsia="宋体"/>
                <w:szCs w:val="21"/>
                <w:highlight w:val="none"/>
                <w:lang w:val="en-US"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否</w:t>
            </w:r>
            <w:r>
              <w:rPr>
                <w:rFonts w:hint="eastAsia" w:eastAsia="宋体"/>
                <w:szCs w:val="21"/>
                <w:highlight w:val="none"/>
                <w:lang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是</w:t>
            </w:r>
            <w:r>
              <w:rPr>
                <w:rFonts w:hint="eastAsia" w:eastAsia="宋体"/>
                <w:szCs w:val="21"/>
                <w:highlight w:val="none"/>
                <w:lang w:eastAsia="zh-CN" w:bidi="ar"/>
              </w:rPr>
            </w:r>
            <w:r/>
          </w:p>
        </w:tc>
      </w:tr>
      <w:tr>
        <w:trPr>
          <w:trHeight w:val="676"/>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2</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主观分</w:t>
            </w:r>
            <w:r>
              <w:rPr>
                <w:rFonts w:hint="eastAsia"/>
                <w:szCs w:val="21"/>
                <w:highlight w:val="none"/>
                <w:lang w:bidi="ar"/>
              </w:rPr>
            </w:r>
            <w:r/>
          </w:p>
        </w:tc>
        <w:tc>
          <w:tcPr>
            <w:tcW w:w="700" w:type="dxa"/>
            <w:vAlign w:val="center"/>
            <w:textDirection w:val="lrTb"/>
            <w:noWrap w:val="false"/>
          </w:tcPr>
          <w:p>
            <w:pPr>
              <w:pStyle w:val="1030"/>
              <w:jc w:val="center"/>
              <w:widowControl/>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36</w:t>
            </w:r>
            <w:r>
              <w:rPr>
                <w:rFonts w:eastAsia="宋体"/>
                <w:szCs w:val="21"/>
                <w:highlight w:val="none"/>
                <w:lang w:val="en-US" w:eastAsia="zh-CN" w:bidi="ar"/>
              </w:rPr>
            </w:r>
            <w:r/>
          </w:p>
        </w:tc>
        <w:tc>
          <w:tcPr>
            <w:tcW w:w="4523" w:type="dxa"/>
            <w:vAlign w:val="center"/>
            <w:textDirection w:val="lrTb"/>
            <w:noWrap w:val="false"/>
          </w:tcPr>
          <w:p>
            <w:pPr>
              <w:pStyle w:val="1030"/>
              <w:ind w:firstLine="28"/>
              <w:jc w:val="center"/>
              <w:spacing w:line="360" w:lineRule="auto"/>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r>
      <w:tr>
        <w:trPr>
          <w:trHeight w:val="90"/>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2.1</w:t>
            </w:r>
            <w:r>
              <w:rPr>
                <w:szCs w:val="21"/>
                <w:highlight w:val="none"/>
              </w:rPr>
            </w:r>
            <w:r/>
          </w:p>
        </w:tc>
        <w:tc>
          <w:tcPr>
            <w:tcW w:w="1126" w:type="dxa"/>
            <w:vAlign w:val="center"/>
            <w:textDirection w:val="lrTb"/>
            <w:noWrap w:val="false"/>
          </w:tcPr>
          <w:p>
            <w:pPr>
              <w:pStyle w:val="1030"/>
              <w:jc w:val="center"/>
              <w:spacing w:line="360" w:lineRule="auto"/>
              <w:rPr>
                <w:rFonts w:ascii="宋体" w:hAnsi="宋体" w:eastAsia="宋体" w:cs="宋体"/>
                <w:szCs w:val="21"/>
                <w:highlight w:val="none"/>
                <w:lang w:val="en-US" w:eastAsia="zh-CN"/>
              </w:rPr>
              <w:framePr w:vAnchor="text" w:hAnchor="page" w:xAlign="center" w:y="394"/>
            </w:pPr>
            <w:r>
              <w:rPr>
                <w:rFonts w:ascii="宋体" w:hAnsi="宋体" w:eastAsia="宋体" w:cs="宋体"/>
                <w:szCs w:val="21"/>
                <w:highlight w:val="none"/>
                <w:lang w:val="en-US" w:eastAsia="zh-CN"/>
              </w:rPr>
              <w:t xml:space="preserve">总体概述</w:t>
            </w:r>
            <w:r>
              <w:rPr>
                <w:rFonts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auto"/>
              <w:rPr>
                <w:rFonts w:hint="eastAsia" w:eastAsia="宋体"/>
                <w:szCs w:val="21"/>
                <w:highlight w:val="none"/>
                <w:lang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rPr>
              <w:t xml:space="preserve">总体目标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计划与维护质量保证</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rPr>
              <w:t xml:space="preserve">维保组织与部署、维保现场布置</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zh-CN"/>
              </w:rPr>
              <w:t xml:space="preserve">否</w:t>
            </w:r>
            <w:r>
              <w:rPr>
                <w:rFonts w:hint="eastAsia" w:eastAsia="宋体"/>
                <w:szCs w:val="21"/>
                <w:highlight w:val="none"/>
                <w:lang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zh-CN"/>
              </w:rPr>
              <w:t xml:space="preserve">否</w:t>
            </w:r>
            <w:r>
              <w:rPr>
                <w:rFonts w:hint="eastAsia" w:eastAsia="宋体"/>
                <w:szCs w:val="21"/>
                <w:highlight w:val="none"/>
                <w:lang w:eastAsia="zh-CN"/>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2.2</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维保方案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eastAsia="宋体" w:cs="宋体"/>
                <w:bCs/>
                <w:szCs w:val="21"/>
                <w:lang w:val="en-US" w:eastAsia="zh-CN"/>
              </w:rPr>
              <w:t xml:space="preserve">6</w:t>
            </w:r>
            <w:r>
              <w:rPr>
                <w:rFonts w:eastAsia="宋体"/>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highlight w:val="none"/>
                <w:lang w:val="en-US" w:eastAsia="zh-CN"/>
              </w:rPr>
              <w:t xml:space="preserve">维护修理方案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highlight w:val="none"/>
                <w:lang w:val="en-US" w:eastAsia="zh-CN"/>
              </w:rPr>
              <w:t xml:space="preserve">日常巡检方案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2.3</w:t>
            </w:r>
            <w:r>
              <w:rPr>
                <w:szCs w:val="21"/>
                <w:highlight w:val="none"/>
              </w:rPr>
            </w:r>
            <w:r/>
          </w:p>
        </w:tc>
        <w:tc>
          <w:tcPr>
            <w:tcW w:w="1126" w:type="dxa"/>
            <w:vAlign w:val="center"/>
            <w:textDirection w:val="lrTb"/>
            <w:noWrap w:val="false"/>
          </w:tcPr>
          <w:p>
            <w:pPr>
              <w:pStyle w:val="1030"/>
              <w:jc w:val="center"/>
              <w:spacing w:line="360" w:lineRule="exact"/>
              <w:widowControl/>
              <w:rPr>
                <w:rFonts w:ascii="宋体" w:hAnsi="宋体" w:cs="宋体"/>
                <w:szCs w:val="21"/>
                <w:highlight w:val="none"/>
                <w:lang w:bidi="ar"/>
              </w:rPr>
              <w:framePr w:vAnchor="text" w:hAnchor="page" w:xAlign="center" w:y="394"/>
            </w:pPr>
            <w:r>
              <w:rPr>
                <w:rFonts w:hint="eastAsia" w:ascii="宋体" w:hAnsi="宋体" w:cs="宋体"/>
                <w:szCs w:val="21"/>
                <w:highlight w:val="none"/>
                <w:lang w:bidi="ar"/>
              </w:rPr>
              <w:t xml:space="preserve">安全</w:t>
            </w:r>
            <w:r>
              <w:rPr>
                <w:rFonts w:hint="eastAsia" w:ascii="宋体" w:hAnsi="宋体" w:cs="宋体"/>
                <w:szCs w:val="21"/>
                <w:highlight w:val="none"/>
                <w:lang w:val="en-US" w:eastAsia="zh-CN" w:bidi="ar"/>
              </w:rPr>
              <w:t xml:space="preserve">文明</w:t>
            </w:r>
            <w:r>
              <w:rPr>
                <w:rFonts w:hint="eastAsia" w:ascii="宋体" w:hAnsi="宋体" w:cs="宋体"/>
                <w:szCs w:val="21"/>
                <w:highlight w:val="none"/>
                <w:lang w:bidi="ar"/>
              </w:rPr>
              <w:t xml:space="preserve">生产</w:t>
            </w:r>
            <w:r>
              <w:rPr>
                <w:rFonts w:hint="eastAsia" w:ascii="宋体" w:hAnsi="宋体" w:cs="宋体"/>
                <w:szCs w:val="21"/>
                <w:highlight w:val="none"/>
                <w:lang w:val="en-US" w:eastAsia="zh-CN" w:bidi="ar"/>
              </w:rPr>
              <w:t xml:space="preserve">及环境</w:t>
            </w:r>
            <w:r>
              <w:rPr>
                <w:rFonts w:hint="eastAsia" w:ascii="宋体" w:hAnsi="宋体" w:cs="宋体"/>
                <w:szCs w:val="21"/>
                <w:highlight w:val="none"/>
                <w:lang w:bidi="ar"/>
              </w:rPr>
              <w:t xml:space="preserve">保证措施</w:t>
            </w:r>
            <w:r>
              <w:rPr>
                <w:rFonts w:ascii="宋体" w:hAnsi="宋体" w:cs="宋体"/>
                <w:szCs w:val="21"/>
                <w:highlight w:val="none"/>
                <w:lang w:bidi="ar"/>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1.安全文明生产保证措施；</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szCs w:val="21"/>
                <w:lang w:val="en-US" w:eastAsia="zh-CN"/>
              </w:rPr>
              <w:t xml:space="preserve">环境保证措施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2.4</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重点、难点分析</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1.项目实施的重点、难点；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针对重点、难点的解决措施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2.5</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val="en-US" w:eastAsia="zh-CN"/>
              </w:rPr>
              <w:framePr w:vAnchor="text" w:hAnchor="page" w:xAlign="center" w:y="394"/>
            </w:pPr>
            <w:r>
              <w:rPr>
                <w:rFonts w:hint="eastAsia" w:ascii="宋体" w:hAnsi="宋体" w:eastAsia="宋体" w:cs="宋体"/>
                <w:sz w:val="21"/>
                <w:szCs w:val="21"/>
              </w:rPr>
              <w:t xml:space="preserve">服务承诺及控制方案</w:t>
            </w:r>
            <w:r>
              <w:rPr>
                <w:rFonts w:hint="eastAsia"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1.服务质量控制方案；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rPr>
              <w:t xml:space="preserve">风险控制措施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2.6</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rPr>
              <w:framePr w:vAnchor="text" w:hAnchor="page" w:xAlign="center" w:y="394"/>
            </w:pPr>
            <w:r>
              <w:rPr>
                <w:rFonts w:hint="eastAsia" w:ascii="宋体" w:hAnsi="宋体" w:eastAsia="宋体" w:cs="宋体"/>
                <w:sz w:val="21"/>
                <w:szCs w:val="21"/>
              </w:rPr>
              <w:t xml:space="preserve">应急事件处理预案</w:t>
            </w:r>
            <w:r>
              <w:rPr>
                <w:rFonts w:hint="eastAsia" w:ascii="宋体" w:hAnsi="宋体" w:eastAsia="宋体"/>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1.紧急抢修、应急处置方案；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2.应急事件配合处理措施（包括但不限于火灾、安全消防等）；</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eastAsia="宋体" w:cs="宋体"/>
                <w:szCs w:val="21"/>
                <w:lang w:val="en-US" w:eastAsia="zh-CN"/>
              </w:rPr>
              <w:t xml:space="preserve">6</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en-US" w:eastAsia="zh-CN" w:bidi="ar-SA"/>
              </w:rPr>
            </w:r>
            <w:r/>
          </w:p>
        </w:tc>
      </w:tr>
      <w:tr>
        <w:trPr>
          <w:trHeight w:val="454"/>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3</w:t>
            </w:r>
            <w:r>
              <w:rPr>
                <w:rFonts w:hint="eastAsia"/>
                <w:szCs w:val="21"/>
                <w:highlight w:val="none"/>
              </w:rPr>
            </w:r>
            <w:r/>
          </w:p>
        </w:tc>
        <w:tc>
          <w:tcPr>
            <w:tcW w:w="1126" w:type="dxa"/>
            <w:vAlign w:val="center"/>
            <w:textDirection w:val="lrTb"/>
            <w:noWrap w:val="false"/>
          </w:tcPr>
          <w:p>
            <w:pPr>
              <w:pStyle w:val="1030"/>
              <w:ind w:firstLine="28"/>
              <w:jc w:val="center"/>
              <w:rPr>
                <w:sz w:val="24"/>
                <w:highlight w:val="none"/>
              </w:rPr>
              <w:framePr w:vAnchor="text" w:hAnchor="page" w:xAlign="center" w:y="394"/>
            </w:pPr>
            <w:r>
              <w:rPr>
                <w:rFonts w:hint="eastAsia"/>
                <w:szCs w:val="21"/>
                <w:highlight w:val="none"/>
                <w:lang w:bidi="ar"/>
              </w:rPr>
              <w:t xml:space="preserve">客观分</w:t>
            </w:r>
            <w:r>
              <w:rPr>
                <w:sz w:val="24"/>
                <w:highlight w:val="none"/>
              </w:rPr>
            </w:r>
            <w:r/>
          </w:p>
        </w:tc>
        <w:tc>
          <w:tcPr>
            <w:tcW w:w="700"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eastAsia="宋体"/>
                <w:szCs w:val="21"/>
                <w:highlight w:val="none"/>
                <w:lang w:val="en-US" w:eastAsia="zh-CN"/>
              </w:rPr>
              <w:t xml:space="preserve">44</w:t>
            </w:r>
            <w:r>
              <w:rPr>
                <w:rFonts w:eastAsia="宋体"/>
                <w:szCs w:val="21"/>
                <w:highlight w:val="none"/>
                <w:lang w:val="en-US" w:eastAsia="zh-CN"/>
              </w:rPr>
            </w:r>
            <w:r/>
          </w:p>
        </w:tc>
        <w:tc>
          <w:tcPr>
            <w:tcW w:w="4523" w:type="dxa"/>
            <w:vAlign w:val="center"/>
            <w:textDirection w:val="lrTb"/>
            <w:noWrap w:val="false"/>
          </w:tcPr>
          <w:p>
            <w:pPr>
              <w:pStyle w:val="1030"/>
              <w:spacing w:line="360" w:lineRule="auto"/>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r>
        <w:trPr>
          <w:trHeight w:val="652"/>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3.1</w:t>
            </w:r>
            <w:r>
              <w:rPr>
                <w:szCs w:val="21"/>
                <w:highlight w:val="none"/>
              </w:rPr>
            </w:r>
            <w:r/>
          </w:p>
        </w:tc>
        <w:tc>
          <w:tcPr>
            <w:tcW w:w="1126" w:type="dxa"/>
            <w:vAlign w:val="center"/>
            <w:textDirection w:val="lrTb"/>
            <w:noWrap w:val="false"/>
          </w:tcPr>
          <w:p>
            <w:pPr>
              <w:pStyle w:val="1030"/>
              <w:jc w:val="center"/>
              <w:spacing w:line="360" w:lineRule="exact"/>
              <w:widowControl/>
              <w:rPr>
                <w:rFonts w:hint="eastAsia"/>
                <w:szCs w:val="21"/>
                <w:highlight w:val="none"/>
                <w:lang w:bidi="ar"/>
              </w:rPr>
              <w:framePr w:vAnchor="text" w:hAnchor="page" w:xAlign="center" w:y="394"/>
            </w:pPr>
            <w:r>
              <w:rPr>
                <w:rFonts w:hint="eastAsia" w:ascii="宋体" w:hAnsi="宋体" w:cs="宋体"/>
                <w:bCs/>
                <w:szCs w:val="21"/>
                <w:highlight w:val="none"/>
              </w:rPr>
              <w:t xml:space="preserve">类似业绩</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rPr>
              <w:framePr w:vAnchor="text" w:hAnchor="page" w:xAlign="center" w:y="394"/>
            </w:pPr>
            <w:r>
              <w:rPr>
                <w:rFonts w:hint="eastAsia" w:ascii="宋体" w:hAnsi="宋体"/>
                <w:szCs w:val="21"/>
                <w:lang w:val="en-US" w:eastAsia="zh-CN"/>
              </w:rPr>
              <w:t xml:space="preserve">12   </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rPr>
              <w:framePr w:vAnchor="text" w:hAnchor="page" w:xAlign="center" w:y="394"/>
            </w:pPr>
            <w:r>
              <w:rPr>
                <w:rFonts w:hint="eastAsia" w:ascii="宋体" w:hAnsi="宋体" w:eastAsia="宋体" w:cs="宋体"/>
                <w:color w:val="000000"/>
                <w:sz w:val="21"/>
                <w:szCs w:val="21"/>
                <w:lang w:val="en-US" w:eastAsia="zh-CN"/>
              </w:rPr>
              <w:t xml:space="preserve">投标人近五年（投标截止时间往前推）承建过类似照明养护项目业绩的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每有一个得3分，</w:t>
            </w:r>
            <w:r>
              <w:rPr>
                <w:rFonts w:hint="eastAsia" w:ascii="宋体" w:hAnsi="宋体" w:eastAsia="宋体" w:cs="宋体"/>
                <w:color w:val="000000"/>
                <w:sz w:val="21"/>
                <w:szCs w:val="21"/>
                <w:lang w:eastAsia="zh-CN"/>
              </w:rPr>
              <w:t xml:space="preserve">最高得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rPr>
            </w:r>
            <w:r/>
          </w:p>
          <w:p>
            <w:pPr>
              <w:pStyle w:val="1030"/>
              <w:spacing w:line="360" w:lineRule="exact"/>
              <w:widowControl/>
              <w:rPr>
                <w:rFonts w:hint="eastAsia"/>
                <w:highlight w:val="none"/>
              </w:rPr>
              <w:framePr w:vAnchor="text" w:hAnchor="page" w:xAlign="center" w:y="394"/>
            </w:pPr>
            <w:r>
              <w:rPr>
                <w:rFonts w:hint="eastAsia" w:ascii="宋体" w:hAnsi="宋体"/>
                <w:b/>
                <w:bCs/>
                <w:szCs w:val="21"/>
                <w:lang w:bidi="ar"/>
              </w:rPr>
              <w:t xml:space="preserve">注：</w:t>
            </w:r>
            <w:r>
              <w:rPr>
                <w:rFonts w:hint="eastAsia" w:ascii="宋体" w:hAnsi="宋体"/>
                <w:b/>
                <w:bCs/>
                <w:szCs w:val="21"/>
                <w:lang w:val="en-US" w:eastAsia="zh-CN" w:bidi="ar"/>
              </w:rPr>
              <w:t xml:space="preserve">时间以合同签订时间为准。同时</w:t>
            </w:r>
            <w:r>
              <w:rPr>
                <w:rFonts w:hint="eastAsia" w:ascii="宋体" w:hAnsi="宋体"/>
                <w:b/>
                <w:bCs/>
                <w:szCs w:val="21"/>
                <w:lang w:bidi="ar"/>
              </w:rPr>
              <w:t xml:space="preserve">提供业绩的合同</w:t>
            </w:r>
            <w:r>
              <w:rPr>
                <w:rFonts w:hint="eastAsia" w:ascii="宋体" w:hAnsi="宋体"/>
                <w:b/>
                <w:bCs/>
                <w:szCs w:val="21"/>
                <w:lang w:val="en-US" w:eastAsia="zh-CN" w:bidi="ar"/>
              </w:rPr>
              <w:t xml:space="preserve">及验收证明（经采购人、养护单位等相关单位签字盖章）</w:t>
            </w:r>
            <w:r>
              <w:rPr>
                <w:rFonts w:hint="eastAsia" w:ascii="宋体" w:hAnsi="宋体"/>
                <w:b/>
                <w:bCs/>
                <w:szCs w:val="21"/>
                <w:lang w:bidi="ar"/>
              </w:rPr>
              <w:t xml:space="preserve">扫描件</w:t>
            </w:r>
            <w:r>
              <w:rPr>
                <w:rFonts w:hint="eastAsia" w:ascii="宋体" w:hAnsi="宋体"/>
                <w:b/>
                <w:bCs/>
                <w:szCs w:val="21"/>
                <w:lang w:eastAsia="zh-CN" w:bidi="ar"/>
              </w:rPr>
              <w:t xml:space="preserve">（</w:t>
            </w:r>
            <w:r>
              <w:rPr>
                <w:rFonts w:hint="eastAsia" w:ascii="宋体" w:hAnsi="宋体"/>
                <w:b/>
                <w:bCs/>
                <w:szCs w:val="21"/>
                <w:lang w:val="en-US" w:eastAsia="zh-CN" w:bidi="ar"/>
              </w:rPr>
              <w:t xml:space="preserve">或照片）</w:t>
            </w:r>
            <w:r>
              <w:rPr>
                <w:rFonts w:hint="eastAsia" w:ascii="宋体" w:hAnsi="宋体"/>
                <w:b/>
                <w:bCs/>
                <w:szCs w:val="21"/>
                <w:lang w:bidi="ar"/>
              </w:rPr>
              <w:t xml:space="preserve">。不提供</w:t>
            </w:r>
            <w:r>
              <w:rPr>
                <w:rFonts w:hint="eastAsia" w:ascii="宋体" w:hAnsi="宋体"/>
                <w:b/>
                <w:bCs/>
                <w:szCs w:val="21"/>
                <w:lang w:val="en-US" w:eastAsia="zh-CN" w:bidi="ar"/>
              </w:rPr>
              <w:t xml:space="preserve">或提供不全</w:t>
            </w:r>
            <w:r>
              <w:rPr>
                <w:rFonts w:hint="eastAsia" w:ascii="宋体" w:hAnsi="宋体"/>
                <w:b/>
                <w:bCs/>
                <w:szCs w:val="21"/>
                <w:lang w:bidi="ar"/>
              </w:rPr>
              <w:t xml:space="preserve">不得分。</w:t>
            </w:r>
            <w:r>
              <w:rPr>
                <w:rFonts w:hint="eastAsia"/>
                <w:highlight w:val="none"/>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12</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3.2</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eastAsia="宋体"/>
                <w:szCs w:val="21"/>
                <w:highlight w:val="none"/>
                <w:lang w:val="en-US" w:eastAsia="zh-CN" w:bidi="ar"/>
              </w:rPr>
              <w:framePr w:vAnchor="text" w:hAnchor="page" w:xAlign="center" w:y="394"/>
            </w:pPr>
            <w:r>
              <w:rPr>
                <w:rFonts w:hint="eastAsia" w:eastAsia="宋体" w:cs="宋体"/>
                <w:lang w:val="en-US" w:eastAsia="zh-CN"/>
              </w:rPr>
              <w:t xml:space="preserve">人员配置</w:t>
            </w:r>
            <w:r>
              <w:rPr>
                <w:rFonts w:hint="eastAsia" w:eastAsia="宋体"/>
                <w:szCs w:val="21"/>
                <w:highlight w:val="none"/>
                <w:lang w:val="en-US" w:eastAsia="zh-CN" w:bidi="ar"/>
              </w:rPr>
            </w:r>
            <w:r/>
          </w:p>
        </w:tc>
        <w:tc>
          <w:tcPr>
            <w:tcW w:w="700" w:type="dxa"/>
            <w:vAlign w:val="center"/>
            <w:textDirection w:val="lrTb"/>
            <w:noWrap w:val="false"/>
          </w:tcPr>
          <w:p>
            <w:pPr>
              <w:pStyle w:val="1030"/>
              <w:jc w:val="center"/>
              <w:widowControl/>
              <w:rPr>
                <w:rFonts w:eastAsia="宋体"/>
                <w:szCs w:val="21"/>
                <w:highlight w:val="none"/>
                <w:lang w:val="en-US" w:eastAsia="zh-CN"/>
              </w:rPr>
              <w:framePr w:vAnchor="text" w:hAnchor="page" w:xAlign="center" w:y="394"/>
            </w:pPr>
            <w:r>
              <w:rPr>
                <w:rFonts w:hint="eastAsia" w:ascii="宋体" w:hAnsi="宋体"/>
                <w:szCs w:val="21"/>
                <w:lang w:val="en-US" w:eastAsia="zh-CN"/>
              </w:rPr>
              <w:t xml:space="preserve">12</w:t>
            </w:r>
            <w:r>
              <w:rPr>
                <w:rFonts w:eastAsia="宋体"/>
                <w:szCs w:val="21"/>
                <w:highlight w:val="none"/>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ascii="宋体" w:hAnsi="宋体"/>
                <w:szCs w:val="21"/>
                <w:lang w:val="en-US" w:eastAsia="zh-CN"/>
              </w:rPr>
              <w:framePr w:vAnchor="text" w:hAnchor="page" w:xAlign="center" w:y="394"/>
            </w:pPr>
            <w:r>
              <w:rPr>
                <w:rFonts w:hint="eastAsia" w:ascii="宋体" w:hAnsi="宋体"/>
                <w:szCs w:val="21"/>
                <w:lang w:val="en-US" w:eastAsia="zh-CN"/>
              </w:rPr>
              <w:t xml:space="preserve">1.投标人拟配备项目负责人同时具备二级及以上注册建造师（机电工程专业）证书及安全生产考核合格证（B证）的得3分；</w:t>
            </w:r>
            <w:r>
              <w:rPr>
                <w:rFonts w:ascii="宋体" w:hAnsi="宋体"/>
                <w:szCs w:val="21"/>
                <w:lang w:val="en-US" w:eastAsia="zh-CN"/>
              </w:rPr>
            </w:r>
            <w:r/>
          </w:p>
          <w:p>
            <w:pPr>
              <w:pStyle w:val="1030"/>
              <w:numPr>
                <w:ilvl w:val="0"/>
                <w:numId w:val="0"/>
              </w:numPr>
              <w:ind w:left="0" w:firstLine="0"/>
              <w:spacing w:line="360" w:lineRule="exact"/>
              <w:widowControl/>
              <w:rPr>
                <w:rFonts w:hint="eastAsia" w:ascii="宋体" w:hAnsi="宋体"/>
                <w:szCs w:val="21"/>
              </w:rPr>
              <w:framePr w:vAnchor="text" w:hAnchor="page" w:xAlign="center" w:y="394"/>
            </w:pPr>
            <w:r>
              <w:rPr>
                <w:rFonts w:hint="eastAsia" w:ascii="宋体" w:hAnsi="宋体"/>
                <w:szCs w:val="21"/>
                <w:lang w:val="en-US" w:eastAsia="zh-CN"/>
              </w:rPr>
              <w:t xml:space="preserve">2.在满足采购需求里的专业技术持证人员的基础上：每多一项电工作业证或特种作业操作证（操作项目：高处安装、维护、拆除作业）或B证及以上驾驶证加1分，最高得9分。</w:t>
            </w:r>
            <w:r>
              <w:rPr>
                <w:rFonts w:hint="eastAsia" w:ascii="宋体" w:hAnsi="宋体"/>
                <w:szCs w:val="21"/>
              </w:rPr>
            </w:r>
            <w:r/>
          </w:p>
          <w:p>
            <w:pPr>
              <w:pStyle w:val="1030"/>
              <w:numPr>
                <w:ilvl w:val="0"/>
                <w:numId w:val="0"/>
              </w:numPr>
              <w:ind w:left="0" w:firstLine="0"/>
              <w:spacing w:line="360" w:lineRule="exact"/>
              <w:widowControl/>
              <w:rPr>
                <w:rFonts w:ascii="宋体" w:hAnsi="宋体" w:eastAsia="宋体" w:cs="宋体"/>
                <w:b/>
                <w:szCs w:val="21"/>
                <w:highlight w:val="none"/>
                <w:lang w:val="en-US" w:eastAsia="zh-CN"/>
              </w:rPr>
              <w:framePr w:vAnchor="text" w:hAnchor="page" w:xAlign="center" w:y="394"/>
            </w:pPr>
            <w:r>
              <w:rPr>
                <w:rFonts w:hint="eastAsia" w:ascii="宋体" w:hAnsi="宋体" w:eastAsia="宋体" w:cs="Times New Roman"/>
                <w:b/>
                <w:bCs/>
                <w:szCs w:val="21"/>
                <w:lang w:eastAsia="zh-CN" w:bidi="ar"/>
              </w:rPr>
              <w:t xml:space="preserve">注：提供</w:t>
            </w:r>
            <w:r>
              <w:rPr>
                <w:rFonts w:hint="eastAsia" w:ascii="宋体" w:hAnsi="宋体" w:eastAsia="宋体" w:cs="Times New Roman"/>
                <w:b/>
                <w:bCs/>
                <w:szCs w:val="21"/>
                <w:lang w:val="en-US" w:eastAsia="zh-CN" w:bidi="ar"/>
              </w:rPr>
              <w:t xml:space="preserve">上述人员相关</w:t>
            </w:r>
            <w:r>
              <w:rPr>
                <w:rFonts w:hint="eastAsia" w:ascii="宋体" w:hAnsi="宋体" w:eastAsia="宋体" w:cs="Times New Roman"/>
                <w:b/>
                <w:bCs/>
                <w:szCs w:val="21"/>
                <w:lang w:eastAsia="zh-CN" w:bidi="ar"/>
              </w:rPr>
              <w:t xml:space="preserve">证书及</w:t>
            </w:r>
            <w:r>
              <w:rPr>
                <w:rFonts w:hint="eastAsia" w:ascii="宋体" w:hAnsi="宋体" w:eastAsia="宋体" w:cs="Times New Roman"/>
                <w:b/>
                <w:bCs/>
                <w:szCs w:val="21"/>
                <w:lang w:val="en-US" w:eastAsia="zh-CN" w:bidi="ar"/>
              </w:rPr>
              <w:t xml:space="preserve">投标</w:t>
            </w:r>
            <w:r>
              <w:rPr>
                <w:rFonts w:hint="eastAsia" w:ascii="宋体" w:hAnsi="宋体" w:eastAsia="宋体" w:cs="Times New Roman"/>
                <w:b/>
                <w:bCs/>
                <w:szCs w:val="21"/>
                <w:lang w:eastAsia="zh-CN" w:bidi="ar"/>
              </w:rPr>
              <w:t xml:space="preserve">截止日前半年内任意</w:t>
            </w:r>
            <w:r>
              <w:rPr>
                <w:rFonts w:hint="eastAsia" w:ascii="宋体" w:hAnsi="宋体" w:eastAsia="宋体" w:cs="Times New Roman"/>
                <w:b/>
                <w:bCs/>
                <w:szCs w:val="21"/>
                <w:lang w:val="en-US" w:eastAsia="zh-CN" w:bidi="ar"/>
              </w:rPr>
              <w:t xml:space="preserve">一</w:t>
            </w:r>
            <w:r>
              <w:rPr>
                <w:rFonts w:hint="eastAsia" w:ascii="宋体" w:hAnsi="宋体" w:eastAsia="宋体" w:cs="Times New Roman"/>
                <w:b/>
                <w:bCs/>
                <w:szCs w:val="21"/>
                <w:lang w:eastAsia="zh-CN" w:bidi="ar"/>
              </w:rPr>
              <w:t xml:space="preserve">个月</w:t>
            </w:r>
            <w:r>
              <w:rPr>
                <w:rFonts w:hint="eastAsia" w:ascii="宋体" w:hAnsi="宋体" w:eastAsia="宋体" w:cs="Times New Roman"/>
                <w:b/>
                <w:bCs/>
                <w:szCs w:val="21"/>
                <w:lang w:val="en-US" w:eastAsia="zh-CN" w:bidi="ar"/>
              </w:rPr>
              <w:t xml:space="preserve">投标人</w:t>
            </w:r>
            <w:r>
              <w:rPr>
                <w:rFonts w:hint="eastAsia" w:ascii="宋体" w:hAnsi="宋体" w:eastAsia="宋体" w:cs="Times New Roman"/>
                <w:b/>
                <w:bCs/>
                <w:szCs w:val="21"/>
                <w:lang w:eastAsia="zh-CN" w:bidi="ar"/>
              </w:rPr>
              <w:t xml:space="preserve">为</w:t>
            </w:r>
            <w:r>
              <w:rPr>
                <w:rFonts w:hint="eastAsia" w:ascii="宋体" w:hAnsi="宋体" w:eastAsia="宋体" w:cs="Times New Roman"/>
                <w:b/>
                <w:bCs/>
                <w:szCs w:val="21"/>
                <w:lang w:val="en-US" w:eastAsia="zh-CN" w:bidi="ar"/>
              </w:rPr>
              <w:t xml:space="preserve">其</w:t>
            </w:r>
            <w:r>
              <w:rPr>
                <w:rFonts w:hint="eastAsia" w:ascii="宋体" w:hAnsi="宋体" w:eastAsia="宋体" w:cs="Times New Roman"/>
                <w:b/>
                <w:bCs/>
                <w:szCs w:val="21"/>
                <w:lang w:eastAsia="zh-CN" w:bidi="ar"/>
              </w:rPr>
              <w:t xml:space="preserve">缴纳的社保证明材料扫描件（</w:t>
            </w:r>
            <w:r>
              <w:rPr>
                <w:rFonts w:hint="eastAsia" w:ascii="宋体" w:hAnsi="宋体" w:eastAsia="宋体" w:cs="Times New Roman"/>
                <w:b/>
                <w:bCs/>
                <w:szCs w:val="21"/>
                <w:lang w:val="en-US" w:eastAsia="zh-CN" w:bidi="ar"/>
              </w:rPr>
              <w:t xml:space="preserve">或照片）</w:t>
            </w:r>
            <w:r>
              <w:rPr>
                <w:rFonts w:hint="eastAsia" w:ascii="宋体" w:hAnsi="宋体" w:eastAsia="宋体" w:cs="Times New Roman"/>
                <w:b/>
                <w:bCs/>
                <w:szCs w:val="21"/>
                <w:lang w:eastAsia="zh-CN" w:bidi="ar"/>
              </w:rPr>
              <w:t xml:space="preserve">，不提供或提供不全不得分。</w:t>
            </w:r>
            <w:r>
              <w:rPr>
                <w:rFonts w:ascii="宋体" w:hAnsi="宋体" w:eastAsia="宋体" w:cs="宋体"/>
                <w:b/>
                <w:szCs w:val="21"/>
                <w:highlight w:val="none"/>
                <w:lang w:val="en-US" w:eastAsia="zh-CN"/>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12</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3.3</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eastAsia="宋体" w:cs="宋体"/>
                <w:lang w:val="en-US" w:eastAsia="zh-CN"/>
              </w:rPr>
              <w:framePr w:vAnchor="text" w:hAnchor="page" w:xAlign="center" w:y="394"/>
            </w:pPr>
            <w:r>
              <w:rPr>
                <w:rFonts w:hint="eastAsia" w:eastAsia="宋体" w:cs="宋体"/>
                <w:lang w:val="en-US" w:eastAsia="zh-CN"/>
              </w:rPr>
              <w:t xml:space="preserve">车辆配置</w:t>
            </w:r>
            <w:r>
              <w:rPr>
                <w:rFonts w:eastAsia="宋体" w:cs="宋体"/>
                <w:lang w:val="en-US" w:eastAsia="zh-CN"/>
              </w:rPr>
            </w:r>
            <w:r/>
          </w:p>
        </w:tc>
        <w:tc>
          <w:tcPr>
            <w:tcW w:w="700" w:type="dxa"/>
            <w:vAlign w:val="center"/>
            <w:textDirection w:val="lrTb"/>
            <w:noWrap w:val="false"/>
          </w:tcPr>
          <w:p>
            <w:pPr>
              <w:pStyle w:val="1030"/>
              <w:jc w:val="center"/>
              <w:widowControl/>
              <w:rPr>
                <w:rFonts w:ascii="宋体" w:hAnsi="宋体"/>
                <w:szCs w:val="21"/>
                <w:lang w:val="en-US" w:eastAsia="zh-CN"/>
              </w:rPr>
              <w:framePr w:vAnchor="text" w:hAnchor="page" w:xAlign="center" w:y="394"/>
            </w:pPr>
            <w:r>
              <w:rPr>
                <w:rFonts w:hint="eastAsia" w:ascii="宋体" w:hAnsi="宋体"/>
                <w:szCs w:val="21"/>
                <w:lang w:val="en-US" w:eastAsia="zh-CN"/>
              </w:rPr>
              <w:t xml:space="preserve">15</w:t>
            </w:r>
            <w:r>
              <w:rPr>
                <w:rFonts w:ascii="宋体" w:hAnsi="宋体"/>
                <w:szCs w:val="21"/>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eastAsia="zh-CN" w:bidi="ar"/>
              </w:rPr>
              <w:t xml:space="preserve">1、</w:t>
            </w:r>
            <w:r>
              <w:rPr>
                <w:rFonts w:hint="eastAsia" w:ascii="宋体" w:hAnsi="宋体" w:eastAsia="宋体" w:cs="Times New Roman"/>
                <w:b w:val="0"/>
                <w:bCs w:val="0"/>
                <w:szCs w:val="21"/>
                <w:lang w:val="en-US" w:eastAsia="zh-CN" w:bidi="ar"/>
              </w:rPr>
              <w:t xml:space="preserve">投标人</w:t>
            </w:r>
            <w:r>
              <w:rPr>
                <w:rFonts w:hint="eastAsia" w:ascii="宋体" w:hAnsi="宋体" w:eastAsia="宋体" w:cs="Times New Roman"/>
                <w:b w:val="0"/>
                <w:bCs w:val="0"/>
                <w:szCs w:val="21"/>
                <w:lang w:eastAsia="zh-CN" w:bidi="ar"/>
              </w:rPr>
              <w:t xml:space="preserve">在满足采购需求中维修路灯专用高架车基本要求后：每多增加1辆16米及以上维修路灯专用高架车的得</w:t>
            </w:r>
            <w:r>
              <w:rPr>
                <w:rFonts w:hint="eastAsia" w:ascii="宋体" w:hAnsi="宋体" w:eastAsia="宋体" w:cs="Times New Roman"/>
                <w:b w:val="0"/>
                <w:bCs w:val="0"/>
                <w:szCs w:val="21"/>
                <w:lang w:val="en-US" w:eastAsia="zh-CN" w:bidi="ar"/>
              </w:rPr>
              <w:t xml:space="preserve">2</w:t>
            </w:r>
            <w:r>
              <w:rPr>
                <w:rFonts w:hint="eastAsia" w:ascii="宋体" w:hAnsi="宋体" w:eastAsia="宋体" w:cs="Times New Roman"/>
                <w:b w:val="0"/>
                <w:bCs w:val="0"/>
                <w:szCs w:val="21"/>
                <w:lang w:eastAsia="zh-CN" w:bidi="ar"/>
              </w:rPr>
              <w:t xml:space="preserve">分，最高得</w:t>
            </w:r>
            <w:r>
              <w:rPr>
                <w:rFonts w:hint="eastAsia" w:ascii="宋体" w:hAnsi="宋体" w:eastAsia="宋体" w:cs="Times New Roman"/>
                <w:b w:val="0"/>
                <w:bCs w:val="0"/>
                <w:szCs w:val="21"/>
                <w:lang w:val="en-US" w:eastAsia="zh-CN" w:bidi="ar"/>
              </w:rPr>
              <w:t xml:space="preserve">6</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eastAsia="zh-CN" w:bidi="ar"/>
              </w:rPr>
              <w:t xml:space="preserve">2、</w:t>
            </w:r>
            <w:r>
              <w:rPr>
                <w:rFonts w:hint="eastAsia" w:ascii="宋体" w:hAnsi="宋体" w:eastAsia="宋体" w:cs="Times New Roman"/>
                <w:b w:val="0"/>
                <w:bCs w:val="0"/>
                <w:szCs w:val="21"/>
                <w:lang w:val="en-US" w:eastAsia="zh-CN" w:bidi="ar"/>
              </w:rPr>
              <w:t xml:space="preserve">投标</w:t>
            </w:r>
            <w:r>
              <w:rPr>
                <w:rFonts w:hint="eastAsia" w:ascii="宋体" w:hAnsi="宋体" w:eastAsia="宋体" w:cs="Times New Roman"/>
                <w:b w:val="0"/>
                <w:bCs w:val="0"/>
                <w:szCs w:val="21"/>
                <w:lang w:eastAsia="zh-CN" w:bidi="ar"/>
              </w:rPr>
              <w:t xml:space="preserve">人有防撞等级70K及以上防撞缓冲车的得</w:t>
            </w:r>
            <w:r>
              <w:rPr>
                <w:rFonts w:hint="eastAsia" w:ascii="宋体" w:hAnsi="宋体" w:eastAsia="宋体" w:cs="Times New Roman"/>
                <w:b w:val="0"/>
                <w:bCs w:val="0"/>
                <w:szCs w:val="21"/>
                <w:lang w:val="en-US" w:eastAsia="zh-CN" w:bidi="ar"/>
              </w:rPr>
              <w:t xml:space="preserve">5</w:t>
            </w:r>
            <w:r>
              <w:rPr>
                <w:rFonts w:hint="eastAsia" w:ascii="宋体" w:hAnsi="宋体" w:eastAsia="宋体" w:cs="Times New Roman"/>
                <w:b w:val="0"/>
                <w:bCs w:val="0"/>
                <w:szCs w:val="21"/>
                <w:lang w:eastAsia="zh-CN" w:bidi="ar"/>
              </w:rPr>
              <w:t xml:space="preserve">分，最高得</w:t>
            </w:r>
            <w:r>
              <w:rPr>
                <w:rFonts w:hint="eastAsia" w:ascii="宋体" w:hAnsi="宋体" w:eastAsia="宋体" w:cs="Times New Roman"/>
                <w:b w:val="0"/>
                <w:bCs w:val="0"/>
                <w:szCs w:val="21"/>
                <w:lang w:val="en-US" w:eastAsia="zh-CN" w:bidi="ar"/>
              </w:rPr>
              <w:t xml:space="preserve">5</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eastAsia="zh-CN" w:bidi="ar"/>
              </w:rPr>
              <w:t xml:space="preserve">3、</w:t>
            </w:r>
            <w:r>
              <w:rPr>
                <w:rFonts w:hint="eastAsia" w:ascii="宋体" w:hAnsi="宋体" w:eastAsia="宋体" w:cs="Times New Roman"/>
                <w:b w:val="0"/>
                <w:bCs w:val="0"/>
                <w:szCs w:val="21"/>
                <w:lang w:val="en-US" w:eastAsia="zh-CN" w:bidi="ar"/>
              </w:rPr>
              <w:t xml:space="preserve">投标</w:t>
            </w:r>
            <w:r>
              <w:rPr>
                <w:rFonts w:hint="eastAsia" w:ascii="宋体" w:hAnsi="宋体" w:eastAsia="宋体" w:cs="Times New Roman"/>
                <w:b w:val="0"/>
                <w:bCs w:val="0"/>
                <w:szCs w:val="21"/>
                <w:lang w:eastAsia="zh-CN" w:bidi="ar"/>
              </w:rPr>
              <w:t xml:space="preserve">人在满足采购需求中巡检抢修车辆后：每多增加1辆巡检抢修车辆的得</w:t>
            </w:r>
            <w:r>
              <w:rPr>
                <w:rFonts w:hint="eastAsia" w:ascii="宋体" w:hAnsi="宋体" w:eastAsia="宋体" w:cs="Times New Roman"/>
                <w:b w:val="0"/>
                <w:bCs w:val="0"/>
                <w:szCs w:val="21"/>
                <w:lang w:val="en-US" w:eastAsia="zh-CN" w:bidi="ar"/>
              </w:rPr>
              <w:t xml:space="preserve">2</w:t>
            </w:r>
            <w:r>
              <w:rPr>
                <w:rFonts w:hint="eastAsia" w:ascii="宋体" w:hAnsi="宋体" w:eastAsia="宋体" w:cs="Times New Roman"/>
                <w:b w:val="0"/>
                <w:bCs w:val="0"/>
                <w:szCs w:val="21"/>
                <w:lang w:eastAsia="zh-CN" w:bidi="ar"/>
              </w:rPr>
              <w:t xml:space="preserve">分，最高得</w:t>
            </w:r>
            <w:r>
              <w:rPr>
                <w:rFonts w:hint="eastAsia" w:ascii="宋体" w:hAnsi="宋体" w:eastAsia="宋体" w:cs="Times New Roman"/>
                <w:b w:val="0"/>
                <w:bCs w:val="0"/>
                <w:szCs w:val="21"/>
                <w:lang w:val="en-US" w:eastAsia="zh-CN" w:bidi="ar"/>
              </w:rPr>
              <w:t xml:space="preserve">4</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bCs/>
                <w:szCs w:val="21"/>
                <w:lang w:eastAsia="zh-CN" w:bidi="ar"/>
              </w:rPr>
              <w:framePr w:vAnchor="text" w:hAnchor="page" w:xAlign="center" w:y="394"/>
            </w:pPr>
            <w:r>
              <w:rPr>
                <w:rFonts w:hint="eastAsia" w:ascii="宋体" w:hAnsi="宋体" w:eastAsia="宋体" w:cs="Times New Roman"/>
                <w:b/>
                <w:bCs/>
                <w:szCs w:val="21"/>
                <w:lang w:eastAsia="zh-CN" w:bidi="ar"/>
              </w:rPr>
              <w:t xml:space="preserve">注：</w:t>
            </w:r>
            <w:r>
              <w:rPr>
                <w:rFonts w:hint="eastAsia" w:ascii="宋体" w:hAnsi="宋体" w:eastAsia="宋体" w:cs="Times New Roman"/>
                <w:b/>
                <w:bCs/>
                <w:szCs w:val="21"/>
                <w:lang w:val="en-US" w:eastAsia="zh-CN" w:bidi="ar"/>
              </w:rPr>
              <w:t xml:space="preserve">1.</w:t>
            </w:r>
            <w:r>
              <w:rPr>
                <w:rFonts w:hint="eastAsia" w:ascii="宋体" w:hAnsi="宋体" w:eastAsia="宋体" w:cs="Times New Roman"/>
                <w:b/>
                <w:bCs/>
                <w:szCs w:val="21"/>
                <w:lang w:eastAsia="zh-CN" w:bidi="ar"/>
              </w:rPr>
              <w:t xml:space="preserve">如为自有车辆：需提供机动车登记证书、行驶证、购置发票。</w:t>
            </w:r>
            <w:r>
              <w:rPr>
                <w:rFonts w:hint="eastAsia" w:ascii="宋体" w:hAnsi="宋体" w:eastAsia="宋体" w:cs="Times New Roman"/>
                <w:b/>
                <w:bCs/>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bCs/>
                <w:szCs w:val="21"/>
                <w:lang w:eastAsia="zh-CN" w:bidi="ar"/>
              </w:rPr>
              <w:framePr w:vAnchor="text" w:hAnchor="page" w:xAlign="center" w:y="394"/>
            </w:pPr>
            <w:r>
              <w:rPr>
                <w:rFonts w:hint="eastAsia" w:ascii="宋体" w:hAnsi="宋体" w:eastAsia="宋体" w:cs="Times New Roman"/>
                <w:b/>
                <w:bCs/>
                <w:szCs w:val="21"/>
                <w:lang w:eastAsia="zh-CN" w:bidi="ar"/>
              </w:rPr>
              <w:t xml:space="preserve">如为租赁车辆：除机动车登记证书、行驶证外，还须提供租赁合同及租赁发票。</w:t>
            </w:r>
            <w:r>
              <w:rPr>
                <w:rFonts w:hint="eastAsia" w:ascii="宋体" w:hAnsi="宋体" w:eastAsia="宋体" w:cs="Times New Roman"/>
                <w:b/>
                <w:bCs/>
                <w:szCs w:val="21"/>
                <w:lang w:eastAsia="zh-CN" w:bidi="ar"/>
              </w:rPr>
            </w:r>
            <w:r/>
          </w:p>
          <w:p>
            <w:pPr>
              <w:pStyle w:val="1030"/>
              <w:numPr>
                <w:ilvl w:val="0"/>
                <w:numId w:val="0"/>
              </w:numPr>
              <w:spacing w:line="360" w:lineRule="exact"/>
              <w:widowControl/>
              <w:rPr>
                <w:rFonts w:hint="eastAsia" w:ascii="宋体" w:hAnsi="宋体" w:eastAsia="宋体" w:cs="Times New Roman"/>
                <w:b/>
                <w:bCs/>
                <w:szCs w:val="21"/>
                <w:lang w:eastAsia="zh-CN" w:bidi="ar"/>
              </w:rPr>
              <w:framePr w:vAnchor="text" w:hAnchor="page" w:xAlign="center" w:y="394"/>
            </w:pPr>
            <w:r>
              <w:rPr>
                <w:rFonts w:hint="eastAsia" w:ascii="宋体" w:hAnsi="宋体" w:eastAsia="宋体" w:cs="Times New Roman"/>
                <w:b/>
                <w:bCs/>
                <w:szCs w:val="21"/>
                <w:lang w:val="en-US" w:eastAsia="zh-CN" w:bidi="ar"/>
              </w:rPr>
              <w:t xml:space="preserve">2.</w:t>
            </w:r>
            <w:r>
              <w:rPr>
                <w:rFonts w:hint="eastAsia" w:ascii="宋体" w:hAnsi="宋体" w:eastAsia="宋体" w:cs="Times New Roman"/>
                <w:b/>
                <w:bCs/>
                <w:szCs w:val="21"/>
                <w:lang w:eastAsia="zh-CN" w:bidi="ar"/>
              </w:rPr>
              <w:t xml:space="preserve">维修路灯专用高架车除提供以上材料，还需提供车辆信息（含最高作业高度）铭牌或提供高度证明材料。</w:t>
            </w:r>
            <w:r>
              <w:rPr>
                <w:rFonts w:hint="eastAsia" w:ascii="宋体" w:hAnsi="宋体" w:eastAsia="宋体" w:cs="Times New Roman"/>
                <w:b/>
                <w:bCs/>
                <w:szCs w:val="21"/>
                <w:lang w:eastAsia="zh-CN" w:bidi="ar"/>
              </w:rPr>
            </w:r>
            <w:r/>
          </w:p>
          <w:p>
            <w:pPr>
              <w:pStyle w:val="1030"/>
              <w:numPr>
                <w:ilvl w:val="0"/>
                <w:numId w:val="0"/>
              </w:numPr>
              <w:spacing w:line="360" w:lineRule="exact"/>
              <w:widowControl/>
              <w:rPr>
                <w:rFonts w:ascii="宋体" w:hAnsi="宋体" w:eastAsia="宋体" w:cs="Times New Roman"/>
                <w:b/>
                <w:bCs/>
                <w:szCs w:val="21"/>
                <w:lang w:val="en-US" w:eastAsia="zh-CN" w:bidi="ar"/>
              </w:rPr>
              <w:framePr w:vAnchor="text" w:hAnchor="page" w:xAlign="center" w:y="394"/>
            </w:pPr>
            <w:r>
              <w:rPr>
                <w:rFonts w:hint="eastAsia" w:ascii="宋体" w:hAnsi="宋体" w:eastAsia="宋体" w:cs="Times New Roman"/>
                <w:b/>
                <w:bCs/>
                <w:szCs w:val="21"/>
                <w:lang w:val="en-US" w:eastAsia="zh-CN" w:bidi="ar"/>
              </w:rPr>
              <w:t xml:space="preserve">3.上述所需材料均需提供</w:t>
            </w:r>
            <w:r>
              <w:rPr>
                <w:rFonts w:hint="eastAsia" w:ascii="宋体" w:hAnsi="宋体" w:eastAsia="宋体" w:cs="Times New Roman"/>
                <w:b/>
                <w:bCs/>
                <w:szCs w:val="21"/>
                <w:lang w:eastAsia="zh-CN" w:bidi="ar"/>
              </w:rPr>
              <w:t xml:space="preserve">扫描件（</w:t>
            </w:r>
            <w:r>
              <w:rPr>
                <w:rFonts w:hint="eastAsia" w:ascii="宋体" w:hAnsi="宋体" w:eastAsia="宋体" w:cs="Times New Roman"/>
                <w:b/>
                <w:bCs/>
                <w:szCs w:val="21"/>
                <w:lang w:val="en-US" w:eastAsia="zh-CN" w:bidi="ar"/>
              </w:rPr>
              <w:t xml:space="preserve">或照片）</w:t>
            </w:r>
            <w:r>
              <w:rPr>
                <w:rFonts w:hint="eastAsia" w:ascii="宋体" w:hAnsi="宋体" w:eastAsia="宋体" w:cs="Times New Roman"/>
                <w:b/>
                <w:bCs/>
                <w:szCs w:val="21"/>
                <w:lang w:eastAsia="zh-CN" w:bidi="ar"/>
              </w:rPr>
              <w:t xml:space="preserve">，不提供或提供不全不得分。</w:t>
            </w:r>
            <w:r>
              <w:rPr>
                <w:rFonts w:ascii="宋体" w:hAnsi="宋体" w:eastAsia="宋体" w:cs="Times New Roman"/>
                <w:b/>
                <w:bCs/>
                <w:szCs w:val="21"/>
                <w:lang w:val="en-US" w:eastAsia="zh-CN" w:bidi="ar"/>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0</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15</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hint="eastAsia"/>
                <w:sz w:val="21"/>
                <w:szCs w:val="21"/>
                <w:highlight w:val="none"/>
                <w:lang w:val="zh-CN"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zh-CN" w:eastAsia="zh-CN" w:bidi="ar-SA"/>
              </w:rPr>
            </w:r>
            <w:r/>
          </w:p>
        </w:tc>
        <w:tc>
          <w:tcPr>
            <w:tcW w:w="702" w:type="dxa"/>
            <w:vAlign w:val="center"/>
            <w:textDirection w:val="lrTb"/>
            <w:noWrap w:val="false"/>
          </w:tcPr>
          <w:p>
            <w:pPr>
              <w:pStyle w:val="1030"/>
              <w:jc w:val="center"/>
              <w:spacing w:line="360" w:lineRule="auto"/>
              <w:rPr>
                <w:rFonts w:hint="eastAsia"/>
                <w:sz w:val="21"/>
                <w:szCs w:val="21"/>
                <w:highlight w:val="none"/>
                <w:lang w:val="en-US" w:eastAsia="zh-CN" w:bidi="ar-SA"/>
              </w:rPr>
              <w:framePr w:vAnchor="text" w:hAnchor="page" w:xAlign="center" w:y="394"/>
            </w:pPr>
            <w:r>
              <w:rPr>
                <w:rFonts w:hint="eastAsia" w:ascii="宋体" w:hAnsi="宋体" w:eastAsia="宋体" w:cs="宋体"/>
                <w:szCs w:val="21"/>
                <w:lang w:eastAsia="zh-CN"/>
              </w:rPr>
              <w:t xml:space="preserve">是</w:t>
            </w:r>
            <w:r>
              <w:rPr>
                <w:rFonts w:hint="eastAsia"/>
                <w:sz w:val="21"/>
                <w:szCs w:val="21"/>
                <w:highlight w:val="none"/>
                <w:lang w:val="en-US" w:eastAsia="zh-CN" w:bidi="ar-SA"/>
              </w:rPr>
            </w:r>
            <w:r/>
          </w:p>
        </w:tc>
      </w:tr>
      <w:tr>
        <w:trPr>
          <w:trHeight w:val="417"/>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3.4</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eastAsia="宋体" w:cs="宋体"/>
                <w:lang w:val="en-US" w:eastAsia="zh-CN"/>
              </w:rPr>
              <w:framePr w:vAnchor="text" w:hAnchor="page" w:xAlign="center" w:y="394"/>
            </w:pPr>
            <w:r>
              <w:rPr>
                <w:rFonts w:hint="eastAsia" w:eastAsia="宋体" w:cs="宋体"/>
                <w:lang w:val="en-US" w:eastAsia="zh-CN"/>
              </w:rPr>
              <w:t xml:space="preserve">服务承诺</w:t>
            </w:r>
            <w:r>
              <w:rPr>
                <w:rFonts w:eastAsia="宋体" w:cs="宋体"/>
                <w:lang w:val="en-US" w:eastAsia="zh-CN"/>
              </w:rPr>
            </w:r>
            <w:r/>
          </w:p>
        </w:tc>
        <w:tc>
          <w:tcPr>
            <w:tcW w:w="700" w:type="dxa"/>
            <w:vAlign w:val="center"/>
            <w:textDirection w:val="lrTb"/>
            <w:noWrap w:val="false"/>
          </w:tcPr>
          <w:p>
            <w:pPr>
              <w:pStyle w:val="1030"/>
              <w:jc w:val="center"/>
              <w:widowControl/>
              <w:rPr>
                <w:rFonts w:ascii="宋体" w:hAnsi="宋体"/>
                <w:szCs w:val="21"/>
                <w:lang w:val="en-US" w:eastAsia="zh-CN"/>
              </w:rPr>
              <w:framePr w:vAnchor="text" w:hAnchor="page" w:xAlign="center" w:y="394"/>
            </w:pPr>
            <w:r>
              <w:rPr>
                <w:rFonts w:hint="eastAsia" w:ascii="宋体" w:hAnsi="宋体"/>
                <w:szCs w:val="21"/>
                <w:lang w:val="en-US" w:eastAsia="zh-CN"/>
              </w:rPr>
              <w:t xml:space="preserve">5</w:t>
            </w:r>
            <w:r>
              <w:rPr>
                <w:rFonts w:ascii="宋体" w:hAnsi="宋体"/>
                <w:szCs w:val="21"/>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val="en-US" w:eastAsia="zh-CN" w:bidi="ar"/>
              </w:rPr>
              <w:t xml:space="preserve">投标</w:t>
            </w:r>
            <w:r>
              <w:rPr>
                <w:rFonts w:hint="eastAsia" w:ascii="宋体" w:hAnsi="宋体" w:eastAsia="宋体" w:cs="Times New Roman"/>
                <w:b w:val="0"/>
                <w:bCs w:val="0"/>
                <w:szCs w:val="21"/>
                <w:lang w:eastAsia="zh-CN" w:bidi="ar"/>
              </w:rPr>
              <w:t xml:space="preserve">人书面承诺（格式自拟）自收到报修通知后按要求到达故障现场处理的得</w:t>
            </w:r>
            <w:r>
              <w:rPr>
                <w:rFonts w:hint="eastAsia" w:ascii="宋体" w:hAnsi="宋体" w:eastAsia="宋体" w:cs="Times New Roman"/>
                <w:b w:val="0"/>
                <w:bCs w:val="0"/>
                <w:szCs w:val="21"/>
                <w:lang w:val="en-US" w:eastAsia="zh-CN" w:bidi="ar"/>
              </w:rPr>
              <w:t xml:space="preserve">5</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ascii="宋体" w:hAnsi="宋体" w:eastAsia="宋体" w:cs="Times New Roman"/>
                <w:b w:val="0"/>
                <w:bCs w:val="0"/>
                <w:szCs w:val="21"/>
                <w:lang w:val="en-US" w:eastAsia="zh-CN" w:bidi="ar"/>
              </w:rPr>
              <w:framePr w:vAnchor="text" w:hAnchor="page" w:xAlign="center" w:y="394"/>
            </w:pPr>
            <w:r>
              <w:rPr>
                <w:rFonts w:hint="eastAsia" w:ascii="宋体" w:hAnsi="宋体" w:eastAsia="宋体" w:cs="Times New Roman"/>
                <w:b/>
                <w:bCs/>
                <w:szCs w:val="21"/>
                <w:lang w:val="en-US" w:eastAsia="zh-CN" w:bidi="ar"/>
              </w:rPr>
              <w:t xml:space="preserve">注：提供承诺函（格式自拟），不提供不得分。</w:t>
            </w:r>
            <w:r>
              <w:rPr>
                <w:rFonts w:ascii="宋体" w:hAnsi="宋体" w:eastAsia="宋体" w:cs="Times New Roman"/>
                <w:b w:val="0"/>
                <w:bCs w:val="0"/>
                <w:szCs w:val="21"/>
                <w:lang w:val="en-US" w:eastAsia="zh-CN" w:bidi="ar"/>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0</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5</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hint="eastAsia"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否</w:t>
            </w:r>
            <w:r>
              <w:rPr>
                <w:rFonts w:hint="eastAsia"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是</w:t>
            </w:r>
            <w:r>
              <w:rPr>
                <w:rFonts w:ascii="宋体" w:hAnsi="宋体" w:eastAsia="宋体" w:cs="宋体"/>
                <w:szCs w:val="21"/>
                <w:lang w:val="en-US" w:eastAsia="zh-CN"/>
              </w:rPr>
            </w:r>
            <w:r/>
          </w:p>
        </w:tc>
      </w:tr>
      <w:tr>
        <w:trPr>
          <w:trHeight w:val="495"/>
        </w:trPr>
        <w:tc>
          <w:tcPr>
            <w:tcW w:w="835"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1126" w:type="dxa"/>
            <w:vAlign w:val="center"/>
            <w:textDirection w:val="lrTb"/>
            <w:noWrap w:val="false"/>
          </w:tcPr>
          <w:p>
            <w:pPr>
              <w:pStyle w:val="1030"/>
              <w:ind w:firstLine="28"/>
              <w:jc w:val="center"/>
              <w:rPr>
                <w:rFonts w:hint="eastAsia"/>
                <w:szCs w:val="21"/>
                <w:highlight w:val="none"/>
                <w:lang w:bidi="ar"/>
              </w:rPr>
              <w:framePr w:vAnchor="text" w:hAnchor="page" w:xAlign="center" w:y="394"/>
            </w:pPr>
            <w:r>
              <w:rPr>
                <w:rFonts w:hint="eastAsia"/>
                <w:szCs w:val="21"/>
                <w:highlight w:val="none"/>
                <w:lang w:bidi="ar"/>
              </w:rPr>
              <w:t xml:space="preserve">合计</w:t>
            </w:r>
            <w:r>
              <w:rPr>
                <w:rFonts w:hint="eastAsia"/>
                <w:szCs w:val="21"/>
                <w:highlight w:val="none"/>
                <w:lang w:bidi="ar"/>
              </w:rPr>
            </w:r>
            <w:r/>
          </w:p>
        </w:tc>
        <w:tc>
          <w:tcPr>
            <w:tcW w:w="700" w:type="dxa"/>
            <w:vAlign w:val="center"/>
            <w:textDirection w:val="lrTb"/>
            <w:noWrap w:val="false"/>
          </w:tcPr>
          <w:p>
            <w:pPr>
              <w:pStyle w:val="1030"/>
              <w:ind w:firstLine="28"/>
              <w:jc w:val="center"/>
              <w:rPr>
                <w:sz w:val="24"/>
                <w:highlight w:val="none"/>
              </w:rPr>
              <w:framePr w:vAnchor="text" w:hAnchor="page" w:xAlign="center" w:y="394"/>
            </w:pPr>
            <w:r>
              <w:rPr>
                <w:rFonts w:hint="eastAsia"/>
                <w:sz w:val="21"/>
                <w:szCs w:val="21"/>
                <w:highlight w:val="none"/>
              </w:rPr>
              <w:t xml:space="preserve">100</w:t>
            </w:r>
            <w:r>
              <w:rPr>
                <w:sz w:val="24"/>
                <w:highlight w:val="none"/>
              </w:rPr>
            </w:r>
            <w:r/>
          </w:p>
        </w:tc>
        <w:tc>
          <w:tcPr>
            <w:tcW w:w="4523" w:type="dxa"/>
            <w:vAlign w:val="center"/>
            <w:textDirection w:val="lrTb"/>
            <w:noWrap w:val="false"/>
          </w:tcPr>
          <w:p>
            <w:pPr>
              <w:pStyle w:val="1030"/>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bl>
    <w:p>
      <w:pPr>
        <w:pStyle w:val="1030"/>
        <w:ind w:firstLine="420"/>
        <w:spacing w:line="560" w:lineRule="exact"/>
        <w:rPr>
          <w:rFonts w:ascii="宋体" w:hAnsi="宋体"/>
          <w:szCs w:val="21"/>
          <w:highlight w:val="none"/>
        </w:rPr>
      </w:pPr>
      <w:r>
        <w:rPr>
          <w:rFonts w:hint="eastAsia" w:ascii="宋体" w:hAnsi="宋体"/>
          <w:szCs w:val="21"/>
          <w:highlight w:val="none"/>
        </w:rPr>
        <w:t xml:space="preserve">注：1）评标标准中要求提供的证明文件及资料等在响应文件中提供扫描件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）评标时，未能按以上要求提供相应证明的，不作为评标依据，不得分。</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0"/>
        <w:ind w:firstLine="420"/>
        <w:spacing w:line="560" w:lineRule="exact"/>
        <w:rPr>
          <w:b/>
          <w:sz w:val="36"/>
          <w:szCs w:val="36"/>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hint="eastAsia" w:ascii="宋体" w:hAnsi="宋体"/>
          <w:szCs w:val="21"/>
          <w:highlight w:val="none"/>
          <w:lang w:val="en-US" w:eastAsia="zh-CN"/>
        </w:rPr>
        <w:t xml:space="preserve">投标</w:t>
      </w:r>
      <w:r>
        <w:rPr>
          <w:rFonts w:hint="eastAsia" w:ascii="宋体" w:hAnsi="宋体"/>
          <w:szCs w:val="21"/>
          <w:highlight w:val="none"/>
        </w:rPr>
        <w:t xml:space="preserve">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30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1．项目名称：</w:t>
      </w:r>
      <w:r>
        <w:rPr>
          <w:rFonts w:hint="eastAsia" w:ascii="宋体" w:cs="宋体"/>
          <w:b w:val="0"/>
          <w:bCs/>
          <w:color w:val="000000"/>
          <w:sz w:val="21"/>
          <w:szCs w:val="21"/>
          <w:highlight w:val="none"/>
          <w:lang w:eastAsia="zh-CN"/>
        </w:rPr>
        <w:t xml:space="preserve">2026年尧塘街道照明设施养护项目</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120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cs="宋体"/>
          <w:highlight w:val="none"/>
          <w:lang w:val="en-US" w:eastAsia="zh-CN"/>
        </w:rPr>
        <w:t xml:space="preserve">120万元，本项目按优惠率报价，0≤投标优惠率＜100%，包含维护费用和照明零星任务费用，其中维护费用73.503万元，照明零星任务结算费用累计不超46.497万元。</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4．采购项目概况：</w:t>
      </w:r>
      <w:r>
        <w:rPr>
          <w:rFonts w:hint="eastAsia" w:ascii="宋体" w:hAnsi="宋体" w:eastAsia="宋体" w:cs="宋体"/>
          <w:sz w:val="21"/>
          <w:szCs w:val="21"/>
          <w:highlight w:val="none"/>
          <w:lang w:eastAsia="zh-CN"/>
        </w:rPr>
        <w:t xml:space="preserve">按照江苏省城市道路照明技术规范 DGJ32/TC06-2011等标准、办法对管辖范围照明设施进行维护。照明设施包括但不限于用于照明的照明器具、电器、灯杆以及管线、线缆、配电、监控、节能等系统的设备和附属设施等。维护范围内的高灯、中杆灯的光源不论功率大小均按一个光源计算；紧凑型荧光灯、LED 光源、大功率气体放电灯光源均按一个光源计算，其他钠灯光源不论功率大小均按一个光源计算。</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养护目标：</w:t>
      </w:r>
      <w:r>
        <w:rPr>
          <w:rFonts w:hint="eastAsia" w:ascii="宋体" w:hAnsi="宋体" w:eastAsia="宋体" w:cs="宋体"/>
          <w:sz w:val="21"/>
          <w:szCs w:val="21"/>
          <w:highlight w:val="none"/>
          <w:lang w:eastAsia="zh-CN"/>
        </w:rPr>
        <w:t xml:space="preserve">功能照明设施完好率≥96%、亮灯率≥98%；故障修复及时率100%；交办事项办理及时率100%；零安全事故。</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 </w:t>
      </w:r>
      <w:r>
        <w:rPr>
          <w:rFonts w:hint="eastAsia" w:ascii="宋体" w:hAnsi="宋体" w:eastAsia="宋体" w:cs="宋体"/>
          <w:sz w:val="21"/>
          <w:szCs w:val="21"/>
          <w:highlight w:val="none"/>
        </w:rPr>
        <w:t xml:space="preserve">合同履行期限：</w:t>
      </w:r>
      <w:r>
        <w:rPr>
          <w:rFonts w:hint="eastAsia" w:ascii="宋体" w:hAnsi="宋体" w:eastAsia="宋体" w:cs="宋体"/>
          <w:color w:val="000000"/>
          <w:szCs w:val="21"/>
          <w:highlight w:val="none"/>
          <w:lang w:eastAsia="zh-CN"/>
        </w:rPr>
        <w:t xml:space="preserve">自合同签订之日起一年（照明零星任务结算金额不超46.497万元）。</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．是/否属于政府购买服务：</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eastAsia="宋体"/>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．本项目的特定资格要求：</w:t>
      </w:r>
      <w:r>
        <w:rPr>
          <w:rFonts w:hint="eastAsia" w:ascii="宋体" w:hAnsi="宋体" w:eastAsia="宋体" w:cs="宋体"/>
          <w:sz w:val="21"/>
          <w:szCs w:val="21"/>
          <w:highlight w:val="none"/>
          <w:lang w:val="en-US" w:eastAsia="zh-CN"/>
        </w:rPr>
        <w:t xml:space="preserve">无</w:t>
      </w:r>
      <w:r>
        <w:rPr>
          <w:rFonts w:hint="eastAsia" w:eastAsia="宋体"/>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．项目类别：服务类</w:t>
      </w:r>
      <w:r>
        <w:rPr>
          <w:rFonts w:hint="eastAsia" w:ascii="宋体" w:hAnsi="宋体" w:eastAsia="宋体" w:cs="宋体"/>
          <w:sz w:val="21"/>
          <w:szCs w:val="21"/>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Cs w:val="21"/>
          <w:highlight w:val="none"/>
          <w:lang w:eastAsia="zh-CN"/>
        </w:rPr>
        <w:t xml:space="preserve">自合同签订之日起一年（照明零星任务结算金额不超46.497万元）</w:t>
      </w:r>
      <w:r>
        <w:rPr>
          <w:rFonts w:hint="eastAsia" w:ascii="宋体" w:hAnsi="宋体" w:eastAsia="宋体" w:cs="宋体"/>
          <w:sz w:val="21"/>
          <w:szCs w:val="21"/>
          <w:highlight w:val="none"/>
          <w:lang w:eastAsia="zh-CN"/>
        </w:rPr>
        <w:t xml:space="preserve">。</w:t>
      </w:r>
      <w:r>
        <w:rPr>
          <w:rFonts w:hint="eastAsia" w:ascii="宋体" w:hAnsi="宋体" w:eastAsia="宋体" w:cs="宋体"/>
          <w:i/>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w:t>
      </w:r>
      <w:r>
        <w:rPr>
          <w:rFonts w:ascii="宋体" w:hAnsi="宋体" w:eastAsia="宋体" w:cs="宋体"/>
          <w:sz w:val="21"/>
          <w:szCs w:val="21"/>
          <w:highlight w:val="none"/>
          <w:lang w:val="en-US" w:eastAsia="zh-CN"/>
        </w:rPr>
        <w:t xml:space="preserve">结算及付款方式：按实计量。</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（1）维护款：维护期到期后一次性支付。实际支付养护费用=实际养护数量</w:t>
      </w:r>
      <w:r>
        <w:rPr>
          <w:rFonts w:hint="eastAsia" w:ascii="宋体" w:hAnsi="宋体" w:eastAsia="宋体" w:cs="宋体"/>
          <w:sz w:val="21"/>
          <w:szCs w:val="21"/>
          <w:highlight w:val="none"/>
          <w:lang w:val="en-US" w:eastAsia="zh-CN"/>
        </w:rPr>
        <w:t xml:space="preserve">（经甲乙双方确认的）</w:t>
      </w:r>
      <w:r>
        <w:rPr>
          <w:rFonts w:ascii="宋体" w:hAnsi="宋体" w:eastAsia="宋体" w:cs="宋体"/>
          <w:sz w:val="21"/>
          <w:szCs w:val="21"/>
          <w:highlight w:val="none"/>
          <w:lang w:val="en-US" w:eastAsia="zh-CN"/>
        </w:rPr>
        <w:t xml:space="preserve">*养护单价*（1-优惠率）-相应违约金。</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（2）照明零星任务费用：</w:t>
      </w:r>
      <w:r>
        <w:rPr>
          <w:rFonts w:hint="eastAsia" w:ascii="宋体" w:hAnsi="宋体" w:eastAsia="宋体" w:cs="宋体"/>
          <w:sz w:val="21"/>
          <w:szCs w:val="21"/>
          <w:highlight w:val="none"/>
          <w:lang w:val="en-US" w:eastAsia="zh-CN"/>
        </w:rPr>
        <w:t xml:space="preserve">零星维修类项目审计后付至审定价的70%，余款两年后按审定价付清</w:t>
      </w:r>
      <w:r>
        <w:rPr>
          <w:rFonts w:ascii="宋体" w:hAnsi="宋体" w:eastAsia="宋体" w:cs="宋体"/>
          <w:sz w:val="21"/>
          <w:szCs w:val="21"/>
          <w:highlight w:val="none"/>
          <w:lang w:val="en-US" w:eastAsia="zh-CN"/>
        </w:rPr>
        <w:t xml:space="preserve">。照明零星任务结算价不得超过</w:t>
      </w:r>
      <w:r>
        <w:rPr>
          <w:rFonts w:hint="eastAsia" w:ascii="宋体" w:hAnsi="宋体" w:eastAsia="宋体" w:cs="宋体"/>
          <w:sz w:val="21"/>
          <w:szCs w:val="21"/>
          <w:highlight w:val="none"/>
          <w:lang w:val="en-US" w:eastAsia="zh-CN"/>
        </w:rPr>
        <w:t xml:space="preserve">46.497</w:t>
      </w:r>
      <w:r>
        <w:rPr>
          <w:rFonts w:ascii="宋体" w:hAnsi="宋体" w:eastAsia="宋体" w:cs="宋体"/>
          <w:sz w:val="21"/>
          <w:szCs w:val="21"/>
          <w:highlight w:val="none"/>
          <w:lang w:val="en-US" w:eastAsia="zh-CN"/>
        </w:rPr>
        <w:t xml:space="preserve">万元。</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（3）乙方须根据甲方要求开具相应金额的增值税发票。</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w:t>
      </w:r>
      <w:r>
        <w:rPr>
          <w:rFonts w:ascii="宋体" w:hAnsi="宋体" w:eastAsia="宋体" w:cs="宋体"/>
          <w:sz w:val="21"/>
          <w:szCs w:val="21"/>
          <w:highlight w:val="none"/>
          <w:lang w:val="en-US" w:eastAsia="zh-CN"/>
        </w:rPr>
        <w:t xml:space="preserve">照明零星任务费用结算依据：</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（1）结算时</w:t>
      </w:r>
      <w:r>
        <w:rPr>
          <w:rFonts w:hint="eastAsia" w:ascii="宋体" w:hAnsi="宋体" w:eastAsia="宋体" w:cs="宋体"/>
          <w:sz w:val="21"/>
          <w:szCs w:val="21"/>
          <w:highlight w:val="none"/>
          <w:lang w:val="en-US" w:eastAsia="zh-CN"/>
        </w:rPr>
        <w:t xml:space="preserve">参照《建设工程工程量清单计价标准》（GB/T50500-2024）</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《江苏省市政工程消耗量（2026）》</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《江苏省建筑与装饰工程消耗量（2026）》</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《江苏省通用安装工程消耗量（2026）》</w:t>
      </w:r>
      <w:r>
        <w:rPr>
          <w:rFonts w:hint="eastAsia" w:ascii="宋体" w:hAnsi="宋体" w:eastAsia="宋体" w:cs="宋体"/>
          <w:highlight w:val="none"/>
          <w:lang w:val="en-US" w:eastAsia="zh-CN"/>
        </w:rPr>
        <w:t xml:space="preserve">、《江苏省建设工程费用参考》（2026）</w:t>
      </w:r>
      <w:r>
        <w:rPr>
          <w:rFonts w:ascii="宋体" w:hAnsi="宋体" w:eastAsia="宋体" w:cs="宋体"/>
          <w:sz w:val="21"/>
          <w:szCs w:val="21"/>
          <w:highlight w:val="none"/>
          <w:lang w:val="en-US" w:eastAsia="zh-CN"/>
        </w:rPr>
        <w:t xml:space="preserve">等相关计价规范中的标准进行组价，根据中标</w:t>
      </w:r>
      <w:r>
        <w:rPr>
          <w:rFonts w:hint="eastAsia" w:ascii="宋体" w:hAnsi="宋体" w:eastAsia="宋体" w:cs="宋体"/>
          <w:sz w:val="21"/>
          <w:szCs w:val="21"/>
          <w:highlight w:val="none"/>
          <w:lang w:val="en-US" w:eastAsia="zh-CN"/>
        </w:rPr>
        <w:t xml:space="preserve">优惠率</w:t>
      </w:r>
      <w:r>
        <w:rPr>
          <w:rFonts w:ascii="宋体" w:hAnsi="宋体" w:eastAsia="宋体" w:cs="宋体"/>
          <w:sz w:val="21"/>
          <w:szCs w:val="21"/>
          <w:highlight w:val="none"/>
          <w:lang w:val="en-US" w:eastAsia="zh-CN"/>
        </w:rPr>
        <w:t xml:space="preserve">同比让利；</w:t>
      </w:r>
      <w:r>
        <w:rPr>
          <w:rFonts w:hint="eastAsia" w:ascii="宋体" w:hAnsi="宋体" w:eastAsia="宋体" w:cs="宋体"/>
          <w:sz w:val="21"/>
          <w:szCs w:val="21"/>
          <w:highlight w:val="none"/>
          <w:lang w:val="en-US" w:eastAsia="zh-CN"/>
        </w:rPr>
        <w:t xml:space="preserve">作业实施</w:t>
      </w:r>
      <w:r>
        <w:rPr>
          <w:rFonts w:ascii="宋体" w:hAnsi="宋体" w:eastAsia="宋体" w:cs="宋体"/>
          <w:sz w:val="21"/>
          <w:szCs w:val="21"/>
          <w:highlight w:val="none"/>
          <w:lang w:val="en-US" w:eastAsia="zh-CN"/>
        </w:rPr>
        <w:t xml:space="preserve">中的零星点工按苏建函价执行，零星点工不让利。</w:t>
      </w:r>
      <w:r>
        <w:rPr>
          <w:rFonts w:hint="eastAsia" w:ascii="宋体" w:hAnsi="宋体" w:eastAsia="宋体" w:cs="宋体"/>
          <w:sz w:val="21"/>
          <w:szCs w:val="21"/>
          <w:highlight w:val="none"/>
          <w:lang w:val="en-US" w:eastAsia="zh-CN"/>
        </w:rPr>
        <w:t xml:space="preserve">如有新的计价定额，则按新的计价定额执行。</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（2）</w:t>
      </w:r>
      <w:r>
        <w:rPr>
          <w:rFonts w:hint="eastAsia" w:ascii="宋体" w:hAnsi="宋体" w:eastAsia="宋体" w:cs="宋体"/>
          <w:highlight w:val="none"/>
          <w:lang w:val="en-US" w:eastAsia="zh-CN"/>
        </w:rPr>
        <w:t xml:space="preserve">现场安全生产、文明施工措施费按江苏省、常州市相关文件执行</w:t>
      </w:r>
      <w:r>
        <w:rPr>
          <w:rFonts w:ascii="宋体" w:hAnsi="宋体" w:eastAsia="宋体" w:cs="宋体"/>
          <w:sz w:val="21"/>
          <w:szCs w:val="21"/>
          <w:highlight w:val="none"/>
          <w:lang w:val="en-US" w:eastAsia="zh-CN"/>
        </w:rPr>
        <w:t xml:space="preserve">。</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（3）所有涉及</w:t>
      </w:r>
      <w:r>
        <w:rPr>
          <w:rFonts w:hint="eastAsia" w:ascii="宋体" w:hAnsi="宋体" w:eastAsia="宋体" w:cs="宋体"/>
          <w:sz w:val="21"/>
          <w:szCs w:val="21"/>
          <w:highlight w:val="none"/>
          <w:lang w:val="en-US" w:eastAsia="zh-CN"/>
        </w:rPr>
        <w:t xml:space="preserve">任务</w:t>
      </w:r>
      <w:r>
        <w:rPr>
          <w:rFonts w:ascii="宋体" w:hAnsi="宋体" w:eastAsia="宋体" w:cs="宋体"/>
          <w:sz w:val="21"/>
          <w:szCs w:val="21"/>
          <w:highlight w:val="none"/>
          <w:lang w:val="en-US" w:eastAsia="zh-CN"/>
        </w:rPr>
        <w:t xml:space="preserve">结算的签证单上必须有</w:t>
      </w:r>
      <w:r>
        <w:rPr>
          <w:rFonts w:hint="eastAsia" w:ascii="宋体" w:hAnsi="宋体" w:eastAsia="宋体" w:cs="宋体"/>
          <w:sz w:val="21"/>
          <w:szCs w:val="21"/>
          <w:highlight w:val="none"/>
          <w:lang w:val="en-US" w:eastAsia="zh-CN"/>
        </w:rPr>
        <w:t xml:space="preserve">采购人</w:t>
      </w:r>
      <w:r>
        <w:rPr>
          <w:rFonts w:ascii="宋体" w:hAnsi="宋体" w:eastAsia="宋体" w:cs="宋体"/>
          <w:sz w:val="21"/>
          <w:szCs w:val="21"/>
          <w:highlight w:val="none"/>
          <w:lang w:val="en-US" w:eastAsia="zh-CN"/>
        </w:rPr>
        <w:t xml:space="preserve">代表、监理工程师、</w:t>
      </w:r>
      <w:r>
        <w:rPr>
          <w:rFonts w:hint="eastAsia" w:ascii="宋体" w:hAnsi="宋体" w:eastAsia="宋体" w:cs="宋体"/>
          <w:sz w:val="21"/>
          <w:szCs w:val="21"/>
          <w:highlight w:val="none"/>
          <w:lang w:val="en-US" w:eastAsia="zh-CN"/>
        </w:rPr>
        <w:t xml:space="preserve">中标</w:t>
      </w:r>
      <w:r>
        <w:rPr>
          <w:rFonts w:ascii="宋体" w:hAnsi="宋体" w:eastAsia="宋体" w:cs="宋体"/>
          <w:sz w:val="21"/>
          <w:szCs w:val="21"/>
          <w:highlight w:val="none"/>
          <w:lang w:val="en-US" w:eastAsia="zh-CN"/>
        </w:rPr>
        <w:t xml:space="preserve">人等相关单位的签字，方可作为竣工结算的依据。</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w:t>
      </w:r>
      <w:r>
        <w:rPr>
          <w:rFonts w:ascii="宋体" w:hAnsi="宋体" w:eastAsia="宋体" w:cs="宋体"/>
          <w:sz w:val="21"/>
          <w:szCs w:val="21"/>
          <w:highlight w:val="none"/>
          <w:lang w:val="en-US" w:eastAsia="zh-CN"/>
        </w:rPr>
        <w:t xml:space="preserve">结算审核费：零星任务结算审核的核减率在8%以内(含8%)的由甲方支付全部审计费：12%&gt;核减率&gt;8%时，该</w:t>
      </w:r>
      <w:r>
        <w:rPr>
          <w:rFonts w:hint="eastAsia" w:ascii="宋体" w:hAnsi="宋体" w:eastAsia="宋体" w:cs="宋体"/>
          <w:sz w:val="21"/>
          <w:szCs w:val="21"/>
          <w:highlight w:val="none"/>
          <w:lang w:val="en-US" w:eastAsia="zh-CN"/>
        </w:rPr>
        <w:t xml:space="preserve">项目</w:t>
      </w:r>
      <w:r>
        <w:rPr>
          <w:rFonts w:ascii="宋体" w:hAnsi="宋体" w:eastAsia="宋体" w:cs="宋体"/>
          <w:sz w:val="21"/>
          <w:szCs w:val="21"/>
          <w:highlight w:val="none"/>
          <w:lang w:val="en-US" w:eastAsia="zh-CN"/>
        </w:rPr>
        <w:t xml:space="preserve">所有审核费用甲乙双方各承担50%；核减率&gt;12%时，该</w:t>
      </w:r>
      <w:r>
        <w:rPr>
          <w:rFonts w:hint="eastAsia" w:ascii="宋体" w:hAnsi="宋体" w:eastAsia="宋体" w:cs="宋体"/>
          <w:sz w:val="21"/>
          <w:szCs w:val="21"/>
          <w:highlight w:val="none"/>
          <w:lang w:val="en-US" w:eastAsia="zh-CN"/>
        </w:rPr>
        <w:t xml:space="preserve">项目</w:t>
      </w:r>
      <w:r>
        <w:rPr>
          <w:rFonts w:ascii="宋体" w:hAnsi="宋体" w:eastAsia="宋体" w:cs="宋体"/>
          <w:sz w:val="21"/>
          <w:szCs w:val="21"/>
          <w:highlight w:val="none"/>
          <w:lang w:val="en-US" w:eastAsia="zh-CN"/>
        </w:rPr>
        <w:t xml:space="preserve">所有审核费用均由乙方承担。上述费用不为累进制。</w:t>
      </w:r>
      <w:r>
        <w:rPr>
          <w:rFonts w:ascii="宋体" w:hAnsi="宋体" w:eastAsia="宋体" w:cs="宋体"/>
          <w:sz w:val="21"/>
          <w:szCs w:val="21"/>
          <w:highlight w:val="none"/>
          <w:lang w:val="en-US" w:eastAsia="zh-CN"/>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1.项目内容：</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（一）维护单位项目部人员、值班人员、维修人员要求：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（1）项目负责人需常驻金坛。养护期间要保持现场值班人员、养护队伍的稳定，投标文件中所承诺的项目部常驻现场人员：项目经理、技术工人，不征得采购人同意不得变更。</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（2）该项目承担众多重大保障任务，且关系民生，维护单位值班人员的技能水平、个人素养、工作着装、责任意识、服务态度等均要符合采购人要求。基本要求如下：</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1）统一服装、配戴胸卡、具备良好的精神风貌。</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highlight w:val="none"/>
          <w:lang w:val="en-US" w:eastAsia="zh-CN"/>
        </w:rPr>
        <w:t xml:space="preserve">项目部常驻现场人员至少配有特种作业操作资格证的专业技术人员电工2名、特种作业操作证（操作项目：高处安装、维护、拆除作业）人员2名，B证及以上的专职驾驶员2名。（待中标公示无异议后，合同签订前采购人按投标文件人员及车辆信息进行核查，如不符合要求，采购人取消其中标资格；给采购人造成的损失应予以赔偿。采购人可以按照评标委员会提出的中标候选人名单排序依次确定其他中标候选人为中标人，依次确定其他中标候选人与采购人预期差距较大，或者对采购人明显不利的，采购人可以重新招标。）</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3）24小时应急抢修人员不得少于3人，报修电话24小时必须确保有1人值班。</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4）具有良好的语言沟通能力，在涉及民生问题，能圆满处理问题。</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5）维护单位必须配合采购人参加上级组织的各类活动，比如技能竞赛、绿色照明评价、数据收集上报等。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（二）管理及台账要求：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维护单位需结合现场设施情况有针对性的建立完善的维护管理制度及工作台账，按照《江苏省城市照明设施优质养护片》要求，至少包括以下内容：人员岗位管理、考勤值班、日常巡修、施工质量管理、服务承诺、安全生产管理、抢修应急预案、技术人员管理培训、设备材料管理、内部资料档案管理、财务管理等各项制度，台账格式需经采购人确认后实施。</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highlight w:val="none"/>
          <w:lang w:val="en-US" w:eastAsia="zh-CN"/>
        </w:rPr>
        <w:t xml:space="preserve">.车辆、机械等设备要求：</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维护单位必须配备维修路灯专用高架车12米及以上至少1辆、16米及以上至少1辆、巡检抢修车辆至少1辆、运输车辆至少1辆；</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电缆、灯杆灯具、电器元器件等易损易耗件、以及常用维修检测工具、电工工具、安全防护工具等（以上养护设施、备品备件需在投标文件中列清单反映并常备于养护现场，使用后应及时补充，采购人将定期检查考核）。</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（三）维护基地要求：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（1）必须在金坛城区范围内设置维护基地，确保城区范围发生故障均能在60分钟内到达现场。</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（2）维护基地需分别设置办公区、值班区（24小时值班）、车辆停放区、器材堆放区等区域。</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（3）为便于维护管理，配备专人24小时电话值班。</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（4）维护基地必须设置采购人材料临时堆放专用区域（免费堆放），做好进库出库台账记录，移交时必须做好移交记录。</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（5）有车辆能够保障维护现场的安全。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（四）照明设施的维护内容、日常操作和维护管理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（1）维护主要内容：</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1)负责照明设施更换维修，确保亮灯效果，亮灯率达到98%；</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2）负责路灯灯杆、灯具、管线、控制箱（含遥控终端)及其他相关设备安装牢固情况、运行情况的检查及维修更换；</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3)负责所有路灯电气元件更换、箱变低压室、计量箱、控制箱（含遥控终端)的检查调试维修；</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4)负责所有电缆的检测、维修、更换；</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5)负责配合协助照明管理部门三遥控制系统的正常运行和保障；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6)运行值班：每天24小时安排抢修人员、车辆，做好大面积熄灯、夜间来电报修等情况的应急处理工作。夜间来电报修、交通肇事城区范围内必须在60分钟内赶到现场进行紧急处理；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7）做好防盗和防止人为破坏等管理工作：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8）配置人员配合采购人三遥控制系统的升级改造。配合采购人做好转供电等交办事项工作；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9）维护单位除正常维护外，还必须做好各项文明城市检查、重大活动及节日保障活动；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10)负责路灯箱变低压室、计量箱、控制箱及灯杆、灯具的清洁工作。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（2）日常巡检、抢修、维修：</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1)维护巡检人员定期对管辖内设施进行巡视检查，管理人员要保持24小时通信畅通；</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2）定期进行电气元件、电气设备、电缆、灯具等运行参数检测、漏电安全检测、灵敏度检测、绝缘检测、老化检测：</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3)巡查设施运行情况、观察有无异常振动及噪声，检查电气控制柜中元件有无发黑的触点，电缆、电线是否有过热、变色、烧焦等现象；</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4)养护期限内发生偷盗等行为必须在第一时间内向采购人反映，同时向辖区内派出所报案；</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5)每天安排专门抢修人员配合路灯大面积熄灯抢修，中心城区30分钟内必须赶到现场处理，第一时间在照明施工通讯群发布相关抢修信息，做好台账记录。</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6)巡查、维修频率及台账要求：维护单位必须及时报送相关台账资料，每月初前三个工作日内报送上月巡查台账；每周上报上周的维修台账。</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设施巡查，快速路、主干路每半月全部巡查一次；次干路、支路每月全部巡查一次；小区、背街小巷、公园及楼宇景观等每月全部巡查一次。巡查台账资料包括但不限于灭灯明细数据、灯杆歪斜、灯门缺失、灯具破损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b设施维修必须两周维修一遍，维修做好台账记录。</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c若遇不可抗拒的自然灾害，应增加设施巡查次数。</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d遇特殊情况或重大活动时，快速路、主干路应增加设施巡修次数。 </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（五）故障维修说明：</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（1)制定相关应急预案，如有意外事故发生应采取紧急处理措施，防止事故扩大化；</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（2）维护单位进行维修更换作业时，应尊重原设计，尽可能原样恢复。特殊情况下，经采购人许可，方可使用替代品，但造价、品牌、质量不得低于原设计的材料设备质量标准：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（3）现场须有足够的备品备件，备品备件使用后要立即补足；</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（4）维护单位人员均须服从采购人的管理，采购人负责对维护单位日常维护工作进行监督、检查、维修工作量审核确定等工作。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（六）纪律约束：</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（1）采购人有权对路灯设施进行改造，维护单位须配合采购人工作，并对变更设施质量继续承担养护责任；</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（2）维护单位须确保路灯设施正常运行，确保现场维护人员的安全作业，“无论何种原因”，发生人身安全等责任事故，均由维护单位全部承担。</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（七）长效管理：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维护区域发生长效管理案卷、居民投诉、来电报修等应急情况，维护单位必须按照时限要求完成。</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（八）其他维护说明：</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（2）文明施工：施工应注意保护建筑物及周围环境，以免造成损坏引起漏水、影响市容环境等情况；安装、维修结束后，做好现场卫生清洁工作。因不文明施工引起的后果由维护单位负全部责任。</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（3）对于维护内容、维护要求、台账记录等要求未明细列出的，采购人有权根据《江苏省城市照明设施优质养护片》、江苏省城市道路照明设施养护规程DB/T 3699-2019等相关行业规范、标准提出新的要求，中标单位需无条件响应采购人的要求。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3.报价要求：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（1）本项目按优惠率报价，0≤投标优惠率＜100%，包含维护费用和照明零星任务费用，其中维护费用73.503万元，照明零星任务结算费用累计不超46.497万元</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投标报价包括但用于照明的照明器具、电器、灯杆以及管线、线缆、智能控制设备、变配电设备（低压部分）、配电线路、监控、节能、接地等系统的设备等设施养护维修及养护、维修所涉及的路面、绿地的拆除恢复、牵引等工作及包含的井、基础、附属设施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全费用综合单价包括但不限于人工（包括工资和补贴）、材料（主材、辅材、配件）、安装维修调试费、办公场所及设施、车辆机械费、保险、劳保、仓储、运费、管理费、利润、相关措施费、规费、税金、安全费、风险等一切全部费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（4）照明设施养护、维修时所涉及到的路面、绿地拆除恢复、井、基础、附属设施等相关费用投标人综合考虑中投标报价中，结算时不另外结算。</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4.服务要求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验收要求：养护维修项目质量需达到规范验收标准，若不符合规范验收标准，由中标人无偿返工。若因中标人原因不能按时保质完成，则采购人有权另外安排单位维修，其相应养护维修费用将从应付中标人的费用中扣除并由采购人安排。</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0" w:type="auto"/>
        <w:jc w:val="center"/>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5233"/>
        <w:gridCol w:w="3309"/>
      </w:tblGrid>
      <w:tr>
        <w:trPr>
          <w:cantSplit/>
          <w:trHeight w:val="595"/>
        </w:trPr>
        <w:tc>
          <w:tcPr>
            <w:tcW w:w="73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233"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3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616"/>
        </w:trPr>
        <w:tc>
          <w:tcPr>
            <w:tcW w:w="73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233"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Times New Roman"/>
                <w:szCs w:val="21"/>
                <w:lang w:eastAsia="zh-CN"/>
              </w:rPr>
              <w:t xml:space="preserve">2026年尧塘街道照明设施养护项目</w:t>
            </w:r>
            <w:r>
              <w:rPr>
                <w:rFonts w:hint="eastAsia" w:ascii="宋体" w:hAnsi="宋体" w:eastAsia="宋体" w:cs="宋体"/>
                <w:sz w:val="21"/>
                <w:szCs w:val="21"/>
                <w:lang w:eastAsia="zh-CN"/>
              </w:rPr>
            </w:r>
            <w:r/>
          </w:p>
        </w:tc>
        <w:tc>
          <w:tcPr>
            <w:tcW w:w="33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其他未列明行业</w:t>
            </w:r>
            <w:r>
              <w:rPr>
                <w:rFonts w:hint="eastAsia" w:ascii="宋体" w:hAnsi="宋体" w:eastAsia="宋体" w:cs="宋体"/>
                <w:sz w:val="21"/>
                <w:szCs w:val="21"/>
                <w:lang w:eastAsia="zh-CN"/>
              </w:rPr>
            </w:r>
            <w:r/>
          </w:p>
        </w:tc>
      </w:tr>
    </w:tbl>
    <w:p>
      <w:pPr>
        <w:pStyle w:val="1287"/>
        <w:numPr>
          <w:ilvl w:val="0"/>
          <w:numId w:val="0"/>
        </w:numPr>
        <w:ind w:firstLine="63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b w:val="0"/>
          <w:bCs/>
          <w:sz w:val="21"/>
          <w:szCs w:val="21"/>
          <w:lang w:val="en-US" w:eastAsia="zh-CN"/>
        </w:rPr>
        <w:t xml:space="preserve">服务类产品清单</w:t>
      </w:r>
      <w:r>
        <w:rPr>
          <w:rFonts w:hint="eastAsia" w:ascii="宋体" w:hAnsi="宋体" w:eastAsia="宋体" w:cs="宋体"/>
          <w:b w:val="0"/>
          <w:bCs/>
          <w:sz w:val="21"/>
          <w:szCs w:val="21"/>
          <w:lang w:val="en-US" w:eastAsia="zh-CN"/>
        </w:rPr>
      </w:r>
      <w:r/>
    </w:p>
    <w:tbl>
      <w:tblPr>
        <w:tblW w:w="9856"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5"/>
        <w:gridCol w:w="533"/>
        <w:gridCol w:w="1512"/>
        <w:gridCol w:w="2177"/>
        <w:gridCol w:w="1556"/>
        <w:gridCol w:w="698"/>
        <w:gridCol w:w="1387"/>
        <w:gridCol w:w="1598"/>
      </w:tblGrid>
      <w:tr>
        <w:trPr>
          <w:trHeight w:val="880"/>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单价（元）</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rPr>
                <w:rFonts w:hint="eastAsia" w:ascii="宋体" w:hAnsi="宋体" w:eastAsia="宋体" w:cs="宋体"/>
                <w:b/>
                <w:bCs/>
                <w:i w:val="0"/>
                <w:iCs w:val="0"/>
                <w:color w:val="000000"/>
                <w:sz w:val="22"/>
                <w:szCs w:val="22"/>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原华高新片区功能照明设施养护维修</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钱资湖大道-云湖路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照明的照明器具、电器、灯杆以及管线、线缆、配电线路、节能、接地等系统的设备及照明设施养护。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科文路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金武路-科教路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科教路-迎春路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542</w:t>
            </w:r>
            <w:r>
              <w:rPr>
                <w:rFonts w:hint="eastAsia" w:ascii="宋体" w:hAnsi="宋体" w:eastAsia="宋体" w:cs="宋体"/>
                <w:i w:val="0"/>
                <w:iCs w:val="0"/>
                <w:color w:val="ff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金武路-长龙山路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9,460.00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53,350.00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云湖路（南段）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科教路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金湖路-月湖路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49,500.00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科教路-月湖路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19,800.00</w:t>
            </w:r>
            <w:r>
              <w:rPr>
                <w:rFonts w:hint="eastAsia" w:ascii="宋体" w:hAnsi="宋体" w:eastAsia="宋体" w:cs="宋体"/>
                <w:i w:val="0"/>
                <w:iCs w:val="0"/>
                <w:color w:val="000000"/>
                <w:sz w:val="21"/>
                <w:szCs w:val="21"/>
                <w:u w:val="none"/>
              </w:rPr>
            </w:r>
            <w:r/>
          </w:p>
        </w:tc>
      </w:tr>
      <w:tr>
        <w:trPr>
          <w:trHeight w:val="335"/>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S240-明湖路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复兴南路-云湖路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九龙山路-江东大道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33,880.00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咏湖路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金龙大道-华业路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3,410.00</w:t>
            </w: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华业路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复兴路-水北路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水北路-云湖路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迎春路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金湖路-水北路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新春路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金湖路-水北路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i w:val="0"/>
                <w:iCs w:val="0"/>
                <w:color w:val="000000"/>
                <w:sz w:val="21"/>
                <w:szCs w:val="21"/>
                <w:highlight w:val="none"/>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云湖路（北段）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萍湖路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九龙山路-金龙大道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金博路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汇福路-240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钱资东湖公园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35,310.00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杜鹃园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17,050.00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玉兰园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14,520.00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瑞香园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17,270.00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尧塘片区功能照明设施养护维修</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星湖路-月湖路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14,520.00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晴湖路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钱资湖大道-育才路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尧汤路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金龙大道（规划）-北大街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亿晶大街-晴湖路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亿晶大街-许段桥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尧汤路-老小学停车场（含横街）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尧夏路-钱资湖大道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亿晶大街-健康路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尧徐线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许段桥-月湖路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沿河西路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X308-江东大道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镇前路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X308-长塘线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长塘线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G233-尧汤路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水镜路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新春路-水北大街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X306-S240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X201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钱资湖大道-S240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16,060.00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G233-X201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武进界-汇福路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创智湖路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文山路-白龙山路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白龙山路-金龙大道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华山路（下头村）</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尧汤路-月湖路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晴湖路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钱资湖大道-华信路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明湖路-S240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华信路（华创路）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萍湖路-尧汤路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8,140.00</w:t>
            </w:r>
            <w:r>
              <w:rPr>
                <w:rFonts w:hint="eastAsia" w:ascii="宋体" w:hAnsi="宋体" w:eastAsia="宋体" w:cs="宋体"/>
                <w:i w:val="0"/>
                <w:iCs w:val="0"/>
                <w:color w:val="000000"/>
                <w:sz w:val="21"/>
                <w:szCs w:val="21"/>
                <w:u w:val="none"/>
              </w:rPr>
            </w:r>
            <w:r/>
          </w:p>
        </w:tc>
      </w:tr>
      <w:tr>
        <w:trPr>
          <w:trHeight w:val="1448"/>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低压配电柜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道路控制箱（含遥控终端)内的电气元件、电气设备等检测、维修、更换等养护工作。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49,350.00</w:t>
            </w:r>
            <w:r>
              <w:rPr>
                <w:rFonts w:hint="eastAsia" w:ascii="宋体" w:hAnsi="宋体" w:eastAsia="宋体" w:cs="宋体"/>
                <w:i w:val="0"/>
                <w:iCs w:val="0"/>
                <w:color w:val="000000"/>
                <w:sz w:val="21"/>
                <w:szCs w:val="21"/>
                <w:u w:val="none"/>
              </w:rPr>
            </w:r>
            <w:r/>
          </w:p>
        </w:tc>
      </w:tr>
      <w:tr>
        <w:trPr>
          <w:trHeight w:val="1447"/>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箱式变压器（低压部分）</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箱变低压室（含遥控终端)内的电气元件、电气设备等检测、维修、更换等养护工作。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6"/>
            <w:tcBorders>
              <w:top w:val="single" w:color="000000" w:sz="4" w:space="0"/>
              <w:left w:val="single" w:color="000000" w:sz="4" w:space="0"/>
              <w:bottom w:val="single" w:color="000000" w:sz="4" w:space="0"/>
              <w:right w:val="single" w:color="000000" w:sz="4" w:space="0"/>
            </w:tcBorders>
            <w:tcW w:w="7863"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735,030.00</w:t>
            </w:r>
            <w:r>
              <w:rPr>
                <w:rFonts w:hint="eastAsia" w:ascii="宋体" w:hAnsi="宋体" w:eastAsia="宋体" w:cs="宋体"/>
                <w:b/>
                <w:bCs/>
                <w:i w:val="0"/>
                <w:iCs w:val="0"/>
                <w:color w:val="000000"/>
                <w:sz w:val="21"/>
                <w:szCs w:val="21"/>
                <w:u w:val="none"/>
              </w:rPr>
            </w:r>
            <w:r/>
          </w:p>
        </w:tc>
      </w:tr>
      <w:tr>
        <w:trPr>
          <w:trHeight w:val="3380"/>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照明零星任务</w:t>
            </w:r>
            <w:r>
              <w:rPr>
                <w:rFonts w:ascii="宋体" w:hAnsi="宋体" w:eastAsia="宋体" w:cs="宋体"/>
                <w:i w:val="0"/>
                <w:iCs w:val="0"/>
                <w:color w:val="000000"/>
                <w:sz w:val="22"/>
                <w:szCs w:val="22"/>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涉及撞杆修复、照明设施迁改、成套的照明设施更换、被盗电缆恢复、不可抗力因素导致的设施损毁的修复等零星任务及</w:t>
            </w:r>
            <w:r>
              <w:rPr>
                <w:rFonts w:hint="eastAsia" w:ascii="宋体" w:hAnsi="宋体" w:eastAsia="宋体" w:cs="宋体"/>
                <w:i w:val="0"/>
                <w:iCs w:val="0"/>
                <w:color w:val="000000"/>
                <w:sz w:val="22"/>
                <w:szCs w:val="22"/>
                <w:highlight w:val="none"/>
                <w:u w:val="none"/>
                <w:lang w:val="en-US" w:eastAsia="zh-CN" w:bidi="ar"/>
              </w:rPr>
              <w:t xml:space="preserve">农村和采购人指定的任务</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464,970.00</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464,970.00</w:t>
            </w:r>
            <w:r>
              <w:rPr>
                <w:rFonts w:hint="eastAsia" w:ascii="宋体" w:hAnsi="宋体" w:eastAsia="宋体" w:cs="宋体"/>
                <w:i w:val="0"/>
                <w:iCs w:val="0"/>
                <w:color w:val="000000"/>
                <w:sz w:val="21"/>
                <w:szCs w:val="21"/>
                <w:highlight w:val="none"/>
                <w:u w:val="none"/>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W w:w="825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1,200,000.00</w:t>
            </w:r>
            <w:r>
              <w:rPr>
                <w:rFonts w:hint="eastAsia" w:ascii="宋体" w:hAnsi="宋体" w:eastAsia="宋体" w:cs="宋体"/>
                <w:b/>
                <w:bCs/>
                <w:i w:val="0"/>
                <w:iCs w:val="0"/>
                <w:color w:val="000000"/>
                <w:sz w:val="21"/>
                <w:szCs w:val="21"/>
                <w:u w:val="none"/>
              </w:rPr>
            </w:r>
            <w:r/>
          </w:p>
        </w:tc>
      </w:tr>
      <w:tr>
        <w:trPr>
          <w:trHeight w:val="1203"/>
        </w:trPr>
        <w:tc>
          <w:tcPr>
            <w:gridSpan w:val="8"/>
            <w:tcBorders>
              <w:top w:val="single" w:color="000000" w:sz="4" w:space="0"/>
              <w:left w:val="single" w:color="000000" w:sz="4" w:space="0"/>
              <w:bottom w:val="single" w:color="000000" w:sz="4" w:space="0"/>
              <w:right w:val="single" w:color="000000" w:sz="4" w:space="0"/>
            </w:tcBorders>
            <w:tcW w:w="9856" w:type="dxa"/>
            <w:vAlign w:val="center"/>
            <w:textDirection w:val="lrTb"/>
            <w:noWrap/>
          </w:tcPr>
          <w:p>
            <w:pPr>
              <w:pStyle w:val="1030"/>
              <w:jc w:val="left"/>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注：</w:t>
            </w:r>
            <w:r>
              <w:rPr>
                <w:rFonts w:hint="eastAsia" w:ascii="宋体" w:hAnsi="宋体" w:eastAsia="宋体" w:cs="宋体"/>
                <w:sz w:val="21"/>
                <w:szCs w:val="21"/>
                <w:lang w:val="en-US" w:eastAsia="zh-CN"/>
              </w:rPr>
              <w:t xml:space="preserve">全费用综合单价包括但不限于人工（包括工资和补贴）、材料（主材、辅材、配件）、安装维修调试费、办公场所及设施、车辆机械费、保险、劳保、仓储、运费、管理费、利润、相关措施费、规费、税金、安全费、风险等一切全部费用。</w:t>
            </w:r>
            <w:r>
              <w:rPr>
                <w:rFonts w:ascii="宋体" w:hAnsi="宋体" w:eastAsia="宋体" w:cs="宋体"/>
                <w:b/>
                <w:bCs/>
                <w:i w:val="0"/>
                <w:iCs w:val="0"/>
                <w:color w:val="000000"/>
                <w:sz w:val="21"/>
                <w:szCs w:val="21"/>
                <w:u w:val="none"/>
                <w:lang w:val="en-US" w:eastAsia="zh-CN" w:bidi="ar"/>
              </w:rPr>
            </w:r>
            <w:r/>
          </w:p>
        </w:tc>
      </w:tr>
    </w:tbl>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0"/>
        <w:spacing w:before="120"/>
        <w:rPr>
          <w:rFonts w:hint="eastAsia" w:ascii="宋体" w:hAnsi="宋体" w:eastAsia="宋体" w:cs="宋体"/>
          <w:b/>
          <w:sz w:val="52"/>
          <w:szCs w:val="72"/>
        </w:rPr>
      </w:pPr>
      <w:r/>
      <w:bookmarkStart w:id="820" w:name="_Toc99301426"/>
      <w:r>
        <w:rPr>
          <w:rFonts w:hint="eastAsia" w:ascii="宋体" w:hAnsi="宋体" w:eastAsia="宋体" w:cs="宋体"/>
          <w:b/>
          <w:sz w:val="52"/>
          <w:szCs w:val="72"/>
        </w:rPr>
      </w:r>
      <w:r/>
    </w:p>
    <w:p>
      <w:pPr>
        <w:pStyle w:val="1030"/>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0"/>
        <w:spacing w:line="360" w:lineRule="auto"/>
        <w:rPr>
          <w:rFonts w:hint="eastAsia" w:ascii="宋体" w:hAnsi="宋体" w:eastAsia="宋体" w:cs="宋体"/>
        </w:rPr>
      </w:pPr>
      <w:r>
        <w:rPr>
          <w:rFonts w:hint="eastAsia" w:ascii="宋体" w:hAnsi="宋体" w:eastAsia="宋体" w:cs="宋体"/>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0"/>
        <w:ind w:firstLine="640"/>
        <w:jc w:val="left"/>
        <w:keepLines w:val="0"/>
        <w:keepNext w:val="0"/>
        <w:pageBreakBefore w:val="0"/>
        <w:spacing w:line="10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甲方（采购人）：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r>
      <w:r/>
    </w:p>
    <w:p>
      <w:pPr>
        <w:pStyle w:val="1030"/>
        <w:ind w:firstLine="640"/>
        <w:keepLines w:val="0"/>
        <w:keepNext w:val="0"/>
        <w:pageBreakBefore w:val="0"/>
        <w:spacing w:line="1000" w:lineRule="exact"/>
        <w:rPr>
          <w:rFonts w:hint="eastAsia" w:ascii="宋体" w:hAnsi="宋体" w:eastAsia="宋体" w:cs="宋体"/>
          <w:b/>
          <w:sz w:val="32"/>
          <w:szCs w:val="32"/>
          <w:u w:val="single"/>
        </w:rPr>
      </w:pPr>
      <w:r>
        <w:rPr>
          <w:rFonts w:hint="eastAsia" w:ascii="宋体" w:hAnsi="宋体" w:eastAsia="宋体" w:cs="宋体"/>
          <w:sz w:val="32"/>
          <w:szCs w:val="32"/>
          <w:highlight w:val="none"/>
        </w:rPr>
        <w:t xml:space="preserve">乙方（</w:t>
      </w:r>
      <w:r>
        <w:rPr>
          <w:rFonts w:hint="eastAsia" w:ascii="宋体" w:hAnsi="宋体" w:eastAsia="宋体" w:cs="宋体"/>
          <w:sz w:val="32"/>
          <w:szCs w:val="32"/>
          <w:highlight w:val="none"/>
          <w:lang w:val="en-US" w:eastAsia="zh-CN"/>
        </w:rPr>
        <w:t xml:space="preserve">供应商</w:t>
      </w:r>
      <w:r>
        <w:rPr>
          <w:rFonts w:hint="eastAsia" w:ascii="宋体" w:hAnsi="宋体" w:eastAsia="宋体" w:cs="宋体"/>
          <w:sz w:val="32"/>
          <w:szCs w:val="32"/>
          <w:highlight w:val="none"/>
        </w:rPr>
        <w:t xml:space="preserve">）：</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b/>
          <w:sz w:val="32"/>
          <w:szCs w:val="32"/>
          <w:u w:val="single"/>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jc w:val="center"/>
        <w:spacing w:line="360" w:lineRule="auto"/>
        <w:tabs>
          <w:tab w:val="left" w:pos="3045" w:leader="none"/>
          <w:tab w:val="left" w:pos="7140" w:leader="none"/>
          <w:tab w:val="left" w:pos="7350" w:leader="none"/>
        </w:tabs>
        <w:rPr>
          <w:rFonts w:ascii="宋体" w:hAnsi="宋体" w:eastAsia="宋体" w:cs="Times New Roman"/>
          <w:sz w:val="32"/>
          <w:szCs w:val="32"/>
        </w:rPr>
      </w:pP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ascii="宋体" w:hAnsi="宋体" w:eastAsia="宋体" w:cs="Times New Roman"/>
          <w:sz w:val="32"/>
          <w:szCs w:val="32"/>
        </w:rPr>
      </w:r>
      <w:r/>
    </w:p>
    <w:p>
      <w:pPr>
        <w:pStyle w:val="1030"/>
        <w:jc w:val="both"/>
        <w:spacing w:line="360" w:lineRule="auto"/>
        <w:widowControl w:val="off"/>
        <w:rPr>
          <w:rFonts w:hint="eastAsia" w:ascii="宋体" w:hAnsi="宋体" w:eastAsia="宋体" w:cs="宋体"/>
          <w:b/>
          <w:color w:val="000000"/>
          <w:sz w:val="21"/>
          <w:szCs w:val="21"/>
          <w:lang w:val="zh-CN" w:eastAsia="zh-CN" w:bidi="ar-SA"/>
        </w:rPr>
      </w:pPr>
      <w:r>
        <w:rPr>
          <w:rFonts w:hint="eastAsia" w:ascii="宋体" w:hAnsi="宋体" w:eastAsia="宋体" w:cs="宋体"/>
          <w:b/>
          <w:color w:val="000000"/>
          <w:sz w:val="21"/>
          <w:szCs w:val="21"/>
          <w:lang w:val="zh-CN" w:eastAsia="zh-CN" w:bidi="ar-SA"/>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lang w:eastAsia="zh-CN"/>
        </w:rPr>
        <w:t xml:space="preserve">2026年尧塘街道照明设施养护项目</w:t>
      </w:r>
      <w:r>
        <w:rPr>
          <w:rFonts w:hint="eastAsia" w:ascii="宋体" w:hAnsi="宋体" w:eastAsia="宋体" w:cs="宋体"/>
          <w:lang w:val="en-US" w:eastAsia="zh-CN"/>
        </w:rPr>
        <w:t xml:space="preserve">采购</w:t>
      </w:r>
      <w:r>
        <w:rPr>
          <w:rFonts w:hint="eastAsia" w:ascii="宋体" w:hAnsi="宋体" w:eastAsia="宋体" w:cs="宋体"/>
        </w:rPr>
        <w:t xml:space="preserve">的结果，签署本合同。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1.1 标的名称：</w:t>
      </w:r>
      <w:r>
        <w:rPr>
          <w:rFonts w:hint="eastAsia" w:ascii="宋体" w:hAnsi="宋体" w:eastAsia="宋体" w:cs="宋体"/>
          <w:lang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rPr>
        <w:t xml:space="preserve">1.2标的质量：</w:t>
      </w:r>
      <w:r>
        <w:rPr>
          <w:rFonts w:hint="eastAsia" w:ascii="宋体" w:hAnsi="宋体" w:eastAsia="宋体" w:cs="宋体"/>
          <w:lang w:val="en-US" w:eastAsia="zh-CN"/>
        </w:rPr>
        <w:t xml:space="preserve">按相关国家规范标准及采购人的要求执行</w:t>
      </w:r>
      <w:r>
        <w:rPr>
          <w:rFonts w:ascii="宋体" w:hAnsi="宋体" w:eastAsia="宋体" w:cs="宋体"/>
          <w:lang w:val="en-US"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val="en-US" w:eastAsia="zh-CN"/>
        </w:rPr>
        <w:t xml:space="preserve">1项。</w:t>
      </w:r>
      <w:r>
        <w:rPr>
          <w:rFonts w:ascii="宋体" w:hAnsi="宋体" w:eastAsia="宋体" w:cs="宋体"/>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rPr>
        <w:t xml:space="preserve">1.4 履行期</w:t>
      </w:r>
      <w:r>
        <w:rPr>
          <w:rFonts w:hint="eastAsia" w:ascii="宋体" w:hAnsi="宋体" w:eastAsia="宋体" w:cs="宋体"/>
          <w:highlight w:val="none"/>
        </w:rPr>
        <w:t xml:space="preserve">限：</w:t>
      </w:r>
      <w:r>
        <w:rPr>
          <w:rFonts w:hint="eastAsia" w:ascii="宋体" w:hAnsi="宋体" w:eastAsia="宋体" w:cs="宋体"/>
          <w:highlight w:val="none"/>
          <w:lang w:val="en-US" w:eastAsia="zh-CN"/>
        </w:rPr>
        <w:t xml:space="preserve">自合同签订之日起一年（照明零星任务结算金额不超46.497万元）</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1.5 履行方式：</w:t>
      </w:r>
      <w:r>
        <w:rPr>
          <w:rFonts w:hint="eastAsia" w:ascii="宋体" w:hAnsi="宋体" w:eastAsia="宋体" w:cs="宋体"/>
          <w:highlight w:val="none"/>
          <w:lang w:eastAsia="zh-CN"/>
        </w:rPr>
        <w:t xml:space="preserve">提供服务、完成服务合同要求的全部内容。</w:t>
      </w:r>
      <w:r>
        <w:rPr>
          <w:rFonts w:hint="eastAsia" w:ascii="宋体" w:hAnsi="宋体" w:eastAsia="宋体" w:cs="宋体"/>
          <w:highlight w:val="none"/>
          <w:lang w:eastAsia="zh-CN"/>
        </w:rPr>
      </w:r>
      <w:r/>
    </w:p>
    <w:p>
      <w:pPr>
        <w:pStyle w:val="1030"/>
        <w:ind w:firstLine="640"/>
        <w:jc w:val="both"/>
        <w:keepLines w:val="0"/>
        <w:keepNext w:val="0"/>
        <w:pageBreakBefore w:val="0"/>
        <w:spacing w:line="480" w:lineRule="exact"/>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1.6 维护目标：功能照明设施完好率≥96%、亮灯率≥98%；故障修复及时率100%；交办事项办理及时率100%；零安全事故。</w:t>
      </w:r>
      <w:r>
        <w:rPr>
          <w:rFonts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1.7 服务内容：</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（一）维护对象</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1、配电设施：包括箱式变电站（低压部分）、配电箱、转接箱、电源电缆（根据供电部门资产划分而定）、电源电缆保护管等。</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2、照明设施：包括高杆灯、中杆灯、单（双）挑灯、水泥杆灯、庭院灯等。</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3、电缆线路设施：包括钢管保护电缆、塑料管保护电缆、其他管线电缆、直埋电缆、架空线路及其保护管、接线井，配电柜基础等。</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4、照明控制系统：包括照明监控系统、楼宇亮化控制系统、单灯控制系统。</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（二）维护主要内容</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1、负责照明设施巡查、维修，确保亮灯效果、亮灯率和设施完好率。</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2、负责照明控制系统正常运行。</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3、负责路灯灯杆、灯具、管线、控制箱（含遥控终端）及其他相关设备安装牢固情况、运行情况的检查及维修更换。</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4、负责所有路灯箱变低压室、计量箱、控制箱（含遥控终端）的检查调试维修、电气元件更换。</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5、负责所有电缆的检测、维修、更换。</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6、维护单位除正常维护外，还必须做好各项迎检、创建、重大活动及节日保障工作，适当增加巡查的频次。</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备注：以上维护内容涉及到更换主要材料（灯杆、灯具、基础、PE管、电线电缆、手孔井、箱变（低压部分）、配电柜、接线箱、照明控制设备，配电柜、接线箱内的电器元器件）的，需单独签证结算。</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（三）养护巡查</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1、乙方应组织专人进行设施巡查，建立巡修分离机制。小区内照明设施每月巡查一遍，在自然灾害天气后对设施进行全面巡查维修、重大节日前进行全面巡查维修。</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2、乙方在巡查期间发现设施故障应立即处理，不能立即处理的，应及时告知甲方并说明原因。</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3、乙方应当做好巡查检修的相关资料及台账，每月定期报送甲方。</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（四）安全文明管理</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1、乙方应确保照明设施正常运行，确保现场维护人员的安全，制定企业安全体系，完善企业安全机制，落实企业安全责任。</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2、乙方应当做好照明设施的养护及维修预案，如有意外事故发生应采取紧急处理措施，防止事故扩大化。</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3、乙方应当做好作业期间的文明施工，并承担相应责任。</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二、合同金额</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2.1 本合同</w:t>
      </w:r>
      <w:r>
        <w:rPr>
          <w:rFonts w:hint="eastAsia" w:ascii="宋体" w:hAnsi="宋体" w:eastAsia="宋体" w:cs="宋体"/>
          <w:highlight w:val="none"/>
          <w:lang w:val="en-US" w:eastAsia="zh-CN"/>
        </w:rPr>
        <w:t xml:space="preserve">签约优惠率</w:t>
      </w:r>
      <w:r>
        <w:rPr>
          <w:rFonts w:hint="eastAsia" w:ascii="宋体" w:hAnsi="宋体" w:eastAsia="宋体" w:cs="宋体"/>
          <w:highlight w:val="none"/>
        </w:rPr>
        <w:t xml:space="preserve">为：_____________</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三、技术资料</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3.1乙方应按</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规定的时间向甲方提供服务（包含与服务相关的货物）的有关技术资料。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四、知识产权</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4.1本项目从征集至最终成果提交过程中的各类成果（含初步技术路线）及知识产权均归采购人所有而不被视为侵权，研究单位须无条件提供。</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对编制过程中的阶段性成果和方案享有版权和使用权，并可以进行展览、印刷、出版等。</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i/>
          <w:highlight w:val="none"/>
        </w:rPr>
      </w:pPr>
      <w:r>
        <w:rPr>
          <w:rFonts w:hint="eastAsia" w:ascii="宋体" w:hAnsi="宋体" w:eastAsia="宋体" w:cs="宋体"/>
          <w:highlight w:val="none"/>
          <w:lang w:val="en-US" w:eastAsia="zh-CN"/>
        </w:rPr>
        <w:t xml:space="preserve">4.2</w:t>
      </w:r>
      <w:r>
        <w:rPr>
          <w:rFonts w:hint="eastAsia" w:ascii="宋体" w:hAnsi="宋体" w:eastAsia="宋体" w:cs="宋体"/>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u w:val="single"/>
          <w:lang w:val="en-US" w:eastAsia="zh-CN" w:bidi="ar-SA"/>
        </w:rPr>
      </w:pPr>
      <w:r>
        <w:rPr>
          <w:rFonts w:hint="eastAsia" w:ascii="宋体" w:hAnsi="宋体" w:eastAsia="宋体" w:cs="宋体"/>
          <w:b/>
          <w:bCs/>
          <w:sz w:val="21"/>
          <w:szCs w:val="32"/>
          <w:highlight w:val="none"/>
          <w:lang w:val="en-US" w:eastAsia="zh-CN" w:bidi="ar-SA"/>
        </w:rPr>
        <w:t xml:space="preserve">五、产权担保</w:t>
      </w:r>
      <w:r>
        <w:rPr>
          <w:rFonts w:hint="eastAsia" w:ascii="宋体" w:hAnsi="宋体" w:eastAsia="宋体" w:cs="宋体"/>
          <w:sz w:val="21"/>
          <w:szCs w:val="32"/>
          <w:highlight w:val="none"/>
          <w:u w:val="singl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hint="eastAsia" w:ascii="宋体" w:hAnsi="宋体" w:eastAsia="宋体" w:cs="宋体"/>
          <w:highlight w:val="none"/>
        </w:rPr>
        <w:t xml:space="preserve">5.1 乙方保证所交付的服务（包含与服务相关的货物）的所有权完全属于乙方且无任何抵押、查封等产权瑕疵。</w:t>
      </w:r>
      <w:r>
        <w:rPr>
          <w:rFonts w:hint="eastAsia" w:ascii="宋体" w:hAnsi="宋体" w:eastAsia="宋体" w:cs="宋体"/>
          <w:highlight w:val="none"/>
          <w:u w:val="singl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六、履约保证金</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本项目</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收取</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履约保证金。</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6.1 乙方交纳人民币</w:t>
      </w:r>
      <w:r>
        <w:rPr>
          <w:rFonts w:hint="eastAsia" w:ascii="宋体" w:hAnsi="宋体" w:eastAsia="宋体" w:cs="宋体"/>
          <w:b w:val="0"/>
          <w:bCs w:val="0"/>
          <w:sz w:val="21"/>
          <w:szCs w:val="32"/>
          <w:highlight w:val="none"/>
          <w:u w:val="single"/>
          <w:lang w:val="en-US" w:eastAsia="zh-CN" w:bidi="ar-SA"/>
        </w:rPr>
        <w:t xml:space="preserve"> 50000 </w:t>
      </w:r>
      <w:r>
        <w:rPr>
          <w:rFonts w:hint="eastAsia" w:ascii="宋体" w:hAnsi="宋体" w:eastAsia="宋体" w:cs="宋体"/>
          <w:b w:val="0"/>
          <w:bCs w:val="0"/>
          <w:sz w:val="21"/>
          <w:szCs w:val="32"/>
          <w:highlight w:val="none"/>
          <w:lang w:val="en-US" w:eastAsia="zh-CN" w:bidi="ar-SA"/>
        </w:rPr>
        <w:t xml:space="preserve">元作为本合同的履约保证金。乙方可以自主选择以支票、汇票、本票、保函（保险）等非现金形式交纳或提交，按照省市有关文件精神，鼓励优先采用电子履约保函（保险）形式。</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 合同履行结束后，甲方应及时退还交纳的履约保证金。</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6.2.1履约保证金退还方式：一次性返还。</w:t>
      </w:r>
      <w:r>
        <w:rPr>
          <w:rFonts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6.2.2履约保证金退还时间：</w:t>
      </w:r>
      <w:r>
        <w:rPr>
          <w:rFonts w:hint="eastAsia" w:ascii="宋体" w:hAnsi="宋体" w:cs="宋体"/>
          <w:bCs/>
          <w:szCs w:val="21"/>
          <w:highlight w:val="none"/>
          <w:lang w:val="en-US" w:eastAsia="zh-CN"/>
        </w:rPr>
        <w:t xml:space="preserve">合同期满后</w:t>
      </w:r>
      <w:r>
        <w:rPr>
          <w:rFonts w:hint="eastAsia" w:ascii="宋体" w:hAnsi="宋体" w:eastAsia="宋体" w:cs="宋体"/>
          <w:b w:val="0"/>
          <w:bCs w:val="0"/>
          <w:sz w:val="21"/>
          <w:szCs w:val="32"/>
          <w:highlight w:val="none"/>
          <w:lang w:val="en-US" w:eastAsia="zh-CN" w:bidi="ar-SA"/>
        </w:rPr>
        <w:t xml:space="preserve">。</w:t>
      </w:r>
      <w:r>
        <w:rPr>
          <w:rFonts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6.2.3履约保证金退还条件：合同期满后一次性返还</w:t>
      </w:r>
      <w:r>
        <w:rPr>
          <w:rFonts w:hint="eastAsia" w:ascii="宋体" w:hAnsi="宋体" w:cs="宋体"/>
          <w:bCs/>
          <w:szCs w:val="21"/>
          <w:highlight w:val="none"/>
          <w:lang w:val="en-US" w:eastAsia="zh-CN"/>
        </w:rPr>
        <w:t xml:space="preserve">（不计息）</w:t>
      </w:r>
      <w:r>
        <w:rPr>
          <w:rFonts w:hint="eastAsia" w:ascii="宋体" w:hAnsi="宋体" w:eastAsia="宋体" w:cs="宋体"/>
          <w:b w:val="0"/>
          <w:bCs w:val="0"/>
          <w:sz w:val="21"/>
          <w:szCs w:val="32"/>
          <w:highlight w:val="none"/>
          <w:lang w:val="en-US" w:eastAsia="zh-CN" w:bidi="ar-SA"/>
        </w:rPr>
        <w:t xml:space="preserve">。</w:t>
      </w:r>
      <w:r>
        <w:rPr>
          <w:rFonts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七、合同转包或分包</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7.1 乙方不得将合同标的转包给他人履行。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7.2 乙方不得将合同标的分包给他人履行。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7.3 乙方如有转包或未经甲方同意的分包行为，甲方有权解除合同。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八、合同款项支付</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1.结算及付款方式：按实计量。</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（1）维护款：维护期到期后一次性支付。实际支付养护费用=实际养护数量</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经甲乙双方确认的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*养护单价*（1-优惠率）-相应违约金。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（2）照明零星任务费用：</w:t>
      </w:r>
      <w:r>
        <w:rPr>
          <w:rFonts w:hint="eastAsia" w:ascii="宋体" w:hAnsi="宋体" w:eastAsia="宋体" w:cs="宋体"/>
          <w:highlight w:val="none"/>
          <w:lang w:eastAsia="zh-CN"/>
        </w:rPr>
        <w:t xml:space="preserve">零星维修类项目审计后付至</w:t>
      </w:r>
      <w:r>
        <w:rPr>
          <w:rFonts w:hint="eastAsia" w:ascii="宋体" w:hAnsi="宋体" w:eastAsia="宋体" w:cs="宋体"/>
          <w:highlight w:val="none"/>
          <w:lang w:val="en-US" w:eastAsia="zh-CN"/>
        </w:rPr>
        <w:t xml:space="preserve">审定价的</w:t>
      </w:r>
      <w:r>
        <w:rPr>
          <w:rFonts w:hint="eastAsia" w:ascii="宋体" w:hAnsi="宋体" w:eastAsia="宋体" w:cs="宋体"/>
          <w:highlight w:val="none"/>
          <w:lang w:eastAsia="zh-CN"/>
        </w:rPr>
        <w:t xml:space="preserve">70%，余款两年后按审定价付清</w:t>
      </w:r>
      <w:r>
        <w:rPr>
          <w:rFonts w:hint="eastAsia" w:ascii="宋体" w:hAnsi="宋体" w:eastAsia="宋体" w:cs="宋体"/>
          <w:highlight w:val="none"/>
        </w:rPr>
        <w:t xml:space="preserve">。照明零星任务结算价不得超过</w:t>
      </w:r>
      <w:r>
        <w:rPr>
          <w:rFonts w:hint="eastAsia" w:ascii="宋体" w:hAnsi="宋体" w:eastAsia="宋体" w:cs="宋体"/>
          <w:highlight w:val="none"/>
          <w:lang w:val="en-US" w:eastAsia="zh-CN"/>
        </w:rPr>
        <w:t xml:space="preserve">46.497</w:t>
      </w:r>
      <w:r>
        <w:rPr>
          <w:rFonts w:hint="eastAsia" w:ascii="宋体" w:hAnsi="宋体" w:eastAsia="宋体" w:cs="宋体"/>
          <w:highlight w:val="none"/>
        </w:rPr>
        <w:t xml:space="preserve">万元。</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（3）乙方须根据甲方要求开具相应金额的增值税发票。</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2.照明零星任务费用结算依据：</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结算时参照《建设工程工程量清单计价标准》（GB/T50500-2024）、《江苏省市政工程消耗量（2026）》、《江苏省建筑与装饰工程消耗量（2026）》、《江苏省通用安装工程消耗量（2026）》、《江苏省建设工程费用参考》（2026）等相关计价规范中的标准进行组价，根据中标优惠率同比让利；作业实施中的零星点工按苏建函价执行，零星点工不让利。</w:t>
      </w:r>
      <w:r>
        <w:rPr>
          <w:rFonts w:hint="eastAsia" w:ascii="宋体" w:hAnsi="宋体" w:eastAsia="宋体" w:cs="宋体"/>
          <w:sz w:val="21"/>
          <w:szCs w:val="21"/>
          <w:highlight w:val="none"/>
          <w:lang w:val="en-US" w:eastAsia="zh-CN"/>
        </w:rPr>
        <w:t xml:space="preserve">如有新的计价定额，则按新的计价定额执行。</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（2）现场安全生产、文明施工措施费按江苏省、常州市相关文件执行。</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（3）所有涉及任务结算的签证单上必须有甲方代表、监理工程师、乙方等相关单位的签字，方可作为竣工结算的依据。</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3.结算审核费：零星任务结算审核的核减率在8%以内(含8%)的由甲方支付全部审计费：12%&gt;核减率&gt;8%时，该项目所有审核费用甲乙双方各承担50%；核减率&gt;12%时，该项目所有审核费用均由乙方承担。上述费用不为累进制。</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w:t>
      </w:r>
      <w:r>
        <w:rPr>
          <w:rFonts w:hint="eastAsia" w:ascii="宋体" w:hAnsi="宋体" w:eastAsia="宋体" w:cs="宋体"/>
          <w:highlight w:val="none"/>
          <w:lang w:val="en-US" w:eastAsia="zh-CN"/>
        </w:rPr>
        <w:t xml:space="preserve">合同价中已含税，</w:t>
      </w:r>
      <w:r>
        <w:rPr>
          <w:rFonts w:hint="eastAsia" w:ascii="宋体" w:hAnsi="宋体" w:eastAsia="宋体" w:cs="宋体"/>
          <w:highlight w:val="none"/>
        </w:rPr>
        <w:t xml:space="preserve">本合同执行中相关的一切税费均由乙方负担。</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乙方无法完成项目的，应向甲方支付合同总价10％的违约金，同时甲方有权解除合同。</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乙方完成的项目不符合要求的，应按照甲方选择的下列一种或多种方式承担赔偿责任：</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）在甲方规定时间内，修正有缺陷的部分以达到合同规定的要求并承担一切费用和风险，同时承担甲方因此所遭受的全部损失；</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）按合同规定同种货币退还甲方已付款项，同时承担由此发生的一切损失和费用，包括但不限于利息、银行手续费及所需的其他必要费用。</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乙方未按规定和承诺提供伴随服务、售后服务的，应向甲方支付合同总价5％的违约金。</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接到甲方通知后，乙方项目负责人须到场，若乙方项目负责人未到场，则按1000元/次承担违约金。服务周期内，</w:t>
      </w:r>
      <w:r>
        <w:rPr>
          <w:rFonts w:hint="eastAsia" w:ascii="宋体" w:hAnsi="宋体" w:eastAsia="宋体" w:cs="宋体"/>
          <w:highlight w:val="none"/>
          <w:lang w:val="en-US" w:eastAsia="zh-CN"/>
        </w:rPr>
        <w:t xml:space="preserve">乙方项目负责人未到场</w:t>
      </w:r>
      <w:r>
        <w:rPr>
          <w:rFonts w:hint="eastAsia" w:ascii="宋体" w:hAnsi="宋体" w:eastAsia="宋体" w:cs="宋体"/>
          <w:highlight w:val="none"/>
          <w:lang w:val="en-US" w:eastAsia="zh-CN"/>
        </w:rPr>
        <w:t xml:space="preserve">累计超过3次的，甲方有权解除合同。</w:t>
      </w:r>
      <w:r>
        <w:rPr>
          <w:rFonts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违约方承担违约责任并不影响其合同项下的义务(合同解除的除外)。</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十二、特别约定</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1. 乙方应当按照操作规程进行施工并对项目的作业安全负全责，承担由此产生的一切费用和后果。</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2. 作业过程中涉及的线路通道、停电计划等情况，由双方共同协调处理。</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十三、合同的变更和终止</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1. 除《中华人民共和国政府采购法》第五十条规定的情形外，本合同一经签订，甲乙双方不得擅自变更、中止或终止合同。</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2. 除发生法律规定的不能预见、不能避免并不能克服的客观情况外，甲乙双方不得放弃或拒绝履行合同。</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十四、合同的终止</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本合同因下列原因而终止：</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（1）本合同正常履行完毕；</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（2）因不可抗力导致本合同无法履行或履行不必要；</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（3）任何一方行使解除权解除本合同；</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（4）合同的继续履行将损害国家利益和社会公共利益。</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除上述情形外，甲乙双方不得擅自终止合同。</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十五、不可抗力事件处理</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 在合同有效期内，任何一方因不可抗力事件导致不能履行合同，则合同履行期可延长，其延长期与不可抗力影响期相同。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不可抗力事件发生后，应立即通知对方，并寄送有关权威机构出具的证明。</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lang w:val="en-US" w:eastAsia="zh-CN"/>
        </w:rPr>
        <w:t xml:space="preserve">3.</w:t>
      </w:r>
      <w:r>
        <w:rPr>
          <w:rFonts w:hint="eastAsia" w:ascii="宋体" w:hAnsi="宋体" w:eastAsia="宋体" w:cs="宋体"/>
        </w:rPr>
        <w:t xml:space="preserve"> 不可抗力事件延续120天以上，双方应通过友好协商，确定是否继续履行合同。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十六、解决争议的方法</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双方在签订、履行合同中所发生的一切争议，应通过友好协商解决。如协商不成，</w:t>
      </w:r>
      <w:r>
        <w:rPr>
          <w:rFonts w:hint="eastAsia" w:ascii="宋体" w:hAnsi="宋体" w:eastAsia="宋体" w:cs="宋体"/>
          <w:lang w:val="en-US" w:eastAsia="zh-CN"/>
        </w:rPr>
        <w:t xml:space="preserve">则向常州市金坛区</w:t>
      </w:r>
      <w:r>
        <w:rPr>
          <w:rFonts w:hint="eastAsia" w:ascii="宋体" w:hAnsi="宋体" w:eastAsia="宋体" w:cs="宋体"/>
        </w:rPr>
        <w:t xml:space="preserve">人民法院</w:t>
      </w:r>
      <w:r>
        <w:rPr>
          <w:rFonts w:hint="eastAsia" w:ascii="宋体" w:hAnsi="宋体" w:eastAsia="宋体" w:cs="宋体"/>
          <w:lang w:val="en-US" w:eastAsia="zh-CN"/>
        </w:rPr>
        <w:t xml:space="preserve">提起诉讼</w:t>
      </w:r>
      <w:r>
        <w:rPr>
          <w:rFonts w:hint="eastAsia" w:ascii="宋体" w:hAnsi="宋体" w:eastAsia="宋体" w:cs="宋体"/>
        </w:rPr>
        <w:t xml:space="preserve">。</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十七、合同生效及其他</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 合同经双方法定代表人或授权委托代表人签字并加盖单位公章后生效。</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 本合同未尽事宜，遵照《中华人民共和国民法典》《中华人民共和国政府采购法》有关条文执行。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 本合同一式</w:t>
      </w:r>
      <w:r>
        <w:rPr>
          <w:rFonts w:hint="eastAsia" w:ascii="宋体" w:hAnsi="宋体" w:eastAsia="宋体" w:cs="宋体"/>
          <w:lang w:val="en-US" w:eastAsia="zh-CN"/>
        </w:rPr>
        <w:t xml:space="preserve">六</w:t>
      </w:r>
      <w:r>
        <w:rPr>
          <w:rFonts w:hint="eastAsia" w:ascii="宋体" w:hAnsi="宋体" w:eastAsia="宋体" w:cs="宋体"/>
        </w:rPr>
        <w:t xml:space="preserve">份，具有同等法律效力，</w:t>
      </w:r>
      <w:r>
        <w:rPr>
          <w:rFonts w:hint="eastAsia" w:ascii="宋体" w:hAnsi="宋体" w:cs="宋体"/>
          <w:b w:val="0"/>
          <w:bCs w:val="0"/>
          <w:szCs w:val="21"/>
        </w:rPr>
        <w:t xml:space="preserve">甲方</w:t>
      </w:r>
      <w:r>
        <w:rPr>
          <w:rFonts w:hint="eastAsia" w:ascii="宋体" w:hAnsi="宋体" w:eastAsia="宋体" w:cs="宋体"/>
          <w:lang w:eastAsia="zh-CN"/>
        </w:rPr>
        <w:t xml:space="preserve">、</w:t>
      </w:r>
      <w:r>
        <w:rPr>
          <w:rFonts w:hint="eastAsia" w:ascii="宋体" w:hAnsi="宋体" w:eastAsia="宋体" w:cs="宋体"/>
        </w:rPr>
        <w:t xml:space="preserve">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tbl>
      <w:tblPr>
        <w:tblW w:w="9354" w:type="dxa"/>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617"/>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cs="宋体"/>
                <w:b w:val="0"/>
                <w:bCs w:val="0"/>
                <w:szCs w:val="21"/>
              </w:rPr>
              <w:t xml:space="preserve">甲方</w:t>
            </w:r>
            <w:r>
              <w:rPr>
                <w:rFonts w:hint="eastAsia" w:ascii="宋体" w:hAnsi="宋体" w:eastAsia="宋体" w:cs="宋体"/>
                <w:szCs w:val="21"/>
              </w:rPr>
              <w:t xml:space="preserve">名称：（盖章）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b w:val="0"/>
                <w:bCs w:val="0"/>
                <w:szCs w:val="21"/>
                <w:lang w:val="en-US" w:eastAsia="zh-CN"/>
              </w:rPr>
              <w:t xml:space="preserve">乙方</w:t>
            </w:r>
            <w:r>
              <w:rPr>
                <w:rFonts w:hint="eastAsia" w:ascii="宋体" w:hAnsi="宋体" w:eastAsia="宋体" w:cs="宋体"/>
                <w:szCs w:val="21"/>
              </w:rPr>
              <w:t xml:space="preserve">名称：（盖章）</w:t>
            </w:r>
            <w:r>
              <w:rPr>
                <w:rFonts w:hint="eastAsia" w:ascii="宋体" w:hAnsi="宋体" w:eastAsia="宋体" w:cs="宋体"/>
                <w:szCs w:val="21"/>
              </w:rPr>
            </w:r>
            <w:r/>
          </w:p>
        </w:tc>
      </w:tr>
      <w:tr>
        <w:trPr>
          <w:trHeight w:val="651"/>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r>
      <w:tr>
        <w:trPr>
          <w:trHeight w:val="713"/>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r>
    </w:tbl>
    <w:p>
      <w:pPr>
        <w:pStyle w:val="1030"/>
        <w:jc w:val="both"/>
        <w:spacing w:line="360" w:lineRule="auto"/>
        <w:rPr>
          <w:rFonts w:hint="eastAsia" w:ascii="宋体" w:hAnsi="宋体" w:eastAsia="宋体" w:cs="宋体"/>
        </w:rPr>
        <w:outlineLvl w:val="0"/>
      </w:pPr>
      <w:r>
        <w:rPr>
          <w:rFonts w:hint="eastAsia" w:ascii="宋体" w:hAnsi="宋体" w:eastAsia="宋体" w:cs="宋体"/>
        </w:rPr>
      </w:r>
      <w:r/>
    </w:p>
    <w:p>
      <w:pPr>
        <w:pStyle w:val="1030"/>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0"/>
        <w:jc w:val="center"/>
        <w:spacing w:line="560" w:lineRule="exact"/>
        <w:rPr>
          <w:rFonts w:ascii="宋体" w:hAnsi="宋体" w:eastAsia="宋体" w:cs="宋体"/>
          <w:sz w:val="24"/>
        </w:rPr>
      </w:pPr>
      <w:r>
        <w:rPr>
          <w:rFonts w:hint="eastAsia" w:ascii="宋体" w:hAnsi="宋体" w:eastAsia="宋体" w:cs="宋体"/>
        </w:rPr>
        <w:br w:type="page" w:clear="all"/>
      </w:r>
      <w:r>
        <w:rPr>
          <w:rFonts w:hint="eastAsia" w:ascii="黑体" w:hAnsi="黑体" w:eastAsia="黑体" w:cs="黑体"/>
          <w:bCs/>
          <w:sz w:val="32"/>
          <w:szCs w:val="32"/>
        </w:rPr>
        <w:t xml:space="preserve">安全生产及环境管理协议</w:t>
      </w:r>
      <w:r>
        <w:rPr>
          <w:rFonts w:ascii="宋体" w:hAnsi="宋体" w:eastAsia="宋体" w:cs="宋体"/>
          <w:sz w:val="24"/>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甲方：</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乙方：</w:t>
      </w:r>
      <w:r>
        <w:rPr>
          <w:rFonts w:ascii="宋体" w:hAnsi="宋体" w:eastAsia="宋体" w:cs="宋体"/>
          <w:szCs w:val="21"/>
        </w:rPr>
      </w:r>
      <w:r/>
    </w:p>
    <w:p>
      <w:pPr>
        <w:pStyle w:val="1030"/>
        <w:ind w:firstLine="420"/>
        <w:spacing w:line="560" w:lineRule="exact"/>
        <w:rPr>
          <w:rFonts w:ascii="宋体" w:hAnsi="宋体" w:eastAsia="宋体" w:cs="宋体"/>
          <w:szCs w:val="21"/>
        </w:rPr>
      </w:pPr>
      <w:r>
        <w:rPr>
          <w:rFonts w:hint="eastAsia" w:ascii="宋体" w:hAnsi="宋体" w:eastAsia="宋体" w:cs="宋体"/>
          <w:szCs w:val="21"/>
        </w:rPr>
        <w:t xml:space="preserve">鉴于乙方需在甲方归属地或合同约定的实施地点从事相关施工或服务项目，为贯彻“安全第一，预防为主，综合治理”的方针，根据国家《中华人民共和国安全生产法》、《中华人民共和国消防法》等有关法规以及《工贸企业有限空间作业安全规定》等相关规定要求，明确双方的安全生产责任，确保作业安全，双方在签订项目合同的同时，必须签订本协议。</w:t>
      </w:r>
      <w:r>
        <w:rPr>
          <w:rFonts w:ascii="宋体" w:hAnsi="宋体" w:eastAsia="宋体" w:cs="宋体"/>
          <w:szCs w:val="21"/>
        </w:rPr>
      </w:r>
      <w:r/>
    </w:p>
    <w:p>
      <w:pPr>
        <w:pStyle w:val="1030"/>
        <w:spacing w:line="560" w:lineRule="exact"/>
        <w:rPr>
          <w:rFonts w:ascii="宋体" w:hAnsi="宋体" w:eastAsia="宋体" w:cs="宋体"/>
          <w:b/>
          <w:bCs/>
          <w:szCs w:val="21"/>
        </w:rPr>
      </w:pPr>
      <w:r>
        <w:rPr>
          <w:rFonts w:hint="eastAsia" w:ascii="宋体" w:hAnsi="宋体" w:eastAsia="宋体" w:cs="宋体"/>
          <w:b/>
          <w:bCs/>
          <w:szCs w:val="21"/>
        </w:rPr>
        <w:t xml:space="preserve">一、甲方权利义务</w:t>
      </w:r>
      <w:r>
        <w:rPr>
          <w:rFonts w:ascii="宋体" w:hAnsi="宋体" w:eastAsia="宋体" w:cs="宋体"/>
          <w:b/>
          <w:bCs/>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1.甲方有权对乙方相关管理资质进行审核并留下记录。有权要求乙方编制相关施工或服务安全措施方案，并在作业实施前报甲方安全部门审查及备案，其中重点安全风险点须在实施前分别编制报批审查。</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2.甲方有权监督乙方执行本协议规定的情况，有权根据本协议对乙方不符合安全及环境作业的人员进行处理、纠正、制止，并发出安全通知书、停止作业通知书，直至清退出场。</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3.甲方有权随时对乙方作业活动、机械设备、材料、作业人员持证情况进行安全检查，有权制止无证、违规操作等行为。</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4.甲方需在作业实施地进行相关工作可能影响乙方施工或服务的，甲方会提前通知乙方做好相应的应变准备。</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5.甲方对乙方在生产作业中发生的任何事故，须提供便利条件，协助抢救，但其责任及费用由乙方全部负责。</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6.甲方有因乙方不良行为导致的不良后果及影响的追溯权利，并要求乙方承担全部损失。</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7.合同签订后，乙方作业前，甲方负责对乙方进行相关的施工或服务安全技术交底，并应有书面记录或资料。</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8.甲方指派专人负责与乙方联系安全生产及作业环境方面工作。</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9.甲方有权对乙方参与作业的人员进行安全技术知识和安全工作规程的抽查。</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、包括不限于以下情况停工整顿，因停工造成的违约责任由乙方承担：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（1）发生严重损坏甲方设备事故的；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（2）发生违章作业、冒险作业不听劝告的；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（3）施工或服务现场脏、乱、差，不能满足安全施工和环境管理要求的。</w:t>
      </w:r>
      <w:r>
        <w:rPr>
          <w:rFonts w:ascii="宋体" w:hAnsi="宋体" w:eastAsia="宋体" w:cs="宋体"/>
          <w:szCs w:val="21"/>
        </w:rPr>
      </w:r>
      <w:r/>
    </w:p>
    <w:p>
      <w:pPr>
        <w:pStyle w:val="1030"/>
        <w:spacing w:line="560" w:lineRule="exact"/>
        <w:rPr>
          <w:rFonts w:ascii="宋体" w:hAnsi="宋体" w:eastAsia="宋体" w:cs="宋体"/>
          <w:b/>
          <w:bCs/>
          <w:szCs w:val="21"/>
        </w:rPr>
      </w:pPr>
      <w:r>
        <w:rPr>
          <w:rFonts w:hint="eastAsia" w:ascii="宋体" w:hAnsi="宋体" w:eastAsia="宋体" w:cs="宋体"/>
          <w:b/>
          <w:bCs/>
          <w:szCs w:val="21"/>
        </w:rPr>
        <w:t xml:space="preserve">二、乙方权利义务</w:t>
      </w:r>
      <w:r>
        <w:rPr>
          <w:rFonts w:ascii="宋体" w:hAnsi="宋体" w:eastAsia="宋体" w:cs="宋体"/>
          <w:b/>
          <w:bCs/>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1.乙方人员须遵守甲方相关人员的安全管理，服从监督，严禁违章作业；同时应遵守国家有关治安保卫、生产安全、交通安全、消防管理、职业卫生、环境保护等方面的法律法规及相关规定。</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2.乙方应主动配合、支持甲方对安全及环境管理工作的统一协调、管理，乙方对其所负责的工作区域所发生的事故和违法行为负全责，承担全部经济损失。</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3.乙方人员应在甲方指定的工作区域内从事生产活动，未经授权不得进入其他区域。</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4.乙方要对进入甲方归属地或合同约定的实施地点的员工进行治安保卫、生产安全、交通安全、消防管理、职业卫生、环境保护等培训，未经教育培训，乙方人员不得作业，如有违反规定，则按甲方相关制度要求处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5.乙方对乙方员工的生产安全负有全部责任，必须提供必要的安全资源，包括安全管理人员、现场监督、安全培训、急救物品与急救设施，须配备符合国家规定的合格劳动保护用品等，保证员工的生产作业安全。为员工提供相应的安全防护措施，确保员工劳保用品配备齐全且正确穿戴。</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6.乙方必须熟悉甲方的应急预案并积极参加、配合甲方组织的应急演练。在发生火灾等紧急情况时，所有乙方人员必须服从指令有序疏散。乙方人员不得堵塞消防通道、消防设备、安全出口等消防、应急设备设施。</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7.乙方进入甲方归属地或合同约定实施地点的车辆，必须到甲方指定地点办理手续，并停放至甲方指定区域，服从甲方交通疏导人员的管理。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8.乙方应确保乙方所有车辆出入</w:t>
      </w:r>
      <w:r>
        <w:rPr>
          <w:rFonts w:hint="eastAsia" w:ascii="宋体" w:hAnsi="宋体" w:eastAsia="宋体" w:cs="宋体"/>
          <w:szCs w:val="21"/>
          <w:lang w:val="en-US" w:eastAsia="zh-CN"/>
        </w:rPr>
        <w:t xml:space="preserve">作业现场</w:t>
      </w:r>
      <w:r>
        <w:rPr>
          <w:rFonts w:hint="eastAsia" w:ascii="宋体" w:hAnsi="宋体" w:eastAsia="宋体" w:cs="宋体"/>
          <w:szCs w:val="21"/>
        </w:rPr>
        <w:t xml:space="preserve">时速不得超过5 km，严禁危险驾车、无照驾车、酒后驾车。</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9.乙方应加强其机动车辆管理，督促、检查机动车保养情况，确保车辆状况良好、符合安全驾驶的要求，严禁驾驶故障车辆、不安全车辆。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10.乙方必须为所有从事作业的劳动者或员工购买相关保险。</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11.乙方必须按甲方规定在合同签订后一周内提供相关涉及安全专项的资料、相关方案、相关保险凭证等资料。</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12.合同签订后，乙方作业前，乙方须按照甲方要求全员参加甲方组织的安全技术交底会。特殊情况未能参加人员由乙方相关负责人交底，交底资料一份交甲方留存。</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13.合同签订后必须编制安全技术措施，对于起重吊装</w:t>
      </w:r>
      <w:r>
        <w:rPr>
          <w:rFonts w:hint="eastAsia" w:ascii="宋体" w:hAnsi="宋体" w:eastAsia="宋体" w:cs="宋体"/>
          <w:szCs w:val="21"/>
          <w:lang w:val="en-US" w:eastAsia="zh-CN"/>
        </w:rPr>
        <w:t xml:space="preserve">作业</w:t>
      </w:r>
      <w:r>
        <w:rPr>
          <w:rFonts w:hint="eastAsia" w:ascii="宋体" w:hAnsi="宋体" w:eastAsia="宋体" w:cs="宋体"/>
          <w:szCs w:val="21"/>
        </w:rPr>
        <w:t xml:space="preserve">、脚手架</w:t>
      </w:r>
      <w:r>
        <w:rPr>
          <w:rFonts w:hint="eastAsia" w:ascii="宋体" w:hAnsi="宋体" w:eastAsia="宋体" w:cs="宋体"/>
          <w:szCs w:val="21"/>
          <w:lang w:val="en-US" w:eastAsia="zh-CN"/>
        </w:rPr>
        <w:t xml:space="preserve">作业</w:t>
      </w:r>
      <w:r>
        <w:rPr>
          <w:rFonts w:hint="eastAsia" w:ascii="宋体" w:hAnsi="宋体" w:eastAsia="宋体" w:cs="宋体"/>
          <w:szCs w:val="21"/>
        </w:rPr>
        <w:t xml:space="preserve">、拆除作业、有限空间作业等其他危险性较大的</w:t>
      </w:r>
      <w:r>
        <w:rPr>
          <w:rFonts w:hint="eastAsia" w:ascii="宋体" w:hAnsi="宋体" w:eastAsia="宋体" w:cs="宋体"/>
          <w:szCs w:val="21"/>
          <w:lang w:val="en-US" w:eastAsia="zh-CN"/>
        </w:rPr>
        <w:t xml:space="preserve">作业项目</w:t>
      </w:r>
      <w:r>
        <w:rPr>
          <w:rFonts w:hint="eastAsia" w:ascii="宋体" w:hAnsi="宋体" w:eastAsia="宋体" w:cs="宋体"/>
          <w:szCs w:val="21"/>
        </w:rPr>
        <w:t xml:space="preserve">，应当编制专项安全施工方案，并报甲方审查批准后方可</w:t>
      </w:r>
      <w:r>
        <w:rPr>
          <w:rFonts w:hint="eastAsia" w:ascii="宋体" w:hAnsi="宋体" w:eastAsia="宋体" w:cs="宋体"/>
          <w:szCs w:val="21"/>
          <w:lang w:val="en-US" w:eastAsia="zh-CN"/>
        </w:rPr>
        <w:t xml:space="preserve">实施</w:t>
      </w:r>
      <w:r>
        <w:rPr>
          <w:rFonts w:hint="eastAsia" w:ascii="宋体" w:hAnsi="宋体" w:eastAsia="宋体" w:cs="宋体"/>
          <w:szCs w:val="21"/>
        </w:rPr>
        <w:t xml:space="preserve">。</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14.在甲方归属地或合同约定实施地点从事施工或服务作业需用电接电、用水接水时，须报甲方审批，由甲方专人到场指导后方能进行，否则均视为违规违章行为。作业实施地的用电线路、用电设施的安装和使用必须符合安装规范和安全操作规程，并按照安全方案的要求进行架设，严禁任意拉线接电。夜间施工现场必须设有保证施工安全要求的夜间照明；危险潮湿场所的照明以及手持照明灯具，必须采用符合安全要求的电压。</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15.乙方应向甲方提供特殊工种的员工名单(包括不限于电工、焊工、架子工、机械操作工、起重工、潜水员等)，保证特种作业人员持证上岗。乙方所使用的特种设备或机械，必须经国家有关部门检验合格并符合相关规范规定要求。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16.作业实施前，乙方应组织人员对施工区域、作业环境进行安全风险辨识排查，落实相关作业制度，对相关设施设备、工器具等进行检查，确认符合安全要求。一经开工，就表示乙方已确认施工现场安全、作业环境、设施设备、工器具符合安全要求并处于安全状态。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17.乙方在甲方归属地或合同约定实施地点进行相关特殊作业时，必须提供的检、维修所要求的相关资质（营业执照、资质证书等）证明材料应真实、合法、有效。</w:t>
      </w:r>
      <w:r>
        <w:rPr>
          <w:rFonts w:ascii="宋体" w:hAnsi="宋体" w:eastAsia="宋体" w:cs="宋体"/>
          <w:szCs w:val="21"/>
        </w:rPr>
      </w:r>
      <w:r/>
    </w:p>
    <w:p>
      <w:pPr>
        <w:pStyle w:val="1030"/>
        <w:spacing w:line="560" w:lineRule="exact"/>
        <w:rPr>
          <w:rFonts w:ascii="宋体" w:hAnsi="宋体" w:eastAsia="宋体" w:cs="宋体"/>
          <w:b/>
          <w:bCs/>
          <w:szCs w:val="21"/>
        </w:rPr>
      </w:pPr>
      <w:r>
        <w:rPr>
          <w:rFonts w:hint="eastAsia" w:ascii="宋体" w:hAnsi="宋体" w:eastAsia="宋体" w:cs="宋体"/>
          <w:b/>
          <w:bCs/>
          <w:szCs w:val="21"/>
        </w:rPr>
        <w:t xml:space="preserve">三、其他内容</w:t>
      </w:r>
      <w:r>
        <w:rPr>
          <w:rFonts w:ascii="宋体" w:hAnsi="宋体" w:eastAsia="宋体" w:cs="宋体"/>
          <w:b/>
          <w:bCs/>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1.本协议未尽事宜，参照法律法规以及行业标准执行。</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2.甲、乙双方必须严格执行本协议，主合同或协议对安全方面的责任未约定或约定与本协议不一致的，以本协议为准。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3.如发生争议或纠纷，甲、乙双方应协商解决，协商不一致时，任何一方均有权向甲方所在地人民法院起诉。</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4.本协议经双方法定代表人或委托代理人签字盖章后生效，履行期限至双方的主合同或协议履行完毕止。</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5.本协议一式陆份，甲方执贰份，乙方执贰份，招标代理机构执贰份，具有同等法律效力。</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rPr>
          <w:rFonts w:hint="eastAsia" w:ascii="宋体" w:hAnsi="宋体" w:eastAsia="宋体" w:cs="宋体"/>
          <w:szCs w:val="21"/>
        </w:rPr>
      </w:pPr>
      <w:r>
        <w:rPr>
          <w:rFonts w:hint="eastAsia" w:ascii="宋体" w:hAnsi="宋体" w:eastAsia="宋体" w:cs="宋体"/>
          <w:szCs w:val="21"/>
        </w:rPr>
      </w:r>
      <w:r/>
    </w:p>
    <w:p>
      <w:pPr>
        <w:pStyle w:val="1030"/>
        <w:rPr>
          <w:rFonts w:ascii="宋体" w:hAnsi="宋体" w:eastAsia="宋体" w:cs="宋体"/>
          <w:szCs w:val="21"/>
        </w:rPr>
      </w:pPr>
      <w:r>
        <w:rPr>
          <w:rFonts w:hint="eastAsia" w:ascii="宋体" w:hAnsi="宋体" w:eastAsia="宋体" w:cs="宋体"/>
          <w:szCs w:val="21"/>
        </w:rPr>
        <w:t xml:space="preserve">甲 方：                         乙 方：</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rPr>
          <w:rFonts w:ascii="宋体" w:hAnsi="宋体" w:eastAsia="宋体" w:cs="宋体"/>
          <w:szCs w:val="21"/>
        </w:rPr>
      </w:pPr>
      <w:r>
        <w:rPr>
          <w:rFonts w:hint="eastAsia" w:ascii="宋体" w:hAnsi="宋体" w:eastAsia="宋体" w:cs="宋体"/>
          <w:szCs w:val="21"/>
        </w:rPr>
        <w:t xml:space="preserve">法人或授权委托人：              法人或授权委托人：</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rPr>
          <w:rFonts w:ascii="宋体" w:hAnsi="宋体" w:eastAsia="宋体" w:cs="宋体"/>
          <w:szCs w:val="21"/>
        </w:rPr>
      </w:pPr>
      <w:r>
        <w:rPr>
          <w:rFonts w:hint="eastAsia" w:ascii="宋体" w:hAnsi="宋体" w:eastAsia="宋体" w:cs="宋体"/>
          <w:szCs w:val="21"/>
        </w:rPr>
        <w:t xml:space="preserve">联系电话：                      联系电话： </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jc w:val="both"/>
        <w:spacing w:line="360" w:lineRule="auto"/>
        <w:rPr>
          <w:rFonts w:hint="eastAsia" w:ascii="宋体" w:hAnsi="宋体" w:eastAsia="宋体" w:cs="宋体"/>
        </w:rPr>
        <w:outlineLvl w:val="0"/>
      </w:pPr>
      <w:r>
        <w:rPr>
          <w:rFonts w:hint="eastAsia" w:ascii="宋体" w:hAnsi="宋体" w:eastAsia="宋体" w:cs="宋体"/>
          <w:szCs w:val="21"/>
        </w:rPr>
        <w:t xml:space="preserve">日期：    年    月     日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日期：   年    月    日</w:t>
      </w:r>
      <w:r>
        <w:rPr>
          <w:rFonts w:hint="eastAsia" w:ascii="宋体" w:hAnsi="宋体" w:eastAsia="宋体" w:cs="宋体"/>
        </w:rPr>
      </w:r>
      <w:r/>
    </w:p>
    <w:p>
      <w:pPr>
        <w:pStyle w:val="1030"/>
        <w:jc w:val="center"/>
        <w:spacing w:line="360" w:lineRule="auto"/>
        <w:rPr>
          <w:b/>
          <w:sz w:val="36"/>
          <w:szCs w:val="36"/>
          <w:highlight w:val="none"/>
        </w:rPr>
        <w:outlineLvl w:val="0"/>
      </w:pPr>
      <w:r>
        <w:rPr>
          <w:rFonts w:hint="eastAsia" w:ascii="宋体" w:hAnsi="宋体" w:eastAsia="宋体" w:cs="宋体"/>
        </w:rPr>
        <w:br w:type="page" w:clear="all"/>
      </w:r>
      <w:r>
        <w:rPr>
          <w:b/>
          <w:sz w:val="36"/>
          <w:szCs w:val="36"/>
          <w:highlight w:val="none"/>
        </w:rPr>
        <w:t xml:space="preserve">第七章   投标文件格式</w:t>
      </w:r>
      <w:bookmarkEnd w:id="820"/>
      <w:r>
        <w:rPr>
          <w:b/>
          <w:sz w:val="36"/>
          <w:szCs w:val="36"/>
          <w:highlight w:val="none"/>
        </w:rPr>
      </w:r>
      <w:r/>
    </w:p>
    <w:p>
      <w:pPr>
        <w:pStyle w:val="1030"/>
        <w:spacing w:line="360" w:lineRule="auto"/>
        <w:tabs>
          <w:tab w:val="left" w:pos="900" w:leader="none"/>
          <w:tab w:val="left" w:pos="1980" w:leader="none"/>
        </w:tabs>
        <w:rPr>
          <w:b/>
          <w:sz w:val="24"/>
          <w:highlight w:val="none"/>
        </w:rPr>
      </w:pPr>
      <w:r>
        <w:rPr>
          <w:b/>
          <w:sz w:val="24"/>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0"/>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0"/>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0"/>
        <w:jc w:val="center"/>
        <w:rPr>
          <w:szCs w:val="21"/>
          <w:highlight w:val="none"/>
        </w:rPr>
      </w:pPr>
      <w:r>
        <w:rPr>
          <w:szCs w:val="21"/>
          <w:highlight w:val="none"/>
        </w:rPr>
      </w:r>
      <w:r/>
    </w:p>
    <w:p>
      <w:pPr>
        <w:pStyle w:val="1030"/>
        <w:jc w:val="center"/>
        <w:rPr>
          <w:b/>
          <w:spacing w:val="60"/>
          <w:sz w:val="84"/>
          <w:szCs w:val="84"/>
          <w:highlight w:val="none"/>
        </w:rPr>
      </w:pPr>
      <w:r>
        <w:rPr>
          <w:b/>
          <w:spacing w:val="60"/>
          <w:sz w:val="84"/>
          <w:szCs w:val="84"/>
          <w:highlight w:val="none"/>
        </w:rPr>
      </w:r>
      <w:r/>
    </w:p>
    <w:p>
      <w:pPr>
        <w:pStyle w:val="1030"/>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0"/>
        <w:jc w:val="center"/>
        <w:rPr>
          <w:b/>
          <w:sz w:val="32"/>
          <w:szCs w:val="32"/>
          <w:highlight w:val="none"/>
        </w:rPr>
      </w:pPr>
      <w:r>
        <w:rPr>
          <w:b/>
          <w:sz w:val="32"/>
          <w:szCs w:val="32"/>
          <w:highlight w:val="none"/>
        </w:rPr>
      </w:r>
      <w:r/>
    </w:p>
    <w:p>
      <w:pPr>
        <w:pStyle w:val="1030"/>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0"/>
        <w:rPr>
          <w:b/>
          <w:highlight w:val="none"/>
        </w:rPr>
      </w:pPr>
      <w:r>
        <w:rPr>
          <w:b/>
          <w:highlight w:val="none"/>
        </w:rPr>
      </w:r>
      <w:r/>
    </w:p>
    <w:p>
      <w:pPr>
        <w:pStyle w:val="10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3"/>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0"/>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5"/>
        <w:ind w:firstLine="480"/>
        <w:spacing w:line="460" w:lineRule="exact"/>
        <w:rPr>
          <w:highlight w:val="none"/>
        </w:rPr>
      </w:pPr>
      <w:r>
        <w:rPr>
          <w:highlight w:val="none"/>
        </w:rPr>
      </w:r>
      <w:r/>
    </w:p>
    <w:p>
      <w:pPr>
        <w:pStyle w:val="1045"/>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5"/>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eastAsia="宋体"/>
          <w:sz w:val="24"/>
          <w:highlight w:val="none"/>
          <w:lang w:val="en-US"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val="en-US" w:eastAsia="zh-CN"/>
        </w:rPr>
      </w:r>
      <w:r/>
    </w:p>
    <w:p>
      <w:pPr>
        <w:pStyle w:val="1030"/>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t xml:space="preserve">2 落实政府采购政策需满足的资格要求</w:t>
      </w:r>
      <w:r>
        <w:rPr>
          <w:rFonts w:hint="eastAsia" w:ascii="宋体" w:hAnsi="宋体" w:eastAsia="宋体" w:cs="宋体"/>
          <w:color w:val="000000"/>
          <w:szCs w:val="21"/>
        </w:rPr>
      </w:r>
      <w:r/>
    </w:p>
    <w:p>
      <w:pPr>
        <w:pStyle w:val="103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2-1 中小企业声明函</w:t>
      </w:r>
      <w:r>
        <w:rPr>
          <w:rFonts w:ascii="Times New Roman" w:hAnsi="Times New Roman" w:eastAsia="宋体" w:cs="Times New Roman"/>
          <w:color w:val="000000"/>
          <w:szCs w:val="21"/>
        </w:rPr>
        <w:t xml:space="preserve">（实质性格式）</w:t>
      </w:r>
      <w:r>
        <w:rPr>
          <w:rFonts w:hint="eastAsia" w:ascii="宋体" w:hAnsi="宋体" w:eastAsia="宋体" w:cs="宋体"/>
          <w:color w:val="000000"/>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Cs w:val="21"/>
        </w:rPr>
        <w:t xml:space="preserve">否则不得享受相关中小企业扶持政策</w:t>
      </w:r>
      <w:r>
        <w:rPr>
          <w:rFonts w:hint="eastAsia" w:ascii="宋体" w:hAnsi="宋体" w:eastAsia="宋体" w:cs="宋体"/>
          <w:szCs w:val="21"/>
        </w:rPr>
        <w:t xml:space="preserve">。</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（2）如本项目（包）专门面向中小/小微企业采购，须提供《中小企业声明函》</w:t>
      </w:r>
      <w:r>
        <w:rPr>
          <w:rFonts w:hint="eastAsia" w:ascii="宋体" w:hAnsi="宋体" w:eastAsia="宋体" w:cs="宋体"/>
          <w:color w:val="000000"/>
          <w:szCs w:val="21"/>
        </w:rPr>
        <w:t xml:space="preserve">（实质性格式）</w:t>
      </w:r>
      <w:r>
        <w:rPr>
          <w:rFonts w:hint="eastAsia" w:ascii="宋体" w:hAnsi="宋体" w:eastAsia="宋体" w:cs="宋体"/>
          <w:szCs w:val="21"/>
        </w:rPr>
        <w:t xml:space="preserve">。</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（4）其它</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Cs w:val="21"/>
        </w:rPr>
      </w:r>
      <w:r/>
    </w:p>
    <w:p>
      <w:pPr>
        <w:pStyle w:val="1030"/>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0"/>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30"/>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0"/>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0"/>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0"/>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center"/>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r>
      <w:r>
        <w:rPr>
          <w:rFonts w:ascii="Times New Roman" w:hAnsi="Times New Roman" w:eastAsia="宋体" w:cs="Times New Roman"/>
          <w:b/>
          <w:color w:val="000000"/>
          <w:sz w:val="36"/>
          <w:szCs w:val="36"/>
          <w:highlight w:val="none"/>
        </w:rPr>
      </w:r>
    </w:p>
    <w:p>
      <w:p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color w:val="000000"/>
          <w:sz w:val="36"/>
          <w:szCs w:val="36"/>
          <w:highlight w:val="none"/>
        </w:rPr>
      </w:r>
      <w:r>
        <w:rPr>
          <w:rFonts w:ascii="Times New Roman" w:hAnsi="Times New Roman" w:eastAsia="宋体" w:cs="Times New Roman"/>
          <w:b/>
          <w:color w:val="000000"/>
          <w:sz w:val="36"/>
          <w:szCs w:val="36"/>
          <w:highlight w:val="none"/>
        </w:rPr>
      </w:r>
    </w:p>
    <w:p>
      <w:p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color w:val="000000"/>
          <w:sz w:val="36"/>
          <w:szCs w:val="36"/>
          <w:highlight w:val="none"/>
        </w:rPr>
      </w:r>
      <w:r>
        <w:rPr>
          <w:rFonts w:ascii="Times New Roman" w:hAnsi="Times New Roman" w:eastAsia="宋体" w:cs="Times New Roman"/>
          <w:b/>
          <w:color w:val="000000"/>
          <w:sz w:val="36"/>
          <w:szCs w:val="36"/>
          <w:highlight w:val="none"/>
        </w:rPr>
      </w:r>
    </w:p>
    <w:p>
      <w:p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color w:val="000000"/>
          <w:sz w:val="36"/>
          <w:szCs w:val="36"/>
          <w:highlight w:val="none"/>
        </w:rPr>
      </w:r>
      <w:r>
        <w:rPr>
          <w:rFonts w:ascii="Times New Roman" w:hAnsi="Times New Roman" w:eastAsia="宋体" w:cs="Times New Roman"/>
          <w:b/>
          <w:color w:val="000000"/>
          <w:sz w:val="36"/>
          <w:szCs w:val="36"/>
          <w:highlight w:val="none"/>
        </w:rPr>
      </w:r>
    </w:p>
    <w:p>
      <w:p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color w:val="000000"/>
          <w:sz w:val="36"/>
          <w:szCs w:val="36"/>
          <w:highlight w:val="none"/>
        </w:rPr>
      </w:r>
      <w:r>
        <w:rPr>
          <w:rFonts w:ascii="Times New Roman" w:hAnsi="Times New Roman" w:eastAsia="宋体" w:cs="Times New Roman"/>
          <w:b/>
          <w:color w:val="000000"/>
          <w:sz w:val="36"/>
          <w:szCs w:val="36"/>
          <w:highlight w:val="none"/>
        </w:rPr>
      </w:r>
    </w:p>
    <w:p>
      <w:pPr>
        <w:pStyle w:val="1030"/>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0"/>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30"/>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030"/>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030"/>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030"/>
        <w:jc w:val="center"/>
        <w:keepLines w:val="0"/>
        <w:keepNext w:val="0"/>
        <w:pageBreakBefore w:val="0"/>
        <w:spacing w:line="360" w:lineRule="auto"/>
        <w:widowControl/>
        <w:rPr>
          <w:rFonts w:hint="eastAsia" w:ascii="宋体" w:hAnsi="宋体"/>
          <w:b/>
          <w:sz w:val="32"/>
          <w:szCs w:val="32"/>
          <w:highlight w:val="none"/>
        </w:rPr>
      </w:pPr>
      <w:r>
        <w:rPr>
          <w:rFonts w:hint="eastAsia" w:ascii="宋体" w:hAnsi="宋体" w:eastAsia="宋体" w:cs="宋体"/>
          <w:spacing w:val="6"/>
          <w:szCs w:val="21"/>
        </w:rPr>
        <w:t xml:space="preserve">日  期</w:t>
      </w:r>
      <w:r>
        <w:rPr>
          <w:rFonts w:hint="eastAsia" w:ascii="宋体" w:hAnsi="宋体" w:eastAsia="宋体" w:cs="宋体"/>
          <w:spacing w:val="6"/>
          <w:szCs w:val="21"/>
          <w:lang w:eastAsia="zh-CN"/>
        </w:rPr>
        <w:t xml:space="preserve">：</w:t>
      </w:r>
      <w:r>
        <w:rPr>
          <w:rFonts w:ascii="宋体" w:hAnsi="宋体"/>
          <w:b/>
          <w:sz w:val="32"/>
          <w:szCs w:val="32"/>
          <w:highlight w:val="none"/>
        </w:rPr>
        <w:br w:type="page" w:clear="all"/>
      </w:r>
      <w:r>
        <w:rPr>
          <w:rFonts w:ascii="宋体" w:hAnsi="宋体"/>
          <w:b/>
          <w:sz w:val="32"/>
          <w:szCs w:val="32"/>
          <w:highlight w:val="none"/>
        </w:rPr>
        <w:t xml:space="preserve">二、商务技术文件格式</w:t>
      </w:r>
      <w:bookmarkStart w:id="821" w:name="_Toc150480794"/>
      <w:r/>
      <w:bookmarkStart w:id="822" w:name="_Toc480942349"/>
      <w:r/>
      <w:bookmarkStart w:id="823" w:name="_Toc226965829"/>
      <w:r/>
      <w:bookmarkStart w:id="824" w:name="_Toc226337252"/>
      <w:r/>
      <w:bookmarkStart w:id="825" w:name="_Toc142311058"/>
      <w:r/>
      <w:bookmarkStart w:id="826" w:name="_Toc226309800"/>
      <w:r/>
      <w:bookmarkStart w:id="827" w:name="_Toc520356217"/>
      <w:r/>
      <w:bookmarkStart w:id="828" w:name="_Toc226965746"/>
      <w:r/>
      <w:bookmarkStart w:id="829" w:name="_Toc127151556"/>
      <w:r/>
      <w:bookmarkStart w:id="830" w:name="_Ref467988698"/>
      <w:r/>
      <w:bookmarkStart w:id="831" w:name="_Toc195842921"/>
      <w:r/>
      <w:bookmarkStart w:id="832" w:name="_Toc150774761"/>
      <w:r>
        <w:rPr>
          <w:rFonts w:hint="eastAsia" w:ascii="宋体" w:hAnsi="宋体"/>
          <w:b/>
          <w:sz w:val="32"/>
          <w:szCs w:val="32"/>
          <w:highlight w:val="none"/>
        </w:rPr>
      </w:r>
      <w:r/>
    </w:p>
    <w:p>
      <w:pPr>
        <w:pStyle w:val="1030"/>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cs="宋体"/>
          <w:color w:val="000000"/>
          <w:szCs w:val="21"/>
          <w:highlight w:val="none"/>
        </w:rPr>
        <w:t xml:space="preserve">函（实质性格式）</w:t>
      </w:r>
      <w:r>
        <w:rPr>
          <w:color w:val="000000"/>
          <w:sz w:val="24"/>
          <w:szCs w:val="20"/>
          <w:highlight w:val="none"/>
        </w:rPr>
      </w:r>
      <w:r/>
    </w:p>
    <w:p>
      <w:pPr>
        <w:pStyle w:val="1030"/>
        <w:spacing w:line="360" w:lineRule="auto"/>
        <w:tabs>
          <w:tab w:val="left" w:pos="5580" w:leader="none"/>
        </w:tabs>
        <w:rPr>
          <w:color w:val="000000"/>
          <w:sz w:val="24"/>
          <w:highlight w:val="none"/>
        </w:rPr>
      </w:pPr>
      <w:r>
        <w:rPr>
          <w:color w:val="000000"/>
          <w:sz w:val="24"/>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0"/>
        <w:jc w:val="left"/>
        <w:widowControl/>
        <w:rPr>
          <w:rFonts w:hint="eastAsia"/>
          <w:color w:val="000000"/>
          <w:sz w:val="24"/>
          <w:highlight w:val="none"/>
        </w:rPr>
      </w:pPr>
      <w:r/>
      <w:bookmarkStart w:id="833" w:name="_Hlt520355938"/>
      <w:r/>
      <w:bookmarkEnd w:id="833"/>
      <w:r/>
      <w:bookmarkStart w:id="834" w:name="_Hlt520356243"/>
      <w:r/>
      <w:bookmarkEnd w:id="834"/>
      <w:r>
        <w:rPr>
          <w:color w:val="000000"/>
          <w:sz w:val="24"/>
          <w:highlight w:val="none"/>
        </w:rPr>
        <w:br w:type="page" w:clear="all"/>
      </w:r>
      <w:r>
        <w:rPr>
          <w:rFonts w:hint="eastAsia"/>
          <w:color w:val="000000"/>
          <w:sz w:val="24"/>
          <w:highlight w:val="none"/>
        </w:rPr>
      </w:r>
      <w:r/>
    </w:p>
    <w:p>
      <w:pPr>
        <w:pStyle w:val="1030"/>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0"/>
        <w:spacing w:line="560" w:lineRule="exact"/>
        <w:rPr>
          <w:rFonts w:ascii="宋体" w:hAnsi="宋体"/>
          <w:szCs w:val="21"/>
          <w:highlight w:val="none"/>
        </w:rPr>
      </w:pPr>
      <w:r>
        <w:rPr>
          <w:rFonts w:ascii="宋体" w:hAnsi="宋体"/>
          <w:szCs w:val="21"/>
          <w:highlight w:val="none"/>
        </w:rPr>
      </w:r>
      <w:r/>
    </w:p>
    <w:p>
      <w:pPr>
        <w:pStyle w:val="1062"/>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0"/>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0"/>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0"/>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0"/>
        <w:ind w:firstLine="420"/>
        <w:spacing w:line="360" w:lineRule="exact"/>
        <w:rPr>
          <w:rFonts w:ascii="宋体" w:hAnsi="宋体" w:cs="宋体"/>
          <w:szCs w:val="21"/>
          <w:highlight w:val="none"/>
        </w:rPr>
      </w:pP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0"/>
        <w:ind w:firstLine="640"/>
        <w:rPr>
          <w:highlight w:val="none"/>
        </w:rPr>
      </w:pPr>
      <w:r>
        <w:rPr>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0"/>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jc w:val="left"/>
        <w:widowControl/>
        <w:rPr>
          <w:color w:val="000000"/>
          <w:sz w:val="24"/>
          <w:szCs w:val="20"/>
          <w:highlight w:val="none"/>
        </w:rPr>
      </w:pPr>
      <w:r/>
      <w:bookmarkStart w:id="835" w:name="_Hlt520273711"/>
      <w:r/>
      <w:bookmarkEnd w:id="835"/>
      <w:r/>
      <w:bookmarkStart w:id="836" w:name="_Hlt520343392"/>
      <w:r/>
      <w:bookmarkEnd w:id="836"/>
      <w:r/>
      <w:bookmarkStart w:id="837" w:name="_Hlt520274121"/>
      <w:r/>
      <w:bookmarkEnd w:id="837"/>
      <w:r/>
      <w:bookmarkStart w:id="838" w:name="_Hlt520355504"/>
      <w:r/>
      <w:bookmarkEnd w:id="838"/>
      <w:r/>
      <w:bookmarkStart w:id="839" w:name="_Hlt520274065"/>
      <w:r/>
      <w:bookmarkEnd w:id="839"/>
      <w:r/>
      <w:bookmarkStart w:id="840" w:name="_Hlt520274393"/>
      <w:r/>
      <w:bookmarkEnd w:id="840"/>
      <w:r/>
      <w:bookmarkStart w:id="841" w:name="_Hlt520274407"/>
      <w:r/>
      <w:bookmarkEnd w:id="841"/>
      <w:r/>
      <w:bookmarkStart w:id="842" w:name="_Hlt520343000"/>
      <w:r/>
      <w:bookmarkEnd w:id="842"/>
      <w:r/>
      <w:bookmarkStart w:id="843" w:name="_Hlt520350918"/>
      <w:r/>
      <w:bookmarkEnd w:id="843"/>
      <w:r/>
      <w:bookmarkStart w:id="844" w:name="_Hlt520271212"/>
      <w:r/>
      <w:bookmarkEnd w:id="844"/>
      <w:r/>
      <w:bookmarkStart w:id="845" w:name="_Toc150480795"/>
      <w:r/>
      <w:bookmarkStart w:id="846" w:name="_Toc150774762"/>
      <w:r/>
      <w:bookmarkStart w:id="847" w:name="_Toc264969247"/>
      <w:r/>
      <w:bookmarkStart w:id="848" w:name="_Toc520356218"/>
      <w:r/>
      <w:bookmarkStart w:id="849" w:name="_Toc305158899"/>
      <w:r/>
      <w:bookmarkStart w:id="850" w:name="_Toc142311059"/>
      <w:r/>
      <w:bookmarkStart w:id="851" w:name="_Toc226337253"/>
      <w:r/>
      <w:bookmarkStart w:id="852" w:name="_Toc226309801"/>
      <w:r/>
      <w:bookmarkStart w:id="853" w:name="_Toc127151557"/>
      <w:r/>
      <w:bookmarkStart w:id="854" w:name="_Toc226965830"/>
      <w:r/>
      <w:bookmarkStart w:id="855" w:name="_Ref467988705"/>
      <w:r/>
      <w:bookmarkStart w:id="856" w:name="_Toc226965747"/>
      <w:r/>
      <w:bookmarkStart w:id="857" w:name="_Toc265228395"/>
      <w:r/>
      <w:bookmarkStart w:id="858" w:name="_Toc195842922"/>
      <w:r/>
      <w:bookmarkStart w:id="859" w:name="_Toc305158825"/>
      <w:r/>
      <w:bookmarkStart w:id="860" w:name="_Toc480942350"/>
      <w:r>
        <w:rPr>
          <w:color w:val="000000"/>
          <w:sz w:val="24"/>
          <w:szCs w:val="20"/>
          <w:highlight w:val="none"/>
        </w:rPr>
        <w:br w:type="page" w:clear="all"/>
      </w:r>
      <w:r>
        <w:rPr>
          <w:color w:val="000000"/>
          <w:sz w:val="24"/>
          <w:szCs w:val="20"/>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Cs w:val="21"/>
          <w:highlight w:val="none"/>
        </w:rPr>
        <w:t xml:space="preserve">（实质性格式）</w:t>
      </w:r>
      <w:r>
        <w:rPr>
          <w:color w:val="000000"/>
          <w:sz w:val="24"/>
          <w:szCs w:val="20"/>
          <w:highlight w:val="none"/>
        </w:rPr>
      </w:r>
      <w:r/>
    </w:p>
    <w:p>
      <w:pPr>
        <w:pStyle w:val="1030"/>
        <w:jc w:val="center"/>
        <w:spacing w:line="360" w:lineRule="exact"/>
        <w:rPr>
          <w:b/>
          <w:color w:val="000000"/>
          <w:sz w:val="36"/>
          <w:szCs w:val="36"/>
          <w:highlight w:val="none"/>
        </w:rPr>
      </w:pPr>
      <w:r/>
      <w:bookmarkStart w:id="861" w:name="_Toc226965748"/>
      <w:r/>
      <w:bookmarkStart w:id="862" w:name="_Toc226337254"/>
      <w:r/>
      <w:bookmarkStart w:id="863" w:name="_Toc264969248"/>
      <w:r/>
      <w:bookmarkStart w:id="864" w:name="_Toc305158900"/>
      <w:r/>
      <w:bookmarkStart w:id="865" w:name="_Toc226965831"/>
      <w:r/>
      <w:bookmarkStart w:id="866" w:name="_Toc164608672"/>
      <w:r/>
      <w:bookmarkStart w:id="867" w:name="_Toc164608827"/>
      <w:r/>
      <w:bookmarkStart w:id="868" w:name="_Toc195842923"/>
      <w:r/>
      <w:bookmarkStart w:id="869" w:name="_Toc226309802"/>
      <w:r/>
      <w:bookmarkStart w:id="870" w:name="_Toc305158826"/>
      <w:r/>
      <w:bookmarkStart w:id="871" w:name="_Toc265228396"/>
      <w:r>
        <w:rPr>
          <w:rFonts w:hint="eastAsia"/>
          <w:b/>
          <w:color w:val="000000"/>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b/>
          <w:color w:val="000000"/>
          <w:sz w:val="36"/>
          <w:szCs w:val="36"/>
          <w:highlight w:val="none"/>
        </w:rPr>
      </w:r>
      <w:r/>
    </w:p>
    <w:p>
      <w:pPr>
        <w:pStyle w:val="1030"/>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0"/>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投标</w:t>
            </w:r>
            <w:r>
              <w:rPr>
                <w:rFonts w:hint="eastAsia" w:ascii="宋体" w:hAnsi="宋体" w:cs="宋体"/>
                <w:bCs/>
                <w:szCs w:val="21"/>
                <w:highlight w:val="none"/>
                <w:lang w:val="en-US" w:eastAsia="zh-CN"/>
              </w:rPr>
              <w:t xml:space="preserve">优惠率</w:t>
            </w:r>
            <w:r>
              <w:rPr>
                <w:rFonts w:hint="eastAsia" w:ascii="宋体" w:hAnsi="宋体" w:eastAsia="宋体" w:cs="宋体"/>
                <w:bCs/>
                <w:szCs w:val="21"/>
                <w:highlight w:val="none"/>
                <w:lang w:eastAsia="zh-CN"/>
              </w:rPr>
            </w:r>
            <w:r/>
          </w:p>
        </w:tc>
        <w:tc>
          <w:tcPr>
            <w:tcW w:w="4006" w:type="dxa"/>
            <w:vAlign w:val="center"/>
            <w:textDirection w:val="lrTb"/>
            <w:noWrap w:val="false"/>
          </w:tcPr>
          <w:p>
            <w:pPr>
              <w:pStyle w:val="1030"/>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r>
            <w:r/>
          </w:p>
        </w:tc>
        <w:tc>
          <w:tcPr>
            <w:tcW w:w="1404"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bl>
    <w:p>
      <w:pPr>
        <w:pStyle w:val="1030"/>
        <w:spacing w:line="400" w:lineRule="exac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1030"/>
        <w:spacing w:line="400" w:lineRule="exac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0"/>
        <w:jc w:val="left"/>
        <w:widowControl/>
        <w:rPr>
          <w:rFonts w:hint="eastAsia" w:ascii="宋体" w:hAnsi="宋体" w:cs="宋体"/>
          <w:color w:val="000000"/>
          <w:szCs w:val="21"/>
          <w:highlight w:val="none"/>
        </w:rPr>
      </w:pPr>
      <w:r/>
      <w:bookmarkStart w:id="872" w:name="_Toc226309806"/>
      <w:r/>
      <w:bookmarkStart w:id="873" w:name="_Toc142311062"/>
      <w:r/>
      <w:bookmarkStart w:id="874" w:name="_Toc265228400"/>
      <w:r/>
      <w:bookmarkStart w:id="875" w:name="_Toc264969252"/>
      <w:r/>
      <w:bookmarkStart w:id="876" w:name="_Toc226965752"/>
      <w:r/>
      <w:bookmarkStart w:id="877" w:name="_Toc226965835"/>
      <w:r/>
      <w:bookmarkStart w:id="878" w:name="_Toc150480798"/>
      <w:r/>
      <w:bookmarkStart w:id="879" w:name="_Toc195842927"/>
      <w:r/>
      <w:bookmarkStart w:id="880" w:name="_Toc305158830"/>
      <w:r/>
      <w:bookmarkStart w:id="881" w:name="_Toc305158904"/>
      <w:r/>
      <w:bookmarkStart w:id="882" w:name="_Toc150774765"/>
      <w:r/>
      <w:bookmarkStart w:id="883" w:name="_Toc226337258"/>
      <w:r/>
      <w:bookmarkStart w:id="884" w:name="_Toc127151562"/>
      <w:r/>
      <w:bookmarkStart w:id="885" w:name="_Toc226965751"/>
      <w:r/>
      <w:bookmarkStart w:id="886" w:name="_Toc142311061"/>
      <w:r/>
      <w:bookmarkStart w:id="887" w:name="_Toc127151561"/>
      <w:r/>
      <w:bookmarkStart w:id="888" w:name="_Toc265228399"/>
      <w:r/>
      <w:bookmarkStart w:id="889" w:name="_Toc150774764"/>
      <w:r/>
      <w:bookmarkStart w:id="890" w:name="_Toc226337257"/>
      <w:r/>
      <w:bookmarkStart w:id="891" w:name="_Toc150480797"/>
      <w:r/>
      <w:bookmarkStart w:id="892" w:name="_Toc305158829"/>
      <w:r/>
      <w:bookmarkStart w:id="893" w:name="_Toc264969251"/>
      <w:r/>
      <w:bookmarkStart w:id="894" w:name="_Toc226309805"/>
      <w:r/>
      <w:bookmarkStart w:id="895" w:name="_Toc305158903"/>
      <w:r/>
      <w:bookmarkStart w:id="896" w:name="_Toc226965834"/>
      <w:r/>
      <w:bookmarkStart w:id="897" w:name="_Toc195842926"/>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Cs w:val="21"/>
          <w:highlight w:val="none"/>
        </w:rPr>
        <w:t xml:space="preserve">（实质性格式）</w:t>
      </w:r>
      <w:r>
        <w:rPr>
          <w:color w:val="000000"/>
          <w:sz w:val="24"/>
          <w:szCs w:val="20"/>
          <w:highlight w:val="none"/>
        </w:rPr>
      </w:r>
      <w:r/>
    </w:p>
    <w:p>
      <w:pPr>
        <w:pStyle w:val="1030"/>
        <w:spacing w:line="360" w:lineRule="auto"/>
        <w:rPr>
          <w:color w:val="000000"/>
          <w:sz w:val="24"/>
          <w:szCs w:val="20"/>
          <w:highlight w:val="none"/>
        </w:rPr>
      </w:pPr>
      <w:r>
        <w:rPr>
          <w:color w:val="000000"/>
          <w:sz w:val="24"/>
          <w:szCs w:val="20"/>
          <w:highlight w:val="none"/>
        </w:rPr>
      </w:r>
      <w:r/>
    </w:p>
    <w:p>
      <w:pPr>
        <w:pStyle w:val="103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0"/>
        <w:spacing w:line="360" w:lineRule="auto"/>
        <w:rPr>
          <w:color w:val="000000"/>
          <w:sz w:val="24"/>
          <w:szCs w:val="20"/>
          <w:highlight w:val="none"/>
        </w:rPr>
      </w:pPr>
      <w:r>
        <w:rPr>
          <w:color w:val="000000"/>
          <w:sz w:val="24"/>
          <w:szCs w:val="20"/>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8" w:name="OLE_LINK4"/>
      <w:r>
        <w:rPr>
          <w:rFonts w:hint="eastAsia" w:ascii="宋体" w:hAnsi="宋体" w:cs="宋体"/>
          <w:szCs w:val="21"/>
          <w:lang w:eastAsia="zh-CN"/>
        </w:rPr>
        <w:t xml:space="preserve">“不完全响应”或“不响应”</w:t>
      </w:r>
      <w:bookmarkEnd w:id="898"/>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rFonts w:hint="eastAsia"/>
          <w:spacing w:val="6"/>
          <w:sz w:val="24"/>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rPr>
          <w:rFonts w:hint="eastAsia"/>
          <w:sz w:val="22"/>
          <w:highlight w:val="none"/>
        </w:rPr>
      </w:pPr>
      <w:r/>
      <w:bookmarkStart w:id="899" w:name="_Toc288738397"/>
      <w:r/>
      <w:bookmarkStart w:id="900" w:name="_Toc288738839"/>
      <w:r>
        <w:rPr>
          <w:rFonts w:hint="eastAsia"/>
          <w:sz w:val="22"/>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相关业绩案例一览表</w:t>
      </w:r>
      <w:r>
        <w:rPr>
          <w:rFonts w:hint="eastAsia" w:ascii="宋体" w:hAnsi="宋体" w:cs="宋体"/>
          <w:color w:val="000000"/>
          <w:szCs w:val="21"/>
          <w:highlight w:val="none"/>
        </w:rPr>
      </w:r>
      <w:r/>
    </w:p>
    <w:p>
      <w:pPr>
        <w:pStyle w:val="10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center"/>
        <w:rPr>
          <w:rFonts w:hint="eastAsia" w:ascii="宋体" w:hAnsi="宋体" w:cs="宋体"/>
          <w:b/>
          <w:szCs w:val="21"/>
          <w:highlight w:val="none"/>
        </w:rPr>
      </w:pPr>
      <w:r>
        <w:rPr>
          <w:rFonts w:hint="eastAsia"/>
          <w:b/>
          <w:bCs/>
          <w:color w:val="000000"/>
          <w:sz w:val="36"/>
          <w:szCs w:val="36"/>
          <w:highlight w:val="none"/>
        </w:rPr>
        <w:t xml:space="preserve">相关业绩案例一览表</w:t>
      </w:r>
      <w:bookmarkEnd w:id="899"/>
      <w:r/>
      <w:bookmarkEnd w:id="900"/>
      <w:r>
        <w:rPr>
          <w:rFonts w:hint="eastAsia" w:ascii="宋体" w:hAnsi="宋体" w:cs="宋体"/>
          <w:b/>
          <w:szCs w:val="21"/>
          <w:highlight w:val="none"/>
        </w:rPr>
      </w:r>
      <w:r/>
    </w:p>
    <w:p>
      <w:pPr>
        <w:pStyle w:val="1030"/>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r>
      <w:r/>
    </w:p>
    <w:tbl>
      <w:tblPr>
        <w:tblW w:w="95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4"/>
        <w:gridCol w:w="1787"/>
        <w:gridCol w:w="1616"/>
        <w:gridCol w:w="1273"/>
        <w:gridCol w:w="1839"/>
        <w:gridCol w:w="1697"/>
      </w:tblGrid>
      <w:tr>
        <w:trPr>
          <w:trHeight w:val="523"/>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项目时间</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项目甲方单位</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合同金额</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单位地址</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联系电话</w:t>
            </w:r>
            <w:r>
              <w:rPr>
                <w:rFonts w:hint="eastAsia" w:ascii="宋体" w:hAnsi="宋体" w:cs="宋体"/>
                <w:szCs w:val="21"/>
                <w:highlight w:val="none"/>
                <w:lang w:val="zh-CN"/>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bl>
    <w:p>
      <w:pPr>
        <w:pStyle w:val="1030"/>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ascii="Times New Roman" w:hAnsi="Times New Roman" w:eastAsia="宋体" w:cs="Times New Roman"/>
          <w:sz w:val="24"/>
          <w:szCs w:val="24"/>
        </w:rPr>
        <w:outlineLvl w:val="2"/>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spacing w:line="360" w:lineRule="auto"/>
        <w:rPr>
          <w:rFonts w:hint="eastAsia" w:ascii="宋体" w:hAnsi="宋体" w:eastAsia="宋体" w:cs="宋体"/>
          <w:color w:val="000000"/>
          <w:highlight w:val="none"/>
        </w:rPr>
        <w:outlineLvl w:val="2"/>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spacing w:line="360" w:lineRule="auto"/>
        <w:rPr>
          <w:rFonts w:hint="eastAsia" w:ascii="宋体" w:hAnsi="宋体" w:eastAsia="宋体" w:cs="宋体"/>
          <w:color w:val="000000"/>
          <w:highlight w:val="none"/>
        </w:rPr>
        <w:outlineLvl w:val="2"/>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p>
      <w:pPr>
        <w:pStyle w:val="1030"/>
        <w:spacing w:line="360" w:lineRule="auto"/>
        <w:rPr>
          <w:rFonts w:hint="eastAsia" w:ascii="宋体" w:hAnsi="宋体" w:eastAsia="宋体" w:cs="宋体"/>
          <w:color w:val="000000"/>
          <w:highlight w:val="none"/>
        </w:rPr>
        <w:outlineLvl w:val="2"/>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关于符合本国产品标准的声明函</w:t>
      </w:r>
      <w:r>
        <w:rPr>
          <w:rFonts w:ascii="Times New Roman" w:hAnsi="Times New Roman" w:eastAsia="宋体" w:cs="Times New Roman"/>
          <w:sz w:val="24"/>
        </w:rPr>
      </w:r>
      <w:r/>
    </w:p>
    <w:p>
      <w:pPr>
        <w:pStyle w:val="1030"/>
        <w:jc w:val="center"/>
        <w:spacing w:line="480" w:lineRule="exact"/>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关于符合本国产品标准的声明函</w:t>
      </w:r>
      <w:r>
        <w:rPr>
          <w:rFonts w:ascii="Times New Roman" w:hAnsi="Times New Roman" w:eastAsia="宋体" w:cs="Times New Roman"/>
          <w:b/>
          <w:sz w:val="36"/>
          <w:szCs w:val="36"/>
        </w:rPr>
      </w:r>
      <w:r/>
    </w:p>
    <w:p>
      <w:pPr>
        <w:pStyle w:val="1030"/>
        <w:ind w:firstLine="480"/>
        <w:spacing w:before="25" w:after="25" w:line="360" w:lineRule="auto"/>
        <w:rPr>
          <w:rFonts w:ascii="Times New Roman" w:hAnsi="Times New Roman" w:eastAsia="宋体" w:cs="Times New Roman"/>
          <w:sz w:val="24"/>
        </w:rPr>
      </w:pPr>
      <w:r>
        <w:rPr>
          <w:rFonts w:ascii="Times New Roman" w:hAnsi="Times New Roman" w:eastAsia="宋体" w:cs="Times New Roman"/>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1694035</wp:posOffset>
                </wp:positionH>
                <wp:positionV relativeFrom="paragraph">
                  <wp:posOffset>663575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33.4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604887</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47.6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4410710</wp:posOffset>
                </wp:positionH>
                <wp:positionV relativeFrom="paragraph">
                  <wp:posOffset>325437</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47.3pt;mso-position-horizontal:absolute;mso-position-vertical-relative:text;margin-top:25.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2056096</wp:posOffset>
                </wp:positionH>
                <wp:positionV relativeFrom="paragraph">
                  <wp:posOffset>377190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61.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3288542</wp:posOffset>
                </wp:positionH>
                <wp:positionV relativeFrom="paragraph">
                  <wp:posOffset>349885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5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1.（</w:t>
      </w:r>
      <w:r>
        <w:rPr>
          <w:rFonts w:hint="eastAsia" w:ascii="宋体" w:hAnsi="宋体" w:eastAsia="宋体" w:cs="宋体"/>
          <w:sz w:val="24"/>
          <w:u w:val="single"/>
        </w:rPr>
        <w:t xml:space="preserve">产品名称1</w:t>
      </w:r>
      <w:r>
        <w:rPr>
          <w:rFonts w:hint="eastAsia" w:ascii="宋体" w:hAnsi="宋体" w:eastAsia="宋体" w:cs="宋体"/>
          <w:sz w:val="24"/>
        </w:rPr>
        <w:t xml:space="preserve">）</w:t>
      </w:r>
      <w:r>
        <w:rPr>
          <w:rFonts w:hint="eastAsia" w:ascii="宋体" w:hAnsi="宋体" w:eastAsia="宋体" w:cs="宋体"/>
          <w:sz w:val="24"/>
          <w:vertAlign w:val="superscript"/>
        </w:rPr>
        <w:t xml:space="preserve">1</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w:t>
      </w:r>
      <w:r>
        <w:rPr>
          <w:rFonts w:hint="eastAsia" w:ascii="宋体" w:hAnsi="宋体" w:eastAsia="宋体" w:cs="宋体"/>
          <w:sz w:val="24"/>
          <w:vertAlign w:val="superscript"/>
        </w:rPr>
        <w:t xml:space="preserve">2</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产品名称1</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w:t>
      </w:r>
      <w:r>
        <w:rPr>
          <w:rFonts w:hint="eastAsia" w:ascii="宋体" w:hAnsi="宋体" w:eastAsia="宋体" w:cs="宋体"/>
          <w:sz w:val="24"/>
          <w:vertAlign w:val="superscript"/>
        </w:rPr>
        <w:t xml:space="preserve">4</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w:t>
      </w:r>
      <w:r>
        <w:rPr>
          <w:rFonts w:hint="eastAsia" w:ascii="宋体" w:hAnsi="宋体" w:eastAsia="宋体" w:cs="宋体"/>
          <w:sz w:val="24"/>
          <w:vertAlign w:val="superscript"/>
        </w:rPr>
        <w:t xml:space="preserve">5</w:t>
      </w:r>
      <w:r>
        <w:rPr>
          <w:rFonts w:hint="eastAsia" w:ascii="宋体" w:hAnsi="宋体" w:eastAsia="宋体" w:cs="宋体"/>
          <w:sz w:val="24"/>
        </w:rPr>
        <w:t xml:space="preserve">在中国境内完成。</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1530495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120.5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4685665</wp:posOffset>
                </wp:positionH>
                <wp:positionV relativeFrom="paragraph">
                  <wp:posOffset>61595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8.9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339725</wp:posOffset>
                </wp:positionH>
                <wp:positionV relativeFrom="paragraph">
                  <wp:posOffset>663575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26.8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4277360</wp:posOffset>
                </wp:positionH>
                <wp:positionV relativeFrom="paragraph">
                  <wp:posOffset>349885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336.8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2056096</wp:posOffset>
                </wp:positionH>
                <wp:positionV relativeFrom="paragraph">
                  <wp:posOffset>349885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61.9pt;mso-position-horizontal:absolute;mso-position-vertical-relative:text;margin-top:27.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3119755</wp:posOffset>
                </wp:positionH>
                <wp:positionV relativeFrom="paragraph">
                  <wp:posOffset>349885</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245.6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2.（</w:t>
      </w:r>
      <w:r>
        <w:rPr>
          <w:rFonts w:hint="eastAsia" w:ascii="宋体" w:hAnsi="宋体" w:eastAsia="宋体" w:cs="宋体"/>
          <w:sz w:val="24"/>
          <w:u w:val="single"/>
        </w:rPr>
        <w:t xml:space="preserve">产品名称2</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产品名称2</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）在中国境内完成。</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1030"/>
        <w:ind w:right="848"/>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r>
      <w:r/>
    </w:p>
    <w:p>
      <w:pPr>
        <w:pStyle w:val="1030"/>
        <w:ind w:right="848" w:firstLine="3720"/>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公司（单位）名称（盖章）：　        </w:t>
      </w:r>
      <w:r>
        <w:rPr>
          <w:rFonts w:hint="eastAsia" w:ascii="宋体" w:hAnsi="宋体" w:eastAsia="宋体" w:cs="宋体"/>
          <w:sz w:val="24"/>
          <w:szCs w:val="24"/>
        </w:rPr>
      </w:r>
      <w:r/>
    </w:p>
    <w:p>
      <w:pPr>
        <w:pStyle w:val="1030"/>
        <w:ind w:right="848"/>
        <w:jc w:val="righ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                                 日期：　   年　  月　  日</w:t>
      </w:r>
      <w:r>
        <w:rPr>
          <w:rFonts w:hint="eastAsia" w:ascii="宋体" w:hAnsi="宋体" w:eastAsia="宋体" w:cs="宋体"/>
          <w:sz w:val="24"/>
          <w:szCs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__________________</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rPr>
          <w:rFonts w:hint="eastAsia" w:ascii="宋体" w:hAnsi="宋体" w:eastAsia="宋体" w:cs="宋体"/>
          <w:sz w:val="24"/>
        </w:rPr>
      </w:r>
      <w:r/>
    </w:p>
    <w:p>
      <w:pPr>
        <w:pStyle w:val="1030"/>
        <w:spacing w:line="360" w:lineRule="auto"/>
        <w:rPr>
          <w:rFonts w:hint="eastAsia" w:ascii="宋体" w:hAnsi="宋体" w:cs="宋体"/>
          <w:color w:val="000000"/>
          <w:szCs w:val="21"/>
          <w:highlight w:val="none"/>
          <w:lang w:val="en-US" w:eastAsia="zh-CN"/>
        </w:rPr>
        <w:outlineLvl w:val="2"/>
      </w:pPr>
      <w:r>
        <w:rPr>
          <w:rFonts w:hint="eastAsia" w:ascii="宋体" w:hAnsi="宋体" w:eastAsia="宋体" w:cs="宋体"/>
          <w:sz w:val="24"/>
        </w:rPr>
        <w:t xml:space="preserve">6.用斜线划除的地方无需填写。</w:t>
      </w:r>
      <w:r>
        <w:rPr>
          <w:rFonts w:hint="eastAsia" w:ascii="宋体" w:hAnsi="宋体" w:cs="宋体"/>
          <w:color w:val="000000"/>
          <w:szCs w:val="21"/>
          <w:highlight w:val="none"/>
          <w:lang w:val="en-US" w:eastAsia="zh-CN"/>
        </w:rPr>
      </w:r>
      <w:r/>
    </w:p>
    <w:p>
      <w:pPr>
        <w:pStyle w:val="1030"/>
        <w:spacing w:line="360" w:lineRule="auto"/>
        <w:rPr>
          <w:color w:val="000000"/>
          <w:sz w:val="24"/>
          <w:highlight w:val="none"/>
          <w:lang w:val="zh-CN"/>
        </w:rPr>
        <w:outlineLvl w:val="2"/>
      </w:pP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11    </w:t>
      </w:r>
      <w:r>
        <w:rPr>
          <w:rFonts w:hint="eastAsia"/>
          <w:color w:val="000000"/>
          <w:szCs w:val="21"/>
          <w:highlight w:val="none"/>
        </w:rPr>
        <w:t xml:space="preserve">投标人认为需要提供的其它说明和资料</w:t>
      </w:r>
      <w:r>
        <w:rPr>
          <w:color w:val="000000"/>
          <w:sz w:val="24"/>
          <w:highlight w:val="none"/>
          <w:lang w:val="zh-CN"/>
        </w:rPr>
      </w:r>
      <w:r/>
    </w:p>
    <w:p>
      <w:pPr>
        <w:pStyle w:val="1030"/>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3"/>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5"/>
      </w:rPr>
    </w:pPr>
    <w:r>
      <w:rPr>
        <w:rStyle w:val="1105"/>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center" w:y="1"/>
    </w:pPr>
    <w:r>
      <w:fldChar w:fldCharType="begin"/>
    </w:r>
    <w:r>
      <w:rPr>
        <w:rStyle w:val="1105"/>
      </w:rPr>
      <w:instrText xml:space="preserve">PAGE  </w:instrText>
    </w:r>
    <w:r>
      <w:fldChar w:fldCharType="end"/>
    </w:r>
    <w:r>
      <w:rPr>
        <w:rStyle w:val="1105"/>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pPr>
    <w:r>
      <w:rPr>
        <w:rStyle w:val="1105"/>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p>
    <w:pPr>
      <w:pStyle w:val="103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42"/>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6"/>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7"/>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4"/>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41"/>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41"/>
      <w:isLgl w:val="false"/>
      <w:suff w:val="tab"/>
      <w:lvlText w:val="%1"/>
      <w:lvlJc w:val="left"/>
      <w:pPr>
        <w:pStyle w:val="1030"/>
        <w:ind w:left="680" w:hanging="680"/>
      </w:pPr>
      <w:rPr>
        <w:rFonts w:hint="eastAsia" w:ascii="宋体" w:hAnsi="宋体" w:eastAsia="宋体"/>
      </w:rPr>
    </w:lvl>
    <w:lvl w:ilvl="1">
      <w:start w:val="1"/>
      <w:numFmt w:val="decimal"/>
      <w:pStyle w:val="1242"/>
      <w:isLgl w:val="false"/>
      <w:suff w:val="tab"/>
      <w:lvlText w:val="%1.%2"/>
      <w:lvlJc w:val="left"/>
      <w:pPr>
        <w:pStyle w:val="1030"/>
        <w:ind w:left="851" w:hanging="851"/>
      </w:pPr>
      <w:rPr>
        <w:rFonts w:hint="eastAsia" w:ascii="宋体" w:hAnsi="宋体" w:eastAsia="宋体"/>
        <w:color w:val="000000"/>
      </w:rPr>
    </w:lvl>
    <w:lvl w:ilvl="2">
      <w:start w:val="1"/>
      <w:numFmt w:val="decimal"/>
      <w:pStyle w:val="1243"/>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0"/>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0"/>
    <w:next w:val="10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0"/>
    <w:next w:val="10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0"/>
    <w:next w:val="10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0"/>
    <w:next w:val="10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0"/>
    <w:next w:val="10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0"/>
    <w:next w:val="10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0"/>
    <w:next w:val="10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0"/>
    <w:next w:val="10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0"/>
    <w:next w:val="10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0"/>
    <w:next w:val="10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0"/>
    <w:next w:val="10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0"/>
    <w:next w:val="1030"/>
    <w:link w:val="38"/>
    <w:uiPriority w:val="29"/>
    <w:qFormat/>
    <w:pPr>
      <w:ind w:left="720" w:right="720"/>
    </w:pPr>
    <w:rPr>
      <w:i/>
    </w:rPr>
  </w:style>
  <w:style w:type="character" w:styleId="38">
    <w:name w:val="Quote Char"/>
    <w:link w:val="37"/>
    <w:uiPriority w:val="29"/>
    <w:rPr>
      <w:i/>
    </w:rPr>
  </w:style>
  <w:style w:type="paragraph" w:styleId="39">
    <w:name w:val="Intense Quote"/>
    <w:basedOn w:val="1030"/>
    <w:next w:val="10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0"/>
    <w:next w:val="10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0"/>
    <w:next w:val="1030"/>
    <w:uiPriority w:val="39"/>
    <w:unhideWhenUsed/>
    <w:pPr>
      <w:ind w:left="0" w:right="0" w:firstLine="0"/>
      <w:spacing w:after="57"/>
    </w:pPr>
  </w:style>
  <w:style w:type="paragraph" w:styleId="181">
    <w:name w:val="toc 2"/>
    <w:basedOn w:val="1030"/>
    <w:next w:val="1030"/>
    <w:uiPriority w:val="39"/>
    <w:unhideWhenUsed/>
    <w:pPr>
      <w:ind w:left="283" w:right="0" w:firstLine="0"/>
      <w:spacing w:after="57"/>
    </w:pPr>
  </w:style>
  <w:style w:type="paragraph" w:styleId="182">
    <w:name w:val="toc 3"/>
    <w:basedOn w:val="1030"/>
    <w:next w:val="1030"/>
    <w:uiPriority w:val="39"/>
    <w:unhideWhenUsed/>
    <w:pPr>
      <w:ind w:left="567" w:right="0" w:firstLine="0"/>
      <w:spacing w:after="57"/>
    </w:pPr>
  </w:style>
  <w:style w:type="paragraph" w:styleId="183">
    <w:name w:val="toc 4"/>
    <w:basedOn w:val="1030"/>
    <w:next w:val="1030"/>
    <w:uiPriority w:val="39"/>
    <w:unhideWhenUsed/>
    <w:pPr>
      <w:ind w:left="850" w:right="0" w:firstLine="0"/>
      <w:spacing w:after="57"/>
    </w:pPr>
  </w:style>
  <w:style w:type="paragraph" w:styleId="184">
    <w:name w:val="toc 5"/>
    <w:basedOn w:val="1030"/>
    <w:next w:val="1030"/>
    <w:uiPriority w:val="39"/>
    <w:unhideWhenUsed/>
    <w:pPr>
      <w:ind w:left="1134" w:right="0" w:firstLine="0"/>
      <w:spacing w:after="57"/>
    </w:pPr>
  </w:style>
  <w:style w:type="paragraph" w:styleId="185">
    <w:name w:val="toc 6"/>
    <w:basedOn w:val="1030"/>
    <w:next w:val="1030"/>
    <w:uiPriority w:val="39"/>
    <w:unhideWhenUsed/>
    <w:pPr>
      <w:ind w:left="1417" w:right="0" w:firstLine="0"/>
      <w:spacing w:after="57"/>
    </w:pPr>
  </w:style>
  <w:style w:type="paragraph" w:styleId="186">
    <w:name w:val="toc 7"/>
    <w:basedOn w:val="1030"/>
    <w:next w:val="1030"/>
    <w:uiPriority w:val="39"/>
    <w:unhideWhenUsed/>
    <w:pPr>
      <w:ind w:left="1701" w:right="0" w:firstLine="0"/>
      <w:spacing w:after="57"/>
    </w:pPr>
  </w:style>
  <w:style w:type="paragraph" w:styleId="187">
    <w:name w:val="toc 8"/>
    <w:basedOn w:val="1030"/>
    <w:next w:val="1030"/>
    <w:uiPriority w:val="39"/>
    <w:unhideWhenUsed/>
    <w:pPr>
      <w:ind w:left="1984" w:right="0" w:firstLine="0"/>
      <w:spacing w:after="57"/>
    </w:pPr>
  </w:style>
  <w:style w:type="paragraph" w:styleId="188">
    <w:name w:val="toc 9"/>
    <w:basedOn w:val="1030"/>
    <w:next w:val="10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0"/>
    <w:next w:val="1030"/>
    <w:uiPriority w:val="99"/>
    <w:unhideWhenUsed/>
    <w:pPr>
      <w:spacing w:after="0" w:afterAutospacing="0"/>
    </w:pPr>
  </w:style>
  <w:style w:type="paragraph" w:styleId="1030" w:default="1">
    <w:name w:val="Normal"/>
    <w:next w:val="1033"/>
    <w:link w:val="1030"/>
    <w:qFormat/>
    <w:pPr>
      <w:jc w:val="both"/>
      <w:widowControl w:val="off"/>
    </w:pPr>
    <w:rPr>
      <w:sz w:val="21"/>
      <w:szCs w:val="24"/>
      <w:lang w:val="en-US" w:eastAsia="zh-CN" w:bidi="ar-SA"/>
    </w:rPr>
  </w:style>
  <w:style w:type="paragraph" w:styleId="1031">
    <w:name w:val="标题 1"/>
    <w:basedOn w:val="1030"/>
    <w:next w:val="1030"/>
    <w:link w:val="1043"/>
    <w:qFormat/>
    <w:pPr>
      <w:jc w:val="center"/>
      <w:keepLines/>
      <w:keepNext/>
      <w:spacing w:before="240" w:after="120" w:line="300" w:lineRule="auto"/>
      <w:outlineLvl w:val="0"/>
    </w:pPr>
    <w:rPr>
      <w:rFonts w:ascii="宋体"/>
      <w:b/>
      <w:sz w:val="32"/>
      <w:szCs w:val="20"/>
    </w:rPr>
  </w:style>
  <w:style w:type="paragraph" w:styleId="1032">
    <w:name w:val="标题 2"/>
    <w:basedOn w:val="1030"/>
    <w:next w:val="1045"/>
    <w:link w:val="1044"/>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2"/>
    <w:qFormat/>
    <w:pPr>
      <w:jc w:val="left"/>
      <w:keepLines/>
      <w:keepNext/>
      <w:spacing w:before="360" w:after="120"/>
      <w:outlineLvl w:val="2"/>
    </w:pPr>
    <w:rPr>
      <w:rFonts w:ascii="宋体"/>
      <w:b/>
      <w:sz w:val="24"/>
      <w:szCs w:val="20"/>
      <w:u w:val="single"/>
    </w:rPr>
  </w:style>
  <w:style w:type="paragraph" w:styleId="1034">
    <w:name w:val="标题 4"/>
    <w:basedOn w:val="1030"/>
    <w:next w:val="1030"/>
    <w:link w:val="1047"/>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3 Char1"/>
    <w:next w:val="1042"/>
    <w:link w:val="1033"/>
    <w:qFormat/>
    <w:rPr>
      <w:rFonts w:ascii="宋体" w:eastAsia="宋体"/>
      <w:b/>
      <w:sz w:val="24"/>
      <w:u w:val="single"/>
      <w:lang w:val="en-US" w:eastAsia="zh-CN" w:bidi="ar-SA"/>
    </w:rPr>
  </w:style>
  <w:style w:type="character" w:styleId="1043">
    <w:name w:val="标题 1 Char"/>
    <w:next w:val="1043"/>
    <w:link w:val="1031"/>
    <w:qFormat/>
    <w:rPr>
      <w:rFonts w:ascii="宋体"/>
      <w:b/>
      <w:sz w:val="32"/>
    </w:rPr>
  </w:style>
  <w:style w:type="character" w:styleId="1044">
    <w:name w:val="标题 2 Char1"/>
    <w:next w:val="1044"/>
    <w:link w:val="1032"/>
    <w:qFormat/>
    <w:rPr>
      <w:rFonts w:ascii="Arial" w:hAnsi="Arial" w:eastAsia="黑体"/>
      <w:b/>
      <w:sz w:val="30"/>
      <w:lang w:val="en-US" w:eastAsia="zh-CN" w:bidi="ar-SA"/>
    </w:rPr>
  </w:style>
  <w:style w:type="paragraph" w:styleId="1045">
    <w:name w:val="正文缩进"/>
    <w:basedOn w:val="1030"/>
    <w:next w:val="1030"/>
    <w:link w:val="1046"/>
    <w:qFormat/>
    <w:pPr>
      <w:ind w:firstLine="420"/>
      <w:jc w:val="left"/>
    </w:pPr>
    <w:rPr>
      <w:rFonts w:ascii="宋体"/>
      <w:sz w:val="24"/>
    </w:rPr>
  </w:style>
  <w:style w:type="character" w:styleId="1046">
    <w:name w:val="正文缩进 Char1"/>
    <w:next w:val="1046"/>
    <w:link w:val="1045"/>
    <w:qFormat/>
    <w:rPr>
      <w:rFonts w:ascii="宋体" w:eastAsia="宋体"/>
      <w:sz w:val="24"/>
      <w:szCs w:val="24"/>
      <w:lang w:val="en-US" w:eastAsia="zh-CN" w:bidi="ar-SA"/>
    </w:rPr>
  </w:style>
  <w:style w:type="character" w:styleId="1047">
    <w:name w:val="标题 4 Char"/>
    <w:next w:val="1047"/>
    <w:link w:val="1034"/>
    <w:qFormat/>
    <w:rPr>
      <w:rFonts w:ascii="Arial" w:hAnsi="Arial" w:eastAsia="黑体"/>
      <w:b/>
      <w:sz w:val="28"/>
    </w:rPr>
  </w:style>
  <w:style w:type="character" w:styleId="1048">
    <w:name w:val="标题 5 Char"/>
    <w:next w:val="1048"/>
    <w:link w:val="1035"/>
    <w:qFormat/>
    <w:rPr>
      <w:b/>
      <w:sz w:val="28"/>
    </w:rPr>
  </w:style>
  <w:style w:type="character" w:styleId="1049">
    <w:name w:val="标题 6 Char"/>
    <w:next w:val="1049"/>
    <w:link w:val="1036"/>
    <w:qFormat/>
    <w:rPr>
      <w:rFonts w:ascii="Arial" w:hAnsi="Arial" w:eastAsia="黑体"/>
      <w:b/>
      <w:sz w:val="24"/>
    </w:rPr>
  </w:style>
  <w:style w:type="character" w:styleId="1050">
    <w:name w:val="标题 7 Char"/>
    <w:next w:val="1050"/>
    <w:link w:val="1037"/>
    <w:qFormat/>
    <w:rPr>
      <w:b/>
      <w:sz w:val="24"/>
    </w:rPr>
  </w:style>
  <w:style w:type="character" w:styleId="1051">
    <w:name w:val="标题 8 Char"/>
    <w:next w:val="1051"/>
    <w:link w:val="1038"/>
    <w:qFormat/>
    <w:rPr>
      <w:rFonts w:ascii="Arial" w:hAnsi="Arial" w:eastAsia="黑体"/>
      <w:sz w:val="24"/>
    </w:rPr>
  </w:style>
  <w:style w:type="character" w:styleId="1052">
    <w:name w:val="标题 9 Char"/>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引文目录"/>
    <w:basedOn w:val="1030"/>
    <w:next w:val="1030"/>
    <w:link w:val="1030"/>
    <w:qFormat/>
    <w:pPr>
      <w:ind w:left="420"/>
    </w:pPr>
  </w:style>
  <w:style w:type="paragraph" w:styleId="1055">
    <w:name w:val="题注"/>
    <w:basedOn w:val="1030"/>
    <w:next w:val="1030"/>
    <w:link w:val="1030"/>
    <w:qFormat/>
    <w:pPr>
      <w:spacing w:line="480" w:lineRule="auto"/>
    </w:pPr>
    <w:rPr>
      <w:rFonts w:ascii="华文中宋" w:hAnsi="华文中宋" w:eastAsia="华文中宋"/>
      <w:sz w:val="36"/>
      <w:szCs w:val="20"/>
    </w:rPr>
  </w:style>
  <w:style w:type="paragraph" w:styleId="1056">
    <w:name w:val="文档结构图"/>
    <w:basedOn w:val="1030"/>
    <w:next w:val="1030"/>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30"/>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30"/>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
    <w:basedOn w:val="1030"/>
    <w:next w:val="1030"/>
    <w:link w:val="1063"/>
    <w:qFormat/>
    <w:pPr>
      <w:spacing w:before="120" w:line="22" w:lineRule="atLeast"/>
      <w:tabs>
        <w:tab w:val="left" w:pos="567" w:leader="none"/>
      </w:tabs>
    </w:pPr>
    <w:rPr>
      <w:rFonts w:ascii="宋体" w:hAnsi="宋体"/>
      <w:sz w:val="24"/>
    </w:rPr>
  </w:style>
  <w:style w:type="character" w:styleId="1063">
    <w:name w:val="正文文本 Char"/>
    <w:next w:val="1063"/>
    <w:link w:val="1062"/>
    <w:qFormat/>
    <w:rPr>
      <w:rFonts w:ascii="宋体" w:hAnsi="宋体"/>
      <w:sz w:val="24"/>
      <w:szCs w:val="24"/>
    </w:rPr>
  </w:style>
  <w:style w:type="paragraph" w:styleId="1064">
    <w:name w:val="正文文本缩进"/>
    <w:basedOn w:val="1030"/>
    <w:next w:val="1064"/>
    <w:link w:val="1065"/>
    <w:qFormat/>
    <w:pPr>
      <w:ind w:firstLine="570"/>
      <w:spacing w:line="360" w:lineRule="auto"/>
    </w:pPr>
    <w:rPr>
      <w:sz w:val="24"/>
    </w:rPr>
  </w:style>
  <w:style w:type="character" w:styleId="1065">
    <w:name w:val="正文文本缩进 Char2"/>
    <w:next w:val="1065"/>
    <w:link w:val="1064"/>
    <w:qFormat/>
    <w:rPr>
      <w:rFonts w:eastAsia="宋体"/>
      <w:sz w:val="24"/>
      <w:szCs w:val="24"/>
      <w:lang w:val="en-US" w:eastAsia="zh-CN" w:bidi="ar-SA"/>
    </w:rPr>
  </w:style>
  <w:style w:type="paragraph" w:styleId="1066">
    <w:name w:val="列表 2"/>
    <w:basedOn w:val="1030"/>
    <w:next w:val="1066"/>
    <w:link w:val="1030"/>
    <w:qFormat/>
    <w:pPr>
      <w:ind w:left="100" w:hanging="200"/>
    </w:pPr>
  </w:style>
  <w:style w:type="paragraph" w:styleId="1067">
    <w:name w:val="文本块"/>
    <w:basedOn w:val="1030"/>
    <w:next w:val="1067"/>
    <w:link w:val="1030"/>
    <w:qFormat/>
    <w:pPr>
      <w:ind w:left="480" w:right="-341" w:firstLine="513"/>
      <w:widowControl/>
    </w:pPr>
    <w:rPr>
      <w:sz w:val="24"/>
      <w:szCs w:val="20"/>
    </w:rPr>
  </w:style>
  <w:style w:type="paragraph" w:styleId="1068">
    <w:name w:val="索引 4"/>
    <w:basedOn w:val="1030"/>
    <w:next w:val="1030"/>
    <w:link w:val="1030"/>
    <w:uiPriority w:val="99"/>
    <w:unhideWhenUsed/>
    <w:qFormat/>
    <w:pPr>
      <w:ind w:left="600"/>
    </w:p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45"/>
    <w:link w:val="1072"/>
    <w:qFormat/>
    <w:rPr>
      <w:rFonts w:hint="eastAsia" w:ascii="宋体" w:hAnsi="Courier New"/>
      <w:szCs w:val="20"/>
    </w:rPr>
  </w:style>
  <w:style w:type="character" w:styleId="1072">
    <w:name w:val="纯文本 Char"/>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Char"/>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Char"/>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Char"/>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Char1"/>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Char1"/>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目录 6"/>
    <w:basedOn w:val="1030"/>
    <w:next w:val="1030"/>
    <w:link w:val="1030"/>
    <w:qFormat/>
    <w:pPr>
      <w:ind w:left="2100"/>
    </w:pPr>
  </w:style>
  <w:style w:type="paragraph" w:styleId="1087">
    <w:name w:val="正文文本缩进 3"/>
    <w:basedOn w:val="1030"/>
    <w:next w:val="1087"/>
    <w:link w:val="1088"/>
    <w:qFormat/>
    <w:pPr>
      <w:ind w:left="720" w:firstLine="480"/>
      <w:jc w:val="left"/>
      <w:spacing w:before="120" w:line="22" w:lineRule="atLeast"/>
    </w:pPr>
    <w:rPr>
      <w:rFonts w:ascii="宋体"/>
      <w:sz w:val="24"/>
      <w:szCs w:val="20"/>
    </w:rPr>
  </w:style>
  <w:style w:type="character" w:styleId="1088">
    <w:name w:val="正文文本缩进 3 Char"/>
    <w:next w:val="1088"/>
    <w:link w:val="1087"/>
    <w:qFormat/>
    <w:rPr>
      <w:rFonts w:ascii="宋体"/>
      <w:sz w:val="24"/>
    </w:rPr>
  </w:style>
  <w:style w:type="paragraph" w:styleId="1089">
    <w:name w:val="目录 2"/>
    <w:basedOn w:val="1030"/>
    <w:next w:val="1030"/>
    <w:link w:val="1030"/>
    <w:uiPriority w:val="39"/>
    <w:qFormat/>
    <w:pPr>
      <w:ind w:left="420"/>
      <w:spacing w:line="312" w:lineRule="auto"/>
      <w:tabs>
        <w:tab w:val="right" w:pos="8937" w:leader="dot"/>
      </w:tabs>
    </w:pPr>
  </w:style>
  <w:style w:type="paragraph" w:styleId="1090">
    <w:name w:val="目录 9"/>
    <w:basedOn w:val="1030"/>
    <w:next w:val="1030"/>
    <w:link w:val="1030"/>
    <w:qFormat/>
    <w:pPr>
      <w:ind w:left="3360"/>
    </w:pPr>
  </w:style>
  <w:style w:type="paragraph" w:styleId="1091">
    <w:name w:val="正文文本 2"/>
    <w:basedOn w:val="1030"/>
    <w:next w:val="1062"/>
    <w:link w:val="1030"/>
    <w:qFormat/>
    <w:pPr>
      <w:jc w:val="both"/>
      <w:spacing w:after="120" w:line="480" w:lineRule="auto"/>
      <w:widowControl w:val="off"/>
    </w:pPr>
    <w:rPr>
      <w:sz w:val="21"/>
    </w:rPr>
  </w:style>
  <w:style w:type="paragraph" w:styleId="1092">
    <w:name w:val="HTML 预设格式"/>
    <w:basedOn w:val="1030"/>
    <w:next w:val="1092"/>
    <w:link w:val="10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name w:val="HTML 预设格式 Char"/>
    <w:next w:val="1093"/>
    <w:link w:val="1092"/>
    <w:qFormat/>
    <w:rPr>
      <w:rFonts w:ascii="宋体" w:hAnsi="宋体" w:cs="宋体"/>
      <w:sz w:val="24"/>
      <w:szCs w:val="24"/>
    </w:rPr>
  </w:style>
  <w:style w:type="paragraph" w:styleId="1094">
    <w:name w:val="普通(网站)"/>
    <w:basedOn w:val="1030"/>
    <w:next w:val="1094"/>
    <w:link w:val="1030"/>
    <w:uiPriority w:val="99"/>
    <w:unhideWhenUsed/>
    <w:qFormat/>
    <w:pPr>
      <w:jc w:val="left"/>
      <w:spacing w:before="100" w:beforeAutospacing="1" w:after="100" w:afterAutospacing="1"/>
      <w:widowControl/>
    </w:pPr>
    <w:rPr>
      <w:rFonts w:ascii="宋体" w:hAnsi="宋体" w:cs="宋体"/>
      <w:sz w:val="24"/>
    </w:rPr>
  </w:style>
  <w:style w:type="paragraph" w:styleId="1095">
    <w:name w:val="索引 1"/>
    <w:basedOn w:val="1030"/>
    <w:next w:val="1030"/>
    <w:link w:val="1030"/>
    <w:qFormat/>
    <w:rPr>
      <w:szCs w:val="20"/>
    </w:rPr>
  </w:style>
  <w:style w:type="paragraph" w:styleId="1096">
    <w:name w:val="标题"/>
    <w:basedOn w:val="1030"/>
    <w:next w:val="1030"/>
    <w:link w:val="1097"/>
    <w:qFormat/>
    <w:pPr>
      <w:jc w:val="center"/>
      <w:outlineLvl w:val="0"/>
    </w:pPr>
    <w:rPr>
      <w:b/>
      <w:sz w:val="32"/>
      <w:szCs w:val="20"/>
    </w:rPr>
  </w:style>
  <w:style w:type="character" w:styleId="1097">
    <w:name w:val="标题 Char1"/>
    <w:next w:val="1097"/>
    <w:link w:val="1096"/>
    <w:qFormat/>
    <w:rPr>
      <w:b/>
      <w:sz w:val="32"/>
    </w:rPr>
  </w:style>
  <w:style w:type="paragraph" w:styleId="1098">
    <w:name w:val="批注主题"/>
    <w:basedOn w:val="1058"/>
    <w:next w:val="1058"/>
    <w:link w:val="1099"/>
    <w:qFormat/>
    <w:rPr>
      <w:b/>
      <w:bCs/>
    </w:rPr>
  </w:style>
  <w:style w:type="character" w:styleId="1099">
    <w:name w:val="批注主题 Char"/>
    <w:next w:val="1099"/>
    <w:link w:val="1098"/>
    <w:qFormat/>
    <w:rPr>
      <w:rFonts w:ascii="Times New Roman" w:hAnsi="Times New Roman" w:eastAsia="宋体" w:cs="Times New Roman"/>
      <w:b/>
      <w:bCs/>
      <w:sz w:val="21"/>
      <w:szCs w:val="24"/>
      <w:lang w:val="en-US" w:eastAsia="zh-CN" w:bidi="ar-SA"/>
    </w:rPr>
  </w:style>
  <w:style w:type="paragraph" w:styleId="1100">
    <w:name w:val="正文首行缩进 2"/>
    <w:basedOn w:val="1030"/>
    <w:next w:val="1030"/>
    <w:link w:val="1101"/>
    <w:qFormat/>
    <w:pPr>
      <w:ind w:left="420" w:firstLine="420"/>
      <w:spacing w:after="120" w:line="480" w:lineRule="exact"/>
    </w:pPr>
    <w:rPr>
      <w:sz w:val="24"/>
    </w:rPr>
  </w:style>
  <w:style w:type="character" w:styleId="1101">
    <w:name w:val="正文首行缩进 2 Char"/>
    <w:next w:val="1101"/>
    <w:link w:val="1100"/>
    <w:qFormat/>
    <w:rPr>
      <w:rFonts w:eastAsia="宋体"/>
      <w:sz w:val="24"/>
      <w:szCs w:val="24"/>
      <w:lang w:val="en-US" w:eastAsia="zh-CN" w:bidi="ar-SA"/>
    </w:rPr>
  </w:style>
  <w:style w:type="table" w:styleId="1102">
    <w:name w:val="网格型"/>
    <w:basedOn w:val="1041"/>
    <w:next w:val="1102"/>
    <w:link w:val="1030"/>
    <w:qFormat/>
    <w:tblPr/>
  </w:style>
  <w:style w:type="table" w:styleId="1103">
    <w:name w:val="中等深浅网格 1 - 强调文字颜色 2"/>
    <w:basedOn w:val="1041"/>
    <w:next w:val="1103"/>
    <w:link w:val="1030"/>
    <w:qFormat/>
    <w:rPr>
      <w:sz w:val="21"/>
      <w:szCs w:val="24"/>
    </w:rPr>
    <w:tblPr/>
  </w:style>
  <w:style w:type="character" w:styleId="1104">
    <w:name w:val="要点"/>
    <w:next w:val="1104"/>
    <w:link w:val="1030"/>
    <w:qFormat/>
    <w:rPr>
      <w:b/>
      <w:bCs/>
    </w:rPr>
  </w:style>
  <w:style w:type="character" w:styleId="1105">
    <w:name w:val="页码"/>
    <w:next w:val="1105"/>
    <w:link w:val="1030"/>
    <w:qFormat/>
  </w:style>
  <w:style w:type="character" w:styleId="1106">
    <w:name w:val="已访问的超链接"/>
    <w:next w:val="1106"/>
    <w:link w:val="1030"/>
    <w:qFormat/>
    <w:rPr>
      <w:color w:val="800080"/>
      <w:u w:val="single"/>
    </w:rPr>
  </w:style>
  <w:style w:type="character" w:styleId="1107">
    <w:name w:val="强调"/>
    <w:next w:val="1107"/>
    <w:link w:val="1030"/>
    <w:qFormat/>
    <w:rPr>
      <w:color w:val="cc0033"/>
    </w:rPr>
  </w:style>
  <w:style w:type="character" w:styleId="1108">
    <w:name w:val="超链接"/>
    <w:next w:val="1108"/>
    <w:link w:val="1030"/>
    <w:uiPriority w:val="99"/>
    <w:qFormat/>
    <w:rPr>
      <w:color w:val="0000ff"/>
      <w:u w:val="single"/>
    </w:rPr>
  </w:style>
  <w:style w:type="character" w:styleId="1109">
    <w:name w:val="批注引用"/>
    <w:next w:val="1109"/>
    <w:link w:val="1030"/>
    <w:uiPriority w:val="99"/>
    <w:qFormat/>
    <w:rPr>
      <w:sz w:val="21"/>
      <w:szCs w:val="21"/>
    </w:rPr>
  </w:style>
  <w:style w:type="character" w:styleId="1110">
    <w:name w:val="HTML 引文"/>
    <w:next w:val="1110"/>
    <w:link w:val="1030"/>
    <w:qFormat/>
    <w:rPr>
      <w:i/>
      <w:iCs/>
    </w:rPr>
  </w:style>
  <w:style w:type="character" w:styleId="1111">
    <w:name w:val="批注文字 字符"/>
    <w:next w:val="1111"/>
    <w:link w:val="1030"/>
    <w:uiPriority w:val="99"/>
    <w:qFormat/>
    <w:rPr>
      <w:rFonts w:ascii="Times New Roman" w:hAnsi="Times New Roman" w:eastAsia="宋体" w:cs="Times New Roman"/>
      <w:sz w:val="24"/>
      <w:lang w:val="en-US" w:eastAsia="zh-CN" w:bidi="ar-SA"/>
    </w:rPr>
  </w:style>
  <w:style w:type="paragraph" w:styleId="1112">
    <w:name w:val="Default"/>
    <w:next w:val="1112"/>
    <w:link w:val="1030"/>
    <w:qFormat/>
    <w:pPr>
      <w:widowControl w:val="off"/>
    </w:pPr>
    <w:rPr>
      <w:rFonts w:ascii="Symbol" w:hAnsi="Symbol" w:cs="Symbol"/>
      <w:color w:val="000000"/>
      <w:sz w:val="24"/>
      <w:szCs w:val="24"/>
      <w:lang w:val="en-US" w:eastAsia="zh-CN" w:bidi="ar-SA"/>
    </w:rPr>
  </w:style>
  <w:style w:type="character" w:styleId="1113">
    <w:name w:val="c21"/>
    <w:next w:val="1113"/>
    <w:link w:val="1030"/>
    <w:qFormat/>
    <w:rPr>
      <w:rFonts w:ascii="ˎ̥" w:hAnsi="ˎ̥"/>
      <w:color w:val="000000"/>
      <w:sz w:val="20"/>
      <w:szCs w:val="20"/>
      <w:u w:val="none"/>
    </w:rPr>
  </w:style>
  <w:style w:type="character" w:styleId="1114">
    <w:name w:val="title4"/>
    <w:next w:val="1114"/>
    <w:link w:val="1030"/>
    <w:qFormat/>
    <w:rPr>
      <w:b/>
      <w:bCs/>
      <w:color w:val="1d87b3"/>
      <w:sz w:val="15"/>
      <w:szCs w:val="15"/>
    </w:rPr>
  </w:style>
  <w:style w:type="character" w:styleId="1115">
    <w:name w:val="标题 2 Char Char"/>
    <w:next w:val="1115"/>
    <w:link w:val="1030"/>
    <w:qFormat/>
    <w:rPr>
      <w:rFonts w:ascii="Arial" w:hAnsi="Arial" w:eastAsia="黑体"/>
      <w:b/>
      <w:bCs/>
      <w:sz w:val="32"/>
      <w:szCs w:val="32"/>
      <w:lang w:val="en-US" w:eastAsia="zh-CN" w:bidi="ar-SA"/>
    </w:rPr>
  </w:style>
  <w:style w:type="character" w:styleId="1116">
    <w:name w:val="black1"/>
    <w:next w:val="1116"/>
    <w:link w:val="1030"/>
    <w:qFormat/>
    <w:rPr>
      <w:color w:val="000000"/>
    </w:rPr>
  </w:style>
  <w:style w:type="character" w:styleId="1117">
    <w:name w:val="street-address"/>
    <w:next w:val="1117"/>
    <w:link w:val="1030"/>
    <w:qFormat/>
  </w:style>
  <w:style w:type="character" w:styleId="1118">
    <w:name w:val="locality"/>
    <w:next w:val="1118"/>
    <w:link w:val="1030"/>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0"/>
    <w:next w:val="1120"/>
    <w:link w:val="1119"/>
    <w:qFormat/>
    <w:pPr>
      <w:ind w:firstLine="480"/>
      <w:spacing w:line="480" w:lineRule="exact"/>
    </w:pPr>
    <w:rPr>
      <w:rFonts w:ascii="宋体" w:hAnsi="宋体"/>
      <w:sz w:val="24"/>
    </w:rPr>
  </w:style>
  <w:style w:type="character" w:styleId="1121">
    <w:name w:val="Char Char11"/>
    <w:next w:val="1121"/>
    <w:link w:val="1030"/>
    <w:qFormat/>
    <w:rPr>
      <w:rFonts w:ascii="宋体" w:eastAsia="宋体"/>
      <w:b/>
      <w:sz w:val="24"/>
      <w:u w:val="single"/>
      <w:lang w:val="en-US" w:eastAsia="zh-CN" w:bidi="ar-SA"/>
    </w:rPr>
  </w:style>
  <w:style w:type="character" w:styleId="1122">
    <w:name w:val="txt"/>
    <w:next w:val="1122"/>
    <w:link w:val="1030"/>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0"/>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0"/>
    <w:qFormat/>
    <w:rPr>
      <w:rFonts w:ascii="宋体" w:hAnsi="Courier New" w:eastAsia="宋体"/>
      <w:sz w:val="21"/>
      <w:lang w:val="en-US" w:eastAsia="zh-CN" w:bidi="ar-SA"/>
    </w:rPr>
  </w:style>
  <w:style w:type="character" w:styleId="1126">
    <w:name w:val="chanpin1"/>
    <w:next w:val="1126"/>
    <w:link w:val="1030"/>
    <w:qFormat/>
    <w:rPr>
      <w:rFonts w:ascii="ˎ̥" w:hAnsi="ˎ̥"/>
      <w:color w:val="000000"/>
      <w:sz w:val="20"/>
      <w:szCs w:val="20"/>
      <w:u w:val="none"/>
    </w:rPr>
  </w:style>
  <w:style w:type="character" w:styleId="1127">
    <w:name w:val="列出段落 Char1"/>
    <w:next w:val="1127"/>
    <w:link w:val="1128"/>
    <w:uiPriority w:val="34"/>
    <w:qFormat/>
    <w:rPr>
      <w:rFonts w:ascii="Calibri" w:hAnsi="Calibri" w:eastAsia="宋体"/>
      <w:sz w:val="21"/>
      <w:szCs w:val="22"/>
      <w:lang w:val="en-US" w:eastAsia="zh-CN" w:bidi="ar-SA"/>
    </w:rPr>
  </w:style>
  <w:style w:type="paragraph" w:styleId="1128">
    <w:name w:val="列出段落"/>
    <w:basedOn w:val="1030"/>
    <w:next w:val="1128"/>
    <w:link w:val="1127"/>
    <w:uiPriority w:val="34"/>
    <w:qFormat/>
    <w:pPr>
      <w:ind w:firstLine="420"/>
    </w:pPr>
    <w:rPr>
      <w:rFonts w:ascii="Calibri" w:hAnsi="Calibri"/>
      <w:szCs w:val="22"/>
    </w:rPr>
  </w:style>
  <w:style w:type="character" w:styleId="1129">
    <w:name w:val="标题 3 Char Char"/>
    <w:next w:val="1129"/>
    <w:link w:val="1030"/>
    <w:qFormat/>
    <w:rPr>
      <w:rFonts w:eastAsia="宋体"/>
      <w:b/>
      <w:bCs/>
      <w:sz w:val="32"/>
      <w:szCs w:val="32"/>
      <w:lang w:val="en-US" w:eastAsia="zh-CN" w:bidi="ar-SA"/>
    </w:rPr>
  </w:style>
  <w:style w:type="character" w:styleId="1130">
    <w:name w:val="段1 Char"/>
    <w:next w:val="1130"/>
    <w:link w:val="1030"/>
    <w:qFormat/>
    <w:rPr>
      <w:rFonts w:ascii="宋体" w:eastAsia="宋体"/>
      <w:sz w:val="24"/>
      <w:lang w:val="en-US" w:eastAsia="zh-CN" w:bidi="ar-SA"/>
    </w:rPr>
  </w:style>
  <w:style w:type="character" w:styleId="1131">
    <w:name w:val="chanpin拷贝"/>
    <w:next w:val="1131"/>
    <w:link w:val="1030"/>
    <w:qFormat/>
  </w:style>
  <w:style w:type="character" w:styleId="1132">
    <w:name w:val="纯文本 Char1"/>
    <w:next w:val="1132"/>
    <w:link w:val="1030"/>
    <w:qFormat/>
    <w:rPr>
      <w:rFonts w:ascii="宋体" w:hAnsi="Courier New" w:eastAsia="宋体"/>
      <w:sz w:val="21"/>
      <w:lang w:val="en-US" w:eastAsia="zh-CN" w:bidi="ar-SA"/>
    </w:rPr>
  </w:style>
  <w:style w:type="character" w:styleId="1133">
    <w:name w:val="apple-style-span"/>
    <w:next w:val="1133"/>
    <w:link w:val="1030"/>
    <w:qFormat/>
    <w:rPr>
      <w:rFonts w:cs="Times New Roman"/>
    </w:rPr>
  </w:style>
  <w:style w:type="paragraph" w:styleId="1134">
    <w:name w:val="二级条标题"/>
    <w:basedOn w:val="1135"/>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0"/>
    <w:link w:val="1030"/>
    <w:qFormat/>
    <w:pPr>
      <w:numPr>
        <w:ilvl w:val="1"/>
      </w:numPr>
      <w:ind w:left="0" w:hanging="840"/>
      <w:tabs>
        <w:tab w:val="left" w:pos="360" w:leader="none"/>
        <w:tab w:val="left" w:pos="840" w:leader="none"/>
      </w:tabs>
      <w:outlineLvl w:val="1"/>
    </w:pPr>
  </w:style>
  <w:style w:type="paragraph" w:styleId="1136">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0"/>
    <w:next w:val="1137"/>
    <w:link w:val="1030"/>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0"/>
    <w:next w:val="1138"/>
    <w:link w:val="1030"/>
    <w:qFormat/>
    <w:rPr>
      <w:rFonts w:ascii="Tahoma" w:hAnsi="Tahoma"/>
      <w:sz w:val="24"/>
      <w:szCs w:val="20"/>
    </w:rPr>
  </w:style>
  <w:style w:type="paragraph" w:styleId="1139">
    <w:name w:val="Char3 Char Char Char"/>
    <w:basedOn w:val="1030"/>
    <w:next w:val="1139"/>
    <w:link w:val="1030"/>
    <w:qFormat/>
    <w:rPr>
      <w:rFonts w:ascii="Tahoma" w:hAnsi="Tahoma"/>
      <w:sz w:val="24"/>
      <w:szCs w:val="20"/>
    </w:rPr>
  </w:style>
  <w:style w:type="paragraph" w:styleId="1140">
    <w:name w:val="font6"/>
    <w:basedOn w:val="1030"/>
    <w:next w:val="1140"/>
    <w:link w:val="1030"/>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0"/>
    <w:qFormat/>
    <w:pPr>
      <w:numPr>
        <w:numId w:val="3"/>
      </w:numPr>
    </w:pPr>
  </w:style>
  <w:style w:type="paragraph" w:styleId="1142">
    <w:name w:val="项目编号1"/>
    <w:basedOn w:val="1030"/>
    <w:next w:val="1142"/>
    <w:link w:val="1030"/>
    <w:qFormat/>
    <w:pPr>
      <w:numPr>
        <w:ilvl w:val="0"/>
        <w:numId w:val="2"/>
      </w:numPr>
      <w:spacing w:before="100" w:beforeAutospacing="1" w:after="100" w:afterAutospacing="1" w:line="360" w:lineRule="auto"/>
    </w:pPr>
    <w:rPr>
      <w:sz w:val="24"/>
    </w:rPr>
  </w:style>
  <w:style w:type="paragraph" w:styleId="1143">
    <w:name w:val="图中文字"/>
    <w:basedOn w:val="1030"/>
    <w:next w:val="1143"/>
    <w:link w:val="1030"/>
    <w:qFormat/>
    <w:pPr>
      <w:jc w:val="center"/>
      <w:spacing w:line="0" w:lineRule="atLeast"/>
    </w:pPr>
    <w:rPr>
      <w:sz w:val="24"/>
      <w:szCs w:val="20"/>
    </w:rPr>
  </w:style>
  <w:style w:type="paragraph" w:styleId="1144">
    <w:name w:val="xl46"/>
    <w:basedOn w:val="1030"/>
    <w:next w:val="1144"/>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0"/>
    <w:next w:val="1146"/>
    <w:link w:val="1030"/>
    <w:qFormat/>
    <w:rPr>
      <w:rFonts w:ascii="Tahoma" w:hAnsi="Tahoma"/>
      <w:sz w:val="24"/>
      <w:szCs w:val="20"/>
    </w:rPr>
  </w:style>
  <w:style w:type="paragraph" w:styleId="1147">
    <w:name w:val="xl35"/>
    <w:basedOn w:val="1030"/>
    <w:next w:val="1147"/>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0"/>
    <w:next w:val="114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0"/>
    <w:next w:val="114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0"/>
    <w:next w:val="1151"/>
    <w:link w:val="1030"/>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0"/>
    <w:next w:val="1152"/>
    <w:link w:val="1030"/>
    <w:qFormat/>
    <w:pPr>
      <w:ind w:firstLine="200"/>
      <w:spacing w:line="360" w:lineRule="auto"/>
    </w:pPr>
    <w:rPr>
      <w:rFonts w:eastAsia="仿宋_GB2312"/>
      <w:sz w:val="24"/>
    </w:rPr>
  </w:style>
  <w:style w:type="paragraph" w:styleId="1153">
    <w:name w:val="xl38"/>
    <w:basedOn w:val="1030"/>
    <w:next w:val="115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0"/>
    <w:next w:val="1154"/>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0"/>
    <w:next w:val="1155"/>
    <w:link w:val="1030"/>
    <w:qFormat/>
    <w:pPr>
      <w:ind w:left="360" w:hanging="360"/>
      <w:jc w:val="left"/>
      <w:widowControl/>
    </w:pPr>
    <w:rPr>
      <w:rFonts w:ascii="宋体" w:hAnsi="宋体" w:cs="宋体"/>
      <w:b/>
      <w:bCs/>
      <w:color w:val="000000"/>
      <w:sz w:val="18"/>
      <w:szCs w:val="18"/>
    </w:rPr>
  </w:style>
  <w:style w:type="paragraph" w:styleId="1156">
    <w:name w:val="正文列项_数字"/>
    <w:basedOn w:val="1030"/>
    <w:next w:val="1156"/>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0"/>
    <w:next w:val="115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0"/>
    <w:next w:val="1158"/>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0"/>
    <w:next w:val="115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0"/>
    <w:next w:val="1160"/>
    <w:link w:val="1030"/>
    <w:qFormat/>
    <w:pPr>
      <w:jc w:val="left"/>
      <w:spacing w:before="100" w:beforeAutospacing="1" w:after="100" w:afterAutospacing="1"/>
      <w:widowControl/>
    </w:pPr>
    <w:rPr>
      <w:sz w:val="36"/>
      <w:szCs w:val="36"/>
    </w:rPr>
  </w:style>
  <w:style w:type="paragraph" w:styleId="1161">
    <w:name w:val="Char"/>
    <w:basedOn w:val="1030"/>
    <w:next w:val="1161"/>
    <w:link w:val="1030"/>
    <w:qFormat/>
    <w:pPr>
      <w:tabs>
        <w:tab w:val="left" w:pos="360" w:leader="none"/>
      </w:tabs>
    </w:pPr>
    <w:rPr>
      <w:sz w:val="24"/>
    </w:rPr>
  </w:style>
  <w:style w:type="paragraph" w:styleId="1162">
    <w:name w:val="Char Char Char Char Char Char Char Char Char Char Char Char Char Char Char Char"/>
    <w:basedOn w:val="1030"/>
    <w:next w:val="1162"/>
    <w:link w:val="1030"/>
    <w:qFormat/>
    <w:pPr>
      <w:jc w:val="center"/>
      <w:spacing w:after="160" w:line="240" w:lineRule="exact"/>
      <w:widowControl/>
    </w:pPr>
    <w:rPr>
      <w:rFonts w:ascii="宋体" w:hAnsi="宋体"/>
      <w:b/>
      <w:sz w:val="30"/>
      <w:szCs w:val="30"/>
      <w:lang w:eastAsia="en-US"/>
    </w:rPr>
  </w:style>
  <w:style w:type="paragraph" w:styleId="1163">
    <w:name w:val="xl45"/>
    <w:basedOn w:val="1030"/>
    <w:next w:val="1163"/>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0"/>
    <w:next w:val="1164"/>
    <w:link w:val="1030"/>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6"/>
    <w:next w:val="1165"/>
    <w:link w:val="1030"/>
    <w:qFormat/>
    <w:rPr>
      <w:rFonts w:ascii="Tahoma" w:hAnsi="Tahoma"/>
      <w:sz w:val="24"/>
    </w:rPr>
  </w:style>
  <w:style w:type="paragraph" w:styleId="1166">
    <w:name w:val="xl26"/>
    <w:basedOn w:val="1030"/>
    <w:next w:val="116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0"/>
    <w:next w:val="116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0"/>
    <w:next w:val="116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0"/>
    <w:next w:val="1169"/>
    <w:link w:val="1030"/>
    <w:qFormat/>
    <w:pPr>
      <w:jc w:val="left"/>
    </w:pPr>
    <w:rPr>
      <w:rFonts w:ascii="宋体" w:hAnsi="宋体"/>
      <w:szCs w:val="20"/>
    </w:rPr>
  </w:style>
  <w:style w:type="paragraph" w:styleId="1170">
    <w:name w:val="Char1 Char Char Char1"/>
    <w:basedOn w:val="1030"/>
    <w:next w:val="1170"/>
    <w:link w:val="1030"/>
    <w:qFormat/>
    <w:rPr>
      <w:rFonts w:ascii="Tahoma" w:hAnsi="Tahoma" w:cs="仿宋_GB2312"/>
      <w:sz w:val="24"/>
      <w:szCs w:val="28"/>
    </w:rPr>
  </w:style>
  <w:style w:type="paragraph" w:styleId="1171">
    <w:name w:val="四级条标题"/>
    <w:basedOn w:val="1172"/>
    <w:next w:val="1030"/>
    <w:link w:val="1030"/>
    <w:qFormat/>
    <w:pPr>
      <w:numPr>
        <w:ilvl w:val="4"/>
      </w:numPr>
      <w:ind w:left="0" w:hanging="840"/>
      <w:tabs>
        <w:tab w:val="left" w:pos="360" w:leader="none"/>
        <w:tab w:val="left" w:pos="840" w:leader="none"/>
      </w:tabs>
      <w:outlineLvl w:val="4"/>
    </w:pPr>
  </w:style>
  <w:style w:type="paragraph" w:styleId="1172">
    <w:name w:val="三级条标题"/>
    <w:basedOn w:val="1134"/>
    <w:next w:val="1030"/>
    <w:link w:val="1030"/>
    <w:qFormat/>
    <w:pPr>
      <w:numPr>
        <w:ilvl w:val="3"/>
        <w:numId w:val="1"/>
      </w:numPr>
      <w:ind w:left="0" w:hanging="840"/>
      <w:tabs>
        <w:tab w:val="left" w:pos="360" w:leader="none"/>
        <w:tab w:val="left" w:pos="840" w:leader="none"/>
      </w:tabs>
      <w:outlineLvl w:val="3"/>
    </w:pPr>
  </w:style>
  <w:style w:type="paragraph" w:styleId="1173">
    <w:name w:val="??"/>
    <w:next w:val="1173"/>
    <w:link w:val="1030"/>
    <w:qFormat/>
    <w:pPr>
      <w:jc w:val="both"/>
      <w:widowControl w:val="off"/>
    </w:pPr>
    <w:rPr>
      <w:sz w:val="21"/>
      <w:lang w:val="en-US" w:eastAsia="en-US" w:bidi="ar-SA"/>
    </w:rPr>
  </w:style>
  <w:style w:type="paragraph" w:styleId="1174">
    <w:name w:val="样式 标题 2 + 宋体 五号 行距: 单倍行距"/>
    <w:basedOn w:val="1032"/>
    <w:next w:val="1174"/>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0"/>
    <w:next w:val="1175"/>
    <w:link w:val="1030"/>
    <w:qFormat/>
    <w:pPr>
      <w:ind w:firstLine="420"/>
    </w:pPr>
    <w:rPr>
      <w:rFonts w:ascii="Calibri" w:hAnsi="Calibri"/>
      <w:szCs w:val="22"/>
    </w:rPr>
  </w:style>
  <w:style w:type="paragraph" w:styleId="1176">
    <w:name w:val="项目符号1"/>
    <w:basedOn w:val="1177"/>
    <w:next w:val="1176"/>
    <w:link w:val="1030"/>
    <w:qFormat/>
    <w:pPr>
      <w:ind w:left="-25" w:firstLine="0"/>
    </w:pPr>
  </w:style>
  <w:style w:type="paragraph" w:styleId="1177">
    <w:name w:val="正文文本样式"/>
    <w:basedOn w:val="1030"/>
    <w:next w:val="1177"/>
    <w:link w:val="1030"/>
    <w:qFormat/>
    <w:pPr>
      <w:ind w:firstLine="482"/>
      <w:spacing w:line="360" w:lineRule="auto"/>
    </w:pPr>
    <w:rPr>
      <w:rFonts w:cs="宋体"/>
      <w:sz w:val="24"/>
      <w:szCs w:val="20"/>
    </w:rPr>
  </w:style>
  <w:style w:type="paragraph" w:styleId="1178">
    <w:name w:val="xl27"/>
    <w:basedOn w:val="1030"/>
    <w:next w:val="117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0"/>
    <w:next w:val="1179"/>
    <w:link w:val="1030"/>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0"/>
    <w:link w:val="1030"/>
    <w:qFormat/>
    <w:pPr>
      <w:numPr>
        <w:ilvl w:val="5"/>
      </w:numPr>
      <w:ind w:left="0" w:hanging="840"/>
      <w:tabs>
        <w:tab w:val="left" w:pos="360" w:leader="none"/>
        <w:tab w:val="left" w:pos="840" w:leader="none"/>
      </w:tabs>
      <w:outlineLvl w:val="5"/>
    </w:pPr>
  </w:style>
  <w:style w:type="paragraph" w:styleId="1181">
    <w:name w:val="xl49"/>
    <w:basedOn w:val="1030"/>
    <w:next w:val="118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0"/>
    <w:next w:val="1182"/>
    <w:link w:val="1030"/>
    <w:qFormat/>
    <w:pPr>
      <w:spacing w:before="120" w:after="120" w:line="180" w:lineRule="auto"/>
    </w:pPr>
    <w:rPr>
      <w:rFonts w:ascii="Arial" w:hAnsi="Arial"/>
      <w:szCs w:val="20"/>
    </w:rPr>
  </w:style>
  <w:style w:type="paragraph" w:styleId="1183">
    <w:name w:val="xl33"/>
    <w:basedOn w:val="1030"/>
    <w:next w:val="118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0"/>
    <w:next w:val="118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0"/>
    <w:next w:val="1185"/>
    <w:link w:val="1030"/>
    <w:qFormat/>
    <w:rPr>
      <w:rFonts w:ascii="Tahoma" w:hAnsi="Tahoma"/>
      <w:sz w:val="24"/>
      <w:szCs w:val="20"/>
    </w:rPr>
  </w:style>
  <w:style w:type="paragraph" w:styleId="1186">
    <w:name w:val="xl44"/>
    <w:basedOn w:val="1030"/>
    <w:next w:val="118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0"/>
    <w:next w:val="1187"/>
    <w:link w:val="1030"/>
    <w:qFormat/>
    <w:pPr>
      <w:numPr>
        <w:ilvl w:val="0"/>
        <w:numId w:val="5"/>
      </w:numPr>
      <w:spacing w:before="120"/>
      <w:tabs>
        <w:tab w:val="left" w:pos="360" w:leader="none"/>
      </w:tabs>
    </w:pPr>
    <w:rPr>
      <w:rFonts w:ascii="宋体"/>
      <w:sz w:val="28"/>
      <w:szCs w:val="20"/>
    </w:rPr>
  </w:style>
  <w:style w:type="paragraph" w:styleId="1188">
    <w:name w:val="font9"/>
    <w:basedOn w:val="1030"/>
    <w:next w:val="1188"/>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0"/>
    <w:next w:val="1189"/>
    <w:link w:val="1030"/>
    <w:qFormat/>
    <w:rPr>
      <w:rFonts w:ascii="Tahoma" w:hAnsi="Tahoma"/>
      <w:sz w:val="24"/>
      <w:szCs w:val="20"/>
    </w:rPr>
  </w:style>
  <w:style w:type="paragraph" w:styleId="1190">
    <w:name w:val="Char Char Char Char Char Char Char Char Char Char"/>
    <w:basedOn w:val="1030"/>
    <w:next w:val="1190"/>
    <w:link w:val="1030"/>
    <w:qFormat/>
  </w:style>
  <w:style w:type="paragraph" w:styleId="1191">
    <w:name w:val="Char Char1 Char Char Char Char Char Char Char 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Char1"/>
    <w:basedOn w:val="1030"/>
    <w:next w:val="1192"/>
    <w:link w:val="1030"/>
    <w:qFormat/>
    <w:pPr>
      <w:tabs>
        <w:tab w:val="left" w:pos="360" w:leader="none"/>
      </w:tabs>
    </w:pPr>
    <w:rPr>
      <w:sz w:val="24"/>
    </w:rPr>
  </w:style>
  <w:style w:type="paragraph" w:styleId="1193">
    <w:name w:val="正文列项_字母"/>
    <w:basedOn w:val="1030"/>
    <w:next w:val="1193"/>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0"/>
    <w:next w:val="1195"/>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0"/>
    <w:next w:val="1196"/>
    <w:link w:val="1030"/>
    <w:qFormat/>
    <w:rPr>
      <w:rFonts w:ascii="Arial" w:hAnsi="Arial" w:cs="Arial"/>
      <w:szCs w:val="21"/>
    </w:rPr>
  </w:style>
  <w:style w:type="paragraph" w:styleId="1197">
    <w:name w:val="xl48"/>
    <w:basedOn w:val="1030"/>
    <w:next w:val="119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0"/>
    <w:next w:val="1198"/>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0"/>
    <w:next w:val="119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0"/>
    <w:next w:val="1200"/>
    <w:link w:val="1030"/>
    <w:qFormat/>
    <w:rPr>
      <w:rFonts w:ascii="Tahoma" w:hAnsi="Tahoma"/>
      <w:sz w:val="24"/>
      <w:szCs w:val="20"/>
    </w:rPr>
  </w:style>
  <w:style w:type="paragraph" w:styleId="1201">
    <w:name w:val="xl50"/>
    <w:basedOn w:val="1030"/>
    <w:next w:val="120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0"/>
    <w:next w:val="1202"/>
    <w:link w:val="1030"/>
    <w:qFormat/>
    <w:pPr>
      <w:jc w:val="left"/>
    </w:pPr>
    <w:rPr>
      <w:sz w:val="24"/>
    </w:rPr>
  </w:style>
  <w:style w:type="paragraph" w:styleId="1203">
    <w:name w:val="Char Char Char1"/>
    <w:basedOn w:val="1030"/>
    <w:next w:val="1203"/>
    <w:link w:val="1030"/>
    <w:qFormat/>
    <w:rPr>
      <w:rFonts w:ascii="Tahoma" w:hAnsi="Tahoma"/>
      <w:sz w:val="24"/>
      <w:szCs w:val="20"/>
    </w:rPr>
  </w:style>
  <w:style w:type="paragraph" w:styleId="1204">
    <w:name w:val="Char Char Char Char Char Char Char1"/>
    <w:basedOn w:val="1030"/>
    <w:next w:val="1204"/>
    <w:link w:val="1030"/>
    <w:qFormat/>
    <w:pPr>
      <w:ind w:firstLine="200"/>
      <w:spacing w:line="360" w:lineRule="auto"/>
    </w:pPr>
    <w:rPr>
      <w:rFonts w:eastAsia="仿宋_GB2312"/>
      <w:sz w:val="24"/>
    </w:rPr>
  </w:style>
  <w:style w:type="paragraph" w:styleId="1205">
    <w:name w:val="xl51"/>
    <w:basedOn w:val="1030"/>
    <w:next w:val="120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5"/>
    <w:next w:val="1206"/>
    <w:link w:val="1030"/>
    <w:qFormat/>
    <w:pPr>
      <w:jc w:val="center"/>
      <w:spacing w:line="360" w:lineRule="auto"/>
    </w:pPr>
    <w:rPr>
      <w:sz w:val="24"/>
    </w:rPr>
  </w:style>
  <w:style w:type="paragraph" w:styleId="1207">
    <w:name w:val="xl24"/>
    <w:basedOn w:val="1030"/>
    <w:next w:val="120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0"/>
    <w:next w:val="120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0"/>
    <w:next w:val="1209"/>
    <w:link w:val="1030"/>
    <w:qFormat/>
    <w:pPr>
      <w:jc w:val="left"/>
      <w:widowControl/>
    </w:pPr>
    <w:rPr>
      <w:rFonts w:ascii="楷体_GB2312" w:eastAsia="楷体_GB2312" w:cs="Arial"/>
      <w:sz w:val="24"/>
    </w:rPr>
  </w:style>
  <w:style w:type="paragraph" w:styleId="1210">
    <w:name w:val="xl34"/>
    <w:basedOn w:val="1030"/>
    <w:next w:val="1210"/>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0"/>
    <w:next w:val="1211"/>
    <w:link w:val="1030"/>
    <w:qFormat/>
    <w:rPr>
      <w:rFonts w:ascii="Tahoma" w:hAnsi="Tahoma"/>
      <w:sz w:val="24"/>
      <w:szCs w:val="20"/>
    </w:rPr>
  </w:style>
  <w:style w:type="paragraph" w:styleId="1212">
    <w:name w:val="列出段落1"/>
    <w:basedOn w:val="1030"/>
    <w:next w:val="1212"/>
    <w:link w:val="1030"/>
    <w:qFormat/>
    <w:pPr>
      <w:ind w:firstLine="420"/>
    </w:pPr>
    <w:rPr>
      <w:rFonts w:ascii="Calibri" w:hAnsi="Calibri"/>
      <w:szCs w:val="22"/>
    </w:rPr>
  </w:style>
  <w:style w:type="paragraph" w:styleId="1213">
    <w:name w:val="default"/>
    <w:basedOn w:val="1030"/>
    <w:next w:val="1213"/>
    <w:link w:val="1030"/>
    <w:qFormat/>
    <w:pPr>
      <w:jc w:val="left"/>
      <w:spacing w:before="100" w:beforeAutospacing="1" w:after="100" w:afterAutospacing="1"/>
      <w:widowControl/>
    </w:pPr>
    <w:rPr>
      <w:rFonts w:ascii="宋体" w:hAnsi="宋体" w:cs="宋体"/>
      <w:sz w:val="24"/>
    </w:rPr>
  </w:style>
  <w:style w:type="paragraph" w:styleId="1214">
    <w:name w:val="字元 字元1"/>
    <w:basedOn w:val="1030"/>
    <w:next w:val="1214"/>
    <w:link w:val="1030"/>
    <w:qFormat/>
    <w:rPr>
      <w:rFonts w:ascii="Tahoma" w:hAnsi="Tahoma"/>
      <w:sz w:val="24"/>
      <w:szCs w:val="20"/>
    </w:rPr>
  </w:style>
  <w:style w:type="paragraph" w:styleId="1215">
    <w:name w:val="_Style 160"/>
    <w:next w:val="1215"/>
    <w:link w:val="1030"/>
    <w:qFormat/>
    <w:rPr>
      <w:sz w:val="21"/>
      <w:szCs w:val="24"/>
      <w:lang w:val="en-US" w:eastAsia="zh-CN" w:bidi="ar-SA"/>
    </w:rPr>
  </w:style>
  <w:style w:type="paragraph" w:styleId="1216">
    <w:name w:val="项目编号3"/>
    <w:basedOn w:val="1177"/>
    <w:next w:val="1216"/>
    <w:link w:val="1030"/>
    <w:qFormat/>
    <w:pPr>
      <w:numPr>
        <w:ilvl w:val="0"/>
        <w:numId w:val="6"/>
      </w:numPr>
    </w:pPr>
  </w:style>
  <w:style w:type="paragraph" w:styleId="1217">
    <w:name w:val="Char21"/>
    <w:basedOn w:val="1030"/>
    <w:next w:val="1217"/>
    <w:link w:val="1030"/>
    <w:qFormat/>
    <w:rPr>
      <w:rFonts w:ascii="Tahoma" w:hAnsi="Tahoma"/>
      <w:sz w:val="24"/>
      <w:szCs w:val="20"/>
    </w:rPr>
  </w:style>
  <w:style w:type="paragraph" w:styleId="1218">
    <w:name w:val="表格文字"/>
    <w:basedOn w:val="1064"/>
    <w:next w:val="1218"/>
    <w:link w:val="1030"/>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1030"/>
    <w:next w:val="1219"/>
    <w:link w:val="1030"/>
    <w:qFormat/>
    <w:rPr>
      <w:rFonts w:ascii="宋体" w:hAnsi="宋体" w:cs="Courier New"/>
      <w:sz w:val="32"/>
      <w:szCs w:val="32"/>
    </w:rPr>
  </w:style>
  <w:style w:type="paragraph" w:styleId="1220">
    <w:name w:val="正文文本样式 加粗"/>
    <w:basedOn w:val="1177"/>
    <w:next w:val="1220"/>
    <w:link w:val="1030"/>
    <w:qFormat/>
    <w:rPr>
      <w:b/>
    </w:rPr>
  </w:style>
  <w:style w:type="paragraph" w:styleId="1221">
    <w:name w:val="Char2 Char Char Char Char Char Char"/>
    <w:basedOn w:val="1030"/>
    <w:next w:val="1221"/>
    <w:link w:val="1030"/>
    <w:qFormat/>
    <w:pPr>
      <w:jc w:val="center"/>
      <w:spacing w:line="400" w:lineRule="exact"/>
      <w:widowControl/>
    </w:pPr>
  </w:style>
  <w:style w:type="paragraph" w:styleId="1222">
    <w:name w:val="Char Char4"/>
    <w:basedOn w:val="1030"/>
    <w:next w:val="1222"/>
    <w:link w:val="1030"/>
    <w:qFormat/>
    <w:pPr>
      <w:jc w:val="center"/>
      <w:spacing w:line="400" w:lineRule="exact"/>
      <w:widowControl/>
    </w:pPr>
  </w:style>
  <w:style w:type="paragraph" w:styleId="1223">
    <w:name w:val="Char3 Char Char Char1"/>
    <w:basedOn w:val="1030"/>
    <w:next w:val="1223"/>
    <w:link w:val="1030"/>
    <w:qFormat/>
    <w:rPr>
      <w:rFonts w:ascii="Tahoma" w:hAnsi="Tahoma"/>
      <w:sz w:val="24"/>
      <w:szCs w:val="20"/>
    </w:rPr>
  </w:style>
  <w:style w:type="paragraph" w:styleId="1224">
    <w:name w:val="无间隔"/>
    <w:next w:val="1224"/>
    <w:link w:val="1030"/>
    <w:qFormat/>
    <w:pPr>
      <w:jc w:val="both"/>
      <w:widowControl w:val="off"/>
    </w:pPr>
    <w:rPr>
      <w:sz w:val="21"/>
      <w:szCs w:val="24"/>
      <w:lang w:val="en-US" w:eastAsia="zh-CN" w:bidi="ar-SA"/>
    </w:rPr>
  </w:style>
  <w:style w:type="paragraph" w:styleId="1225">
    <w:name w:val="22222222222222"/>
    <w:basedOn w:val="1030"/>
    <w:next w:val="1225"/>
    <w:link w:val="1030"/>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1030"/>
    <w:next w:val="1228"/>
    <w:link w:val="1030"/>
    <w:qFormat/>
    <w:pPr>
      <w:spacing w:after="50" w:line="360" w:lineRule="auto"/>
    </w:pPr>
    <w:rPr>
      <w:sz w:val="24"/>
    </w:rPr>
  </w:style>
  <w:style w:type="paragraph" w:styleId="1229">
    <w:name w:val="xl23"/>
    <w:basedOn w:val="1030"/>
    <w:next w:val="1229"/>
    <w:link w:val="1030"/>
    <w:qFormat/>
    <w:pPr>
      <w:spacing w:before="100" w:beforeAutospacing="1" w:after="100" w:afterAutospacing="1" w:line="360" w:lineRule="auto"/>
      <w:widowControl/>
    </w:pPr>
    <w:rPr>
      <w:sz w:val="24"/>
      <w:szCs w:val="20"/>
    </w:rPr>
  </w:style>
  <w:style w:type="paragraph" w:styleId="1230">
    <w:name w:val="正文表格"/>
    <w:basedOn w:val="1030"/>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1030"/>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1"/>
    <w:next w:val="1234"/>
    <w:link w:val="1030"/>
    <w:qFormat/>
    <w:pPr>
      <w:jc w:val="left"/>
    </w:pPr>
    <w:rPr>
      <w:sz w:val="24"/>
      <w:szCs w:val="24"/>
    </w:rPr>
  </w:style>
  <w:style w:type="paragraph" w:styleId="1235">
    <w:name w:val="正文小标题"/>
    <w:basedOn w:val="1030"/>
    <w:next w:val="1045"/>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45"/>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1030"/>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1030"/>
    <w:next w:val="1030"/>
    <w:link w:val="1030"/>
    <w:qFormat/>
    <w:pPr>
      <w:numPr>
        <w:ilvl w:val="0"/>
        <w:numId w:val="7"/>
      </w:numPr>
      <w:spacing w:line="300" w:lineRule="auto"/>
    </w:pPr>
    <w:rPr>
      <w:rFonts w:ascii="宋体" w:hAnsi="Calibri"/>
      <w:sz w:val="24"/>
      <w:szCs w:val="21"/>
    </w:rPr>
  </w:style>
  <w:style w:type="paragraph" w:styleId="1242">
    <w:name w:val="正文须知-2级"/>
    <w:basedOn w:val="1030"/>
    <w:next w:val="1242"/>
    <w:link w:val="1030"/>
    <w:qFormat/>
    <w:pPr>
      <w:numPr>
        <w:ilvl w:val="1"/>
        <w:numId w:val="7"/>
      </w:numPr>
      <w:spacing w:line="300" w:lineRule="auto"/>
    </w:pPr>
    <w:rPr>
      <w:rFonts w:ascii="宋体" w:hAnsi="Calibri"/>
      <w:sz w:val="24"/>
      <w:szCs w:val="21"/>
    </w:rPr>
  </w:style>
  <w:style w:type="paragraph" w:styleId="1243">
    <w:name w:val="正文须知-3级"/>
    <w:basedOn w:val="1030"/>
    <w:next w:val="1243"/>
    <w:link w:val="1030"/>
    <w:qFormat/>
    <w:pPr>
      <w:numPr>
        <w:ilvl w:val="2"/>
        <w:numId w:val="7"/>
      </w:numPr>
      <w:ind w:hanging="355"/>
      <w:spacing w:line="300" w:lineRule="auto"/>
    </w:pPr>
    <w:rPr>
      <w:rFonts w:ascii="宋体" w:hAnsi="Calibri"/>
      <w:sz w:val="24"/>
      <w:szCs w:val="21"/>
    </w:rPr>
  </w:style>
  <w:style w:type="character" w:styleId="1244">
    <w:name w:val="纯文本 字符"/>
    <w:next w:val="1244"/>
    <w:link w:val="1030"/>
    <w:uiPriority w:val="99"/>
    <w:qFormat/>
    <w:rPr>
      <w:rFonts w:ascii="宋体" w:hAnsi="Courier New" w:eastAsia="宋体" w:cs="Times New Roman"/>
      <w:sz w:val="21"/>
      <w:szCs w:val="21"/>
      <w:lang w:val="en-US" w:eastAsia="zh-CN" w:bidi="ar-SA"/>
    </w:rPr>
  </w:style>
  <w:style w:type="paragraph" w:styleId="1245">
    <w:name w:val="表格1"/>
    <w:basedOn w:val="1030"/>
    <w:next w:val="1245"/>
    <w:link w:val="1030"/>
    <w:qFormat/>
    <w:pPr>
      <w:ind w:firstLine="480"/>
      <w:jc w:val="center"/>
    </w:pPr>
    <w:rPr>
      <w:sz w:val="24"/>
      <w:szCs w:val="20"/>
    </w:rPr>
  </w:style>
  <w:style w:type="character" w:styleId="1246">
    <w:name w:val="纯文本 字符1"/>
    <w:next w:val="1246"/>
    <w:link w:val="1030"/>
    <w:qFormat/>
    <w:rPr>
      <w:rFonts w:ascii="宋体" w:hAnsi="Courier New"/>
    </w:rPr>
  </w:style>
  <w:style w:type="character" w:styleId="1247">
    <w:name w:val="bjh-p"/>
    <w:next w:val="1247"/>
    <w:link w:val="1030"/>
    <w:qFormat/>
  </w:style>
  <w:style w:type="paragraph" w:styleId="1248">
    <w:name w:val="无标题条"/>
    <w:next w:val="1030"/>
    <w:link w:val="1030"/>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1030"/>
    <w:next w:val="1250"/>
    <w:link w:val="1249"/>
    <w:qFormat/>
    <w:pPr>
      <w:ind w:firstLine="480"/>
      <w:spacing w:line="360" w:lineRule="auto"/>
    </w:pPr>
    <w:rPr>
      <w:rFonts w:ascii="宋体" w:hAnsi="宋体"/>
      <w:sz w:val="24"/>
      <w:lang w:val="en-GB"/>
    </w:rPr>
  </w:style>
  <w:style w:type="character" w:styleId="1251">
    <w:name w:val="标题 3 Char"/>
    <w:next w:val="1251"/>
    <w:link w:val="1030"/>
    <w:qFormat/>
    <w:rPr>
      <w:rFonts w:ascii="宋体" w:eastAsia="宋体"/>
      <w:b/>
      <w:sz w:val="24"/>
      <w:u w:val="single"/>
      <w:lang w:val="en-US" w:eastAsia="zh-CN" w:bidi="ar-SA"/>
    </w:rPr>
  </w:style>
  <w:style w:type="character" w:styleId="1252">
    <w:name w:val="正文缩进 Char"/>
    <w:next w:val="1252"/>
    <w:link w:val="1030"/>
    <w:qFormat/>
    <w:rPr>
      <w:rFonts w:ascii="宋体" w:eastAsia="宋体"/>
      <w:sz w:val="24"/>
      <w:szCs w:val="24"/>
      <w:lang w:val="en-US" w:eastAsia="zh-CN" w:bidi="ar-SA"/>
    </w:rPr>
  </w:style>
  <w:style w:type="character" w:styleId="1253">
    <w:name w:val="Char Char111"/>
    <w:next w:val="1253"/>
    <w:link w:val="1030"/>
    <w:qFormat/>
    <w:rPr>
      <w:rFonts w:ascii="宋体" w:eastAsia="宋体"/>
      <w:b/>
      <w:sz w:val="24"/>
      <w:u w:val="single"/>
      <w:lang w:val="en-US" w:eastAsia="zh-CN" w:bidi="ar-SA"/>
    </w:rPr>
  </w:style>
  <w:style w:type="character" w:styleId="1254">
    <w:name w:val="正文文本缩进 Char"/>
    <w:next w:val="1254"/>
    <w:link w:val="1030"/>
    <w:qFormat/>
    <w:rPr>
      <w:rFonts w:eastAsia="宋体"/>
      <w:sz w:val="24"/>
      <w:szCs w:val="24"/>
      <w:lang w:val="en-US" w:eastAsia="zh-CN" w:bidi="ar-SA"/>
    </w:rPr>
  </w:style>
  <w:style w:type="character" w:styleId="1255">
    <w:name w:val="列出段落 Char"/>
    <w:next w:val="1255"/>
    <w:link w:val="1030"/>
    <w:qFormat/>
    <w:rPr>
      <w:rFonts w:ascii="Calibri" w:hAnsi="Calibri" w:eastAsia="宋体"/>
      <w:sz w:val="21"/>
      <w:szCs w:val="22"/>
      <w:lang w:val="en-US" w:eastAsia="zh-CN" w:bidi="ar-SA"/>
    </w:rPr>
  </w:style>
  <w:style w:type="character" w:styleId="1256">
    <w:name w:val="页眉 Char"/>
    <w:next w:val="1256"/>
    <w:link w:val="1030"/>
    <w:qFormat/>
    <w:rPr>
      <w:rFonts w:eastAsia="宋体"/>
      <w:sz w:val="18"/>
      <w:szCs w:val="18"/>
      <w:lang w:val="en-US" w:eastAsia="zh-CN" w:bidi="ar-SA"/>
    </w:rPr>
  </w:style>
  <w:style w:type="character" w:styleId="1257">
    <w:name w:val="标题 2 Char"/>
    <w:next w:val="1257"/>
    <w:link w:val="1030"/>
    <w:qFormat/>
    <w:rPr>
      <w:rFonts w:ascii="Arial" w:hAnsi="Arial" w:eastAsia="黑体"/>
      <w:b/>
      <w:sz w:val="30"/>
      <w:lang w:val="en-US" w:eastAsia="zh-CN" w:bidi="ar-SA"/>
    </w:rPr>
  </w:style>
  <w:style w:type="paragraph" w:styleId="1258">
    <w:name w:val="字元 字元2"/>
    <w:basedOn w:val="1030"/>
    <w:next w:val="1258"/>
    <w:link w:val="1030"/>
    <w:qFormat/>
    <w:rPr>
      <w:rFonts w:ascii="Tahoma" w:hAnsi="Tahoma"/>
      <w:sz w:val="24"/>
      <w:szCs w:val="20"/>
    </w:rPr>
  </w:style>
  <w:style w:type="paragraph" w:styleId="1259">
    <w:name w:val="Char3 Char Char Char2"/>
    <w:basedOn w:val="1030"/>
    <w:next w:val="1259"/>
    <w:link w:val="1030"/>
    <w:qFormat/>
    <w:rPr>
      <w:rFonts w:ascii="Tahoma" w:hAnsi="Tahoma"/>
      <w:sz w:val="24"/>
      <w:szCs w:val="20"/>
    </w:rPr>
  </w:style>
  <w:style w:type="paragraph" w:styleId="1260">
    <w:name w:val="正文文本缩进2"/>
    <w:basedOn w:val="1030"/>
    <w:next w:val="1260"/>
    <w:link w:val="1030"/>
    <w:qFormat/>
    <w:pPr>
      <w:ind w:firstLine="480"/>
      <w:spacing w:line="480" w:lineRule="exact"/>
    </w:pPr>
    <w:rPr>
      <w:rFonts w:ascii="宋体" w:hAnsi="宋体"/>
      <w:sz w:val="24"/>
      <w:lang w:val="zh-CN" w:eastAsia="zh-CN"/>
    </w:rPr>
  </w:style>
  <w:style w:type="paragraph" w:styleId="1261">
    <w:name w:val="Char3"/>
    <w:basedOn w:val="1030"/>
    <w:next w:val="1261"/>
    <w:link w:val="1030"/>
    <w:qFormat/>
    <w:pPr>
      <w:tabs>
        <w:tab w:val="left" w:pos="360" w:leader="none"/>
      </w:tabs>
    </w:pPr>
    <w:rPr>
      <w:sz w:val="24"/>
    </w:rPr>
  </w:style>
  <w:style w:type="paragraph" w:styleId="1262">
    <w:name w:val="Char Char Char Char Char Char Char Char Char Char Char Char Char Char Char Char1"/>
    <w:basedOn w:val="1030"/>
    <w:next w:val="1262"/>
    <w:link w:val="1030"/>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1030"/>
    <w:next w:val="1263"/>
    <w:link w:val="1030"/>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1030"/>
    <w:next w:val="1264"/>
    <w:link w:val="1030"/>
    <w:qFormat/>
    <w:pPr>
      <w:ind w:firstLine="420"/>
    </w:pPr>
    <w:rPr>
      <w:rFonts w:ascii="Calibri" w:hAnsi="Calibri"/>
      <w:szCs w:val="22"/>
    </w:rPr>
  </w:style>
  <w:style w:type="paragraph" w:styleId="1265">
    <w:name w:val="Char Char Char1 Char2"/>
    <w:basedOn w:val="1030"/>
    <w:next w:val="1265"/>
    <w:link w:val="1030"/>
    <w:qFormat/>
    <w:rPr>
      <w:rFonts w:ascii="Tahoma" w:hAnsi="Tahoma"/>
      <w:sz w:val="24"/>
      <w:szCs w:val="20"/>
    </w:rPr>
  </w:style>
  <w:style w:type="paragraph" w:styleId="1266">
    <w:name w:val="Char Char Char2"/>
    <w:basedOn w:val="1030"/>
    <w:next w:val="1266"/>
    <w:link w:val="1030"/>
    <w:qFormat/>
    <w:rPr>
      <w:rFonts w:ascii="Tahoma" w:hAnsi="Tahoma"/>
      <w:sz w:val="24"/>
      <w:szCs w:val="20"/>
    </w:rPr>
  </w:style>
  <w:style w:type="paragraph" w:styleId="1267">
    <w:name w:val="Char Char Char Char Char Char Char2"/>
    <w:basedOn w:val="1030"/>
    <w:next w:val="1267"/>
    <w:link w:val="1030"/>
    <w:qFormat/>
    <w:pPr>
      <w:ind w:firstLine="200"/>
      <w:spacing w:line="360" w:lineRule="auto"/>
    </w:pPr>
    <w:rPr>
      <w:rFonts w:eastAsia="仿宋_GB2312"/>
      <w:sz w:val="24"/>
    </w:rPr>
  </w:style>
  <w:style w:type="paragraph" w:styleId="1268">
    <w:name w:val="正文缩进2"/>
    <w:basedOn w:val="1030"/>
    <w:next w:val="1268"/>
    <w:link w:val="1030"/>
    <w:qFormat/>
    <w:pPr>
      <w:ind w:firstLine="567"/>
      <w:spacing w:line="480" w:lineRule="exact"/>
      <w:widowControl/>
    </w:pPr>
    <w:rPr>
      <w:rFonts w:ascii="宋体"/>
      <w:color w:val="000000"/>
      <w:sz w:val="28"/>
      <w:szCs w:val="20"/>
      <w:lang w:val="zh-CN" w:eastAsia="zh-CN"/>
    </w:rPr>
  </w:style>
  <w:style w:type="paragraph" w:styleId="1269">
    <w:name w:val="Revision"/>
    <w:next w:val="1269"/>
    <w:link w:val="1030"/>
    <w:qFormat/>
    <w:rPr>
      <w:sz w:val="21"/>
      <w:szCs w:val="24"/>
      <w:lang w:val="en-US" w:eastAsia="zh-CN" w:bidi="ar-SA"/>
    </w:rPr>
  </w:style>
  <w:style w:type="paragraph" w:styleId="1270">
    <w:name w:val="Char22"/>
    <w:basedOn w:val="1030"/>
    <w:next w:val="1270"/>
    <w:link w:val="1030"/>
    <w:qFormat/>
    <w:rPr>
      <w:rFonts w:ascii="Tahoma" w:hAnsi="Tahoma"/>
      <w:sz w:val="24"/>
      <w:szCs w:val="20"/>
    </w:rPr>
  </w:style>
  <w:style w:type="paragraph" w:styleId="1271">
    <w:name w:val="Char Char Char Char Char Char Char Char Char Char2"/>
    <w:basedOn w:val="1030"/>
    <w:next w:val="1271"/>
    <w:link w:val="1030"/>
    <w:qFormat/>
    <w:rPr>
      <w:rFonts w:ascii="宋体" w:hAnsi="宋体" w:cs="Courier New"/>
      <w:sz w:val="32"/>
      <w:szCs w:val="32"/>
    </w:rPr>
  </w:style>
  <w:style w:type="paragraph" w:styleId="1272">
    <w:name w:val="Char2 Char Char Char Char Char Char1"/>
    <w:basedOn w:val="1030"/>
    <w:next w:val="1272"/>
    <w:link w:val="1030"/>
    <w:qFormat/>
    <w:pPr>
      <w:jc w:val="center"/>
      <w:spacing w:line="400" w:lineRule="exact"/>
      <w:widowControl/>
    </w:pPr>
  </w:style>
  <w:style w:type="character" w:styleId="1273">
    <w:name w:val="页脚 Char"/>
    <w:next w:val="1273"/>
    <w:link w:val="1030"/>
    <w:qFormat/>
    <w:rPr>
      <w:rFonts w:ascii="宋体" w:eastAsia="宋体"/>
      <w:sz w:val="18"/>
      <w:lang w:val="en-US" w:eastAsia="zh-CN" w:bidi="ar-SA"/>
    </w:rPr>
  </w:style>
  <w:style w:type="paragraph" w:styleId="1274">
    <w:name w:val="Char Char41"/>
    <w:basedOn w:val="1030"/>
    <w:next w:val="1274"/>
    <w:link w:val="1030"/>
    <w:qFormat/>
    <w:pPr>
      <w:jc w:val="center"/>
      <w:spacing w:line="400" w:lineRule="exact"/>
      <w:widowControl/>
    </w:pPr>
  </w:style>
  <w:style w:type="character" w:styleId="1275">
    <w:name w:val="批注文字 Char"/>
    <w:next w:val="1275"/>
    <w:link w:val="1030"/>
    <w:uiPriority w:val="99"/>
    <w:qFormat/>
    <w:rPr>
      <w:sz w:val="21"/>
      <w:szCs w:val="24"/>
    </w:rPr>
  </w:style>
  <w:style w:type="character" w:styleId="1276">
    <w:name w:val="标题 Char"/>
    <w:next w:val="1276"/>
    <w:link w:val="1030"/>
    <w:qFormat/>
    <w:rPr>
      <w:b/>
      <w:sz w:val="32"/>
    </w:rPr>
  </w:style>
  <w:style w:type="paragraph" w:styleId="1277">
    <w:name w:val="图例"/>
    <w:basedOn w:val="1030"/>
    <w:next w:val="1277"/>
    <w:link w:val="1030"/>
    <w:qFormat/>
    <w:pPr>
      <w:jc w:val="center"/>
      <w:spacing w:before="120" w:after="120" w:line="360" w:lineRule="auto"/>
    </w:pPr>
    <w:rPr>
      <w:rFonts w:eastAsia="仿宋_GB2312"/>
      <w:b/>
      <w:sz w:val="24"/>
      <w:szCs w:val="20"/>
    </w:rPr>
  </w:style>
  <w:style w:type="table" w:styleId="1278">
    <w:name w:val="Table Normal"/>
    <w:next w:val="1278"/>
    <w:link w:val="1030"/>
    <w:uiPriority w:val="2"/>
    <w:unhideWhenUsed/>
    <w:qFormat/>
    <w:pPr>
      <w:widowControl w:val="off"/>
    </w:pPr>
    <w:rPr>
      <w:rFonts w:ascii="Calibri" w:hAnsi="Calibri"/>
      <w:sz w:val="22"/>
      <w:szCs w:val="22"/>
      <w:lang w:val="en-US" w:eastAsia="en-US" w:bidi="ar-SA"/>
    </w:rPr>
    <w:tblPr/>
  </w:style>
  <w:style w:type="paragraph" w:styleId="1279">
    <w:name w:val="Table Paragraph"/>
    <w:basedOn w:val="1030"/>
    <w:next w:val="1279"/>
    <w:link w:val="1030"/>
    <w:uiPriority w:val="1"/>
    <w:qFormat/>
    <w:pPr>
      <w:jc w:val="left"/>
    </w:pPr>
    <w:rPr>
      <w:rFonts w:ascii="宋体" w:hAnsi="宋体" w:cs="宋体"/>
      <w:sz w:val="22"/>
      <w:szCs w:val="22"/>
      <w:lang w:eastAsia="en-US"/>
    </w:rPr>
  </w:style>
  <w:style w:type="paragraph" w:styleId="1280">
    <w:name w:val="成文日期"/>
    <w:basedOn w:val="1030"/>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rPr>
      <w:rFonts w:ascii="仿宋_GB2312" w:eastAsia="仿宋_GB2312"/>
      <w:sz w:val="32"/>
    </w:rPr>
  </w:style>
  <w:style w:type="paragraph" w:styleId="1282">
    <w:name w:val="修订"/>
    <w:next w:val="1282"/>
    <w:link w:val="1030"/>
    <w:uiPriority w:val="99"/>
    <w:unhideWhenUsed/>
    <w:rPr>
      <w:sz w:val="21"/>
      <w:szCs w:val="24"/>
      <w:lang w:val="en-US" w:eastAsia="zh-CN" w:bidi="ar-SA"/>
    </w:rPr>
  </w:style>
  <w:style w:type="paragraph" w:styleId="1283">
    <w:name w:val="正文字缩2字"/>
    <w:basedOn w:val="1030"/>
    <w:next w:val="1283"/>
    <w:link w:val="1030"/>
    <w:qFormat/>
    <w:pPr>
      <w:ind w:left="200" w:firstLine="200"/>
      <w:spacing w:before="60" w:after="60" w:line="360" w:lineRule="auto"/>
    </w:pPr>
    <w:rPr>
      <w:szCs w:val="24"/>
    </w:rPr>
  </w:style>
  <w:style w:type="paragraph" w:styleId="1284">
    <w:name w:val="列出段落11"/>
    <w:basedOn w:val="1030"/>
    <w:next w:val="1284"/>
    <w:link w:val="1030"/>
    <w:uiPriority w:val="34"/>
    <w:qFormat/>
    <w:pPr>
      <w:ind w:firstLine="420"/>
    </w:pPr>
    <w:rPr>
      <w:szCs w:val="22"/>
    </w:rPr>
  </w:style>
  <w:style w:type="paragraph" w:styleId="1285">
    <w:name w:val="正文缩进2格"/>
    <w:basedOn w:val="1030"/>
    <w:next w:val="1030"/>
    <w:link w:val="1030"/>
    <w:qFormat/>
    <w:pPr>
      <w:ind w:firstLine="639"/>
      <w:spacing w:line="600" w:lineRule="exact"/>
    </w:pPr>
    <w:rPr>
      <w:rFonts w:ascii="仿宋_GB2312" w:hAnsi="宋体" w:eastAsia="仿宋_GB2312"/>
      <w:sz w:val="31"/>
      <w:szCs w:val="28"/>
    </w:rPr>
  </w:style>
  <w:style w:type="paragraph" w:styleId="1286">
    <w:name w:val="_Style 9"/>
    <w:basedOn w:val="1030"/>
    <w:next w:val="1128"/>
    <w:link w:val="1030"/>
    <w:uiPriority w:val="34"/>
    <w:qFormat/>
    <w:pPr>
      <w:ind w:firstLine="420"/>
    </w:pPr>
    <w:rPr>
      <w:rFonts w:ascii="Calibri" w:hAnsi="Calibri"/>
      <w:szCs w:val="22"/>
    </w:rPr>
  </w:style>
  <w:style w:type="paragraph" w:styleId="1287">
    <w:name w:val="首行缩进"/>
    <w:basedOn w:val="1030"/>
    <w:next w:val="1287"/>
    <w:link w:val="1030"/>
    <w:qFormat/>
    <w:pPr>
      <w:ind w:firstLine="480"/>
    </w:pPr>
    <w:rPr>
      <w:lang w:val="zh-CN"/>
    </w:rPr>
  </w:style>
  <w:style w:type="paragraph" w:styleId="1288">
    <w:name w:val="投标文件正文"/>
    <w:basedOn w:val="1030"/>
    <w:next w:val="1288"/>
    <w:link w:val="1030"/>
    <w:qFormat/>
    <w:pPr>
      <w:ind w:firstLine="560"/>
      <w:spacing w:line="440" w:lineRule="exact"/>
    </w:pPr>
    <w:rPr>
      <w:rFonts w:ascii="仿宋_GB2312" w:eastAsia="仿宋_GB2312"/>
      <w:bCs/>
      <w:sz w:val="28"/>
      <w:szCs w:val="28"/>
    </w:rPr>
  </w:style>
  <w:style w:type="paragraph" w:styleId="1289">
    <w:name w:val="Table Text"/>
    <w:basedOn w:val="1030"/>
    <w:next w:val="1289"/>
    <w:link w:val="1030"/>
    <w:semiHidden/>
    <w:qFormat/>
    <w:rPr>
      <w:rFonts w:ascii="宋体" w:hAnsi="宋体" w:eastAsia="宋体" w:cs="宋体"/>
      <w:sz w:val="19"/>
      <w:szCs w:val="19"/>
      <w:lang w:val="en-US" w:eastAsia="en-US" w:bidi="ar-SA"/>
    </w:rPr>
  </w:style>
  <w:style w:type="paragraph" w:styleId="1290">
    <w:name w:val="段标题"/>
    <w:basedOn w:val="1030"/>
    <w:next w:val="1045"/>
    <w:link w:val="1030"/>
    <w:qFormat/>
    <w:pPr>
      <w:jc w:val="left"/>
    </w:pPr>
    <w:rPr>
      <w:rFonts w:ascii="黑体" w:hAnsi="宋体" w:eastAsia="黑体"/>
    </w:rPr>
  </w:style>
  <w:style w:type="paragraph" w:styleId="1291">
    <w:name w:val="附件栏"/>
    <w:next w:val="1291"/>
    <w:link w:val="1030"/>
    <w:qFormat/>
    <w:pPr>
      <w:ind w:firstLine="624"/>
      <w:jc w:val="both"/>
      <w:spacing w:line="590" w:lineRule="atLeast"/>
      <w:widowControl w:val="off"/>
    </w:pPr>
    <w:rPr>
      <w:rFonts w:eastAsia="仿宋"/>
      <w:sz w:val="32"/>
      <w:lang w:val="en-US" w:eastAsia="zh-CN" w:bidi="ar-SA"/>
    </w:rPr>
  </w:style>
  <w:style w:type="character" w:styleId="1292">
    <w:name w:val="font51"/>
    <w:next w:val="1292"/>
    <w:link w:val="1030"/>
    <w:qFormat/>
    <w:rPr>
      <w:rFonts w:hint="eastAsia" w:ascii="宋体" w:hAnsi="宋体" w:eastAsia="宋体" w:cs="宋体"/>
      <w:color w:val="000000"/>
      <w:sz w:val="24"/>
      <w:szCs w:val="24"/>
      <w:u w:val="none"/>
    </w:rPr>
  </w:style>
  <w:style w:type="character" w:styleId="1293">
    <w:name w:val="font11"/>
    <w:next w:val="1293"/>
    <w:link w:val="1030"/>
    <w:qFormat/>
    <w:rPr>
      <w:rFonts w:ascii="Calibri" w:hAnsi="Calibri" w:cs="Calibri"/>
      <w:color w:val="000000"/>
      <w:sz w:val="24"/>
      <w:szCs w:val="24"/>
      <w:u w:val="none"/>
    </w:rPr>
  </w:style>
  <w:style w:type="paragraph" w:styleId="1294">
    <w:name w:val="段"/>
    <w:next w:val="1030"/>
    <w:link w:val="1030"/>
    <w:qFormat/>
    <w:pPr>
      <w:ind w:firstLine="200"/>
      <w:jc w:val="both"/>
    </w:pPr>
    <w:rPr>
      <w:rFonts w:ascii="宋体"/>
      <w:sz w:val="21"/>
      <w:lang w:val="en-US" w:eastAsia="zh-CN" w:bidi="ar-SA"/>
    </w:rPr>
  </w:style>
  <w:style w:type="character" w:styleId="1295">
    <w:name w:val="font61"/>
    <w:basedOn w:val="1040"/>
    <w:next w:val="1295"/>
    <w:link w:val="1030"/>
    <w:rPr>
      <w:rFonts w:hint="eastAsia" w:ascii="宋体" w:hAnsi="宋体" w:eastAsia="宋体" w:cs="宋体"/>
      <w:i w:val="0"/>
      <w:iCs w:val="0"/>
      <w:color w:val="000000"/>
      <w:sz w:val="21"/>
      <w:szCs w:val="21"/>
      <w:u w:val="none"/>
      <w:vertAlign w:val="superscript"/>
    </w:rPr>
  </w:style>
  <w:style w:type="character" w:styleId="1296">
    <w:name w:val="font21"/>
    <w:basedOn w:val="1040"/>
    <w:next w:val="1296"/>
    <w:link w:val="1030"/>
    <w:rPr>
      <w:rFonts w:hint="eastAsia" w:ascii="宋体" w:hAnsi="宋体" w:eastAsia="宋体" w:cs="宋体"/>
      <w:b/>
      <w:bCs/>
      <w:i w:val="0"/>
      <w:iCs w:val="0"/>
      <w:color w:val="000000"/>
      <w:sz w:val="21"/>
      <w:szCs w:val="21"/>
      <w:u w:val="none"/>
    </w:rPr>
  </w:style>
  <w:style w:type="character" w:styleId="1297">
    <w:name w:val="font31"/>
    <w:basedOn w:val="1040"/>
    <w:next w:val="1297"/>
    <w:link w:val="1030"/>
    <w:rPr>
      <w:rFonts w:hint="eastAsia" w:ascii="宋体" w:hAnsi="宋体" w:eastAsia="宋体" w:cs="宋体"/>
      <w:i w:val="0"/>
      <w:iCs w:val="0"/>
      <w:color w:val="000000"/>
      <w:sz w:val="24"/>
      <w:szCs w:val="24"/>
      <w:u w:val="none"/>
    </w:rPr>
  </w:style>
  <w:style w:type="character" w:styleId="1298">
    <w:name w:val="font41"/>
    <w:basedOn w:val="1040"/>
    <w:next w:val="1298"/>
    <w:link w:val="1030"/>
    <w:rPr>
      <w:rFonts w:ascii="Times New Roman" w:hAnsi="Times New Roman" w:cs="Times New Roman"/>
      <w:i w:val="0"/>
      <w:iCs w:val="0"/>
      <w:color w:val="000000"/>
      <w:sz w:val="21"/>
      <w:szCs w:val="21"/>
      <w:u w:val="none"/>
    </w:rPr>
  </w:style>
  <w:style w:type="paragraph" w:styleId="1299">
    <w:name w:val="Plain Text"/>
    <w:basedOn w:val="1030"/>
    <w:next w:val="1299"/>
    <w:link w:val="1030"/>
    <w:qFormat/>
    <w:rPr>
      <w:rFonts w:ascii="宋体" w:hAnsi="Courier New" w:eastAsia="楷体_GB2312"/>
      <w:sz w:val="28"/>
    </w:rPr>
  </w:style>
  <w:style w:type="paragraph" w:styleId="1300">
    <w:name w:val="纯文本1"/>
    <w:basedOn w:val="1030"/>
    <w:next w:val="1300"/>
    <w:link w:val="1030"/>
    <w:qFormat/>
    <w:rPr>
      <w:rFonts w:ascii="宋体" w:hAnsi="Courier New" w:eastAsia="楷体_GB2312"/>
      <w:sz w:val="28"/>
    </w:rPr>
  </w:style>
  <w:style w:type="paragraph" w:styleId="1301">
    <w:name w:val="一、"/>
    <w:next w:val="1301"/>
    <w:link w:val="1030"/>
    <w:qFormat/>
    <w:pPr>
      <w:ind w:firstLine="640"/>
      <w:jc w:val="both"/>
      <w:widowControl w:val="off"/>
    </w:pPr>
    <w:rPr>
      <w:rFonts w:ascii="Times New Roman" w:hAnsi="Times New Roman" w:eastAsia="黑体" w:cs="Times New Roman"/>
      <w:sz w:val="21"/>
      <w:szCs w:val="32"/>
      <w:lang w:val="en-US" w:eastAsia="zh-CN" w:bidi="ar-SA"/>
    </w:rPr>
  </w:style>
  <w:style w:type="character" w:styleId="20568" w:default="1">
    <w:name w:val="Default Paragraph Font"/>
    <w:uiPriority w:val="1"/>
    <w:semiHidden/>
    <w:unhideWhenUsed/>
  </w:style>
  <w:style w:type="numbering" w:styleId="20569" w:default="1">
    <w:name w:val="No List"/>
    <w:uiPriority w:val="99"/>
    <w:semiHidden/>
    <w:unhideWhenUsed/>
  </w:style>
  <w:style w:type="table" w:styleId="205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2024-07-31T08:33:00Z</dcterms:created>
  <dcterms:modified xsi:type="dcterms:W3CDTF">2026-07-01T02:44:43Z</dcterms:modified>
</cp:coreProperties>
</file>