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9"/>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江宁中医院采购中央透析供液系统（三）</w:t>
      </w:r>
      <w:r/>
    </w:p>
    <w:p>
      <w:pPr>
        <w:pStyle w:val="692"/>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23"/>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9"/>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9"/>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JSZC-320115-DJGS-G2026-0007</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9"/>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20"/>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20"/>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9"/>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7"/>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江宁中医院采购中央透析供液系统（三）</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JSZC-320115-DJGS-G2026-0007</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11 14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JSZC-320115-DJGS-G2026-0007</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江宁中医院采购中央透析供液系统（三）</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万元，投标报价超过最高限价的为无效投标。</w:t>
      </w:r>
      <w:r>
        <w:rPr>
          <w:rFonts w:hint="eastAsia" w:ascii="宋体" w:hAnsi="宋体" w:cs="宋体"/>
          <w:color w:val="000000" w:themeColor="text1"/>
          <w:highlight w:val="none"/>
          <w:lang w:val="en-US" w:eastAsia="zh-CN"/>
          <w14:textFill>
            <w14:solidFill>
              <w14:schemeClr w14:val="tx1"/>
            </w14:solidFill>
          </w14:textFill>
        </w:rPr>
        <w:t xml:space="preserve"> </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7"/>
        <w:tblW w:w="5145" w:type="pct"/>
        <w:jc w:val="center"/>
        <w:tblLayout w:type="autofit"/>
        <w:tblCellMar>
          <w:left w:w="0" w:type="dxa"/>
          <w:top w:w="0" w:type="dxa"/>
          <w:right w:w="0" w:type="dxa"/>
          <w:bottom w:w="0" w:type="dxa"/>
        </w:tblCellMar>
        <w:tblLook w:val="04A0" w:firstRow="1" w:lastRow="0" w:firstColumn="1" w:lastColumn="0" w:noHBand="0" w:noVBand="1"/>
      </w:tblPr>
      <w:tblGrid>
        <w:gridCol w:w="899"/>
        <w:gridCol w:w="2247"/>
        <w:gridCol w:w="971"/>
        <w:gridCol w:w="1034"/>
        <w:gridCol w:w="2140"/>
        <w:gridCol w:w="1229"/>
        <w:gridCol w:w="1398"/>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备注</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具体产品详见采购需求</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20"/>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11 14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11 14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7"/>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29</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19726"/>
      <w:r/>
      <w:bookmarkStart w:id="6" w:name="_Toc8539"/>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951"/>
      <w:r/>
      <w:bookmarkStart w:id="8" w:name="_Toc30044"/>
      <w:r/>
      <w:bookmarkStart w:id="9" w:name="_Toc513029204"/>
      <w:r/>
      <w:bookmarkStart w:id="10" w:name="_Toc20823276"/>
      <w:r/>
      <w:bookmarkStart w:id="11" w:name="_Toc16938520"/>
      <w:r/>
      <w:bookmarkStart w:id="12" w:name="_Toc458694821"/>
      <w:r/>
      <w:bookmarkStart w:id="13" w:name="_Toc24947"/>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南京市江宁中医院</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18001"/>
      <w:r/>
      <w:bookmarkStart w:id="17" w:name="_Toc25880"/>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17711"/>
      <w:r/>
      <w:bookmarkStart w:id="19" w:name="_Toc513029207"/>
      <w:r/>
      <w:bookmarkStart w:id="20" w:name="_Toc462564067"/>
      <w:r/>
      <w:bookmarkStart w:id="21" w:name="_Toc20823279"/>
      <w:r/>
      <w:bookmarkStart w:id="22" w:name="_Toc16938523"/>
      <w:r/>
      <w:bookmarkStart w:id="23" w:name="_Toc25651"/>
      <w:r/>
      <w:bookmarkStart w:id="24" w:name="_Toc4759"/>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25474"/>
      <w:r/>
      <w:bookmarkStart w:id="26" w:name="_Toc34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6938525"/>
      <w:r/>
      <w:bookmarkStart w:id="28" w:name="_Toc20823281"/>
      <w:r/>
      <w:bookmarkStart w:id="29" w:name="_Toc120614215"/>
      <w:r/>
      <w:bookmarkStart w:id="30" w:name="_Toc15035"/>
      <w:r/>
      <w:bookmarkStart w:id="31" w:name="_Toc513029209"/>
      <w:r/>
      <w:bookmarkStart w:id="32" w:name="_Toc11232"/>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513029210"/>
      <w:r/>
      <w:bookmarkStart w:id="34" w:name="_Toc2899"/>
      <w:r/>
      <w:bookmarkStart w:id="35" w:name="_Toc20823282"/>
      <w:r/>
      <w:bookmarkStart w:id="36" w:name="_Toc31631"/>
      <w:r/>
      <w:bookmarkStart w:id="37" w:name="_Toc16938526"/>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评分标准</w:t>
      </w:r>
      <w:r/>
    </w:p>
    <w:p>
      <w:pPr>
        <w:ind w:firstLine="840"/>
        <w:keepLines w:val="0"/>
        <w:keepNext w:val="0"/>
        <w:pageBreakBefore w:val="0"/>
        <w:spacing w:line="360"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w:t>
      </w:r>
      <w:r>
        <w:rPr>
          <w:rFonts w:hint="eastAsia" w:ascii="宋体" w:hAnsi="宋体" w:cs="宋体"/>
          <w:color w:val="000000" w:themeColor="text1"/>
          <w:szCs w:val="21"/>
          <w:highlight w:val="none"/>
          <w:lang w:val="en-US" w:eastAsia="zh-CN"/>
          <w14:textFill>
            <w14:solidFill>
              <w14:schemeClr w14:val="tx1"/>
            </w14:solidFill>
          </w14:textFill>
        </w:rPr>
        <w:t xml:space="preserve">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ind w:firstLine="420"/>
        <w:keepLines w:val="0"/>
        <w:keepNext w:val="0"/>
        <w:pageBreakBefore w:val="0"/>
        <w:spacing w:line="360" w:lineRule="auto"/>
        <w:widowControl w:val="off"/>
        <w:rPr>
          <w:rFonts w:hint="eastAsia" w:ascii="宋体" w:hAnsi="宋体" w:eastAsia="宋体" w:cs="宋体"/>
          <w:b/>
          <w:bCs/>
          <w:color w:val="000000" w:themeColor="text1"/>
          <w:szCs w:val="21"/>
          <w:highlight w:val="none"/>
          <w:lang w:val="zh-CN"/>
          <w14:textFill>
            <w14:solidFill>
              <w14:schemeClr w14:val="tx1"/>
            </w14:solidFill>
          </w14:textFill>
        </w:rPr>
        <w:outlineLvl w:val="2"/>
      </w:pPr>
      <w:r/>
      <w:bookmarkStart w:id="38" w:name="_Toc24838"/>
      <w:r/>
      <w:bookmarkStart w:id="39" w:name="_Toc14415"/>
      <w:r>
        <w:rPr>
          <w:rFonts w:hint="eastAsia" w:ascii="宋体" w:hAnsi="宋体" w:eastAsia="宋体" w:cs="宋体"/>
          <w:b/>
          <w:bCs/>
          <w:color w:val="000000" w:themeColor="text1"/>
          <w:szCs w:val="21"/>
          <w:highlight w:val="none"/>
          <w:lang w:val="zh-CN"/>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94"/>
        <w:ind w:left="0" w:firstLine="422"/>
        <w:jc w:val="both"/>
        <w:spacing w:line="440" w:lineRule="exact"/>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pPr>
      <w:r/>
      <w:bookmarkStart w:id="42" w:name="_Toc28127"/>
      <w:r/>
      <w:bookmarkStart w:id="43" w:name="_Toc14460"/>
      <w:r>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t xml:space="preserve">8.</w:t>
      </w:r>
      <w:bookmarkEnd w:id="42"/>
      <w:r>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11547"/>
      <w:r/>
      <w:bookmarkStart w:id="46"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w:t>
      </w:r>
      <w:r>
        <w:rPr>
          <w:rFonts w:hint="eastAsia" w:ascii="宋体" w:hAnsi="宋体" w:cs="宋体"/>
          <w:b/>
          <w:color w:val="000000" w:themeColor="text1"/>
          <w:szCs w:val="21"/>
          <w:highlight w:val="none"/>
          <w:lang w:val="en-US" w:eastAsia="zh-CN"/>
          <w14:textFill>
            <w14:solidFill>
              <w14:schemeClr w14:val="tx1"/>
            </w14:solidFill>
          </w14:textFill>
        </w:rPr>
        <w:t xml:space="preserve">本项目不适用</w:t>
      </w:r>
      <w:r>
        <w:rPr>
          <w:rFonts w:hint="eastAsia" w:ascii="宋体" w:hAnsi="宋体" w:eastAsia="宋体" w:cs="宋体"/>
          <w:b/>
          <w:color w:val="000000" w:themeColor="text1"/>
          <w:szCs w:val="21"/>
          <w:highlight w:val="none"/>
          <w:lang w:val="zh-CN"/>
          <w14:textFill>
            <w14:solidFill>
              <w14:schemeClr w14:val="tx1"/>
            </w14:solidFill>
          </w14:textFill>
        </w:rPr>
        <w:t xml:space="preserve">）</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94"/>
        <w:ind w:left="0" w:firstLine="422"/>
        <w:jc w:val="both"/>
        <w:spacing w:line="440" w:lineRule="exact"/>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bookmarkStart w:id="47" w:name="_Toc22790"/>
      <w:r/>
      <w:bookmarkStart w:id="48" w:name="_Toc6681"/>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10.投标文件的</w:t>
      </w:r>
      <w:bookmarkEnd w:id="47"/>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15215"/>
      <w:r/>
      <w:bookmarkStart w:id="50" w:name="_Toc31206"/>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94"/>
        <w:ind w:left="0" w:firstLine="422"/>
        <w:jc w:val="both"/>
        <w:spacing w:line="360" w:lineRule="auto"/>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4"/>
        <w:ind w:left="0" w:firstLine="422"/>
        <w:jc w:val="both"/>
        <w:spacing w:line="360" w:lineRule="auto"/>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pPr>
      <w:r/>
      <w:bookmarkStart w:id="52" w:name="_Toc21944"/>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16938541"/>
      <w:r/>
      <w:bookmarkStart w:id="56" w:name="_Toc462564084"/>
      <w:r/>
      <w:bookmarkStart w:id="57" w:name="_Toc20823297"/>
      <w:r/>
      <w:bookmarkStart w:id="58" w:name="_Toc513029225"/>
      <w:r/>
      <w:bookmarkStart w:id="59" w:name="_Toc15509"/>
      <w:r/>
      <w:bookmarkStart w:id="60" w:name="_Toc415"/>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513029227"/>
      <w:r/>
      <w:bookmarkStart w:id="64" w:name="_Toc16938543"/>
      <w:r/>
      <w:bookmarkStart w:id="65" w:name="_Toc20823299"/>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513029228"/>
      <w:r/>
      <w:bookmarkStart w:id="68"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3"/>
      <w:r/>
      <w:bookmarkStart w:id="70" w:name="_Toc15345"/>
      <w:r/>
      <w:bookmarkStart w:id="71" w:name="OLE_LINK7"/>
      <w:r/>
      <w:bookmarkStart w:id="72" w:name="_Toc13829"/>
      <w:r/>
      <w:bookmarkStart w:id="73" w:name="_Toc3679"/>
      <w:r/>
      <w:bookmarkStart w:id="74" w:name="_Toc20683"/>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513029231"/>
      <w:r/>
      <w:bookmarkStart w:id="78" w:name="_Toc20823303"/>
      <w:r/>
      <w:bookmarkStart w:id="79" w:name="_Toc29284"/>
      <w:r/>
      <w:bookmarkStart w:id="80" w:name="_Toc16938547"/>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2294"/>
      <w:r/>
      <w:bookmarkStart w:id="85" w:name="_Toc18327"/>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6"/>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94"/>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9"/>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w:t>
      </w:r>
      <w:r>
        <w:rPr>
          <w:rFonts w:hint="eastAsia" w:ascii="宋体" w:hAnsi="宋体" w:eastAsia="宋体" w:cs="宋体"/>
          <w:color w:val="000000" w:themeColor="text1"/>
          <w:highlight w:val="none"/>
          <w:lang w:eastAsia="zh-CN"/>
          <w14:textFill>
            <w14:solidFill>
              <w14:schemeClr w14:val="tx1"/>
            </w14:solidFill>
          </w14:textFill>
        </w:rPr>
        <w:t xml:space="preserve">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w:t>
      </w:r>
      <w:r>
        <w:rPr>
          <w:rFonts w:hint="eastAsia" w:ascii="宋体" w:hAnsi="宋体" w:eastAsia="宋体" w:cs="宋体"/>
          <w:color w:val="000000" w:themeColor="text1"/>
          <w:szCs w:val="21"/>
          <w:highlight w:val="none"/>
          <w14:textFill>
            <w14:solidFill>
              <w14:schemeClr w14:val="tx1"/>
            </w14:solidFill>
          </w14:textFill>
        </w:rPr>
        <w:t xml:space="preserve">，各投标供应商应将招标代理服务费自行考虑包含在投标报价中，本项费用无需在投标报价表中单列。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7"/>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bl>
      <w:tblPr>
        <w:tblStyle w:val="687"/>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ind w:firstLine="480"/>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5"/>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numPr>
                <w:ilvl w:val="0"/>
                <w:numId w:val="0"/>
              </w:num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cs="宋体"/>
                <w:color w:val="000000" w:themeColor="text1"/>
                <w:highlight w:val="none"/>
                <w:lang w:val="en-US" w:eastAsia="zh-CN"/>
                <w14:textFill>
                  <w14:solidFill>
                    <w14:schemeClr w14:val="tx1"/>
                  </w14:solidFill>
                </w14:textFill>
              </w:rPr>
              <w:t xml:space="preserve">36.5</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▲号指标为关键参数，有一项负偏离扣</w:t>
            </w:r>
            <w:r>
              <w:rPr>
                <w:rFonts w:hint="eastAsia" w:ascii="宋体" w:hAnsi="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lang w:val="en-US" w:eastAsia="zh-CN"/>
                <w14:textFill>
                  <w14:solidFill>
                    <w14:schemeClr w14:val="tx1"/>
                  </w14:solidFill>
                </w14:textFill>
              </w:rPr>
              <w:t xml:space="preserve">分；非打▲号指标，有一项负偏离扣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0.6</w:t>
            </w:r>
            <w:r>
              <w:rPr>
                <w:rFonts w:hint="eastAsia" w:ascii="宋体" w:hAnsi="宋体" w:eastAsia="宋体" w:cs="宋体"/>
                <w:color w:val="000000" w:themeColor="text1"/>
                <w:highlight w:val="none"/>
                <w:lang w:val="en-US" w:eastAsia="zh-CN"/>
                <w14:textFill>
                  <w14:solidFill>
                    <w14:schemeClr w14:val="tx1"/>
                  </w14:solidFill>
                </w14:textFill>
              </w:rPr>
              <w:t xml:space="preserve">分。严重负偏离影响设备性能的经半数以上评委认定，本项得零分。</w:t>
            </w:r>
            <w:r/>
          </w:p>
          <w:p>
            <w:pPr>
              <w:numPr>
                <w:ilvl w:val="0"/>
                <w:numId w:val="0"/>
              </w:numP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注：</w:t>
            </w:r>
            <w:r>
              <w:rPr>
                <w:rFonts w:hint="eastAsia" w:ascii="宋体" w:hAnsi="宋体" w:eastAsia="宋体" w:cs="宋体"/>
                <w:color w:val="000000" w:themeColor="text1"/>
                <w:highlight w:val="none"/>
                <w:lang w:val="en-US" w:eastAsia="zh-CN"/>
                <w14:textFill>
                  <w14:solidFill>
                    <w14:schemeClr w14:val="tx1"/>
                  </w14:solidFill>
                </w14:textFill>
              </w:rPr>
              <w:t xml:space="preserve">技术总分36.</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val="en-US" w:eastAsia="zh-CN"/>
                <w14:textFill>
                  <w14:solidFill>
                    <w14:schemeClr w14:val="tx1"/>
                  </w14:solidFill>
                </w14:textFill>
              </w:rPr>
              <w:t xml:space="preserve">分，含48项参数，其中11项为关键参数（▲），每项赋1.3分（合计14.3分）；其余37项普通参数，每项赋0.</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分（合计</w:t>
            </w:r>
            <w:r>
              <w:rPr>
                <w:rFonts w:hint="eastAsia" w:ascii="宋体" w:hAnsi="宋体" w:cs="宋体"/>
                <w:color w:val="000000" w:themeColor="text1"/>
                <w:highlight w:val="none"/>
                <w:lang w:val="en-US" w:eastAsia="zh-CN"/>
                <w14:textFill>
                  <w14:solidFill>
                    <w14:schemeClr w14:val="tx1"/>
                  </w14:solidFill>
                </w14:textFill>
              </w:rPr>
              <w:t xml:space="preserve">22.2</w:t>
            </w:r>
            <w:r>
              <w:rPr>
                <w:rFonts w:hint="eastAsia" w:ascii="宋体" w:hAnsi="宋体" w:eastAsia="宋体" w:cs="宋体"/>
                <w:color w:val="000000" w:themeColor="text1"/>
                <w:highlight w:val="none"/>
                <w:lang w:val="en-US" w:eastAsia="zh-CN"/>
                <w14:textFill>
                  <w14:solidFill>
                    <w14:schemeClr w14:val="tx1"/>
                  </w14:solidFill>
                </w14:textFill>
              </w:rPr>
              <w:t xml:space="preserve">分）。</w:t>
            </w:r>
            <w:r/>
          </w:p>
          <w:p>
            <w:pPr>
              <w:ind w:firstLine="480"/>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36.5</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9"/>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91"/>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6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方案各分点论述完整，厂家提供的质保期和售后服务承诺、售后服务优惠力度及售后响应时间、故障处理时间均能够满足项目需求，退换货流程清晰且具有可操作性和用户便利性的得4分；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方案各分点论述不完整，厂家提供的质保期和售后服务承诺、售后服务优惠力度及响应时间、故障处理时间不能满足项目需求，退换货流程不清晰且可操作性和用户便利性欠缺的得2分；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w:t>
            </w:r>
            <w:r>
              <w:rPr>
                <w:rFonts w:hint="eastAsia" w:ascii="宋体" w:hAnsi="宋体" w:cs="宋体"/>
                <w:color w:val="000000" w:themeColor="text1"/>
                <w:highlight w:val="none"/>
                <w:lang w:val="en-US" w:eastAsia="zh-CN"/>
                <w14:textFill>
                  <w14:solidFill>
                    <w14:schemeClr w14:val="tx1"/>
                  </w14:solidFill>
                </w14:textFill>
              </w:rPr>
              <w:t xml:space="preserve">有</w:t>
            </w:r>
            <w:r>
              <w:rPr>
                <w:rFonts w:hint="eastAsia" w:ascii="宋体" w:hAnsi="宋体" w:eastAsia="宋体" w:cs="宋体"/>
                <w:color w:val="000000" w:themeColor="text1"/>
                <w:highlight w:val="none"/>
                <w:lang w:eastAsia="zh-CN"/>
                <w14:textFill>
                  <w14:solidFill>
                    <w14:schemeClr w14:val="tx1"/>
                  </w14:solidFill>
                </w14:textFill>
              </w:rPr>
              <w:t xml:space="preserve">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产品成功销售案例的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合同标的至少包含本次采购核心产品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1.75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3.5</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both"/>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bookmarkStart w:id="96" w:name="_GoBack"/>
      <w:r/>
      <w:bookmarkEnd w:id="96"/>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3314"/>
      <w:r/>
      <w:bookmarkStart w:id="93" w:name="_Toc24432"/>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江宁中医院采购中央透析供液系统（三）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套，供应商负责全部货物的供货、运输、安装、调试、配合招标人验收、技术培训、售后及质保等全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4"/>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年(投标人在承诺函中体现对质保期限的承诺</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中标后提供生产厂家的质保证明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原件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材料)。</w:t>
      </w:r>
      <w:r/>
    </w:p>
    <w:p>
      <w:pPr>
        <w:pStyle w:val="692"/>
        <w:ind w:firstLine="482"/>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在保修期内，免费更换零配件及工时费，接到</w:t>
      </w:r>
      <w:r>
        <w:rPr>
          <w:rFonts w:hint="eastAsia" w:cs="宋体"/>
          <w:color w:val="000000" w:themeColor="text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1"/>
          <w:highlight w:val="none"/>
          <w:lang w:eastAsia="zh-CN"/>
          <w14:textFill>
            <w14:solidFill>
              <w14:schemeClr w14:val="tx1"/>
            </w14:solidFill>
          </w14:textFill>
        </w:rPr>
        <w:t xml:space="preserve">的维修通知应在2小时内给予答复，并于24小时内到达现场维修(不可抗拒力量下除外)。</w:t>
      </w:r>
      <w:r>
        <w:rPr>
          <w:rFonts w:hint="eastAsia" w:cs="宋体"/>
          <w:color w:val="000000" w:themeColor="text1"/>
          <w:szCs w:val="21"/>
          <w:highlight w:val="none"/>
          <w:lang w:val="en-US" w:eastAsia="zh-CN"/>
          <w14:textFill>
            <w14:solidFill>
              <w14:schemeClr w14:val="tx1"/>
            </w14:solidFill>
          </w14:textFill>
        </w:rPr>
        <w:t xml:space="preserve">中标单位</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bidi="en-US"/>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715"/>
        <w:numPr>
          <w:ilvl w:val="0"/>
          <w:numId w:val="5"/>
        </w:numPr>
        <w:rPr>
          <w:color w:val="000000" w:themeColor="text1"/>
          <w14:textFill>
            <w14:solidFill>
              <w14:schemeClr w14:val="tx1"/>
            </w14:solidFill>
          </w14:textFill>
        </w:rPr>
      </w:pPr>
      <w:r>
        <w:rPr>
          <w:rFonts w:hint="eastAsia" w:cs="宋体"/>
          <w:i w:val="0"/>
          <w:iCs w:val="0"/>
          <w:color w:val="000000" w:themeColor="text1"/>
          <w:sz w:val="21"/>
          <w:szCs w:val="21"/>
          <w:u w:val="none"/>
          <w:lang w:val="en-US" w:eastAsia="zh-CN" w:bidi="ar"/>
          <w14:textFill>
            <w14:solidFill>
              <w14:schemeClr w14:val="tx1"/>
            </w14:solidFill>
          </w14:textFill>
        </w:rPr>
        <w:t xml:space="preserve">集中供液</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系统</w:t>
      </w:r>
      <w:r>
        <w:rPr>
          <w:rFonts w:hint="eastAsia" w:cs="宋体"/>
          <w:i w:val="0"/>
          <w:iCs w:val="0"/>
          <w:color w:val="000000" w:themeColor="text1"/>
          <w:sz w:val="21"/>
          <w:szCs w:val="21"/>
          <w:u w:val="none"/>
          <w:lang w:val="en-US" w:eastAsia="zh-CN" w:bidi="ar"/>
          <w14:textFill>
            <w14:solidFill>
              <w14:schemeClr w14:val="tx1"/>
            </w14:solidFill>
          </w14:textFill>
        </w:rPr>
        <w:t xml:space="preserve">须</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负责</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提供连接49台血液净化设备的原厂中央供液模块。</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tbl>
      <w:tblPr>
        <w:tblStyle w:val="687"/>
        <w:tblW w:w="10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552"/>
        <w:gridCol w:w="1180"/>
        <w:gridCol w:w="1668"/>
      </w:tblGrid>
      <w:tr>
        <w:trPr>
          <w:jc w:val="center"/>
          <w:trHeight w:val="1237"/>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52" w:type="dxa"/>
            <w:vAlign w:val="center"/>
            <w:textDirection w:val="lrTb"/>
            <w:noWrap w:val="false"/>
          </w:tcPr>
          <w:p>
            <w:pPr>
              <w:pStyle w:val="680"/>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分项最高限价</w:t>
            </w:r>
            <w:r/>
          </w:p>
          <w:p>
            <w:pPr>
              <w:pStyle w:val="680"/>
              <w:jc w:val="center"/>
              <w:spacing w:line="240" w:lineRule="auto"/>
              <w:widowControl w:val="off"/>
              <w:rPr>
                <w:rFonts w:hint="default"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180" w:type="dxa"/>
            <w:vAlign w:val="center"/>
            <w:textDirection w:val="lrTb"/>
            <w:noWrap w:val="false"/>
          </w:tcPr>
          <w:p>
            <w:pPr>
              <w:pStyle w:val="680"/>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最高限价</w:t>
            </w:r>
            <w:r/>
          </w:p>
          <w:p>
            <w:pPr>
              <w:pStyle w:val="680"/>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22</w:t>
            </w:r>
            <w:r/>
          </w:p>
        </w:tc>
        <w:tc>
          <w:tcPr>
            <w:tcW w:w="1180"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208</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21"/>
                <w:szCs w:val="21"/>
                <w:highlight w:val="none"/>
                <w:lang w:val="en-US" w:eastAsia="zh-CN"/>
                <w14:textFill>
                  <w14:solidFill>
                    <w14:schemeClr w14:val="tx1"/>
                  </w14:solidFill>
                </w14:textFill>
              </w:rPr>
              <w:t xml:space="preserve">（核心产品）</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568</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180</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pStyle w:val="715"/>
        <w:ind w:left="0" w:firstLine="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numPr>
          <w:ilvl w:val="0"/>
          <w:numId w:val="6"/>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tbl>
      <w:tblPr>
        <w:tblStyle w:val="687"/>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一</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▲中央供液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可</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直接连接血透机，不可破坏或改装水路进行连接，减少安全隐患。（需提供技术支持材料）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▲具备对供液管道内部进行冲洗和化学消毒功能，并可以控制调节。（需提供技术支持材料）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▲具有透析机工作状态的在线检测功能，防止有透析机处在治疗状态时集中供液系统开启消毒，产生医疗风险。（需提供技术支持材料）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具备浓缩液配制装置自动冲洗消毒功能</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具备浓缩液配制装置可分别设置A、B粉的搅拌水量、搅拌时间功能，并进行自动进水、自动搅拌、自动送液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具备对超出浓度范围</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（A液范围160mS/cm-240mS/cm，B液范围36mS/cm-54mS/cm）</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、备用桶液量</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（余量＜5L）</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▲具备液体过滤装置，可去除杂质或颗粒，微生物指标达到内毒素（ET）值≤0.03EU/ml，细菌值≤0.1CFU/ml。（需提供技术支持材料）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▲供液管路抗细菌滋生，抗腐蚀，无死腔。（需提供技术支持材料）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二</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供血液透析中心做血液透析治疗使用</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产水量：≥3.0m³/hr（25℃）</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▲主要工艺流程：双级反渗透，一二级直接偶合，二级纯水直供；直供式控制程序。（需提供技术支持材料）</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设备待机时具备防渗漏检测功能，管路漏水时切断供水，可有效防止在不工作时漏水事故</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三</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▲具有细菌过滤器泄露检测功能，装配过滤器，过滤后的透析液内毒素＜0.03EU/ml。（需提供技术支持材料）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四</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bl>
    <w:p>
      <w:pPr>
        <w:numPr>
          <w:ilvl w:val="0"/>
          <w:numId w:val="0"/>
        </w:numPr>
        <w:jc w:val="lef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7"/>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质保期限：至少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年（自终验合格日起）</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4"/>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211"/>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（【财库〔2026〕2号】关于推动解决政府采购异常低价问题的通知）</w:t>
      </w:r>
      <w:r/>
    </w:p>
    <w:p>
      <w:pPr>
        <w:ind w:firstLine="42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4.评审委员会基于专业判断，认为供应商报价过低，有可能影响产品质量或者不能诚信履约的其他情形。</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9"/>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9"/>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t xml:space="preserve">医疗设备采购合同</w:t>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r>
      <w:r/>
    </w:p>
    <w:p>
      <w:pPr>
        <w:jc w:val="center"/>
        <w:rPr>
          <w:b/>
          <w:bCs/>
          <w:color w:val="000000" w:themeColor="text1"/>
          <w:sz w:val="144"/>
          <w:szCs w:val="144"/>
          <w:highlight w:val="none"/>
          <w14:textFill>
            <w14:solidFill>
              <w14:schemeClr w14:val="tx1"/>
            </w14:solidFill>
          </w14:textFill>
        </w:rPr>
      </w:pPr>
      <w:r>
        <w:rPr>
          <w:b/>
          <w:bCs/>
          <w:color w:val="000000" w:themeColor="text1"/>
          <w:sz w:val="144"/>
          <w:szCs w:val="144"/>
          <w:highlight w:val="none"/>
          <w14:textFill>
            <w14:solidFill>
              <w14:schemeClr w14:val="tx1"/>
            </w14:solidFill>
          </w14:textFill>
        </w:rPr>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合同编号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项目名称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设备</w:t>
      </w:r>
      <w:r>
        <w:rPr>
          <w:b/>
          <w:bCs/>
          <w:color w:val="000000" w:themeColor="text1"/>
          <w:sz w:val="32"/>
          <w:szCs w:val="40"/>
          <w:highlight w:val="none"/>
          <w14:textFill>
            <w14:solidFill>
              <w14:schemeClr w14:val="tx1"/>
            </w14:solidFill>
          </w14:textFill>
        </w:rPr>
        <w:t xml:space="preserve">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采购单位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南京市江宁中医院</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rFonts w:hint="eastAsia"/>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中标单位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b/>
          <w:bCs/>
          <w:color w:val="000000" w:themeColor="text1"/>
          <w:sz w:val="32"/>
          <w:szCs w:val="40"/>
          <w:highlight w:val="non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招标代理单位名称</w:t>
      </w:r>
      <w:r>
        <w:rPr>
          <w:rFonts w:hint="eastAsia"/>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color w:val="000000" w:themeColor="text1"/>
          <w:highlight w:val="none"/>
          <w14:textFill>
            <w14:solidFill>
              <w14:schemeClr w14:val="tx1"/>
            </w14:solidFill>
          </w14:textFill>
        </w:rPr>
      </w:pPr>
      <w:r>
        <w:rPr>
          <w:b/>
          <w:bCs/>
          <w:color w:val="000000" w:themeColor="text1"/>
          <w:sz w:val="32"/>
          <w:szCs w:val="40"/>
          <w:highlight w:val="none"/>
          <w14:textFill>
            <w14:solidFill>
              <w14:schemeClr w14:val="tx1"/>
            </w14:solidFill>
          </w14:textFill>
        </w:rPr>
        <w:t xml:space="preserve">签订日期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年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月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日   </w:t>
      </w:r>
      <w:r/>
    </w:p>
    <w:p>
      <w:pPr>
        <w:ind w:left="0" w:firstLine="480"/>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643"/>
        <w:jc w:val="center"/>
        <w:spacing w:line="360" w:lineRule="auto"/>
        <w:rPr>
          <w:rFonts w:ascii="宋体"/>
          <w:b/>
          <w:color w:val="000000" w:themeColor="text1"/>
          <w:sz w:val="32"/>
          <w:szCs w:val="32"/>
          <w:highlight w:val="none"/>
          <w14:textFill>
            <w14:solidFill>
              <w14:schemeClr w14:val="tx1"/>
            </w14:solidFill>
          </w14:textFill>
        </w:rPr>
      </w:pPr>
      <w:r>
        <w:rPr>
          <w:rFonts w:hint="eastAsia" w:ascii="宋体"/>
          <w:b/>
          <w:color w:val="000000" w:themeColor="text1"/>
          <w:sz w:val="32"/>
          <w:szCs w:val="32"/>
          <w:highlight w:val="none"/>
          <w:lang w:val="en-US" w:eastAsia="zh-CN"/>
          <w14:textFill>
            <w14:solidFill>
              <w14:schemeClr w14:val="tx1"/>
            </w14:solidFill>
          </w14:textFill>
        </w:rPr>
        <w:t xml:space="preserve">采购</w:t>
      </w:r>
      <w:r>
        <w:rPr>
          <w:rFonts w:hint="eastAsia" w:ascii="宋体"/>
          <w:b/>
          <w:color w:val="000000" w:themeColor="text1"/>
          <w:sz w:val="32"/>
          <w:szCs w:val="32"/>
          <w:highlight w:val="none"/>
          <w14:textFill>
            <w14:solidFill>
              <w14:schemeClr w14:val="tx1"/>
            </w14:solidFill>
          </w14:textFill>
        </w:rPr>
        <w:t xml:space="preserve">合同</w:t>
      </w:r>
      <w:r/>
    </w:p>
    <w:p>
      <w:pPr>
        <w:jc w:val="left"/>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甲方：（买方）</w:t>
      </w:r>
      <w:r>
        <w:rPr>
          <w:rFonts w:hint="eastAsia" w:ascii="宋体" w:hAnsi="宋体"/>
          <w:color w:val="000000" w:themeColor="text1"/>
          <w:szCs w:val="21"/>
          <w:highlight w:val="none"/>
          <w:u w:val="single"/>
          <w14:textFill>
            <w14:solidFill>
              <w14:schemeClr w14:val="tx1"/>
            </w14:solidFill>
          </w14:textFill>
        </w:rPr>
        <w:t xml:space="preserve">      南京市江宁中医院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乙方：（卖方）</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根据《民法典》以及《招标文件》、乙方《投标文件》，遵循平等、自愿、公平和诚实信用等原则</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Courier New"/>
          <w:color w:val="000000" w:themeColor="text1"/>
          <w:szCs w:val="21"/>
          <w:highlight w:val="none"/>
          <w14:textFill>
            <w14:solidFill>
              <w14:schemeClr w14:val="tx1"/>
            </w14:solidFill>
          </w14:textFill>
        </w:rPr>
        <w:t xml:space="preserve">甲乙双方同意按下述条款和条件签订本合同，并共同遵守。</w:t>
      </w:r>
      <w:r/>
    </w:p>
    <w:p>
      <w:pPr>
        <w:numPr>
          <w:ilvl w:val="0"/>
          <w:numId w:val="9"/>
        </w:numPr>
        <w:ind w:firstLine="482"/>
        <w:keepLines w:val="0"/>
        <w:keepNext w:val="0"/>
        <w:pageBreakBefore w:val="0"/>
        <w:spacing w:line="400" w:lineRule="exact"/>
        <w:rPr>
          <w:rFonts w:hint="eastAsia"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设备项目</w:t>
      </w:r>
      <w:r/>
    </w:p>
    <w:p>
      <w:pPr>
        <w:numPr>
          <w:ilvl w:val="0"/>
          <w:numId w:val="0"/>
        </w:numPr>
        <w:keepLines w:val="0"/>
        <w:keepNext w:val="0"/>
        <w:pageBreakBefore w:val="0"/>
        <w:spacing w:line="400" w:lineRule="exact"/>
        <w:rPr>
          <w:rFonts w:hint="default" w:ascii="宋体" w:eastAsia="宋体"/>
          <w:b/>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lang w:val="en-US" w:eastAsia="zh-CN"/>
          <w14:textFill>
            <w14:solidFill>
              <w14:schemeClr w14:val="tx1"/>
            </w14:solidFill>
          </w14:textFill>
        </w:rPr>
        <w:t xml:space="preserve">项目名称：</w:t>
      </w:r>
      <w:r/>
    </w:p>
    <w:tbl>
      <w:tblPr>
        <w:tblStyle w:val="687"/>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产品</w:t>
            </w:r>
            <w:r>
              <w:rPr>
                <w:rFonts w:hint="eastAsia" w:ascii="宋体" w:hAnsi="宋体"/>
                <w:bCs/>
                <w:color w:val="000000" w:themeColor="text1"/>
                <w:szCs w:val="21"/>
                <w:highlight w:val="none"/>
                <w:lang w:val="en-US" w:eastAsia="zh-CN"/>
                <w14:textFill>
                  <w14:solidFill>
                    <w14:schemeClr w14:val="tx1"/>
                  </w14:solidFill>
                </w14:textFill>
              </w:rPr>
              <w:t xml:space="preserve">注册证</w:t>
            </w:r>
            <w:r>
              <w:rPr>
                <w:rFonts w:hint="eastAsia" w:ascii="宋体" w:hAnsi="宋体"/>
                <w:bCs/>
                <w:color w:val="000000" w:themeColor="text1"/>
                <w:szCs w:val="21"/>
                <w:highlight w:val="none"/>
                <w14:textFill>
                  <w14:solidFill>
                    <w14:schemeClr w14:val="tx1"/>
                  </w14:solidFill>
                </w14:textFill>
              </w:rPr>
              <w:t xml:space="preserve">名称</w:t>
            </w:r>
            <w:r>
              <w:rPr>
                <w:rFonts w:hint="eastAsia" w:ascii="宋体" w:hAnsi="宋体"/>
                <w:bCs/>
                <w:color w:val="000000" w:themeColor="text1"/>
                <w:szCs w:val="21"/>
                <w:highlight w:val="none"/>
                <w:lang w:val="en-US" w:eastAsia="zh-CN"/>
                <w14:textFill>
                  <w14:solidFill>
                    <w14:schemeClr w14:val="tx1"/>
                  </w14:solidFill>
                </w14:textFill>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计量</w:t>
            </w:r>
            <w:r>
              <w:rPr>
                <w:rFonts w:hint="eastAsia" w:ascii="宋体" w:hAnsi="宋体"/>
                <w:bCs/>
                <w:color w:val="000000" w:themeColor="text1"/>
                <w:szCs w:val="21"/>
                <w:highlight w:val="none"/>
                <w14:textFill>
                  <w14:solidFill>
                    <w14:schemeClr w14:val="tx1"/>
                  </w14:solidFill>
                </w14:textFill>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单价</w:t>
            </w:r>
            <w:r/>
          </w:p>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合计</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含税合计 人民币</w:t>
            </w:r>
            <w:r>
              <w:rPr>
                <w:rFonts w:hint="eastAsia" w:ascii="宋体" w:hAnsi="宋体" w:cs="Arial"/>
                <w:bCs/>
                <w:color w:val="000000" w:themeColor="text1"/>
                <w:szCs w:val="21"/>
                <w:highlight w:val="none"/>
                <w:u w:val="single"/>
                <w14:textFill>
                  <w14:solidFill>
                    <w14:schemeClr w14:val="tx1"/>
                  </w14:solidFill>
                </w14:textFill>
              </w:rPr>
              <w:t xml:space="preserve">                 </w:t>
            </w:r>
            <w:r>
              <w:rPr>
                <w:rFonts w:hint="eastAsia" w:ascii="宋体" w:hAnsi="宋体" w:cs="Arial"/>
                <w:bCs/>
                <w:color w:val="000000" w:themeColor="text1"/>
                <w:szCs w:val="21"/>
                <w:highlight w:val="none"/>
                <w14:textFill>
                  <w14:solidFill>
                    <w14:schemeClr w14:val="tx1"/>
                  </w14:solidFill>
                </w14:textFill>
              </w:rPr>
              <w:t xml:space="preserve">元 </w:t>
            </w:r>
            <w:r/>
          </w:p>
        </w:tc>
      </w:tr>
    </w:tbl>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二、合同金额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w:t>
      </w:r>
      <w:r>
        <w:rPr>
          <w:rFonts w:hint="eastAsia" w:ascii="宋体" w:hAnsi="宋体"/>
          <w:color w:val="000000" w:themeColor="text1"/>
          <w:szCs w:val="21"/>
          <w:highlight w:val="none"/>
          <w14:textFill>
            <w14:solidFill>
              <w14:schemeClr w14:val="tx1"/>
            </w14:solidFill>
          </w14:textFill>
        </w:rPr>
        <w:t xml:space="preserve">  合同</w:t>
      </w:r>
      <w:r>
        <w:rPr>
          <w:rFonts w:hint="eastAsia" w:ascii="宋体" w:hAnsi="宋体"/>
          <w:color w:val="000000" w:themeColor="text1"/>
          <w:szCs w:val="21"/>
          <w:highlight w:val="none"/>
          <w:lang w:val="en-US" w:eastAsia="zh-CN"/>
          <w14:textFill>
            <w14:solidFill>
              <w14:schemeClr w14:val="tx1"/>
            </w14:solidFill>
          </w14:textFill>
        </w:rPr>
        <w:t xml:space="preserve">总</w:t>
      </w:r>
      <w:r>
        <w:rPr>
          <w:rFonts w:ascii="宋体" w:hAnsi="宋体"/>
          <w:color w:val="000000" w:themeColor="text1"/>
          <w:szCs w:val="21"/>
          <w:highlight w:val="none"/>
          <w14:textFill>
            <w14:solidFill>
              <w14:schemeClr w14:val="tx1"/>
            </w14:solidFill>
          </w14:textFill>
        </w:rPr>
        <w:t xml:space="preserve">金额（大写）：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三、技术资料</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乙方应向甲方提供使用</w:t>
      </w:r>
      <w:r>
        <w:rPr>
          <w:rFonts w:hint="eastAsia" w:ascii="宋体" w:hAnsi="宋体"/>
          <w:color w:val="000000" w:themeColor="text1"/>
          <w:szCs w:val="21"/>
          <w:highlight w:val="none"/>
          <w14:textFill>
            <w14:solidFill>
              <w14:schemeClr w14:val="tx1"/>
            </w14:solidFill>
          </w14:textFill>
        </w:rPr>
        <w:t xml:space="preserve">产品</w:t>
      </w:r>
      <w:r>
        <w:rPr>
          <w:rFonts w:ascii="宋体" w:hAnsi="宋体"/>
          <w:color w:val="000000" w:themeColor="text1"/>
          <w:szCs w:val="21"/>
          <w:highlight w:val="none"/>
          <w14:textFill>
            <w14:solidFill>
              <w14:schemeClr w14:val="tx1"/>
            </w14:solidFill>
          </w14:textFill>
        </w:rPr>
        <w:t xml:space="preserve">的有关技术资料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但不限于：技术说明书、使用说明书、安装维修手册、操作手册、常用易消耗品清单等。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四、知识产权</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w:t>
      </w:r>
      <w:r>
        <w:rPr>
          <w:rFonts w:hint="eastAsia" w:ascii="宋体" w:hAnsi="宋体"/>
          <w:color w:val="000000" w:themeColor="text1"/>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五、产权担保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项目</w:t>
      </w:r>
      <w:r>
        <w:rPr>
          <w:rFonts w:ascii="宋体" w:hAnsi="宋体"/>
          <w:b/>
          <w:color w:val="000000" w:themeColor="text1"/>
          <w:szCs w:val="21"/>
          <w:highlight w:val="none"/>
          <w14:textFill>
            <w14:solidFill>
              <w14:schemeClr w14:val="tx1"/>
            </w14:solidFill>
          </w14:textFill>
        </w:rPr>
        <w:t xml:space="preserve">实施</w:t>
      </w:r>
      <w:r/>
    </w:p>
    <w:p>
      <w:pPr>
        <w:ind w:firstLine="480"/>
        <w:keepLines w:val="0"/>
        <w:keepNext w:val="0"/>
        <w:pageBreakBefore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 xml:space="preserve">本次采购采用乙方送货的供货方式，免费安装、调试完毕方视为交付</w:t>
      </w:r>
      <w:r>
        <w:rPr>
          <w:rFonts w:hint="eastAsia" w:ascii="Times New Roman" w:hAnsi="Times New Roman"/>
          <w:color w:val="000000" w:themeColor="text1"/>
          <w:szCs w:val="21"/>
          <w:highlight w:val="none"/>
          <w:lang w:val="en-US" w:eastAsia="zh-CN"/>
          <w14:textFill>
            <w14:solidFill>
              <w14:schemeClr w14:val="tx1"/>
            </w14:solidFill>
          </w14:textFill>
        </w:rPr>
        <w:t xml:space="preserve">甲</w:t>
      </w:r>
      <w:r>
        <w:rPr>
          <w:rFonts w:ascii="Times New Roman" w:hAnsi="Times New Roman"/>
          <w:color w:val="000000" w:themeColor="text1"/>
          <w:szCs w:val="21"/>
          <w:highlight w:val="none"/>
          <w14:textFill>
            <w14:solidFill>
              <w14:schemeClr w14:val="tx1"/>
            </w14:solidFill>
          </w14:textFill>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6.2  </w:t>
      </w:r>
      <w:r>
        <w:rPr>
          <w:rFonts w:hint="eastAsia" w:ascii="宋体" w:hAnsi="宋体"/>
          <w:color w:val="000000" w:themeColor="text1"/>
          <w:szCs w:val="21"/>
          <w:highlight w:val="none"/>
          <w14:textFill>
            <w14:solidFill>
              <w14:schemeClr w14:val="tx1"/>
            </w14:solidFill>
          </w14:textFill>
        </w:rPr>
        <w:t xml:space="preserve">交货</w:t>
      </w:r>
      <w:r>
        <w:rPr>
          <w:rFonts w:hint="eastAsia" w:ascii="Times New Roman" w:hAnsi="Times New Roman"/>
          <w:color w:val="000000" w:themeColor="text1"/>
          <w:szCs w:val="21"/>
          <w:highlight w:val="none"/>
          <w14:textFill>
            <w14:solidFill>
              <w14:schemeClr w14:val="tx1"/>
            </w14:solidFill>
          </w14:textFill>
        </w:rPr>
        <w:t xml:space="preserve">期</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6.3</w:t>
      </w:r>
      <w:r>
        <w:rPr>
          <w:rFonts w:hint="eastAsia" w:ascii="宋体"/>
          <w:color w:val="000000" w:themeColor="text1"/>
          <w:szCs w:val="21"/>
          <w:highlight w:val="none"/>
          <w14:textFill>
            <w14:solidFill>
              <w14:schemeClr w14:val="tx1"/>
            </w14:solidFill>
          </w14:textFill>
        </w:rPr>
        <w:t xml:space="preserve"> 交货</w:t>
      </w:r>
      <w:r>
        <w:rPr>
          <w:rFonts w:hint="eastAsia" w:ascii="Times New Roman" w:hAnsi="Times New Roman"/>
          <w:color w:val="000000" w:themeColor="text1"/>
          <w:szCs w:val="21"/>
          <w:highlight w:val="none"/>
          <w14:textFill>
            <w14:solidFill>
              <w14:schemeClr w14:val="tx1"/>
            </w14:solidFill>
          </w14:textFill>
        </w:rPr>
        <w:t xml:space="preserve">地点：甲方指定地点。设备到达</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设备使用方指定地方</w:t>
      </w:r>
      <w:r>
        <w:rPr>
          <w:rFonts w:hint="eastAsia" w:ascii="Times New Roman" w:hAnsi="Times New Roman"/>
          <w:color w:val="000000" w:themeColor="text1"/>
          <w:szCs w:val="21"/>
          <w:highlight w:val="none"/>
          <w14:textFill>
            <w14:solidFill>
              <w14:schemeClr w14:val="tx1"/>
            </w14:solidFill>
          </w14:textFill>
        </w:rPr>
        <w:t xml:space="preserve">时，乙方代表必须同时到达，由乙方负责卸货并搬运至</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w:t>
      </w:r>
      <w:r>
        <w:rPr>
          <w:rFonts w:hint="eastAsia" w:ascii="Times New Roman" w:hAnsi="Times New Roman"/>
          <w:color w:val="000000" w:themeColor="text1"/>
          <w:szCs w:val="21"/>
          <w:highlight w:val="none"/>
          <w14:textFill>
            <w14:solidFill>
              <w14:schemeClr w14:val="tx1"/>
            </w14:solidFill>
          </w14:textFill>
        </w:rPr>
        <w:t xml:space="preserve">指定的地点，待设备搬运完毕后，乙</w:t>
      </w:r>
      <w:r>
        <w:rPr>
          <w:rFonts w:hint="eastAsia" w:ascii="Times New Roman" w:hAnsi="Times New Roman"/>
          <w:color w:val="000000" w:themeColor="text1"/>
          <w:szCs w:val="21"/>
          <w:highlight w:val="none"/>
          <w:lang w:val="en-US" w:eastAsia="zh-CN"/>
          <w14:textFill>
            <w14:solidFill>
              <w14:schemeClr w14:val="tx1"/>
            </w14:solidFill>
          </w14:textFill>
        </w:rPr>
        <w:t xml:space="preserve">方、设备使用方</w:t>
      </w:r>
      <w:r>
        <w:rPr>
          <w:rFonts w:hint="eastAsia" w:ascii="Times New Roman" w:hAnsi="Times New Roman"/>
          <w:color w:val="000000" w:themeColor="text1"/>
          <w:szCs w:val="21"/>
          <w:highlight w:val="none"/>
          <w14:textFill>
            <w14:solidFill>
              <w14:schemeClr w14:val="tx1"/>
            </w14:solidFill>
          </w14:textFill>
        </w:rPr>
        <w:t xml:space="preserve">办理交接手</w:t>
      </w:r>
      <w:r>
        <w:rPr>
          <w:rFonts w:ascii="Times New Roman" w:hAnsi="Times New Roman"/>
          <w:color w:val="000000" w:themeColor="text1"/>
          <w:szCs w:val="21"/>
          <w:highlight w:val="none"/>
          <w14:textFill>
            <w14:solidFill>
              <w14:schemeClr w14:val="tx1"/>
            </w14:solidFill>
          </w14:textFill>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6.4  数据</w:t>
      </w:r>
      <w:r>
        <w:rPr>
          <w:rFonts w:hint="eastAsia" w:ascii="Times New Roman" w:hAnsi="Times New Roman"/>
          <w:color w:val="000000" w:themeColor="text1"/>
          <w:szCs w:val="21"/>
          <w:highlight w:val="none"/>
          <w14:textFill>
            <w14:solidFill>
              <w14:schemeClr w14:val="tx1"/>
            </w14:solidFill>
          </w14:textFill>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七、包装、运输、交货</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每件包装箱内应附一份详细装箱单和质量合格标识。</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乙方负责安排运输，并承担相关费用。</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八、货款支付</w:t>
      </w:r>
      <w:r/>
    </w:p>
    <w:p>
      <w:pPr>
        <w:ind w:firstLine="480"/>
        <w:keepLines w:val="0"/>
        <w:keepNext w:val="0"/>
        <w:pageBreakBefore w:val="0"/>
        <w:spacing w:line="400" w:lineRule="exact"/>
        <w:rPr>
          <w:rFonts w:ascii="Times New Roman" w:hAnsi="Times New Roman"/>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8.2  </w:t>
      </w:r>
      <w:r>
        <w:rPr>
          <w:rFonts w:hint="eastAsia" w:ascii="宋体"/>
          <w:color w:val="000000" w:themeColor="text1"/>
          <w:szCs w:val="21"/>
          <w:highlight w:val="none"/>
          <w14:textFill>
            <w14:solidFill>
              <w14:schemeClr w14:val="tx1"/>
            </w14:solidFill>
          </w14:textFill>
        </w:rPr>
        <w:t xml:space="preserve">在达到本合</w:t>
      </w:r>
      <w:r>
        <w:rPr>
          <w:rFonts w:ascii="Times New Roman" w:hAnsi="Times New Roman"/>
          <w:color w:val="000000" w:themeColor="text1"/>
          <w:highlight w:val="none"/>
          <w14:textFill>
            <w14:solidFill>
              <w14:schemeClr w14:val="tx1"/>
            </w14:solidFill>
          </w14:textFill>
        </w:rPr>
        <w:t xml:space="preserve">同约定的付款条件后，乙方应向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方出具正式合法的全额增值税发票，在乙方向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方提出付款申请并提供发票之前，</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方有权拒绝付款。因乙方原因致使</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未能及时付款所产生的责任由乙方负责，甲方</w:t>
      </w:r>
      <w:r>
        <w:rPr>
          <w:rFonts w:hint="eastAsia" w:ascii="Times New Roman" w:hAnsi="Times New Roman"/>
          <w:color w:val="000000" w:themeColor="text1"/>
          <w:highlight w:val="none"/>
          <w:lang w:eastAsia="zh-CN"/>
          <w14:textFill>
            <w14:solidFill>
              <w14:schemeClr w14:val="tx1"/>
            </w14:solidFill>
          </w14:textFill>
        </w:rPr>
        <w:t xml:space="preserve">、</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不承担违约责任。</w:t>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九</w:t>
      </w:r>
      <w:r>
        <w:rPr>
          <w:rFonts w:ascii="宋体"/>
          <w:b/>
          <w:color w:val="000000" w:themeColor="text1"/>
          <w:szCs w:val="21"/>
          <w:highlight w:val="none"/>
          <w14:textFill>
            <w14:solidFill>
              <w14:schemeClr w14:val="tx1"/>
            </w14:solidFill>
          </w14:textFill>
        </w:rPr>
        <w:t xml:space="preserve">、</w:t>
      </w:r>
      <w:r>
        <w:rPr>
          <w:rFonts w:hint="eastAsia" w:ascii="宋体"/>
          <w:b/>
          <w:color w:val="000000" w:themeColor="text1"/>
          <w:szCs w:val="21"/>
          <w:highlight w:val="none"/>
          <w14:textFill>
            <w14:solidFill>
              <w14:schemeClr w14:val="tx1"/>
            </w14:solidFill>
          </w14:textFill>
        </w:rPr>
        <w:t xml:space="preserve">发票开具</w:t>
      </w:r>
      <w:r/>
    </w:p>
    <w:p>
      <w:pPr>
        <w:ind w:firstLine="480"/>
        <w:jc w:val="left"/>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十、安装及调试</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10.3  设备安装期间，乙方须签订《设备安装安全责任书》。</w:t>
      </w:r>
      <w:r/>
    </w:p>
    <w:p>
      <w:pPr>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十一、验收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11.1  设备投入运行前，</w:t>
      </w:r>
      <w:r>
        <w:rPr>
          <w:rFonts w:ascii="宋体"/>
          <w:color w:val="000000" w:themeColor="text1"/>
          <w:szCs w:val="21"/>
          <w:highlight w:val="none"/>
          <w14:textFill>
            <w14:solidFill>
              <w14:schemeClr w14:val="tx1"/>
            </w14:solidFill>
          </w14:textFill>
        </w:rPr>
        <w:t xml:space="preserve">乙方需向甲方提交验收申请</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由甲方组织对</w:t>
      </w:r>
      <w:r>
        <w:rPr>
          <w:rFonts w:hint="eastAsia" w:ascii="宋体"/>
          <w:color w:val="000000" w:themeColor="text1"/>
          <w:szCs w:val="21"/>
          <w:highlight w:val="none"/>
          <w14:textFill>
            <w14:solidFill>
              <w14:schemeClr w14:val="tx1"/>
            </w14:solidFill>
          </w14:textFill>
        </w:rPr>
        <w:t xml:space="preserve">设备</w:t>
      </w:r>
      <w:r>
        <w:rPr>
          <w:rFonts w:ascii="宋体"/>
          <w:color w:val="000000" w:themeColor="text1"/>
          <w:szCs w:val="21"/>
          <w:highlight w:val="none"/>
          <w14:textFill>
            <w14:solidFill>
              <w14:schemeClr w14:val="tx1"/>
            </w14:solidFill>
          </w14:textFill>
        </w:rPr>
        <w:t xml:space="preserve">进行初步验收，验收标准：对照招标文件、投标文件、合同及合同附件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使用</w:t>
      </w:r>
      <w:r>
        <w:rPr>
          <w:rFonts w:hint="eastAsia" w:ascii="宋体"/>
          <w:color w:val="000000" w:themeColor="text1"/>
          <w:szCs w:val="21"/>
          <w:highlight w:val="none"/>
          <w14:textFill>
            <w14:solidFill>
              <w14:schemeClr w14:val="tx1"/>
            </w14:solidFill>
          </w14:textFill>
        </w:rPr>
        <w:t xml:space="preserve">部门</w:t>
      </w:r>
      <w:r>
        <w:rPr>
          <w:rFonts w:ascii="宋体"/>
          <w:color w:val="000000" w:themeColor="text1"/>
          <w:szCs w:val="21"/>
          <w:highlight w:val="none"/>
          <w14:textFill>
            <w14:solidFill>
              <w14:schemeClr w14:val="tx1"/>
            </w14:solidFill>
          </w14:textFill>
        </w:rPr>
        <w:t xml:space="preserve">负责人签字确认合格后</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通过初验后进行试运行。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11.2  设备</w:t>
      </w:r>
      <w:r>
        <w:rPr>
          <w:rFonts w:ascii="宋体"/>
          <w:color w:val="000000" w:themeColor="text1"/>
          <w:szCs w:val="21"/>
          <w:highlight w:val="none"/>
          <w14:textFill>
            <w14:solidFill>
              <w14:schemeClr w14:val="tx1"/>
            </w14:solidFill>
          </w14:textFill>
        </w:rPr>
        <w:t xml:space="preserve">投入</w:t>
      </w:r>
      <w:r>
        <w:rPr>
          <w:rFonts w:hint="eastAsia" w:ascii="宋体"/>
          <w:color w:val="000000" w:themeColor="text1"/>
          <w:szCs w:val="21"/>
          <w:highlight w:val="none"/>
          <w14:textFill>
            <w14:solidFill>
              <w14:schemeClr w14:val="tx1"/>
            </w14:solidFill>
          </w14:textFill>
        </w:rPr>
        <w:t xml:space="preserve">试运行</w:t>
      </w:r>
      <w:r>
        <w:rPr>
          <w:rFonts w:ascii="宋体"/>
          <w:color w:val="000000" w:themeColor="text1"/>
          <w:szCs w:val="21"/>
          <w:highlight w:val="none"/>
          <w14:textFill>
            <w14:solidFill>
              <w14:schemeClr w14:val="tx1"/>
            </w14:solidFill>
          </w14:textFill>
        </w:rPr>
        <w:t xml:space="preserve">后正常</w:t>
      </w:r>
      <w:r>
        <w:rPr>
          <w:rFonts w:hint="eastAsia" w:ascii="宋体"/>
          <w:color w:val="000000" w:themeColor="text1"/>
          <w:szCs w:val="21"/>
          <w:highlight w:val="none"/>
          <w14:textFill>
            <w14:solidFill>
              <w14:schemeClr w14:val="tx1"/>
            </w14:solidFill>
          </w14:textFill>
        </w:rPr>
        <w:t xml:space="preserve">工作</w:t>
      </w:r>
      <w:r>
        <w:rPr>
          <w:rFonts w:hint="eastAsia" w:ascii="宋体"/>
          <w:color w:val="000000" w:themeColor="text1"/>
          <w:szCs w:val="21"/>
          <w:highlight w:val="none"/>
          <w:u w:val="single"/>
          <w14:textFill>
            <w14:solidFill>
              <w14:schemeClr w14:val="tx1"/>
            </w14:solidFill>
          </w14:textFill>
        </w:rPr>
        <w:t xml:space="preserve">10</w:t>
      </w:r>
      <w:r>
        <w:rPr>
          <w:rFonts w:hint="eastAsia" w:ascii="宋体"/>
          <w:color w:val="000000" w:themeColor="text1"/>
          <w:szCs w:val="21"/>
          <w:highlight w:val="none"/>
          <w14:textFill>
            <w14:solidFill>
              <w14:schemeClr w14:val="tx1"/>
            </w14:solidFill>
          </w14:textFill>
        </w:rPr>
        <w:t xml:space="preserve">个工作日</w:t>
      </w:r>
      <w:r>
        <w:rPr>
          <w:rFonts w:ascii="宋体"/>
          <w:color w:val="000000" w:themeColor="text1"/>
          <w:szCs w:val="21"/>
          <w:highlight w:val="none"/>
          <w14:textFill>
            <w14:solidFill>
              <w14:schemeClr w14:val="tx1"/>
            </w14:solidFill>
          </w14:textFill>
        </w:rPr>
        <w:t xml:space="preserve">，甲</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双方</w:t>
      </w:r>
      <w:r>
        <w:rPr>
          <w:rFonts w:ascii="宋体"/>
          <w:color w:val="000000" w:themeColor="text1"/>
          <w:szCs w:val="21"/>
          <w:highlight w:val="none"/>
          <w14:textFill>
            <w14:solidFill>
              <w14:schemeClr w14:val="tx1"/>
            </w14:solidFill>
          </w14:textFill>
        </w:rPr>
        <w:t xml:space="preserve">共同进行最终验收。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11.5  验收时乙方必须提供完整的验收资料</w:t>
      </w:r>
      <w:r>
        <w:rPr>
          <w:rFonts w:hint="eastAsia" w:ascii="宋体"/>
          <w:color w:val="000000" w:themeColor="text1"/>
          <w:szCs w:val="21"/>
          <w:highlight w:val="none"/>
          <w:lang w:eastAsia="zh-CN"/>
          <w14:textFill>
            <w14:solidFill>
              <w14:schemeClr w14:val="tx1"/>
            </w14:solidFill>
          </w14:textFill>
        </w:rPr>
        <w:t xml:space="preserve">、</w:t>
      </w:r>
      <w:r>
        <w:rPr>
          <w:rFonts w:ascii="Times New Roman" w:hAnsi="Times New Roman"/>
          <w:bCs/>
          <w:color w:val="000000" w:themeColor="text1"/>
          <w:szCs w:val="21"/>
          <w:highlight w:val="none"/>
          <w14:textFill>
            <w14:solidFill>
              <w14:schemeClr w14:val="tx1"/>
            </w14:solidFill>
          </w14:textFill>
        </w:rPr>
        <w:t xml:space="preserve">产品必备的证件，包括注册证（含附件产品技术要求）、原厂出具的合格证明文件、安全认证、中文标签、经营及生产资质、海关报关单、商检合格证明等并加盖公章，</w:t>
      </w:r>
      <w:r>
        <w:rPr>
          <w:rFonts w:hint="eastAsia"/>
          <w:bCs/>
          <w:color w:val="000000" w:themeColor="text1"/>
          <w:szCs w:val="21"/>
          <w:highlight w:val="none"/>
          <w:lang w:val="en-US" w:eastAsia="zh-CN"/>
          <w14:textFill>
            <w14:solidFill>
              <w14:schemeClr w14:val="tx1"/>
            </w14:solidFill>
          </w14:textFill>
        </w:rPr>
        <w:t xml:space="preserve">中文说明书与中文</w:t>
      </w:r>
      <w:r>
        <w:rPr>
          <w:rFonts w:ascii="Times New Roman" w:hAnsi="Times New Roman"/>
          <w:bCs/>
          <w:color w:val="000000" w:themeColor="text1"/>
          <w:szCs w:val="21"/>
          <w:highlight w:val="none"/>
          <w14:textFill>
            <w14:solidFill>
              <w14:schemeClr w14:val="tx1"/>
            </w14:solidFill>
          </w14:textFill>
        </w:rPr>
        <w:t xml:space="preserve">操作手册、简易操作流程卡、维修手册（含详细电路图）一并提供，及以上技术资料的电子版，如资料不全，</w:t>
      </w:r>
      <w:r>
        <w:rPr>
          <w:rFonts w:hint="eastAsia" w:ascii="Times New Roman" w:hAnsi="Times New Roman"/>
          <w:bCs/>
          <w:color w:val="000000" w:themeColor="text1"/>
          <w:szCs w:val="21"/>
          <w:highlight w:val="none"/>
          <w:lang w:val="en-US" w:eastAsia="zh-CN"/>
          <w14:textFill>
            <w14:solidFill>
              <w14:schemeClr w14:val="tx1"/>
            </w14:solidFill>
          </w14:textFill>
        </w:rPr>
        <w:t xml:space="preserve">设备使用方</w:t>
      </w:r>
      <w:r>
        <w:rPr>
          <w:rFonts w:ascii="Times New Roman" w:hAnsi="Times New Roman"/>
          <w:bCs/>
          <w:color w:val="000000" w:themeColor="text1"/>
          <w:szCs w:val="21"/>
          <w:highlight w:val="none"/>
          <w14:textFill>
            <w14:solidFill>
              <w14:schemeClr w14:val="tx1"/>
            </w14:solidFill>
          </w14:textFill>
        </w:rPr>
        <w:t xml:space="preserve">不予验收，因此产生的损失由乙方自行承担。</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11.6  乙方提供原版印刷产品技术指标文件。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十二、技术培训：</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w:t>
      </w:r>
      <w:r>
        <w:rPr>
          <w:rFonts w:hint="eastAsia" w:ascii="宋体"/>
          <w:color w:val="000000" w:themeColor="text1"/>
          <w:szCs w:val="21"/>
          <w:highlight w:val="none"/>
          <w14:textFill>
            <w14:solidFill>
              <w14:schemeClr w14:val="tx1"/>
            </w14:solidFill>
          </w14:textFill>
        </w:rPr>
        <w:t xml:space="preserve">技术培训要求</w:t>
      </w:r>
      <w:r>
        <w:rPr>
          <w:rFonts w:ascii="宋体"/>
          <w:color w:val="000000" w:themeColor="text1"/>
          <w:szCs w:val="21"/>
          <w:highlight w:val="none"/>
          <w14:textFill>
            <w14:solidFill>
              <w14:schemeClr w14:val="tx1"/>
            </w14:solidFill>
          </w14:textFill>
        </w:rPr>
        <w:t xml:space="preserve">详见招标文件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》中技术服务条款。</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十三</w:t>
      </w:r>
      <w:r>
        <w:rPr>
          <w:rFonts w:ascii="宋体"/>
          <w:b/>
          <w:color w:val="000000" w:themeColor="text1"/>
          <w:szCs w:val="21"/>
          <w:highlight w:val="none"/>
          <w14:textFill>
            <w14:solidFill>
              <w14:schemeClr w14:val="tx1"/>
            </w14:solidFill>
          </w14:textFill>
        </w:rPr>
        <w:t xml:space="preserve">、质量保证及售后服务</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13.1  </w:t>
      </w:r>
      <w:r>
        <w:rPr>
          <w:rFonts w:ascii="宋体"/>
          <w:color w:val="000000" w:themeColor="text1"/>
          <w:szCs w:val="21"/>
          <w:highlight w:val="none"/>
          <w14:textFill>
            <w14:solidFill>
              <w14:schemeClr w14:val="tx1"/>
            </w14:solidFill>
          </w14:textFill>
        </w:rPr>
        <w:t xml:space="preserve">乙方应按招标文件规定的货物性能、技术要求、质量标准向甲方提供未经使用的</w:t>
      </w:r>
      <w:r>
        <w:rPr>
          <w:rFonts w:hint="eastAsia" w:ascii="宋体"/>
          <w:color w:val="000000" w:themeColor="text1"/>
          <w:szCs w:val="21"/>
          <w:highlight w:val="none"/>
          <w14:textFill>
            <w14:solidFill>
              <w14:schemeClr w14:val="tx1"/>
            </w14:solidFill>
          </w14:textFill>
        </w:rPr>
        <w:t xml:space="preserve">两年内出厂的</w:t>
      </w:r>
      <w:r>
        <w:rPr>
          <w:rFonts w:ascii="宋体"/>
          <w:color w:val="000000" w:themeColor="text1"/>
          <w:szCs w:val="21"/>
          <w:highlight w:val="none"/>
          <w14:textFill>
            <w14:solidFill>
              <w14:schemeClr w14:val="tx1"/>
            </w14:solidFill>
          </w14:textFill>
        </w:rPr>
        <w:t xml:space="preserve">产品。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13.2  售后</w:t>
      </w:r>
      <w:r>
        <w:rPr>
          <w:rFonts w:ascii="宋体"/>
          <w:color w:val="000000" w:themeColor="text1"/>
          <w:szCs w:val="21"/>
          <w:highlight w:val="none"/>
          <w14:textFill>
            <w14:solidFill>
              <w14:schemeClr w14:val="tx1"/>
            </w14:solidFill>
          </w14:textFill>
        </w:rPr>
        <w:t xml:space="preserve">服务</w:t>
      </w:r>
      <w:r>
        <w:rPr>
          <w:rFonts w:hint="eastAsia" w:ascii="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整机免费提供原厂质保</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。乙方保证保修期内年开机率</w:t>
      </w:r>
      <w:r>
        <w:rPr>
          <w:rFonts w:hint="eastAsia" w:ascii="宋体" w:hAns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95%，如未能达到则双倍延长</w:t>
      </w:r>
      <w:r>
        <w:rPr>
          <w:rFonts w:hint="eastAsia" w:ascii="宋体"/>
          <w:color w:val="000000" w:themeColor="text1"/>
          <w:szCs w:val="21"/>
          <w:highlight w:val="none"/>
          <w:lang w:val="en-US" w:eastAsia="zh-CN"/>
          <w14:textFill>
            <w14:solidFill>
              <w14:schemeClr w14:val="tx1"/>
            </w14:solidFill>
          </w14:textFill>
        </w:rPr>
        <w:t xml:space="preserve">免费质保时间</w:t>
      </w:r>
      <w:r>
        <w:rPr>
          <w:rFonts w:hint="eastAsia" w:ascii="宋体"/>
          <w:color w:val="000000" w:themeColor="text1"/>
          <w:szCs w:val="21"/>
          <w:highlight w:val="none"/>
          <w14:textFill>
            <w14:solidFill>
              <w14:schemeClr w14:val="tx1"/>
            </w14:solidFill>
          </w14:textFill>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w:t>
      </w:r>
      <w:r>
        <w:rPr>
          <w:rFonts w:hint="eastAsia" w:ascii="宋体"/>
          <w:color w:val="000000" w:themeColor="text1"/>
          <w:szCs w:val="21"/>
          <w:highlight w:val="none"/>
          <w:lang w:val="en-US" w:eastAsia="zh-CN"/>
          <w14:textFill>
            <w14:solidFill>
              <w14:schemeClr w14:val="tx1"/>
            </w14:solidFill>
          </w14:textFill>
        </w:rPr>
        <w:t xml:space="preserve">24</w:t>
      </w:r>
      <w:r>
        <w:rPr>
          <w:rFonts w:hint="eastAsia" w:ascii="宋体"/>
          <w:color w:val="000000" w:themeColor="text1"/>
          <w:szCs w:val="21"/>
          <w:highlight w:val="none"/>
          <w14:textFill>
            <w14:solidFill>
              <w14:schemeClr w14:val="tx1"/>
            </w14:solidFill>
          </w14:textFill>
        </w:rPr>
        <w:t xml:space="preserve">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四</w:t>
      </w:r>
      <w:r>
        <w:rPr>
          <w:rFonts w:ascii="宋体"/>
          <w:b/>
          <w:color w:val="000000" w:themeColor="text1"/>
          <w:szCs w:val="21"/>
          <w:highlight w:val="none"/>
          <w14:textFill>
            <w14:solidFill>
              <w14:schemeClr w14:val="tx1"/>
            </w14:solidFill>
          </w14:textFill>
        </w:rPr>
        <w:t xml:space="preserve">、违约责任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不得以</w:t>
      </w:r>
      <w:r>
        <w:rPr>
          <w:rFonts w:ascii="宋体"/>
          <w:color w:val="000000" w:themeColor="text1"/>
          <w:szCs w:val="21"/>
          <w:highlight w:val="none"/>
          <w14:textFill>
            <w14:solidFill>
              <w14:schemeClr w14:val="tx1"/>
            </w14:solidFill>
          </w14:textFill>
        </w:rPr>
        <w:t xml:space="preserve">无正当理由拒收货物，</w:t>
      </w:r>
      <w:r>
        <w:rPr>
          <w:rFonts w:hint="eastAsia" w:ascii="宋体"/>
          <w:color w:val="000000" w:themeColor="text1"/>
          <w:szCs w:val="21"/>
          <w:highlight w:val="none"/>
          <w14:textFill>
            <w14:solidFill>
              <w14:schemeClr w14:val="tx1"/>
            </w14:solidFill>
          </w14:textFill>
        </w:rPr>
        <w:t xml:space="preserve">否则由此所造成的损失须由</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承担赔偿责任</w:t>
      </w:r>
      <w:r>
        <w:rPr>
          <w:rFonts w:asci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乙方在非自然灾害、疫情等不可抗拒因素导致的逾期交付货物的免责或者甲乙双方相互协商延长时间，其他按照</w:t>
      </w:r>
      <w:r>
        <w:rPr>
          <w:rFonts w:ascii="宋体"/>
          <w:color w:val="000000" w:themeColor="text1"/>
          <w:szCs w:val="21"/>
          <w:highlight w:val="none"/>
          <w14:textFill>
            <w14:solidFill>
              <w14:schemeClr w14:val="tx1"/>
            </w14:solidFill>
          </w14:textFill>
        </w:rPr>
        <w:t xml:space="preserve">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》中服务条款的相应条文执行</w:t>
      </w:r>
      <w:r>
        <w:rPr>
          <w:rFonts w:hint="eastAsia" w:ascii="宋体" w:hAns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宋体"/>
          <w:color w:val="000000" w:themeColor="text1"/>
          <w:szCs w:val="21"/>
          <w:highlight w:val="none"/>
          <w14:textFill>
            <w14:solidFill>
              <w14:schemeClr w14:val="tx1"/>
            </w14:solidFill>
          </w14:textFill>
        </w:rPr>
        <w:t xml:space="preserve">乙方所交的货物品种、型号、规格、技术参数、质量不符合合同规定及招标文件规定标准</w:t>
      </w:r>
      <w:r>
        <w:rPr>
          <w:rFonts w:hint="eastAsia" w:ascii="宋体"/>
          <w:color w:val="000000" w:themeColor="text1"/>
          <w:szCs w:val="21"/>
          <w:highlight w:val="none"/>
          <w14:textFill>
            <w14:solidFill>
              <w14:schemeClr w14:val="tx1"/>
            </w14:solidFill>
          </w14:textFill>
        </w:rPr>
        <w:t xml:space="preserve">的</w:t>
      </w:r>
      <w:r>
        <w:rPr>
          <w:rFonts w:ascii="宋体"/>
          <w:color w:val="000000" w:themeColor="text1"/>
          <w:szCs w:val="21"/>
          <w:highlight w:val="none"/>
          <w14:textFill>
            <w14:solidFill>
              <w14:schemeClr w14:val="tx1"/>
            </w14:solidFill>
          </w14:textFill>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五</w:t>
      </w:r>
      <w:r>
        <w:rPr>
          <w:rFonts w:ascii="宋体"/>
          <w:b/>
          <w:color w:val="000000" w:themeColor="text1"/>
          <w:szCs w:val="21"/>
          <w:highlight w:val="none"/>
          <w14:textFill>
            <w14:solidFill>
              <w14:schemeClr w14:val="tx1"/>
            </w14:solidFill>
          </w14:textFill>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5</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双方在执行合同中所发生的一切争议，应通过协商解决。如协商不成，可向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六</w:t>
      </w:r>
      <w:r>
        <w:rPr>
          <w:rFonts w:ascii="宋体"/>
          <w:b/>
          <w:color w:val="000000" w:themeColor="text1"/>
          <w:szCs w:val="21"/>
          <w:highlight w:val="none"/>
          <w14:textFill>
            <w14:solidFill>
              <w14:schemeClr w14:val="tx1"/>
            </w14:solidFill>
          </w14:textFill>
        </w:rPr>
        <w:t xml:space="preserve">、合同生效及其它</w:t>
      </w:r>
      <w:r/>
    </w:p>
    <w:p>
      <w:pPr>
        <w:ind w:firstLine="480"/>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本合同由甲乙双方在</w:t>
      </w:r>
      <w:r>
        <w:rPr>
          <w:rFonts w:hint="eastAsia" w:ascii="宋体"/>
          <w:color w:val="000000" w:themeColor="text1"/>
          <w:szCs w:val="21"/>
          <w:highlight w:val="none"/>
          <w:u w:val="single"/>
          <w14:textFill>
            <w14:solidFill>
              <w14:schemeClr w14:val="tx1"/>
            </w14:solidFill>
          </w14:textFill>
        </w:rPr>
        <w:t xml:space="preserve"> </w:t>
      </w:r>
      <w:r>
        <w:rPr>
          <w:rStyle w:val="902"/>
          <w:rFonts w:hint="eastAsia" w:ascii="宋体" w:hAnsi="宋体"/>
          <w:color w:val="000000" w:themeColor="text1"/>
          <w:highlight w:val="none"/>
          <w:u w:val="single"/>
          <w14:textFill>
            <w14:solidFill>
              <w14:schemeClr w14:val="tx1"/>
            </w14:solidFill>
          </w14:textFill>
        </w:rPr>
        <w:t xml:space="preserve">甲方</w:t>
      </w:r>
      <w:r>
        <w:rPr>
          <w:rStyle w:val="902"/>
          <w:rFonts w:ascii="宋体" w:hAnsi="宋体"/>
          <w:color w:val="000000" w:themeColor="text1"/>
          <w:highlight w:val="none"/>
          <w:u w:val="single"/>
          <w14:textFill>
            <w14:solidFill>
              <w14:schemeClr w14:val="tx1"/>
            </w14:solidFill>
          </w14:textFill>
        </w:rPr>
        <w:t xml:space="preserve">所在地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签订。</w:t>
      </w:r>
      <w:r>
        <w:rPr>
          <w:rFonts w:ascii="宋体"/>
          <w:color w:val="000000" w:themeColor="text1"/>
          <w:szCs w:val="21"/>
          <w:highlight w:val="none"/>
          <w14:textFill>
            <w14:solidFill>
              <w14:schemeClr w14:val="tx1"/>
            </w14:solidFill>
          </w14:textFill>
        </w:rPr>
        <w:t xml:space="preserve">合同经双方法定代表人或授权委托人签字</w:t>
      </w:r>
      <w:r>
        <w:rPr>
          <w:rFonts w:hint="eastAsia" w:ascii="宋体"/>
          <w:color w:val="000000" w:themeColor="text1"/>
          <w:szCs w:val="21"/>
          <w:highlight w:val="none"/>
          <w14:textFill>
            <w14:solidFill>
              <w14:schemeClr w14:val="tx1"/>
            </w14:solidFill>
          </w14:textFill>
        </w:rPr>
        <w:t xml:space="preserve">盖章后生效。</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.2</w:t>
      </w:r>
      <w:r>
        <w:rPr>
          <w:rFonts w:hint="eastAsia" w:ascii="宋体"/>
          <w:color w:val="000000" w:themeColor="text1"/>
          <w:szCs w:val="21"/>
          <w:highlight w:val="none"/>
          <w14:textFill>
            <w14:solidFill>
              <w14:schemeClr w14:val="tx1"/>
            </w14:solidFill>
          </w14:textFill>
        </w:rPr>
        <w:t xml:space="preserve">  招标、投标文件是本合同不可或缺的部分，与合同具有同等效力。</w:t>
      </w:r>
      <w:r>
        <w:rPr>
          <w:rFonts w:ascii="宋体"/>
          <w:color w:val="000000" w:themeColor="text1"/>
          <w:szCs w:val="21"/>
          <w:highlight w:val="none"/>
          <w14:textFill>
            <w14:solidFill>
              <w14:schemeClr w14:val="tx1"/>
            </w14:solidFill>
          </w14:textFill>
        </w:rPr>
        <w:t xml:space="preserve">本合同未尽事宜，遵照</w:t>
      </w:r>
      <w:r>
        <w:rPr>
          <w:rFonts w:ascii="Arial" w:hAnsi="Arial" w:eastAsia="Arial" w:cs="Arial"/>
          <w:i w:val="0"/>
          <w:iCs w:val="0"/>
          <w:caps w:val="0"/>
          <w:color w:val="000000" w:themeColor="text1"/>
          <w:spacing w:val="0"/>
          <w:sz w:val="21"/>
          <w:szCs w:val="21"/>
          <w:highlight w:val="none"/>
          <w:shd w:val="clear" w:color="auto" w:fill="ffffff"/>
          <w14:textFill>
            <w14:solidFill>
              <w14:schemeClr w14:val="tx1"/>
            </w14:solidFill>
          </w14:textFill>
        </w:rPr>
        <w:t xml:space="preserve">《民法典》</w:t>
      </w:r>
      <w:r>
        <w:rPr>
          <w:rFonts w:ascii="宋体"/>
          <w:color w:val="000000" w:themeColor="text1"/>
          <w:szCs w:val="21"/>
          <w:highlight w:val="none"/>
          <w14:textFill>
            <w14:solidFill>
              <w14:schemeClr w14:val="tx1"/>
            </w14:solidFill>
          </w14:textFill>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Times New Roman" w:hAnsi="Times New Roman"/>
          <w:color w:val="000000" w:themeColor="text1"/>
          <w:szCs w:val="21"/>
          <w:highlight w:val="none"/>
          <w14:textFill>
            <w14:solidFill>
              <w14:schemeClr w14:val="tx1"/>
            </w14:solidFill>
          </w14:textFill>
        </w:rPr>
        <w:t xml:space="preserve">本合同一式</w:t>
      </w:r>
      <w:r>
        <w:rPr>
          <w:rFonts w:hint="eastAsia"/>
          <w:color w:val="000000" w:themeColor="text1"/>
          <w:szCs w:val="21"/>
          <w:highlight w:val="none"/>
          <w:lang w:val="en-US" w:eastAsia="zh-CN"/>
          <w14:textFill>
            <w14:solidFill>
              <w14:schemeClr w14:val="tx1"/>
            </w14:solidFill>
          </w14:textFill>
        </w:rPr>
        <w:t xml:space="preserve">肆</w:t>
      </w:r>
      <w:r>
        <w:rPr>
          <w:rFonts w:ascii="Times New Roman" w:hAnsi="Times New Roman"/>
          <w:color w:val="000000" w:themeColor="text1"/>
          <w:szCs w:val="21"/>
          <w:highlight w:val="none"/>
          <w14:textFill>
            <w14:solidFill>
              <w14:schemeClr w14:val="tx1"/>
            </w14:solidFill>
          </w14:textFill>
        </w:rPr>
        <w:t xml:space="preserve">份，经签字盖章并加盖骑缝章后生效。甲方执</w:t>
      </w:r>
      <w:r>
        <w:rPr>
          <w:rFonts w:hint="eastAsia"/>
          <w:color w:val="000000" w:themeColor="text1"/>
          <w:szCs w:val="21"/>
          <w:highlight w:val="none"/>
          <w:lang w:val="en-US" w:eastAsia="zh-CN"/>
          <w14:textFill>
            <w14:solidFill>
              <w14:schemeClr w14:val="tx1"/>
            </w14:solidFill>
          </w14:textFill>
        </w:rPr>
        <w:t xml:space="preserve">叁</w:t>
      </w:r>
      <w:r>
        <w:rPr>
          <w:rFonts w:ascii="Times New Roman" w:hAnsi="Times New Roman"/>
          <w:color w:val="000000" w:themeColor="text1"/>
          <w:szCs w:val="21"/>
          <w:highlight w:val="none"/>
          <w14:textFill>
            <w14:solidFill>
              <w14:schemeClr w14:val="tx1"/>
            </w14:solidFill>
          </w14:textFill>
        </w:rPr>
        <w:t xml:space="preserve">份，乙方执壹份。</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十七、 附件：</w:t>
      </w:r>
      <w:r>
        <w:rPr>
          <w:rFonts w:hint="eastAsia" w:ascii="宋体"/>
          <w:color w:val="000000" w:themeColor="text1"/>
          <w:szCs w:val="21"/>
          <w:highlight w:val="none"/>
          <w14:textFill>
            <w14:solidFill>
              <w14:schemeClr w14:val="tx1"/>
            </w14:solidFill>
          </w14:textFill>
        </w:rPr>
        <w:t xml:space="preserve">A、配置清单（分项一览表）；B、中标通知书； C、</w:t>
      </w:r>
      <w:r>
        <w:rPr>
          <w:rFonts w:hint="eastAsia" w:ascii="宋体" w:hAnsi="宋体"/>
          <w:color w:val="000000" w:themeColor="text1"/>
          <w:highlight w:val="none"/>
          <w14:textFill>
            <w14:solidFill>
              <w14:schemeClr w14:val="tx1"/>
            </w14:solidFill>
          </w14:textFill>
        </w:rPr>
        <w:t xml:space="preserve">原厂质保</w:t>
      </w:r>
      <w:r>
        <w:rPr>
          <w:rFonts w:hint="eastAsia" w:ascii="宋体"/>
          <w:color w:val="000000" w:themeColor="text1"/>
          <w:szCs w:val="21"/>
          <w:highlight w:val="none"/>
          <w14:textFill>
            <w14:solidFill>
              <w14:schemeClr w14:val="tx1"/>
            </w14:solidFill>
          </w14:textFill>
        </w:rPr>
        <w:t xml:space="preserve">售后承诺书；D、设备采购廉政协议；E、</w:t>
      </w:r>
      <w:r>
        <w:rPr>
          <w:rFonts w:hint="eastAsia" w:ascii="宋体" w:hAnsi="宋体"/>
          <w:color w:val="000000" w:themeColor="text1"/>
          <w:szCs w:val="21"/>
          <w:highlight w:val="none"/>
          <w14:textFill>
            <w14:solidFill>
              <w14:schemeClr w14:val="tx1"/>
            </w14:solidFill>
          </w14:textFill>
        </w:rPr>
        <w:t xml:space="preserve">设备安装安全责任书</w:t>
      </w:r>
      <w:r>
        <w:rPr>
          <w:rFonts w:hint="eastAsia"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F、</w:t>
      </w:r>
      <w:r>
        <w:rPr>
          <w:rFonts w:hint="eastAsia" w:ascii="宋体" w:hAnsi="宋体"/>
          <w:color w:val="000000" w:themeColor="text1"/>
          <w:highlight w:val="none"/>
          <w14:textFill>
            <w14:solidFill>
              <w14:schemeClr w14:val="tx1"/>
            </w14:solidFill>
          </w14:textFill>
        </w:rPr>
        <w:t xml:space="preserve">原厂</w:t>
      </w:r>
      <w:r>
        <w:rPr>
          <w:rFonts w:hint="eastAsia" w:ascii="宋体"/>
          <w:color w:val="000000" w:themeColor="text1"/>
          <w:szCs w:val="21"/>
          <w:highlight w:val="none"/>
          <w:lang w:val="en-US" w:eastAsia="zh-CN"/>
          <w14:textFill>
            <w14:solidFill>
              <w14:schemeClr w14:val="tx1"/>
            </w14:solidFill>
          </w14:textFill>
        </w:rPr>
        <w:t xml:space="preserve">授权书</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以下无正文</w:t>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南京市江宁中医院 </w:t>
      </w:r>
      <w:r>
        <w:rPr>
          <w:rFonts w:ascii="宋体" w:hAns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p>
    <w:p>
      <w:pPr>
        <w:ind w:left="0" w:firstLine="0"/>
        <w:spacing w:line="480" w:lineRule="auto"/>
        <w:rPr>
          <w:rFonts w:hint="eastAsia" w:ascii="宋体" w:eastAsia="宋体"/>
          <w:color w:val="000000" w:themeColor="text1"/>
          <w:szCs w:val="21"/>
          <w:highlight w:val="none"/>
          <w:lang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shd w:val="clear" w:color="auto" w:fill="ffffff"/>
          <w14:textFill>
            <w14:solidFill>
              <w14:schemeClr w14:val="tx1"/>
            </w14:solidFill>
          </w14:textFill>
        </w:rPr>
        <w:t xml:space="preserve">南京市江宁区天印大道657号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地址：</w:t>
      </w:r>
      <w:r>
        <w:rPr>
          <w:rFonts w:hint="eastAsia" w:ascii="宋体"/>
          <w:color w:val="000000" w:themeColor="text1"/>
          <w:szCs w:val="21"/>
          <w:highlight w:val="none"/>
          <w:lang w:val="en-US" w:eastAsia="zh-CN"/>
          <w14:textFill>
            <w14:solidFill>
              <w14:schemeClr w14:val="tx1"/>
            </w14:solidFill>
          </w14:textFill>
        </w:rPr>
        <w:t xml:space="preserve">  </w:t>
      </w:r>
      <w:r/>
    </w:p>
    <w:p>
      <w:pPr>
        <w:ind w:left="0" w:firstLine="0"/>
        <w:spacing w:line="48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w:t>
      </w:r>
      <w:r/>
    </w:p>
    <w:p>
      <w:pPr>
        <w:ind w:left="0" w:firstLine="0"/>
        <w:spacing w:line="480" w:lineRule="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联系电话：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联系电话：</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签订日期：</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月</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日</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设备采购廉政协议</w:t>
      </w:r>
      <w:r/>
    </w:p>
    <w:p>
      <w:pPr>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甲方（采购单位）：南京市江宁中医院</w:t>
      </w:r>
      <w:r/>
    </w:p>
    <w:p>
      <w:pPr>
        <w:keepLines w:val="0"/>
        <w:keepNext w:val="0"/>
        <w:pageBreakBefore w:val="0"/>
        <w:spacing w:line="360" w:lineRule="exact"/>
        <w:widowControl w:val="off"/>
        <w:rPr>
          <w:rFonts w:hint="default" w:ascii="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乙方（供货单位）：</w:t>
      </w:r>
      <w:r>
        <w:rPr>
          <w:rFonts w:hint="eastAsia" w:ascii="宋体"/>
          <w:color w:val="000000" w:themeColor="text1"/>
          <w:szCs w:val="21"/>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一、甲方义务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二、乙方义务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三、违约责任</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本协议有效期限位双方每项采购合同签署之日起，至每项采购合同履行结束止。</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560" w:lineRule="exact"/>
        <w:rPr>
          <w:rFonts w:hint="eastAsia" w:ascii="方正小标宋简体" w:eastAsia="方正小标宋简体"/>
          <w:color w:val="000000" w:themeColor="text1"/>
          <w:sz w:val="30"/>
          <w:szCs w:val="30"/>
          <w:highlight w:val="none"/>
          <w14:textFill>
            <w14:solidFill>
              <w14:schemeClr w14:val="tx1"/>
            </w14:solidFill>
          </w14:textFill>
        </w:rPr>
      </w:pPr>
      <w:r>
        <w:rPr>
          <w:rFonts w:hint="eastAsia" w:ascii="方正小标宋简体" w:eastAsia="方正小标宋简体"/>
          <w:color w:val="000000" w:themeColor="text1"/>
          <w:sz w:val="30"/>
          <w:szCs w:val="30"/>
          <w:highlight w:val="none"/>
          <w14:textFill>
            <w14:solidFill>
              <w14:schemeClr w14:val="tx1"/>
            </w14:solidFill>
          </w14:textFill>
        </w:rPr>
        <w:t xml:space="preserve">医疗设备安装（施工）单位消防、安全生产、治安管理责任书</w:t>
      </w:r>
      <w:r/>
    </w:p>
    <w:p>
      <w:pPr>
        <w:jc w:val="center"/>
        <w:spacing w:line="560" w:lineRule="exact"/>
        <w:rPr>
          <w:rFonts w:hint="eastAsia" w:ascii="方正小标宋简体" w:eastAsia="方正小标宋简体"/>
          <w:color w:val="000000" w:themeColor="text1"/>
          <w:sz w:val="2"/>
          <w:szCs w:val="2"/>
          <w:highlight w:val="none"/>
          <w14:textFill>
            <w14:solidFill>
              <w14:schemeClr w14:val="tx1"/>
            </w14:solidFill>
          </w14:textFill>
        </w:rPr>
      </w:pPr>
      <w:r>
        <w:rPr>
          <w:rFonts w:hint="eastAsia" w:ascii="方正小标宋简体" w:eastAsia="方正小标宋简体"/>
          <w:color w:val="000000" w:themeColor="text1"/>
          <w:sz w:val="2"/>
          <w:szCs w:val="2"/>
          <w:highlight w:val="none"/>
          <w14:textFill>
            <w14:solidFill>
              <w14:schemeClr w14:val="tx1"/>
            </w14:solidFill>
          </w14:textFill>
        </w:rPr>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医疗设备安装（施工）单位（盖章）</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责任人（签章）：</w:t>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附件1</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pStyle w:val="6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江宁中医院采购中央透析供液系统（三）</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7"/>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18"/>
                <w:szCs w:val="18"/>
                <w:highlight w:val="none"/>
                <w:lang w:val="en-US" w:eastAsia="zh-CN"/>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18"/>
                <w:szCs w:val="18"/>
                <w:highlight w:val="none"/>
                <w:lang w:val="en-US" w:eastAsia="zh-CN"/>
                <w14:textFill>
                  <w14:solidFill>
                    <w14:schemeClr w14:val="tx1"/>
                  </w14:solidFill>
                </w14:textFill>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90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7"/>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2"/>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3"/>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9"/>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2"/>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3"/>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9"/>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7"/>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7"/>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900"/>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0"/>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3"/>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9"/>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9"/>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3"/>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3"/>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13"/>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13"/>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3"/>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8"/>
  </w:num>
  <w:num w:numId="4">
    <w:abstractNumId w:val="0"/>
  </w:num>
  <w:num w:numId="5">
    <w:abstractNumId w:val="6"/>
  </w:num>
  <w:num w:numId="6">
    <w:abstractNumId w:val="4"/>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7">
    <w:name w:val="Heading 1"/>
    <w:basedOn w:val="676"/>
    <w:next w:val="676"/>
    <w:link w:val="876"/>
    <w:uiPriority w:val="9"/>
    <w:qFormat/>
    <w:pPr>
      <w:jc w:val="center"/>
      <w:keepLines/>
      <w:keepNext/>
      <w:spacing w:before="340" w:after="330"/>
      <w:outlineLvl w:val="0"/>
    </w:pPr>
    <w:rPr>
      <w:b/>
      <w:bCs/>
      <w:sz w:val="36"/>
      <w:szCs w:val="44"/>
    </w:rPr>
  </w:style>
  <w:style w:type="paragraph" w:styleId="678">
    <w:name w:val="Heading 2"/>
    <w:basedOn w:val="676"/>
    <w:next w:val="676"/>
    <w:link w:val="725"/>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883"/>
    <w:uiPriority w:val="9"/>
    <w:semiHidden/>
    <w:unhideWhenUsed/>
    <w:qFormat/>
    <w:pPr>
      <w:keepLines/>
      <w:keepNext/>
      <w:spacing w:before="260" w:after="260" w:line="416" w:lineRule="auto"/>
      <w:outlineLvl w:val="2"/>
    </w:pPr>
    <w:rPr>
      <w:b/>
      <w:bCs/>
      <w:sz w:val="32"/>
      <w:szCs w:val="32"/>
    </w:rPr>
  </w:style>
  <w:style w:type="paragraph" w:styleId="680">
    <w:name w:val="Heading 4"/>
    <w:basedOn w:val="676"/>
    <w:next w:val="676"/>
    <w:link w:val="88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1">
    <w:name w:val="Heading 5"/>
    <w:basedOn w:val="676"/>
    <w:next w:val="676"/>
    <w:link w:val="728"/>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9"/>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1"/>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Normal Indent"/>
    <w:basedOn w:val="676"/>
    <w:link w:val="877"/>
    <w:uiPriority w:val="0"/>
    <w:unhideWhenUsed/>
    <w:qFormat/>
    <w:pPr>
      <w:ind w:firstLine="420"/>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link w:val="893"/>
    <w:uiPriority w:val="99"/>
    <w:semiHidden/>
    <w:unhideWhenUsed/>
    <w:qFormat/>
  </w:style>
  <w:style w:type="paragraph" w:styleId="692">
    <w:name w:val="Body Text"/>
    <w:basedOn w:val="676"/>
    <w:next w:val="676"/>
    <w:link w:val="884"/>
    <w:uiPriority w:val="1"/>
    <w:qFormat/>
    <w:pPr>
      <w:spacing w:line="240" w:lineRule="auto"/>
    </w:pPr>
    <w:rPr>
      <w:rFonts w:ascii="宋体" w:hAnsi="宋体" w:cs="宋体"/>
      <w:sz w:val="21"/>
      <w:szCs w:val="21"/>
      <w:lang w:val="zh-CN" w:bidi="zh-CN"/>
    </w:rPr>
  </w:style>
  <w:style w:type="paragraph" w:styleId="693">
    <w:name w:val="Body Text Indent"/>
    <w:basedOn w:val="676"/>
    <w:next w:val="694"/>
    <w:uiPriority w:val="0"/>
    <w:qFormat/>
    <w:pPr>
      <w:ind w:left="420" w:firstLine="1188"/>
      <w:spacing w:line="360" w:lineRule="exact"/>
    </w:pPr>
    <w:rPr>
      <w:rFonts w:ascii="Times New Roman" w:hAnsi="Times New Roman" w:cs="Times New Roman"/>
    </w:rPr>
  </w:style>
  <w:style w:type="paragraph" w:styleId="694">
    <w:name w:val="envelope return"/>
    <w:basedOn w:val="676"/>
    <w:uiPriority w:val="0"/>
    <w:qFormat/>
    <w:rPr>
      <w:rFonts w:ascii="Arial" w:hAnsi="Arial" w:cs="宋体"/>
    </w:rPr>
  </w:style>
  <w:style w:type="paragraph" w:styleId="695">
    <w:name w:val="List Bullet 2"/>
    <w:basedOn w:val="676"/>
    <w:uiPriority w:val="0"/>
    <w:qFormat/>
    <w:pPr>
      <w:numPr>
        <w:ilvl w:val="0"/>
        <w:numId w:val="1"/>
      </w:numPr>
      <w:spacing w:line="240" w:lineRule="auto"/>
    </w:pPr>
    <w:rPr>
      <w:rFonts w:ascii="宋体" w:hAnsi="宋体" w:cs="宋体"/>
      <w:sz w:val="22"/>
      <w:szCs w:val="22"/>
      <w:lang w:val="zh-CN" w:bidi="zh-CN"/>
    </w:rPr>
  </w:style>
  <w:style w:type="paragraph" w:styleId="696">
    <w:name w:val="index 4"/>
    <w:basedOn w:val="676"/>
    <w:next w:val="676"/>
    <w:uiPriority w:val="0"/>
    <w:semiHidden/>
    <w:qFormat/>
    <w:pPr>
      <w:ind w:left="1260"/>
      <w:spacing w:line="240" w:lineRule="auto"/>
    </w:pPr>
    <w:rPr>
      <w:rFonts w:ascii="宋体" w:hAnsi="宋体" w:cs="宋体"/>
      <w:sz w:val="22"/>
      <w:szCs w:val="22"/>
      <w:lang w:val="zh-CN" w:bidi="zh-CN"/>
    </w:rPr>
  </w:style>
  <w:style w:type="paragraph" w:styleId="697">
    <w:name w:val="toc 5"/>
    <w:basedOn w:val="676"/>
    <w:next w:val="676"/>
    <w:uiPriority w:val="39"/>
    <w:unhideWhenUsed/>
    <w:qFormat/>
    <w:pPr>
      <w:ind w:left="1134" w:right="0" w:firstLine="0"/>
      <w:spacing w:after="57"/>
    </w:pPr>
  </w:style>
  <w:style w:type="paragraph" w:styleId="698">
    <w:name w:val="toc 3"/>
    <w:basedOn w:val="676"/>
    <w:next w:val="676"/>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9">
    <w:name w:val="Plain Text"/>
    <w:basedOn w:val="676"/>
    <w:next w:val="692"/>
    <w:link w:val="875"/>
    <w:uiPriority w:val="0"/>
    <w:unhideWhenUsed/>
    <w:qFormat/>
    <w:rPr>
      <w:rFonts w:ascii="宋体" w:hAnsi="Courier New" w:cs="Courier New"/>
      <w:szCs w:val="21"/>
    </w:rPr>
  </w:style>
  <w:style w:type="paragraph" w:styleId="700">
    <w:name w:val="toc 8"/>
    <w:basedOn w:val="676"/>
    <w:next w:val="676"/>
    <w:uiPriority w:val="39"/>
    <w:unhideWhenUsed/>
    <w:qFormat/>
    <w:pPr>
      <w:ind w:left="1984" w:right="0" w:firstLine="0"/>
      <w:spacing w:after="57"/>
    </w:pPr>
  </w:style>
  <w:style w:type="paragraph" w:styleId="701">
    <w:name w:val="endnote text"/>
    <w:basedOn w:val="676"/>
    <w:link w:val="870"/>
    <w:uiPriority w:val="99"/>
    <w:semiHidden/>
    <w:unhideWhenUsed/>
    <w:qFormat/>
    <w:pPr>
      <w:spacing w:after="0" w:line="240" w:lineRule="auto"/>
    </w:pPr>
    <w:rPr>
      <w:sz w:val="20"/>
    </w:rPr>
  </w:style>
  <w:style w:type="paragraph" w:styleId="702">
    <w:name w:val="Balloon Text"/>
    <w:basedOn w:val="676"/>
    <w:link w:val="892"/>
    <w:uiPriority w:val="99"/>
    <w:semiHidden/>
    <w:unhideWhenUsed/>
    <w:qFormat/>
    <w:pPr>
      <w:spacing w:line="240" w:lineRule="auto"/>
    </w:pPr>
    <w:rPr>
      <w:sz w:val="18"/>
      <w:szCs w:val="18"/>
    </w:rPr>
  </w:style>
  <w:style w:type="paragraph" w:styleId="703">
    <w:name w:val="Footer"/>
    <w:basedOn w:val="676"/>
    <w:link w:val="873"/>
    <w:uiPriority w:val="99"/>
    <w:unhideWhenUsed/>
    <w:qFormat/>
    <w:pPr>
      <w:tabs>
        <w:tab w:val="center" w:pos="4153" w:leader="none"/>
        <w:tab w:val="right" w:pos="8306" w:leader="none"/>
      </w:tabs>
    </w:pPr>
    <w:rPr>
      <w:sz w:val="18"/>
      <w:szCs w:val="18"/>
    </w:rPr>
  </w:style>
  <w:style w:type="paragraph" w:styleId="704">
    <w:name w:val="Header"/>
    <w:basedOn w:val="676"/>
    <w:link w:val="87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6"/>
    <w:next w:val="676"/>
    <w:uiPriority w:val="39"/>
    <w:unhideWhenUsed/>
    <w:qFormat/>
    <w:pPr>
      <w:spacing w:line="720" w:lineRule="auto"/>
      <w:tabs>
        <w:tab w:val="right" w:pos="9639" w:leader="dot"/>
      </w:tabs>
    </w:pPr>
  </w:style>
  <w:style w:type="paragraph" w:styleId="706">
    <w:name w:val="toc 4"/>
    <w:basedOn w:val="676"/>
    <w:next w:val="676"/>
    <w:uiPriority w:val="39"/>
    <w:unhideWhenUsed/>
    <w:qFormat/>
    <w:pPr>
      <w:ind w:left="850" w:right="0" w:firstLine="0"/>
      <w:spacing w:after="57"/>
    </w:pPr>
  </w:style>
  <w:style w:type="paragraph" w:styleId="707">
    <w:name w:val="Subtitle"/>
    <w:basedOn w:val="676"/>
    <w:next w:val="676"/>
    <w:link w:val="736"/>
    <w:uiPriority w:val="11"/>
    <w:qFormat/>
    <w:pPr>
      <w:spacing w:before="200" w:after="200"/>
    </w:pPr>
    <w:rPr>
      <w:sz w:val="24"/>
      <w:szCs w:val="24"/>
    </w:rPr>
  </w:style>
  <w:style w:type="paragraph" w:styleId="708">
    <w:name w:val="footnote text"/>
    <w:basedOn w:val="676"/>
    <w:link w:val="869"/>
    <w:uiPriority w:val="99"/>
    <w:semiHidden/>
    <w:unhideWhenUsed/>
    <w:qFormat/>
    <w:pPr>
      <w:spacing w:after="40" w:line="240" w:lineRule="auto"/>
    </w:pPr>
    <w:rPr>
      <w:sz w:val="18"/>
    </w:rPr>
  </w:style>
  <w:style w:type="paragraph" w:styleId="709">
    <w:name w:val="toc 6"/>
    <w:basedOn w:val="676"/>
    <w:next w:val="676"/>
    <w:uiPriority w:val="39"/>
    <w:unhideWhenUsed/>
    <w:qFormat/>
    <w:pPr>
      <w:ind w:left="1417" w:right="0" w:firstLine="0"/>
      <w:spacing w:after="57"/>
    </w:pPr>
  </w:style>
  <w:style w:type="paragraph" w:styleId="710">
    <w:name w:val="table of figures"/>
    <w:basedOn w:val="676"/>
    <w:next w:val="676"/>
    <w:uiPriority w:val="99"/>
    <w:unhideWhenUsed/>
    <w:qFormat/>
    <w:pPr>
      <w:spacing w:after="0" w:afterAutospacing="0"/>
    </w:pPr>
  </w:style>
  <w:style w:type="paragraph" w:styleId="711">
    <w:name w:val="toc 2"/>
    <w:basedOn w:val="676"/>
    <w:next w:val="676"/>
    <w:uiPriority w:val="39"/>
    <w:unhideWhenUsed/>
    <w:qFormat/>
    <w:pPr>
      <w:ind w:left="283" w:right="0" w:firstLine="0"/>
      <w:spacing w:after="57"/>
    </w:pPr>
  </w:style>
  <w:style w:type="paragraph" w:styleId="712">
    <w:name w:val="toc 9"/>
    <w:basedOn w:val="676"/>
    <w:next w:val="676"/>
    <w:uiPriority w:val="39"/>
    <w:unhideWhenUsed/>
    <w:qFormat/>
    <w:pPr>
      <w:ind w:left="2268" w:right="0" w:firstLine="0"/>
      <w:spacing w:after="57"/>
    </w:pPr>
  </w:style>
  <w:style w:type="paragraph" w:styleId="713">
    <w:name w:val="Normal (Web)"/>
    <w:basedOn w:val="676"/>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4">
    <w:name w:val="Title"/>
    <w:basedOn w:val="676"/>
    <w:next w:val="676"/>
    <w:link w:val="735"/>
    <w:uiPriority w:val="10"/>
    <w:qFormat/>
    <w:pPr>
      <w:contextualSpacing/>
      <w:spacing w:before="300" w:after="200"/>
    </w:pPr>
    <w:rPr>
      <w:sz w:val="48"/>
      <w:szCs w:val="48"/>
    </w:rPr>
  </w:style>
  <w:style w:type="paragraph" w:styleId="715">
    <w:name w:val="Body Text First Indent 2"/>
    <w:basedOn w:val="693"/>
    <w:next w:val="676"/>
    <w:uiPriority w:val="0"/>
    <w:qFormat/>
    <w:pPr>
      <w:ind w:left="0" w:firstLine="420"/>
      <w:spacing w:after="0" w:line="360" w:lineRule="auto"/>
    </w:pPr>
    <w:rPr>
      <w:rFonts w:ascii="宋体" w:hAnsi="宋体"/>
      <w:sz w:val="20"/>
      <w:szCs w:val="20"/>
      <w:lang w:eastAsia="en-US"/>
    </w:rPr>
  </w:style>
  <w:style w:type="table" w:styleId="716">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86"/>
    <w:uiPriority w:val="0"/>
    <w:qFormat/>
    <w:rPr>
      <w:b/>
    </w:rPr>
  </w:style>
  <w:style w:type="character" w:styleId="718">
    <w:name w:val="endnote reference"/>
    <w:basedOn w:val="686"/>
    <w:uiPriority w:val="99"/>
    <w:semiHidden/>
    <w:unhideWhenUsed/>
    <w:qFormat/>
    <w:rPr>
      <w:vertAlign w:val="superscript"/>
    </w:rPr>
  </w:style>
  <w:style w:type="character" w:styleId="719">
    <w:name w:val="Emphasis"/>
    <w:uiPriority w:val="0"/>
    <w:qFormat/>
    <w:rPr>
      <w:i/>
    </w:rPr>
  </w:style>
  <w:style w:type="character" w:styleId="720">
    <w:name w:val="Hyperlink"/>
    <w:basedOn w:val="686"/>
    <w:uiPriority w:val="99"/>
    <w:unhideWhenUsed/>
    <w:qFormat/>
    <w:rPr>
      <w:color w:val="0000ff" w:themeColor="hyperlink"/>
      <w:u w:val="single"/>
      <w14:textFill>
        <w14:solidFill>
          <w14:schemeClr w14:val="hlink"/>
        </w14:solidFill>
      </w14:textFill>
    </w:rPr>
  </w:style>
  <w:style w:type="character" w:styleId="721">
    <w:name w:val="annotation reference"/>
    <w:basedOn w:val="686"/>
    <w:uiPriority w:val="99"/>
    <w:semiHidden/>
    <w:unhideWhenUsed/>
    <w:qFormat/>
    <w:rPr>
      <w:sz w:val="21"/>
      <w:szCs w:val="21"/>
    </w:rPr>
  </w:style>
  <w:style w:type="character" w:styleId="722">
    <w:name w:val="footnote reference"/>
    <w:basedOn w:val="686"/>
    <w:uiPriority w:val="99"/>
    <w:unhideWhenUsed/>
    <w:qFormat/>
    <w:rPr>
      <w:vertAlign w:val="superscript"/>
    </w:rPr>
  </w:style>
  <w:style w:type="paragraph" w:styleId="723" w:customStyle="1">
    <w:name w:val="Default"/>
    <w:basedOn w:val="699"/>
    <w:next w:val="699"/>
    <w:uiPriority w:val="0"/>
    <w:qFormat/>
    <w:pPr>
      <w:spacing w:after="0" w:line="240" w:lineRule="auto"/>
    </w:pPr>
    <w:rPr>
      <w:rFonts w:ascii=".." w:hAnsi="Calibri" w:eastAsia=".." w:cs=".."/>
      <w:color w:val="000000"/>
      <w:sz w:val="24"/>
      <w:szCs w:val="24"/>
      <w:lang w:val="en-US" w:eastAsia="zh-CN" w:bidi="ar-SA"/>
    </w:rPr>
  </w:style>
  <w:style w:type="character" w:styleId="724" w:customStyle="1">
    <w:name w:val="Heading 1 Char"/>
    <w:basedOn w:val="686"/>
    <w:uiPriority w:val="9"/>
    <w:qFormat/>
    <w:rPr>
      <w:rFonts w:ascii="Arial" w:hAnsi="Arial" w:eastAsia="Arial" w:cs="Arial"/>
      <w:sz w:val="40"/>
      <w:szCs w:val="40"/>
    </w:rPr>
  </w:style>
  <w:style w:type="character" w:styleId="725" w:customStyle="1">
    <w:name w:val="Heading 2 Char"/>
    <w:basedOn w:val="686"/>
    <w:link w:val="678"/>
    <w:uiPriority w:val="9"/>
    <w:qFormat/>
    <w:rPr>
      <w:rFonts w:ascii="Arial" w:hAnsi="Arial" w:eastAsia="Arial" w:cs="Arial"/>
      <w:sz w:val="34"/>
    </w:rPr>
  </w:style>
  <w:style w:type="character" w:styleId="726" w:customStyle="1">
    <w:name w:val="Heading 3 Char"/>
    <w:basedOn w:val="686"/>
    <w:uiPriority w:val="9"/>
    <w:qFormat/>
    <w:rPr>
      <w:rFonts w:ascii="Arial" w:hAnsi="Arial" w:eastAsia="Arial" w:cs="Arial"/>
      <w:sz w:val="30"/>
      <w:szCs w:val="30"/>
    </w:rPr>
  </w:style>
  <w:style w:type="character" w:styleId="727" w:customStyle="1">
    <w:name w:val="Heading 4 Char"/>
    <w:basedOn w:val="686"/>
    <w:uiPriority w:val="9"/>
    <w:qFormat/>
    <w:rPr>
      <w:rFonts w:ascii="Arial" w:hAnsi="Arial" w:eastAsia="Arial" w:cs="Arial"/>
      <w:b/>
      <w:bCs/>
      <w:sz w:val="26"/>
      <w:szCs w:val="26"/>
    </w:rPr>
  </w:style>
  <w:style w:type="character" w:styleId="728" w:customStyle="1">
    <w:name w:val="Heading 5 Char"/>
    <w:basedOn w:val="686"/>
    <w:link w:val="681"/>
    <w:uiPriority w:val="9"/>
    <w:qFormat/>
    <w:rPr>
      <w:rFonts w:ascii="Arial" w:hAnsi="Arial" w:eastAsia="Arial" w:cs="Arial"/>
      <w:b/>
      <w:bCs/>
      <w:sz w:val="24"/>
      <w:szCs w:val="24"/>
    </w:rPr>
  </w:style>
  <w:style w:type="character" w:styleId="729" w:customStyle="1">
    <w:name w:val="Heading 6 Char"/>
    <w:basedOn w:val="686"/>
    <w:link w:val="682"/>
    <w:uiPriority w:val="9"/>
    <w:qFormat/>
    <w:rPr>
      <w:rFonts w:ascii="Arial" w:hAnsi="Arial" w:eastAsia="Arial" w:cs="Arial"/>
      <w:b/>
      <w:bCs/>
      <w:sz w:val="22"/>
      <w:szCs w:val="22"/>
    </w:rPr>
  </w:style>
  <w:style w:type="character" w:styleId="730" w:customStyle="1">
    <w:name w:val="Heading 7 Char"/>
    <w:basedOn w:val="686"/>
    <w:link w:val="683"/>
    <w:uiPriority w:val="9"/>
    <w:qFormat/>
    <w:rPr>
      <w:rFonts w:ascii="Arial" w:hAnsi="Arial" w:eastAsia="Arial" w:cs="Arial"/>
      <w:b/>
      <w:bCs/>
      <w:i/>
      <w:iCs/>
      <w:sz w:val="22"/>
      <w:szCs w:val="22"/>
    </w:rPr>
  </w:style>
  <w:style w:type="character" w:styleId="731" w:customStyle="1">
    <w:name w:val="Heading 8 Char"/>
    <w:basedOn w:val="686"/>
    <w:link w:val="684"/>
    <w:uiPriority w:val="9"/>
    <w:qFormat/>
    <w:rPr>
      <w:rFonts w:ascii="Arial" w:hAnsi="Arial" w:eastAsia="Arial" w:cs="Arial"/>
      <w:i/>
      <w:iCs/>
      <w:sz w:val="22"/>
      <w:szCs w:val="22"/>
    </w:rPr>
  </w:style>
  <w:style w:type="character" w:styleId="732" w:customStyle="1">
    <w:name w:val="Heading 9 Char"/>
    <w:basedOn w:val="686"/>
    <w:link w:val="685"/>
    <w:uiPriority w:val="9"/>
    <w:qFormat/>
    <w:rPr>
      <w:rFonts w:ascii="Arial" w:hAnsi="Arial" w:eastAsia="Arial" w:cs="Arial"/>
      <w:i/>
      <w:iCs/>
      <w:sz w:val="21"/>
      <w:szCs w:val="21"/>
    </w:rPr>
  </w:style>
  <w:style w:type="paragraph" w:styleId="733">
    <w:name w:val="List Paragraph"/>
    <w:basedOn w:val="676"/>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86"/>
    <w:link w:val="714"/>
    <w:uiPriority w:val="10"/>
    <w:qFormat/>
    <w:rPr>
      <w:sz w:val="48"/>
      <w:szCs w:val="48"/>
    </w:rPr>
  </w:style>
  <w:style w:type="character" w:styleId="736" w:customStyle="1">
    <w:name w:val="Subtitle Char"/>
    <w:basedOn w:val="686"/>
    <w:link w:val="707"/>
    <w:uiPriority w:val="11"/>
    <w:qFormat/>
    <w:rPr>
      <w:sz w:val="24"/>
      <w:szCs w:val="24"/>
    </w:rPr>
  </w:style>
  <w:style w:type="paragraph" w:styleId="737">
    <w:name w:val="Quote"/>
    <w:basedOn w:val="676"/>
    <w:next w:val="676"/>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76"/>
    <w:next w:val="676"/>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86"/>
    <w:uiPriority w:val="99"/>
    <w:qFormat/>
  </w:style>
  <w:style w:type="character" w:styleId="742" w:customStyle="1">
    <w:name w:val="Footer Char"/>
    <w:basedOn w:val="686"/>
    <w:uiPriority w:val="99"/>
    <w:qFormat/>
  </w:style>
  <w:style w:type="character" w:styleId="743" w:customStyle="1">
    <w:name w:val="Caption Char"/>
    <w:uiPriority w:val="99"/>
    <w:qFormat/>
  </w:style>
  <w:style w:type="table" w:styleId="744"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08"/>
    <w:uiPriority w:val="99"/>
    <w:qFormat/>
    <w:rPr>
      <w:sz w:val="18"/>
    </w:rPr>
  </w:style>
  <w:style w:type="character" w:styleId="870" w:customStyle="1">
    <w:name w:val="Endnote Text Char"/>
    <w:link w:val="701"/>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character" w:styleId="872" w:customStyle="1">
    <w:name w:val="页眉 Char"/>
    <w:basedOn w:val="686"/>
    <w:link w:val="704"/>
    <w:uiPriority w:val="99"/>
    <w:semiHidden/>
    <w:qFormat/>
    <w:rPr>
      <w:sz w:val="18"/>
      <w:szCs w:val="18"/>
    </w:rPr>
  </w:style>
  <w:style w:type="character" w:styleId="873" w:customStyle="1">
    <w:name w:val="页脚 Char"/>
    <w:basedOn w:val="686"/>
    <w:link w:val="703"/>
    <w:uiPriority w:val="99"/>
    <w:qFormat/>
    <w:rPr>
      <w:sz w:val="18"/>
      <w:szCs w:val="18"/>
    </w:rPr>
  </w:style>
  <w:style w:type="character" w:styleId="874" w:customStyle="1">
    <w:name w:val="纯文本 Char"/>
    <w:basedOn w:val="686"/>
    <w:link w:val="699"/>
    <w:uiPriority w:val="99"/>
    <w:semiHidden/>
    <w:qFormat/>
    <w:rPr>
      <w:rFonts w:ascii="宋体" w:hAnsi="Courier New" w:eastAsia="宋体" w:cs="Courier New"/>
      <w:szCs w:val="21"/>
    </w:rPr>
  </w:style>
  <w:style w:type="character" w:styleId="875" w:customStyle="1">
    <w:name w:val="纯文本 Char1"/>
    <w:link w:val="699"/>
    <w:uiPriority w:val="99"/>
    <w:semiHidden/>
    <w:qFormat/>
    <w:rPr>
      <w:rFonts w:ascii="宋体" w:hAnsi="Courier New" w:eastAsia="宋体" w:cs="Courier New"/>
      <w:szCs w:val="21"/>
    </w:rPr>
  </w:style>
  <w:style w:type="character" w:styleId="876" w:customStyle="1">
    <w:name w:val="标题 1 Char"/>
    <w:basedOn w:val="686"/>
    <w:link w:val="677"/>
    <w:uiPriority w:val="9"/>
    <w:qFormat/>
    <w:rPr>
      <w:rFonts w:ascii="Times New Roman" w:hAnsi="Times New Roman" w:eastAsia="宋体" w:cs="Times New Roman"/>
      <w:b/>
      <w:bCs/>
      <w:sz w:val="36"/>
      <w:szCs w:val="44"/>
    </w:rPr>
  </w:style>
  <w:style w:type="character" w:styleId="877" w:customStyle="1">
    <w:name w:val="正文缩进 Char"/>
    <w:link w:val="689"/>
    <w:uiPriority w:val="0"/>
    <w:qFormat/>
    <w:rPr>
      <w:rFonts w:ascii="Times New Roman" w:hAnsi="Times New Roman" w:eastAsia="宋体" w:cs="Times New Roman"/>
      <w:szCs w:val="24"/>
    </w:rPr>
  </w:style>
  <w:style w:type="paragraph" w:styleId="878" w:customStyle="1">
    <w:name w:val="Table Paragraph"/>
    <w:basedOn w:val="676"/>
    <w:uiPriority w:val="1"/>
    <w:qFormat/>
    <w:pPr>
      <w:spacing w:line="240" w:lineRule="auto"/>
    </w:pPr>
    <w:rPr>
      <w:rFonts w:ascii="宋体" w:hAnsi="宋体" w:cs="宋体"/>
      <w:sz w:val="22"/>
      <w:szCs w:val="22"/>
      <w:lang w:val="zh-CN" w:bidi="zh-CN"/>
    </w:rPr>
  </w:style>
  <w:style w:type="paragraph" w:styleId="879" w:customStyle="1">
    <w:name w:val="纯文本1"/>
    <w:basedOn w:val="676"/>
    <w:uiPriority w:val="99"/>
    <w:qFormat/>
    <w:pPr>
      <w:jc w:val="both"/>
      <w:spacing w:line="240" w:lineRule="auto"/>
    </w:pPr>
    <w:rPr>
      <w:rFonts w:ascii="宋体" w:hAnsi="Courier New"/>
      <w:sz w:val="20"/>
      <w:szCs w:val="21"/>
    </w:rPr>
  </w:style>
  <w:style w:type="character" w:styleId="880" w:customStyle="1">
    <w:name w:val="标题 4 Char"/>
    <w:basedOn w:val="686"/>
    <w:link w:val="680"/>
    <w:uiPriority w:val="9"/>
    <w:semiHidden/>
    <w:qFormat/>
    <w:rPr>
      <w:rFonts w:asciiTheme="majorHAnsi" w:hAnsiTheme="majorHAnsi" w:eastAsiaTheme="majorEastAsia" w:cstheme="majorBidi"/>
      <w:b/>
      <w:bCs/>
      <w:sz w:val="28"/>
      <w:szCs w:val="28"/>
    </w:rPr>
  </w:style>
  <w:style w:type="paragraph" w:styleId="881" w:customStyle="1">
    <w:name w:val="首行缩进"/>
    <w:basedOn w:val="882"/>
    <w:uiPriority w:val="0"/>
    <w:qFormat/>
    <w:pPr>
      <w:ind w:firstLine="480"/>
    </w:pPr>
    <w:rPr>
      <w:rFonts w:ascii="宋体" w:hAnsi="宋体" w:cs="宋体"/>
      <w:szCs w:val="22"/>
      <w:lang w:val="zh-CN" w:bidi="zh-CN"/>
    </w:rPr>
  </w:style>
  <w:style w:type="paragraph" w:styleId="882" w:customStyle="1">
    <w:name w:val="正文1"/>
    <w:next w:val="881"/>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3" w:customStyle="1">
    <w:name w:val="标题 3 Char"/>
    <w:basedOn w:val="686"/>
    <w:link w:val="679"/>
    <w:uiPriority w:val="9"/>
    <w:semiHidden/>
    <w:qFormat/>
    <w:rPr>
      <w:rFonts w:ascii="Times New Roman" w:hAnsi="Times New Roman" w:eastAsia="宋体" w:cs="Times New Roman"/>
      <w:b/>
      <w:bCs/>
      <w:sz w:val="32"/>
      <w:szCs w:val="32"/>
    </w:rPr>
  </w:style>
  <w:style w:type="character" w:styleId="884" w:customStyle="1">
    <w:name w:val="正文文本 Char"/>
    <w:basedOn w:val="686"/>
    <w:link w:val="692"/>
    <w:uiPriority w:val="1"/>
    <w:qFormat/>
    <w:rPr>
      <w:rFonts w:ascii="宋体" w:hAnsi="宋体" w:eastAsia="宋体" w:cs="宋体"/>
      <w:szCs w:val="21"/>
      <w:lang w:val="zh-CN" w:bidi="zh-CN"/>
    </w:rPr>
  </w:style>
  <w:style w:type="paragraph" w:styleId="885" w:customStyle="1">
    <w:name w:val="普通正文"/>
    <w:basedOn w:val="676"/>
    <w:uiPriority w:val="0"/>
    <w:qFormat/>
    <w:pPr>
      <w:ind w:firstLine="480"/>
      <w:spacing w:before="120" w:after="120"/>
    </w:pPr>
    <w:rPr>
      <w:rFonts w:ascii="Arial" w:hAnsi="Arial" w:cs="宋体"/>
      <w:lang w:val="zh-CN" w:bidi="zh-CN"/>
    </w:rPr>
  </w:style>
  <w:style w:type="paragraph" w:styleId="886" w:customStyle="1">
    <w:name w:val="彩色列表1"/>
    <w:basedOn w:val="676"/>
    <w:uiPriority w:val="0"/>
    <w:qFormat/>
    <w:pPr>
      <w:ind w:firstLine="420"/>
      <w:spacing w:line="240" w:lineRule="auto"/>
    </w:pPr>
    <w:rPr>
      <w:rFonts w:ascii="宋体" w:hAnsi="宋体" w:cs="宋体"/>
      <w:sz w:val="22"/>
      <w:lang w:val="zh-CN" w:bidi="zh-CN"/>
    </w:rPr>
  </w:style>
  <w:style w:type="paragraph" w:styleId="887" w:customStyle="1">
    <w:name w:val="ListBullet2"/>
    <w:basedOn w:val="676"/>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8" w:customStyle="1">
    <w:name w:val="标题5 Char Char"/>
    <w:link w:val="889"/>
    <w:uiPriority w:val="0"/>
    <w:qFormat/>
    <w:rPr>
      <w:rFonts w:ascii="Arial" w:hAnsi="Arial"/>
      <w:b/>
      <w:bCs/>
      <w:sz w:val="24"/>
      <w:szCs w:val="32"/>
    </w:rPr>
  </w:style>
  <w:style w:type="paragraph" w:styleId="889" w:customStyle="1">
    <w:name w:val="标题5"/>
    <w:basedOn w:val="679"/>
    <w:link w:val="888"/>
    <w:uiPriority w:val="0"/>
    <w:qFormat/>
    <w:pPr>
      <w:jc w:val="both"/>
      <w:spacing w:line="413" w:lineRule="auto"/>
    </w:pPr>
    <w:rPr>
      <w:rFonts w:ascii="Arial" w:hAnsi="Arial" w:eastAsiaTheme="minorEastAsia" w:cstheme="minorBidi"/>
      <w:sz w:val="24"/>
    </w:rPr>
  </w:style>
  <w:style w:type="character" w:styleId="890" w:customStyle="1">
    <w:name w:val="15"/>
    <w:basedOn w:val="686"/>
    <w:uiPriority w:val="0"/>
    <w:qFormat/>
  </w:style>
  <w:style w:type="table" w:styleId="891" w:customStyle="1">
    <w:name w:val="Table Normal"/>
    <w:uiPriority w:val="0"/>
    <w:semiHidden/>
    <w:unhideWhenUsed/>
    <w:qFormat/>
    <w:tblPr>
      <w:tblCellMar>
        <w:left w:w="0" w:type="dxa"/>
        <w:top w:w="0" w:type="dxa"/>
        <w:right w:w="0" w:type="dxa"/>
        <w:bottom w:w="0" w:type="dxa"/>
      </w:tblCellMar>
    </w:tblPr>
  </w:style>
  <w:style w:type="character" w:styleId="892" w:customStyle="1">
    <w:name w:val="批注框文本 Char"/>
    <w:basedOn w:val="686"/>
    <w:link w:val="702"/>
    <w:uiPriority w:val="99"/>
    <w:semiHidden/>
    <w:qFormat/>
    <w:rPr>
      <w:rFonts w:ascii="Times New Roman" w:hAnsi="Times New Roman" w:eastAsia="宋体" w:cs="Times New Roman"/>
      <w:sz w:val="18"/>
      <w:szCs w:val="18"/>
    </w:rPr>
  </w:style>
  <w:style w:type="character" w:styleId="893" w:customStyle="1">
    <w:name w:val="批注文字 Char"/>
    <w:basedOn w:val="686"/>
    <w:link w:val="691"/>
    <w:uiPriority w:val="99"/>
    <w:semiHidden/>
    <w:qFormat/>
    <w:rPr>
      <w:rFonts w:ascii="Times New Roman" w:hAnsi="Times New Roman" w:eastAsia="宋体" w:cs="Times New Roman"/>
      <w:sz w:val="24"/>
      <w:szCs w:val="24"/>
    </w:rPr>
  </w:style>
  <w:style w:type="paragraph" w:styleId="894" w:customStyle="1">
    <w:name w:val="标题 31"/>
    <w:basedOn w:val="676"/>
    <w:next w:val="895"/>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5" w:customStyle="1">
    <w:name w:val="正文缩进1"/>
    <w:basedOn w:val="676"/>
    <w:uiPriority w:val="99"/>
    <w:qFormat/>
    <w:pPr>
      <w:ind w:firstLine="420"/>
    </w:pPr>
    <w:rPr>
      <w:b/>
      <w:sz w:val="24"/>
    </w:rPr>
  </w:style>
  <w:style w:type="character" w:styleId="896" w:customStyle="1">
    <w:name w:val="要点1"/>
    <w:uiPriority w:val="0"/>
    <w:qFormat/>
    <w:rPr>
      <w:sz w:val="22"/>
      <w:szCs w:val="22"/>
      <w:lang w:val="en-US" w:eastAsia="en-US" w:bidi="en-US"/>
    </w:rPr>
  </w:style>
  <w:style w:type="paragraph" w:styleId="897" w:customStyle="1">
    <w:name w:val="正文首行缩进1"/>
    <w:basedOn w:val="898"/>
    <w:uiPriority w:val="0"/>
    <w:qFormat/>
    <w:pPr>
      <w:ind w:firstLine="420"/>
      <w:spacing w:line="360" w:lineRule="auto"/>
    </w:pPr>
    <w:rPr>
      <w:rFonts w:ascii="Times New Roman" w:hAnsi="Times New Roman" w:cs="Times New Roman"/>
      <w:szCs w:val="21"/>
    </w:rPr>
  </w:style>
  <w:style w:type="paragraph" w:styleId="898" w:customStyle="1">
    <w:name w:val="正文文本1"/>
    <w:basedOn w:val="676"/>
    <w:uiPriority w:val="0"/>
    <w:qFormat/>
    <w:rPr>
      <w:rFonts w:ascii="宋体"/>
      <w:sz w:val="28"/>
    </w:rPr>
  </w:style>
  <w:style w:type="paragraph" w:styleId="899" w:customStyle="1">
    <w:name w:val="1"/>
    <w:basedOn w:val="676"/>
    <w:next w:val="676"/>
    <w:uiPriority w:val="0"/>
    <w:qFormat/>
    <w:rPr>
      <w:szCs w:val="20"/>
    </w:rPr>
  </w:style>
  <w:style w:type="paragraph" w:styleId="900" w:customStyle="1">
    <w:name w:val="标题 311"/>
    <w:basedOn w:val="676"/>
    <w:next w:val="676"/>
    <w:uiPriority w:val="0"/>
    <w:qFormat/>
    <w:pPr>
      <w:keepLines/>
      <w:keepNext/>
      <w:spacing w:before="260" w:after="260" w:line="416" w:lineRule="auto"/>
      <w:outlineLvl w:val="2"/>
    </w:pPr>
    <w:rPr>
      <w:b/>
      <w:sz w:val="32"/>
      <w:szCs w:val="20"/>
    </w:rPr>
  </w:style>
  <w:style w:type="paragraph" w:styleId="901" w:customStyle="1">
    <w:name w:val="List Paragraph1"/>
    <w:basedOn w:val="676"/>
    <w:uiPriority w:val="34"/>
    <w:qFormat/>
    <w:pPr>
      <w:contextualSpacing/>
      <w:ind w:left="720"/>
    </w:pPr>
  </w:style>
  <w:style w:type="character" w:styleId="902" w:customStyle="1">
    <w:name w:val="bot_zi"/>
    <w:basedOn w:val="686"/>
    <w:uiPriority w:val="0"/>
    <w:qFormat/>
  </w:style>
  <w:style w:type="paragraph" w:styleId="903" w:customStyle="1">
    <w:name w:val="列表段落1"/>
    <w:basedOn w:val="676"/>
    <w:uiPriority w:val="34"/>
    <w:qFormat/>
    <w:pPr>
      <w:ind w:firstLine="420"/>
    </w:pPr>
  </w:style>
  <w:style w:type="paragraph" w:styleId="904" w:customStyle="1">
    <w:name w:val="普通(网站)1"/>
    <w:basedOn w:val="676"/>
    <w:uiPriority w:val="99"/>
    <w:qFormat/>
    <w:pPr>
      <w:jc w:val="left"/>
      <w:spacing w:before="100" w:beforeAutospacing="1" w:after="100" w:afterAutospacing="1"/>
      <w:widowControl/>
    </w:pPr>
    <w:rPr>
      <w:sz w:val="24"/>
    </w:rPr>
  </w:style>
  <w:style w:type="numbering" w:styleId="12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26</cp:revision>
  <dcterms:created xsi:type="dcterms:W3CDTF">2023-09-21T04:43:00Z</dcterms:created>
  <dcterms:modified xsi:type="dcterms:W3CDTF">2026-07-22T01:38:19Z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C38466E1883C43CEA459A1AAAEDAC0CD_13</vt:lpwstr>
  </property>
  <property fmtid="{D5CDD505-2E9C-101B-9397-08002B2CF9AE}" pid="4" name="KSOTemplateDocerSaveRecord">
    <vt:lpwstr>eyJoZGlkIjoiNTZmNzYxM2Q0ZWY3NjUyZWMxMDk3MWRiOWNkZjgyNTIiLCJ1c2VySWQiOiIzNTYwMDE3MjEifQ==</vt:lpwstr>
  </property>
</Properties>
</file>