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ind w:firstLine="315"/>
        <w:jc w:val="center"/>
        <w:spacing w:line="360" w:lineRule="auto"/>
        <w:rPr>
          <w:rFonts w:ascii="宋体" w:hAnsi="宋体"/>
          <w:b/>
          <w:bCs/>
          <w:sz w:val="60"/>
          <w:szCs w:val="60"/>
        </w:rPr>
      </w:pPr>
      <w:r>
        <w:rPr>
          <w:rFonts w:hint="eastAsia" w:ascii="宋体" w:hAnsi="宋体" w:cs="宋体"/>
          <w:b/>
          <w:sz w:val="72"/>
          <w:szCs w:val="72"/>
          <w:lang w:eastAsia="zh-TW"/>
        </w:rPr>
        <w:t xml:space="preserve">竞争性磋商</w:t>
      </w:r>
      <w:r>
        <w:rPr>
          <w:rFonts w:hint="eastAsia" w:ascii="宋体" w:hAnsi="宋体" w:cs="宋体"/>
          <w:b/>
          <w:sz w:val="72"/>
          <w:szCs w:val="72"/>
        </w:rPr>
        <w:t xml:space="preserve">文件</w:t>
      </w:r>
      <w:bookmarkStart w:id="752" w:name="_GoBack"/>
      <w:r/>
      <w:bookmarkEnd w:id="752"/>
      <w:r/>
      <w:r/>
    </w:p>
    <w:p>
      <w:pPr>
        <w:ind w:firstLine="1606"/>
        <w:jc w:val="left"/>
        <w:rPr>
          <w:rFonts w:ascii="宋体" w:hAnsi="宋体" w:cs="宋体"/>
          <w:b/>
          <w:bCs/>
          <w:sz w:val="32"/>
          <w:szCs w:val="32"/>
        </w:rPr>
      </w:pPr>
      <w:r>
        <w:rPr>
          <w:rFonts w:ascii="宋体" w:hAnsi="宋体" w:cs="宋体"/>
          <w:b/>
          <w:bCs/>
          <w:sz w:val="32"/>
          <w:szCs w:val="32"/>
        </w:rPr>
      </w:r>
      <w:r/>
    </w:p>
    <w:p>
      <w:pPr>
        <w:ind w:firstLine="1606"/>
        <w:jc w:val="left"/>
        <w:rPr>
          <w:rFonts w:ascii="宋体" w:hAnsi="宋体" w:cs="宋体"/>
          <w:b/>
          <w:bCs/>
          <w:sz w:val="32"/>
          <w:szCs w:val="32"/>
        </w:rPr>
      </w:pPr>
      <w:r>
        <w:rPr>
          <w:rFonts w:ascii="宋体" w:hAnsi="宋体" w:cs="宋体"/>
          <w:b/>
          <w:bCs/>
          <w:sz w:val="32"/>
          <w:szCs w:val="32"/>
        </w:rPr>
      </w:r>
      <w:r/>
    </w:p>
    <w:p>
      <w:pPr>
        <w:ind w:firstLine="1606"/>
        <w:jc w:val="left"/>
        <w:rPr>
          <w:rFonts w:ascii="宋体" w:hAnsi="宋体" w:cs="宋体"/>
          <w:b/>
          <w:bCs/>
          <w:sz w:val="32"/>
          <w:szCs w:val="32"/>
        </w:rPr>
      </w:pPr>
      <w:r>
        <w:rPr>
          <w:rFonts w:ascii="宋体" w:hAnsi="宋体" w:cs="宋体"/>
          <w:b/>
          <w:bCs/>
          <w:sz w:val="32"/>
          <w:szCs w:val="32"/>
        </w:rPr>
      </w:r>
      <w:r/>
    </w:p>
    <w:p>
      <w:pPr>
        <w:jc w:val="left"/>
        <w:rPr>
          <w:rFonts w:ascii="宋体" w:hAnsi="宋体" w:cs="宋体"/>
          <w:b/>
          <w:bCs/>
          <w:sz w:val="32"/>
          <w:szCs w:val="32"/>
        </w:rPr>
      </w:pPr>
      <w:r>
        <w:rPr>
          <w:rFonts w:ascii="宋体" w:hAnsi="宋体" w:cs="宋体"/>
          <w:b/>
          <w:bCs/>
          <w:sz w:val="32"/>
          <w:szCs w:val="32"/>
        </w:rPr>
      </w:r>
      <w:r/>
    </w:p>
    <w:p>
      <w:pPr>
        <w:ind w:left="2564" w:hanging="1606"/>
        <w:spacing w:line="360" w:lineRule="auto"/>
        <w:rPr>
          <w:rFonts w:hint="eastAsia" w:ascii="宋体" w:hAnsi="宋体" w:eastAsia="宋体" w:cs="宋体"/>
          <w:b/>
          <w:bCs/>
          <w:sz w:val="32"/>
          <w:szCs w:val="32"/>
          <w:u w:val="single"/>
          <w:lang w:eastAsia="zh-CN"/>
        </w:rPr>
      </w:pPr>
      <w:r>
        <w:rPr>
          <w:rFonts w:hint="eastAsia" w:ascii="宋体" w:hAnsi="宋体" w:cs="宋体"/>
          <w:b/>
          <w:bCs/>
          <w:sz w:val="32"/>
          <w:szCs w:val="32"/>
        </w:rPr>
        <w:t xml:space="preserve">项目名称</w:t>
      </w:r>
      <w:r>
        <w:rPr>
          <w:rFonts w:hint="eastAsia" w:ascii="宋体" w:hAnsi="宋体" w:cs="宋体"/>
          <w:b/>
          <w:bCs/>
          <w:sz w:val="32"/>
          <w:szCs w:val="32"/>
          <w:highlight w:val="none"/>
        </w:rPr>
        <w:t xml:space="preserve">：</w:t>
      </w:r>
      <w:r>
        <w:rPr>
          <w:rFonts w:hint="eastAsia" w:ascii="宋体" w:hAnsi="宋体" w:cs="宋体"/>
          <w:b/>
          <w:bCs/>
          <w:sz w:val="32"/>
          <w:szCs w:val="32"/>
          <w:highlight w:val="none"/>
          <w:u w:val="single"/>
          <w:lang w:eastAsia="zh-CN"/>
        </w:rPr>
        <w:t xml:space="preserve">溧阳市博物馆可移动文物数字化保护项目</w:t>
      </w:r>
      <w:r/>
    </w:p>
    <w:p>
      <w:pPr>
        <w:rPr>
          <w:rFonts w:ascii="宋体" w:hAnsi="宋体" w:cs="宋体"/>
          <w:b/>
          <w:bCs/>
          <w:sz w:val="32"/>
          <w:szCs w:val="32"/>
        </w:rPr>
      </w:pPr>
      <w:r>
        <w:rPr>
          <w:rFonts w:ascii="宋体" w:hAnsi="宋体" w:cs="宋体"/>
          <w:b/>
          <w:bCs/>
          <w:sz w:val="32"/>
          <w:szCs w:val="32"/>
        </w:rPr>
      </w:r>
      <w:r/>
    </w:p>
    <w:p>
      <w:pPr>
        <w:ind w:firstLine="1606"/>
        <w:rPr>
          <w:rFonts w:ascii="宋体" w:hAnsi="宋体" w:cs="宋体"/>
          <w:b/>
          <w:bCs/>
          <w:sz w:val="32"/>
          <w:szCs w:val="32"/>
        </w:rPr>
      </w:pPr>
      <w:r>
        <w:rPr>
          <w:rFonts w:ascii="宋体" w:hAnsi="宋体" w:cs="宋体"/>
          <w:b/>
          <w:bCs/>
          <w:sz w:val="32"/>
          <w:szCs w:val="32"/>
        </w:rPr>
      </w:r>
      <w:r/>
    </w:p>
    <w:p>
      <w:pPr>
        <w:ind w:firstLine="964"/>
        <w:rPr>
          <w:rFonts w:hint="default" w:ascii="宋体" w:hAnsi="宋体" w:eastAsia="宋体" w:cs="宋体"/>
          <w:b/>
          <w:bCs/>
          <w:sz w:val="32"/>
          <w:szCs w:val="32"/>
          <w:highlight w:val="none"/>
          <w:u w:val="single"/>
          <w:lang w:val="en-US" w:eastAsia="zh-CN"/>
        </w:rPr>
      </w:pPr>
      <w:r>
        <w:rPr>
          <w:rFonts w:hint="eastAsia" w:ascii="宋体" w:hAnsi="宋体" w:cs="宋体"/>
          <w:b/>
          <w:bCs/>
          <w:sz w:val="32"/>
          <w:szCs w:val="32"/>
          <w:highlight w:val="none"/>
        </w:rPr>
        <w:t xml:space="preserve">项目编号/包号：</w:t>
      </w:r>
      <w:r>
        <w:rPr>
          <w:rFonts w:hint="eastAsia" w:ascii="宋体" w:hAnsi="宋体" w:cs="宋体"/>
          <w:b/>
          <w:bCs/>
          <w:sz w:val="32"/>
          <w:szCs w:val="32"/>
          <w:highlight w:val="none"/>
          <w:u w:val="single"/>
        </w:rPr>
        <w:t xml:space="preserve">JSZC-320481-LYZT-C</w:t>
      </w:r>
      <w:r>
        <w:rPr>
          <w:rFonts w:hint="eastAsia" w:ascii="宋体" w:hAnsi="宋体" w:cs="宋体"/>
          <w:b/>
          <w:bCs/>
          <w:sz w:val="32"/>
          <w:szCs w:val="32"/>
          <w:highlight w:val="none"/>
          <w:u w:val="single"/>
          <w:lang w:eastAsia="zh-CN"/>
        </w:rPr>
        <w:t xml:space="preserve">2026</w:t>
      </w:r>
      <w:r>
        <w:rPr>
          <w:rFonts w:hint="eastAsia" w:ascii="宋体" w:hAnsi="宋体" w:cs="宋体"/>
          <w:b/>
          <w:bCs/>
          <w:sz w:val="32"/>
          <w:szCs w:val="32"/>
          <w:highlight w:val="none"/>
          <w:u w:val="single"/>
        </w:rPr>
        <w:t xml:space="preserve">-00</w:t>
      </w:r>
      <w:r>
        <w:rPr>
          <w:rFonts w:hint="eastAsia" w:ascii="宋体" w:hAnsi="宋体" w:cs="宋体"/>
          <w:b/>
          <w:bCs/>
          <w:sz w:val="32"/>
          <w:szCs w:val="32"/>
          <w:highlight w:val="none"/>
          <w:u w:val="single"/>
          <w:lang w:val="en-US" w:eastAsia="zh-CN"/>
        </w:rPr>
        <w:t xml:space="preserve">06</w:t>
      </w:r>
      <w:r/>
    </w:p>
    <w:p>
      <w:pPr>
        <w:rPr>
          <w:rFonts w:ascii="宋体" w:hAnsi="宋体" w:cs="宋体"/>
          <w:b/>
          <w:bCs/>
          <w:sz w:val="32"/>
          <w:szCs w:val="32"/>
        </w:rPr>
      </w:pPr>
      <w:r>
        <w:rPr>
          <w:rFonts w:ascii="宋体" w:hAnsi="宋体" w:cs="宋体"/>
          <w:b/>
          <w:bCs/>
          <w:sz w:val="32"/>
          <w:szCs w:val="32"/>
        </w:rPr>
      </w:r>
      <w:r/>
    </w:p>
    <w:p>
      <w:pPr>
        <w:ind w:firstLine="1606"/>
        <w:rPr>
          <w:rFonts w:ascii="宋体" w:hAnsi="宋体" w:cs="宋体"/>
          <w:b/>
          <w:bCs/>
          <w:sz w:val="32"/>
          <w:szCs w:val="32"/>
        </w:rPr>
      </w:pPr>
      <w:r>
        <w:rPr>
          <w:rFonts w:ascii="宋体" w:hAnsi="宋体" w:cs="宋体"/>
          <w:b/>
          <w:bCs/>
          <w:sz w:val="32"/>
          <w:szCs w:val="32"/>
        </w:rPr>
      </w:r>
      <w:r/>
    </w:p>
    <w:p>
      <w:pPr>
        <w:ind w:firstLine="964"/>
        <w:rPr>
          <w:rFonts w:hint="eastAsia" w:ascii="宋体" w:hAnsi="宋体" w:eastAsia="宋体" w:cs="宋体"/>
          <w:b/>
          <w:bCs/>
          <w:sz w:val="32"/>
          <w:szCs w:val="32"/>
          <w:lang w:eastAsia="zh-CN"/>
        </w:rPr>
      </w:pPr>
      <w:r>
        <w:rPr>
          <w:rFonts w:hint="eastAsia" w:ascii="宋体" w:hAnsi="宋体" w:cs="宋体"/>
          <w:b/>
          <w:bCs/>
          <w:sz w:val="32"/>
          <w:szCs w:val="32"/>
        </w:rPr>
        <w:t xml:space="preserve">采 购 人：</w:t>
      </w:r>
      <w:r>
        <w:rPr>
          <w:rFonts w:hint="eastAsia" w:ascii="宋体" w:hAnsi="宋体" w:cs="宋体"/>
          <w:b/>
          <w:bCs/>
          <w:sz w:val="32"/>
          <w:szCs w:val="32"/>
          <w:u w:val="single"/>
          <w:lang w:eastAsia="zh-CN"/>
        </w:rPr>
        <w:t xml:space="preserve">溧阳市博物馆</w:t>
      </w:r>
      <w:r/>
    </w:p>
    <w:p>
      <w:pPr>
        <w:rPr>
          <w:rFonts w:ascii="宋体" w:hAnsi="宋体" w:cs="宋体"/>
          <w:b/>
          <w:bCs/>
          <w:sz w:val="32"/>
          <w:szCs w:val="32"/>
        </w:rPr>
      </w:pPr>
      <w:r>
        <w:rPr>
          <w:rFonts w:ascii="宋体" w:hAnsi="宋体" w:cs="宋体"/>
          <w:b/>
          <w:bCs/>
          <w:sz w:val="32"/>
          <w:szCs w:val="32"/>
        </w:rPr>
      </w:r>
      <w:r/>
    </w:p>
    <w:p>
      <w:pPr>
        <w:ind w:firstLine="1606"/>
        <w:rPr>
          <w:rFonts w:ascii="宋体" w:hAnsi="宋体" w:cs="宋体"/>
          <w:b/>
          <w:bCs/>
          <w:sz w:val="32"/>
          <w:szCs w:val="32"/>
        </w:rPr>
      </w:pPr>
      <w:r>
        <w:rPr>
          <w:rFonts w:ascii="宋体" w:hAnsi="宋体" w:cs="宋体"/>
          <w:b/>
          <w:bCs/>
          <w:sz w:val="32"/>
          <w:szCs w:val="32"/>
        </w:rPr>
      </w:r>
      <w:r/>
    </w:p>
    <w:p>
      <w:pPr>
        <w:ind w:firstLine="964"/>
        <w:rPr>
          <w:rFonts w:ascii="宋体" w:hAnsi="宋体" w:cs="宋体"/>
          <w:b/>
          <w:bCs/>
          <w:sz w:val="32"/>
          <w:szCs w:val="32"/>
        </w:rPr>
      </w:pPr>
      <w:r>
        <w:rPr>
          <w:rFonts w:hint="eastAsia" w:ascii="宋体" w:hAnsi="宋体" w:cs="宋体"/>
          <w:b/>
          <w:bCs/>
          <w:sz w:val="32"/>
          <w:szCs w:val="32"/>
        </w:rPr>
        <w:t xml:space="preserve">采购代理机构：</w:t>
      </w:r>
      <w:r>
        <w:rPr>
          <w:rFonts w:hint="eastAsia" w:ascii="宋体" w:hAnsi="宋体" w:cs="宋体"/>
          <w:b/>
          <w:bCs/>
          <w:sz w:val="32"/>
          <w:szCs w:val="32"/>
          <w:u w:val="single"/>
        </w:rPr>
        <w:t xml:space="preserve">溧阳市正投招投标有限公司</w:t>
      </w:r>
      <w:r/>
    </w:p>
    <w:p>
      <w:pPr>
        <w:jc w:val="left"/>
        <w:widowControl/>
        <w:rPr>
          <w:b/>
          <w:sz w:val="32"/>
          <w:szCs w:val="32"/>
        </w:rPr>
      </w:pPr>
      <w:r>
        <w:rPr>
          <w:b/>
          <w:bCs/>
          <w:sz w:val="44"/>
        </w:rPr>
        <w:br w:type="page" w:clear="all"/>
      </w:r>
      <w:r/>
    </w:p>
    <w:p>
      <w:pPr>
        <w:jc w:val="center"/>
        <w:spacing w:line="360" w:lineRule="auto"/>
        <w:rPr>
          <w:b/>
          <w:sz w:val="32"/>
          <w:szCs w:val="32"/>
        </w:rPr>
        <w:outlineLvl w:val="0"/>
      </w:pPr>
      <w:r>
        <w:rPr>
          <w:b/>
          <w:sz w:val="32"/>
          <w:szCs w:val="32"/>
        </w:rPr>
      </w:r>
      <w:r/>
    </w:p>
    <w:sdt>
      <w:sdtPr>
        <w15:appearance w15:val="boundingBox"/>
        <w:id w:val="147453132"/>
        <w:rPr>
          <w:rFonts w:hint="eastAsia" w:ascii="宋体" w:hAnsi="宋体"/>
          <w:b/>
          <w:sz w:val="32"/>
          <w:szCs w:val="32"/>
        </w:rPr>
      </w:sdtPr>
      <w:sdtContent>
        <w:p>
          <w:pPr>
            <w:jc w:val="center"/>
            <w:spacing w:line="360" w:lineRule="auto"/>
            <w:rPr>
              <w:b/>
              <w:sz w:val="32"/>
              <w:szCs w:val="32"/>
            </w:rPr>
            <w:outlineLvl w:val="0"/>
          </w:pPr>
          <w:r>
            <w:rPr>
              <w:rFonts w:hint="eastAsia"/>
              <w:b/>
              <w:sz w:val="32"/>
              <w:szCs w:val="32"/>
            </w:rPr>
            <w:t xml:space="preserve">目    录</w:t>
          </w:r>
          <w:r/>
        </w:p>
        <w:p>
          <w:pPr>
            <w:pStyle w:val="933"/>
          </w:pPr>
          <w:r/>
          <w:r/>
        </w:p>
        <w:p>
          <w:pPr>
            <w:pStyle w:val="955"/>
            <w:spacing w:line="480" w:lineRule="auto"/>
            <w:tabs>
              <w:tab w:val="clear" w:pos="1050" w:leader="none"/>
              <w:tab w:val="clear" w:pos="8937" w:leader="none"/>
              <w:tab w:val="right" w:pos="9355" w:leader="dot"/>
            </w:tabs>
            <w:rPr>
              <w:rFonts w:cs="宋体"/>
              <w:bCs/>
            </w:rPr>
          </w:pPr>
          <w:r>
            <w:fldChar w:fldCharType="begin"/>
          </w:r>
          <w:r>
            <w:instrText xml:space="preserve">TOC \o "1-1" \h \u </w:instrText>
          </w:r>
          <w:r>
            <w:fldChar w:fldCharType="separate"/>
          </w:r>
          <w:r>
            <w:fldChar w:fldCharType="begin"/>
          </w:r>
          <w:r>
            <w:instrText xml:space="preserve"> HYPERLINK \l "_Toc20352" </w:instrText>
          </w:r>
          <w:r>
            <w:fldChar w:fldCharType="separate"/>
          </w:r>
          <w:r>
            <w:rPr>
              <w:rFonts w:hint="eastAsia" w:cs="宋体"/>
              <w:bCs/>
            </w:rPr>
            <w:t xml:space="preserve">第一章   采购邀请</w:t>
          </w:r>
          <w:r>
            <w:rPr>
              <w:rFonts w:hint="eastAsia" w:cs="宋体"/>
              <w:bCs/>
            </w:rPr>
            <w:tab/>
          </w:r>
          <w:r>
            <w:rPr>
              <w:rFonts w:hint="eastAsia" w:cs="宋体"/>
              <w:bCs/>
            </w:rPr>
            <w:fldChar w:fldCharType="begin"/>
          </w:r>
          <w:r>
            <w:rPr>
              <w:rFonts w:hint="eastAsia" w:cs="宋体"/>
              <w:bCs/>
            </w:rPr>
            <w:instrText xml:space="preserve"> PAGEREF _Toc20352 \h </w:instrText>
          </w:r>
          <w:r>
            <w:rPr>
              <w:rFonts w:hint="eastAsia" w:cs="宋体"/>
              <w:bCs/>
            </w:rPr>
            <w:fldChar w:fldCharType="separate"/>
          </w:r>
          <w:r>
            <w:rPr>
              <w:rFonts w:hint="eastAsia" w:cs="宋体"/>
              <w:bCs/>
            </w:rPr>
            <w:t xml:space="preserve">3</w:t>
          </w:r>
          <w:r>
            <w:rPr>
              <w:rFonts w:hint="eastAsia" w:cs="宋体"/>
              <w:bCs/>
            </w:rPr>
            <w:fldChar w:fldCharType="end"/>
          </w:r>
          <w:r>
            <w:rPr>
              <w:rFonts w:hint="eastAsia" w:cs="宋体"/>
              <w:bCs/>
            </w:rPr>
            <w:fldChar w:fldCharType="end"/>
          </w:r>
          <w:r/>
        </w:p>
        <w:p>
          <w:pPr>
            <w:pStyle w:val="955"/>
            <w:spacing w:line="480" w:lineRule="auto"/>
            <w:tabs>
              <w:tab w:val="clear" w:pos="1050" w:leader="none"/>
              <w:tab w:val="clear" w:pos="8937" w:leader="none"/>
              <w:tab w:val="right" w:pos="9355" w:leader="dot"/>
            </w:tabs>
            <w:rPr>
              <w:rFonts w:cs="宋体"/>
              <w:bCs/>
            </w:rPr>
          </w:pPr>
          <w:r>
            <w:fldChar w:fldCharType="begin"/>
          </w:r>
          <w:r>
            <w:instrText xml:space="preserve"> HYPERLINK \l "_Toc21483" </w:instrText>
          </w:r>
          <w:r>
            <w:fldChar w:fldCharType="separate"/>
          </w:r>
          <w:r>
            <w:rPr>
              <w:rFonts w:hint="eastAsia" w:cs="宋体"/>
              <w:bCs/>
            </w:rPr>
            <w:t xml:space="preserve">第二章   供应商须知</w:t>
          </w:r>
          <w:r>
            <w:rPr>
              <w:rFonts w:hint="eastAsia" w:cs="宋体"/>
              <w:bCs/>
            </w:rPr>
            <w:tab/>
          </w:r>
          <w:r>
            <w:rPr>
              <w:rFonts w:hint="eastAsia" w:cs="宋体"/>
              <w:bCs/>
            </w:rPr>
            <w:fldChar w:fldCharType="begin"/>
          </w:r>
          <w:r>
            <w:rPr>
              <w:rFonts w:hint="eastAsia" w:cs="宋体"/>
              <w:bCs/>
            </w:rPr>
            <w:instrText xml:space="preserve"> PAGEREF _Toc21483 \h </w:instrText>
          </w:r>
          <w:r>
            <w:rPr>
              <w:rFonts w:hint="eastAsia" w:cs="宋体"/>
              <w:bCs/>
            </w:rPr>
            <w:fldChar w:fldCharType="separate"/>
          </w:r>
          <w:r>
            <w:rPr>
              <w:rFonts w:hint="eastAsia" w:cs="宋体"/>
              <w:bCs/>
            </w:rPr>
            <w:t xml:space="preserve">6</w:t>
          </w:r>
          <w:r>
            <w:rPr>
              <w:rFonts w:hint="eastAsia" w:cs="宋体"/>
              <w:bCs/>
            </w:rPr>
            <w:fldChar w:fldCharType="end"/>
          </w:r>
          <w:r>
            <w:rPr>
              <w:rFonts w:hint="eastAsia" w:cs="宋体"/>
              <w:bCs/>
            </w:rPr>
            <w:fldChar w:fldCharType="end"/>
          </w:r>
          <w:r/>
        </w:p>
        <w:p>
          <w:pPr>
            <w:pStyle w:val="955"/>
            <w:spacing w:line="480" w:lineRule="auto"/>
            <w:tabs>
              <w:tab w:val="clear" w:pos="1050" w:leader="none"/>
              <w:tab w:val="clear" w:pos="8937" w:leader="none"/>
              <w:tab w:val="right" w:pos="9355" w:leader="dot"/>
            </w:tabs>
            <w:rPr>
              <w:rFonts w:cs="宋体"/>
              <w:bCs/>
            </w:rPr>
          </w:pPr>
          <w:r>
            <w:fldChar w:fldCharType="begin"/>
          </w:r>
          <w:r>
            <w:instrText xml:space="preserve"> HYPERLINK \l "_Toc28346" </w:instrText>
          </w:r>
          <w:r>
            <w:fldChar w:fldCharType="separate"/>
          </w:r>
          <w:r>
            <w:rPr>
              <w:rFonts w:hint="eastAsia" w:cs="宋体"/>
              <w:bCs/>
            </w:rPr>
            <w:t xml:space="preserve">第三章   评审程序、评审方法和评审标准</w:t>
          </w:r>
          <w:r>
            <w:rPr>
              <w:rFonts w:hint="eastAsia" w:cs="宋体"/>
              <w:bCs/>
            </w:rPr>
            <w:tab/>
          </w:r>
          <w:r>
            <w:rPr>
              <w:rFonts w:hint="eastAsia" w:cs="宋体"/>
              <w:bCs/>
            </w:rPr>
            <w:fldChar w:fldCharType="begin"/>
          </w:r>
          <w:r>
            <w:rPr>
              <w:rFonts w:hint="eastAsia" w:cs="宋体"/>
              <w:bCs/>
            </w:rPr>
            <w:instrText xml:space="preserve"> PAGEREF _Toc28346 \h </w:instrText>
          </w:r>
          <w:r>
            <w:rPr>
              <w:rFonts w:hint="eastAsia" w:cs="宋体"/>
              <w:bCs/>
            </w:rPr>
            <w:fldChar w:fldCharType="separate"/>
          </w:r>
          <w:r>
            <w:rPr>
              <w:rFonts w:hint="eastAsia" w:cs="宋体"/>
              <w:bCs/>
            </w:rPr>
            <w:t xml:space="preserve">17</w:t>
          </w:r>
          <w:r>
            <w:rPr>
              <w:rFonts w:hint="eastAsia" w:cs="宋体"/>
              <w:bCs/>
            </w:rPr>
            <w:fldChar w:fldCharType="end"/>
          </w:r>
          <w:r>
            <w:rPr>
              <w:rFonts w:hint="eastAsia" w:cs="宋体"/>
              <w:bCs/>
            </w:rPr>
            <w:fldChar w:fldCharType="end"/>
          </w:r>
          <w:r/>
        </w:p>
        <w:p>
          <w:pPr>
            <w:pStyle w:val="955"/>
            <w:spacing w:line="480" w:lineRule="auto"/>
            <w:tabs>
              <w:tab w:val="clear" w:pos="1050" w:leader="none"/>
              <w:tab w:val="clear" w:pos="8937" w:leader="none"/>
              <w:tab w:val="right" w:pos="9355" w:leader="dot"/>
            </w:tabs>
            <w:rPr>
              <w:rFonts w:cs="宋体"/>
              <w:bCs/>
            </w:rPr>
          </w:pPr>
          <w:r>
            <w:fldChar w:fldCharType="begin"/>
          </w:r>
          <w:r>
            <w:instrText xml:space="preserve"> HYPERLINK \l "_Toc1417" </w:instrText>
          </w:r>
          <w:r>
            <w:fldChar w:fldCharType="separate"/>
          </w:r>
          <w:r>
            <w:rPr>
              <w:rFonts w:hint="eastAsia" w:cs="宋体"/>
              <w:bCs/>
            </w:rPr>
            <w:t xml:space="preserve">第四章   采购需求</w:t>
          </w:r>
          <w:r>
            <w:rPr>
              <w:rFonts w:hint="eastAsia" w:cs="宋体"/>
              <w:bCs/>
            </w:rPr>
            <w:tab/>
          </w:r>
          <w:r>
            <w:rPr>
              <w:rFonts w:hint="eastAsia" w:cs="宋体"/>
              <w:bCs/>
            </w:rPr>
            <w:t xml:space="preserve">2</w:t>
          </w:r>
          <w:r>
            <w:rPr>
              <w:rFonts w:hint="eastAsia" w:cs="宋体"/>
              <w:bCs/>
            </w:rPr>
            <w:fldChar w:fldCharType="end"/>
          </w:r>
          <w:r>
            <w:rPr>
              <w:rFonts w:hint="eastAsia" w:cs="宋体"/>
              <w:bCs/>
            </w:rPr>
            <w:t xml:space="preserve">5</w:t>
          </w:r>
          <w:r/>
        </w:p>
        <w:p>
          <w:pPr>
            <w:pStyle w:val="955"/>
            <w:spacing w:line="480" w:lineRule="auto"/>
            <w:tabs>
              <w:tab w:val="clear" w:pos="1050" w:leader="none"/>
              <w:tab w:val="clear" w:pos="8937" w:leader="none"/>
              <w:tab w:val="right" w:pos="9355" w:leader="dot"/>
            </w:tabs>
            <w:rPr>
              <w:rFonts w:cs="宋体"/>
              <w:bCs/>
            </w:rPr>
          </w:pPr>
          <w:r>
            <w:fldChar w:fldCharType="begin"/>
          </w:r>
          <w:r>
            <w:instrText xml:space="preserve"> HYPERLINK \l "_Toc11543" </w:instrText>
          </w:r>
          <w:r>
            <w:fldChar w:fldCharType="separate"/>
          </w:r>
          <w:r>
            <w:rPr>
              <w:rFonts w:hint="eastAsia" w:cs="宋体"/>
              <w:bCs/>
            </w:rPr>
            <w:t xml:space="preserve">第五章   合同草案条款</w:t>
          </w:r>
          <w:r>
            <w:rPr>
              <w:rFonts w:hint="eastAsia" w:cs="宋体"/>
              <w:bCs/>
            </w:rPr>
            <w:tab/>
          </w:r>
          <w:r>
            <w:rPr>
              <w:rFonts w:hint="eastAsia" w:cs="宋体"/>
              <w:bCs/>
            </w:rPr>
            <w:fldChar w:fldCharType="begin"/>
          </w:r>
          <w:r>
            <w:rPr>
              <w:rFonts w:hint="eastAsia" w:cs="宋体"/>
              <w:bCs/>
            </w:rPr>
            <w:instrText xml:space="preserve"> PAGEREF _Toc11543 \h </w:instrText>
          </w:r>
          <w:r>
            <w:rPr>
              <w:rFonts w:hint="eastAsia" w:cs="宋体"/>
              <w:bCs/>
            </w:rPr>
            <w:fldChar w:fldCharType="separate"/>
          </w:r>
          <w:r>
            <w:rPr>
              <w:rFonts w:hint="eastAsia" w:cs="宋体"/>
              <w:bCs/>
              <w:lang w:val="en-US" w:eastAsia="zh-CN"/>
            </w:rPr>
            <w:t xml:space="preserve">42</w:t>
          </w:r>
          <w:r>
            <w:rPr>
              <w:rFonts w:hint="eastAsia" w:cs="宋体"/>
              <w:bCs/>
            </w:rPr>
            <w:fldChar w:fldCharType="end"/>
          </w:r>
          <w:r>
            <w:rPr>
              <w:rFonts w:hint="eastAsia" w:cs="宋体"/>
              <w:bCs/>
            </w:rPr>
            <w:fldChar w:fldCharType="end"/>
          </w:r>
          <w:r/>
        </w:p>
        <w:p>
          <w:pPr>
            <w:pStyle w:val="955"/>
            <w:spacing w:line="480" w:lineRule="auto"/>
            <w:tabs>
              <w:tab w:val="clear" w:pos="1050" w:leader="none"/>
              <w:tab w:val="clear" w:pos="8937" w:leader="none"/>
              <w:tab w:val="right" w:pos="9355" w:leader="dot"/>
            </w:tabs>
            <w:rPr>
              <w:rFonts w:hint="eastAsia" w:eastAsia="宋体"/>
              <w:lang w:eastAsia="zh-CN"/>
            </w:rPr>
          </w:pPr>
          <w:r>
            <w:fldChar w:fldCharType="begin"/>
          </w:r>
          <w:r>
            <w:instrText xml:space="preserve"> HYPERLINK \l "_Toc19821" </w:instrText>
          </w:r>
          <w:r>
            <w:fldChar w:fldCharType="separate"/>
          </w:r>
          <w:r>
            <w:rPr>
              <w:rFonts w:hint="eastAsia" w:cs="宋体"/>
              <w:bCs/>
            </w:rPr>
            <w:t xml:space="preserve">第六章   响应文件格式</w:t>
          </w:r>
          <w:r>
            <w:rPr>
              <w:rFonts w:hint="eastAsia" w:cs="宋体"/>
              <w:bCs/>
            </w:rPr>
            <w:tab/>
          </w:r>
          <w:r>
            <w:rPr>
              <w:rFonts w:hint="eastAsia" w:cs="宋体"/>
              <w:bCs/>
            </w:rPr>
            <w:fldChar w:fldCharType="end"/>
          </w:r>
          <w:r>
            <w:rPr>
              <w:rFonts w:hint="eastAsia" w:cs="宋体"/>
              <w:bCs/>
              <w:lang w:val="en-US" w:eastAsia="zh-CN"/>
            </w:rPr>
            <w:t xml:space="preserve">44</w:t>
          </w:r>
          <w:r/>
        </w:p>
        <w:p>
          <w:pPr>
            <w:pStyle w:val="955"/>
            <w:spacing w:line="480" w:lineRule="auto"/>
            <w:tabs>
              <w:tab w:val="clear" w:pos="1050" w:leader="none"/>
              <w:tab w:val="clear" w:pos="8937" w:leader="none"/>
              <w:tab w:val="right" w:pos="9355" w:leader="dot"/>
            </w:tabs>
          </w:pPr>
          <w:r>
            <w:fldChar w:fldCharType="end"/>
          </w:r>
          <w:r/>
        </w:p>
      </w:sdtContent>
    </w:sdt>
    <w:p>
      <w:pPr>
        <w:pStyle w:val="955"/>
        <w:spacing w:line="480" w:lineRule="auto"/>
        <w:tabs>
          <w:tab w:val="clear" w:pos="1050" w:leader="none"/>
          <w:tab w:val="clear" w:pos="8937" w:leader="none"/>
          <w:tab w:val="right" w:pos="9355" w:leader="dot"/>
        </w:tabs>
        <w:rPr>
          <w:rFonts w:cs="宋体"/>
          <w:bCs/>
        </w:rPr>
      </w:pPr>
      <w:r>
        <w:rPr>
          <w:rFonts w:cs="宋体"/>
          <w:bCs/>
        </w:rPr>
      </w:r>
      <w:r/>
    </w:p>
    <w:p>
      <w:pPr>
        <w:pStyle w:val="955"/>
        <w:spacing w:line="360" w:lineRule="auto"/>
        <w:rPr>
          <w:b w:val="0"/>
          <w:sz w:val="36"/>
          <w:szCs w:val="36"/>
        </w:rPr>
      </w:pPr>
      <w:r>
        <w:rPr>
          <w:b w:val="0"/>
          <w:sz w:val="36"/>
          <w:szCs w:val="36"/>
        </w:rPr>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r>
      <w:r/>
    </w:p>
    <w:p>
      <w:pPr>
        <w:spacing w:line="353"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outlineLvl w:val="0"/>
      </w:pPr>
      <w:r/>
      <w:bookmarkStart w:id="0" w:name="_Toc27872"/>
      <w:r/>
      <w:r/>
    </w:p>
    <w:p>
      <w:pPr>
        <w:spacing w:line="360" w:lineRule="auto"/>
        <w:rPr>
          <w:rFonts w:ascii="宋体" w:hAnsi="宋体" w:cs="宋体"/>
          <w:b/>
          <w:sz w:val="32"/>
          <w:szCs w:val="32"/>
        </w:rPr>
        <w:outlineLvl w:val="0"/>
      </w:pPr>
      <w:r>
        <w:rPr>
          <w:rFonts w:ascii="宋体" w:hAnsi="宋体" w:cs="宋体"/>
          <w:b/>
          <w:sz w:val="32"/>
          <w:szCs w:val="32"/>
        </w:rPr>
      </w:r>
      <w:r/>
    </w:p>
    <w:p>
      <w:pPr>
        <w:jc w:val="center"/>
        <w:keepLines w:val="0"/>
        <w:keepNext w:val="0"/>
        <w:pageBreakBefore w:val="0"/>
        <w:spacing w:line="336" w:lineRule="auto"/>
        <w:rPr>
          <w:rFonts w:ascii="宋体" w:hAnsi="宋体" w:cs="宋体"/>
          <w:b/>
          <w:sz w:val="32"/>
          <w:szCs w:val="32"/>
        </w:rPr>
        <w:outlineLvl w:val="0"/>
      </w:pPr>
      <w:r/>
      <w:bookmarkStart w:id="1" w:name="_Toc20352"/>
      <w:r>
        <w:rPr>
          <w:rFonts w:hint="eastAsia" w:ascii="宋体" w:hAnsi="宋体" w:cs="宋体"/>
          <w:b/>
          <w:sz w:val="32"/>
          <w:szCs w:val="32"/>
        </w:rPr>
        <w:t xml:space="preserve">第一章   采购邀请</w:t>
      </w:r>
      <w:bookmarkEnd w:id="0"/>
      <w:r/>
      <w:bookmarkEnd w:id="1"/>
      <w:r/>
      <w:bookmarkStart w:id="2" w:name="_Toc28359002"/>
      <w:r/>
      <w:bookmarkStart w:id="3" w:name="_Hlk24379207"/>
      <w:r/>
      <w:bookmarkStart w:id="4" w:name="_Toc35393790"/>
      <w:r/>
      <w:bookmarkStart w:id="5" w:name="_Toc28359079"/>
      <w:r/>
      <w:bookmarkStart w:id="6" w:name="_Toc35393621"/>
      <w:r/>
      <w:r/>
    </w:p>
    <w:p>
      <w:pPr>
        <w:pStyle w:val="962"/>
        <w:keepLines w:val="0"/>
        <w:keepNext w:val="0"/>
        <w:pageBreakBefore w:val="0"/>
        <w:spacing w:beforeAutospacing="0" w:afterAutospacing="0" w:line="336" w:lineRule="auto"/>
        <w:shd w:val="clear" w:color="auto" w:fill="ffffff"/>
        <w:rPr>
          <w:rStyle w:val="969"/>
          <w:rFonts w:hint="eastAsia"/>
          <w:sz w:val="21"/>
          <w:szCs w:val="21"/>
          <w:shd w:val="clear" w:color="auto" w:fill="ffffff"/>
        </w:rPr>
      </w:pPr>
      <w:r>
        <w:rPr>
          <w:rStyle w:val="969"/>
          <w:rFonts w:hint="eastAsia"/>
          <w:sz w:val="21"/>
          <w:szCs w:val="21"/>
          <w:shd w:val="clear" w:color="auto" w:fill="ffffff"/>
        </w:rPr>
        <w:t xml:space="preserve">一、项目基本情况</w:t>
      </w:r>
      <w:r/>
    </w:p>
    <w:p>
      <w:pPr>
        <w:ind w:firstLine="420"/>
        <w:jc w:val="left"/>
        <w:keepLines w:val="0"/>
        <w:keepNext w:val="0"/>
        <w:pageBreakBefore w:val="0"/>
        <w:spacing w:before="100" w:beforeAutospacing="0" w:after="100" w:afterAutospacing="0" w:line="336" w:lineRule="auto"/>
        <w:shd w:val="clear" w:color="auto" w:fill="ffffff"/>
        <w:widowControl/>
        <w:rPr>
          <w:rFonts w:hint="default" w:ascii="宋体" w:hAnsi="宋体" w:eastAsia="宋体" w:cs="宋体"/>
          <w:sz w:val="21"/>
          <w:szCs w:val="21"/>
          <w:highlight w:val="none"/>
          <w:shd w:val="clear" w:color="auto" w:fill="ffffff"/>
          <w:lang w:val="en-US" w:eastAsia="zh-CN" w:bidi="ar-SA"/>
        </w:rPr>
      </w:pPr>
      <w:r>
        <w:rPr>
          <w:rFonts w:hint="eastAsia" w:ascii="宋体" w:hAnsi="宋体" w:eastAsia="宋体" w:cs="宋体"/>
          <w:sz w:val="21"/>
          <w:szCs w:val="21"/>
          <w:highlight w:val="none"/>
          <w:shd w:val="clear" w:color="auto" w:fill="ffffff"/>
          <w:lang w:val="en-US" w:eastAsia="zh-CN" w:bidi="ar-SA"/>
        </w:rPr>
        <w:t xml:space="preserve">1.项目编号：</w:t>
      </w:r>
      <w:r>
        <w:rPr>
          <w:rFonts w:hint="eastAsia" w:ascii="宋体" w:hAnsi="宋体" w:eastAsia="宋体" w:cs="宋体"/>
          <w:sz w:val="21"/>
          <w:szCs w:val="21"/>
          <w:highlight w:val="none"/>
          <w:u w:val="single"/>
          <w:shd w:val="clear" w:color="auto" w:fill="ffffff"/>
          <w:lang w:val="en-US" w:eastAsia="zh-CN" w:bidi="ar-SA"/>
        </w:rPr>
        <w:t xml:space="preserve">JSZC-320481-LYZT-C</w:t>
      </w:r>
      <w:r>
        <w:rPr>
          <w:rFonts w:hint="eastAsia" w:ascii="宋体" w:hAnsi="宋体" w:cs="宋体"/>
          <w:sz w:val="21"/>
          <w:szCs w:val="21"/>
          <w:highlight w:val="none"/>
          <w:u w:val="single"/>
          <w:shd w:val="clear" w:color="auto" w:fill="ffffff"/>
          <w:lang w:val="en-US" w:eastAsia="zh-CN" w:bidi="ar-SA"/>
        </w:rPr>
        <w:t xml:space="preserve">2026</w:t>
      </w:r>
      <w:r>
        <w:rPr>
          <w:rFonts w:hint="eastAsia" w:ascii="宋体" w:hAnsi="宋体" w:eastAsia="宋体" w:cs="宋体"/>
          <w:sz w:val="21"/>
          <w:szCs w:val="21"/>
          <w:highlight w:val="none"/>
          <w:u w:val="single"/>
          <w:shd w:val="clear" w:color="auto" w:fill="ffffff"/>
          <w:lang w:val="en-US" w:eastAsia="zh-CN" w:bidi="ar-SA"/>
        </w:rPr>
        <w:t xml:space="preserve">-00</w:t>
      </w:r>
      <w:r>
        <w:rPr>
          <w:rFonts w:hint="eastAsia" w:ascii="宋体" w:hAnsi="宋体" w:cs="宋体"/>
          <w:sz w:val="21"/>
          <w:szCs w:val="21"/>
          <w:highlight w:val="none"/>
          <w:u w:val="single"/>
          <w:shd w:val="clear" w:color="auto" w:fill="ffffff"/>
          <w:lang w:val="en-US" w:eastAsia="zh-CN" w:bidi="ar-SA"/>
        </w:rPr>
        <w:t xml:space="preserve">06</w:t>
      </w:r>
      <w:r/>
    </w:p>
    <w:p>
      <w:pPr>
        <w:ind w:firstLine="420"/>
        <w:jc w:val="left"/>
        <w:keepLines w:val="0"/>
        <w:keepNext w:val="0"/>
        <w:pageBreakBefore w:val="0"/>
        <w:spacing w:before="100" w:beforeAutospacing="0" w:after="100" w:afterAutospacing="0" w:line="336" w:lineRule="auto"/>
        <w:shd w:val="clear" w:color="auto" w:fill="ffffff"/>
        <w:widowControl/>
        <w:rPr>
          <w:rFonts w:hint="eastAsia" w:ascii="宋体" w:hAnsi="宋体" w:eastAsia="宋体" w:cs="宋体"/>
          <w:sz w:val="21"/>
          <w:szCs w:val="21"/>
          <w:highlight w:val="none"/>
          <w:u w:val="single"/>
          <w:shd w:val="clear" w:color="auto" w:fill="ffffff"/>
          <w:lang w:val="en-US" w:eastAsia="zh-CN" w:bidi="ar-SA"/>
        </w:rPr>
      </w:pPr>
      <w:r>
        <w:rPr>
          <w:rFonts w:hint="eastAsia" w:ascii="宋体" w:hAnsi="宋体" w:eastAsia="宋体" w:cs="宋体"/>
          <w:sz w:val="21"/>
          <w:szCs w:val="21"/>
          <w:highlight w:val="none"/>
          <w:shd w:val="clear" w:color="auto" w:fill="ffffff"/>
          <w:lang w:val="en-US" w:eastAsia="zh-CN" w:bidi="ar-SA"/>
        </w:rPr>
        <w:t xml:space="preserve">2.项目名称：</w:t>
      </w:r>
      <w:r>
        <w:rPr>
          <w:rFonts w:hint="eastAsia" w:ascii="宋体" w:hAnsi="宋体" w:cs="宋体"/>
          <w:sz w:val="21"/>
          <w:szCs w:val="21"/>
          <w:highlight w:val="none"/>
          <w:u w:val="single"/>
          <w:shd w:val="clear" w:color="auto" w:fill="ffffff"/>
          <w:lang w:val="en-US" w:eastAsia="zh-CN" w:bidi="ar-SA"/>
        </w:rPr>
        <w:t xml:space="preserve">溧阳市博物馆可移动文物数字化保护项目</w:t>
      </w:r>
      <w:r/>
    </w:p>
    <w:p>
      <w:pPr>
        <w:ind w:firstLine="420"/>
        <w:jc w:val="left"/>
        <w:keepLines w:val="0"/>
        <w:keepNext w:val="0"/>
        <w:pageBreakBefore w:val="0"/>
        <w:spacing w:before="100" w:beforeAutospacing="0" w:after="100" w:afterAutospacing="0" w:line="336" w:lineRule="auto"/>
        <w:shd w:val="clear" w:color="auto" w:fill="ffffff"/>
        <w:widowControl/>
        <w:rPr>
          <w:rFonts w:ascii="宋体" w:hAnsi="宋体" w:eastAsia="宋体" w:cs="宋体"/>
          <w:sz w:val="21"/>
          <w:szCs w:val="21"/>
          <w:highlight w:val="none"/>
          <w:shd w:val="clear" w:color="auto" w:fill="ffffff"/>
          <w:lang w:val="en-US" w:eastAsia="zh-CN" w:bidi="ar-SA"/>
        </w:rPr>
      </w:pPr>
      <w:r>
        <w:rPr>
          <w:rFonts w:hint="eastAsia" w:ascii="宋体" w:hAnsi="宋体" w:eastAsia="宋体" w:cs="宋体"/>
          <w:sz w:val="21"/>
          <w:szCs w:val="21"/>
          <w:highlight w:val="none"/>
          <w:shd w:val="clear" w:color="auto" w:fill="ffffff"/>
          <w:lang w:val="en-US" w:eastAsia="zh-CN" w:bidi="ar-SA"/>
        </w:rPr>
        <w:t xml:space="preserve">3.采购方式：竞争性磋商</w:t>
      </w:r>
      <w:r/>
    </w:p>
    <w:p>
      <w:pPr>
        <w:ind w:firstLine="420"/>
        <w:jc w:val="left"/>
        <w:keepLines w:val="0"/>
        <w:keepNext w:val="0"/>
        <w:pageBreakBefore w:val="0"/>
        <w:spacing w:before="100" w:beforeAutospacing="0" w:after="100" w:afterAutospacing="0" w:line="336" w:lineRule="auto"/>
        <w:shd w:val="clear" w:color="auto" w:fill="ffffff"/>
        <w:widowControl/>
        <w:rPr>
          <w:rFonts w:ascii="宋体" w:hAnsi="宋体" w:eastAsia="宋体" w:cs="宋体"/>
          <w:sz w:val="21"/>
          <w:szCs w:val="21"/>
          <w:highlight w:val="none"/>
          <w:shd w:val="clear" w:color="auto" w:fill="ffffff"/>
          <w:lang w:val="en-US" w:eastAsia="zh-CN" w:bidi="ar-SA"/>
        </w:rPr>
      </w:pPr>
      <w:r>
        <w:rPr>
          <w:rFonts w:hint="eastAsia" w:ascii="宋体" w:hAnsi="宋体" w:eastAsia="宋体" w:cs="宋体"/>
          <w:sz w:val="21"/>
          <w:szCs w:val="21"/>
          <w:highlight w:val="none"/>
          <w:shd w:val="clear" w:color="auto" w:fill="ffffff"/>
          <w:lang w:val="en-US" w:eastAsia="zh-CN" w:bidi="ar-SA"/>
        </w:rPr>
        <w:t xml:space="preserve">4.预算金额：</w:t>
      </w:r>
      <w:r>
        <w:rPr>
          <w:rFonts w:hint="eastAsia" w:ascii="宋体" w:hAnsi="宋体" w:eastAsia="宋体" w:cs="宋体"/>
          <w:sz w:val="21"/>
          <w:szCs w:val="21"/>
          <w:highlight w:val="none"/>
          <w:u w:val="single"/>
          <w:shd w:val="clear" w:color="auto" w:fill="ffffff"/>
          <w:lang w:val="en-US" w:eastAsia="zh-CN" w:bidi="ar-SA"/>
        </w:rPr>
        <w:t xml:space="preserve">人民币</w:t>
      </w:r>
      <w:r>
        <w:rPr>
          <w:rFonts w:hint="eastAsia" w:ascii="宋体" w:hAnsi="宋体" w:cs="宋体"/>
          <w:sz w:val="21"/>
          <w:szCs w:val="21"/>
          <w:highlight w:val="none"/>
          <w:u w:val="single"/>
          <w:shd w:val="clear" w:color="auto" w:fill="ffffff"/>
          <w:lang w:val="en-US" w:eastAsia="zh-CN" w:bidi="ar-SA"/>
        </w:rPr>
        <w:t xml:space="preserve">110</w:t>
      </w:r>
      <w:r>
        <w:rPr>
          <w:rFonts w:hint="eastAsia" w:ascii="宋体" w:hAnsi="宋体" w:eastAsia="宋体" w:cs="宋体"/>
          <w:sz w:val="21"/>
          <w:szCs w:val="21"/>
          <w:highlight w:val="none"/>
          <w:u w:val="single"/>
          <w:shd w:val="clear" w:color="auto" w:fill="ffffff"/>
          <w:lang w:val="en-US" w:eastAsia="zh-CN" w:bidi="ar-SA"/>
        </w:rPr>
        <w:t xml:space="preserve">万元；</w:t>
      </w:r>
      <w:r>
        <w:rPr>
          <w:rFonts w:hint="eastAsia" w:ascii="宋体" w:hAnsi="宋体" w:eastAsia="宋体" w:cs="宋体"/>
          <w:sz w:val="21"/>
          <w:szCs w:val="21"/>
          <w:highlight w:val="none"/>
          <w:shd w:val="clear" w:color="auto" w:fill="ffffff"/>
          <w:lang w:val="en-US" w:eastAsia="zh-CN" w:bidi="ar-SA"/>
        </w:rPr>
        <w:t xml:space="preserve">项目最高限价：</w:t>
      </w:r>
      <w:r>
        <w:rPr>
          <w:rFonts w:hint="eastAsia" w:ascii="宋体" w:hAnsi="宋体" w:eastAsia="宋体" w:cs="宋体"/>
          <w:sz w:val="21"/>
          <w:szCs w:val="21"/>
          <w:highlight w:val="none"/>
          <w:u w:val="single"/>
          <w:shd w:val="clear" w:color="auto" w:fill="ffffff"/>
          <w:lang w:val="en-US" w:eastAsia="zh-CN" w:bidi="ar-SA"/>
        </w:rPr>
        <w:t xml:space="preserve">人民币</w:t>
      </w:r>
      <w:r>
        <w:rPr>
          <w:rFonts w:hint="eastAsia" w:ascii="宋体" w:hAnsi="宋体" w:cs="宋体"/>
          <w:sz w:val="21"/>
          <w:szCs w:val="21"/>
          <w:highlight w:val="none"/>
          <w:u w:val="single"/>
          <w:shd w:val="clear" w:color="auto" w:fill="ffffff"/>
          <w:lang w:val="en-US" w:eastAsia="zh-CN" w:bidi="ar-SA"/>
        </w:rPr>
        <w:t xml:space="preserve">110</w:t>
      </w:r>
      <w:r>
        <w:rPr>
          <w:rFonts w:hint="eastAsia" w:ascii="宋体" w:hAnsi="宋体" w:eastAsia="宋体" w:cs="宋体"/>
          <w:sz w:val="21"/>
          <w:szCs w:val="21"/>
          <w:highlight w:val="none"/>
          <w:u w:val="single"/>
          <w:shd w:val="clear" w:color="auto" w:fill="ffffff"/>
          <w:lang w:val="en-US" w:eastAsia="zh-CN" w:bidi="ar-SA"/>
        </w:rPr>
        <w:t xml:space="preserve">万元；</w:t>
      </w:r>
      <w:r/>
    </w:p>
    <w:p>
      <w:pPr>
        <w:contextualSpacing/>
        <w:keepLines w:val="0"/>
        <w:keepNext w:val="0"/>
        <w:pageBreakBefore w:val="0"/>
        <w:spacing w:line="336" w:lineRule="auto"/>
        <w:shd w:val="clear" w:color="auto" w:fill="ffffff"/>
        <w:rPr>
          <w:rFonts w:hint="eastAsia" w:ascii="宋体" w:hAnsi="宋体" w:eastAsia="宋体" w:cs="宋体"/>
          <w:szCs w:val="21"/>
          <w:highlight w:val="none"/>
          <w:shd w:val="clear" w:color="auto" w:fill="ffffff"/>
        </w:rPr>
      </w:pPr>
      <w:r>
        <w:rPr>
          <w:rFonts w:hint="eastAsia" w:ascii="宋体" w:hAnsi="宋体" w:cs="宋体"/>
          <w:szCs w:val="21"/>
          <w:highlight w:val="none"/>
          <w:shd w:val="clear" w:color="auto" w:fill="ffffff"/>
        </w:rPr>
        <w:t xml:space="preserve">5.采购需求：</w:t>
      </w:r>
      <w:r>
        <w:rPr>
          <w:rFonts w:hint="eastAsia" w:ascii="宋体" w:hAnsi="宋体" w:eastAsia="宋体" w:cs="宋体"/>
          <w:szCs w:val="21"/>
          <w:highlight w:val="none"/>
          <w:shd w:val="clear" w:color="auto" w:fill="ffffff"/>
        </w:rPr>
        <w:t xml:space="preserve">溧阳市博物馆馆藏文物众多，具有极高的历史、艺术及科学研究价值。本项目拟对馆内精品可移动文物进行三维高精度数字化采集加工，并对馆藏精品文物进行数字化展示利用建设。项目契合“江苏数字文物百宝箱”发展方针，建设内容包括藏品的二、三维高清影像展示、数字化成果交互体验、内容制作等。通过本项目将全方位提升馆内文物数字化利用能力，完善数字化系统基础设施，提升文物数字化保护、管理、研究、利用水平，提高博物馆的服务辐射力和影响力。</w:t>
      </w:r>
      <w:r/>
    </w:p>
    <w:p>
      <w:pPr>
        <w:ind w:firstLine="420"/>
        <w:spacing w:line="336" w:lineRule="auto"/>
        <w:rPr>
          <w:rFonts w:hint="eastAsia" w:ascii="宋体" w:hAnsi="宋体" w:cs="宋体"/>
          <w:sz w:val="21"/>
          <w:szCs w:val="21"/>
          <w:highlight w:val="none"/>
          <w:shd w:val="clear" w:color="auto" w:fill="ffffff"/>
        </w:rPr>
      </w:pPr>
      <w:r>
        <w:rPr>
          <w:rFonts w:hint="eastAsia" w:ascii="宋体" w:hAnsi="宋体" w:cs="宋体"/>
          <w:sz w:val="21"/>
          <w:szCs w:val="21"/>
          <w:highlight w:val="none"/>
          <w:shd w:val="clear" w:color="auto" w:fill="ffffff"/>
        </w:rPr>
        <w:t xml:space="preserve">6.合同履行期限</w:t>
      </w:r>
      <w:r>
        <w:rPr>
          <w:rFonts w:hint="eastAsia" w:ascii="宋体" w:hAnsi="宋体" w:eastAsia="宋体" w:cs="宋体"/>
          <w:sz w:val="21"/>
          <w:szCs w:val="21"/>
          <w:highlight w:val="none"/>
          <w:shd w:val="clear" w:color="auto" w:fill="ffffff"/>
        </w:rPr>
        <w:t xml:space="preserve">：</w:t>
      </w:r>
      <w:r>
        <w:rPr>
          <w:rFonts w:hint="eastAsia" w:ascii="宋体" w:hAnsi="宋体" w:cs="宋体"/>
          <w:color w:val="auto"/>
          <w:szCs w:val="21"/>
          <w:highlight w:val="none"/>
          <w:shd w:val="clear" w:color="auto" w:fill="ffffff"/>
        </w:rPr>
        <w:t xml:space="preserve">自合同签订之日起10个月，前7个月为建设周期，后3个月为试运行与验收阶段。</w:t>
      </w:r>
      <w:r/>
    </w:p>
    <w:p>
      <w:pPr>
        <w:pStyle w:val="962"/>
        <w:ind w:firstLine="420"/>
        <w:keepLines w:val="0"/>
        <w:keepNext w:val="0"/>
        <w:pageBreakBefore w:val="0"/>
        <w:spacing w:beforeAutospacing="0" w:afterAutospacing="0" w:line="336" w:lineRule="auto"/>
        <w:shd w:val="clear" w:color="auto" w:fill="ffffff"/>
        <w:rPr>
          <w:szCs w:val="21"/>
          <w:shd w:val="clear" w:color="auto" w:fill="ffffff"/>
        </w:rPr>
      </w:pPr>
      <w:r>
        <w:rPr>
          <w:rFonts w:hint="eastAsia"/>
          <w:sz w:val="21"/>
          <w:szCs w:val="21"/>
          <w:shd w:val="clear" w:color="auto" w:fill="ffffff"/>
        </w:rPr>
        <w:t xml:space="preserve">7.本项目是否接受联合体：□是  </w:t>
      </w:r>
      <w:r>
        <w:rPr>
          <w:rFonts w:hint="eastAsia"/>
          <w:b/>
          <w:color w:val="000000"/>
          <w:sz w:val="21"/>
          <w:szCs w:val="21"/>
        </w:rPr>
        <w:t xml:space="preserve">■</w:t>
      </w:r>
      <w:r>
        <w:rPr>
          <w:rFonts w:hint="eastAsia"/>
          <w:sz w:val="21"/>
          <w:szCs w:val="21"/>
          <w:shd w:val="clear" w:color="auto" w:fill="ffffff"/>
        </w:rPr>
        <w:t xml:space="preserve">否。</w:t>
      </w:r>
      <w:r/>
    </w:p>
    <w:p>
      <w:pPr>
        <w:pStyle w:val="962"/>
        <w:keepLines w:val="0"/>
        <w:keepNext w:val="0"/>
        <w:pageBreakBefore w:val="0"/>
        <w:spacing w:beforeAutospacing="0" w:afterAutospacing="0" w:line="336" w:lineRule="auto"/>
        <w:shd w:val="clear" w:color="auto" w:fill="ffffff"/>
        <w:rPr>
          <w:rStyle w:val="969"/>
          <w:sz w:val="21"/>
          <w:szCs w:val="21"/>
          <w:shd w:val="clear" w:color="auto" w:fill="ffffff"/>
        </w:rPr>
      </w:pPr>
      <w:r>
        <w:rPr>
          <w:rStyle w:val="969"/>
          <w:rFonts w:hint="eastAsia"/>
          <w:sz w:val="21"/>
          <w:szCs w:val="21"/>
          <w:shd w:val="clear" w:color="auto" w:fill="ffffff"/>
        </w:rPr>
        <w:t xml:space="preserve">二、申请人的资格要求：</w:t>
      </w:r>
      <w:r/>
    </w:p>
    <w:p>
      <w:pPr>
        <w:ind w:firstLine="420"/>
        <w:keepLines w:val="0"/>
        <w:keepNext w:val="0"/>
        <w:pageBreakBefore w:val="0"/>
        <w:spacing w:line="336" w:lineRule="auto"/>
        <w:rPr>
          <w:rFonts w:ascii="宋体" w:hAnsi="宋体" w:cs="宋体"/>
          <w:szCs w:val="21"/>
          <w:shd w:val="clear" w:color="auto" w:fill="ffffff"/>
        </w:rPr>
      </w:pPr>
      <w:r>
        <w:rPr>
          <w:rFonts w:hint="eastAsia" w:ascii="宋体" w:hAnsi="宋体" w:cs="宋体"/>
          <w:szCs w:val="21"/>
          <w:shd w:val="clear" w:color="auto" w:fill="ffffff"/>
        </w:rPr>
        <w:t xml:space="preserve">1.满足《中华人民共和国政府采购法》第二十二条规定以及下列情形：</w:t>
      </w:r>
      <w:r/>
    </w:p>
    <w:p>
      <w:pPr>
        <w:ind w:firstLine="420"/>
        <w:keepLines w:val="0"/>
        <w:keepNext w:val="0"/>
        <w:pageBreakBefore w:val="0"/>
        <w:spacing w:line="336" w:lineRule="auto"/>
        <w:rPr>
          <w:rFonts w:ascii="宋体" w:hAnsi="宋体" w:cs="宋体"/>
          <w:szCs w:val="21"/>
          <w:shd w:val="clear" w:color="auto" w:fill="ffffff"/>
        </w:rPr>
      </w:pPr>
      <w:r>
        <w:rPr>
          <w:rFonts w:hint="eastAsia" w:ascii="宋体" w:hAnsi="宋体" w:cs="宋体"/>
          <w:szCs w:val="21"/>
          <w:shd w:val="clear" w:color="auto" w:fill="ffffff"/>
        </w:rPr>
        <w:t xml:space="preserve">1.1未被“信用中国”网站（WWW.creditchina.gov.cn）或“中国政府采购网”网站（www.ccgp.gov.cn）列入失信被执行人、重大税收违法失信主体、政府采购严重失信行为记录名单；</w:t>
      </w:r>
      <w:r/>
    </w:p>
    <w:p>
      <w:pPr>
        <w:ind w:firstLine="420"/>
        <w:keepLines w:val="0"/>
        <w:keepNext w:val="0"/>
        <w:pageBreakBefore w:val="0"/>
        <w:spacing w:line="336" w:lineRule="auto"/>
        <w:rPr>
          <w:rFonts w:ascii="宋体" w:hAnsi="宋体" w:cs="宋体"/>
          <w:szCs w:val="21"/>
          <w:shd w:val="clear" w:color="auto" w:fill="ffffff"/>
        </w:rPr>
      </w:pPr>
      <w:r>
        <w:rPr>
          <w:rFonts w:hint="eastAsia" w:ascii="宋体" w:hAnsi="宋体" w:cs="宋体"/>
          <w:szCs w:val="21"/>
          <w:shd w:val="clear" w:color="auto" w:fill="ffffff"/>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keepLines w:val="0"/>
        <w:keepNext w:val="0"/>
        <w:pageBreakBefore w:val="0"/>
        <w:spacing w:line="336" w:lineRule="auto"/>
        <w:rPr>
          <w:rFonts w:ascii="宋体" w:hAnsi="宋体" w:cs="宋体"/>
          <w:szCs w:val="21"/>
          <w:shd w:val="clear" w:color="auto" w:fill="ffffff"/>
        </w:rPr>
      </w:pPr>
      <w:r>
        <w:rPr>
          <w:rFonts w:hint="eastAsia" w:ascii="宋体" w:hAnsi="宋体" w:cs="宋体"/>
          <w:szCs w:val="21"/>
          <w:shd w:val="clear" w:color="auto" w:fill="ffffff"/>
        </w:rPr>
        <w:t xml:space="preserve">2.落实政府采购政策需满足的资格要求：</w:t>
      </w:r>
      <w:r/>
    </w:p>
    <w:p>
      <w:pPr>
        <w:ind w:firstLine="420"/>
        <w:keepLines w:val="0"/>
        <w:keepNext w:val="0"/>
        <w:pageBreakBefore w:val="0"/>
        <w:spacing w:line="336" w:lineRule="auto"/>
        <w:rPr>
          <w:rFonts w:ascii="宋体" w:hAnsi="宋体" w:cs="宋体"/>
          <w:szCs w:val="21"/>
          <w:shd w:val="clear" w:color="auto" w:fill="ffffff"/>
        </w:rPr>
      </w:pPr>
      <w:r>
        <w:rPr>
          <w:rFonts w:hint="eastAsia" w:ascii="宋体" w:hAnsi="宋体" w:cs="宋体"/>
          <w:szCs w:val="21"/>
          <w:shd w:val="clear" w:color="auto" w:fill="ffffff"/>
        </w:rPr>
        <w:t xml:space="preserve">2.1 中小企业政策</w:t>
      </w:r>
      <w:r/>
    </w:p>
    <w:p>
      <w:pPr>
        <w:ind w:firstLine="420"/>
        <w:keepLines w:val="0"/>
        <w:keepNext w:val="0"/>
        <w:pageBreakBefore w:val="0"/>
        <w:spacing w:line="336" w:lineRule="auto"/>
        <w:rPr>
          <w:rFonts w:ascii="宋体" w:hAnsi="宋体" w:cs="宋体"/>
          <w:szCs w:val="21"/>
          <w:shd w:val="clear" w:color="auto" w:fill="ffffff"/>
        </w:rPr>
      </w:pPr>
      <w:r>
        <w:rPr>
          <w:rFonts w:hint="eastAsia" w:ascii="宋体" w:hAnsi="宋体" w:cs="宋体"/>
          <w:szCs w:val="21"/>
          <w:shd w:val="clear" w:color="auto" w:fill="ffffff"/>
        </w:rPr>
        <w:t xml:space="preserve">□本项目不专门面向中小企业预留采购份额。</w:t>
      </w:r>
      <w:r/>
    </w:p>
    <w:p>
      <w:pPr>
        <w:ind w:firstLine="420"/>
        <w:keepLines w:val="0"/>
        <w:keepNext w:val="0"/>
        <w:pageBreakBefore w:val="0"/>
        <w:spacing w:line="336"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■本项目专门面向  ■中小 ■小微企业  采购。即：提供的货物全部由符合政策要求的中小/小微企业制造、服务全部由符合政策要求的中小/小微企业承接。</w:t>
      </w:r>
      <w:r/>
    </w:p>
    <w:p>
      <w:pPr>
        <w:ind w:firstLine="420"/>
        <w:keepLines w:val="0"/>
        <w:keepNext w:val="0"/>
        <w:pageBreakBefore w:val="0"/>
        <w:spacing w:line="336"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Cs w:val="21"/>
          <w:highlight w:val="none"/>
          <w:u w:val="single"/>
          <w:shd w:val="clear" w:color="auto" w:fill="ffffff"/>
        </w:rPr>
        <w:t xml:space="preserve">   /   </w:t>
      </w:r>
      <w:r>
        <w:rPr>
          <w:rFonts w:hint="eastAsia" w:ascii="宋体" w:hAnsi="宋体" w:cs="宋体"/>
          <w:szCs w:val="21"/>
          <w:highlight w:val="none"/>
          <w:shd w:val="clear" w:color="auto" w:fill="ffffff"/>
        </w:rPr>
        <w:t xml:space="preserve">。</w:t>
      </w:r>
      <w:r/>
    </w:p>
    <w:p>
      <w:pPr>
        <w:ind w:firstLine="420"/>
        <w:keepLines w:val="0"/>
        <w:keepNext w:val="0"/>
        <w:pageBreakBefore w:val="0"/>
        <w:spacing w:line="336"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2.2 其它落实政府采购政策的资格要求（如有）：</w:t>
      </w:r>
      <w:r>
        <w:rPr>
          <w:rFonts w:hint="eastAsia" w:ascii="宋体" w:hAnsi="宋体" w:cs="宋体"/>
          <w:szCs w:val="21"/>
          <w:highlight w:val="none"/>
          <w:u w:val="single"/>
          <w:shd w:val="clear" w:color="auto" w:fill="ffffff"/>
        </w:rPr>
        <w:t xml:space="preserve">   /  </w:t>
      </w:r>
      <w:r>
        <w:rPr>
          <w:rFonts w:hint="eastAsia" w:ascii="宋体" w:hAnsi="宋体" w:cs="宋体"/>
          <w:szCs w:val="21"/>
          <w:highlight w:val="none"/>
          <w:shd w:val="clear" w:color="auto" w:fill="ffffff"/>
        </w:rPr>
        <w:t xml:space="preserve">。</w:t>
      </w:r>
      <w:r/>
    </w:p>
    <w:p>
      <w:pPr>
        <w:ind w:firstLine="420"/>
        <w:keepLines w:val="0"/>
        <w:keepNext w:val="0"/>
        <w:pageBreakBefore w:val="0"/>
        <w:spacing w:line="336"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3.本项目的特定资格要求：</w:t>
      </w:r>
      <w:r/>
    </w:p>
    <w:p>
      <w:pPr>
        <w:ind w:firstLine="420"/>
        <w:keepLines w:val="0"/>
        <w:keepNext w:val="0"/>
        <w:pageBreakBefore w:val="0"/>
        <w:spacing w:line="336" w:lineRule="auto"/>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3.1本项目是否接受分支机构</w:t>
      </w:r>
      <w:r>
        <w:rPr>
          <w:rFonts w:hint="eastAsia" w:ascii="宋体" w:hAnsi="宋体" w:cs="宋体"/>
          <w:szCs w:val="21"/>
          <w:highlight w:val="none"/>
          <w:shd w:val="clear" w:color="auto" w:fill="ffffff"/>
        </w:rPr>
        <w:t xml:space="preserve">参与响应：□是   </w:t>
      </w:r>
      <w:r>
        <w:rPr>
          <w:rFonts w:hint="eastAsia" w:ascii="宋体" w:hAnsi="宋体" w:cs="宋体"/>
          <w:b/>
          <w:color w:val="000000"/>
          <w:szCs w:val="21"/>
          <w:highlight w:val="none"/>
        </w:rPr>
        <w:t xml:space="preserve">■</w:t>
      </w:r>
      <w:r>
        <w:rPr>
          <w:rFonts w:hint="eastAsia" w:ascii="宋体" w:hAnsi="宋体" w:cs="宋体"/>
          <w:szCs w:val="21"/>
          <w:highlight w:val="none"/>
          <w:shd w:val="clear" w:color="auto" w:fill="ffffff"/>
        </w:rPr>
        <w:t xml:space="preserve">否；</w:t>
      </w:r>
      <w:r/>
    </w:p>
    <w:p>
      <w:pPr>
        <w:ind w:firstLine="420"/>
        <w:keepLines w:val="0"/>
        <w:keepNext w:val="0"/>
        <w:pageBreakBefore w:val="0"/>
        <w:spacing w:line="336" w:lineRule="auto"/>
        <w:tabs>
          <w:tab w:val="left" w:pos="900" w:leader="none"/>
          <w:tab w:val="left" w:pos="1134" w:leader="none"/>
          <w:tab w:val="left" w:pos="1589" w:leader="none"/>
          <w:tab w:val="left" w:pos="5521" w:leader="none"/>
        </w:tabs>
        <w:rPr>
          <w:rFonts w:ascii="宋体" w:hAnsi="宋体" w:cs="宋体"/>
          <w:szCs w:val="21"/>
          <w:highlight w:val="none"/>
          <w:shd w:val="clear" w:color="auto" w:fill="ffffff"/>
        </w:rPr>
      </w:pPr>
      <w:r>
        <w:rPr>
          <w:rFonts w:hint="eastAsia" w:ascii="宋体" w:hAnsi="宋体" w:cs="宋体"/>
          <w:szCs w:val="21"/>
          <w:highlight w:val="none"/>
          <w:shd w:val="clear" w:color="auto" w:fill="ffffff"/>
        </w:rPr>
        <w:t xml:space="preserve">3.2 本项目是否属于政府购买服务：</w:t>
      </w:r>
      <w:r/>
    </w:p>
    <w:p>
      <w:pPr>
        <w:ind w:left="991" w:firstLine="2"/>
        <w:keepLines w:val="0"/>
        <w:keepNext w:val="0"/>
        <w:pageBreakBefore w:val="0"/>
        <w:spacing w:line="336" w:lineRule="auto"/>
        <w:tabs>
          <w:tab w:val="left" w:pos="900" w:leader="none"/>
          <w:tab w:val="left" w:pos="1134" w:leader="none"/>
          <w:tab w:val="left" w:pos="1589" w:leader="none"/>
          <w:tab w:val="left" w:pos="5521" w:leader="none"/>
        </w:tabs>
        <w:rPr>
          <w:rFonts w:ascii="宋体" w:hAnsi="宋体" w:cs="宋体"/>
          <w:szCs w:val="21"/>
          <w:highlight w:val="none"/>
          <w:shd w:val="clear" w:color="auto" w:fill="ffffff"/>
        </w:rPr>
      </w:pPr>
      <w:r>
        <w:rPr>
          <w:rFonts w:hint="eastAsia" w:ascii="宋体" w:hAnsi="宋体" w:cs="宋体"/>
          <w:b/>
          <w:color w:val="000000"/>
          <w:szCs w:val="21"/>
          <w:highlight w:val="none"/>
        </w:rPr>
        <w:t xml:space="preserve">■</w:t>
      </w:r>
      <w:r>
        <w:rPr>
          <w:rFonts w:hint="eastAsia" w:ascii="宋体" w:hAnsi="宋体" w:cs="宋体"/>
          <w:szCs w:val="21"/>
          <w:highlight w:val="none"/>
          <w:shd w:val="clear" w:color="auto" w:fill="ffffff"/>
        </w:rPr>
        <w:t xml:space="preserve">否</w:t>
      </w:r>
      <w:r/>
    </w:p>
    <w:p>
      <w:pPr>
        <w:ind w:left="991" w:firstLine="2"/>
        <w:keepLines w:val="0"/>
        <w:keepNext w:val="0"/>
        <w:pageBreakBefore w:val="0"/>
        <w:spacing w:line="336" w:lineRule="auto"/>
        <w:tabs>
          <w:tab w:val="left" w:pos="900" w:leader="none"/>
          <w:tab w:val="left" w:pos="1134" w:leader="none"/>
          <w:tab w:val="left" w:pos="1589" w:leader="none"/>
          <w:tab w:val="left" w:pos="5521" w:leader="none"/>
        </w:tabs>
        <w:rPr>
          <w:rFonts w:ascii="宋体" w:hAnsi="宋体" w:cs="宋体"/>
          <w:szCs w:val="21"/>
          <w:highlight w:val="none"/>
          <w:shd w:val="clear" w:color="auto" w:fill="ffffff"/>
        </w:rPr>
      </w:pPr>
      <w:r>
        <w:rPr>
          <w:rFonts w:hint="eastAsia" w:ascii="宋体" w:hAnsi="宋体" w:cs="宋体"/>
          <w:szCs w:val="21"/>
          <w:shd w:val="clear" w:color="auto" w:fill="ffffff"/>
        </w:rPr>
        <w:t xml:space="preserve">□</w:t>
      </w:r>
      <w:r>
        <w:rPr>
          <w:rFonts w:hint="eastAsia" w:ascii="宋体" w:hAnsi="宋体" w:cs="宋体"/>
          <w:szCs w:val="21"/>
          <w:highlight w:val="none"/>
          <w:shd w:val="clear" w:color="auto" w:fill="ffffff"/>
        </w:rPr>
        <w:t xml:space="preserve">是，公益一类事业单位、使用事业编制且由财政拨款保障的群团组织，不得作为承接主体；</w:t>
      </w:r>
      <w:r/>
    </w:p>
    <w:p>
      <w:pPr>
        <w:pStyle w:val="981"/>
        <w:ind w:firstLine="420"/>
        <w:keepLines w:val="0"/>
        <w:keepNext w:val="0"/>
        <w:pageBreakBefore w:val="0"/>
        <w:spacing w:line="336" w:lineRule="auto"/>
        <w:rPr>
          <w:rFonts w:cs="宋体"/>
          <w:sz w:val="21"/>
          <w:szCs w:val="21"/>
          <w:u w:val="single"/>
          <w:shd w:val="clear" w:color="auto" w:fill="ffffff"/>
        </w:rPr>
      </w:pPr>
      <w:r>
        <w:rPr>
          <w:rFonts w:hint="eastAsia" w:cs="宋体"/>
          <w:sz w:val="21"/>
          <w:szCs w:val="21"/>
          <w:shd w:val="clear" w:color="auto" w:fill="ffffff"/>
        </w:rPr>
        <w:t xml:space="preserve">3.3其他特定资格要求：</w:t>
      </w:r>
      <w:r>
        <w:rPr>
          <w:rFonts w:hint="eastAsia" w:cs="宋体"/>
          <w:sz w:val="21"/>
          <w:szCs w:val="21"/>
          <w:u w:val="single"/>
          <w:shd w:val="clear" w:color="auto" w:fill="ffffff"/>
        </w:rPr>
        <w:t xml:space="preserve">无。</w:t>
      </w:r>
      <w:r/>
    </w:p>
    <w:p>
      <w:pPr>
        <w:pStyle w:val="962"/>
        <w:keepLines w:val="0"/>
        <w:keepNext w:val="0"/>
        <w:pageBreakBefore w:val="0"/>
        <w:spacing w:beforeAutospacing="0" w:afterAutospacing="0" w:line="336" w:lineRule="auto"/>
        <w:shd w:val="clear" w:color="auto" w:fill="ffffff"/>
        <w:rPr>
          <w:rStyle w:val="969"/>
          <w:sz w:val="21"/>
          <w:szCs w:val="21"/>
          <w:shd w:val="clear" w:color="auto" w:fill="ffffff"/>
        </w:rPr>
      </w:pPr>
      <w:r>
        <w:rPr>
          <w:rStyle w:val="969"/>
          <w:rFonts w:hint="eastAsia"/>
          <w:sz w:val="21"/>
          <w:szCs w:val="21"/>
          <w:shd w:val="clear" w:color="auto" w:fill="ffffff"/>
        </w:rPr>
        <w:t xml:space="preserve">三、获取采购文件</w:t>
      </w:r>
      <w:r/>
    </w:p>
    <w:p>
      <w:pPr>
        <w:pStyle w:val="962"/>
        <w:ind w:firstLine="420"/>
        <w:keepLines w:val="0"/>
        <w:keepNext w:val="0"/>
        <w:pageBreakBefore w:val="0"/>
        <w:spacing w:beforeAutospacing="0" w:afterAutospacing="0" w:line="336" w:lineRule="auto"/>
        <w:shd w:val="clear" w:color="auto" w:fill="ffffff"/>
        <w:rPr>
          <w:sz w:val="21"/>
          <w:szCs w:val="21"/>
        </w:rPr>
      </w:pPr>
      <w:r>
        <w:rPr>
          <w:rFonts w:hint="eastAsia"/>
          <w:sz w:val="21"/>
          <w:szCs w:val="21"/>
          <w:shd w:val="clear" w:color="auto" w:fill="ffffff"/>
        </w:rPr>
        <w:t xml:space="preserve">1.时间</w:t>
      </w:r>
      <w:bookmarkStart w:id="7" w:name="XM_BMJSSR_3"/>
      <w:r/>
      <w:bookmarkEnd w:id="7"/>
      <w:r>
        <w:rPr>
          <w:rFonts w:hint="eastAsia"/>
          <w:sz w:val="21"/>
          <w:szCs w:val="21"/>
          <w:shd w:val="clear" w:color="auto" w:fill="ffffff"/>
        </w:rPr>
        <w:t xml:space="preserve">：自磋商文件公告发布之日起5个工作日。</w:t>
      </w:r>
      <w:r/>
    </w:p>
    <w:p>
      <w:pPr>
        <w:pStyle w:val="962"/>
        <w:ind w:firstLine="420"/>
        <w:keepLines w:val="0"/>
        <w:keepNext w:val="0"/>
        <w:pageBreakBefore w:val="0"/>
        <w:spacing w:beforeAutospacing="0" w:afterAutospacing="0" w:line="336" w:lineRule="auto"/>
        <w:shd w:val="clear" w:color="auto" w:fill="ffffff"/>
        <w:rPr>
          <w:sz w:val="21"/>
          <w:szCs w:val="21"/>
        </w:rPr>
      </w:pPr>
      <w:r>
        <w:rPr>
          <w:rFonts w:hint="eastAsia"/>
          <w:sz w:val="21"/>
          <w:szCs w:val="21"/>
        </w:rPr>
        <w:t xml:space="preserve">2.地点：“苏采云”政府采购一体化平台</w:t>
      </w:r>
      <w:r/>
    </w:p>
    <w:p>
      <w:pPr>
        <w:ind w:firstLine="420"/>
        <w:jc w:val="left"/>
        <w:keepLines w:val="0"/>
        <w:keepNext w:val="0"/>
        <w:pageBreakBefore w:val="0"/>
        <w:spacing w:line="336" w:lineRule="auto"/>
        <w:widowControl/>
        <w:rPr>
          <w:rFonts w:ascii="宋体" w:hAnsi="宋体" w:cs="宋体"/>
          <w:szCs w:val="21"/>
        </w:rPr>
      </w:pPr>
      <w:r>
        <w:rPr>
          <w:rFonts w:hint="eastAsia" w:ascii="宋体" w:hAnsi="宋体" w:cs="宋体"/>
          <w:szCs w:val="21"/>
        </w:rPr>
        <w:t xml:space="preserve">3.方式：</w:t>
      </w:r>
      <w:r>
        <w:rPr>
          <w:rFonts w:hint="eastAsia" w:ascii="宋体" w:hAnsi="宋体" w:cs="宋体"/>
          <w:szCs w:val="21"/>
          <w:lang w:bidi="ar"/>
        </w:rPr>
        <w:t xml:space="preserve">供应商持CA数字认证证书登录“苏采云”政府采购一体化平台（http//jszfcg.jsczt.cn/jszc/login）获取电子版磋商文件。</w:t>
      </w:r>
      <w:r/>
    </w:p>
    <w:p>
      <w:pPr>
        <w:ind w:firstLine="420"/>
        <w:jc w:val="left"/>
        <w:keepLines w:val="0"/>
        <w:keepNext w:val="0"/>
        <w:pageBreakBefore w:val="0"/>
        <w:spacing w:line="336" w:lineRule="auto"/>
        <w:widowControl/>
        <w:rPr>
          <w:rFonts w:ascii="宋体" w:hAnsi="宋体" w:cs="宋体"/>
          <w:szCs w:val="21"/>
        </w:rPr>
      </w:pPr>
      <w:r>
        <w:rPr>
          <w:rFonts w:hint="eastAsia" w:ascii="宋体" w:hAnsi="宋体" w:cs="宋体"/>
          <w:szCs w:val="21"/>
        </w:rPr>
        <w:t xml:space="preserve">4.售价：</w:t>
      </w:r>
      <w:r>
        <w:rPr>
          <w:rFonts w:hint="eastAsia" w:ascii="宋体" w:hAnsi="宋体" w:cs="宋体"/>
          <w:szCs w:val="21"/>
          <w:u w:val="single"/>
        </w:rPr>
        <w:t xml:space="preserve"> 0 </w:t>
      </w:r>
      <w:r>
        <w:rPr>
          <w:rFonts w:hint="eastAsia" w:ascii="宋体" w:hAnsi="宋体" w:cs="宋体"/>
          <w:szCs w:val="21"/>
        </w:rPr>
        <w:t xml:space="preserve">元。</w:t>
      </w:r>
      <w:r/>
    </w:p>
    <w:p>
      <w:pPr>
        <w:jc w:val="left"/>
        <w:keepLines w:val="0"/>
        <w:keepNext w:val="0"/>
        <w:pageBreakBefore w:val="0"/>
        <w:spacing w:line="336" w:lineRule="auto"/>
        <w:rPr>
          <w:rFonts w:ascii="宋体" w:hAnsi="宋体" w:cs="宋体"/>
          <w:b/>
          <w:bCs/>
          <w:spacing w:val="2"/>
          <w:szCs w:val="21"/>
        </w:rPr>
      </w:pPr>
      <w:r>
        <w:rPr>
          <w:rStyle w:val="969"/>
          <w:rFonts w:hint="eastAsia" w:ascii="宋体" w:hAnsi="宋体" w:cs="宋体"/>
          <w:szCs w:val="21"/>
          <w:shd w:val="clear" w:color="auto" w:fill="ffffff"/>
        </w:rPr>
        <w:t xml:space="preserve">四、</w:t>
      </w:r>
      <w:r>
        <w:rPr>
          <w:rFonts w:hint="eastAsia" w:ascii="宋体" w:hAnsi="宋体" w:cs="宋体"/>
          <w:b/>
          <w:bCs/>
          <w:spacing w:val="2"/>
          <w:szCs w:val="21"/>
        </w:rPr>
        <w:t xml:space="preserve">响应文件提交</w:t>
      </w:r>
      <w:r/>
    </w:p>
    <w:p>
      <w:pPr>
        <w:ind w:left="280"/>
        <w:jc w:val="left"/>
        <w:keepLines w:val="0"/>
        <w:keepNext w:val="0"/>
        <w:pageBreakBefore w:val="0"/>
        <w:spacing w:line="336" w:lineRule="auto"/>
        <w:rPr>
          <w:rFonts w:ascii="宋体" w:hAnsi="宋体" w:cs="宋体"/>
          <w:spacing w:val="2"/>
          <w:szCs w:val="21"/>
          <w:highlight w:val="none"/>
        </w:rPr>
      </w:pPr>
      <w:r>
        <w:rPr>
          <w:rFonts w:hint="eastAsia" w:ascii="宋体" w:hAnsi="宋体" w:cs="宋体"/>
          <w:spacing w:val="2"/>
          <w:szCs w:val="21"/>
        </w:rPr>
        <w:t xml:space="preserve">截止</w:t>
      </w:r>
      <w:r>
        <w:rPr>
          <w:rFonts w:hint="eastAsia" w:ascii="宋体" w:hAnsi="宋体" w:cs="宋体"/>
          <w:spacing w:val="2"/>
          <w:szCs w:val="21"/>
          <w:highlight w:val="none"/>
        </w:rPr>
        <w:t xml:space="preserve">时间：</w:t>
      </w:r>
      <w:r>
        <w:rPr>
          <w:rFonts w:hint="eastAsia" w:ascii="宋体" w:hAnsi="宋体" w:cs="宋体"/>
          <w:spacing w:val="2"/>
          <w:szCs w:val="21"/>
          <w:highlight w:val="none"/>
          <w:u w:val="single"/>
          <w:lang w:eastAsia="zh-CN"/>
        </w:rPr>
        <w:t xml:space="preserve">2026</w:t>
      </w:r>
      <w:r>
        <w:rPr>
          <w:rFonts w:hint="eastAsia" w:ascii="宋体" w:hAnsi="宋体" w:cs="宋体"/>
          <w:spacing w:val="2"/>
          <w:szCs w:val="21"/>
          <w:highlight w:val="none"/>
        </w:rPr>
        <w:t xml:space="preserve">年</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7</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月</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14</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日</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9</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点</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3</w:t>
      </w:r>
      <w:r>
        <w:rPr>
          <w:rFonts w:hint="eastAsia" w:ascii="宋体" w:hAnsi="宋体" w:cs="宋体"/>
          <w:spacing w:val="2"/>
          <w:szCs w:val="21"/>
          <w:highlight w:val="none"/>
          <w:u w:val="single"/>
        </w:rPr>
        <w:t xml:space="preserve">0 </w:t>
      </w:r>
      <w:r>
        <w:rPr>
          <w:rFonts w:hint="eastAsia" w:ascii="宋体" w:hAnsi="宋体" w:cs="宋体"/>
          <w:spacing w:val="2"/>
          <w:szCs w:val="21"/>
          <w:highlight w:val="none"/>
        </w:rPr>
        <w:t xml:space="preserve">分（北京时间）</w:t>
      </w:r>
      <w:r/>
    </w:p>
    <w:p>
      <w:pPr>
        <w:ind w:left="280"/>
        <w:jc w:val="left"/>
        <w:keepLines w:val="0"/>
        <w:keepNext w:val="0"/>
        <w:pageBreakBefore w:val="0"/>
        <w:spacing w:line="336" w:lineRule="auto"/>
        <w:rPr>
          <w:rFonts w:ascii="宋体" w:hAnsi="宋体" w:cs="宋体"/>
          <w:spacing w:val="2"/>
          <w:szCs w:val="21"/>
          <w:highlight w:val="none"/>
        </w:rPr>
      </w:pPr>
      <w:r>
        <w:rPr>
          <w:rFonts w:hint="eastAsia" w:ascii="宋体" w:hAnsi="宋体" w:cs="宋体"/>
          <w:szCs w:val="21"/>
          <w:highlight w:val="none"/>
        </w:rPr>
        <w:t xml:space="preserve">地点：</w:t>
      </w:r>
      <w:r>
        <w:rPr>
          <w:rFonts w:hint="eastAsia" w:ascii="宋体" w:hAnsi="宋体" w:cs="宋体"/>
          <w:szCs w:val="21"/>
          <w:highlight w:val="none"/>
          <w:u w:val="single"/>
        </w:rPr>
        <w:t xml:space="preserve">本项目采用不见面交易方式，无需到现场提交，供应商登录“苏采云”政府采购一体化平台供应商端，通过系统在线提交电子响应文件。</w:t>
      </w:r>
      <w:r/>
    </w:p>
    <w:p>
      <w:pPr>
        <w:jc w:val="left"/>
        <w:keepLines w:val="0"/>
        <w:keepNext w:val="0"/>
        <w:pageBreakBefore w:val="0"/>
        <w:spacing w:line="336" w:lineRule="auto"/>
        <w:rPr>
          <w:rFonts w:ascii="宋体" w:hAnsi="宋体" w:cs="宋体"/>
          <w:b/>
          <w:bCs/>
          <w:spacing w:val="2"/>
          <w:szCs w:val="21"/>
          <w:highlight w:val="none"/>
        </w:rPr>
      </w:pPr>
      <w:r>
        <w:rPr>
          <w:rStyle w:val="969"/>
          <w:rFonts w:hint="eastAsia" w:ascii="宋体" w:hAnsi="宋体" w:cs="宋体"/>
          <w:szCs w:val="21"/>
          <w:highlight w:val="none"/>
          <w:shd w:val="clear" w:color="auto" w:fill="ffffff"/>
        </w:rPr>
        <w:t xml:space="preserve">五、</w:t>
      </w:r>
      <w:r>
        <w:rPr>
          <w:rFonts w:hint="eastAsia" w:ascii="宋体" w:hAnsi="宋体" w:cs="宋体"/>
          <w:b/>
          <w:bCs/>
          <w:spacing w:val="2"/>
          <w:szCs w:val="21"/>
          <w:highlight w:val="none"/>
        </w:rPr>
        <w:t xml:space="preserve">开启</w:t>
      </w:r>
      <w:r/>
    </w:p>
    <w:p>
      <w:pPr>
        <w:ind w:left="280"/>
        <w:jc w:val="left"/>
        <w:keepLines w:val="0"/>
        <w:keepNext w:val="0"/>
        <w:pageBreakBefore w:val="0"/>
        <w:spacing w:line="336" w:lineRule="auto"/>
        <w:rPr>
          <w:rFonts w:ascii="宋体" w:hAnsi="宋体" w:cs="宋体"/>
          <w:spacing w:val="2"/>
          <w:szCs w:val="21"/>
          <w:highlight w:val="none"/>
        </w:rPr>
      </w:pPr>
      <w:r>
        <w:rPr>
          <w:rFonts w:hint="eastAsia" w:ascii="宋体" w:hAnsi="宋体" w:cs="宋体"/>
          <w:spacing w:val="2"/>
          <w:szCs w:val="21"/>
          <w:highlight w:val="none"/>
        </w:rPr>
        <w:t xml:space="preserve">时间：</w:t>
      </w:r>
      <w:r>
        <w:rPr>
          <w:rFonts w:hint="eastAsia" w:ascii="宋体" w:hAnsi="宋体" w:cs="宋体"/>
          <w:spacing w:val="2"/>
          <w:szCs w:val="21"/>
          <w:highlight w:val="none"/>
          <w:u w:val="single"/>
          <w:lang w:eastAsia="zh-CN"/>
        </w:rPr>
        <w:t xml:space="preserve">2026</w:t>
      </w:r>
      <w:r>
        <w:rPr>
          <w:rFonts w:hint="eastAsia" w:ascii="宋体" w:hAnsi="宋体" w:cs="宋体"/>
          <w:spacing w:val="2"/>
          <w:szCs w:val="21"/>
          <w:highlight w:val="none"/>
        </w:rPr>
        <w:t xml:space="preserve">年</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7</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月</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14</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日</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9</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点</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3</w:t>
      </w:r>
      <w:r>
        <w:rPr>
          <w:rFonts w:hint="eastAsia" w:ascii="宋体" w:hAnsi="宋体" w:cs="宋体"/>
          <w:spacing w:val="2"/>
          <w:szCs w:val="21"/>
          <w:highlight w:val="none"/>
          <w:u w:val="single"/>
        </w:rPr>
        <w:t xml:space="preserve">0 </w:t>
      </w:r>
      <w:r>
        <w:rPr>
          <w:rFonts w:hint="eastAsia" w:ascii="宋体" w:hAnsi="宋体" w:cs="宋体"/>
          <w:spacing w:val="2"/>
          <w:szCs w:val="21"/>
          <w:highlight w:val="none"/>
        </w:rPr>
        <w:t xml:space="preserve">分（北京时间）</w:t>
      </w:r>
      <w:r/>
    </w:p>
    <w:p>
      <w:pPr>
        <w:ind w:left="280"/>
        <w:jc w:val="left"/>
        <w:keepLines w:val="0"/>
        <w:keepNext w:val="0"/>
        <w:pageBreakBefore w:val="0"/>
        <w:spacing w:line="336" w:lineRule="auto"/>
        <w:rPr>
          <w:szCs w:val="21"/>
          <w:u w:val="single"/>
        </w:rPr>
      </w:pPr>
      <w:r>
        <w:rPr>
          <w:rFonts w:hint="eastAsia" w:ascii="宋体" w:hAnsi="宋体" w:cs="宋体"/>
          <w:spacing w:val="2"/>
          <w:szCs w:val="21"/>
        </w:rPr>
        <w:t xml:space="preserve">地点：</w:t>
      </w:r>
      <w:r>
        <w:rPr>
          <w:rFonts w:hint="eastAsia" w:ascii="宋体" w:hAnsi="宋体" w:cs="宋体"/>
          <w:spacing w:val="2"/>
          <w:szCs w:val="21"/>
          <w:u w:val="single"/>
        </w:rPr>
        <w:t xml:space="preserve">本项</w:t>
      </w:r>
      <w:r>
        <w:rPr>
          <w:rFonts w:hint="eastAsia"/>
          <w:szCs w:val="21"/>
          <w:u w:val="single"/>
        </w:rPr>
        <w:t xml:space="preserve">目采用不见面交易方式，无需到现场提交，供应商登录“苏采云”政府采购一体化平台供应商端，通过系统在线解密电子响应文件。</w:t>
      </w:r>
      <w:r/>
    </w:p>
    <w:p>
      <w:pPr>
        <w:pStyle w:val="962"/>
        <w:keepLines w:val="0"/>
        <w:keepNext w:val="0"/>
        <w:pageBreakBefore w:val="0"/>
        <w:spacing w:beforeAutospacing="0" w:afterAutospacing="0" w:line="336" w:lineRule="auto"/>
        <w:shd w:val="clear" w:color="auto" w:fill="ffffff"/>
        <w:rPr>
          <w:rStyle w:val="969"/>
          <w:sz w:val="21"/>
          <w:szCs w:val="21"/>
          <w:shd w:val="clear" w:color="auto" w:fill="ffffff"/>
        </w:rPr>
      </w:pPr>
      <w:r>
        <w:rPr>
          <w:rStyle w:val="969"/>
          <w:rFonts w:hint="eastAsia"/>
          <w:sz w:val="21"/>
          <w:szCs w:val="21"/>
          <w:shd w:val="clear" w:color="auto" w:fill="ffffff"/>
        </w:rPr>
        <w:t xml:space="preserve">六、公告期限</w:t>
      </w:r>
      <w:r/>
    </w:p>
    <w:p>
      <w:pPr>
        <w:pStyle w:val="962"/>
        <w:ind w:firstLine="420"/>
        <w:keepLines w:val="0"/>
        <w:keepNext w:val="0"/>
        <w:pageBreakBefore w:val="0"/>
        <w:spacing w:beforeAutospacing="0" w:afterAutospacing="0" w:line="336" w:lineRule="auto"/>
        <w:shd w:val="clear" w:color="auto" w:fill="ffffff"/>
        <w:rPr>
          <w:sz w:val="21"/>
          <w:szCs w:val="21"/>
          <w:shd w:val="clear" w:color="auto" w:fill="ffffff"/>
        </w:rPr>
      </w:pPr>
      <w:r>
        <w:rPr>
          <w:rFonts w:hint="eastAsia"/>
          <w:sz w:val="21"/>
          <w:szCs w:val="21"/>
          <w:shd w:val="clear" w:color="auto" w:fill="ffffff"/>
        </w:rPr>
        <w:t xml:space="preserve">自本公告发布之日起5个工作日。</w:t>
      </w:r>
      <w:r/>
    </w:p>
    <w:p>
      <w:pPr>
        <w:pStyle w:val="962"/>
        <w:keepLines w:val="0"/>
        <w:keepNext w:val="0"/>
        <w:pageBreakBefore w:val="0"/>
        <w:spacing w:beforeAutospacing="0" w:afterAutospacing="0" w:line="336" w:lineRule="auto"/>
        <w:shd w:val="clear" w:color="auto" w:fill="ffffff"/>
        <w:rPr>
          <w:rStyle w:val="969"/>
          <w:sz w:val="21"/>
          <w:szCs w:val="21"/>
          <w:shd w:val="clear" w:color="auto" w:fill="ffffff"/>
        </w:rPr>
      </w:pPr>
      <w:r>
        <w:rPr>
          <w:rStyle w:val="969"/>
          <w:rFonts w:hint="eastAsia"/>
          <w:sz w:val="21"/>
          <w:szCs w:val="21"/>
          <w:shd w:val="clear" w:color="auto" w:fill="ffffff"/>
        </w:rPr>
        <w:t xml:space="preserve">七、其他补充事宜</w:t>
      </w:r>
      <w:r/>
    </w:p>
    <w:p>
      <w:pPr>
        <w:ind w:firstLine="420"/>
        <w:keepLines w:val="0"/>
        <w:keepNext w:val="0"/>
        <w:pageBreakBefore w:val="0"/>
        <w:spacing w:line="336" w:lineRule="auto"/>
        <w:rPr>
          <w:rFonts w:ascii="宋体" w:hAnsi="宋体" w:cs="宋体"/>
          <w:szCs w:val="21"/>
          <w:shd w:val="clear" w:color="auto" w:fill="ffffff"/>
        </w:rPr>
      </w:pPr>
      <w:r>
        <w:rPr>
          <w:rFonts w:hint="eastAsia" w:ascii="宋体" w:hAnsi="宋体" w:cs="宋体"/>
          <w:szCs w:val="21"/>
        </w:rPr>
        <w:t xml:space="preserve">1.本项目需要落实的政府采购政策：</w:t>
      </w:r>
      <w:r>
        <w:rPr>
          <w:rFonts w:hint="eastAsia" w:ascii="宋体" w:hAnsi="宋体" w:cs="宋体"/>
          <w:szCs w:val="21"/>
          <w:u w:val="single"/>
          <w:shd w:val="clear" w:color="auto" w:fill="ffffff"/>
        </w:rPr>
        <w:t xml:space="preserve">《江苏省财政厅关于进一步加大政府采购支持中小企业力度的通知》苏财购〔2022〕45号</w:t>
      </w:r>
      <w:r>
        <w:rPr>
          <w:rFonts w:hint="eastAsia" w:ascii="宋体" w:hAnsi="宋体" w:cs="宋体"/>
          <w:szCs w:val="21"/>
        </w:rPr>
        <w:t xml:space="preserve">。 </w:t>
      </w:r>
      <w:r/>
    </w:p>
    <w:p>
      <w:pPr>
        <w:ind w:firstLine="480"/>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bidi="ar"/>
        </w:rPr>
        <w:t xml:space="preserve">2</w:t>
      </w:r>
      <w:r>
        <w:rPr>
          <w:rFonts w:hint="eastAsia" w:ascii="宋体" w:hAnsi="宋体" w:cs="宋体"/>
          <w:szCs w:val="21"/>
          <w:lang w:val="zh-TW" w:bidi="ar"/>
        </w:rPr>
        <w:t xml:space="preserve">.本项目采用不见面交易方式，请供应商认真学习常州市政府采购网发布的相关操作手册，办理</w:t>
      </w:r>
      <w:r/>
    </w:p>
    <w:p>
      <w:pPr>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val="zh-TW" w:bidi="ar"/>
        </w:rPr>
        <w:t xml:space="preserve">CA认证证书、进行“苏采云”政府采购一体化平台注册绑定，并认真核实数字认证证书情况确认是否符合本项目电子化采购流程要求 </w:t>
      </w:r>
      <w:r/>
    </w:p>
    <w:p>
      <w:pPr>
        <w:ind w:firstLine="480"/>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val="zh-TW" w:bidi="ar"/>
        </w:rPr>
        <w:t xml:space="preserve">技术支持服务热线：0519-85588210 </w:t>
      </w:r>
      <w:r/>
    </w:p>
    <w:p>
      <w:pPr>
        <w:ind w:firstLine="480"/>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val="zh-TW" w:bidi="ar"/>
        </w:rPr>
        <w:t xml:space="preserve">CA认证证书办理联系电话 0519-85588120 </w:t>
      </w:r>
      <w:r/>
    </w:p>
    <w:p>
      <w:pPr>
        <w:ind w:firstLine="480"/>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bidi="ar"/>
        </w:rPr>
        <w:t xml:space="preserve">2</w:t>
      </w:r>
      <w:r>
        <w:rPr>
          <w:rFonts w:hint="eastAsia" w:ascii="宋体" w:hAnsi="宋体" w:cs="宋体"/>
          <w:szCs w:val="21"/>
          <w:lang w:val="zh-TW" w:bidi="ar"/>
        </w:rPr>
        <w:t xml:space="preserve">.1办理CA认证证书 </w:t>
      </w:r>
      <w:r/>
    </w:p>
    <w:p>
      <w:pPr>
        <w:ind w:firstLine="480"/>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val="zh-TW" w:bidi="ar"/>
        </w:rPr>
        <w:t xml:space="preserve">供应商登录常州市政府采购网“下载中心”下载并查阅 “江苏省政府采购数字证书CA及电子签章办理指南”，按照程序要求办理。 </w:t>
      </w:r>
      <w:r/>
    </w:p>
    <w:p>
      <w:pPr>
        <w:ind w:firstLine="480"/>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val="zh-TW" w:bidi="ar"/>
        </w:rPr>
        <w:t xml:space="preserve">2.2注册 </w:t>
      </w:r>
      <w:r/>
    </w:p>
    <w:p>
      <w:pPr>
        <w:ind w:firstLine="480"/>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val="zh-TW" w:bidi="ar"/>
        </w:rPr>
        <w:t xml:space="preserve">供应商登录常州市政府采购网“下载中心”-“苏采云”系统（供应商）操作手册下载相关操作手册、操作视频等，查阅后进行自助注册。 </w:t>
      </w:r>
      <w:r/>
    </w:p>
    <w:p>
      <w:pPr>
        <w:ind w:firstLine="480"/>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val="zh-TW" w:bidi="ar"/>
        </w:rPr>
        <w:t xml:space="preserve">2.3控件、客户端下载 </w:t>
      </w:r>
      <w:r/>
    </w:p>
    <w:p>
      <w:pPr>
        <w:ind w:firstLine="480"/>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val="zh-TW" w:bidi="ar"/>
        </w:rPr>
        <w:t xml:space="preserve">供应商登录常州市政府采购网“下载中心”-政府采购管理交易系统（苏采云）CA及签章控件驱动下载相关控件及客户端。 </w:t>
      </w:r>
      <w:r/>
    </w:p>
    <w:p>
      <w:pPr>
        <w:ind w:firstLine="480"/>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val="zh-TW" w:bidi="ar"/>
        </w:rPr>
        <w:t xml:space="preserve">2.4获取电子磋商文件 </w:t>
      </w:r>
      <w:r/>
    </w:p>
    <w:p>
      <w:pPr>
        <w:ind w:firstLine="480"/>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val="zh-TW" w:bidi="ar"/>
        </w:rPr>
        <w:t xml:space="preserve">供应商持CA数字认证证书登录“苏采云”政府采购一体化平台获取电子磋商文件。未在规定期限</w:t>
      </w:r>
      <w:r/>
    </w:p>
    <w:p>
      <w:pPr>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val="zh-TW" w:bidi="ar"/>
        </w:rPr>
        <w:t xml:space="preserve">内通过“苏采云”政府采购一体化平台获取磋商文件的响应无效。 </w:t>
      </w:r>
      <w:r/>
    </w:p>
    <w:p>
      <w:pPr>
        <w:ind w:firstLine="480"/>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val="zh-TW" w:bidi="ar"/>
        </w:rPr>
        <w:t xml:space="preserve">2.5编制电子响应文件 </w:t>
      </w:r>
      <w:r/>
    </w:p>
    <w:p>
      <w:pPr>
        <w:ind w:firstLine="480"/>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val="zh-TW"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 </w:t>
      </w:r>
      <w:r/>
    </w:p>
    <w:p>
      <w:pPr>
        <w:ind w:firstLine="480"/>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val="zh-TW" w:bidi="ar"/>
        </w:rPr>
        <w:t xml:space="preserve">2.6提交电子响应文件 </w:t>
      </w:r>
      <w:r/>
    </w:p>
    <w:p>
      <w:pPr>
        <w:ind w:firstLine="480"/>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val="zh-TW" w:bidi="ar"/>
        </w:rPr>
        <w:t xml:space="preserve">供应商应于响应截止时间前在“苏采云”政府采购一体化平台提交电子响应文件，上传电子响应文件过程中请保持与互联网的连接畅通。 </w:t>
      </w:r>
      <w:r/>
    </w:p>
    <w:p>
      <w:pPr>
        <w:ind w:firstLine="480"/>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val="zh-TW" w:bidi="ar"/>
        </w:rPr>
        <w:t xml:space="preserve">2.7电子开标 </w:t>
      </w:r>
      <w:r/>
    </w:p>
    <w:p>
      <w:pPr>
        <w:ind w:firstLine="480"/>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val="zh-TW" w:bidi="ar"/>
        </w:rPr>
        <w:t xml:space="preserve">供应商使用CA认证证书登录“苏采云”政府采购一体化平台进行电子化不见面开标。 </w:t>
      </w:r>
      <w:r/>
    </w:p>
    <w:p>
      <w:pPr>
        <w:ind w:firstLine="480"/>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val="zh-TW" w:bidi="ar"/>
        </w:rPr>
        <w:t xml:space="preserve">2.8注意事项 </w:t>
      </w:r>
      <w:r/>
    </w:p>
    <w:p>
      <w:pPr>
        <w:ind w:firstLine="480"/>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val="zh-TW"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 </w:t>
      </w:r>
      <w:r/>
    </w:p>
    <w:p>
      <w:pPr>
        <w:ind w:firstLine="480"/>
        <w:jc w:val="left"/>
        <w:keepLines w:val="0"/>
        <w:keepNext w:val="0"/>
        <w:pageBreakBefore w:val="0"/>
        <w:spacing w:line="336" w:lineRule="auto"/>
        <w:widowControl/>
        <w:rPr>
          <w:rFonts w:ascii="宋体" w:hAnsi="宋体" w:cs="宋体"/>
          <w:szCs w:val="21"/>
          <w:lang w:val="zh-TW" w:bidi="ar"/>
        </w:rPr>
      </w:pPr>
      <w:r>
        <w:rPr>
          <w:rFonts w:hint="eastAsia" w:ascii="宋体" w:hAnsi="宋体" w:cs="宋体"/>
          <w:szCs w:val="21"/>
          <w:lang w:bidi="ar"/>
        </w:rPr>
        <w:t xml:space="preserve">3</w:t>
      </w:r>
      <w:r>
        <w:rPr>
          <w:rFonts w:hint="eastAsia" w:ascii="宋体" w:hAnsi="宋体" w:cs="宋体"/>
          <w:szCs w:val="21"/>
          <w:lang w:val="zh-TW" w:bidi="ar"/>
        </w:rPr>
        <w:t xml:space="preserve">.关于常州市中小企业政府采购信用融资： </w:t>
      </w:r>
      <w:r/>
    </w:p>
    <w:p>
      <w:pPr>
        <w:pStyle w:val="962"/>
        <w:ind w:firstLine="420"/>
        <w:keepLines w:val="0"/>
        <w:keepNext w:val="0"/>
        <w:pageBreakBefore w:val="0"/>
        <w:spacing w:beforeAutospacing="0" w:afterAutospacing="0" w:line="336" w:lineRule="auto"/>
        <w:shd w:val="clear" w:color="auto" w:fill="ffffff"/>
        <w:rPr>
          <w:sz w:val="21"/>
          <w:szCs w:val="21"/>
          <w:lang w:val="zh-TW" w:bidi="ar"/>
        </w:rPr>
      </w:pPr>
      <w:r>
        <w:rPr>
          <w:rFonts w:hint="eastAsia"/>
          <w:sz w:val="21"/>
          <w:szCs w:val="21"/>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62"/>
        <w:keepLines w:val="0"/>
        <w:keepNext w:val="0"/>
        <w:pageBreakBefore w:val="0"/>
        <w:spacing w:beforeAutospacing="0" w:afterAutospacing="0" w:line="336" w:lineRule="auto"/>
        <w:shd w:val="clear" w:color="auto" w:fill="ffffff"/>
        <w:rPr>
          <w:sz w:val="21"/>
          <w:szCs w:val="21"/>
        </w:rPr>
      </w:pPr>
      <w:r>
        <w:rPr>
          <w:rStyle w:val="969"/>
          <w:rFonts w:hint="eastAsia"/>
          <w:sz w:val="21"/>
          <w:szCs w:val="21"/>
          <w:shd w:val="clear" w:color="auto" w:fill="ffffff"/>
        </w:rPr>
        <w:t xml:space="preserve">八、凡对本次采购提出询问，请按以下方式联系。</w:t>
      </w:r>
      <w:r/>
    </w:p>
    <w:p>
      <w:pPr>
        <w:pStyle w:val="962"/>
        <w:ind w:firstLine="420"/>
        <w:keepLines w:val="0"/>
        <w:keepNext w:val="0"/>
        <w:pageBreakBefore w:val="0"/>
        <w:spacing w:beforeAutospacing="0" w:afterAutospacing="0" w:line="336" w:lineRule="auto"/>
        <w:shd w:val="clear" w:color="auto" w:fill="ffffff"/>
        <w:rPr>
          <w:sz w:val="21"/>
          <w:szCs w:val="21"/>
          <w:shd w:val="clear" w:color="auto" w:fill="ffffff"/>
        </w:rPr>
      </w:pPr>
      <w:r>
        <w:rPr>
          <w:rFonts w:hint="eastAsia"/>
          <w:sz w:val="21"/>
          <w:szCs w:val="21"/>
          <w:shd w:val="clear" w:color="auto" w:fill="ffffff"/>
        </w:rPr>
        <w:t xml:space="preserve">1.采购人信息</w:t>
      </w:r>
      <w:r/>
    </w:p>
    <w:p>
      <w:pPr>
        <w:pStyle w:val="962"/>
        <w:ind w:firstLine="420"/>
        <w:keepLines w:val="0"/>
        <w:keepNext w:val="0"/>
        <w:pageBreakBefore w:val="0"/>
        <w:spacing w:beforeAutospacing="0" w:afterAutospacing="0" w:line="336" w:lineRule="auto"/>
        <w:shd w:val="clear" w:color="auto" w:fill="ffffff"/>
        <w:rPr>
          <w:rFonts w:hint="eastAsia" w:ascii="宋体" w:hAnsi="宋体" w:eastAsia="宋体" w:cs="宋体"/>
          <w:sz w:val="21"/>
          <w:szCs w:val="21"/>
          <w:highlight w:val="none"/>
          <w:shd w:val="clear" w:color="auto" w:fill="ffffff"/>
          <w:lang w:eastAsia="zh-CN"/>
        </w:rPr>
      </w:pPr>
      <w:r>
        <w:rPr>
          <w:rFonts w:hint="eastAsia" w:ascii="宋体" w:hAnsi="宋体" w:eastAsia="宋体" w:cs="宋体"/>
          <w:sz w:val="21"/>
          <w:szCs w:val="21"/>
          <w:highlight w:val="none"/>
          <w:shd w:val="clear" w:color="auto" w:fill="ffffff"/>
        </w:rPr>
        <w:t xml:space="preserve">名   称：</w:t>
      </w:r>
      <w:r>
        <w:rPr>
          <w:rFonts w:hint="eastAsia" w:cs="宋体"/>
          <w:sz w:val="21"/>
          <w:szCs w:val="21"/>
          <w:highlight w:val="none"/>
          <w:u w:val="single"/>
          <w:shd w:val="clear" w:color="auto" w:fill="ffffff"/>
          <w:lang w:val="en-US" w:eastAsia="zh-CN"/>
        </w:rPr>
        <w:t xml:space="preserve">溧阳市博物馆</w:t>
      </w:r>
      <w:r/>
    </w:p>
    <w:p>
      <w:pPr>
        <w:pStyle w:val="962"/>
        <w:ind w:firstLine="420"/>
        <w:keepLines w:val="0"/>
        <w:keepNext w:val="0"/>
        <w:pageBreakBefore w:val="0"/>
        <w:spacing w:beforeAutospacing="0" w:afterAutospacing="0" w:line="336" w:lineRule="auto"/>
        <w:shd w:val="clear" w:color="auto" w:fill="ffffff"/>
        <w:rPr>
          <w:rFonts w:hint="eastAsia" w:ascii="宋体" w:hAnsi="宋体" w:eastAsia="宋体" w:cs="宋体"/>
          <w:sz w:val="21"/>
          <w:szCs w:val="21"/>
          <w:highlight w:val="none"/>
          <w:shd w:val="clear" w:color="auto" w:fill="ffffff"/>
          <w:lang w:eastAsia="zh-CN"/>
        </w:rPr>
      </w:pPr>
      <w:r>
        <w:rPr>
          <w:rFonts w:hint="eastAsia" w:ascii="宋体" w:hAnsi="宋体" w:eastAsia="宋体" w:cs="宋体"/>
          <w:sz w:val="21"/>
          <w:szCs w:val="21"/>
          <w:highlight w:val="none"/>
          <w:shd w:val="clear" w:color="auto" w:fill="ffffff"/>
        </w:rPr>
        <w:t xml:space="preserve">地   址：</w:t>
      </w:r>
      <w:r>
        <w:rPr>
          <w:rFonts w:hint="eastAsia" w:cs="宋体"/>
          <w:sz w:val="21"/>
          <w:szCs w:val="21"/>
          <w:highlight w:val="none"/>
          <w:u w:val="single"/>
          <w:shd w:val="clear" w:color="auto" w:fill="ffffff"/>
          <w:lang w:val="en-US" w:eastAsia="zh-CN"/>
        </w:rPr>
        <w:t xml:space="preserve">溧阳市南大街211号</w:t>
      </w:r>
      <w:r/>
    </w:p>
    <w:p>
      <w:pPr>
        <w:pStyle w:val="962"/>
        <w:ind w:firstLine="420"/>
        <w:keepLines w:val="0"/>
        <w:keepNext w:val="0"/>
        <w:pageBreakBefore w:val="0"/>
        <w:spacing w:beforeAutospacing="0" w:afterAutospacing="0" w:line="336" w:lineRule="auto"/>
        <w:shd w:val="clear" w:color="auto" w:fill="ffffff"/>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联系方式：</w:t>
      </w:r>
      <w:r>
        <w:rPr>
          <w:rFonts w:hint="eastAsia" w:ascii="宋体" w:hAnsi="宋体" w:eastAsia="宋体" w:cs="宋体"/>
          <w:sz w:val="21"/>
          <w:szCs w:val="21"/>
          <w:highlight w:val="none"/>
          <w:u w:val="single"/>
          <w:shd w:val="clear" w:color="auto" w:fill="ffffff"/>
          <w:lang w:val="en-US" w:eastAsia="zh-CN"/>
        </w:rPr>
        <w:t xml:space="preserve">0519-87</w:t>
      </w:r>
      <w:r>
        <w:rPr>
          <w:rFonts w:hint="eastAsia" w:ascii="宋体" w:hAnsi="宋体" w:eastAsia="宋体" w:cs="宋体"/>
          <w:sz w:val="21"/>
          <w:szCs w:val="21"/>
          <w:highlight w:val="none"/>
          <w:u w:val="single"/>
          <w:shd w:val="clear" w:color="auto" w:fill="ffffff"/>
          <w:lang w:eastAsia="zh-CN"/>
        </w:rPr>
        <w:t xml:space="preserve">922886</w:t>
      </w:r>
      <w:r/>
    </w:p>
    <w:p>
      <w:pPr>
        <w:pStyle w:val="962"/>
        <w:ind w:firstLine="420"/>
        <w:keepLines w:val="0"/>
        <w:keepNext w:val="0"/>
        <w:pageBreakBefore w:val="0"/>
        <w:spacing w:beforeAutospacing="0" w:afterAutospacing="0" w:line="336" w:lineRule="auto"/>
        <w:shd w:val="clear" w:color="auto" w:fill="ffffff"/>
        <w:rPr>
          <w:sz w:val="21"/>
          <w:szCs w:val="21"/>
          <w:shd w:val="clear" w:color="auto" w:fill="ffffff"/>
        </w:rPr>
      </w:pPr>
      <w:r>
        <w:rPr>
          <w:rFonts w:hint="eastAsia"/>
          <w:sz w:val="21"/>
          <w:szCs w:val="21"/>
          <w:shd w:val="clear" w:color="auto" w:fill="ffffff"/>
        </w:rPr>
        <w:t xml:space="preserve">2.采购代理机构信息</w:t>
      </w:r>
      <w:r/>
    </w:p>
    <w:p>
      <w:pPr>
        <w:pStyle w:val="962"/>
        <w:ind w:firstLine="420"/>
        <w:keepLines w:val="0"/>
        <w:keepNext w:val="0"/>
        <w:pageBreakBefore w:val="0"/>
        <w:spacing w:beforeAutospacing="0" w:afterAutospacing="0" w:line="336" w:lineRule="auto"/>
        <w:shd w:val="clear" w:color="auto" w:fill="ffffff"/>
        <w:rPr>
          <w:sz w:val="21"/>
          <w:szCs w:val="21"/>
          <w:shd w:val="clear" w:color="auto" w:fill="ffffff"/>
        </w:rPr>
      </w:pPr>
      <w:r>
        <w:rPr>
          <w:rFonts w:hint="eastAsia"/>
          <w:sz w:val="21"/>
          <w:szCs w:val="21"/>
          <w:shd w:val="clear" w:color="auto" w:fill="ffffff"/>
        </w:rPr>
        <w:t xml:space="preserve">名 称：</w:t>
      </w:r>
      <w:r>
        <w:rPr>
          <w:rFonts w:hint="eastAsia"/>
          <w:sz w:val="21"/>
          <w:szCs w:val="21"/>
          <w:u w:val="single"/>
          <w:shd w:val="clear" w:color="auto" w:fill="ffffff"/>
        </w:rPr>
        <w:t xml:space="preserve">溧阳市正投招投标有限公司</w:t>
      </w:r>
      <w:r/>
    </w:p>
    <w:p>
      <w:pPr>
        <w:pStyle w:val="962"/>
        <w:ind w:firstLine="420"/>
        <w:keepLines w:val="0"/>
        <w:keepNext w:val="0"/>
        <w:pageBreakBefore w:val="0"/>
        <w:spacing w:beforeAutospacing="0" w:afterAutospacing="0" w:line="336" w:lineRule="auto"/>
        <w:shd w:val="clear" w:color="auto" w:fill="ffffff"/>
        <w:rPr>
          <w:sz w:val="21"/>
          <w:szCs w:val="21"/>
          <w:shd w:val="clear" w:color="auto" w:fill="ffffff"/>
        </w:rPr>
      </w:pPr>
      <w:r>
        <w:rPr>
          <w:rFonts w:hint="eastAsia"/>
          <w:sz w:val="21"/>
          <w:szCs w:val="21"/>
          <w:shd w:val="clear" w:color="auto" w:fill="ffffff"/>
        </w:rPr>
        <w:t xml:space="preserve">地　址：</w:t>
      </w:r>
      <w:r>
        <w:rPr>
          <w:rFonts w:hint="eastAsia"/>
          <w:sz w:val="21"/>
          <w:szCs w:val="21"/>
          <w:u w:val="single"/>
          <w:shd w:val="clear" w:color="auto" w:fill="ffffff"/>
        </w:rPr>
        <w:t xml:space="preserve">溧阳市平陵西路258号1幢二楼西侧</w:t>
      </w:r>
      <w:r/>
    </w:p>
    <w:p>
      <w:pPr>
        <w:pStyle w:val="962"/>
        <w:ind w:firstLine="420"/>
        <w:keepLines w:val="0"/>
        <w:keepNext w:val="0"/>
        <w:pageBreakBefore w:val="0"/>
        <w:spacing w:beforeAutospacing="0" w:afterAutospacing="0" w:line="336" w:lineRule="auto"/>
        <w:shd w:val="clear" w:color="auto" w:fill="ffffff"/>
        <w:rPr>
          <w:sz w:val="21"/>
          <w:szCs w:val="21"/>
          <w:shd w:val="clear" w:color="auto" w:fill="ffffff"/>
        </w:rPr>
      </w:pPr>
      <w:r>
        <w:rPr>
          <w:rFonts w:hint="eastAsia"/>
          <w:sz w:val="21"/>
          <w:szCs w:val="21"/>
          <w:shd w:val="clear" w:color="auto" w:fill="ffffff"/>
        </w:rPr>
        <w:t xml:space="preserve">联系方式：</w:t>
      </w:r>
      <w:r>
        <w:rPr>
          <w:rFonts w:hint="eastAsia"/>
          <w:spacing w:val="2"/>
          <w:sz w:val="21"/>
          <w:szCs w:val="21"/>
          <w:u w:val="single"/>
        </w:rPr>
        <w:t xml:space="preserve">0519-87891880</w:t>
      </w:r>
      <w:r/>
    </w:p>
    <w:p>
      <w:pPr>
        <w:pStyle w:val="962"/>
        <w:ind w:firstLine="420"/>
        <w:keepLines w:val="0"/>
        <w:keepNext w:val="0"/>
        <w:pageBreakBefore w:val="0"/>
        <w:spacing w:beforeAutospacing="0" w:afterAutospacing="0" w:line="336" w:lineRule="auto"/>
        <w:shd w:val="clear" w:color="auto" w:fill="ffffff"/>
        <w:rPr>
          <w:sz w:val="21"/>
          <w:szCs w:val="21"/>
          <w:shd w:val="clear" w:color="auto" w:fill="ffffff"/>
        </w:rPr>
      </w:pPr>
      <w:r>
        <w:rPr>
          <w:rFonts w:hint="eastAsia"/>
          <w:sz w:val="21"/>
          <w:szCs w:val="21"/>
          <w:shd w:val="clear" w:color="auto" w:fill="ffffff"/>
        </w:rPr>
        <w:t xml:space="preserve">3.项目联系方式</w:t>
      </w:r>
      <w:r/>
    </w:p>
    <w:p>
      <w:pPr>
        <w:pStyle w:val="962"/>
        <w:ind w:firstLine="420"/>
        <w:keepLines w:val="0"/>
        <w:keepNext w:val="0"/>
        <w:pageBreakBefore w:val="0"/>
        <w:spacing w:beforeAutospacing="0" w:afterAutospacing="0" w:line="336" w:lineRule="auto"/>
        <w:shd w:val="clear" w:color="auto" w:fill="ffffff"/>
        <w:rPr>
          <w:sz w:val="21"/>
          <w:szCs w:val="21"/>
          <w:shd w:val="clear" w:color="auto" w:fill="ffffff"/>
        </w:rPr>
      </w:pPr>
      <w:r>
        <w:rPr>
          <w:rFonts w:hint="eastAsia"/>
          <w:sz w:val="21"/>
          <w:szCs w:val="21"/>
          <w:shd w:val="clear" w:color="auto" w:fill="ffffff"/>
        </w:rPr>
        <w:t xml:space="preserve">项目联系人：</w:t>
      </w:r>
      <w:r>
        <w:rPr>
          <w:rFonts w:hint="eastAsia"/>
          <w:sz w:val="21"/>
          <w:szCs w:val="21"/>
          <w:u w:val="single"/>
          <w:shd w:val="clear" w:color="auto" w:fill="ffffff"/>
        </w:rPr>
        <w:t xml:space="preserve">蒋工</w:t>
      </w:r>
      <w:r/>
    </w:p>
    <w:p>
      <w:pPr>
        <w:pStyle w:val="962"/>
        <w:ind w:firstLine="420"/>
        <w:keepLines w:val="0"/>
        <w:keepNext w:val="0"/>
        <w:pageBreakBefore w:val="0"/>
        <w:spacing w:beforeAutospacing="0" w:afterAutospacing="0" w:line="336" w:lineRule="auto"/>
        <w:shd w:val="clear" w:color="auto" w:fill="ffffff"/>
        <w:rPr>
          <w:b/>
          <w:sz w:val="32"/>
          <w:szCs w:val="32"/>
        </w:rPr>
      </w:pPr>
      <w:r>
        <w:rPr>
          <w:rFonts w:hint="eastAsia"/>
          <w:sz w:val="21"/>
          <w:szCs w:val="21"/>
          <w:shd w:val="clear" w:color="auto" w:fill="ffffff"/>
        </w:rPr>
        <w:t xml:space="preserve">电　话：</w:t>
      </w:r>
      <w:r>
        <w:rPr>
          <w:rFonts w:hint="eastAsia"/>
          <w:spacing w:val="2"/>
          <w:sz w:val="21"/>
          <w:szCs w:val="21"/>
          <w:u w:val="single"/>
        </w:rPr>
        <w:t xml:space="preserve">0519-87891880</w:t>
      </w:r>
      <w:bookmarkEnd w:id="2"/>
      <w:r/>
      <w:bookmarkEnd w:id="3"/>
      <w:r/>
      <w:bookmarkEnd w:id="4"/>
      <w:r/>
      <w:bookmarkEnd w:id="5"/>
      <w:r/>
      <w:bookmarkEnd w:id="6"/>
      <w:r/>
      <w:bookmarkStart w:id="8" w:name="_Toc305158854"/>
      <w:r/>
      <w:bookmarkStart w:id="9" w:name="_Toc305158928"/>
      <w:r/>
      <w:bookmarkStart w:id="10" w:name="_Toc264969275"/>
      <w:r/>
      <w:bookmarkStart w:id="11" w:name="_Toc353873938"/>
      <w:r/>
      <w:bookmarkStart w:id="12" w:name="_Toc21483"/>
      <w:r/>
      <w:bookmarkStart w:id="13" w:name="_Toc150774783"/>
      <w:r/>
      <w:bookmarkStart w:id="14" w:name="_Toc27965"/>
      <w:r/>
      <w:bookmarkStart w:id="15" w:name="_Toc226965856"/>
      <w:r/>
      <w:bookmarkStart w:id="16" w:name="_Toc195842950"/>
      <w:r/>
      <w:bookmarkStart w:id="17" w:name="_Toc265228423"/>
      <w:r/>
      <w:bookmarkStart w:id="18" w:name="_Toc353825548"/>
      <w:r/>
      <w:bookmarkStart w:id="19" w:name="_Toc512937850"/>
      <w:r/>
      <w:bookmarkStart w:id="20" w:name="_Toc127151777"/>
      <w:r/>
      <w:bookmarkStart w:id="21" w:name="_Toc127161488"/>
      <w:r/>
      <w:r/>
    </w:p>
    <w:p>
      <w:pPr>
        <w:jc w:val="center"/>
        <w:spacing w:line="360" w:lineRule="exact"/>
        <w:rPr>
          <w:b/>
          <w:sz w:val="32"/>
          <w:szCs w:val="32"/>
        </w:rPr>
        <w:outlineLvl w:val="0"/>
      </w:pPr>
      <w:r>
        <w:rPr>
          <w:b/>
          <w:sz w:val="32"/>
          <w:szCs w:val="32"/>
        </w:rPr>
        <w:t xml:space="preserve">第二章   供应商须知</w:t>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r/>
    </w:p>
    <w:p>
      <w:pPr>
        <w:pStyle w:val="922"/>
        <w:spacing w:before="0" w:line="360" w:lineRule="exact"/>
        <w:tabs>
          <w:tab w:val="center" w:pos="4592" w:leader="none"/>
          <w:tab w:val="left" w:pos="7860" w:leader="none"/>
        </w:tabs>
        <w:rPr>
          <w:rFonts w:ascii="Times New Roman" w:hAnsi="Times New Roman" w:eastAsia="宋体"/>
          <w:sz w:val="28"/>
        </w:rPr>
      </w:pPr>
      <w:r/>
      <w:bookmarkStart w:id="22" w:name="_Toc164608633"/>
      <w:r/>
      <w:bookmarkStart w:id="23" w:name="_Toc151190146"/>
      <w:r/>
      <w:bookmarkStart w:id="24" w:name="_Toc127161433"/>
      <w:r/>
      <w:bookmarkStart w:id="25" w:name="_Toc164229214"/>
      <w:r/>
      <w:bookmarkStart w:id="26" w:name="_Toc151193761"/>
      <w:r/>
      <w:bookmarkStart w:id="27" w:name="_Toc127151519"/>
      <w:r/>
      <w:bookmarkStart w:id="28" w:name="_Toc151193689"/>
      <w:r/>
      <w:bookmarkStart w:id="29" w:name="_Toc226309763"/>
      <w:r/>
      <w:bookmarkStart w:id="30" w:name="_Toc226337215"/>
      <w:r/>
      <w:bookmarkStart w:id="31" w:name="_Toc142311021"/>
      <w:r/>
      <w:bookmarkStart w:id="32" w:name="_Toc151193833"/>
      <w:r/>
      <w:bookmarkStart w:id="33" w:name="_Toc164351613"/>
      <w:r/>
      <w:bookmarkStart w:id="34" w:name="_Toc151193907"/>
      <w:r/>
      <w:bookmarkStart w:id="35" w:name="_Toc149720812"/>
      <w:r/>
      <w:bookmarkStart w:id="36" w:name="_Toc150774619"/>
      <w:r/>
      <w:bookmarkStart w:id="37" w:name="_Toc226965709"/>
      <w:r/>
      <w:bookmarkStart w:id="38" w:name="_Toc195842884"/>
      <w:r/>
      <w:bookmarkStart w:id="39" w:name="_Toc151193617"/>
      <w:r/>
      <w:bookmarkStart w:id="40" w:name="_Toc164229360"/>
      <w:r/>
      <w:bookmarkStart w:id="41" w:name="_Toc150480757"/>
      <w:r/>
      <w:bookmarkStart w:id="42" w:name="_Toc150774724"/>
      <w:r/>
      <w:bookmarkStart w:id="43" w:name="_Toc150509270"/>
      <w:r/>
      <w:bookmarkStart w:id="44" w:name="_Toc127151720"/>
      <w:r/>
      <w:bookmarkStart w:id="45" w:name="_Toc520356144"/>
      <w:r/>
      <w:bookmarkStart w:id="46" w:name="_Toc226965792"/>
      <w:r/>
      <w:bookmarkStart w:id="47" w:name="_Toc164608788"/>
      <w:r>
        <w:rPr>
          <w:rFonts w:ascii="Times New Roman" w:hAnsi="Times New Roman" w:eastAsia="宋体"/>
          <w:sz w:val="28"/>
        </w:rPr>
        <w:t xml:space="preserve">供应商须知资料表</w:t>
      </w:r>
      <w:r/>
    </w:p>
    <w:p>
      <w:pPr>
        <w:ind w:firstLine="480"/>
        <w:spacing w:line="360" w:lineRule="exact"/>
        <w:rPr>
          <w:szCs w:val="21"/>
        </w:rPr>
      </w:pPr>
      <w:r>
        <w:rPr>
          <w:szCs w:val="21"/>
        </w:rPr>
        <w:t xml:space="preserve">本表是对供应商须知的具体补充和修改，如有矛盾，均以本资料表为准。标记</w:t>
      </w:r>
      <w:r>
        <w:rPr>
          <w:rFonts w:hint="eastAsia" w:ascii="宋体" w:hAnsi="宋体" w:cs="宋体"/>
          <w:color w:val="000000"/>
          <w:szCs w:val="21"/>
        </w:rPr>
        <w:t xml:space="preserve">“</w:t>
      </w:r>
      <w:r>
        <w:rPr>
          <w:rFonts w:hint="eastAsia" w:ascii="宋体" w:hAnsi="宋体" w:cs="宋体"/>
          <w:b/>
          <w:color w:val="000000"/>
          <w:szCs w:val="21"/>
        </w:rPr>
        <w:t xml:space="preserve">■</w:t>
      </w:r>
      <w:r>
        <w:rPr>
          <w:rFonts w:hint="eastAsia" w:ascii="宋体" w:hAnsi="宋体" w:cs="宋体"/>
          <w:color w:val="000000"/>
          <w:szCs w:val="21"/>
        </w:rPr>
        <w:t xml:space="preserve">”</w:t>
      </w:r>
      <w:r>
        <w:rPr>
          <w:szCs w:val="21"/>
        </w:rPr>
        <w:t xml:space="preserve">的选项意为适用于本项目，标记</w:t>
      </w:r>
      <w:r>
        <w:rPr>
          <w:rFonts w:hint="eastAsia" w:ascii="宋体" w:hAnsi="宋体" w:cs="宋体"/>
          <w:szCs w:val="21"/>
        </w:rPr>
        <w:t xml:space="preserve">“□”</w:t>
      </w:r>
      <w:r>
        <w:rPr>
          <w:szCs w:val="21"/>
        </w:rPr>
        <w:t xml:space="preserve">的选项意为不适用于本项目。</w:t>
      </w:r>
      <w:r/>
    </w:p>
    <w:tbl>
      <w:tblPr>
        <w:tblStyle w:val="93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1607"/>
        <w:gridCol w:w="6808"/>
      </w:tblGrid>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b/>
                <w:bCs/>
                <w:szCs w:val="21"/>
              </w:rPr>
            </w:pPr>
            <w:r>
              <w:rPr>
                <w:rFonts w:hint="eastAsia" w:ascii="宋体" w:hAnsi="宋体" w:cs="宋体"/>
                <w:b/>
                <w:bCs/>
                <w:szCs w:val="21"/>
              </w:rPr>
              <w:t xml:space="preserve">条款号</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b/>
                <w:bCs/>
                <w:szCs w:val="21"/>
              </w:rPr>
            </w:pPr>
            <w:r>
              <w:rPr>
                <w:rFonts w:hint="eastAsia" w:ascii="宋体" w:hAnsi="宋体" w:cs="宋体"/>
                <w:b/>
                <w:bCs/>
                <w:szCs w:val="21"/>
              </w:rPr>
              <w:t xml:space="preserve">条目</w:t>
            </w:r>
            <w:r/>
          </w:p>
        </w:tc>
        <w:tc>
          <w:tcPr>
            <w:tcW w:w="6808" w:type="dxa"/>
            <w:vAlign w:val="center"/>
            <w:textDirection w:val="lrTb"/>
            <w:noWrap w:val="false"/>
          </w:tcPr>
          <w:p>
            <w:pPr>
              <w:jc w:val="center"/>
              <w:keepLines w:val="0"/>
              <w:keepNext w:val="0"/>
              <w:pageBreakBefore w:val="0"/>
              <w:spacing w:line="240" w:lineRule="auto"/>
              <w:widowControl w:val="off"/>
              <w:rPr>
                <w:rFonts w:ascii="宋体" w:hAnsi="宋体" w:cs="宋体"/>
                <w:b/>
                <w:bCs/>
                <w:szCs w:val="21"/>
              </w:rPr>
            </w:pPr>
            <w:r>
              <w:rPr>
                <w:rFonts w:hint="eastAsia" w:ascii="宋体" w:hAnsi="宋体" w:cs="宋体"/>
                <w:b/>
                <w:bCs/>
                <w:szCs w:val="21"/>
              </w:rPr>
              <w:t xml:space="preserve">内容</w:t>
            </w:r>
            <w:r/>
          </w:p>
        </w:tc>
      </w:tr>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2.2</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项目属性</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项目属性：</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■服务</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□货物</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□工程</w:t>
            </w:r>
            <w:r/>
          </w:p>
        </w:tc>
      </w:tr>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2.3</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科研仪器设备</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是否属于科研仪器设备采购项目：</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□是</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■否</w:t>
            </w:r>
            <w:r/>
          </w:p>
        </w:tc>
      </w:tr>
      <w:tr>
        <w:trPr>
          <w:jc w:val="center"/>
          <w:trHeight w:val="23"/>
        </w:trPr>
        <w:tc>
          <w:tcPr>
            <w:tcW w:w="939" w:type="dxa"/>
            <w:vAlign w:val="center"/>
            <w:vMerge w:val="restart"/>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3.1</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现场考察</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■不组织</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□组织，考察时间：</w:t>
            </w:r>
            <w:r>
              <w:rPr>
                <w:rFonts w:hint="eastAsia" w:ascii="宋体" w:hAnsi="宋体" w:cs="宋体"/>
                <w:szCs w:val="21"/>
                <w:u w:val="single"/>
              </w:rPr>
              <w:t xml:space="preserve">  /  年  /  月  /  日  /  点  /  分</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考察地点：  /  。</w:t>
            </w:r>
            <w:r/>
          </w:p>
        </w:tc>
      </w:tr>
      <w:tr>
        <w:trPr>
          <w:jc w:val="center"/>
          <w:trHeight w:val="23"/>
        </w:trPr>
        <w:tc>
          <w:tcPr>
            <w:tcW w:w="939" w:type="dxa"/>
            <w:vAlign w:val="center"/>
            <w:vMerge w:val="continue"/>
            <w:textDirection w:val="lrTb"/>
            <w:noWrap w:val="false"/>
          </w:tcPr>
          <w:p>
            <w:pPr>
              <w:jc w:val="center"/>
              <w:keepLines w:val="0"/>
              <w:keepNext w:val="0"/>
              <w:pageBreakBefore w:val="0"/>
              <w:spacing w:line="240" w:lineRule="auto"/>
              <w:widowControl w:val="off"/>
              <w:rPr>
                <w:rFonts w:ascii="宋体" w:hAnsi="宋体" w:cs="宋体"/>
                <w:szCs w:val="21"/>
              </w:rPr>
            </w:pPr>
            <w:r>
              <w:rPr>
                <w:rFonts w:ascii="宋体" w:hAnsi="宋体" w:cs="宋体"/>
                <w:szCs w:val="21"/>
              </w:rPr>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磋商前答疑会</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■不召开</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□召开，召开时间：</w:t>
            </w:r>
            <w:r>
              <w:rPr>
                <w:rFonts w:hint="eastAsia" w:ascii="宋体" w:hAnsi="宋体" w:cs="宋体"/>
                <w:szCs w:val="21"/>
                <w:u w:val="single"/>
              </w:rPr>
              <w:t xml:space="preserve">  /  年  /  月  /  日  /  点  /  分</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召开地点：</w:t>
            </w:r>
            <w:r>
              <w:rPr>
                <w:rFonts w:hint="eastAsia" w:ascii="宋体" w:hAnsi="宋体" w:cs="宋体"/>
                <w:szCs w:val="21"/>
                <w:u w:val="single"/>
              </w:rPr>
              <w:t xml:space="preserve">  /  </w:t>
            </w:r>
            <w:r>
              <w:rPr>
                <w:rFonts w:hint="eastAsia" w:ascii="宋体" w:hAnsi="宋体" w:cs="宋体"/>
                <w:szCs w:val="21"/>
              </w:rPr>
              <w:t xml:space="preserve">。</w:t>
            </w:r>
            <w:r/>
          </w:p>
        </w:tc>
      </w:tr>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4.2.5</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标的所属行业</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本项目采购标的对应的中小企业划分标准</w:t>
            </w:r>
            <w:r>
              <w:rPr>
                <w:rFonts w:hint="eastAsia" w:ascii="宋体" w:hAnsi="宋体" w:cs="宋体"/>
                <w:szCs w:val="21"/>
                <w:highlight w:val="none"/>
              </w:rPr>
              <w:t xml:space="preserve">所属行业</w:t>
            </w:r>
            <w:r>
              <w:rPr>
                <w:rFonts w:hint="eastAsia" w:ascii="宋体" w:hAnsi="宋体" w:cs="宋体"/>
                <w:szCs w:val="21"/>
                <w:highlight w:val="none"/>
                <w:u w:val="none"/>
              </w:rPr>
              <w:t xml:space="preserve">：</w:t>
            </w:r>
            <w:r>
              <w:rPr>
                <w:rFonts w:hint="eastAsia" w:ascii="宋体" w:hAnsi="宋体" w:eastAsia="宋体" w:cs="宋体"/>
                <w:b/>
                <w:bCs/>
                <w:szCs w:val="21"/>
                <w:highlight w:val="none"/>
                <w:u w:val="single"/>
                <w:shd w:val="clear" w:color="auto" w:fill="ffffff"/>
              </w:rPr>
              <w:t xml:space="preserve">其他未列明行业</w:t>
            </w:r>
            <w:r/>
          </w:p>
        </w:tc>
      </w:tr>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10.2</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报价</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报价的特殊规定：</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□无</w:t>
            </w:r>
            <w:r/>
          </w:p>
          <w:p>
            <w:pPr>
              <w:jc w:val="left"/>
              <w:keepLines w:val="0"/>
              <w:keepNext w:val="0"/>
              <w:pageBreakBefore w:val="0"/>
              <w:spacing w:line="240" w:lineRule="auto"/>
              <w:widowControl w:val="off"/>
              <w:rPr>
                <w:rFonts w:ascii="宋体" w:hAnsi="宋体" w:cs="宋体"/>
                <w:szCs w:val="21"/>
                <w:highlight w:val="none"/>
                <w:u w:val="single"/>
                <w:shd w:val="clear" w:color="auto" w:fill="ffffff"/>
              </w:rPr>
            </w:pPr>
            <w:r>
              <w:rPr>
                <w:rFonts w:hint="eastAsia" w:ascii="宋体" w:hAnsi="宋体" w:cs="宋体"/>
                <w:szCs w:val="21"/>
              </w:rPr>
              <w:t xml:space="preserve">■有，具体情形：</w:t>
            </w:r>
            <w:r>
              <w:rPr>
                <w:rFonts w:hint="eastAsia" w:ascii="宋体" w:hAnsi="宋体" w:cs="宋体"/>
                <w:b/>
                <w:bCs/>
                <w:szCs w:val="21"/>
                <w:highlight w:val="none"/>
                <w:u w:val="single"/>
                <w:shd w:val="clear" w:color="auto" w:fill="ffffff"/>
              </w:rPr>
              <w:t xml:space="preserve">本项目采用二次报价，响应文件报价一览表的报价作为首次报价</w:t>
            </w:r>
            <w:r>
              <w:rPr>
                <w:rFonts w:hint="eastAsia" w:ascii="宋体" w:hAnsi="宋体" w:cs="宋体"/>
                <w:szCs w:val="21"/>
                <w:highlight w:val="none"/>
                <w:u w:val="single"/>
                <w:shd w:val="clear" w:color="auto" w:fill="ffffff"/>
              </w:rPr>
              <w:t xml:space="preserve">，在磋商结束后，磋商小组应当要求所有实质性响应的供应商在规定时间内提交最后报价，最后报价作为评审依据。</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highlight w:val="none"/>
                <w:u w:val="single"/>
                <w:shd w:val="clear" w:color="auto" w:fill="ffffff"/>
              </w:rPr>
              <w:t xml:space="preserve">成交人的最终报价即为成交价，成交人在合同签订前，须提交最终报价的分项报价清单，</w:t>
            </w:r>
            <w:r>
              <w:rPr>
                <w:rFonts w:hint="eastAsia" w:ascii="宋体" w:hAnsi="宋体" w:cs="宋体"/>
                <w:b/>
                <w:bCs/>
                <w:szCs w:val="21"/>
                <w:highlight w:val="none"/>
                <w:u w:val="single"/>
                <w:shd w:val="clear" w:color="auto" w:fill="ffffff"/>
              </w:rPr>
              <w:t xml:space="preserve">最终报价的单价按成交下浮率同步下浮。</w:t>
            </w:r>
            <w:r/>
          </w:p>
        </w:tc>
      </w:tr>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11.1</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磋商保证金</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免收</w:t>
            </w:r>
            <w:r/>
          </w:p>
        </w:tc>
      </w:tr>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12.1</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响应有效期</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自提交响应文件的截止之日起算</w:t>
            </w:r>
            <w:r>
              <w:rPr>
                <w:rFonts w:hint="eastAsia" w:ascii="宋体" w:hAnsi="宋体" w:cs="宋体"/>
                <w:szCs w:val="21"/>
                <w:u w:val="single"/>
              </w:rPr>
              <w:t xml:space="preserve">  60  </w:t>
            </w:r>
            <w:r>
              <w:rPr>
                <w:rFonts w:hint="eastAsia" w:ascii="宋体" w:hAnsi="宋体" w:cs="宋体"/>
                <w:szCs w:val="21"/>
              </w:rPr>
              <w:t xml:space="preserve">日历天。</w:t>
            </w:r>
            <w:r/>
          </w:p>
        </w:tc>
      </w:tr>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23.5</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分包</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本项目是否允许分包： </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■不允许</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□允许，具体要求：</w:t>
            </w:r>
            <w:r>
              <w:rPr>
                <w:rFonts w:hint="eastAsia" w:ascii="宋体" w:hAnsi="宋体" w:cs="宋体"/>
                <w:szCs w:val="21"/>
                <w:u w:val="single"/>
              </w:rPr>
              <w:t xml:space="preserve">  /  </w:t>
            </w:r>
            <w:r>
              <w:rPr>
                <w:rFonts w:hint="eastAsia" w:ascii="宋体" w:hAnsi="宋体" w:cs="宋体"/>
                <w:szCs w:val="21"/>
              </w:rPr>
              <w:t xml:space="preserve">。</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（1）可以分包履行的具体内容：</w:t>
            </w:r>
            <w:r>
              <w:rPr>
                <w:rFonts w:hint="eastAsia" w:ascii="宋体" w:hAnsi="宋体" w:cs="宋体"/>
                <w:szCs w:val="21"/>
                <w:u w:val="single"/>
              </w:rPr>
              <w:t xml:space="preserve">  /  </w:t>
            </w:r>
            <w:r>
              <w:rPr>
                <w:rFonts w:hint="eastAsia" w:ascii="宋体" w:hAnsi="宋体" w:cs="宋体"/>
                <w:szCs w:val="21"/>
              </w:rPr>
              <w:t xml:space="preserve">；</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（2）允许分包的金额或者比例：</w:t>
            </w:r>
            <w:r>
              <w:rPr>
                <w:rFonts w:hint="eastAsia" w:ascii="宋体" w:hAnsi="宋体" w:cs="宋体"/>
                <w:szCs w:val="21"/>
                <w:u w:val="single"/>
              </w:rPr>
              <w:t xml:space="preserve">  / </w:t>
            </w:r>
            <w:r>
              <w:rPr>
                <w:rFonts w:hint="eastAsia" w:ascii="宋体" w:hAnsi="宋体" w:cs="宋体"/>
                <w:szCs w:val="21"/>
              </w:rPr>
              <w:t xml:space="preserve"> ；</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（3）其他要求：</w:t>
            </w:r>
            <w:r>
              <w:rPr>
                <w:rFonts w:hint="eastAsia" w:ascii="宋体" w:hAnsi="宋体" w:cs="宋体"/>
                <w:szCs w:val="21"/>
                <w:u w:val="single"/>
              </w:rPr>
              <w:t xml:space="preserve">  /  </w:t>
            </w:r>
            <w:r>
              <w:rPr>
                <w:rFonts w:hint="eastAsia" w:ascii="宋体" w:hAnsi="宋体" w:cs="宋体"/>
                <w:szCs w:val="21"/>
              </w:rPr>
              <w:t xml:space="preserve">。</w:t>
            </w:r>
            <w:r/>
          </w:p>
        </w:tc>
      </w:tr>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24.1.1</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询问</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询问送达形式：</w:t>
            </w:r>
            <w:r>
              <w:rPr>
                <w:rFonts w:hint="eastAsia" w:ascii="宋体" w:hAnsi="宋体" w:cs="宋体"/>
                <w:szCs w:val="21"/>
                <w:lang w:val="zh-CN"/>
              </w:rPr>
              <w:t xml:space="preserve">以书面形式。</w:t>
            </w:r>
            <w:r/>
          </w:p>
        </w:tc>
      </w:tr>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24.3</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联系方式</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接收询问和质疑的联系方式</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联系部门：</w:t>
            </w:r>
            <w:r>
              <w:rPr>
                <w:rFonts w:hint="eastAsia" w:ascii="宋体" w:hAnsi="宋体" w:cs="宋体"/>
                <w:szCs w:val="21"/>
                <w:u w:val="single"/>
              </w:rPr>
              <w:t xml:space="preserve">溧阳市正投招投标有限公司综合办</w:t>
            </w:r>
            <w:r>
              <w:rPr>
                <w:rFonts w:hint="eastAsia" w:ascii="宋体" w:hAnsi="宋体" w:cs="宋体"/>
                <w:szCs w:val="21"/>
              </w:rPr>
              <w:t xml:space="preserve">；</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0519-87891880</w:t>
            </w:r>
            <w:r>
              <w:rPr>
                <w:rFonts w:hint="eastAsia" w:ascii="宋体" w:hAnsi="宋体" w:cs="宋体"/>
                <w:szCs w:val="21"/>
              </w:rPr>
              <w:t xml:space="preserve">；</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通讯地址：</w:t>
            </w:r>
            <w:r>
              <w:rPr>
                <w:rFonts w:hint="eastAsia" w:ascii="宋体" w:hAnsi="宋体" w:cs="宋体"/>
                <w:szCs w:val="21"/>
                <w:u w:val="single"/>
              </w:rPr>
              <w:t xml:space="preserve">溧阳市平陵西路258号1幢二楼西侧</w:t>
            </w:r>
            <w:r>
              <w:rPr>
                <w:rFonts w:hint="eastAsia" w:ascii="宋体" w:hAnsi="宋体" w:cs="宋体"/>
                <w:szCs w:val="21"/>
              </w:rPr>
              <w:t xml:space="preserve">。</w:t>
            </w:r>
            <w:r/>
          </w:p>
        </w:tc>
      </w:tr>
      <w:tr>
        <w:trPr>
          <w:jc w:val="center"/>
          <w:trHeight w:val="23"/>
        </w:trPr>
        <w:tc>
          <w:tcPr>
            <w:tcW w:w="939"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25</w:t>
            </w:r>
            <w:r/>
          </w:p>
        </w:tc>
        <w:tc>
          <w:tcPr>
            <w:tcW w:w="1607" w:type="dxa"/>
            <w:vAlign w:val="center"/>
            <w:textDirection w:val="lrTb"/>
            <w:noWrap w:val="false"/>
          </w:tcPr>
          <w:p>
            <w:pPr>
              <w:jc w:val="center"/>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代理费</w:t>
            </w:r>
            <w:r/>
          </w:p>
        </w:tc>
        <w:tc>
          <w:tcPr>
            <w:tcW w:w="6808" w:type="dxa"/>
            <w:vAlign w:val="center"/>
            <w:textDirection w:val="lrTb"/>
            <w:noWrap w:val="false"/>
          </w:tcPr>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收费对象：</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□采购人</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■成交供应商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因采购人预算包含代理费，本项目代理费由成交供应商支付</w:t>
            </w:r>
            <w:r>
              <w:rPr>
                <w:rFonts w:hint="eastAsia" w:ascii="宋体" w:hAnsi="宋体" w:cs="宋体"/>
                <w:szCs w:val="21"/>
                <w:highlight w:val="none"/>
                <w:lang w:eastAsia="zh-CN"/>
              </w:rPr>
              <w:t xml:space="preserve">）</w:t>
            </w:r>
            <w:r/>
          </w:p>
          <w:p>
            <w:pPr>
              <w:jc w:val="left"/>
              <w:keepLines w:val="0"/>
              <w:keepNext w:val="0"/>
              <w:pageBreakBefore w:val="0"/>
              <w:spacing w:line="240" w:lineRule="auto"/>
              <w:widowControl w:val="off"/>
              <w:rPr>
                <w:rFonts w:ascii="宋体" w:hAnsi="宋体" w:cs="宋体"/>
                <w:szCs w:val="21"/>
                <w:highlight w:val="yellow"/>
              </w:rPr>
            </w:pPr>
            <w:r>
              <w:rPr>
                <w:rFonts w:hint="eastAsia" w:ascii="宋体" w:hAnsi="宋体" w:cs="宋体"/>
                <w:szCs w:val="21"/>
              </w:rPr>
              <w:t xml:space="preserve">收费标准：</w:t>
            </w:r>
            <w:r>
              <w:rPr>
                <w:rFonts w:hint="eastAsia" w:ascii="宋体" w:hAnsi="宋体" w:cs="宋体"/>
                <w:szCs w:val="21"/>
                <w:u w:val="single"/>
                <w:lang w:val="en-US" w:eastAsia="zh-CN"/>
              </w:rPr>
              <w:t xml:space="preserve">根据</w:t>
            </w:r>
            <w:r>
              <w:rPr>
                <w:rFonts w:hint="eastAsia" w:ascii="宋体" w:hAnsi="宋体" w:cs="宋体"/>
                <w:szCs w:val="21"/>
                <w:highlight w:val="none"/>
                <w:u w:val="single"/>
                <w:lang w:val="en-US" w:eastAsia="zh-CN"/>
              </w:rPr>
              <w:t xml:space="preserve">苏政采协【2024】20号文</w:t>
            </w:r>
            <w:r>
              <w:rPr>
                <w:rFonts w:hint="eastAsia" w:ascii="宋体" w:hAnsi="宋体" w:cs="宋体"/>
                <w:szCs w:val="21"/>
                <w:u w:val="single"/>
              </w:rPr>
              <w:t xml:space="preserve">，</w:t>
            </w:r>
            <w:r>
              <w:rPr>
                <w:rFonts w:hint="eastAsia" w:ascii="宋体" w:hAnsi="宋体" w:eastAsia="宋体" w:cs="宋体"/>
                <w:szCs w:val="21"/>
                <w:highlight w:val="none"/>
                <w:u w:val="single"/>
              </w:rPr>
              <w:t xml:space="preserve">以中标金额为基数，收费比例按差额定率累进法计算，</w:t>
            </w:r>
            <w:r>
              <w:rPr>
                <w:rFonts w:hint="eastAsia" w:ascii="宋体" w:hAnsi="宋体" w:eastAsia="宋体" w:cs="宋体"/>
                <w:szCs w:val="21"/>
                <w:highlight w:val="none"/>
                <w:u w:val="single"/>
                <w:lang w:val="en-US" w:eastAsia="zh-CN"/>
              </w:rPr>
              <w:t xml:space="preserve">5</w:t>
            </w:r>
            <w:r>
              <w:rPr>
                <w:rFonts w:hint="eastAsia" w:ascii="宋体" w:hAnsi="宋体" w:eastAsia="宋体" w:cs="宋体"/>
                <w:szCs w:val="21"/>
                <w:highlight w:val="none"/>
                <w:u w:val="single"/>
              </w:rPr>
              <w:t xml:space="preserve">0万元以下1</w:t>
            </w:r>
            <w:r>
              <w:rPr>
                <w:rFonts w:hint="eastAsia" w:ascii="宋体" w:hAnsi="宋体" w:eastAsia="宋体" w:cs="宋体"/>
                <w:szCs w:val="21"/>
                <w:highlight w:val="none"/>
                <w:u w:val="single"/>
                <w:lang w:val="en-US" w:eastAsia="zh-CN"/>
              </w:rPr>
              <w:t xml:space="preserve">.6</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u w:val="single"/>
                <w:lang w:eastAsia="zh-CN"/>
              </w:rPr>
              <w:t xml:space="preserve">，</w:t>
            </w:r>
            <w:r>
              <w:rPr>
                <w:rFonts w:hint="eastAsia" w:ascii="宋体" w:hAnsi="宋体" w:cs="宋体"/>
                <w:szCs w:val="21"/>
                <w:u w:val="single"/>
                <w:lang w:val="en-US" w:eastAsia="zh-CN"/>
              </w:rPr>
              <w:t xml:space="preserve">50-400万元1.5%</w:t>
            </w:r>
            <w:r>
              <w:rPr>
                <w:rFonts w:hint="eastAsia" w:ascii="宋体" w:hAnsi="宋体" w:cs="宋体"/>
                <w:szCs w:val="21"/>
                <w:u w:val="single"/>
              </w:rPr>
              <w:t xml:space="preserve">。</w:t>
            </w:r>
            <w:r/>
          </w:p>
          <w:p>
            <w:pPr>
              <w:jc w:val="left"/>
              <w:keepLines w:val="0"/>
              <w:keepNext w:val="0"/>
              <w:pageBreakBefore w:val="0"/>
              <w:spacing w:line="240" w:lineRule="auto"/>
              <w:widowControl w:val="off"/>
              <w:rPr>
                <w:rFonts w:ascii="宋体" w:hAnsi="宋体" w:cs="宋体"/>
                <w:szCs w:val="21"/>
              </w:rPr>
            </w:pPr>
            <w:r>
              <w:rPr>
                <w:rFonts w:hint="eastAsia" w:ascii="宋体" w:hAnsi="宋体" w:cs="宋体"/>
                <w:szCs w:val="21"/>
              </w:rPr>
              <w:t xml:space="preserve">缴纳时间：</w:t>
            </w:r>
            <w:r>
              <w:rPr>
                <w:rFonts w:hint="eastAsia" w:ascii="宋体" w:hAnsi="宋体" w:cs="宋体"/>
                <w:szCs w:val="21"/>
                <w:u w:val="single"/>
                <w:lang w:val="en-US" w:eastAsia="zh-CN"/>
              </w:rPr>
              <w:t xml:space="preserve">成交单位应在领取中标通知书时将代理费支付至代理机构指定账户。</w:t>
            </w:r>
            <w:r/>
          </w:p>
        </w:tc>
      </w:tr>
    </w:tbl>
    <w:p>
      <w:pPr>
        <w:jc w:val="center"/>
        <w:spacing w:line="348" w:lineRule="auto"/>
        <w:rPr>
          <w:szCs w:val="30"/>
        </w:rPr>
      </w:pPr>
      <w:r/>
      <w:bookmarkStart w:id="48" w:name="_Toc264969209"/>
      <w:r/>
      <w:bookmarkStart w:id="49" w:name="_Toc305158787"/>
      <w:r/>
      <w:bookmarkStart w:id="50" w:name="_Toc265228357"/>
      <w:r/>
      <w:bookmarkStart w:id="51" w:name="_Toc305158861"/>
      <w:r/>
      <w:bookmarkStart w:id="52" w:name="_Toc127151554"/>
      <w:r/>
      <w:bookmarkStart w:id="53" w:name="_Toc226965827"/>
      <w:r/>
      <w:bookmarkStart w:id="54" w:name="_Toc150480792"/>
      <w:r/>
      <w:bookmarkStart w:id="55" w:name="_Toc353873664"/>
      <w:r/>
      <w:bookmarkStart w:id="56" w:name="_Toc265228392"/>
      <w:r/>
      <w:bookmarkStart w:id="57" w:name="_Toc353825544"/>
      <w:r/>
      <w:bookmarkStart w:id="58" w:name="_Toc142311056"/>
      <w:r/>
      <w:bookmarkStart w:id="59" w:name="_Toc305158822"/>
      <w:r/>
      <w:bookmarkStart w:id="60" w:name="_Toc150774759"/>
      <w:r/>
      <w:bookmarkStart w:id="61" w:name="_Toc226337250"/>
      <w:r/>
      <w:bookmarkStart w:id="62" w:name="_Toc353873934"/>
      <w:r/>
      <w:bookmarkStart w:id="63" w:name="_Toc264969244"/>
      <w:r/>
      <w:bookmarkStart w:id="64" w:name="_Toc305158896"/>
      <w:r>
        <w:rPr>
          <w:rFonts w:hint="eastAsia"/>
          <w:szCs w:val="30"/>
        </w:rPr>
        <w:br w:type="page" w:clear="all"/>
      </w:r>
      <w:bookmarkEnd w:id="48"/>
      <w:r/>
      <w:bookmarkEnd w:id="49"/>
      <w:r/>
      <w:bookmarkEnd w:id="50"/>
      <w:r/>
      <w:bookmarkEnd w:id="51"/>
      <w:r>
        <w:rPr>
          <w:rFonts w:hint="eastAsia"/>
          <w:b/>
          <w:sz w:val="30"/>
          <w:szCs w:val="30"/>
        </w:rPr>
        <w:t xml:space="preserve">供应商须知</w:t>
      </w:r>
      <w:r/>
    </w:p>
    <w:p>
      <w:pPr>
        <w:jc w:val="center"/>
        <w:spacing w:line="348" w:lineRule="auto"/>
        <w:tabs>
          <w:tab w:val="left" w:pos="360" w:leader="none"/>
        </w:tabs>
        <w:rPr>
          <w:rFonts w:ascii="宋体" w:hAnsi="宋体" w:cs="宋体"/>
          <w:szCs w:val="21"/>
        </w:rPr>
        <w:outlineLvl w:val="1"/>
      </w:pPr>
      <w:r/>
      <w:bookmarkStart w:id="65" w:name="_Toc127151518"/>
      <w:r/>
      <w:bookmarkStart w:id="66" w:name="_Toc151193906"/>
      <w:r/>
      <w:bookmarkStart w:id="67" w:name="_Toc305158786"/>
      <w:r/>
      <w:bookmarkStart w:id="68" w:name="_Toc226965708"/>
      <w:r/>
      <w:bookmarkStart w:id="69" w:name="_Toc265228356"/>
      <w:r/>
      <w:bookmarkStart w:id="70" w:name="_Toc226309762"/>
      <w:r/>
      <w:bookmarkStart w:id="71" w:name="_Toc264969208"/>
      <w:r/>
      <w:bookmarkStart w:id="72" w:name="_Toc142311020"/>
      <w:r/>
      <w:bookmarkStart w:id="73" w:name="_Toc150480756"/>
      <w:r/>
      <w:bookmarkStart w:id="74" w:name="_Toc226337214"/>
      <w:r/>
      <w:bookmarkStart w:id="75" w:name="_Toc150774723"/>
      <w:r/>
      <w:bookmarkStart w:id="76" w:name="_Toc151193616"/>
      <w:r/>
      <w:bookmarkStart w:id="77" w:name="_Toc150509269"/>
      <w:r/>
      <w:bookmarkStart w:id="78" w:name="_Toc150774618"/>
      <w:r/>
      <w:bookmarkStart w:id="79" w:name="_Toc195842883"/>
      <w:r/>
      <w:bookmarkStart w:id="80" w:name="_Toc151190145"/>
      <w:r/>
      <w:bookmarkStart w:id="81" w:name="_Toc520356143"/>
      <w:r/>
      <w:bookmarkStart w:id="82" w:name="_Toc151193688"/>
      <w:r/>
      <w:bookmarkStart w:id="83" w:name="_Toc151193760"/>
      <w:r/>
      <w:bookmarkStart w:id="84" w:name="_Toc226965791"/>
      <w:r/>
      <w:bookmarkStart w:id="85" w:name="_Toc305158860"/>
      <w:r/>
      <w:bookmarkStart w:id="86" w:name="_Toc151193832"/>
      <w:r>
        <w:rPr>
          <w:b/>
          <w:sz w:val="28"/>
          <w:szCs w:val="28"/>
        </w:rPr>
        <w:t xml:space="preserve">一</w:t>
      </w:r>
      <w:r>
        <w:rPr>
          <w:rFonts w:hint="eastAsia"/>
          <w:b/>
          <w:sz w:val="28"/>
          <w:szCs w:val="28"/>
        </w:rPr>
        <w:t xml:space="preserve">、</w:t>
      </w:r>
      <w:r>
        <w:rPr>
          <w:b/>
          <w:sz w:val="28"/>
          <w:szCs w:val="28"/>
        </w:rPr>
        <w:t xml:space="preserve">说  明</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
    </w:p>
    <w:p>
      <w:pPr>
        <w:pStyle w:val="986"/>
        <w:spacing w:line="348" w:lineRule="auto"/>
        <w:rPr>
          <w:rFonts w:hint="eastAsia"/>
        </w:rPr>
      </w:pPr>
      <w:r>
        <w:rPr>
          <w:rFonts w:hint="eastAsia"/>
        </w:rPr>
      </w:r>
      <w:r/>
    </w:p>
    <w:p>
      <w:pPr>
        <w:numPr>
          <w:ilvl w:val="0"/>
          <w:numId w:val="9"/>
        </w:numPr>
        <w:ind w:left="357" w:hanging="357"/>
        <w:spacing w:line="348" w:lineRule="auto"/>
        <w:tabs>
          <w:tab w:val="left" w:pos="360" w:leader="none"/>
          <w:tab w:val="clear" w:pos="900" w:leader="none"/>
        </w:tabs>
        <w:rPr>
          <w:rFonts w:ascii="宋体" w:hAnsi="宋体" w:cs="宋体"/>
          <w:szCs w:val="21"/>
        </w:rPr>
        <w:outlineLvl w:val="1"/>
      </w:pPr>
      <w:r>
        <w:rPr>
          <w:rFonts w:hint="eastAsia" w:ascii="宋体" w:hAnsi="宋体" w:cs="宋体"/>
          <w:szCs w:val="21"/>
        </w:rPr>
        <w:t xml:space="preserve">采购人、采购代理机构、供应商、联合体</w:t>
      </w:r>
      <w:r/>
    </w:p>
    <w:p>
      <w:pPr>
        <w:numPr>
          <w:ilvl w:val="1"/>
          <w:numId w:val="9"/>
        </w:numPr>
        <w:ind w:left="1080" w:hanging="720"/>
        <w:spacing w:line="348" w:lineRule="auto"/>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采购人、采购代理机构：指依法进行政府采购的国家机关、事业单位、团体组织，及其委托的采购代理机构。本项目采购人、采购代理机构见第一章《采购邀请》。</w:t>
      </w:r>
      <w:r/>
    </w:p>
    <w:p>
      <w:pPr>
        <w:numPr>
          <w:ilvl w:val="1"/>
          <w:numId w:val="9"/>
        </w:numPr>
        <w:ind w:left="1080" w:hanging="720"/>
        <w:spacing w:line="348" w:lineRule="auto"/>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供应商（也称“申请人”）：指向采购人提供货物、工程或者服务的法人、其他组织或者自然人。</w:t>
      </w:r>
      <w:r/>
    </w:p>
    <w:p>
      <w:pPr>
        <w:numPr>
          <w:ilvl w:val="1"/>
          <w:numId w:val="9"/>
        </w:numPr>
        <w:ind w:left="1080" w:hanging="720"/>
        <w:spacing w:line="348" w:lineRule="auto"/>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联合体：指两个以上的自然人、法人或者其他组织组成一个联合体，以一个供应商的身份共同参加政府采购。</w:t>
      </w:r>
      <w:r/>
    </w:p>
    <w:p>
      <w:pPr>
        <w:numPr>
          <w:ilvl w:val="0"/>
          <w:numId w:val="9"/>
        </w:numPr>
        <w:ind w:left="357" w:hanging="357"/>
        <w:spacing w:line="348" w:lineRule="auto"/>
        <w:tabs>
          <w:tab w:val="left" w:pos="360" w:leader="none"/>
          <w:tab w:val="clear" w:pos="900" w:leader="none"/>
        </w:tabs>
        <w:rPr>
          <w:rFonts w:ascii="宋体" w:hAnsi="宋体" w:cs="宋体"/>
          <w:szCs w:val="21"/>
        </w:rPr>
        <w:outlineLvl w:val="1"/>
      </w:pPr>
      <w:r/>
      <w:bookmarkStart w:id="87" w:name="_Toc164608789"/>
      <w:r/>
      <w:bookmarkStart w:id="88" w:name="_Toc150774620"/>
      <w:r/>
      <w:bookmarkStart w:id="89" w:name="_Toc226337216"/>
      <w:r/>
      <w:bookmarkStart w:id="90" w:name="_Toc150509271"/>
      <w:r/>
      <w:bookmarkStart w:id="91" w:name="_Toc305158788"/>
      <w:r/>
      <w:bookmarkStart w:id="92" w:name="_Toc265228358"/>
      <w:r/>
      <w:bookmarkStart w:id="93" w:name="_Toc127151721"/>
      <w:r/>
      <w:bookmarkStart w:id="94" w:name="_Toc151193618"/>
      <w:r/>
      <w:bookmarkStart w:id="95" w:name="_Toc150774725"/>
      <w:r/>
      <w:bookmarkStart w:id="96" w:name="_Toc305158862"/>
      <w:r/>
      <w:bookmarkStart w:id="97" w:name="_Toc151193762"/>
      <w:r/>
      <w:bookmarkStart w:id="98" w:name="_Toc150480758"/>
      <w:r/>
      <w:bookmarkStart w:id="99" w:name="_Toc264969210"/>
      <w:r/>
      <w:bookmarkStart w:id="100" w:name="_Toc127151520"/>
      <w:r/>
      <w:bookmarkStart w:id="101" w:name="_Toc151193908"/>
      <w:r/>
      <w:bookmarkStart w:id="102" w:name="_Toc195842885"/>
      <w:r/>
      <w:bookmarkStart w:id="103" w:name="_Toc127161434"/>
      <w:r/>
      <w:bookmarkStart w:id="104" w:name="_Toc164229215"/>
      <w:r/>
      <w:bookmarkStart w:id="105" w:name="_Toc164229361"/>
      <w:r/>
      <w:bookmarkStart w:id="106" w:name="_Toc226309764"/>
      <w:r/>
      <w:bookmarkStart w:id="107" w:name="_Toc151190147"/>
      <w:r/>
      <w:bookmarkStart w:id="108" w:name="_Toc164351614"/>
      <w:r/>
      <w:bookmarkStart w:id="109" w:name="_Toc151193690"/>
      <w:r/>
      <w:bookmarkStart w:id="110" w:name="_Toc226965793"/>
      <w:r/>
      <w:bookmarkStart w:id="111" w:name="_Toc164608634"/>
      <w:r/>
      <w:bookmarkStart w:id="112" w:name="_Toc151193834"/>
      <w:r/>
      <w:bookmarkStart w:id="113" w:name="_Toc226965710"/>
      <w:r/>
      <w:bookmarkStart w:id="114" w:name="_Toc142311022"/>
      <w:r/>
      <w:bookmarkStart w:id="115" w:name="_Toc149720813"/>
      <w:r>
        <w:rPr>
          <w:rFonts w:hint="eastAsia" w:ascii="宋体" w:hAnsi="宋体" w:cs="宋体"/>
          <w:szCs w:val="21"/>
        </w:rPr>
        <w:t xml:space="preserve">资金来源</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hint="eastAsia" w:ascii="宋体" w:hAnsi="宋体" w:cs="宋体"/>
          <w:szCs w:val="21"/>
        </w:rPr>
        <w:t xml:space="preserve">、项目属性、科研仪器设备采购</w:t>
      </w:r>
      <w:r/>
    </w:p>
    <w:p>
      <w:pPr>
        <w:numPr>
          <w:ilvl w:val="1"/>
          <w:numId w:val="9"/>
        </w:numPr>
        <w:ind w:left="1080"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资金来源为财政性资金和/或本项目采购中无法与财政性资金分割的非财政性资金。</w:t>
      </w:r>
      <w:r/>
    </w:p>
    <w:p>
      <w:pPr>
        <w:numPr>
          <w:ilvl w:val="1"/>
          <w:numId w:val="9"/>
        </w:numPr>
        <w:ind w:left="1080"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项目属性见《供应商须知资料表》。</w:t>
      </w:r>
      <w:r/>
    </w:p>
    <w:p>
      <w:pPr>
        <w:numPr>
          <w:ilvl w:val="1"/>
          <w:numId w:val="9"/>
        </w:numPr>
        <w:ind w:left="1080"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是否属于科研仪器设备采购见《供应商须知资料表》。</w:t>
      </w:r>
      <w:r/>
    </w:p>
    <w:p>
      <w:pPr>
        <w:numPr>
          <w:ilvl w:val="0"/>
          <w:numId w:val="9"/>
        </w:numPr>
        <w:ind w:left="357" w:hanging="357"/>
        <w:spacing w:line="348" w:lineRule="auto"/>
        <w:tabs>
          <w:tab w:val="left" w:pos="360" w:leader="none"/>
        </w:tabs>
        <w:rPr>
          <w:rFonts w:ascii="宋体" w:hAnsi="宋体" w:cs="宋体"/>
          <w:szCs w:val="21"/>
        </w:rPr>
        <w:outlineLvl w:val="1"/>
      </w:pPr>
      <w:r>
        <w:rPr>
          <w:rFonts w:hint="eastAsia" w:ascii="宋体" w:hAnsi="宋体" w:cs="宋体"/>
          <w:szCs w:val="21"/>
        </w:rPr>
        <w:t xml:space="preserve">现场考察、磋商前答疑会</w:t>
      </w:r>
      <w:r/>
    </w:p>
    <w:p>
      <w:pPr>
        <w:numPr>
          <w:ilvl w:val="1"/>
          <w:numId w:val="9"/>
        </w:numPr>
        <w:ind w:left="1080"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若《供应商须知资料表》中规定了组织现场考察、召开磋商前答疑会，则供应商应按要求在规定的时间和地点参加。</w:t>
      </w:r>
      <w:bookmarkStart w:id="116" w:name="_Toc195842887"/>
      <w:r/>
      <w:bookmarkStart w:id="117" w:name="_Toc150509273"/>
      <w:r/>
      <w:bookmarkStart w:id="118" w:name="_Toc265228360"/>
      <w:r/>
      <w:bookmarkStart w:id="119" w:name="_Toc150774727"/>
      <w:r/>
      <w:bookmarkStart w:id="120" w:name="_Toc151190149"/>
      <w:r/>
      <w:bookmarkStart w:id="121" w:name="_Toc150774622"/>
      <w:r/>
      <w:bookmarkStart w:id="122" w:name="_Toc151193764"/>
      <w:r/>
      <w:bookmarkStart w:id="123" w:name="_Toc226965795"/>
      <w:r/>
      <w:bookmarkStart w:id="124" w:name="_Toc150480760"/>
      <w:r/>
      <w:bookmarkStart w:id="125" w:name="_Toc305158790"/>
      <w:r/>
      <w:bookmarkStart w:id="126" w:name="_Toc520356146"/>
      <w:r/>
      <w:bookmarkStart w:id="127" w:name="_Toc151193620"/>
      <w:r/>
      <w:bookmarkStart w:id="128" w:name="_Toc127151522"/>
      <w:r/>
      <w:bookmarkStart w:id="129" w:name="_Toc226965712"/>
      <w:r/>
      <w:bookmarkStart w:id="130" w:name="_Toc142311024"/>
      <w:r/>
      <w:bookmarkStart w:id="131" w:name="_Toc226309766"/>
      <w:r/>
      <w:bookmarkStart w:id="132" w:name="_Toc151193836"/>
      <w:r/>
      <w:bookmarkStart w:id="133" w:name="_Toc305158864"/>
      <w:r/>
      <w:bookmarkStart w:id="134" w:name="_Toc151193692"/>
      <w:r/>
      <w:bookmarkStart w:id="135" w:name="_Toc264969212"/>
      <w:r/>
      <w:bookmarkStart w:id="136" w:name="_Toc151193910"/>
      <w:r/>
      <w:bookmarkStart w:id="137" w:name="_Toc226337218"/>
      <w:r/>
      <w:r/>
    </w:p>
    <w:p>
      <w:pPr>
        <w:numPr>
          <w:ilvl w:val="1"/>
          <w:numId w:val="9"/>
        </w:numPr>
        <w:ind w:left="1080"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9"/>
        </w:numPr>
        <w:ind w:left="357" w:hanging="357"/>
        <w:spacing w:line="348" w:lineRule="auto"/>
        <w:tabs>
          <w:tab w:val="left" w:pos="360" w:leader="none"/>
          <w:tab w:val="clear" w:pos="900" w:leader="none"/>
        </w:tabs>
        <w:rPr>
          <w:rFonts w:ascii="宋体" w:hAnsi="宋体" w:cs="宋体"/>
          <w:szCs w:val="21"/>
        </w:rPr>
        <w:outlineLvl w:val="1"/>
      </w:pPr>
      <w:r>
        <w:rPr>
          <w:rFonts w:hint="eastAsia" w:ascii="宋体" w:hAnsi="宋体" w:cs="宋体"/>
          <w:szCs w:val="21"/>
        </w:rPr>
        <w:t xml:space="preserve">政府采购政策（包括但不限于下列具体政策要求）</w:t>
      </w:r>
      <w:r/>
    </w:p>
    <w:p>
      <w:pPr>
        <w:numPr>
          <w:ilvl w:val="1"/>
          <w:numId w:val="9"/>
        </w:numPr>
        <w:ind w:left="1080"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进口产品</w:t>
      </w:r>
      <w:r/>
    </w:p>
    <w:p>
      <w:pPr>
        <w:numPr>
          <w:ilvl w:val="2"/>
          <w:numId w:val="9"/>
        </w:numPr>
        <w:spacing w:line="348" w:lineRule="auto"/>
        <w:tabs>
          <w:tab w:val="left" w:pos="2014" w:leader="none"/>
        </w:tabs>
        <w:rPr>
          <w:rFonts w:ascii="宋体" w:hAnsi="宋体" w:cs="宋体"/>
          <w:szCs w:val="21"/>
        </w:rPr>
      </w:pPr>
      <w:r>
        <w:rPr>
          <w:rFonts w:hint="eastAsia" w:ascii="宋体" w:hAnsi="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中小企业、监狱企业及残疾人福利性单位</w:t>
      </w:r>
      <w:r/>
    </w:p>
    <w:p>
      <w:pPr>
        <w:numPr>
          <w:ilvl w:val="2"/>
          <w:numId w:val="9"/>
        </w:numPr>
        <w:spacing w:line="348" w:lineRule="auto"/>
        <w:rPr>
          <w:rFonts w:ascii="宋体" w:hAnsi="宋体" w:cs="宋体"/>
          <w:szCs w:val="21"/>
        </w:rPr>
      </w:pPr>
      <w:r>
        <w:rPr>
          <w:rFonts w:hint="eastAsia" w:ascii="宋体" w:hAnsi="宋体" w:cs="宋体"/>
          <w:szCs w:val="21"/>
        </w:rPr>
        <w:t xml:space="preserve">中小企业定义：</w:t>
      </w:r>
      <w:r/>
    </w:p>
    <w:p>
      <w:pPr>
        <w:numPr>
          <w:ilvl w:val="3"/>
          <w:numId w:val="9"/>
        </w:numPr>
        <w:ind w:left="2885"/>
        <w:spacing w:line="348" w:lineRule="auto"/>
        <w:tabs>
          <w:tab w:val="clear" w:pos="900" w:leader="none"/>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color w:val="000000"/>
          <w:szCs w:val="21"/>
        </w:rPr>
        <w:t xml:space="preserve">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48" w:lineRule="auto"/>
        <w:tabs>
          <w:tab w:val="clear" w:pos="900" w:leader="none"/>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供应商提供的货物、工程或者服务符合下列情形的，享受中小企业扶持政策：</w:t>
      </w:r>
      <w:r/>
    </w:p>
    <w:p>
      <w:pPr>
        <w:ind w:left="2835"/>
        <w:spacing w:line="348" w:lineRule="auto"/>
        <w:tabs>
          <w:tab w:val="left" w:pos="1980" w:leader="none"/>
        </w:tabs>
        <w:rPr>
          <w:rFonts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p>
    <w:p>
      <w:pPr>
        <w:ind w:left="2835"/>
        <w:spacing w:line="348" w:lineRule="auto"/>
        <w:tabs>
          <w:tab w:val="left" w:pos="1980" w:leader="none"/>
        </w:tabs>
        <w:rPr>
          <w:rFonts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p>
    <w:p>
      <w:pPr>
        <w:ind w:left="2835"/>
        <w:spacing w:line="348" w:lineRule="auto"/>
        <w:tabs>
          <w:tab w:val="left" w:pos="1980" w:leader="none"/>
        </w:tabs>
        <w:rPr>
          <w:rFonts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p>
    <w:p>
      <w:pPr>
        <w:numPr>
          <w:ilvl w:val="3"/>
          <w:numId w:val="9"/>
        </w:numPr>
        <w:ind w:left="2885"/>
        <w:spacing w:line="348" w:lineRule="auto"/>
        <w:tabs>
          <w:tab w:val="clear" w:pos="900" w:leader="none"/>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p>
    <w:p>
      <w:pPr>
        <w:numPr>
          <w:ilvl w:val="3"/>
          <w:numId w:val="9"/>
        </w:numPr>
        <w:ind w:left="2885"/>
        <w:spacing w:line="348" w:lineRule="auto"/>
        <w:tabs>
          <w:tab w:val="clear" w:pos="900" w:leader="none"/>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color w:val="000000"/>
          <w:szCs w:val="21"/>
        </w:rPr>
        <w:t xml:space="preserve">以联合体形式参加政府采购活动，联合体各方均为中小企业的，联合体视同中小企业。其中，联合体各方均为小微企业的，联合体视同小微企业。</w:t>
      </w:r>
      <w:r/>
    </w:p>
    <w:p>
      <w:pPr>
        <w:numPr>
          <w:ilvl w:val="2"/>
          <w:numId w:val="9"/>
        </w:numPr>
        <w:spacing w:line="348" w:lineRule="auto"/>
        <w:rPr>
          <w:rFonts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48" w:lineRule="auto"/>
        <w:rPr>
          <w:rFonts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p>
    <w:p>
      <w:pPr>
        <w:pStyle w:val="1196"/>
        <w:numPr>
          <w:ilvl w:val="2"/>
          <w:numId w:val="9"/>
        </w:numPr>
        <w:spacing w:line="348" w:lineRule="auto"/>
        <w:tabs>
          <w:tab w:val="left" w:pos="2035" w:leader="none"/>
          <w:tab w:val="left" w:pos="2977" w:leader="none"/>
        </w:tabs>
        <w:rPr>
          <w:rFonts w:ascii="宋体" w:hAnsi="宋体" w:cs="宋体"/>
          <w:vanish/>
          <w:color w:val="000000"/>
          <w:szCs w:val="21"/>
        </w:rPr>
      </w:pPr>
      <w:r>
        <w:rPr>
          <w:rFonts w:ascii="宋体" w:hAnsi="宋体" w:cs="宋体"/>
          <w:vanish/>
          <w:color w:val="000000"/>
          <w:szCs w:val="21"/>
        </w:rPr>
      </w:r>
      <w:r/>
    </w:p>
    <w:p>
      <w:pPr>
        <w:pStyle w:val="1196"/>
        <w:numPr>
          <w:ilvl w:val="2"/>
          <w:numId w:val="9"/>
        </w:numPr>
        <w:spacing w:line="348" w:lineRule="auto"/>
        <w:tabs>
          <w:tab w:val="left" w:pos="2035" w:leader="none"/>
          <w:tab w:val="left" w:pos="2977" w:leader="none"/>
        </w:tabs>
        <w:rPr>
          <w:rFonts w:ascii="宋体" w:hAnsi="宋体" w:cs="宋体"/>
          <w:vanish/>
          <w:color w:val="000000"/>
          <w:szCs w:val="21"/>
        </w:rPr>
      </w:pPr>
      <w:r>
        <w:rPr>
          <w:rFonts w:ascii="宋体" w:hAnsi="宋体" w:cs="宋体"/>
          <w:vanish/>
          <w:color w:val="000000"/>
          <w:szCs w:val="21"/>
        </w:rPr>
      </w:r>
      <w:r/>
    </w:p>
    <w:p>
      <w:pPr>
        <w:numPr>
          <w:ilvl w:val="3"/>
          <w:numId w:val="9"/>
        </w:numPr>
        <w:ind w:left="2885"/>
        <w:spacing w:line="348" w:lineRule="auto"/>
        <w:tabs>
          <w:tab w:val="clear" w:pos="900" w:leader="none"/>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color w:val="000000"/>
          <w:szCs w:val="21"/>
        </w:rPr>
        <w:t xml:space="preserve">安置的残疾人占本单位在职职工人数的比例不低于25%（含25%），并且安置的残疾人人数不少于10 人（含10 人）；</w:t>
      </w:r>
      <w:r/>
    </w:p>
    <w:p>
      <w:pPr>
        <w:numPr>
          <w:ilvl w:val="3"/>
          <w:numId w:val="9"/>
        </w:numPr>
        <w:ind w:left="2885"/>
        <w:spacing w:line="348" w:lineRule="auto"/>
        <w:tabs>
          <w:tab w:val="clear" w:pos="900" w:leader="none"/>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依法与安置的每位残疾人签订了一年以上（含一年）的劳动合同或服务协议；</w:t>
      </w:r>
      <w:r/>
    </w:p>
    <w:p>
      <w:pPr>
        <w:numPr>
          <w:ilvl w:val="3"/>
          <w:numId w:val="9"/>
        </w:numPr>
        <w:ind w:left="2885"/>
        <w:spacing w:line="348" w:lineRule="auto"/>
        <w:tabs>
          <w:tab w:val="clear" w:pos="900" w:leader="none"/>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为安置的每位残疾人按月足额缴纳了基本养老保险、基本医疗保险、失业保险、工伤保险和生育保险等社会保险费；</w:t>
      </w:r>
      <w:r/>
    </w:p>
    <w:p>
      <w:pPr>
        <w:numPr>
          <w:ilvl w:val="3"/>
          <w:numId w:val="9"/>
        </w:numPr>
        <w:ind w:left="2885"/>
        <w:spacing w:line="348" w:lineRule="auto"/>
        <w:tabs>
          <w:tab w:val="clear" w:pos="900" w:leader="none"/>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通过银行等金融机构向安置的每位残疾人，按月支付了不低于单位所在区县适用的经省级人民政府批准的月最低工资标准的工资；</w:t>
      </w:r>
      <w:r/>
    </w:p>
    <w:p>
      <w:pPr>
        <w:numPr>
          <w:ilvl w:val="3"/>
          <w:numId w:val="9"/>
        </w:numPr>
        <w:ind w:left="2885"/>
        <w:spacing w:line="348" w:lineRule="auto"/>
        <w:tabs>
          <w:tab w:val="clear" w:pos="900" w:leader="none"/>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48" w:lineRule="auto"/>
        <w:tabs>
          <w:tab w:val="clear" w:pos="900" w:leader="none"/>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48" w:lineRule="auto"/>
        <w:rPr>
          <w:rFonts w:ascii="宋体" w:hAnsi="宋体" w:cs="宋体"/>
          <w:szCs w:val="21"/>
        </w:rPr>
      </w:pPr>
      <w:r>
        <w:rPr>
          <w:rFonts w:hint="eastAsia" w:ascii="宋体" w:hAnsi="宋体" w:cs="宋体"/>
          <w:szCs w:val="21"/>
        </w:rPr>
        <w:t xml:space="preserve">本项目是否专门面向中小企业预留采购份额见第一章《采购邀请》。</w:t>
      </w:r>
      <w:r/>
    </w:p>
    <w:p>
      <w:pPr>
        <w:numPr>
          <w:ilvl w:val="2"/>
          <w:numId w:val="9"/>
        </w:numPr>
        <w:spacing w:line="348" w:lineRule="auto"/>
        <w:rPr>
          <w:rFonts w:ascii="宋体" w:hAnsi="宋体" w:cs="宋体"/>
          <w:szCs w:val="21"/>
        </w:rPr>
      </w:pPr>
      <w:r>
        <w:rPr>
          <w:rFonts w:hint="eastAsia" w:ascii="宋体" w:hAnsi="宋体" w:cs="宋体"/>
          <w:szCs w:val="21"/>
        </w:rPr>
        <w:t xml:space="preserve">采购标的对应的中小企业划分标准所属行业见《供应商须知资料表》。</w:t>
      </w:r>
      <w:r/>
    </w:p>
    <w:p>
      <w:pPr>
        <w:numPr>
          <w:ilvl w:val="2"/>
          <w:numId w:val="9"/>
        </w:numPr>
        <w:spacing w:line="348" w:lineRule="auto"/>
        <w:rPr>
          <w:rFonts w:ascii="宋体" w:hAnsi="宋体" w:cs="宋体"/>
          <w:szCs w:val="21"/>
        </w:rPr>
      </w:pPr>
      <w:r>
        <w:rPr>
          <w:rFonts w:hint="eastAsia" w:ascii="宋体" w:hAnsi="宋体" w:cs="宋体"/>
          <w:szCs w:val="21"/>
        </w:rPr>
        <w:t xml:space="preserve">小微企业价格评审优惠的政策调整：见第三章《评审方法和评审标准》。</w:t>
      </w:r>
      <w:r/>
    </w:p>
    <w:p>
      <w:pPr>
        <w:numPr>
          <w:ilvl w:val="1"/>
          <w:numId w:val="9"/>
        </w:numPr>
        <w:ind w:left="1080"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政府采购节能产品、环境标志产品</w:t>
      </w:r>
      <w:r/>
    </w:p>
    <w:p>
      <w:pPr>
        <w:numPr>
          <w:ilvl w:val="2"/>
          <w:numId w:val="9"/>
        </w:numPr>
        <w:spacing w:line="348" w:lineRule="auto"/>
        <w:rPr>
          <w:rFonts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48" w:lineRule="auto"/>
        <w:rPr>
          <w:rFonts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48" w:lineRule="auto"/>
        <w:rPr>
          <w:rFonts w:ascii="宋体" w:hAnsi="宋体" w:cs="宋体"/>
          <w:szCs w:val="21"/>
        </w:rPr>
      </w:pPr>
      <w:r>
        <w:rPr>
          <w:rFonts w:hint="eastAsia" w:ascii="宋体" w:hAnsi="宋体" w:cs="宋体"/>
          <w:szCs w:val="21"/>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Cs w:val="21"/>
        </w:rPr>
        <w:t xml:space="preserve">否则</w:t>
      </w:r>
      <w:r>
        <w:rPr>
          <w:rFonts w:hint="eastAsia" w:ascii="宋体" w:hAnsi="宋体" w:cs="宋体"/>
          <w:b/>
          <w:szCs w:val="21"/>
        </w:rPr>
        <w:t xml:space="preserve">响应无效</w:t>
      </w:r>
      <w:r>
        <w:rPr>
          <w:rFonts w:hint="eastAsia" w:ascii="宋体" w:hAnsi="宋体" w:cs="宋体"/>
          <w:szCs w:val="21"/>
        </w:rPr>
        <w:t xml:space="preserve">；</w:t>
      </w:r>
      <w:r/>
    </w:p>
    <w:p>
      <w:pPr>
        <w:numPr>
          <w:ilvl w:val="2"/>
          <w:numId w:val="9"/>
        </w:numPr>
        <w:spacing w:line="348" w:lineRule="auto"/>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非政府强制采购的节能产品或环境标志产品，依据品目清单和认证证书实施政府优先采购。优先采购的具体规定见第三章《评审方法和评审标准》（如涉及）。</w:t>
      </w:r>
      <w:r/>
    </w:p>
    <w:p>
      <w:pPr>
        <w:numPr>
          <w:ilvl w:val="2"/>
          <w:numId w:val="9"/>
        </w:numPr>
        <w:spacing w:line="348" w:lineRule="auto"/>
        <w:tabs>
          <w:tab w:val="left" w:pos="2014" w:leader="none"/>
        </w:tabs>
        <w:rPr>
          <w:rFonts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支持乡村产业振兴管理</w:t>
      </w:r>
      <w:r/>
    </w:p>
    <w:p>
      <w:pPr>
        <w:numPr>
          <w:ilvl w:val="2"/>
          <w:numId w:val="9"/>
        </w:numPr>
        <w:spacing w:line="348" w:lineRule="auto"/>
        <w:tabs>
          <w:tab w:val="left" w:pos="2014" w:leader="none"/>
        </w:tabs>
        <w:rPr>
          <w:rFonts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9"/>
        </w:numPr>
        <w:ind w:left="1080"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正版软件</w:t>
      </w:r>
      <w:r/>
    </w:p>
    <w:p>
      <w:pPr>
        <w:numPr>
          <w:ilvl w:val="2"/>
          <w:numId w:val="9"/>
        </w:numPr>
        <w:spacing w:line="348" w:lineRule="auto"/>
        <w:rPr>
          <w:rFonts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Cs w:val="21"/>
        </w:rPr>
        <w:t xml:space="preserve">否则</w:t>
      </w:r>
      <w:r>
        <w:rPr>
          <w:rFonts w:hint="eastAsia" w:ascii="宋体" w:hAnsi="宋体" w:cs="宋体"/>
          <w:b/>
          <w:szCs w:val="21"/>
        </w:rPr>
        <w:t xml:space="preserve">响应无效</w:t>
      </w:r>
      <w:r>
        <w:rPr>
          <w:rFonts w:hint="eastAsia" w:ascii="宋体" w:hAnsi="宋体" w:cs="宋体"/>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48" w:lineRule="auto"/>
        <w:rPr>
          <w:rFonts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政府采购创新产品政策</w:t>
      </w:r>
      <w:r/>
    </w:p>
    <w:p>
      <w:pPr>
        <w:numPr>
          <w:ilvl w:val="2"/>
          <w:numId w:val="9"/>
        </w:numPr>
        <w:spacing w:line="348" w:lineRule="auto"/>
        <w:tabs>
          <w:tab w:val="left" w:pos="1080" w:leader="none"/>
          <w:tab w:val="clear" w:pos="1980" w:leader="none"/>
          <w:tab w:val="left" w:pos="2014" w:leader="none"/>
        </w:tabs>
        <w:rPr>
          <w:rFonts w:ascii="宋体" w:hAnsi="宋体" w:cs="宋体"/>
          <w:szCs w:val="21"/>
        </w:rPr>
      </w:pPr>
      <w:r>
        <w:rPr>
          <w:rFonts w:hint="eastAsia" w:ascii="宋体" w:hAnsi="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9"/>
        </w:numPr>
        <w:ind w:left="1080"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绿色采购政策</w:t>
      </w:r>
      <w:r/>
    </w:p>
    <w:p>
      <w:pPr>
        <w:numPr>
          <w:ilvl w:val="2"/>
          <w:numId w:val="9"/>
        </w:numPr>
        <w:spacing w:line="348" w:lineRule="auto"/>
        <w:tabs>
          <w:tab w:val="left" w:pos="1080" w:leader="none"/>
          <w:tab w:val="clear" w:pos="1980" w:leader="none"/>
          <w:tab w:val="left" w:pos="2014" w:leader="none"/>
        </w:tabs>
        <w:rPr>
          <w:rFonts w:ascii="宋体" w:hAnsi="宋体" w:cs="宋体"/>
          <w:szCs w:val="21"/>
        </w:rPr>
      </w:pPr>
      <w:r>
        <w:rPr>
          <w:rFonts w:hint="eastAsia" w:ascii="宋体" w:hAnsi="宋体" w:cs="宋体"/>
          <w:szCs w:val="21"/>
        </w:rPr>
        <w:t xml:space="preserve">绿色数据中心政策 </w:t>
      </w:r>
      <w:r/>
    </w:p>
    <w:p>
      <w:pPr>
        <w:ind w:left="108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依据《绿色数据中心政府采购需求标准（试行）》（财办库〔2023〕7 号）文件精神，采购</w:t>
      </w:r>
      <w:r>
        <w:rPr>
          <w:rFonts w:hint="eastAsia" w:ascii="宋体" w:hAnsi="宋体"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9"/>
        </w:numPr>
        <w:spacing w:line="348" w:lineRule="auto"/>
        <w:tabs>
          <w:tab w:val="left" w:pos="1080" w:leader="none"/>
          <w:tab w:val="clear" w:pos="1980" w:leader="none"/>
          <w:tab w:val="left" w:pos="2014" w:leader="none"/>
        </w:tabs>
        <w:rPr>
          <w:rFonts w:ascii="宋体" w:hAnsi="宋体" w:cs="宋体"/>
          <w:szCs w:val="21"/>
        </w:rPr>
      </w:pPr>
      <w:r>
        <w:rPr>
          <w:rFonts w:hint="eastAsia" w:ascii="宋体" w:hAnsi="宋体" w:cs="宋体"/>
          <w:szCs w:val="21"/>
        </w:rPr>
        <w:t xml:space="preserve">推广应用绿色建材</w:t>
      </w:r>
      <w:r/>
    </w:p>
    <w:p>
      <w:pPr>
        <w:ind w:left="108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9"/>
        </w:numPr>
        <w:spacing w:line="348" w:lineRule="auto"/>
        <w:tabs>
          <w:tab w:val="left" w:pos="1080" w:leader="none"/>
          <w:tab w:val="clear" w:pos="1980" w:leader="none"/>
          <w:tab w:val="left" w:pos="2014" w:leader="none"/>
        </w:tabs>
        <w:rPr>
          <w:rFonts w:ascii="宋体" w:hAnsi="宋体" w:cs="宋体"/>
          <w:szCs w:val="21"/>
        </w:rPr>
      </w:pPr>
      <w:r>
        <w:rPr>
          <w:rFonts w:hint="eastAsia" w:ascii="宋体" w:hAnsi="宋体" w:cs="宋体"/>
          <w:szCs w:val="21"/>
        </w:rPr>
        <w:t xml:space="preserve">优先使用低挥发性有机化合物产品</w:t>
      </w:r>
      <w:r/>
    </w:p>
    <w:p>
      <w:pPr>
        <w:ind w:left="108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numPr>
          <w:ilvl w:val="0"/>
          <w:numId w:val="9"/>
        </w:numPr>
        <w:ind w:left="357" w:hanging="357"/>
        <w:spacing w:line="348" w:lineRule="auto"/>
        <w:tabs>
          <w:tab w:val="left" w:pos="360" w:leader="none"/>
        </w:tabs>
        <w:rPr>
          <w:rFonts w:ascii="宋体" w:hAnsi="宋体" w:cs="宋体"/>
          <w:szCs w:val="21"/>
        </w:rPr>
        <w:outlineLvl w:val="1"/>
      </w:pPr>
      <w:r>
        <w:rPr>
          <w:rFonts w:hint="eastAsia" w:ascii="宋体" w:hAnsi="宋体" w:cs="宋体"/>
          <w:szCs w:val="21"/>
        </w:rPr>
        <w:t xml:space="preserve">响应费用</w:t>
      </w:r>
      <w:r/>
    </w:p>
    <w:p>
      <w:pPr>
        <w:numPr>
          <w:ilvl w:val="1"/>
          <w:numId w:val="9"/>
        </w:numPr>
        <w:ind w:left="1080"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供应商应自行承担所有与准备和参加磋商有关的费用，无论磋商的结果如何，采购人或采购代理机构在任何情况下均无承担这些费用的义务和责任。</w:t>
      </w:r>
      <w:r/>
    </w:p>
    <w:p>
      <w:pPr>
        <w:pStyle w:val="922"/>
        <w:spacing w:before="0" w:line="348" w:lineRule="auto"/>
        <w:rPr>
          <w:rFonts w:ascii="Times New Roman" w:hAnsi="Times New Roman" w:eastAsia="宋体"/>
          <w:sz w:val="28"/>
        </w:rPr>
      </w:pPr>
      <w:r/>
      <w:bookmarkStart w:id="138" w:name="_1.8_计量单位"/>
      <w:r/>
      <w:bookmarkEnd w:id="138"/>
      <w:r/>
      <w:r/>
    </w:p>
    <w:p>
      <w:pPr>
        <w:pStyle w:val="922"/>
        <w:spacing w:before="0" w:line="348" w:lineRule="auto"/>
        <w:rPr>
          <w:rFonts w:ascii="Times New Roman" w:hAnsi="Times New Roman" w:eastAsia="宋体"/>
          <w:sz w:val="28"/>
        </w:rPr>
      </w:pPr>
      <w:r>
        <w:rPr>
          <w:rFonts w:ascii="Times New Roman" w:hAnsi="Times New Roman" w:eastAsia="宋体"/>
          <w:sz w:val="28"/>
        </w:rPr>
        <w:t xml:space="preserve">二</w:t>
      </w:r>
      <w:r>
        <w:rPr>
          <w:rFonts w:hint="eastAsia" w:ascii="Times New Roman" w:hAnsi="Times New Roman" w:eastAsia="宋体"/>
          <w:sz w:val="28"/>
        </w:rPr>
        <w:t xml:space="preserve">、</w:t>
      </w:r>
      <w:r>
        <w:rPr>
          <w:rFonts w:ascii="Times New Roman" w:hAnsi="Times New Roman" w:eastAsia="宋体"/>
          <w:sz w:val="28"/>
        </w:rPr>
        <w:t xml:space="preserve">竞争性磋商文件</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numPr>
          <w:ilvl w:val="0"/>
          <w:numId w:val="9"/>
        </w:numPr>
        <w:ind w:left="357" w:hanging="357"/>
        <w:spacing w:line="348" w:lineRule="auto"/>
        <w:tabs>
          <w:tab w:val="left" w:pos="360" w:leader="none"/>
        </w:tabs>
        <w:rPr>
          <w:rFonts w:ascii="宋体" w:hAnsi="宋体" w:cs="宋体"/>
          <w:szCs w:val="21"/>
        </w:rPr>
        <w:outlineLvl w:val="1"/>
      </w:pPr>
      <w:r/>
      <w:bookmarkStart w:id="139" w:name="_Toc164608792"/>
      <w:r/>
      <w:bookmarkStart w:id="140" w:name="_Toc305158865"/>
      <w:r/>
      <w:bookmarkStart w:id="141" w:name="_Toc149720816"/>
      <w:r/>
      <w:bookmarkStart w:id="142" w:name="_Toc151193693"/>
      <w:r/>
      <w:bookmarkStart w:id="143" w:name="_Toc164608637"/>
      <w:r/>
      <w:bookmarkStart w:id="144" w:name="_Toc226337219"/>
      <w:r/>
      <w:bookmarkStart w:id="145" w:name="_Toc305158791"/>
      <w:r/>
      <w:bookmarkStart w:id="146" w:name="_Toc150774623"/>
      <w:r/>
      <w:bookmarkStart w:id="147" w:name="_Toc520356147"/>
      <w:r/>
      <w:bookmarkStart w:id="148" w:name="_Toc151190150"/>
      <w:r/>
      <w:bookmarkStart w:id="149" w:name="_Toc265228361"/>
      <w:r/>
      <w:bookmarkStart w:id="150" w:name="_Toc164229218"/>
      <w:r/>
      <w:bookmarkStart w:id="151" w:name="_Toc226965796"/>
      <w:r/>
      <w:bookmarkStart w:id="152" w:name="_Toc164229364"/>
      <w:r/>
      <w:bookmarkStart w:id="153" w:name="_Toc127151724"/>
      <w:r/>
      <w:bookmarkStart w:id="154" w:name="_Toc142311025"/>
      <w:r/>
      <w:bookmarkStart w:id="155" w:name="_Toc127161437"/>
      <w:r/>
      <w:bookmarkStart w:id="156" w:name="_Toc150509274"/>
      <w:r/>
      <w:bookmarkStart w:id="157" w:name="_Toc151193911"/>
      <w:r/>
      <w:bookmarkStart w:id="158" w:name="_Toc150774728"/>
      <w:r/>
      <w:bookmarkStart w:id="159" w:name="_Toc150480761"/>
      <w:r/>
      <w:bookmarkStart w:id="160" w:name="_Toc151193621"/>
      <w:r/>
      <w:bookmarkStart w:id="161" w:name="_Toc226965713"/>
      <w:r/>
      <w:bookmarkStart w:id="162" w:name="_Toc151193837"/>
      <w:r/>
      <w:bookmarkStart w:id="163" w:name="_Toc195842888"/>
      <w:r/>
      <w:bookmarkStart w:id="164" w:name="_Toc127151523"/>
      <w:r/>
      <w:bookmarkStart w:id="165" w:name="_Toc151193765"/>
      <w:r/>
      <w:bookmarkStart w:id="166" w:name="_Toc164351617"/>
      <w:r/>
      <w:bookmarkStart w:id="167" w:name="_Toc226309767"/>
      <w:r/>
      <w:bookmarkStart w:id="168" w:name="_Toc264969213"/>
      <w:r>
        <w:rPr>
          <w:rFonts w:hint="eastAsia" w:ascii="宋体" w:hAnsi="宋体" w:cs="宋体"/>
          <w:szCs w:val="21"/>
        </w:rPr>
        <w:t xml:space="preserve">竞争性磋商文件构</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Pr>
          <w:rFonts w:hint="eastAsia" w:ascii="宋体" w:hAnsi="宋体" w:cs="宋体"/>
          <w:szCs w:val="21"/>
        </w:rPr>
        <w:t xml:space="preserve">成</w:t>
      </w:r>
      <w:r/>
    </w:p>
    <w:p>
      <w:pPr>
        <w:numPr>
          <w:ilvl w:val="1"/>
          <w:numId w:val="9"/>
        </w:numPr>
        <w:ind w:left="1080"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竞争性磋商文件包括以下部分：</w:t>
      </w:r>
      <w:r/>
    </w:p>
    <w:p>
      <w:pPr>
        <w:numPr>
          <w:ilvl w:val="0"/>
          <w:numId w:val="10"/>
        </w:numPr>
        <w:ind w:left="1440" w:firstLine="5"/>
        <w:spacing w:line="348" w:lineRule="auto"/>
        <w:tabs>
          <w:tab w:val="left" w:pos="1980" w:leader="none"/>
          <w:tab w:val="left" w:pos="2520" w:leader="none"/>
        </w:tabs>
        <w:rPr>
          <w:rFonts w:ascii="宋体" w:hAnsi="宋体" w:cs="宋体"/>
          <w:szCs w:val="21"/>
        </w:rPr>
      </w:pPr>
      <w:r>
        <w:rPr>
          <w:rFonts w:hint="eastAsia" w:ascii="宋体" w:hAnsi="宋体" w:cs="宋体"/>
          <w:szCs w:val="21"/>
        </w:rPr>
        <w:t xml:space="preserve">采购邀请</w:t>
      </w:r>
      <w:r/>
    </w:p>
    <w:p>
      <w:pPr>
        <w:numPr>
          <w:ilvl w:val="0"/>
          <w:numId w:val="10"/>
        </w:numPr>
        <w:ind w:left="1440" w:firstLine="5"/>
        <w:spacing w:line="348" w:lineRule="auto"/>
        <w:tabs>
          <w:tab w:val="left" w:pos="1980" w:leader="none"/>
          <w:tab w:val="left" w:pos="2520" w:leader="none"/>
        </w:tabs>
        <w:rPr>
          <w:rFonts w:ascii="宋体" w:hAnsi="宋体" w:cs="宋体"/>
          <w:szCs w:val="21"/>
        </w:rPr>
      </w:pPr>
      <w:r>
        <w:rPr>
          <w:rFonts w:hint="eastAsia" w:ascii="宋体" w:hAnsi="宋体" w:cs="宋体"/>
          <w:szCs w:val="21"/>
        </w:rPr>
        <w:t xml:space="preserve">供应商须知</w:t>
      </w:r>
      <w:r/>
    </w:p>
    <w:p>
      <w:pPr>
        <w:numPr>
          <w:ilvl w:val="0"/>
          <w:numId w:val="10"/>
        </w:numPr>
        <w:ind w:left="1440" w:firstLine="5"/>
        <w:spacing w:line="348" w:lineRule="auto"/>
        <w:tabs>
          <w:tab w:val="left" w:pos="1980" w:leader="none"/>
          <w:tab w:val="left" w:pos="2520" w:leader="none"/>
        </w:tabs>
        <w:rPr>
          <w:rFonts w:ascii="宋体" w:hAnsi="宋体" w:cs="宋体"/>
          <w:szCs w:val="21"/>
        </w:rPr>
      </w:pPr>
      <w:r>
        <w:rPr>
          <w:rFonts w:hint="eastAsia" w:ascii="宋体" w:hAnsi="宋体" w:cs="宋体"/>
          <w:szCs w:val="21"/>
        </w:rPr>
        <w:t xml:space="preserve">评审程序、评审方法和评审标准</w:t>
      </w:r>
      <w:r/>
    </w:p>
    <w:p>
      <w:pPr>
        <w:numPr>
          <w:ilvl w:val="0"/>
          <w:numId w:val="10"/>
        </w:numPr>
        <w:ind w:left="1440" w:firstLine="5"/>
        <w:spacing w:line="348" w:lineRule="auto"/>
        <w:tabs>
          <w:tab w:val="left" w:pos="1980" w:leader="none"/>
          <w:tab w:val="left" w:pos="2520" w:leader="none"/>
        </w:tabs>
        <w:rPr>
          <w:rFonts w:ascii="宋体" w:hAnsi="宋体" w:cs="宋体"/>
          <w:szCs w:val="21"/>
        </w:rPr>
      </w:pPr>
      <w:r>
        <w:rPr>
          <w:rFonts w:hint="eastAsia" w:ascii="宋体" w:hAnsi="宋体" w:cs="宋体"/>
          <w:szCs w:val="21"/>
        </w:rPr>
        <w:t xml:space="preserve">采购需求</w:t>
      </w:r>
      <w:r/>
    </w:p>
    <w:p>
      <w:pPr>
        <w:numPr>
          <w:ilvl w:val="0"/>
          <w:numId w:val="10"/>
        </w:numPr>
        <w:ind w:left="1440" w:firstLine="5"/>
        <w:spacing w:line="348" w:lineRule="auto"/>
        <w:tabs>
          <w:tab w:val="left" w:pos="1980" w:leader="none"/>
          <w:tab w:val="left" w:pos="2520" w:leader="none"/>
        </w:tabs>
        <w:rPr>
          <w:rFonts w:ascii="宋体" w:hAnsi="宋体" w:cs="宋体"/>
          <w:szCs w:val="21"/>
        </w:rPr>
      </w:pPr>
      <w:r>
        <w:rPr>
          <w:rFonts w:hint="eastAsia" w:ascii="宋体" w:hAnsi="宋体" w:cs="宋体"/>
          <w:szCs w:val="21"/>
        </w:rPr>
        <w:t xml:space="preserve">合同草案条款</w:t>
      </w:r>
      <w:r/>
    </w:p>
    <w:p>
      <w:pPr>
        <w:numPr>
          <w:ilvl w:val="0"/>
          <w:numId w:val="10"/>
        </w:numPr>
        <w:ind w:left="1440" w:firstLine="5"/>
        <w:spacing w:line="348" w:lineRule="auto"/>
        <w:tabs>
          <w:tab w:val="left" w:pos="1980" w:leader="none"/>
          <w:tab w:val="left" w:pos="2520" w:leader="none"/>
        </w:tabs>
        <w:rPr>
          <w:rFonts w:ascii="宋体" w:hAnsi="宋体" w:cs="宋体"/>
          <w:szCs w:val="21"/>
        </w:rPr>
      </w:pPr>
      <w:r>
        <w:rPr>
          <w:rFonts w:hint="eastAsia" w:ascii="宋体" w:hAnsi="宋体" w:cs="宋体"/>
          <w:szCs w:val="21"/>
        </w:rPr>
        <w:t xml:space="preserve">响应文件格式</w:t>
      </w:r>
      <w:r/>
    </w:p>
    <w:p>
      <w:pPr>
        <w:numPr>
          <w:ilvl w:val="1"/>
          <w:numId w:val="9"/>
        </w:numPr>
        <w:ind w:left="1080"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9"/>
        </w:numPr>
        <w:ind w:left="357" w:hanging="357"/>
        <w:spacing w:line="348" w:lineRule="auto"/>
        <w:tabs>
          <w:tab w:val="left" w:pos="1080" w:leader="none"/>
          <w:tab w:val="left" w:pos="2014" w:leader="none"/>
        </w:tabs>
        <w:rPr>
          <w:rFonts w:ascii="宋体" w:hAnsi="宋体" w:cs="宋体"/>
          <w:szCs w:val="21"/>
        </w:rPr>
        <w:outlineLvl w:val="1"/>
      </w:pPr>
      <w:r>
        <w:rPr>
          <w:rFonts w:hint="eastAsia" w:ascii="宋体" w:hAnsi="宋体" w:cs="宋体"/>
          <w:szCs w:val="21"/>
        </w:rPr>
        <w:t xml:space="preserve">对竞争性磋商文件的澄清或修改</w:t>
      </w:r>
      <w:r/>
    </w:p>
    <w:p>
      <w:pPr>
        <w:numPr>
          <w:ilvl w:val="1"/>
          <w:numId w:val="9"/>
        </w:numPr>
        <w:ind w:left="1080" w:hanging="720"/>
        <w:spacing w:line="348" w:lineRule="auto"/>
        <w:tabs>
          <w:tab w:val="left" w:pos="1080" w:leader="none"/>
          <w:tab w:val="left" w:pos="1561" w:leader="none"/>
          <w:tab w:val="left" w:pos="2014" w:leader="none"/>
        </w:tabs>
        <w:rPr>
          <w:rFonts w:ascii="宋体" w:hAnsi="宋体" w:cs="宋体"/>
          <w:szCs w:val="21"/>
        </w:rPr>
      </w:pPr>
      <w:r>
        <w:rPr>
          <w:rFonts w:hint="eastAsia" w:ascii="宋体" w:hAnsi="宋体" w:cs="宋体"/>
          <w:szCs w:val="21"/>
        </w:rPr>
        <w:t xml:space="preserve">采购人或采购代理机构对已发出的竞争性磋商文件进行必要澄清或者修改的，将在原公告发布媒体上以发布更正公告的形式通知所有获取磋商文件的供应商。</w:t>
      </w:r>
      <w:r/>
    </w:p>
    <w:p>
      <w:pPr>
        <w:numPr>
          <w:ilvl w:val="1"/>
          <w:numId w:val="9"/>
        </w:numPr>
        <w:ind w:left="1080" w:hanging="720"/>
        <w:spacing w:line="348" w:lineRule="auto"/>
        <w:tabs>
          <w:tab w:val="left" w:pos="1080" w:leader="none"/>
          <w:tab w:val="left" w:pos="1561" w:leader="none"/>
          <w:tab w:val="left" w:pos="2014" w:leader="none"/>
        </w:tabs>
        <w:rPr>
          <w:rFonts w:ascii="宋体" w:hAnsi="宋体" w:cs="宋体"/>
          <w:szCs w:val="21"/>
        </w:rPr>
      </w:pPr>
      <w:r>
        <w:rPr>
          <w:rFonts w:hint="eastAsia" w:ascii="宋体" w:hAnsi="宋体" w:cs="宋体"/>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48" w:lineRule="auto"/>
        <w:tabs>
          <w:tab w:val="left" w:pos="1080" w:leader="none"/>
          <w:tab w:val="left" w:pos="1561" w:leader="none"/>
        </w:tabs>
        <w:rPr>
          <w:sz w:val="28"/>
        </w:rPr>
      </w:pPr>
      <w:r/>
      <w:bookmarkStart w:id="169" w:name="_Toc516367020"/>
      <w:r/>
      <w:bookmarkStart w:id="170" w:name="_Toc151193914"/>
      <w:r/>
      <w:bookmarkStart w:id="171" w:name="_Toc151193696"/>
      <w:r/>
      <w:bookmarkStart w:id="172" w:name="_Toc150774626"/>
      <w:r/>
      <w:bookmarkStart w:id="173" w:name="_Toc520356150"/>
      <w:r/>
      <w:bookmarkStart w:id="174" w:name="_Toc150509277"/>
      <w:r/>
      <w:bookmarkStart w:id="175" w:name="_Toc305158794"/>
      <w:r/>
      <w:bookmarkStart w:id="176" w:name="_Toc226965716"/>
      <w:r/>
      <w:bookmarkStart w:id="177" w:name="_Toc151193840"/>
      <w:r/>
      <w:bookmarkStart w:id="178" w:name="_Toc195842891"/>
      <w:r/>
      <w:bookmarkStart w:id="179" w:name="_Toc305158868"/>
      <w:r/>
      <w:bookmarkStart w:id="180" w:name="_Toc151193768"/>
      <w:r/>
      <w:bookmarkStart w:id="181" w:name="_Toc150480764"/>
      <w:r/>
      <w:bookmarkStart w:id="182" w:name="_Toc151193624"/>
      <w:r/>
      <w:bookmarkStart w:id="183" w:name="_Toc150774731"/>
      <w:r/>
      <w:bookmarkStart w:id="184" w:name="_Toc226337222"/>
      <w:r/>
      <w:bookmarkStart w:id="185" w:name="_Toc226965799"/>
      <w:r/>
      <w:bookmarkStart w:id="186" w:name="_Toc142311028"/>
      <w:r/>
      <w:bookmarkStart w:id="187" w:name="_Toc265228364"/>
      <w:r/>
      <w:bookmarkStart w:id="188" w:name="_Toc226309770"/>
      <w:r/>
      <w:bookmarkStart w:id="189" w:name="_Toc264969216"/>
      <w:r/>
      <w:bookmarkStart w:id="190" w:name="_Toc127151526"/>
      <w:r/>
      <w:bookmarkStart w:id="191" w:name="_Toc151190153"/>
      <w:r/>
      <w:r/>
    </w:p>
    <w:p>
      <w:pPr>
        <w:pStyle w:val="922"/>
        <w:spacing w:before="0" w:line="348" w:lineRule="auto"/>
        <w:rPr>
          <w:rFonts w:ascii="Times New Roman" w:hAnsi="Times New Roman" w:eastAsia="宋体"/>
          <w:sz w:val="28"/>
        </w:rPr>
      </w:pPr>
      <w:r>
        <w:rPr>
          <w:rFonts w:ascii="Times New Roman" w:hAnsi="Times New Roman" w:eastAsia="宋体"/>
          <w:sz w:val="28"/>
        </w:rPr>
        <w:t xml:space="preserve">三</w:t>
      </w:r>
      <w:r>
        <w:rPr>
          <w:rFonts w:hint="eastAsia" w:ascii="Times New Roman" w:hAnsi="Times New Roman" w:eastAsia="宋体"/>
          <w:sz w:val="28"/>
        </w:rPr>
        <w:t xml:space="preserve">、</w:t>
      </w:r>
      <w:r>
        <w:rPr>
          <w:rFonts w:ascii="Times New Roman" w:hAnsi="Times New Roman" w:eastAsia="宋体"/>
          <w:sz w:val="28"/>
        </w:rPr>
        <w:t xml:space="preserve">响应文件</w:t>
      </w:r>
      <w:bookmarkEnd w:id="169"/>
      <w:r>
        <w:rPr>
          <w:rFonts w:ascii="Times New Roman" w:hAnsi="Times New Roman" w:eastAsia="宋体"/>
          <w:sz w:val="28"/>
        </w:rPr>
        <w:t xml:space="preserve">的编制</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
    </w:p>
    <w:p>
      <w:pPr>
        <w:numPr>
          <w:ilvl w:val="0"/>
          <w:numId w:val="9"/>
        </w:numPr>
        <w:ind w:left="357" w:hanging="357"/>
        <w:spacing w:line="348" w:lineRule="auto"/>
        <w:tabs>
          <w:tab w:val="left" w:pos="360" w:leader="none"/>
        </w:tabs>
        <w:rPr>
          <w:rFonts w:ascii="宋体" w:hAnsi="宋体" w:cs="宋体"/>
          <w:szCs w:val="21"/>
        </w:rPr>
        <w:outlineLvl w:val="1"/>
      </w:pPr>
      <w:r/>
      <w:bookmarkStart w:id="192" w:name="_Toc164608641"/>
      <w:r/>
      <w:bookmarkStart w:id="193" w:name="_Toc150509278"/>
      <w:r/>
      <w:bookmarkStart w:id="194" w:name="_Toc151193915"/>
      <w:r/>
      <w:bookmarkStart w:id="195" w:name="_Toc520356151"/>
      <w:r/>
      <w:bookmarkStart w:id="196" w:name="_Toc305158795"/>
      <w:r/>
      <w:bookmarkStart w:id="197" w:name="_Toc195842892"/>
      <w:r/>
      <w:bookmarkStart w:id="198" w:name="_Toc151193841"/>
      <w:r/>
      <w:bookmarkStart w:id="199" w:name="_Toc142311029"/>
      <w:r/>
      <w:bookmarkStart w:id="200" w:name="_Toc305158869"/>
      <w:r/>
      <w:bookmarkStart w:id="201" w:name="_Toc264969217"/>
      <w:r/>
      <w:bookmarkStart w:id="202" w:name="_Toc150480765"/>
      <w:r/>
      <w:bookmarkStart w:id="203" w:name="_Toc151190154"/>
      <w:r/>
      <w:bookmarkStart w:id="204" w:name="_Toc164229222"/>
      <w:r/>
      <w:bookmarkStart w:id="205" w:name="_Toc150774627"/>
      <w:r/>
      <w:bookmarkStart w:id="206" w:name="_Toc150774732"/>
      <w:r/>
      <w:bookmarkStart w:id="207" w:name="_Toc516367021"/>
      <w:r/>
      <w:bookmarkStart w:id="208" w:name="_Toc226965717"/>
      <w:r/>
      <w:bookmarkStart w:id="209" w:name="_Toc127151728"/>
      <w:r/>
      <w:bookmarkStart w:id="210" w:name="_Toc151193769"/>
      <w:r/>
      <w:bookmarkStart w:id="211" w:name="_Toc226337223"/>
      <w:r/>
      <w:bookmarkStart w:id="212" w:name="_Toc164608796"/>
      <w:r/>
      <w:bookmarkStart w:id="213" w:name="_Toc226965800"/>
      <w:r/>
      <w:bookmarkStart w:id="214" w:name="_Toc151193697"/>
      <w:r/>
      <w:bookmarkStart w:id="215" w:name="_Toc265228365"/>
      <w:r/>
      <w:bookmarkStart w:id="216" w:name="_Toc226309771"/>
      <w:r/>
      <w:bookmarkStart w:id="217" w:name="_Toc127161441"/>
      <w:r/>
      <w:bookmarkStart w:id="218" w:name="_Toc164351621"/>
      <w:r/>
      <w:bookmarkStart w:id="219" w:name="_Toc164229368"/>
      <w:r/>
      <w:bookmarkStart w:id="220" w:name="_Toc127151527"/>
      <w:r/>
      <w:bookmarkStart w:id="221" w:name="_Toc149720820"/>
      <w:r/>
      <w:bookmarkStart w:id="222" w:name="_Toc151193625"/>
      <w:r>
        <w:rPr>
          <w:rFonts w:hint="eastAsia" w:ascii="宋体" w:hAnsi="宋体" w:cs="宋体"/>
          <w:szCs w:val="21"/>
        </w:rPr>
        <w:t xml:space="preserve">响应范围、竞争性磋商文件中计量单位的使用</w:t>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ascii="宋体" w:hAnsi="宋体" w:cs="宋体"/>
          <w:szCs w:val="21"/>
        </w:rPr>
        <w:t xml:space="preserve">及磋商语言</w:t>
      </w:r>
      <w:r/>
    </w:p>
    <w:p>
      <w:pPr>
        <w:numPr>
          <w:ilvl w:val="1"/>
          <w:numId w:val="9"/>
        </w:numPr>
        <w:ind w:left="1080"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9"/>
        </w:numPr>
        <w:ind w:left="1080"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除竞争性磋商文件有特殊要求外，本项目磋商所使用的计量单位，应采用中华人民共和国法定计量单位。</w:t>
      </w:r>
      <w:r/>
    </w:p>
    <w:p>
      <w:pPr>
        <w:numPr>
          <w:ilvl w:val="1"/>
          <w:numId w:val="9"/>
        </w:numPr>
        <w:ind w:left="1080"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9"/>
        </w:numPr>
        <w:ind w:left="357" w:hanging="357"/>
        <w:spacing w:line="348" w:lineRule="auto"/>
        <w:tabs>
          <w:tab w:val="left" w:pos="360" w:leader="none"/>
        </w:tabs>
        <w:rPr>
          <w:rFonts w:ascii="宋体" w:hAnsi="宋体" w:cs="宋体"/>
          <w:szCs w:val="21"/>
        </w:rPr>
        <w:outlineLvl w:val="1"/>
      </w:pPr>
      <w:r/>
      <w:bookmarkStart w:id="223" w:name="_Ref467306676"/>
      <w:r/>
      <w:bookmarkStart w:id="224" w:name="_Ref467306195"/>
      <w:r/>
      <w:bookmarkStart w:id="225" w:name="_Toc516367022"/>
      <w:r/>
      <w:bookmarkStart w:id="226" w:name="_Toc164351622"/>
      <w:r/>
      <w:bookmarkStart w:id="227" w:name="_Toc151190155"/>
      <w:r/>
      <w:bookmarkStart w:id="228" w:name="_Toc265228366"/>
      <w:r/>
      <w:bookmarkStart w:id="229" w:name="_Toc305158870"/>
      <w:r/>
      <w:bookmarkStart w:id="230" w:name="_Toc150509279"/>
      <w:r/>
      <w:bookmarkStart w:id="231" w:name="_Toc127151729"/>
      <w:r/>
      <w:bookmarkStart w:id="232" w:name="_Toc151193842"/>
      <w:r/>
      <w:bookmarkStart w:id="233" w:name="_Toc164229369"/>
      <w:r/>
      <w:bookmarkStart w:id="234" w:name="_Toc151193770"/>
      <w:r/>
      <w:bookmarkStart w:id="235" w:name="_Toc164608642"/>
      <w:r/>
      <w:bookmarkStart w:id="236" w:name="_Toc150774733"/>
      <w:r/>
      <w:bookmarkStart w:id="237" w:name="_Toc305158796"/>
      <w:r/>
      <w:bookmarkStart w:id="238" w:name="_Toc520356152"/>
      <w:r/>
      <w:bookmarkStart w:id="239" w:name="_Toc127151528"/>
      <w:r/>
      <w:bookmarkStart w:id="240" w:name="_Toc195842893"/>
      <w:r/>
      <w:bookmarkStart w:id="241" w:name="_Toc142311030"/>
      <w:r/>
      <w:bookmarkStart w:id="242" w:name="_Toc226337224"/>
      <w:r/>
      <w:bookmarkStart w:id="243" w:name="_Toc164229223"/>
      <w:r/>
      <w:bookmarkStart w:id="244" w:name="_Toc151193916"/>
      <w:r/>
      <w:bookmarkStart w:id="245" w:name="_Toc151193626"/>
      <w:r/>
      <w:bookmarkStart w:id="246" w:name="_Toc226309772"/>
      <w:r/>
      <w:bookmarkStart w:id="247" w:name="_Toc150774628"/>
      <w:r/>
      <w:bookmarkStart w:id="248" w:name="_Toc150480766"/>
      <w:r/>
      <w:bookmarkStart w:id="249" w:name="_Toc226965801"/>
      <w:r/>
      <w:bookmarkStart w:id="250" w:name="_Toc149720821"/>
      <w:r/>
      <w:bookmarkStart w:id="251" w:name="_Toc264969218"/>
      <w:r/>
      <w:bookmarkStart w:id="252" w:name="_Toc164608797"/>
      <w:r/>
      <w:bookmarkStart w:id="253" w:name="_Toc127161442"/>
      <w:r/>
      <w:bookmarkStart w:id="254" w:name="_Toc151193698"/>
      <w:r/>
      <w:bookmarkStart w:id="255" w:name="_Toc226965718"/>
      <w:r>
        <w:rPr>
          <w:rFonts w:hint="eastAsia" w:ascii="宋体" w:hAnsi="宋体" w:cs="宋体"/>
          <w:szCs w:val="21"/>
        </w:rPr>
        <w:t xml:space="preserve">响应文件</w:t>
      </w:r>
      <w:bookmarkEnd w:id="223"/>
      <w:r/>
      <w:bookmarkEnd w:id="224"/>
      <w:r/>
      <w:bookmarkEnd w:id="225"/>
      <w:r>
        <w:rPr>
          <w:rFonts w:hint="eastAsia" w:ascii="宋体" w:hAnsi="宋体" w:cs="宋体"/>
          <w:szCs w:val="21"/>
        </w:rPr>
        <w:t xml:space="preserve">构成</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
    </w:p>
    <w:p>
      <w:pPr>
        <w:numPr>
          <w:ilvl w:val="1"/>
          <w:numId w:val="9"/>
        </w:numPr>
        <w:ind w:left="1077" w:hanging="720"/>
        <w:spacing w:line="348" w:lineRule="auto"/>
        <w:tabs>
          <w:tab w:val="left" w:pos="1080" w:leader="none"/>
          <w:tab w:val="left" w:pos="2014" w:leader="none"/>
        </w:tabs>
        <w:rPr>
          <w:rFonts w:ascii="宋体" w:hAnsi="宋体" w:cs="宋体"/>
          <w:szCs w:val="21"/>
        </w:rPr>
      </w:pPr>
      <w:r/>
      <w:bookmarkStart w:id="256" w:name="_Ref467052588"/>
      <w:r>
        <w:rPr>
          <w:rFonts w:hint="eastAsia" w:ascii="宋体" w:hAnsi="宋体" w:cs="宋体"/>
          <w:szCs w:val="21"/>
        </w:rPr>
        <w:t xml:space="preserve">供应商应当按照竞争性磋商文件的要求编制响应文件，</w:t>
      </w:r>
      <w:r>
        <w:rPr>
          <w:rFonts w:hint="eastAsia" w:ascii="宋体" w:hAnsi="宋体" w:cs="宋体"/>
          <w:szCs w:val="21"/>
        </w:rPr>
        <w:t xml:space="preserve">并对其提交的响应文件的真实性、合法性承担法律责任</w:t>
      </w:r>
      <w:r>
        <w:rPr>
          <w:rFonts w:hint="eastAsia" w:ascii="宋体" w:hAnsi="宋体" w:cs="宋体"/>
          <w:szCs w:val="21"/>
        </w:rPr>
        <w:t xml:space="preserve">。响应文件的部分格式要求，见第六章《响应文件格式》。</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对于竞争性磋商文件中标记了“实质性格式”文件的，</w:t>
      </w:r>
      <w:r>
        <w:rPr>
          <w:rFonts w:hint="eastAsia" w:ascii="宋体" w:hAnsi="宋体" w:cs="宋体"/>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第三章《评审方法和评审标准》中涉及的证明文件。</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供应商认为应附的其他材料。</w:t>
      </w:r>
      <w:bookmarkEnd w:id="256"/>
      <w:r/>
      <w:r/>
    </w:p>
    <w:p>
      <w:pPr>
        <w:numPr>
          <w:ilvl w:val="0"/>
          <w:numId w:val="9"/>
        </w:numPr>
        <w:ind w:left="357" w:hanging="357"/>
        <w:spacing w:line="348" w:lineRule="auto"/>
        <w:tabs>
          <w:tab w:val="left" w:pos="360" w:leader="none"/>
        </w:tabs>
        <w:rPr>
          <w:rFonts w:ascii="宋体" w:hAnsi="宋体" w:cs="宋体"/>
          <w:szCs w:val="21"/>
        </w:rPr>
        <w:outlineLvl w:val="1"/>
      </w:pPr>
      <w:r/>
      <w:bookmarkStart w:id="257" w:name="_Toc164229225"/>
      <w:r/>
      <w:bookmarkStart w:id="258" w:name="_Toc142311032"/>
      <w:r/>
      <w:bookmarkStart w:id="259" w:name="_Toc151193700"/>
      <w:r/>
      <w:bookmarkStart w:id="260" w:name="_Toc151193628"/>
      <w:r/>
      <w:bookmarkStart w:id="261" w:name="_Toc127161444"/>
      <w:r/>
      <w:bookmarkStart w:id="262" w:name="_Toc150774630"/>
      <w:r/>
      <w:bookmarkStart w:id="263" w:name="_Toc127151530"/>
      <w:r/>
      <w:bookmarkStart w:id="264" w:name="_Toc195842895"/>
      <w:r/>
      <w:bookmarkStart w:id="265" w:name="_Toc164351624"/>
      <w:r/>
      <w:bookmarkStart w:id="266" w:name="_Toc164229371"/>
      <w:r/>
      <w:bookmarkStart w:id="267" w:name="_Toc127151731"/>
      <w:r/>
      <w:bookmarkStart w:id="268" w:name="_Toc150509281"/>
      <w:r/>
      <w:bookmarkStart w:id="269" w:name="_Toc151190157"/>
      <w:r/>
      <w:bookmarkStart w:id="270" w:name="_Toc151193918"/>
      <w:r/>
      <w:bookmarkStart w:id="271" w:name="_Toc151193844"/>
      <w:r/>
      <w:bookmarkStart w:id="272" w:name="_Toc150480768"/>
      <w:r/>
      <w:bookmarkStart w:id="273" w:name="_Toc164608644"/>
      <w:r/>
      <w:bookmarkStart w:id="274" w:name="_Toc151193772"/>
      <w:r/>
      <w:bookmarkStart w:id="275" w:name="_Toc150774735"/>
      <w:r/>
      <w:bookmarkStart w:id="276" w:name="_Toc520356155"/>
      <w:r/>
      <w:bookmarkStart w:id="277" w:name="_Toc164608799"/>
      <w:r/>
      <w:bookmarkStart w:id="278" w:name="_Toc149720823"/>
      <w:r>
        <w:rPr>
          <w:rFonts w:hint="eastAsia" w:ascii="宋体" w:hAnsi="宋体" w:cs="宋体"/>
          <w:szCs w:val="21"/>
        </w:rPr>
        <w:t xml:space="preserve">报价</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所有响应均以人民币报价。</w:t>
      </w:r>
      <w:r/>
    </w:p>
    <w:p>
      <w:pPr>
        <w:numPr>
          <w:ilvl w:val="1"/>
          <w:numId w:val="9"/>
        </w:numPr>
        <w:spacing w:line="348" w:lineRule="auto"/>
        <w:tabs>
          <w:tab w:val="left" w:pos="1080" w:leader="none"/>
        </w:tabs>
        <w:rPr>
          <w:rFonts w:ascii="宋体" w:hAnsi="宋体" w:cs="宋体"/>
          <w:szCs w:val="21"/>
        </w:rPr>
      </w:pPr>
      <w:r>
        <w:rPr>
          <w:rFonts w:hint="eastAsia" w:ascii="宋体" w:hAnsi="宋体" w:cs="宋体"/>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9"/>
        </w:numPr>
        <w:spacing w:line="348" w:lineRule="auto"/>
        <w:rPr>
          <w:rFonts w:ascii="宋体" w:hAnsi="宋体" w:cs="宋体"/>
          <w:szCs w:val="21"/>
        </w:rPr>
      </w:pPr>
      <w:r>
        <w:rPr>
          <w:rFonts w:hint="eastAsia" w:ascii="宋体" w:hAnsi="宋体" w:cs="宋体"/>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9"/>
        </w:numPr>
        <w:spacing w:line="348" w:lineRule="auto"/>
        <w:rPr>
          <w:rFonts w:ascii="宋体" w:hAnsi="宋体" w:cs="宋体"/>
          <w:szCs w:val="21"/>
        </w:rPr>
      </w:pPr>
      <w:r>
        <w:rPr>
          <w:rFonts w:hint="eastAsia" w:ascii="宋体" w:hAnsi="宋体" w:cs="宋体"/>
          <w:szCs w:val="21"/>
        </w:rPr>
        <w:t xml:space="preserve">按照竞争性磋商文件要求完成本项目的全部相关工程或服务费用。</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采购人不得向供应商索要或者接受其给予的赠品、回扣或者与采购无关的其他商品、服务。</w:t>
      </w:r>
      <w:r/>
    </w:p>
    <w:p>
      <w:pPr>
        <w:numPr>
          <w:ilvl w:val="1"/>
          <w:numId w:val="9"/>
        </w:numPr>
        <w:ind w:left="1080"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供应商不能提供任何有选择性或可调整的最终报价（</w:t>
      </w:r>
      <w:r>
        <w:rPr>
          <w:rFonts w:hint="eastAsia" w:ascii="宋体" w:hAnsi="宋体" w:cs="宋体"/>
          <w:color w:val="000000"/>
          <w:szCs w:val="21"/>
        </w:rPr>
        <w:t xml:space="preserve">竞争性磋商文件</w:t>
      </w:r>
      <w:r>
        <w:rPr>
          <w:rFonts w:hint="eastAsia" w:ascii="宋体" w:hAnsi="宋体" w:cs="宋体"/>
          <w:szCs w:val="21"/>
        </w:rPr>
        <w:t xml:space="preserve">另有规定的除外），否则其</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9"/>
        </w:numPr>
        <w:ind w:left="1080" w:hanging="720"/>
        <w:spacing w:line="348" w:lineRule="auto"/>
        <w:tabs>
          <w:tab w:val="left" w:pos="1080" w:leader="none"/>
          <w:tab w:val="left" w:pos="2014" w:leader="none"/>
        </w:tabs>
        <w:rPr>
          <w:rFonts w:ascii="宋体" w:hAnsi="宋体" w:cs="宋体"/>
          <w:b/>
          <w:bCs/>
          <w:szCs w:val="21"/>
        </w:rPr>
      </w:pPr>
      <w:r>
        <w:rPr>
          <w:rFonts w:hint="eastAsia" w:ascii="宋体" w:hAnsi="宋体" w:cs="宋体"/>
          <w:b/>
          <w:bCs/>
          <w:szCs w:val="21"/>
        </w:rPr>
        <w:t xml:space="preserve">评审委员会启动异常低价投标（响应）审查的情形和具体要求，包括：</w:t>
      </w:r>
      <w:r/>
    </w:p>
    <w:p>
      <w:pPr>
        <w:numPr>
          <w:ilvl w:val="2"/>
          <w:numId w:val="9"/>
        </w:numPr>
        <w:spacing w:line="348" w:lineRule="auto"/>
        <w:rPr>
          <w:rFonts w:ascii="宋体" w:hAnsi="宋体" w:cs="宋体"/>
          <w:szCs w:val="21"/>
        </w:rPr>
      </w:pPr>
      <w:r>
        <w:rPr>
          <w:rFonts w:hint="eastAsia" w:ascii="宋体" w:hAnsi="宋体" w:cs="宋体"/>
          <w:szCs w:val="21"/>
        </w:rPr>
        <w:t xml:space="preserve">评审过程中出现下列情形之一的，评审委员会应当启</w:t>
      </w:r>
      <w:r>
        <w:rPr>
          <w:rFonts w:ascii="宋体" w:hAnsi="宋体" w:cs="宋体"/>
          <w:szCs w:val="21"/>
        </w:rPr>
        <w:t xml:space="preserve">动异常低价投标（响应）审查程序</w:t>
      </w:r>
      <w:r>
        <w:rPr>
          <w:rFonts w:hint="eastAsia" w:ascii="宋体" w:hAnsi="宋体" w:cs="宋体"/>
          <w:szCs w:val="21"/>
        </w:rPr>
        <w:t xml:space="preserve">：</w:t>
      </w:r>
      <w:r/>
    </w:p>
    <w:p>
      <w:pPr>
        <w:ind w:left="2520" w:hanging="1050"/>
        <w:spacing w:line="348" w:lineRule="auto"/>
        <w:rPr>
          <w:rFonts w:ascii="宋体" w:hAnsi="宋体" w:cs="宋体"/>
          <w:szCs w:val="21"/>
        </w:rPr>
      </w:pPr>
      <w:r>
        <w:rPr>
          <w:rFonts w:hint="eastAsia" w:ascii="宋体" w:hAnsi="宋体" w:cs="宋体"/>
          <w:szCs w:val="21"/>
        </w:rPr>
        <w:t xml:space="preserve">10.5.1.1  </w:t>
      </w:r>
      <w:r>
        <w:rPr>
          <w:rFonts w:ascii="宋体" w:hAnsi="宋体" w:cs="宋体"/>
          <w:szCs w:val="21"/>
        </w:rPr>
        <w:t xml:space="preserve">投标（响应）报价低于采购项目预算50%的，即投标（响应）报价&lt;采购项目预算×50%； </w:t>
      </w:r>
      <w:r/>
    </w:p>
    <w:p>
      <w:pPr>
        <w:ind w:left="2520" w:hanging="2520"/>
        <w:spacing w:line="348" w:lineRule="auto"/>
        <w:rPr>
          <w:rFonts w:ascii="宋体" w:hAnsi="宋体" w:cs="宋体"/>
          <w:szCs w:val="21"/>
        </w:rPr>
      </w:pPr>
      <w:r>
        <w:rPr>
          <w:rFonts w:hint="eastAsia" w:ascii="宋体" w:hAnsi="宋体" w:cs="宋体"/>
          <w:szCs w:val="21"/>
        </w:rPr>
        <w:t xml:space="preserve">              10.5.1.2  </w:t>
      </w:r>
      <w:r>
        <w:rPr>
          <w:rFonts w:ascii="宋体" w:hAnsi="宋体" w:cs="宋体"/>
          <w:szCs w:val="21"/>
        </w:rPr>
        <w:t xml:space="preserve">投标（响应）报价低于采购项目最高限价45%的，即投标（响应）报价&lt;采购项目最高限价×45% ； </w:t>
      </w:r>
      <w:r/>
    </w:p>
    <w:p>
      <w:pPr>
        <w:ind w:left="2520" w:hanging="1050"/>
        <w:spacing w:line="348" w:lineRule="auto"/>
        <w:rPr>
          <w:rFonts w:ascii="宋体" w:hAnsi="宋体" w:cs="宋体"/>
          <w:szCs w:val="21"/>
        </w:rPr>
      </w:pPr>
      <w:r>
        <w:rPr>
          <w:rFonts w:hint="eastAsia" w:ascii="宋体" w:hAnsi="宋体" w:cs="宋体"/>
          <w:szCs w:val="21"/>
        </w:rPr>
        <w:t xml:space="preserve">10.5.1.3  </w:t>
      </w:r>
      <w:r>
        <w:rPr>
          <w:rFonts w:ascii="宋体" w:hAnsi="宋体" w:cs="宋体"/>
          <w:szCs w:val="21"/>
        </w:rPr>
        <w:t xml:space="preserve">评审委员会认定的供应商报价过低、有可能影响产品质量或者不能诚信履约的其他情形。 </w:t>
      </w:r>
      <w:r/>
    </w:p>
    <w:p>
      <w:pPr>
        <w:numPr>
          <w:ilvl w:val="2"/>
          <w:numId w:val="9"/>
        </w:numPr>
        <w:spacing w:line="348" w:lineRule="auto"/>
        <w:rPr>
          <w:rFonts w:ascii="宋体" w:hAnsi="宋体" w:cs="宋体"/>
          <w:szCs w:val="21"/>
        </w:rPr>
      </w:pPr>
      <w:r>
        <w:rPr>
          <w:rFonts w:ascii="宋体" w:hAnsi="宋体" w:cs="宋体"/>
          <w:szCs w:val="2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9"/>
        </w:numPr>
        <w:ind w:left="357" w:hanging="357"/>
        <w:spacing w:line="348" w:lineRule="auto"/>
        <w:tabs>
          <w:tab w:val="left" w:pos="360" w:leader="none"/>
        </w:tabs>
        <w:rPr>
          <w:rFonts w:ascii="宋体" w:hAnsi="宋体" w:cs="宋体"/>
          <w:szCs w:val="21"/>
        </w:rPr>
        <w:outlineLvl w:val="1"/>
      </w:pPr>
      <w:r>
        <w:rPr>
          <w:rFonts w:hint="eastAsia" w:ascii="宋体" w:hAnsi="宋体" w:cs="宋体"/>
          <w:szCs w:val="21"/>
        </w:rPr>
        <w:t xml:space="preserve">磋商保证金</w:t>
      </w:r>
      <w:r/>
    </w:p>
    <w:p>
      <w:pPr>
        <w:ind w:firstLine="315"/>
        <w:spacing w:line="348" w:lineRule="auto"/>
        <w:tabs>
          <w:tab w:val="left" w:pos="360" w:leader="none"/>
        </w:tabs>
        <w:rPr>
          <w:rFonts w:ascii="宋体" w:hAnsi="宋体" w:cs="宋体"/>
          <w:szCs w:val="21"/>
        </w:rPr>
        <w:outlineLvl w:val="1"/>
      </w:pPr>
      <w:r>
        <w:rPr>
          <w:rFonts w:hint="eastAsia" w:ascii="宋体" w:hAnsi="宋体" w:cs="宋体"/>
          <w:szCs w:val="21"/>
        </w:rPr>
        <w:t xml:space="preserve">根据江苏省和常州市的相关文件规定，免收保证金。</w:t>
      </w:r>
      <w:r/>
    </w:p>
    <w:p>
      <w:pPr>
        <w:numPr>
          <w:ilvl w:val="0"/>
          <w:numId w:val="9"/>
        </w:numPr>
        <w:ind w:left="357" w:hanging="357"/>
        <w:spacing w:line="348" w:lineRule="auto"/>
        <w:tabs>
          <w:tab w:val="left" w:pos="360" w:leader="none"/>
        </w:tabs>
        <w:rPr>
          <w:rFonts w:ascii="宋体" w:hAnsi="宋体" w:cs="宋体"/>
          <w:szCs w:val="21"/>
        </w:rPr>
        <w:outlineLvl w:val="1"/>
      </w:pPr>
      <w:r>
        <w:rPr>
          <w:rFonts w:hint="eastAsia" w:ascii="宋体" w:hAnsi="宋体" w:cs="宋体"/>
          <w:szCs w:val="21"/>
        </w:rPr>
        <w:t xml:space="preserve">响应有效期</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响应文件应在本竞争性磋商文件《供应商须知资料表》中规定的响应有效期内保持有效，响应有效期少于竞争性磋商文件规定期限的，其</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9"/>
        </w:numPr>
        <w:ind w:left="357" w:hanging="357"/>
        <w:spacing w:line="348" w:lineRule="auto"/>
        <w:tabs>
          <w:tab w:val="left" w:pos="360" w:leader="none"/>
        </w:tabs>
        <w:rPr>
          <w:rFonts w:ascii="宋体" w:hAnsi="宋体" w:cs="宋体"/>
          <w:szCs w:val="21"/>
        </w:rPr>
        <w:outlineLvl w:val="1"/>
      </w:pPr>
      <w:r/>
      <w:bookmarkStart w:id="279" w:name="_Toc150774738"/>
      <w:r/>
      <w:bookmarkStart w:id="280" w:name="_Toc142311035"/>
      <w:r/>
      <w:bookmarkStart w:id="281" w:name="_Toc127151734"/>
      <w:r/>
      <w:bookmarkStart w:id="282" w:name="_Toc226309777"/>
      <w:r/>
      <w:bookmarkStart w:id="283" w:name="_Toc164229228"/>
      <w:r/>
      <w:bookmarkStart w:id="284" w:name="_Toc195842898"/>
      <w:r/>
      <w:bookmarkStart w:id="285" w:name="_Toc150480771"/>
      <w:r/>
      <w:bookmarkStart w:id="286" w:name="_Toc151193631"/>
      <w:r/>
      <w:bookmarkStart w:id="287" w:name="_Toc164351627"/>
      <w:r/>
      <w:bookmarkStart w:id="288" w:name="_Toc151193775"/>
      <w:r/>
      <w:bookmarkStart w:id="289" w:name="_Toc164608647"/>
      <w:r/>
      <w:bookmarkStart w:id="290" w:name="_Toc127151533"/>
      <w:r/>
      <w:bookmarkStart w:id="291" w:name="_Toc164608802"/>
      <w:r/>
      <w:bookmarkStart w:id="292" w:name="_Toc151190160"/>
      <w:r/>
      <w:bookmarkStart w:id="293" w:name="_Toc149720826"/>
      <w:r/>
      <w:bookmarkStart w:id="294" w:name="_Toc305158801"/>
      <w:r/>
      <w:bookmarkStart w:id="295" w:name="_Toc226965806"/>
      <w:r/>
      <w:bookmarkStart w:id="296" w:name="_Toc226337229"/>
      <w:r/>
      <w:bookmarkStart w:id="297" w:name="_Toc151193921"/>
      <w:r/>
      <w:bookmarkStart w:id="298" w:name="_Toc150774633"/>
      <w:r/>
      <w:bookmarkStart w:id="299" w:name="_Toc151193847"/>
      <w:r/>
      <w:bookmarkStart w:id="300" w:name="_Toc520356158"/>
      <w:r/>
      <w:bookmarkStart w:id="301" w:name="_Toc265228371"/>
      <w:r/>
      <w:bookmarkStart w:id="302" w:name="_Toc226965723"/>
      <w:r/>
      <w:bookmarkStart w:id="303" w:name="_Toc150509284"/>
      <w:r/>
      <w:bookmarkStart w:id="304" w:name="_Toc164229374"/>
      <w:r/>
      <w:bookmarkStart w:id="305" w:name="_Toc264969223"/>
      <w:r/>
      <w:bookmarkStart w:id="306" w:name="_Toc127161447"/>
      <w:r/>
      <w:bookmarkStart w:id="307" w:name="_Toc305158875"/>
      <w:r/>
      <w:bookmarkStart w:id="308" w:name="_Toc151193703"/>
      <w:r>
        <w:rPr>
          <w:rFonts w:hint="eastAsia" w:ascii="宋体" w:hAnsi="宋体" w:cs="宋体"/>
          <w:szCs w:val="21"/>
        </w:rPr>
        <w:t xml:space="preserve">响应文件的份数、签署</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ascii="宋体" w:hAnsi="宋体" w:cs="宋体"/>
          <w:szCs w:val="21"/>
        </w:rPr>
        <w:t xml:space="preserve">、盖章</w:t>
      </w:r>
      <w:r/>
    </w:p>
    <w:p>
      <w:pPr>
        <w:numPr>
          <w:ilvl w:val="1"/>
          <w:numId w:val="9"/>
        </w:numPr>
        <w:ind w:left="1077" w:hanging="720"/>
        <w:spacing w:line="348" w:lineRule="auto"/>
        <w:tabs>
          <w:tab w:val="left" w:pos="1080" w:leader="none"/>
          <w:tab w:val="left" w:pos="2014" w:leader="none"/>
        </w:tabs>
        <w:rPr>
          <w:rFonts w:ascii="宋体" w:hAnsi="宋体" w:cs="宋体"/>
          <w:szCs w:val="21"/>
        </w:rPr>
      </w:pPr>
      <w:r/>
      <w:bookmarkStart w:id="309" w:name="_Toc226965724"/>
      <w:r/>
      <w:bookmarkStart w:id="310" w:name="_Toc520356159"/>
      <w:r/>
      <w:bookmarkStart w:id="311" w:name="_Toc150480772"/>
      <w:r/>
      <w:bookmarkStart w:id="312" w:name="_Toc150774739"/>
      <w:r/>
      <w:bookmarkStart w:id="313" w:name="_Toc265228372"/>
      <w:r/>
      <w:bookmarkStart w:id="314" w:name="_Toc305158876"/>
      <w:r/>
      <w:bookmarkStart w:id="315" w:name="_Toc150774634"/>
      <w:r/>
      <w:bookmarkStart w:id="316" w:name="_Toc151190161"/>
      <w:r/>
      <w:bookmarkStart w:id="317" w:name="_Toc150509285"/>
      <w:r/>
      <w:bookmarkStart w:id="318" w:name="_Toc226965807"/>
      <w:r/>
      <w:bookmarkStart w:id="319" w:name="_Toc305158802"/>
      <w:r/>
      <w:bookmarkStart w:id="320" w:name="_Toc195842899"/>
      <w:r/>
      <w:bookmarkStart w:id="321" w:name="_Toc226337230"/>
      <w:r/>
      <w:bookmarkStart w:id="322" w:name="_Toc151193848"/>
      <w:r/>
      <w:bookmarkStart w:id="323" w:name="_Toc151193632"/>
      <w:r/>
      <w:bookmarkStart w:id="324" w:name="_Toc151193922"/>
      <w:r/>
      <w:bookmarkStart w:id="325" w:name="_Toc264969224"/>
      <w:r/>
      <w:bookmarkStart w:id="326" w:name="_Toc127151534"/>
      <w:r/>
      <w:bookmarkStart w:id="327" w:name="_Toc142311036"/>
      <w:r/>
      <w:bookmarkStart w:id="328" w:name="_Toc226309778"/>
      <w:r/>
      <w:bookmarkStart w:id="329" w:name="_Toc151193704"/>
      <w:r/>
      <w:bookmarkStart w:id="330" w:name="_Toc151193776"/>
      <w:r>
        <w:rPr>
          <w:rFonts w:hint="eastAsia" w:ascii="宋体" w:hAnsi="宋体" w:cs="宋体"/>
          <w:szCs w:val="21"/>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9"/>
        </w:numPr>
        <w:ind w:left="1077" w:hanging="720"/>
        <w:spacing w:line="348" w:lineRule="auto"/>
        <w:tabs>
          <w:tab w:val="left" w:pos="1080" w:leader="none"/>
          <w:tab w:val="left" w:pos="2014" w:leader="none"/>
        </w:tabs>
        <w:rPr>
          <w:sz w:val="24"/>
        </w:rPr>
      </w:pPr>
      <w:r>
        <w:rPr>
          <w:rFonts w:hint="eastAsia" w:ascii="宋体" w:hAnsi="宋体" w:cs="宋体"/>
          <w:szCs w:val="21"/>
        </w:rPr>
        <w:t xml:space="preserve">竞争性磋商文件要求盖章的内容，一般通过响应文件编制工具加盖电子签章。</w:t>
      </w:r>
      <w:r/>
    </w:p>
    <w:p>
      <w:pPr>
        <w:ind w:left="357"/>
        <w:spacing w:line="348" w:lineRule="auto"/>
        <w:tabs>
          <w:tab w:val="left" w:pos="900" w:leader="none"/>
          <w:tab w:val="left" w:pos="1080" w:leader="none"/>
        </w:tabs>
      </w:pPr>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
    </w:p>
    <w:p>
      <w:pPr>
        <w:pStyle w:val="922"/>
        <w:spacing w:before="0" w:line="348" w:lineRule="auto"/>
        <w:rPr>
          <w:rFonts w:ascii="Times New Roman" w:hAnsi="Times New Roman" w:eastAsia="宋体"/>
          <w:sz w:val="28"/>
        </w:rPr>
      </w:pPr>
      <w:r/>
      <w:bookmarkStart w:id="331" w:name="_Toc520356169"/>
      <w:r>
        <w:rPr>
          <w:rFonts w:ascii="Times New Roman" w:hAnsi="Times New Roman" w:eastAsia="宋体"/>
          <w:sz w:val="28"/>
        </w:rPr>
        <w:t xml:space="preserve">四</w:t>
      </w:r>
      <w:r>
        <w:rPr>
          <w:rFonts w:hint="eastAsia" w:ascii="Times New Roman" w:hAnsi="Times New Roman" w:eastAsia="宋体"/>
          <w:sz w:val="28"/>
        </w:rPr>
        <w:t xml:space="preserve">、</w:t>
      </w:r>
      <w:r>
        <w:rPr>
          <w:rFonts w:ascii="Times New Roman" w:hAnsi="Times New Roman" w:eastAsia="宋体"/>
          <w:sz w:val="28"/>
        </w:rPr>
        <w:t xml:space="preserve">响应文件的提交</w:t>
      </w:r>
      <w:r/>
    </w:p>
    <w:p>
      <w:pPr>
        <w:numPr>
          <w:ilvl w:val="0"/>
          <w:numId w:val="9"/>
        </w:numPr>
        <w:ind w:left="357" w:hanging="357"/>
        <w:spacing w:line="348" w:lineRule="auto"/>
        <w:tabs>
          <w:tab w:val="left" w:pos="360" w:leader="none"/>
        </w:tabs>
        <w:rPr>
          <w:rFonts w:ascii="宋体" w:hAnsi="宋体"/>
          <w:spacing w:val="2"/>
          <w:szCs w:val="21"/>
        </w:rPr>
        <w:outlineLvl w:val="1"/>
      </w:pPr>
      <w:r/>
      <w:bookmarkStart w:id="332" w:name="_Toc151190162"/>
      <w:r/>
      <w:bookmarkStart w:id="333" w:name="_Toc264969225"/>
      <w:r/>
      <w:bookmarkStart w:id="334" w:name="_Toc151193923"/>
      <w:r/>
      <w:bookmarkStart w:id="335" w:name="_Toc150774740"/>
      <w:r/>
      <w:bookmarkStart w:id="336" w:name="_Toc151193777"/>
      <w:r/>
      <w:bookmarkStart w:id="337" w:name="_Toc226309779"/>
      <w:r/>
      <w:bookmarkStart w:id="338" w:name="_Toc150509286"/>
      <w:r/>
      <w:bookmarkStart w:id="339" w:name="_Toc151193633"/>
      <w:r/>
      <w:bookmarkStart w:id="340" w:name="_Toc164229376"/>
      <w:r/>
      <w:bookmarkStart w:id="341" w:name="_Toc195842900"/>
      <w:r/>
      <w:bookmarkStart w:id="342" w:name="_Toc164229230"/>
      <w:r/>
      <w:bookmarkStart w:id="343" w:name="_Toc226965808"/>
      <w:r/>
      <w:bookmarkStart w:id="344" w:name="_Toc164608649"/>
      <w:r/>
      <w:bookmarkStart w:id="345" w:name="_Toc305158877"/>
      <w:r/>
      <w:bookmarkStart w:id="346" w:name="_Toc265228373"/>
      <w:r/>
      <w:bookmarkStart w:id="347" w:name="_Toc149720828"/>
      <w:r/>
      <w:bookmarkStart w:id="348" w:name="_Toc150480773"/>
      <w:r/>
      <w:bookmarkStart w:id="349" w:name="_Toc164351629"/>
      <w:r/>
      <w:bookmarkStart w:id="350" w:name="_Toc305158803"/>
      <w:r/>
      <w:bookmarkStart w:id="351" w:name="_Toc127151535"/>
      <w:r/>
      <w:bookmarkStart w:id="352" w:name="_Toc127161449"/>
      <w:r/>
      <w:bookmarkStart w:id="353" w:name="_Toc226965725"/>
      <w:r/>
      <w:bookmarkStart w:id="354" w:name="_Toc150774635"/>
      <w:r/>
      <w:bookmarkStart w:id="355" w:name="_Toc151193849"/>
      <w:r/>
      <w:bookmarkStart w:id="356" w:name="_Toc520356160"/>
      <w:r/>
      <w:bookmarkStart w:id="357" w:name="_Toc127151736"/>
      <w:r/>
      <w:bookmarkStart w:id="358" w:name="_Toc151193705"/>
      <w:r/>
      <w:bookmarkStart w:id="359" w:name="_Toc142311037"/>
      <w:r/>
      <w:bookmarkStart w:id="360" w:name="_Toc164608804"/>
      <w:r/>
      <w:bookmarkStart w:id="361" w:name="_Toc226337231"/>
      <w:r>
        <w:rPr>
          <w:szCs w:val="21"/>
        </w:rPr>
        <w:t xml:space="preserve">响应文件的</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Pr>
          <w:szCs w:val="21"/>
        </w:rPr>
        <w:t xml:space="preserve">提交</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本项目使用“苏采云”政府采购一体化平台。供应商根据竞争性磋商文件及</w:t>
      </w:r>
      <w:r>
        <w:rPr>
          <w:rFonts w:hint="eastAsia" w:ascii="宋体" w:hAnsi="宋体" w:cs="宋体"/>
          <w:szCs w:val="21"/>
          <w:lang w:bidi="ar"/>
        </w:rPr>
        <w:t xml:space="preserve">“苏采云”政府采购一体化平台</w:t>
      </w:r>
      <w:r>
        <w:rPr>
          <w:rFonts w:hint="eastAsia" w:ascii="宋体" w:hAnsi="宋体" w:cs="宋体"/>
          <w:szCs w:val="21"/>
        </w:rPr>
        <w:t xml:space="preserve">供应商操作手册要求编制、生成并提交电子响应文件。</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采购人及采购代理机构拒绝接受通过电子交易平台以外任何形式提交的响应文件，磋商保证金除外。</w:t>
      </w:r>
      <w:r/>
    </w:p>
    <w:p>
      <w:pPr>
        <w:numPr>
          <w:ilvl w:val="0"/>
          <w:numId w:val="9"/>
        </w:numPr>
        <w:ind w:left="357" w:hanging="357"/>
        <w:spacing w:line="348" w:lineRule="auto"/>
        <w:tabs>
          <w:tab w:val="left" w:pos="360" w:leader="none"/>
        </w:tabs>
        <w:rPr>
          <w:szCs w:val="21"/>
        </w:rPr>
        <w:outlineLvl w:val="1"/>
      </w:pPr>
      <w:r/>
      <w:bookmarkStart w:id="362" w:name="_Toc151193706"/>
      <w:r/>
      <w:bookmarkStart w:id="363" w:name="_Toc305158804"/>
      <w:r/>
      <w:bookmarkStart w:id="364" w:name="_Toc164229231"/>
      <w:r/>
      <w:bookmarkStart w:id="365" w:name="_Toc520356161"/>
      <w:r/>
      <w:bookmarkStart w:id="366" w:name="_Toc164608805"/>
      <w:r/>
      <w:bookmarkStart w:id="367" w:name="_Toc195842901"/>
      <w:r/>
      <w:bookmarkStart w:id="368" w:name="_Toc142311038"/>
      <w:r/>
      <w:bookmarkStart w:id="369" w:name="_Toc150774636"/>
      <w:r/>
      <w:bookmarkStart w:id="370" w:name="_Toc226337232"/>
      <w:r/>
      <w:bookmarkStart w:id="371" w:name="_Toc151190163"/>
      <w:r/>
      <w:bookmarkStart w:id="372" w:name="_Toc127161450"/>
      <w:r/>
      <w:bookmarkStart w:id="373" w:name="_Toc264969226"/>
      <w:r/>
      <w:bookmarkStart w:id="374" w:name="_Toc151193924"/>
      <w:r/>
      <w:bookmarkStart w:id="375" w:name="_Toc127151737"/>
      <w:r/>
      <w:bookmarkStart w:id="376" w:name="_Toc127151536"/>
      <w:r/>
      <w:bookmarkStart w:id="377" w:name="_Toc151193634"/>
      <w:r/>
      <w:bookmarkStart w:id="378" w:name="_Toc149720829"/>
      <w:r/>
      <w:bookmarkStart w:id="379" w:name="_Toc164351630"/>
      <w:r/>
      <w:bookmarkStart w:id="380" w:name="_Toc150480774"/>
      <w:r/>
      <w:bookmarkStart w:id="381" w:name="_Toc226965726"/>
      <w:r/>
      <w:bookmarkStart w:id="382" w:name="_Toc164608650"/>
      <w:r/>
      <w:bookmarkStart w:id="383" w:name="_Toc151193850"/>
      <w:r/>
      <w:bookmarkStart w:id="384" w:name="_Toc150509287"/>
      <w:r/>
      <w:bookmarkStart w:id="385" w:name="_Toc150774741"/>
      <w:r/>
      <w:bookmarkStart w:id="386" w:name="_Toc151193778"/>
      <w:r/>
      <w:bookmarkStart w:id="387" w:name="_Toc265228374"/>
      <w:r/>
      <w:bookmarkStart w:id="388" w:name="_Toc226309780"/>
      <w:r/>
      <w:bookmarkStart w:id="389" w:name="_Toc305158878"/>
      <w:r/>
      <w:bookmarkStart w:id="390" w:name="_Toc164229377"/>
      <w:r/>
      <w:bookmarkStart w:id="391" w:name="_Toc226965809"/>
      <w:r>
        <w:rPr>
          <w:rFonts w:hint="eastAsia"/>
          <w:szCs w:val="21"/>
        </w:rPr>
        <w:t xml:space="preserve">响应文件截止</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Pr>
          <w:rFonts w:hint="eastAsia"/>
          <w:szCs w:val="21"/>
        </w:rPr>
        <w:t xml:space="preserve">时间</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供应商应在竞争性磋商文件要求提交响应文件截止时间前，通过</w:t>
      </w:r>
      <w:r>
        <w:rPr>
          <w:rFonts w:hint="eastAsia" w:ascii="宋体" w:hAnsi="宋体" w:cs="宋体"/>
          <w:szCs w:val="21"/>
          <w:lang w:bidi="ar"/>
        </w:rPr>
        <w:t xml:space="preserve">“苏采云”政府采购一体化平台</w:t>
      </w:r>
      <w:r>
        <w:rPr>
          <w:rFonts w:hint="eastAsia" w:ascii="宋体" w:hAnsi="宋体" w:cs="宋体"/>
          <w:szCs w:val="21"/>
        </w:rPr>
        <w:t xml:space="preserve">提交数据电文形式的投标文件（即电子投标），</w:t>
      </w:r>
      <w:r>
        <w:rPr>
          <w:rFonts w:hint="eastAsia" w:ascii="宋体" w:hAnsi="宋体" w:cs="宋体"/>
          <w:szCs w:val="21"/>
          <w:lang w:bidi="ar"/>
        </w:rPr>
        <w:t xml:space="preserve">“苏采云”政府采购一体化平台</w:t>
      </w:r>
      <w:r>
        <w:rPr>
          <w:rFonts w:hint="eastAsia" w:ascii="宋体" w:hAnsi="宋体" w:cs="宋体"/>
          <w:szCs w:val="21"/>
        </w:rPr>
        <w:t xml:space="preserve">自动接收。</w:t>
      </w:r>
      <w:r/>
    </w:p>
    <w:p>
      <w:pPr>
        <w:numPr>
          <w:ilvl w:val="0"/>
          <w:numId w:val="9"/>
        </w:numPr>
        <w:ind w:left="357" w:hanging="357"/>
        <w:spacing w:line="348" w:lineRule="auto"/>
        <w:tabs>
          <w:tab w:val="left" w:pos="360" w:leader="none"/>
        </w:tabs>
        <w:rPr>
          <w:szCs w:val="21"/>
        </w:rPr>
        <w:outlineLvl w:val="1"/>
      </w:pPr>
      <w:r/>
      <w:bookmarkStart w:id="392" w:name="_Toc305158879"/>
      <w:r/>
      <w:bookmarkStart w:id="393" w:name="_Toc520356162"/>
      <w:r/>
      <w:bookmarkStart w:id="394" w:name="_Toc127161451"/>
      <w:r/>
      <w:bookmarkStart w:id="395" w:name="_Toc151193851"/>
      <w:r/>
      <w:bookmarkStart w:id="396" w:name="_Toc264969227"/>
      <w:r/>
      <w:bookmarkStart w:id="397" w:name="_Toc151193779"/>
      <w:r/>
      <w:bookmarkStart w:id="398" w:name="_Toc150774637"/>
      <w:r/>
      <w:bookmarkStart w:id="399" w:name="_Toc151193635"/>
      <w:r/>
      <w:bookmarkStart w:id="400" w:name="_Toc226309781"/>
      <w:r/>
      <w:bookmarkStart w:id="401" w:name="_Toc164608806"/>
      <w:r/>
      <w:bookmarkStart w:id="402" w:name="_Toc127151537"/>
      <w:r/>
      <w:bookmarkStart w:id="403" w:name="_Toc150480775"/>
      <w:r/>
      <w:bookmarkStart w:id="404" w:name="_Toc151193925"/>
      <w:r/>
      <w:bookmarkStart w:id="405" w:name="_Toc150509288"/>
      <w:r/>
      <w:bookmarkStart w:id="406" w:name="_Toc149720830"/>
      <w:r/>
      <w:bookmarkStart w:id="407" w:name="_Toc164229232"/>
      <w:r/>
      <w:bookmarkStart w:id="408" w:name="_Toc226965727"/>
      <w:r/>
      <w:bookmarkStart w:id="409" w:name="_Toc142311039"/>
      <w:r/>
      <w:bookmarkStart w:id="410" w:name="_Toc265228375"/>
      <w:r/>
      <w:bookmarkStart w:id="411" w:name="_Toc226337233"/>
      <w:r/>
      <w:bookmarkStart w:id="412" w:name="_Toc164608651"/>
      <w:r/>
      <w:bookmarkStart w:id="413" w:name="_Toc226965810"/>
      <w:r/>
      <w:bookmarkStart w:id="414" w:name="_Toc164351631"/>
      <w:r/>
      <w:bookmarkStart w:id="415" w:name="_Toc151190164"/>
      <w:r/>
      <w:bookmarkStart w:id="416" w:name="_Toc305158805"/>
      <w:r/>
      <w:bookmarkStart w:id="417" w:name="_Toc195842902"/>
      <w:r/>
      <w:bookmarkStart w:id="418" w:name="_Toc127151738"/>
      <w:r/>
      <w:bookmarkStart w:id="419" w:name="_Toc150774742"/>
      <w:r/>
      <w:bookmarkStart w:id="420" w:name="_Toc164229378"/>
      <w:r/>
      <w:bookmarkStart w:id="421" w:name="_Toc151193707"/>
      <w:r>
        <w:rPr>
          <w:rFonts w:hint="eastAsia"/>
          <w:szCs w:val="21"/>
        </w:rPr>
        <w:t xml:space="preserve">响应文件的修改与撤回</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48" w:lineRule="auto"/>
        <w:tabs>
          <w:tab w:val="left" w:pos="900" w:leader="none"/>
          <w:tab w:val="left" w:pos="1080" w:leader="none"/>
          <w:tab w:val="left" w:pos="1589" w:leader="none"/>
        </w:tabs>
        <w:rPr>
          <w:szCs w:val="21"/>
        </w:rPr>
      </w:pPr>
      <w:r>
        <w:rPr>
          <w:szCs w:val="21"/>
        </w:rPr>
      </w:r>
      <w:r/>
    </w:p>
    <w:p>
      <w:pPr>
        <w:pStyle w:val="922"/>
        <w:spacing w:before="0" w:line="348" w:lineRule="auto"/>
        <w:rPr>
          <w:rFonts w:ascii="Times New Roman" w:hAnsi="Times New Roman" w:eastAsia="宋体"/>
          <w:sz w:val="28"/>
        </w:rPr>
      </w:pPr>
      <w:r/>
      <w:bookmarkStart w:id="422" w:name="_Toc305158880"/>
      <w:r/>
      <w:bookmarkStart w:id="423" w:name="_Toc150774638"/>
      <w:r/>
      <w:bookmarkStart w:id="424" w:name="_Toc195842903"/>
      <w:r/>
      <w:bookmarkStart w:id="425" w:name="_Toc226337234"/>
      <w:r/>
      <w:bookmarkStart w:id="426" w:name="_Toc151190165"/>
      <w:r/>
      <w:bookmarkStart w:id="427" w:name="_Toc150774743"/>
      <w:r/>
      <w:bookmarkStart w:id="428" w:name="_Toc264969228"/>
      <w:r/>
      <w:bookmarkStart w:id="429" w:name="_Toc151193780"/>
      <w:r/>
      <w:bookmarkStart w:id="430" w:name="_Toc150509289"/>
      <w:r/>
      <w:bookmarkStart w:id="431" w:name="_Toc226965728"/>
      <w:r/>
      <w:bookmarkStart w:id="432" w:name="_Toc520356163"/>
      <w:r/>
      <w:bookmarkStart w:id="433" w:name="_Toc151193852"/>
      <w:r/>
      <w:bookmarkStart w:id="434" w:name="_Toc151193708"/>
      <w:r/>
      <w:bookmarkStart w:id="435" w:name="_Toc151193636"/>
      <w:r/>
      <w:bookmarkStart w:id="436" w:name="_Toc305158806"/>
      <w:r/>
      <w:bookmarkStart w:id="437" w:name="_Toc127151538"/>
      <w:r/>
      <w:bookmarkStart w:id="438" w:name="_Toc150480776"/>
      <w:r/>
      <w:bookmarkStart w:id="439" w:name="_Toc226965811"/>
      <w:r/>
      <w:bookmarkStart w:id="440" w:name="_Toc226309782"/>
      <w:r/>
      <w:bookmarkStart w:id="441" w:name="_Toc265228376"/>
      <w:r/>
      <w:bookmarkStart w:id="442" w:name="_Toc151193926"/>
      <w:r/>
      <w:bookmarkStart w:id="443" w:name="_Toc142311040"/>
      <w:r>
        <w:rPr>
          <w:rFonts w:ascii="Times New Roman" w:hAnsi="Times New Roman" w:eastAsia="宋体"/>
          <w:sz w:val="28"/>
        </w:rPr>
        <w:t xml:space="preserve">五</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Pr>
          <w:rFonts w:hint="eastAsia" w:ascii="Times New Roman" w:hAnsi="Times New Roman" w:eastAsia="宋体"/>
          <w:sz w:val="28"/>
        </w:rPr>
        <w:t xml:space="preserve">、</w:t>
      </w:r>
      <w:r>
        <w:rPr>
          <w:rFonts w:ascii="Times New Roman" w:hAnsi="Times New Roman" w:eastAsia="宋体"/>
          <w:sz w:val="28"/>
        </w:rPr>
        <w:t xml:space="preserve">评审</w:t>
      </w:r>
      <w:r/>
    </w:p>
    <w:p>
      <w:pPr>
        <w:numPr>
          <w:ilvl w:val="0"/>
          <w:numId w:val="9"/>
        </w:numPr>
        <w:ind w:left="357" w:hanging="357"/>
        <w:spacing w:line="348" w:lineRule="auto"/>
        <w:tabs>
          <w:tab w:val="left" w:pos="360" w:leader="none"/>
        </w:tabs>
        <w:rPr>
          <w:rFonts w:ascii="宋体" w:hAnsi="宋体" w:cs="宋体"/>
          <w:szCs w:val="21"/>
        </w:rPr>
        <w:outlineLvl w:val="1"/>
      </w:pPr>
      <w:r>
        <w:rPr>
          <w:rFonts w:hint="eastAsia" w:ascii="宋体" w:hAnsi="宋体" w:cs="宋体"/>
          <w:szCs w:val="21"/>
        </w:rPr>
        <w:t xml:space="preserve">响应文件</w:t>
      </w:r>
      <w:bookmarkStart w:id="444" w:name="_Toc520356165"/>
      <w:r>
        <w:rPr>
          <w:rFonts w:hint="eastAsia" w:ascii="宋体" w:hAnsi="宋体" w:cs="宋体"/>
          <w:szCs w:val="21"/>
        </w:rPr>
        <w:t xml:space="preserve">的解密与开启</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采购人或采购代理机构将按竞争性磋商文件的规定，在响应文件提交截止时间的同一时间和竞争性磋商文件预先确定的地点开启响应文件。</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本项目采用不见面交易模式，使用“苏采云”系统在线进行解密。供应商应在规定的时间内对响应文件进行解密，因非系统原因导致的解密失败，视为</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供应商不足3家的，不予解密。</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本项目不公开报价。</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如果在采购活动过程中出现以下情形，导致“</w:t>
      </w:r>
      <w:r>
        <w:rPr>
          <w:rFonts w:hint="eastAsia" w:ascii="宋体" w:hAnsi="宋体" w:cs="宋体"/>
          <w:szCs w:val="21"/>
          <w:lang w:bidi="ar"/>
        </w:rPr>
        <w:t xml:space="preserve">苏采云</w:t>
      </w:r>
      <w:r>
        <w:rPr>
          <w:rFonts w:hint="eastAsia" w:ascii="宋体" w:hAnsi="宋体" w:cs="宋体"/>
          <w:szCs w:val="21"/>
        </w:rPr>
        <w:t xml:space="preserve">”系统无法正常运行，或者无法保证本项目采购活动的公平、公正和安全时，代理机构可以延缓或者暂停采购活动，情况严重的可以终止采购活动：</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 1)平台系统发生故障而无法登录访问的；</w:t>
      </w:r>
      <w:r/>
    </w:p>
    <w:p>
      <w:pPr>
        <w:ind w:left="357" w:firstLine="735"/>
        <w:spacing w:line="348" w:lineRule="auto"/>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2)平台系统应用或数据库出现错误，不能进行正常操作的；</w:t>
      </w:r>
      <w:r/>
    </w:p>
    <w:p>
      <w:pPr>
        <w:ind w:left="357" w:firstLine="735"/>
        <w:spacing w:line="348" w:lineRule="auto"/>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3)平台系统发现严重安全漏洞，有潜在泄密危险的；</w:t>
      </w:r>
      <w:r/>
    </w:p>
    <w:p>
      <w:pPr>
        <w:ind w:left="357" w:firstLine="735"/>
        <w:spacing w:line="348" w:lineRule="auto"/>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4)病毒发作导致平台系统不能进行正常操作的；</w:t>
      </w:r>
      <w:r/>
    </w:p>
    <w:p>
      <w:pPr>
        <w:ind w:left="357" w:firstLine="735"/>
        <w:spacing w:line="348" w:lineRule="auto"/>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5)其他无法保证本次采购活动的公平、公正和安全的情况。</w:t>
      </w:r>
      <w:r/>
    </w:p>
    <w:p>
      <w:pPr>
        <w:ind w:firstLine="420"/>
        <w:spacing w:line="348" w:lineRule="auto"/>
        <w:tabs>
          <w:tab w:val="left" w:pos="993" w:leader="none"/>
          <w:tab w:val="left" w:pos="1589" w:leader="none"/>
          <w:tab w:val="left" w:pos="2014" w:leader="none"/>
        </w:tabs>
        <w:rPr>
          <w:rFonts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44"/>
      <w:r/>
      <w:r/>
    </w:p>
    <w:p>
      <w:pPr>
        <w:numPr>
          <w:ilvl w:val="0"/>
          <w:numId w:val="9"/>
        </w:numPr>
        <w:ind w:left="357" w:hanging="357"/>
        <w:spacing w:line="348" w:lineRule="auto"/>
        <w:tabs>
          <w:tab w:val="left" w:pos="360" w:leader="none"/>
        </w:tabs>
        <w:rPr>
          <w:rFonts w:ascii="宋体" w:hAnsi="宋体" w:cs="宋体"/>
          <w:szCs w:val="21"/>
        </w:rPr>
        <w:outlineLvl w:val="1"/>
      </w:pPr>
      <w:r>
        <w:rPr>
          <w:rFonts w:hint="eastAsia" w:ascii="宋体" w:hAnsi="宋体" w:cs="宋体"/>
          <w:szCs w:val="21"/>
        </w:rPr>
        <w:t xml:space="preserve">磋商程序</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numPr>
          <w:ilvl w:val="1"/>
          <w:numId w:val="9"/>
        </w:numPr>
        <w:ind w:left="1077" w:hanging="720"/>
        <w:spacing w:line="348" w:lineRule="auto"/>
        <w:tabs>
          <w:tab w:val="left" w:pos="1080" w:leader="none"/>
          <w:tab w:val="left" w:pos="2014" w:leader="none"/>
        </w:tabs>
        <w:rPr>
          <w:rFonts w:ascii="宋体" w:hAnsi="宋体" w:cs="宋体"/>
          <w:color w:val="ff0000"/>
          <w:szCs w:val="21"/>
        </w:rPr>
      </w:pPr>
      <w:r>
        <w:rPr>
          <w:rFonts w:hint="eastAsia" w:ascii="宋体" w:hAnsi="宋体" w:cs="宋体"/>
          <w:color w:val="ff0000"/>
          <w:szCs w:val="21"/>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numPr>
          <w:ilvl w:val="0"/>
          <w:numId w:val="9"/>
        </w:numPr>
        <w:ind w:left="357" w:hanging="357"/>
        <w:spacing w:line="348" w:lineRule="auto"/>
        <w:tabs>
          <w:tab w:val="left" w:pos="360" w:leader="none"/>
        </w:tabs>
        <w:rPr>
          <w:rFonts w:ascii="宋体" w:hAnsi="宋体" w:cs="宋体"/>
          <w:szCs w:val="21"/>
        </w:rPr>
        <w:outlineLvl w:val="1"/>
      </w:pPr>
      <w:r/>
      <w:bookmarkStart w:id="445" w:name="_Toc151193787"/>
      <w:r/>
      <w:bookmarkStart w:id="446" w:name="_Toc265228383"/>
      <w:r/>
      <w:bookmarkStart w:id="447" w:name="_Toc151193933"/>
      <w:r/>
      <w:bookmarkStart w:id="448" w:name="_Toc127151545"/>
      <w:r/>
      <w:bookmarkStart w:id="449" w:name="_Toc150509296"/>
      <w:r/>
      <w:bookmarkStart w:id="450" w:name="_Toc305158813"/>
      <w:r/>
      <w:bookmarkStart w:id="451" w:name="_Toc226337241"/>
      <w:r/>
      <w:bookmarkStart w:id="452" w:name="_Toc151190172"/>
      <w:r/>
      <w:bookmarkStart w:id="453" w:name="_Toc151193643"/>
      <w:r/>
      <w:bookmarkStart w:id="454" w:name="_Toc195842910"/>
      <w:r/>
      <w:bookmarkStart w:id="455" w:name="_Toc142311047"/>
      <w:r/>
      <w:bookmarkStart w:id="456" w:name="_Toc305158887"/>
      <w:r/>
      <w:bookmarkStart w:id="457" w:name="_Toc264969235"/>
      <w:r/>
      <w:bookmarkStart w:id="458" w:name="_Toc150480783"/>
      <w:r/>
      <w:bookmarkStart w:id="459" w:name="_Toc151193715"/>
      <w:r/>
      <w:bookmarkStart w:id="460" w:name="_Toc151193859"/>
      <w:r/>
      <w:bookmarkStart w:id="461" w:name="_Toc226965818"/>
      <w:r/>
      <w:bookmarkStart w:id="462" w:name="_Toc150774750"/>
      <w:r/>
      <w:bookmarkStart w:id="463" w:name="_Toc150774645"/>
      <w:r/>
      <w:bookmarkStart w:id="464" w:name="_Toc226309789"/>
      <w:r/>
      <w:bookmarkStart w:id="465" w:name="_Toc226965735"/>
      <w:r>
        <w:rPr>
          <w:rFonts w:hint="eastAsia" w:ascii="宋体" w:hAnsi="宋体" w:cs="宋体"/>
          <w:szCs w:val="21"/>
        </w:rPr>
        <w:t xml:space="preserve">磋商小组</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磋商小组根据政府采购有关规定和本次采购项目的特点进行组建，并负责具体评审事务，独立履行职责。</w:t>
      </w:r>
      <w:bookmarkStart w:id="466" w:name="_Toc520356166"/>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End w:id="466"/>
      <w:r/>
      <w:r/>
    </w:p>
    <w:p>
      <w:pPr>
        <w:numPr>
          <w:ilvl w:val="0"/>
          <w:numId w:val="9"/>
        </w:numPr>
        <w:spacing w:line="348" w:lineRule="auto"/>
        <w:tabs>
          <w:tab w:val="left" w:pos="360" w:leader="none"/>
        </w:tabs>
        <w:rPr>
          <w:rFonts w:ascii="宋体" w:hAnsi="宋体" w:cs="宋体"/>
          <w:szCs w:val="21"/>
        </w:rPr>
        <w:outlineLvl w:val="1"/>
      </w:pPr>
      <w:r>
        <w:rPr>
          <w:rFonts w:hint="eastAsia" w:ascii="宋体" w:hAnsi="宋体" w:cs="宋体"/>
          <w:szCs w:val="21"/>
        </w:rPr>
        <w:t xml:space="preserve">评审方法和评审标准</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见第三章《评审方法和评审标准》。</w:t>
      </w:r>
      <w:r/>
    </w:p>
    <w:p>
      <w:pPr>
        <w:pStyle w:val="922"/>
        <w:spacing w:before="0" w:line="348" w:lineRule="auto"/>
        <w:rPr>
          <w:rFonts w:ascii="Times New Roman" w:hAnsi="Times New Roman" w:eastAsia="宋体"/>
          <w:sz w:val="28"/>
        </w:rPr>
      </w:pPr>
      <w:r>
        <w:rPr>
          <w:rFonts w:ascii="Times New Roman" w:hAnsi="Times New Roman" w:eastAsia="宋体"/>
          <w:sz w:val="28"/>
        </w:rPr>
        <w:t xml:space="preserve">六</w:t>
      </w:r>
      <w:bookmarkEnd w:id="331"/>
      <w:r>
        <w:rPr>
          <w:rFonts w:hint="eastAsia" w:ascii="Times New Roman" w:hAnsi="Times New Roman" w:eastAsia="宋体"/>
          <w:sz w:val="28"/>
        </w:rPr>
        <w:t xml:space="preserve">、</w:t>
      </w:r>
      <w:r>
        <w:rPr>
          <w:rFonts w:ascii="Times New Roman" w:hAnsi="Times New Roman" w:eastAsia="宋体"/>
          <w:sz w:val="28"/>
        </w:rPr>
        <w:t xml:space="preserve">确定</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rFonts w:ascii="Times New Roman" w:hAnsi="Times New Roman" w:eastAsia="宋体"/>
          <w:sz w:val="28"/>
        </w:rPr>
        <w:t xml:space="preserve">成交</w:t>
      </w:r>
      <w:r/>
    </w:p>
    <w:p>
      <w:pPr>
        <w:numPr>
          <w:ilvl w:val="0"/>
          <w:numId w:val="9"/>
        </w:numPr>
        <w:ind w:left="357" w:hanging="357"/>
        <w:spacing w:line="348" w:lineRule="auto"/>
        <w:tabs>
          <w:tab w:val="left" w:pos="360" w:leader="none"/>
        </w:tabs>
        <w:rPr>
          <w:rFonts w:ascii="宋体" w:hAnsi="宋体" w:cs="宋体"/>
          <w:szCs w:val="21"/>
        </w:rPr>
        <w:outlineLvl w:val="1"/>
      </w:pPr>
      <w:r/>
      <w:bookmarkStart w:id="467" w:name="_Toc127151547"/>
      <w:r/>
      <w:bookmarkStart w:id="468" w:name="_Toc164608661"/>
      <w:r/>
      <w:bookmarkStart w:id="469" w:name="_Toc226965820"/>
      <w:r/>
      <w:bookmarkStart w:id="470" w:name="_Toc150774647"/>
      <w:r/>
      <w:bookmarkStart w:id="471" w:name="_Toc127161461"/>
      <w:r/>
      <w:bookmarkStart w:id="472" w:name="_Toc195842912"/>
      <w:r/>
      <w:bookmarkStart w:id="473" w:name="_Toc150774752"/>
      <w:r/>
      <w:bookmarkStart w:id="474" w:name="_Toc226309791"/>
      <w:r/>
      <w:bookmarkStart w:id="475" w:name="_Toc151193861"/>
      <w:r/>
      <w:bookmarkStart w:id="476" w:name="_Toc226337243"/>
      <w:r/>
      <w:bookmarkStart w:id="477" w:name="_Toc142311049"/>
      <w:r/>
      <w:bookmarkStart w:id="478" w:name="_Toc265228385"/>
      <w:r/>
      <w:bookmarkStart w:id="479" w:name="_Toc264969237"/>
      <w:r/>
      <w:bookmarkStart w:id="480" w:name="_Toc151193645"/>
      <w:r/>
      <w:bookmarkStart w:id="481" w:name="_Toc164351641"/>
      <w:r/>
      <w:bookmarkStart w:id="482" w:name="_Toc151193789"/>
      <w:r/>
      <w:bookmarkStart w:id="483" w:name="_Toc305158889"/>
      <w:r/>
      <w:bookmarkStart w:id="484" w:name="_Toc164229242"/>
      <w:r/>
      <w:bookmarkStart w:id="485" w:name="_Toc164229388"/>
      <w:r/>
      <w:bookmarkStart w:id="486" w:name="_Toc151193935"/>
      <w:r/>
      <w:bookmarkStart w:id="487" w:name="_Toc150480785"/>
      <w:r/>
      <w:bookmarkStart w:id="488" w:name="_Toc149720840"/>
      <w:r/>
      <w:bookmarkStart w:id="489" w:name="_Toc164608816"/>
      <w:r/>
      <w:bookmarkStart w:id="490" w:name="_Toc151193717"/>
      <w:r/>
      <w:bookmarkStart w:id="491" w:name="_Toc150509298"/>
      <w:r/>
      <w:bookmarkStart w:id="492" w:name="_Toc305158815"/>
      <w:r/>
      <w:bookmarkStart w:id="493" w:name="_Toc127151748"/>
      <w:r/>
      <w:bookmarkStart w:id="494" w:name="_Toc151190174"/>
      <w:r/>
      <w:bookmarkStart w:id="495" w:name="_Toc226965737"/>
      <w:r>
        <w:rPr>
          <w:rFonts w:hint="eastAsia" w:ascii="宋体" w:hAnsi="宋体" w:cs="宋体"/>
          <w:szCs w:val="21"/>
        </w:rPr>
        <w:t xml:space="preserve">确定成交供应商</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采购人将在收到评审报告后，从评审报告提出的成交候选供应商中，按照排序由高到低的原则确定成交供应商。成交候选人并列的，由采购人依法确定。</w:t>
      </w:r>
      <w:r/>
    </w:p>
    <w:p>
      <w:pPr>
        <w:numPr>
          <w:ilvl w:val="0"/>
          <w:numId w:val="9"/>
        </w:numPr>
        <w:ind w:left="357" w:hanging="357"/>
        <w:spacing w:line="348" w:lineRule="auto"/>
        <w:tabs>
          <w:tab w:val="left" w:pos="360" w:leader="none"/>
        </w:tabs>
        <w:rPr>
          <w:rFonts w:ascii="宋体" w:hAnsi="宋体" w:cs="宋体"/>
          <w:szCs w:val="21"/>
        </w:rPr>
        <w:outlineLvl w:val="1"/>
      </w:pPr>
      <w:r/>
      <w:bookmarkStart w:id="496" w:name="_Toc305158817"/>
      <w:r/>
      <w:bookmarkStart w:id="497" w:name="_Toc305158891"/>
      <w:r/>
      <w:bookmarkStart w:id="498" w:name="_Toc151193863"/>
      <w:r/>
      <w:bookmarkStart w:id="499" w:name="_Toc127161463"/>
      <w:r/>
      <w:bookmarkStart w:id="500" w:name="_Toc226965739"/>
      <w:r/>
      <w:bookmarkStart w:id="501" w:name="_Toc265228387"/>
      <w:r/>
      <w:bookmarkStart w:id="502" w:name="_Toc127151750"/>
      <w:r/>
      <w:bookmarkStart w:id="503" w:name="_Toc164608663"/>
      <w:r/>
      <w:bookmarkStart w:id="504" w:name="_Toc149720842"/>
      <w:r/>
      <w:bookmarkStart w:id="505" w:name="_Toc151193937"/>
      <w:r/>
      <w:bookmarkStart w:id="506" w:name="_Toc150774649"/>
      <w:r/>
      <w:bookmarkStart w:id="507" w:name="_Toc164608818"/>
      <w:r/>
      <w:bookmarkStart w:id="508" w:name="_Toc150774754"/>
      <w:r/>
      <w:bookmarkStart w:id="509" w:name="_Toc164229244"/>
      <w:r/>
      <w:bookmarkStart w:id="510" w:name="_Toc151193791"/>
      <w:r/>
      <w:bookmarkStart w:id="511" w:name="_Toc127151549"/>
      <w:r/>
      <w:bookmarkStart w:id="512" w:name="_Toc195842914"/>
      <w:r/>
      <w:bookmarkStart w:id="513" w:name="_Toc150509300"/>
      <w:r/>
      <w:bookmarkStart w:id="514" w:name="_Toc142311051"/>
      <w:r/>
      <w:bookmarkStart w:id="515" w:name="_Toc150480787"/>
      <w:r/>
      <w:bookmarkStart w:id="516" w:name="_Toc164351643"/>
      <w:r/>
      <w:bookmarkStart w:id="517" w:name="_Toc264969239"/>
      <w:r/>
      <w:bookmarkStart w:id="518" w:name="_Toc226337245"/>
      <w:r/>
      <w:bookmarkStart w:id="519" w:name="_Toc151193719"/>
      <w:r/>
      <w:bookmarkStart w:id="520" w:name="_Toc226965822"/>
      <w:r/>
      <w:bookmarkStart w:id="521" w:name="_Toc226309793"/>
      <w:r/>
      <w:bookmarkStart w:id="522" w:name="_Toc164229390"/>
      <w:r/>
      <w:bookmarkStart w:id="523" w:name="_Toc151193647"/>
      <w:r/>
      <w:bookmarkStart w:id="524" w:name="_Toc151190176"/>
      <w:r/>
      <w:bookmarkStart w:id="525" w:name="_Ref467306425"/>
      <w:r/>
      <w:bookmarkStart w:id="526" w:name="_Ref467307090"/>
      <w:r/>
      <w:bookmarkStart w:id="527" w:name="_Toc520356176"/>
      <w:r>
        <w:rPr>
          <w:rFonts w:hint="eastAsia" w:ascii="宋体" w:hAnsi="宋体" w:cs="宋体"/>
          <w:szCs w:val="21"/>
        </w:rPr>
        <w:t xml:space="preserve">成交公告与成交通知书</w:t>
      </w:r>
      <w:bookmarkEnd w:id="496"/>
      <w:r/>
      <w:bookmarkEnd w:id="497"/>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采购人或采购代理机构将</w:t>
      </w:r>
      <w:r>
        <w:rPr>
          <w:rFonts w:hint="eastAsia" w:ascii="宋体" w:hAnsi="宋体" w:cs="宋体"/>
          <w:szCs w:val="21"/>
        </w:rPr>
        <w:t xml:space="preserve">在成交供应商确定后2个工作日内，在</w:t>
      </w:r>
      <w:r>
        <w:rPr>
          <w:rFonts w:hint="eastAsia" w:ascii="宋体" w:hAnsi="宋体" w:cs="宋体"/>
          <w:szCs w:val="21"/>
        </w:rPr>
        <w:t xml:space="preserve">江苏政府采购网</w:t>
      </w:r>
      <w:r>
        <w:rPr>
          <w:rFonts w:hint="eastAsia" w:ascii="宋体" w:hAnsi="宋体" w:cs="宋体"/>
          <w:szCs w:val="21"/>
        </w:rPr>
        <w:t xml:space="preserve">公告成交结果，同时向成交供应商发出成交通知书，</w:t>
      </w:r>
      <w:r>
        <w:rPr>
          <w:rFonts w:hint="eastAsia" w:ascii="宋体" w:hAnsi="宋体" w:cs="宋体"/>
          <w:szCs w:val="21"/>
        </w:rPr>
        <w:t xml:space="preserve">成交公告期限为1个工作日。</w:t>
      </w:r>
      <w:r/>
    </w:p>
    <w:p>
      <w:pPr>
        <w:numPr>
          <w:ilvl w:val="1"/>
          <w:numId w:val="9"/>
        </w:numPr>
        <w:ind w:left="1080"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成交通知书是合同的组成部分，对采购人和成交供应商具有同等法律效力。成交通知书发出后，采购人改变成交结果的，或者成交供应商放弃成交项目的，将依法承担法律责任。</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numPr>
          <w:ilvl w:val="0"/>
          <w:numId w:val="9"/>
        </w:numPr>
        <w:ind w:left="357" w:hanging="357"/>
        <w:spacing w:line="348" w:lineRule="auto"/>
        <w:tabs>
          <w:tab w:val="left" w:pos="360" w:leader="none"/>
        </w:tabs>
        <w:rPr>
          <w:rFonts w:ascii="宋体" w:hAnsi="宋体" w:cs="宋体"/>
          <w:szCs w:val="21"/>
        </w:rPr>
        <w:outlineLvl w:val="1"/>
      </w:pPr>
      <w:r/>
      <w:bookmarkStart w:id="528" w:name="_Toc164608664"/>
      <w:r/>
      <w:bookmarkStart w:id="529" w:name="_Toc195842915"/>
      <w:r/>
      <w:bookmarkStart w:id="530" w:name="_Toc142311052"/>
      <w:r/>
      <w:bookmarkStart w:id="531" w:name="_Toc164229245"/>
      <w:r/>
      <w:bookmarkStart w:id="532" w:name="_Toc127151550"/>
      <w:r/>
      <w:bookmarkStart w:id="533" w:name="_Toc150480788"/>
      <w:r/>
      <w:bookmarkStart w:id="534" w:name="_Toc150774650"/>
      <w:r/>
      <w:bookmarkStart w:id="535" w:name="_Toc151193648"/>
      <w:r/>
      <w:bookmarkStart w:id="536" w:name="_Ref467307062"/>
      <w:r/>
      <w:bookmarkStart w:id="537" w:name="_Toc151193938"/>
      <w:r/>
      <w:bookmarkStart w:id="538" w:name="_Toc164229391"/>
      <w:r/>
      <w:bookmarkStart w:id="539" w:name="_Toc150774755"/>
      <w:r/>
      <w:bookmarkStart w:id="540" w:name="_Toc151190177"/>
      <w:r/>
      <w:bookmarkStart w:id="541" w:name="_Toc151193864"/>
      <w:r/>
      <w:bookmarkStart w:id="542" w:name="_Ref467306377"/>
      <w:r/>
      <w:bookmarkStart w:id="543" w:name="_Toc305158818"/>
      <w:r/>
      <w:bookmarkStart w:id="544" w:name="_Ref467307204"/>
      <w:r/>
      <w:bookmarkStart w:id="545" w:name="_Toc226965740"/>
      <w:r/>
      <w:bookmarkStart w:id="546" w:name="_Toc226309794"/>
      <w:r/>
      <w:bookmarkStart w:id="547" w:name="_Toc149720843"/>
      <w:r/>
      <w:bookmarkStart w:id="548" w:name="_Toc127151751"/>
      <w:r/>
      <w:bookmarkStart w:id="549" w:name="_Toc151193720"/>
      <w:r/>
      <w:bookmarkStart w:id="550" w:name="_Toc151193792"/>
      <w:r/>
      <w:bookmarkStart w:id="551" w:name="_Toc127161464"/>
      <w:r/>
      <w:bookmarkStart w:id="552" w:name="_Toc164351644"/>
      <w:r/>
      <w:bookmarkStart w:id="553" w:name="_Toc226965823"/>
      <w:r/>
      <w:bookmarkStart w:id="554" w:name="_Toc265228388"/>
      <w:r/>
      <w:bookmarkStart w:id="555" w:name="_Toc264969240"/>
      <w:r/>
      <w:bookmarkStart w:id="556" w:name="_Toc520356175"/>
      <w:r/>
      <w:bookmarkStart w:id="557" w:name="_Ref467306978"/>
      <w:r/>
      <w:bookmarkStart w:id="558" w:name="_Toc164608819"/>
      <w:r/>
      <w:bookmarkStart w:id="559" w:name="_Toc226337246"/>
      <w:r/>
      <w:bookmarkStart w:id="560" w:name="_Toc150509301"/>
      <w:r/>
      <w:bookmarkStart w:id="561" w:name="_Toc305158892"/>
      <w:r>
        <w:rPr>
          <w:rFonts w:hint="eastAsia" w:ascii="宋体" w:hAnsi="宋体" w:cs="宋体"/>
          <w:szCs w:val="21"/>
        </w:rPr>
        <w:t xml:space="preserve">终止</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在采购中，出现下列情形之一的，采购人或采购代理机构将终止竞争性磋商采购活动，发布项目终止公告并说明原因，重新开展采购活动：</w:t>
      </w:r>
      <w:r/>
    </w:p>
    <w:p>
      <w:pPr>
        <w:numPr>
          <w:ilvl w:val="2"/>
          <w:numId w:val="9"/>
        </w:numPr>
        <w:spacing w:line="348" w:lineRule="auto"/>
        <w:rPr>
          <w:rFonts w:ascii="宋体" w:hAnsi="宋体" w:cs="宋体"/>
          <w:szCs w:val="21"/>
        </w:rPr>
      </w:pPr>
      <w:r>
        <w:rPr>
          <w:rFonts w:hint="eastAsia" w:ascii="宋体" w:hAnsi="宋体" w:cs="宋体"/>
          <w:szCs w:val="21"/>
        </w:rPr>
        <w:t xml:space="preserve">因情况变化，不再符合规定的竞争性磋商采购方式适用情形的；</w:t>
      </w:r>
      <w:r/>
    </w:p>
    <w:p>
      <w:pPr>
        <w:numPr>
          <w:ilvl w:val="2"/>
          <w:numId w:val="9"/>
        </w:numPr>
        <w:spacing w:line="348" w:lineRule="auto"/>
        <w:rPr>
          <w:rFonts w:ascii="宋体" w:hAnsi="宋体" w:cs="宋体"/>
          <w:szCs w:val="21"/>
        </w:rPr>
      </w:pPr>
      <w:r>
        <w:rPr>
          <w:rFonts w:hint="eastAsia" w:ascii="宋体" w:hAnsi="宋体" w:cs="宋体"/>
          <w:szCs w:val="21"/>
        </w:rPr>
        <w:t xml:space="preserve">出现影响采购公正的违法、违规行为的；</w:t>
      </w:r>
      <w:r/>
    </w:p>
    <w:p>
      <w:pPr>
        <w:numPr>
          <w:ilvl w:val="2"/>
          <w:numId w:val="9"/>
        </w:numPr>
        <w:spacing w:line="348" w:lineRule="auto"/>
        <w:rPr>
          <w:rFonts w:ascii="宋体" w:hAnsi="宋体" w:cs="宋体"/>
          <w:szCs w:val="21"/>
        </w:rPr>
      </w:pPr>
      <w:r>
        <w:rPr>
          <w:rFonts w:hint="eastAsia" w:ascii="宋体" w:hAnsi="宋体" w:cs="宋体"/>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9"/>
        </w:numPr>
        <w:spacing w:line="348" w:lineRule="auto"/>
        <w:rPr>
          <w:rFonts w:ascii="宋体" w:hAnsi="宋体" w:cs="宋体"/>
          <w:szCs w:val="21"/>
        </w:rPr>
      </w:pPr>
      <w:r>
        <w:rPr>
          <w:rFonts w:hint="eastAsia" w:ascii="宋体" w:hAnsi="宋体" w:cs="宋体"/>
          <w:spacing w:val="2"/>
          <w:szCs w:val="21"/>
        </w:rPr>
        <w:t xml:space="preserve">平台系统</w:t>
      </w:r>
      <w:r>
        <w:rPr>
          <w:rFonts w:hint="eastAsia" w:ascii="宋体" w:hAnsi="宋体" w:cs="宋体"/>
          <w:szCs w:val="21"/>
        </w:rPr>
        <w:t xml:space="preserve">出现序号17.7的所述情形，情况严重且影响采购活动公平、公正性的。</w:t>
      </w:r>
      <w:r/>
    </w:p>
    <w:p>
      <w:pPr>
        <w:numPr>
          <w:ilvl w:val="0"/>
          <w:numId w:val="9"/>
        </w:numPr>
        <w:ind w:left="357" w:hanging="357"/>
        <w:spacing w:line="348" w:lineRule="auto"/>
        <w:tabs>
          <w:tab w:val="left" w:pos="360" w:leader="none"/>
        </w:tabs>
        <w:rPr>
          <w:rFonts w:ascii="宋体" w:hAnsi="宋体" w:cs="宋体"/>
          <w:szCs w:val="21"/>
        </w:rPr>
        <w:outlineLvl w:val="1"/>
      </w:pPr>
      <w:r>
        <w:rPr>
          <w:rFonts w:hint="eastAsia" w:ascii="宋体" w:hAnsi="宋体" w:cs="宋体"/>
          <w:szCs w:val="21"/>
        </w:rPr>
        <w:t xml:space="preserve">签订合同</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联合体获得成交资格的，联合体各方应当共同与采购人签订合同，就成交项目向采购人承担连带责任。</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政府采购合同不能转包。</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Cs w:val="21"/>
        </w:rPr>
        <w:t xml:space="preserve">否则响应无效</w:t>
      </w:r>
      <w:r>
        <w:rPr>
          <w:rFonts w:hint="eastAsia" w:ascii="宋体" w:hAnsi="宋体" w:cs="宋体"/>
          <w:szCs w:val="21"/>
        </w:rPr>
        <w:t xml:space="preserve">。成交供应商就采购项目和分包项目向采购人负责，分包供应商就分包项目承担责任。</w:t>
      </w:r>
      <w:bookmarkEnd w:id="525"/>
      <w:r/>
      <w:bookmarkEnd w:id="526"/>
      <w:r/>
      <w:bookmarkEnd w:id="527"/>
      <w:r/>
      <w:r/>
    </w:p>
    <w:p>
      <w:pPr>
        <w:numPr>
          <w:ilvl w:val="0"/>
          <w:numId w:val="9"/>
        </w:numPr>
        <w:ind w:left="357" w:hanging="357"/>
        <w:spacing w:line="348" w:lineRule="auto"/>
        <w:tabs>
          <w:tab w:val="left" w:pos="360" w:leader="none"/>
        </w:tabs>
        <w:rPr>
          <w:rFonts w:ascii="宋体" w:hAnsi="宋体" w:cs="宋体"/>
          <w:szCs w:val="21"/>
        </w:rPr>
        <w:outlineLvl w:val="1"/>
      </w:pPr>
      <w:r>
        <w:rPr>
          <w:rFonts w:hint="eastAsia" w:ascii="宋体" w:hAnsi="宋体" w:cs="宋体"/>
          <w:szCs w:val="21"/>
        </w:rPr>
        <w:t xml:space="preserve">询问与质疑</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询问</w:t>
      </w:r>
      <w:r/>
    </w:p>
    <w:p>
      <w:pPr>
        <w:numPr>
          <w:ilvl w:val="2"/>
          <w:numId w:val="9"/>
        </w:numPr>
        <w:spacing w:line="348" w:lineRule="auto"/>
        <w:rPr>
          <w:rFonts w:ascii="宋体" w:hAnsi="宋体" w:cs="宋体"/>
          <w:szCs w:val="21"/>
        </w:rPr>
      </w:pPr>
      <w:r>
        <w:rPr>
          <w:rFonts w:hint="eastAsia" w:ascii="宋体" w:hAnsi="宋体" w:cs="宋体"/>
          <w:szCs w:val="21"/>
        </w:rPr>
        <w:t xml:space="preserve">供应商对政府采购活动事项有疑问的，可依法提出询问，并按《供应商须知资料表》载明的形式送达采购人或采购代理机构。</w:t>
      </w:r>
      <w:r/>
    </w:p>
    <w:p>
      <w:pPr>
        <w:numPr>
          <w:ilvl w:val="2"/>
          <w:numId w:val="9"/>
        </w:numPr>
        <w:spacing w:line="348" w:lineRule="auto"/>
        <w:rPr>
          <w:rFonts w:ascii="宋体" w:hAnsi="宋体" w:cs="宋体"/>
          <w:szCs w:val="21"/>
        </w:rPr>
      </w:pPr>
      <w:r>
        <w:rPr>
          <w:rFonts w:hint="eastAsia" w:ascii="宋体" w:hAnsi="宋体" w:cs="宋体"/>
          <w:szCs w:val="21"/>
        </w:rPr>
        <w:t xml:space="preserve">采购人或采购代理机构对供应商依法提出的询问，在3个工作日内作出答复，但答复的内容不得涉及商业秘密。</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质疑</w:t>
      </w:r>
      <w:r/>
    </w:p>
    <w:p>
      <w:pPr>
        <w:numPr>
          <w:ilvl w:val="2"/>
          <w:numId w:val="9"/>
        </w:numPr>
        <w:spacing w:line="348" w:lineRule="auto"/>
        <w:rPr>
          <w:rFonts w:ascii="宋体" w:hAnsi="宋体" w:cs="宋体"/>
          <w:szCs w:val="21"/>
        </w:rPr>
      </w:pPr>
      <w:r>
        <w:rPr>
          <w:rFonts w:hint="eastAsia" w:ascii="宋体" w:hAnsi="宋体" w:cs="宋体"/>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9"/>
        </w:numPr>
        <w:spacing w:line="348" w:lineRule="auto"/>
        <w:rPr>
          <w:rFonts w:ascii="宋体" w:hAnsi="宋体" w:cs="宋体"/>
          <w:szCs w:val="21"/>
        </w:rPr>
      </w:pPr>
      <w:r>
        <w:rPr>
          <w:rFonts w:hint="eastAsia" w:ascii="宋体" w:hAnsi="宋体" w:cs="宋体"/>
          <w:b/>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9"/>
        </w:numPr>
        <w:spacing w:line="348" w:lineRule="auto"/>
        <w:rPr>
          <w:rFonts w:ascii="宋体" w:hAnsi="宋体" w:cs="宋体"/>
          <w:szCs w:val="21"/>
        </w:rPr>
      </w:pPr>
      <w:r>
        <w:rPr>
          <w:rFonts w:hint="eastAsia" w:ascii="宋体" w:hAnsi="宋体" w:cs="宋体"/>
          <w:szCs w:val="21"/>
        </w:rPr>
        <w:t xml:space="preserve">质疑函须使用财政部制定的范本文件。（下载网址：</w:t>
      </w:r>
      <w:r>
        <w:fldChar w:fldCharType="begin"/>
      </w:r>
      <w:r>
        <w:instrText xml:space="preserve"> HYPERLINK "http://gks.mof.gov.cn/ztztz/zhengfucaigouguanli/201802/t20180201_2804589.htm" </w:instrText>
      </w:r>
      <w:r>
        <w:fldChar w:fldCharType="separate"/>
      </w:r>
      <w:r>
        <w:rPr>
          <w:rStyle w:val="973"/>
          <w:rFonts w:hint="eastAsia" w:ascii="宋体" w:hAnsi="宋体" w:cs="宋体"/>
          <w:szCs w:val="21"/>
        </w:rPr>
        <w:t xml:space="preserve">http：//gk</w:t>
      </w:r>
      <w:bookmarkStart w:id="562" w:name="_Hlt100654014"/>
      <w:r>
        <w:rPr>
          <w:rStyle w:val="973"/>
          <w:rFonts w:hint="eastAsia" w:ascii="宋体" w:hAnsi="宋体" w:cs="宋体"/>
          <w:szCs w:val="21"/>
        </w:rPr>
        <w:t xml:space="preserve">s</w:t>
      </w:r>
      <w:bookmarkEnd w:id="562"/>
      <w:r>
        <w:rPr>
          <w:rStyle w:val="973"/>
          <w:rFonts w:hint="eastAsia" w:ascii="宋体" w:hAnsi="宋体" w:cs="宋体"/>
          <w:szCs w:val="21"/>
        </w:rPr>
        <w:t xml:space="preserve">.m</w:t>
      </w:r>
      <w:bookmarkStart w:id="563" w:name="_Hlt100653994"/>
      <w:r/>
      <w:bookmarkStart w:id="564" w:name="_Hlt100653993"/>
      <w:r>
        <w:rPr>
          <w:rStyle w:val="973"/>
          <w:rFonts w:hint="eastAsia" w:ascii="宋体" w:hAnsi="宋体" w:cs="宋体"/>
          <w:szCs w:val="21"/>
        </w:rPr>
        <w:t xml:space="preserve">o</w:t>
      </w:r>
      <w:bookmarkEnd w:id="563"/>
      <w:r/>
      <w:bookmarkEnd w:id="564"/>
      <w:r/>
      <w:bookmarkStart w:id="565" w:name="_Hlt101169156"/>
      <w:r>
        <w:rPr>
          <w:rStyle w:val="973"/>
          <w:rFonts w:hint="eastAsia" w:ascii="宋体" w:hAnsi="宋体" w:cs="宋体"/>
          <w:szCs w:val="21"/>
        </w:rPr>
        <w:t xml:space="preserve">f</w:t>
      </w:r>
      <w:bookmarkEnd w:id="565"/>
      <w:r>
        <w:rPr>
          <w:rStyle w:val="973"/>
          <w:rFonts w:hint="eastAsia" w:ascii="宋体" w:hAnsi="宋体" w:cs="宋体"/>
          <w:szCs w:val="21"/>
        </w:rPr>
        <w:t xml:space="preserve">.gov.cn/ztztz/zhengfucaigouguanli/201802/t20180201_2804589.htm</w:t>
      </w:r>
      <w:r>
        <w:rPr>
          <w:rStyle w:val="973"/>
          <w:rFonts w:hint="eastAsia" w:ascii="宋体" w:hAnsi="宋体" w:cs="宋体"/>
          <w:szCs w:val="21"/>
        </w:rPr>
        <w:fldChar w:fldCharType="end"/>
      </w:r>
      <w:r>
        <w:rPr>
          <w:rFonts w:hint="eastAsia" w:ascii="宋体" w:hAnsi="宋体" w:cs="宋体"/>
          <w:szCs w:val="21"/>
        </w:rPr>
        <w:t xml:space="preserve">）</w:t>
      </w:r>
      <w:r/>
    </w:p>
    <w:p>
      <w:pPr>
        <w:numPr>
          <w:ilvl w:val="2"/>
          <w:numId w:val="9"/>
        </w:numPr>
        <w:spacing w:line="348" w:lineRule="auto"/>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w:t>
      </w:r>
      <w:r/>
    </w:p>
    <w:p>
      <w:pPr>
        <w:numPr>
          <w:ilvl w:val="2"/>
          <w:numId w:val="9"/>
        </w:numPr>
        <w:spacing w:line="348" w:lineRule="auto"/>
        <w:rPr>
          <w:rFonts w:ascii="宋体" w:hAnsi="宋体" w:cs="宋体"/>
          <w:szCs w:val="21"/>
        </w:rPr>
      </w:pPr>
      <w:r>
        <w:rPr>
          <w:rFonts w:hint="eastAsia" w:ascii="宋体" w:hAnsi="宋体" w:cs="宋体"/>
          <w:szCs w:val="21"/>
        </w:rPr>
        <w:t xml:space="preserve">供应商应在法定质疑期内一次性提出针对同一采购程序环节的质疑，法定质疑期内针对同一采购程序环节再次提出的质疑，采购人、采购代理机构有权不予答复。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接收询问和质疑的联系部门、联系电话和通讯地址见《供应商须知资料表》。</w:t>
      </w:r>
      <w:r/>
    </w:p>
    <w:p>
      <w:pPr>
        <w:numPr>
          <w:ilvl w:val="0"/>
          <w:numId w:val="9"/>
        </w:numPr>
        <w:ind w:left="357" w:hanging="357"/>
        <w:spacing w:line="348" w:lineRule="auto"/>
        <w:tabs>
          <w:tab w:val="left" w:pos="360" w:leader="none"/>
        </w:tabs>
        <w:rPr>
          <w:rFonts w:ascii="宋体" w:hAnsi="宋体" w:cs="宋体"/>
          <w:szCs w:val="21"/>
        </w:rPr>
        <w:outlineLvl w:val="1"/>
      </w:pPr>
      <w:r>
        <w:rPr>
          <w:rFonts w:hint="eastAsia" w:ascii="宋体" w:hAnsi="宋体" w:cs="宋体"/>
          <w:szCs w:val="21"/>
        </w:rPr>
        <w:t xml:space="preserve">代理费</w:t>
      </w:r>
      <w:r/>
    </w:p>
    <w:p>
      <w:pPr>
        <w:numPr>
          <w:ilvl w:val="1"/>
          <w:numId w:val="9"/>
        </w:numPr>
        <w:ind w:left="1077" w:hanging="720"/>
        <w:spacing w:line="348" w:lineRule="auto"/>
        <w:tabs>
          <w:tab w:val="left" w:pos="1080" w:leader="none"/>
          <w:tab w:val="left" w:pos="2014" w:leader="none"/>
        </w:tabs>
        <w:rPr>
          <w:rFonts w:ascii="宋体" w:hAnsi="宋体" w:cs="宋体"/>
          <w:szCs w:val="21"/>
        </w:rPr>
      </w:pPr>
      <w:r>
        <w:rPr>
          <w:rFonts w:hint="eastAsia" w:ascii="宋体" w:hAnsi="宋体" w:cs="宋体"/>
          <w:szCs w:val="21"/>
        </w:rPr>
        <w:t xml:space="preserve">收费对象、收费标准及缴纳时间见《供应商须知资料表》。由成交供应商支付的，成交供应商须一次性向采购代理机构缴纳代理费，报价应包含代理费用。</w:t>
      </w:r>
      <w:r/>
    </w:p>
    <w:p>
      <w:pPr>
        <w:ind w:left="357"/>
        <w:spacing w:line="288" w:lineRule="auto"/>
        <w:tabs>
          <w:tab w:val="left" w:pos="1080" w:leader="none"/>
          <w:tab w:val="left" w:pos="2014" w:leader="none"/>
        </w:tabs>
        <w:rPr>
          <w:rFonts w:ascii="宋体" w:hAnsi="宋体" w:cs="宋体"/>
          <w:szCs w:val="21"/>
        </w:rPr>
      </w:pPr>
      <w:r>
        <w:rPr>
          <w:rFonts w:ascii="宋体" w:hAnsi="宋体" w:cs="宋体"/>
          <w:szCs w:val="21"/>
        </w:rPr>
      </w:r>
      <w:r/>
    </w:p>
    <w:p>
      <w:pPr>
        <w:jc w:val="center"/>
        <w:spacing w:line="288" w:lineRule="auto"/>
        <w:rPr>
          <w:b/>
          <w:bCs/>
          <w:sz w:val="28"/>
          <w:szCs w:val="28"/>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rPr>
          <w:highlight w:val="none"/>
        </w:rPr>
      </w:r>
      <w:r>
        <w:rPr>
          <w:highlight w:val="none"/>
        </w:rPr>
      </w:r>
    </w:p>
    <w:p>
      <w:pPr>
        <w:jc w:val="center"/>
        <w:spacing w:line="288" w:lineRule="auto"/>
        <w:rPr>
          <w:highlight w:val="none"/>
        </w:rPr>
        <w:outlineLvl w:val="0"/>
      </w:pPr>
      <w:r/>
      <w:bookmarkStart w:id="566" w:name="_Toc27860"/>
      <w:r/>
      <w:bookmarkStart w:id="567" w:name="_Toc28346"/>
      <w:r>
        <w:rPr>
          <w:b/>
          <w:sz w:val="28"/>
          <w:szCs w:val="28"/>
        </w:rPr>
        <w:t xml:space="preserve">第三章   </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Pr>
          <w:b/>
          <w:sz w:val="28"/>
          <w:szCs w:val="28"/>
        </w:rPr>
        <w:t xml:space="preserve">评审</w:t>
      </w:r>
      <w:r>
        <w:rPr>
          <w:rFonts w:hint="eastAsia"/>
          <w:b/>
          <w:sz w:val="28"/>
          <w:szCs w:val="28"/>
        </w:rPr>
        <w:t xml:space="preserve">程序、评审</w:t>
      </w:r>
      <w:r>
        <w:rPr>
          <w:b/>
          <w:sz w:val="28"/>
          <w:szCs w:val="28"/>
        </w:rPr>
        <w:t xml:space="preserve">方法和评审标准</w:t>
      </w:r>
      <w:bookmarkEnd w:id="566"/>
      <w:r/>
      <w:bookmarkEnd w:id="567"/>
      <w:r/>
      <w:bookmarkStart w:id="568" w:name="_Toc487900382"/>
      <w:r/>
      <w:r/>
    </w:p>
    <w:p>
      <w:pPr>
        <w:spacing w:line="288" w:lineRule="auto"/>
        <w:rPr>
          <w:sz w:val="24"/>
        </w:rPr>
      </w:pPr>
      <w:r>
        <w:rPr>
          <w:sz w:val="24"/>
        </w:rPr>
        <w:t xml:space="preserve">一、</w:t>
      </w:r>
      <w:r>
        <w:rPr>
          <w:rFonts w:hint="eastAsia"/>
          <w:sz w:val="24"/>
        </w:rPr>
        <w:t xml:space="preserve">评审</w:t>
      </w:r>
      <w:r>
        <w:rPr>
          <w:sz w:val="24"/>
        </w:rPr>
        <w:t xml:space="preserve">程序</w:t>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568"/>
      <w:r/>
      <w:r/>
    </w:p>
    <w:p>
      <w:pPr>
        <w:numPr>
          <w:ilvl w:val="0"/>
          <w:numId w:val="11"/>
        </w:numPr>
        <w:spacing w:line="288" w:lineRule="auto"/>
        <w:tabs>
          <w:tab w:val="left" w:pos="360" w:leader="none"/>
        </w:tabs>
        <w:rPr>
          <w:rFonts w:ascii="宋体" w:hAnsi="宋体" w:cs="宋体"/>
          <w:szCs w:val="21"/>
        </w:rPr>
      </w:pPr>
      <w:r/>
      <w:bookmarkStart w:id="569" w:name="_Toc150509292"/>
      <w:r/>
      <w:bookmarkStart w:id="570" w:name="_Toc149720834"/>
      <w:r/>
      <w:bookmarkStart w:id="571" w:name="_Toc151193639"/>
      <w:r/>
      <w:bookmarkStart w:id="572" w:name="_Toc151193929"/>
      <w:r/>
      <w:bookmarkStart w:id="573" w:name="_Toc151193783"/>
      <w:r/>
      <w:bookmarkStart w:id="574" w:name="_Toc226965731"/>
      <w:r/>
      <w:bookmarkStart w:id="575" w:name="_Toc164229236"/>
      <w:r/>
      <w:bookmarkStart w:id="576" w:name="_Toc127161455"/>
      <w:r/>
      <w:bookmarkStart w:id="577" w:name="_Toc164229382"/>
      <w:r/>
      <w:bookmarkStart w:id="578" w:name="_Toc226337237"/>
      <w:r/>
      <w:bookmarkStart w:id="579" w:name="_Toc150480779"/>
      <w:r/>
      <w:bookmarkStart w:id="580" w:name="_Toc264969231"/>
      <w:r/>
      <w:bookmarkStart w:id="581" w:name="_Toc226965814"/>
      <w:r/>
      <w:bookmarkStart w:id="582" w:name="_Toc226309785"/>
      <w:r/>
      <w:bookmarkStart w:id="583" w:name="_Toc127151541"/>
      <w:r/>
      <w:bookmarkStart w:id="584" w:name="_Toc164608655"/>
      <w:r/>
      <w:bookmarkStart w:id="585" w:name="_Toc195842906"/>
      <w:r/>
      <w:bookmarkStart w:id="586" w:name="_Toc151193855"/>
      <w:r/>
      <w:bookmarkStart w:id="587" w:name="_Toc164351635"/>
      <w:r/>
      <w:bookmarkStart w:id="588" w:name="_Toc305158883"/>
      <w:r/>
      <w:bookmarkStart w:id="589" w:name="_Toc305158809"/>
      <w:r/>
      <w:bookmarkStart w:id="590" w:name="_Toc127151742"/>
      <w:r/>
      <w:bookmarkStart w:id="591" w:name="_Toc150774746"/>
      <w:r/>
      <w:bookmarkStart w:id="592" w:name="_Toc150774641"/>
      <w:r/>
      <w:bookmarkStart w:id="593" w:name="_Toc151193711"/>
      <w:r/>
      <w:bookmarkStart w:id="594" w:name="_Toc151190168"/>
      <w:r/>
      <w:bookmarkStart w:id="595" w:name="_Toc164608810"/>
      <w:r/>
      <w:bookmarkStart w:id="596" w:name="_Toc265228379"/>
      <w:r/>
      <w:bookmarkStart w:id="597" w:name="_Toc142311043"/>
      <w:r/>
      <w:bookmarkStart w:id="598" w:name="_Toc353825551"/>
      <w:r/>
      <w:bookmarkStart w:id="599" w:name="_Toc353873941"/>
      <w:r/>
      <w:bookmarkStart w:id="600" w:name="_Toc353873665"/>
      <w:r/>
      <w:bookmarkStart w:id="601" w:name="_Toc226965828"/>
      <w:r/>
      <w:bookmarkStart w:id="602" w:name="_Toc150480793"/>
      <w:r/>
      <w:bookmarkStart w:id="603" w:name="_Toc195842920"/>
      <w:r/>
      <w:bookmarkStart w:id="604" w:name="_Toc353825545"/>
      <w:r/>
      <w:bookmarkStart w:id="605" w:name="_Toc265228393"/>
      <w:r/>
      <w:bookmarkStart w:id="606" w:name="_Toc142311057"/>
      <w:r/>
      <w:bookmarkStart w:id="607" w:name="_Toc305158897"/>
      <w:r/>
      <w:bookmarkStart w:id="608" w:name="_Toc353873935"/>
      <w:r/>
      <w:bookmarkStart w:id="609" w:name="_Toc127151555"/>
      <w:r/>
      <w:bookmarkStart w:id="610" w:name="_Toc150774760"/>
      <w:r/>
      <w:bookmarkStart w:id="611" w:name="_Toc305158823"/>
      <w:r/>
      <w:bookmarkStart w:id="612" w:name="_Toc264969245"/>
      <w:r/>
      <w:bookmarkStart w:id="613" w:name="_Toc226337251"/>
      <w:r>
        <w:rPr>
          <w:rFonts w:hint="eastAsia" w:ascii="宋体" w:hAnsi="宋体" w:cs="宋体"/>
          <w:szCs w:val="21"/>
        </w:rPr>
        <w:t xml:space="preserve">响应文件的</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Pr>
          <w:rFonts w:hint="eastAsia" w:ascii="宋体" w:hAnsi="宋体" w:cs="宋体"/>
          <w:szCs w:val="21"/>
        </w:rPr>
        <w:t xml:space="preserve">资格性检查和符合性审查</w:t>
      </w:r>
      <w:r/>
    </w:p>
    <w:p>
      <w:pPr>
        <w:numPr>
          <w:ilvl w:val="1"/>
          <w:numId w:val="11"/>
        </w:numPr>
        <w:ind w:left="1077" w:hanging="720"/>
        <w:spacing w:line="288" w:lineRule="auto"/>
        <w:tabs>
          <w:tab w:val="left" w:pos="1080" w:leader="none"/>
        </w:tabs>
        <w:rPr>
          <w:rFonts w:ascii="宋体" w:hAnsi="宋体" w:cs="宋体"/>
          <w:szCs w:val="21"/>
        </w:rPr>
      </w:pPr>
      <w:r>
        <w:rPr>
          <w:rFonts w:hint="eastAsia" w:ascii="宋体" w:hAnsi="宋体" w:cs="宋体"/>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Cs w:val="21"/>
        </w:rPr>
        <w:t xml:space="preserve">无效响应</w:t>
      </w:r>
      <w:r>
        <w:rPr>
          <w:rFonts w:hint="eastAsia" w:ascii="宋体" w:hAnsi="宋体" w:cs="宋体"/>
          <w:szCs w:val="21"/>
        </w:rPr>
        <w:t xml:space="preserve">处理，磋商小组应当告知提交响应文件的供应商。</w:t>
      </w:r>
      <w:r/>
    </w:p>
    <w:p>
      <w:pPr>
        <w:numPr>
          <w:ilvl w:val="1"/>
          <w:numId w:val="11"/>
        </w:numPr>
        <w:ind w:left="1077" w:hanging="720"/>
        <w:spacing w:line="288" w:lineRule="auto"/>
        <w:tabs>
          <w:tab w:val="left" w:pos="1080" w:leader="none"/>
        </w:tabs>
        <w:rPr>
          <w:rFonts w:ascii="宋体" w:hAnsi="宋体" w:cs="宋体"/>
          <w:szCs w:val="21"/>
        </w:rPr>
      </w:pPr>
      <w:r>
        <w:rPr>
          <w:rFonts w:hint="eastAsia" w:ascii="宋体" w:hAnsi="宋体" w:cs="宋体"/>
          <w:szCs w:val="21"/>
        </w:rPr>
        <w:t xml:space="preserve">《资格性检查要求》中对格式有要求的，除竞争性磋商文件另有规定外，均为“实质性格式”文件。</w:t>
      </w:r>
      <w:r/>
    </w:p>
    <w:p>
      <w:pPr>
        <w:numPr>
          <w:ilvl w:val="1"/>
          <w:numId w:val="11"/>
        </w:numPr>
        <w:ind w:left="1077" w:hanging="720"/>
        <w:spacing w:line="288" w:lineRule="auto"/>
        <w:tabs>
          <w:tab w:val="left" w:pos="1080" w:leader="none"/>
        </w:tabs>
        <w:rPr>
          <w:rFonts w:ascii="宋体" w:hAnsi="宋体" w:cs="宋体"/>
          <w:szCs w:val="21"/>
        </w:rPr>
      </w:pPr>
      <w:r>
        <w:rPr>
          <w:rFonts w:hint="eastAsia" w:ascii="宋体" w:hAnsi="宋体" w:cs="宋体"/>
          <w:szCs w:val="21"/>
        </w:rPr>
        <w:t xml:space="preserve">《资格性检查要求》见下表：</w:t>
      </w:r>
      <w:r/>
    </w:p>
    <w:p>
      <w:pPr>
        <w:ind w:left="1077" w:firstLine="2650"/>
        <w:spacing w:line="360" w:lineRule="auto"/>
        <w:tabs>
          <w:tab w:val="left" w:pos="900" w:leader="none"/>
          <w:tab w:val="left" w:pos="1080" w:leader="none"/>
        </w:tabs>
        <w:rPr>
          <w:b/>
          <w:sz w:val="24"/>
        </w:rPr>
      </w:pPr>
      <w:r>
        <w:rPr>
          <w:b/>
          <w:sz w:val="24"/>
        </w:rPr>
        <w:t xml:space="preserve">资格性检查要求</w:t>
      </w:r>
      <w:r/>
    </w:p>
    <w:tbl>
      <w:tblPr>
        <w:tblStyle w:val="931"/>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897"/>
        <w:gridCol w:w="4933"/>
        <w:gridCol w:w="1822"/>
      </w:tblGrid>
      <w:tr>
        <w:trPr>
          <w:jc w:val="center"/>
          <w:trHeight w:val="23"/>
        </w:trPr>
        <w:tc>
          <w:tcPr>
            <w:tcW w:w="702" w:type="dxa"/>
            <w:vAlign w:val="center"/>
            <w:textDirection w:val="lrTb"/>
            <w:noWrap w:val="false"/>
          </w:tcPr>
          <w:p>
            <w:pPr>
              <w:jc w:val="center"/>
              <w:tabs>
                <w:tab w:val="left" w:pos="1080" w:leader="none"/>
              </w:tabs>
              <w:rPr>
                <w:rFonts w:ascii="宋体" w:hAnsi="宋体" w:cs="宋体"/>
                <w:b/>
                <w:szCs w:val="21"/>
              </w:rPr>
            </w:pPr>
            <w:r/>
            <w:bookmarkStart w:id="614" w:name="_Hlt487972895"/>
            <w:r/>
            <w:bookmarkEnd w:id="614"/>
            <w:r>
              <w:rPr>
                <w:rFonts w:hint="eastAsia" w:ascii="宋体" w:hAnsi="宋体" w:cs="宋体"/>
                <w:b/>
                <w:szCs w:val="21"/>
              </w:rPr>
              <w:t xml:space="preserve">序号</w:t>
            </w:r>
            <w:r/>
          </w:p>
        </w:tc>
        <w:tc>
          <w:tcPr>
            <w:tcW w:w="1897" w:type="dxa"/>
            <w:vAlign w:val="center"/>
            <w:textDirection w:val="lrTb"/>
            <w:noWrap w:val="false"/>
          </w:tcPr>
          <w:p>
            <w:pPr>
              <w:jc w:val="center"/>
              <w:tabs>
                <w:tab w:val="left" w:pos="1080" w:leader="none"/>
              </w:tabs>
              <w:rPr>
                <w:rFonts w:ascii="宋体" w:hAnsi="宋体" w:cs="宋体"/>
                <w:b/>
                <w:szCs w:val="21"/>
              </w:rPr>
            </w:pPr>
            <w:r>
              <w:rPr>
                <w:rFonts w:hint="eastAsia" w:ascii="宋体" w:hAnsi="宋体" w:cs="宋体"/>
                <w:b/>
                <w:szCs w:val="21"/>
              </w:rPr>
              <w:t xml:space="preserve">审查因素</w:t>
            </w:r>
            <w:r/>
          </w:p>
        </w:tc>
        <w:tc>
          <w:tcPr>
            <w:tcW w:w="4933" w:type="dxa"/>
            <w:vAlign w:val="center"/>
            <w:textDirection w:val="lrTb"/>
            <w:noWrap w:val="false"/>
          </w:tcPr>
          <w:p>
            <w:pPr>
              <w:jc w:val="center"/>
              <w:tabs>
                <w:tab w:val="left" w:pos="1080" w:leader="none"/>
              </w:tabs>
              <w:rPr>
                <w:rFonts w:ascii="宋体" w:hAnsi="宋体" w:cs="宋体"/>
                <w:b/>
                <w:szCs w:val="21"/>
              </w:rPr>
            </w:pPr>
            <w:r>
              <w:rPr>
                <w:rFonts w:hint="eastAsia" w:ascii="宋体" w:hAnsi="宋体" w:cs="宋体"/>
                <w:b/>
                <w:szCs w:val="21"/>
              </w:rPr>
              <w:t xml:space="preserve">审查内容</w:t>
            </w:r>
            <w:r/>
          </w:p>
        </w:tc>
        <w:tc>
          <w:tcPr>
            <w:tcW w:w="1822" w:type="dxa"/>
            <w:vAlign w:val="center"/>
            <w:textDirection w:val="lrTb"/>
            <w:noWrap w:val="false"/>
          </w:tcPr>
          <w:p>
            <w:pPr>
              <w:jc w:val="center"/>
              <w:tabs>
                <w:tab w:val="left" w:pos="1080" w:leader="none"/>
              </w:tabs>
              <w:rPr>
                <w:rFonts w:ascii="宋体" w:hAnsi="宋体" w:cs="宋体"/>
                <w:b/>
                <w:szCs w:val="21"/>
              </w:rPr>
            </w:pPr>
            <w:r>
              <w:rPr>
                <w:rFonts w:hint="eastAsia" w:ascii="宋体" w:hAnsi="宋体" w:cs="宋体"/>
                <w:b/>
                <w:szCs w:val="21"/>
              </w:rPr>
              <w:t xml:space="preserve">格式要求</w:t>
            </w:r>
            <w:r/>
          </w:p>
        </w:tc>
      </w:tr>
      <w:tr>
        <w:trPr>
          <w:jc w:val="center"/>
          <w:trHeight w:val="23"/>
        </w:trPr>
        <w:tc>
          <w:tcPr>
            <w:tcW w:w="702" w:type="dxa"/>
            <w:vAlign w:val="center"/>
            <w:textDirection w:val="lrTb"/>
            <w:noWrap w:val="false"/>
          </w:tcPr>
          <w:p>
            <w:pPr>
              <w:jc w:val="center"/>
              <w:tabs>
                <w:tab w:val="left" w:pos="1080" w:leader="none"/>
              </w:tabs>
              <w:rPr>
                <w:rFonts w:ascii="宋体" w:hAnsi="宋体" w:cs="宋体"/>
                <w:szCs w:val="21"/>
              </w:rPr>
            </w:pPr>
            <w:r>
              <w:rPr>
                <w:rFonts w:hint="eastAsia" w:ascii="宋体" w:hAnsi="宋体" w:cs="宋体"/>
                <w:szCs w:val="21"/>
              </w:rPr>
              <w:t xml:space="preserve">1</w:t>
            </w:r>
            <w:r/>
          </w:p>
        </w:tc>
        <w:tc>
          <w:tcPr>
            <w:tcW w:w="1897"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满足《中华人民共和国政府采购法》第二十二条规定及法律法规的其他规定</w:t>
            </w:r>
            <w:r/>
          </w:p>
        </w:tc>
        <w:tc>
          <w:tcPr>
            <w:tcW w:w="4933"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具体规定见第一章《采购邀请》</w:t>
            </w:r>
            <w:r/>
          </w:p>
        </w:tc>
        <w:tc>
          <w:tcPr>
            <w:tcW w:w="1822" w:type="dxa"/>
            <w:vAlign w:val="center"/>
            <w:textDirection w:val="lrTb"/>
            <w:noWrap w:val="false"/>
          </w:tcPr>
          <w:p>
            <w:pPr>
              <w:tabs>
                <w:tab w:val="left" w:pos="1080" w:leader="none"/>
              </w:tabs>
              <w:rPr>
                <w:rFonts w:ascii="宋体" w:hAnsi="宋体" w:cs="宋体"/>
                <w:szCs w:val="21"/>
              </w:rPr>
            </w:pPr>
            <w:r>
              <w:rPr>
                <w:rFonts w:ascii="宋体" w:hAnsi="宋体" w:cs="宋体"/>
                <w:szCs w:val="21"/>
              </w:rPr>
            </w:r>
            <w:r/>
          </w:p>
        </w:tc>
      </w:tr>
      <w:tr>
        <w:trPr>
          <w:jc w:val="center"/>
          <w:trHeight w:val="23"/>
        </w:trPr>
        <w:tc>
          <w:tcPr>
            <w:tcW w:w="702" w:type="dxa"/>
            <w:vAlign w:val="center"/>
            <w:textDirection w:val="lrTb"/>
            <w:noWrap w:val="false"/>
          </w:tcPr>
          <w:p>
            <w:pPr>
              <w:jc w:val="center"/>
              <w:tabs>
                <w:tab w:val="left" w:pos="1080" w:leader="none"/>
              </w:tabs>
              <w:rPr>
                <w:rFonts w:ascii="宋体" w:hAnsi="宋体" w:cs="宋体"/>
                <w:szCs w:val="21"/>
              </w:rPr>
            </w:pPr>
            <w:r>
              <w:rPr>
                <w:rFonts w:hint="eastAsia" w:ascii="宋体" w:hAnsi="宋体" w:cs="宋体"/>
                <w:szCs w:val="21"/>
              </w:rPr>
              <w:t xml:space="preserve">1-1</w:t>
            </w:r>
            <w:r/>
          </w:p>
        </w:tc>
        <w:tc>
          <w:tcPr>
            <w:tcW w:w="1897"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供应商资格声明函</w:t>
            </w:r>
            <w:r/>
          </w:p>
        </w:tc>
        <w:tc>
          <w:tcPr>
            <w:tcW w:w="4933"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提供符合采购文件要求的《供应商资格声明函》。</w:t>
            </w:r>
            <w:r/>
          </w:p>
        </w:tc>
        <w:tc>
          <w:tcPr>
            <w:tcW w:w="1822"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格式见《响应文件格式》</w:t>
            </w:r>
            <w:r/>
          </w:p>
        </w:tc>
      </w:tr>
      <w:tr>
        <w:trPr>
          <w:jc w:val="center"/>
          <w:trHeight w:val="23"/>
        </w:trPr>
        <w:tc>
          <w:tcPr>
            <w:tcW w:w="702" w:type="dxa"/>
            <w:vAlign w:val="center"/>
            <w:textDirection w:val="lrTb"/>
            <w:noWrap w:val="false"/>
          </w:tcPr>
          <w:p>
            <w:pPr>
              <w:jc w:val="center"/>
              <w:tabs>
                <w:tab w:val="left" w:pos="1080" w:leader="none"/>
              </w:tabs>
              <w:rPr>
                <w:rFonts w:ascii="宋体" w:hAnsi="宋体" w:cs="宋体"/>
                <w:szCs w:val="21"/>
              </w:rPr>
            </w:pPr>
            <w:r>
              <w:rPr>
                <w:rFonts w:hint="eastAsia" w:ascii="宋体" w:hAnsi="宋体" w:cs="宋体"/>
                <w:szCs w:val="21"/>
              </w:rPr>
              <w:t xml:space="preserve">1-2</w:t>
            </w:r>
            <w:r/>
          </w:p>
        </w:tc>
        <w:tc>
          <w:tcPr>
            <w:tcW w:w="1897"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供应商信用记录</w:t>
            </w:r>
            <w:r/>
          </w:p>
        </w:tc>
        <w:tc>
          <w:tcPr>
            <w:tcW w:w="4933" w:type="dxa"/>
            <w:vAlign w:val="center"/>
            <w:textDirection w:val="lrTb"/>
            <w:noWrap w:val="false"/>
          </w:tcPr>
          <w:p>
            <w:pPr>
              <w:tabs>
                <w:tab w:val="left" w:pos="900" w:leader="none"/>
                <w:tab w:val="left" w:pos="1980" w:leader="none"/>
              </w:tabs>
              <w:rPr>
                <w:rFonts w:ascii="宋体" w:hAnsi="宋体" w:cs="宋体"/>
                <w:szCs w:val="21"/>
              </w:rPr>
            </w:pPr>
            <w:r>
              <w:rPr>
                <w:rFonts w:hint="eastAsia" w:ascii="宋体" w:hAnsi="宋体" w:cs="宋体"/>
                <w:szCs w:val="21"/>
              </w:rPr>
              <w:t xml:space="preserve">查询渠道：信用中国网站和中国政府采购网（www.creditchina.gov.cn、www.ccgp.gov.cn）；</w:t>
            </w:r>
            <w:r/>
          </w:p>
          <w:p>
            <w:pPr>
              <w:tabs>
                <w:tab w:val="left" w:pos="900" w:leader="none"/>
                <w:tab w:val="left" w:pos="1980" w:leader="none"/>
              </w:tabs>
              <w:rPr>
                <w:rFonts w:ascii="宋体" w:hAnsi="宋体" w:cs="宋体"/>
                <w:szCs w:val="21"/>
              </w:rPr>
            </w:pPr>
            <w:r>
              <w:rPr>
                <w:rFonts w:hint="eastAsia" w:ascii="宋体" w:hAnsi="宋体" w:cs="宋体"/>
                <w:szCs w:val="21"/>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szCs w:val="21"/>
              </w:rPr>
              <w:t xml:space="preserve">响应无效</w:t>
            </w:r>
            <w:r>
              <w:rPr>
                <w:rFonts w:hint="eastAsia" w:ascii="宋体" w:hAnsi="宋体" w:cs="宋体"/>
                <w:szCs w:val="21"/>
              </w:rPr>
              <w:t xml:space="preserve">。联合体形式响应的，联合体成员存在不良信用记录，视同联合体存在不良信用记录。</w:t>
            </w:r>
            <w:r/>
          </w:p>
        </w:tc>
        <w:tc>
          <w:tcPr>
            <w:tcW w:w="1822"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无须供应商提供，由采购人查询。</w:t>
            </w:r>
            <w:r/>
          </w:p>
        </w:tc>
      </w:tr>
      <w:tr>
        <w:trPr>
          <w:jc w:val="center"/>
          <w:trHeight w:val="23"/>
        </w:trPr>
        <w:tc>
          <w:tcPr>
            <w:tcW w:w="702" w:type="dxa"/>
            <w:vAlign w:val="center"/>
            <w:textDirection w:val="lrTb"/>
            <w:noWrap w:val="false"/>
          </w:tcPr>
          <w:p>
            <w:pPr>
              <w:jc w:val="center"/>
              <w:tabs>
                <w:tab w:val="left" w:pos="1080" w:leader="none"/>
              </w:tabs>
              <w:rPr>
                <w:rFonts w:ascii="宋体" w:hAnsi="宋体" w:cs="宋体"/>
                <w:szCs w:val="21"/>
              </w:rPr>
            </w:pPr>
            <w:r>
              <w:rPr>
                <w:rFonts w:hint="eastAsia" w:ascii="宋体" w:hAnsi="宋体" w:cs="宋体"/>
                <w:szCs w:val="21"/>
              </w:rPr>
              <w:t xml:space="preserve">2</w:t>
            </w:r>
            <w:r/>
          </w:p>
        </w:tc>
        <w:tc>
          <w:tcPr>
            <w:tcW w:w="1897"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落实政府采购政策需满足的资格要求</w:t>
            </w:r>
            <w:r/>
          </w:p>
        </w:tc>
        <w:tc>
          <w:tcPr>
            <w:tcW w:w="4933"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具体要求见第一章《采购邀请》</w:t>
            </w:r>
            <w:r/>
          </w:p>
        </w:tc>
        <w:tc>
          <w:tcPr>
            <w:tcW w:w="1822" w:type="dxa"/>
            <w:vAlign w:val="center"/>
            <w:textDirection w:val="lrTb"/>
            <w:noWrap w:val="false"/>
          </w:tcPr>
          <w:p>
            <w:pPr>
              <w:tabs>
                <w:tab w:val="left" w:pos="1080" w:leader="none"/>
              </w:tabs>
              <w:rPr>
                <w:rFonts w:ascii="宋体" w:hAnsi="宋体" w:cs="宋体"/>
                <w:szCs w:val="21"/>
              </w:rPr>
            </w:pPr>
            <w:r>
              <w:rPr>
                <w:rFonts w:ascii="宋体" w:hAnsi="宋体" w:cs="宋体"/>
                <w:szCs w:val="21"/>
              </w:rPr>
            </w:r>
            <w:r/>
          </w:p>
        </w:tc>
      </w:tr>
      <w:tr>
        <w:trPr>
          <w:jc w:val="center"/>
          <w:trHeight w:val="23"/>
        </w:trPr>
        <w:tc>
          <w:tcPr>
            <w:tcW w:w="702" w:type="dxa"/>
            <w:vAlign w:val="center"/>
            <w:textDirection w:val="lrTb"/>
            <w:noWrap w:val="false"/>
          </w:tcPr>
          <w:p>
            <w:pPr>
              <w:jc w:val="center"/>
              <w:tabs>
                <w:tab w:val="left" w:pos="1080" w:leader="none"/>
              </w:tabs>
              <w:rPr>
                <w:rFonts w:ascii="宋体" w:hAnsi="宋体" w:cs="宋体"/>
                <w:szCs w:val="21"/>
              </w:rPr>
            </w:pPr>
            <w:r>
              <w:rPr>
                <w:rFonts w:hint="eastAsia" w:ascii="宋体" w:hAnsi="宋体" w:cs="宋体"/>
                <w:szCs w:val="21"/>
              </w:rPr>
              <w:t xml:space="preserve">2-1</w:t>
            </w:r>
            <w:r/>
          </w:p>
        </w:tc>
        <w:tc>
          <w:tcPr>
            <w:tcW w:w="1897" w:type="dxa"/>
            <w:vAlign w:val="center"/>
            <w:textDirection w:val="lrTb"/>
            <w:noWrap w:val="false"/>
          </w:tcPr>
          <w:p>
            <w:pPr>
              <w:jc w:val="center"/>
              <w:tabs>
                <w:tab w:val="left" w:pos="1080" w:leader="none"/>
              </w:tabs>
              <w:rPr>
                <w:rFonts w:ascii="宋体" w:hAnsi="宋体" w:cs="宋体"/>
                <w:szCs w:val="21"/>
              </w:rPr>
            </w:pPr>
            <w:r>
              <w:rPr>
                <w:rFonts w:hint="eastAsia" w:ascii="宋体" w:hAnsi="宋体" w:cs="宋体"/>
                <w:szCs w:val="21"/>
              </w:rPr>
              <w:t xml:space="preserve">中小企业声明函</w:t>
            </w:r>
            <w:r/>
          </w:p>
        </w:tc>
        <w:tc>
          <w:tcPr>
            <w:tcW w:w="4933"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供应商单独参与磋商的，应提供中小企业声明函；如为监狱企业或残疾人福利性单位，不必提供中小企业声明函，但须按注1或注2要求提供证明材料。</w:t>
            </w:r>
            <w:r/>
          </w:p>
          <w:p>
            <w:pPr>
              <w:tabs>
                <w:tab w:val="left" w:pos="1080" w:leader="none"/>
              </w:tabs>
              <w:rPr>
                <w:rFonts w:ascii="宋体" w:hAnsi="宋体" w:cs="宋体"/>
                <w:szCs w:val="21"/>
              </w:rPr>
            </w:pPr>
            <w:r>
              <w:rPr>
                <w:rFonts w:hint="eastAsia" w:ascii="宋体" w:hAnsi="宋体" w:cs="宋体"/>
                <w:szCs w:val="21"/>
              </w:rPr>
              <w:t xml:space="preserve">注1：监狱企业须提供由省级以上监狱管理局（常州市含教育矫治局）、戒毒管理局（含新疆生产建设兵团）出具的属于监狱企业的证明文件。</w:t>
            </w:r>
            <w:r/>
          </w:p>
          <w:p>
            <w:pPr>
              <w:tabs>
                <w:tab w:val="left" w:pos="1080" w:leader="none"/>
              </w:tabs>
              <w:rPr>
                <w:rFonts w:ascii="宋体" w:hAnsi="宋体" w:cs="宋体"/>
                <w:szCs w:val="21"/>
              </w:rPr>
            </w:pPr>
            <w:r>
              <w:rPr>
                <w:rFonts w:hint="eastAsia" w:ascii="宋体" w:hAnsi="宋体" w:cs="宋体"/>
                <w:szCs w:val="21"/>
              </w:rPr>
              <w:t xml:space="preserve">注2：残疾人福利性单位须按磋商文件要求提供《残疾人福利性单位声明函》。</w:t>
            </w:r>
            <w:r/>
          </w:p>
        </w:tc>
        <w:tc>
          <w:tcPr>
            <w:tcW w:w="1822" w:type="dxa"/>
            <w:vAlign w:val="center"/>
            <w:textDirection w:val="lrTb"/>
            <w:noWrap w:val="false"/>
          </w:tcPr>
          <w:p>
            <w:pPr>
              <w:jc w:val="center"/>
              <w:tabs>
                <w:tab w:val="left" w:pos="1080" w:leader="none"/>
              </w:tabs>
              <w:rPr>
                <w:rFonts w:ascii="宋体" w:hAnsi="宋体" w:cs="宋体"/>
                <w:szCs w:val="21"/>
              </w:rPr>
            </w:pPr>
            <w:r>
              <w:rPr>
                <w:rFonts w:hint="eastAsia" w:ascii="宋体" w:hAnsi="宋体" w:cs="宋体"/>
                <w:szCs w:val="21"/>
              </w:rPr>
              <w:t xml:space="preserve">格式见《响应文件格式》</w:t>
            </w:r>
            <w:r/>
          </w:p>
        </w:tc>
      </w:tr>
      <w:tr>
        <w:trPr>
          <w:jc w:val="center"/>
          <w:trHeight w:val="654"/>
        </w:trPr>
        <w:tc>
          <w:tcPr>
            <w:tcW w:w="702" w:type="dxa"/>
            <w:vAlign w:val="center"/>
            <w:textDirection w:val="lrTb"/>
            <w:noWrap w:val="false"/>
          </w:tcPr>
          <w:p>
            <w:pPr>
              <w:jc w:val="center"/>
              <w:tabs>
                <w:tab w:val="left" w:pos="1080" w:leader="none"/>
              </w:tabs>
              <w:rPr>
                <w:rFonts w:ascii="宋体" w:hAnsi="宋体" w:cs="宋体"/>
                <w:szCs w:val="21"/>
              </w:rPr>
            </w:pPr>
            <w:r>
              <w:rPr>
                <w:rFonts w:hint="eastAsia" w:ascii="宋体" w:hAnsi="宋体" w:cs="宋体"/>
                <w:szCs w:val="21"/>
              </w:rPr>
              <w:t xml:space="preserve">3</w:t>
            </w:r>
            <w:r/>
          </w:p>
        </w:tc>
        <w:tc>
          <w:tcPr>
            <w:tcW w:w="1897"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本项目的特定资格要求</w:t>
            </w:r>
            <w:r/>
          </w:p>
        </w:tc>
        <w:tc>
          <w:tcPr>
            <w:tcW w:w="4933" w:type="dxa"/>
            <w:vAlign w:val="center"/>
            <w:textDirection w:val="lrTb"/>
            <w:noWrap w:val="false"/>
          </w:tcPr>
          <w:p>
            <w:pPr>
              <w:tabs>
                <w:tab w:val="left" w:pos="1080" w:leader="none"/>
              </w:tabs>
              <w:rPr>
                <w:rFonts w:ascii="宋体" w:hAnsi="宋体" w:cs="宋体"/>
                <w:szCs w:val="21"/>
                <w:shd w:val="clear" w:color="auto" w:fill="ffffff"/>
              </w:rPr>
            </w:pPr>
            <w:r>
              <w:rPr>
                <w:rFonts w:hint="eastAsia" w:ascii="宋体" w:hAnsi="宋体" w:cs="宋体"/>
                <w:szCs w:val="21"/>
                <w:shd w:val="clear" w:color="auto" w:fill="ffffff"/>
              </w:rPr>
              <w:t xml:space="preserve">无</w:t>
            </w:r>
            <w:r/>
          </w:p>
        </w:tc>
        <w:tc>
          <w:tcPr>
            <w:tcW w:w="1822" w:type="dxa"/>
            <w:vAlign w:val="center"/>
            <w:textDirection w:val="lrTb"/>
            <w:noWrap w:val="false"/>
          </w:tcPr>
          <w:p>
            <w:pPr>
              <w:tabs>
                <w:tab w:val="left" w:pos="1080" w:leader="none"/>
              </w:tabs>
              <w:rPr>
                <w:rFonts w:ascii="宋体" w:hAnsi="宋体" w:cs="宋体"/>
                <w:color w:val="ff0000"/>
                <w:szCs w:val="21"/>
                <w:highlight w:val="green"/>
              </w:rPr>
            </w:pPr>
            <w:r>
              <w:rPr>
                <w:rFonts w:ascii="宋体" w:hAnsi="宋体" w:cs="宋体"/>
                <w:color w:val="ff0000"/>
                <w:szCs w:val="21"/>
                <w:highlight w:val="green"/>
              </w:rPr>
            </w:r>
            <w:r/>
          </w:p>
        </w:tc>
      </w:tr>
      <w:tr>
        <w:trPr>
          <w:jc w:val="center"/>
          <w:trHeight w:val="694"/>
        </w:trPr>
        <w:tc>
          <w:tcPr>
            <w:tcW w:w="702" w:type="dxa"/>
            <w:vAlign w:val="center"/>
            <w:textDirection w:val="lrTb"/>
            <w:noWrap w:val="false"/>
          </w:tcPr>
          <w:p>
            <w:pPr>
              <w:jc w:val="center"/>
              <w:tabs>
                <w:tab w:val="left" w:pos="1080" w:leader="none"/>
              </w:tabs>
              <w:rPr>
                <w:rFonts w:ascii="宋体" w:hAnsi="宋体" w:cs="宋体"/>
                <w:szCs w:val="21"/>
              </w:rPr>
            </w:pPr>
            <w:r>
              <w:rPr>
                <w:rFonts w:hint="eastAsia" w:ascii="宋体" w:hAnsi="宋体" w:cs="宋体"/>
                <w:szCs w:val="21"/>
              </w:rPr>
              <w:t xml:space="preserve">3-1</w:t>
            </w:r>
            <w:r/>
          </w:p>
        </w:tc>
        <w:tc>
          <w:tcPr>
            <w:tcW w:w="1897"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是否接受联合体响应</w:t>
            </w:r>
            <w:r/>
          </w:p>
        </w:tc>
        <w:tc>
          <w:tcPr>
            <w:tcW w:w="4933" w:type="dxa"/>
            <w:vAlign w:val="center"/>
            <w:textDirection w:val="lrTb"/>
            <w:noWrap w:val="false"/>
          </w:tcPr>
          <w:p>
            <w:pPr>
              <w:tabs>
                <w:tab w:val="left" w:pos="1080" w:leader="none"/>
              </w:tabs>
              <w:rPr>
                <w:rFonts w:ascii="宋体" w:hAnsi="宋体" w:cs="宋体"/>
                <w:szCs w:val="21"/>
              </w:rPr>
            </w:pPr>
            <w:r>
              <w:rPr>
                <w:rFonts w:hint="eastAsia" w:ascii="宋体" w:hAnsi="宋体" w:cs="宋体"/>
                <w:szCs w:val="21"/>
              </w:rPr>
              <w:t xml:space="preserve">本项目不接受联合体响应，供应商不得为联合体。</w:t>
            </w:r>
            <w:r/>
          </w:p>
        </w:tc>
        <w:tc>
          <w:tcPr>
            <w:tcW w:w="1822" w:type="dxa"/>
            <w:vAlign w:val="center"/>
            <w:textDirection w:val="lrTb"/>
            <w:noWrap w:val="false"/>
          </w:tcPr>
          <w:p>
            <w:pPr>
              <w:tabs>
                <w:tab w:val="left" w:pos="1080" w:leader="none"/>
              </w:tabs>
              <w:rPr>
                <w:rFonts w:ascii="宋体" w:hAnsi="宋体" w:cs="宋体"/>
                <w:szCs w:val="21"/>
              </w:rPr>
            </w:pPr>
            <w:r>
              <w:rPr>
                <w:rFonts w:ascii="宋体" w:hAnsi="宋体" w:cs="宋体"/>
                <w:szCs w:val="21"/>
              </w:rPr>
            </w:r>
            <w:r/>
          </w:p>
        </w:tc>
      </w:tr>
    </w:tbl>
    <w:p>
      <w:pPr>
        <w:ind w:left="357"/>
        <w:spacing w:line="360" w:lineRule="auto"/>
        <w:tabs>
          <w:tab w:val="left" w:pos="1080" w:leader="none"/>
        </w:tabs>
        <w:rPr>
          <w:szCs w:val="21"/>
        </w:rPr>
      </w:pPr>
      <w:r>
        <w:rPr>
          <w:szCs w:val="21"/>
        </w:rPr>
      </w:r>
      <w:r/>
    </w:p>
    <w:p>
      <w:pPr>
        <w:ind w:left="357"/>
        <w:spacing w:line="360" w:lineRule="auto"/>
        <w:tabs>
          <w:tab w:val="left" w:pos="1080" w:leader="none"/>
        </w:tabs>
        <w:rPr>
          <w:szCs w:val="21"/>
        </w:rPr>
      </w:pPr>
      <w:r>
        <w:rPr>
          <w:szCs w:val="21"/>
        </w:rPr>
      </w:r>
      <w:r/>
    </w:p>
    <w:p>
      <w:pPr>
        <w:numPr>
          <w:ilvl w:val="1"/>
          <w:numId w:val="11"/>
        </w:numPr>
        <w:ind w:left="1077" w:hanging="720"/>
        <w:spacing w:line="360" w:lineRule="auto"/>
        <w:tabs>
          <w:tab w:val="left" w:pos="1080" w:leader="none"/>
        </w:tabs>
        <w:rPr>
          <w:szCs w:val="21"/>
        </w:rPr>
      </w:pPr>
      <w:r>
        <w:rPr>
          <w:szCs w:val="21"/>
        </w:rPr>
        <w:t xml:space="preserve">《符合性审查要求》见下表</w:t>
      </w:r>
      <w:r>
        <w:rPr>
          <w:rFonts w:hint="eastAsia"/>
          <w:szCs w:val="21"/>
        </w:rPr>
        <w:t xml:space="preserve">：</w:t>
      </w:r>
      <w:r/>
    </w:p>
    <w:p>
      <w:pPr>
        <w:jc w:val="center"/>
        <w:spacing w:line="360" w:lineRule="auto"/>
        <w:widowControl/>
        <w:rPr>
          <w:b/>
          <w:color w:val="000000"/>
          <w:sz w:val="24"/>
        </w:rPr>
      </w:pPr>
      <w:r>
        <w:rPr>
          <w:b/>
          <w:color w:val="000000"/>
          <w:sz w:val="24"/>
        </w:rPr>
        <w:t xml:space="preserve">符合性审查要求</w:t>
      </w:r>
      <w:r/>
    </w:p>
    <w:tbl>
      <w:tblPr>
        <w:tblStyle w:val="93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826"/>
        <w:gridCol w:w="6772"/>
      </w:tblGrid>
      <w:tr>
        <w:trPr>
          <w:jc w:val="center"/>
          <w:trHeight w:val="23"/>
        </w:trPr>
        <w:tc>
          <w:tcPr>
            <w:tcW w:w="756"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序号</w:t>
            </w:r>
            <w:r/>
          </w:p>
        </w:tc>
        <w:tc>
          <w:tcPr>
            <w:tcW w:w="1826"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审查因素</w:t>
            </w:r>
            <w:r/>
          </w:p>
        </w:tc>
        <w:tc>
          <w:tcPr>
            <w:tcW w:w="6772"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审查内容</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响应函、</w:t>
            </w:r>
            <w:r>
              <w:rPr>
                <w:rFonts w:hint="eastAsia" w:ascii="宋体" w:hAnsi="宋体" w:cs="宋体"/>
                <w:color w:val="000000"/>
                <w:szCs w:val="21"/>
              </w:rPr>
              <w:t xml:space="preserve">法定代表人资格证明书和政府采购供应商信用承诺书</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按磋商文件要求提供响应函、</w:t>
            </w:r>
            <w:r>
              <w:rPr>
                <w:rFonts w:hint="eastAsia" w:ascii="宋体" w:hAnsi="宋体" w:cs="宋体"/>
                <w:color w:val="000000"/>
                <w:szCs w:val="21"/>
              </w:rPr>
              <w:t xml:space="preserve">法定代表人资格证明书和政府采购供应商信用承诺书</w:t>
            </w:r>
            <w:r>
              <w:rPr>
                <w:rFonts w:hint="eastAsia" w:ascii="宋体" w:hAnsi="宋体" w:cs="宋体"/>
                <w:color w:val="000000"/>
                <w:szCs w:val="21"/>
              </w:rPr>
              <w:t xml:space="preserve">；</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响应完整性</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未将一个采购包中的内容拆开响应；</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响应报价</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响应报价未</w:t>
            </w:r>
            <w:r>
              <w:rPr>
                <w:rFonts w:hint="eastAsia" w:ascii="宋体" w:hAnsi="宋体" w:cs="宋体"/>
                <w:color w:val="000000"/>
                <w:szCs w:val="21"/>
              </w:rPr>
              <w:t xml:space="preserve">超过磋商文件中规定的项目/采购包预算金额或者项目/采购包最高限价</w:t>
            </w:r>
            <w:r>
              <w:rPr>
                <w:rFonts w:hint="eastAsia" w:ascii="宋体" w:hAnsi="宋体" w:cs="宋体"/>
                <w:color w:val="000000"/>
                <w:szCs w:val="21"/>
              </w:rPr>
              <w:t xml:space="preserve">；</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报价唯一性</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响应文件未</w:t>
            </w:r>
            <w:r>
              <w:rPr>
                <w:rFonts w:hint="eastAsia" w:ascii="宋体" w:hAnsi="宋体" w:cs="宋体"/>
                <w:szCs w:val="21"/>
              </w:rPr>
              <w:t xml:space="preserve">出现可选择性或可调整的报价（磋商文件另有规定的除外）</w:t>
            </w:r>
            <w:r>
              <w:rPr>
                <w:rFonts w:hint="eastAsia" w:ascii="宋体" w:hAnsi="宋体" w:cs="宋体"/>
                <w:color w:val="000000"/>
                <w:szCs w:val="21"/>
              </w:rPr>
              <w:t xml:space="preserve">；</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响应有效期</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响应文件中承诺的响应有效期满足磋商文件中载明的响应有效期的；</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签署、加盖公章</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按照磋商文件要求签署、加盖公章的；</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实质性格式</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标记为“实质性格式”的文件均按磋商文件要求提供；</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1826"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报价的修正</w:t>
            </w:r>
            <w:r/>
          </w:p>
          <w:p>
            <w:pPr>
              <w:jc w:val="left"/>
              <w:widowControl/>
              <w:rPr>
                <w:rFonts w:ascii="宋体" w:hAnsi="宋体" w:cs="宋体"/>
                <w:color w:val="000000"/>
                <w:szCs w:val="21"/>
              </w:rPr>
            </w:pPr>
            <w:r>
              <w:rPr>
                <w:rFonts w:hint="eastAsia" w:ascii="宋体" w:hAnsi="宋体" w:cs="宋体"/>
                <w:szCs w:val="21"/>
              </w:rPr>
              <w:t xml:space="preserve">（如有）</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不涉及报价修正，或响应文件报价出现前后不一致时，供应商对修正后的报价予以确认；（如有）</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W w:w="1826" w:type="dxa"/>
            <w:vAlign w:val="center"/>
            <w:textDirection w:val="lrTb"/>
            <w:noWrap w:val="false"/>
          </w:tcPr>
          <w:p>
            <w:pPr>
              <w:jc w:val="left"/>
              <w:widowControl/>
              <w:rPr>
                <w:rFonts w:ascii="宋体" w:hAnsi="宋体" w:cs="宋体"/>
                <w:szCs w:val="21"/>
              </w:rPr>
            </w:pPr>
            <w:r>
              <w:rPr>
                <w:rFonts w:hint="eastAsia" w:ascii="宋体" w:hAnsi="宋体" w:cs="宋体"/>
                <w:color w:val="000000"/>
                <w:szCs w:val="21"/>
              </w:rPr>
              <w:t xml:space="preserve">进口产品（如有）</w:t>
            </w:r>
            <w:r/>
          </w:p>
        </w:tc>
        <w:tc>
          <w:tcPr>
            <w:tcW w:w="677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磋商文件不接受进口产品响应的内容时，供应商所投产品非进口产品的；</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国家有关部门对供应商的响应产品有强制性规定或要求的</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ascii="宋体" w:hAnsi="宋体" w:cs="宋体"/>
                <w:color w:val="000000"/>
                <w:szCs w:val="21"/>
              </w:rPr>
            </w:pPr>
            <w:r>
              <w:rPr>
                <w:rFonts w:hint="eastAsia" w:ascii="宋体" w:hAnsi="宋体" w:cs="宋体"/>
                <w:color w:val="000000"/>
                <w:szCs w:val="21"/>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ascii="宋体" w:hAnsi="宋体" w:cs="宋体"/>
                <w:color w:val="000000"/>
                <w:szCs w:val="21"/>
              </w:rPr>
            </w:pPr>
            <w:r>
              <w:rPr>
                <w:rFonts w:hint="eastAsia" w:ascii="宋体" w:hAnsi="宋体" w:cs="宋体"/>
                <w:color w:val="000000"/>
                <w:szCs w:val="21"/>
              </w:rPr>
              <w:t xml:space="preserve">2）响应产品如涉及计算机信息系统安全专用产品的，须提供公安部颁发的计算机信息系统安全专用产品销售许可证；</w:t>
            </w:r>
            <w:r/>
          </w:p>
          <w:p>
            <w:pPr>
              <w:jc w:val="left"/>
              <w:widowControl/>
              <w:rPr>
                <w:rFonts w:ascii="宋体" w:hAnsi="宋体" w:cs="宋体"/>
                <w:color w:val="000000"/>
                <w:szCs w:val="21"/>
              </w:rPr>
            </w:pPr>
            <w:r>
              <w:rPr>
                <w:rFonts w:hint="eastAsia" w:ascii="宋体" w:hAnsi="宋体" w:cs="宋体"/>
                <w:color w:val="000000"/>
                <w:szCs w:val="21"/>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ascii="宋体" w:hAnsi="宋体" w:cs="宋体"/>
                <w:color w:val="000000"/>
                <w:szCs w:val="21"/>
              </w:rPr>
            </w:pPr>
            <w:r>
              <w:rPr>
                <w:rFonts w:hint="eastAsia" w:ascii="宋体" w:hAnsi="宋体" w:cs="宋体"/>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90"/>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公平竞争</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供应商遵循公平竞争的原则，不存在恶意串通，妨碍其他供应商的竞争行为，不存在损害采购人或者其他供应商的合法权益情形的；</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串通响应</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不存在《政府采购货物和服务招标响应管理办法》视为供应商串通响应的情形：（一）不同供应商的响应文件由同一单位或者个人编制</w:t>
            </w:r>
            <w:r>
              <w:rPr>
                <w:rFonts w:hint="eastAsia" w:ascii="宋体" w:hAnsi="宋体" w:cs="宋体"/>
                <w:szCs w:val="21"/>
              </w:rPr>
              <w:t xml:space="preserve">（包含使用同一MAC地址的计算机制作电子响应文件的情形）</w:t>
            </w:r>
            <w:r>
              <w:rPr>
                <w:rFonts w:hint="eastAsia" w:ascii="宋体" w:hAnsi="宋体" w:cs="宋体"/>
                <w:color w:val="000000"/>
                <w:szCs w:val="21"/>
              </w:rPr>
              <w:t xml:space="preserve">；（二）不同供应商委托同一单位或者个人办理响应事宜</w:t>
            </w:r>
            <w:r>
              <w:rPr>
                <w:rFonts w:hint="eastAsia" w:ascii="宋体" w:hAnsi="宋体" w:cs="宋体"/>
                <w:szCs w:val="21"/>
              </w:rPr>
              <w:t xml:space="preserve">（包含使用同一MAC地址的计算机提交或者解密电子响应文件的情形）</w:t>
            </w:r>
            <w:r>
              <w:rPr>
                <w:rFonts w:hint="eastAsia" w:ascii="宋体" w:hAnsi="宋体" w:cs="宋体"/>
                <w:color w:val="000000"/>
                <w:szCs w:val="21"/>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附加条件</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响应文件未含有采购人不能接受的附加条件的；</w:t>
            </w:r>
            <w:r/>
          </w:p>
        </w:tc>
      </w:tr>
      <w:tr>
        <w:trPr>
          <w:jc w:val="center"/>
          <w:trHeight w:val="23"/>
        </w:trPr>
        <w:tc>
          <w:tcPr>
            <w:tcW w:w="7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W w:w="1826"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其他无效情形</w:t>
            </w:r>
            <w:r/>
          </w:p>
        </w:tc>
        <w:tc>
          <w:tcPr>
            <w:tcW w:w="677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供应商、响应文件不存在不符合法律、法规和磋商文件规定的其他无效情形。</w:t>
            </w:r>
            <w:bookmarkEnd w:id="598"/>
            <w:r/>
            <w:bookmarkEnd w:id="599"/>
            <w:r/>
            <w:r/>
          </w:p>
        </w:tc>
      </w:tr>
    </w:tbl>
    <w:p>
      <w:pPr>
        <w:numPr>
          <w:ilvl w:val="0"/>
          <w:numId w:val="11"/>
        </w:numPr>
        <w:spacing w:line="360" w:lineRule="auto"/>
        <w:tabs>
          <w:tab w:val="left" w:pos="360" w:leader="none"/>
        </w:tabs>
        <w:rPr>
          <w:rFonts w:ascii="宋体" w:hAnsi="宋体" w:cs="宋体"/>
          <w:szCs w:val="21"/>
        </w:rPr>
        <w:outlineLvl w:val="1"/>
      </w:pPr>
      <w:r>
        <w:rPr>
          <w:rFonts w:hint="eastAsia" w:ascii="宋体" w:hAnsi="宋体" w:cs="宋体"/>
          <w:szCs w:val="21"/>
        </w:rPr>
        <w:t xml:space="preserve">磋商、响应文件有关事项的澄清、说明或者更正和最终报价</w:t>
      </w:r>
      <w:r/>
    </w:p>
    <w:p>
      <w:pPr>
        <w:numPr>
          <w:ilvl w:val="1"/>
          <w:numId w:val="11"/>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对磋商文件作出的实质性变动是磋商文件的有效组成部分，磋商小组应当及时以书面形式同时通知所有参加磋商的供应商。</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响应文件的澄清、说明或者更正：</w:t>
      </w:r>
      <w:r/>
    </w:p>
    <w:p>
      <w:pPr>
        <w:ind w:left="1080"/>
        <w:spacing w:line="360" w:lineRule="auto"/>
        <w:tabs>
          <w:tab w:val="left" w:pos="1980" w:leader="none"/>
        </w:tabs>
        <w:rPr>
          <w:rFonts w:ascii="宋体" w:hAnsi="宋体" w:cs="宋体"/>
          <w:szCs w:val="21"/>
        </w:rPr>
      </w:pPr>
      <w:r>
        <w:rPr>
          <w:rFonts w:hint="eastAsia" w:ascii="宋体" w:hAnsi="宋体" w:cs="宋体"/>
          <w:szCs w:val="21"/>
        </w:rPr>
        <w:t xml:space="preserve">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公章。供应商的澄清、说明或者补正不得超出响应文件的范围或者改变响应文件的实质性内容。澄清文件将作为响应文件内容的一部分。</w:t>
      </w:r>
      <w:r/>
    </w:p>
    <w:p>
      <w:pPr>
        <w:numPr>
          <w:ilvl w:val="1"/>
          <w:numId w:val="11"/>
        </w:numPr>
        <w:ind w:left="1077" w:hanging="720"/>
        <w:spacing w:line="360" w:lineRule="auto"/>
        <w:tabs>
          <w:tab w:val="left" w:pos="1080" w:leader="none"/>
          <w:tab w:val="left" w:pos="1872" w:leader="none"/>
        </w:tabs>
        <w:rPr>
          <w:rFonts w:ascii="宋体" w:hAnsi="宋体" w:cs="宋体"/>
          <w:b/>
          <w:szCs w:val="21"/>
        </w:rPr>
      </w:pPr>
      <w:r>
        <w:rPr>
          <w:rFonts w:hint="eastAsia" w:ascii="宋体" w:hAnsi="宋体" w:cs="宋体"/>
          <w:b/>
          <w:szCs w:val="21"/>
        </w:rPr>
        <w:t xml:space="preserve">磋商结束后，磋商小组将要求所有实质性响应的供应商在规定时间内提交最终报价</w:t>
      </w:r>
      <w:r>
        <w:rPr>
          <w:rFonts w:hint="eastAsia" w:ascii="宋体" w:hAnsi="宋体" w:cs="宋体"/>
          <w:b/>
          <w:bCs/>
          <w:szCs w:val="21"/>
        </w:rPr>
        <w:t xml:space="preserve">，最后报价作为评分依据。</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已提交响应文件的供应商，在提交最终报价之前，可以根据磋商情况退出磋商。</w:t>
      </w:r>
      <w:r/>
    </w:p>
    <w:p>
      <w:pPr>
        <w:numPr>
          <w:ilvl w:val="0"/>
          <w:numId w:val="11"/>
        </w:numPr>
        <w:spacing w:line="360" w:lineRule="auto"/>
        <w:tabs>
          <w:tab w:val="left" w:pos="360" w:leader="none"/>
        </w:tabs>
        <w:rPr>
          <w:rFonts w:ascii="宋体" w:hAnsi="宋体" w:cs="宋体"/>
          <w:szCs w:val="21"/>
        </w:rPr>
        <w:outlineLvl w:val="1"/>
      </w:pPr>
      <w:r>
        <w:rPr>
          <w:rFonts w:hint="eastAsia" w:ascii="宋体" w:hAnsi="宋体" w:cs="宋体"/>
          <w:szCs w:val="21"/>
        </w:rPr>
        <w:t xml:space="preserve">最终报价的算术修正及政策调整</w:t>
      </w:r>
      <w:r/>
    </w:p>
    <w:p>
      <w:pPr>
        <w:numPr>
          <w:ilvl w:val="1"/>
          <w:numId w:val="11"/>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s="宋体"/>
          <w:szCs w:val="21"/>
          <w:u w:val="single"/>
        </w:rPr>
      </w:pPr>
      <w:r>
        <w:rPr>
          <w:rFonts w:hint="eastAsia" w:ascii="宋体" w:hAnsi="宋体" w:cs="宋体"/>
          <w:szCs w:val="21"/>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同时出现两种以上不一致的，按照前款规定的顺序修正。修正后的报价经供应商书面确认后产生约束力，供应商不确认的，</w:t>
      </w:r>
      <w:r>
        <w:rPr>
          <w:rFonts w:hint="eastAsia" w:ascii="宋体" w:hAnsi="宋体" w:cs="宋体"/>
          <w:b/>
          <w:szCs w:val="21"/>
        </w:rPr>
        <w:t xml:space="preserve">其响应无效</w:t>
      </w:r>
      <w:r>
        <w:rPr>
          <w:rFonts w:hint="eastAsia" w:ascii="宋体" w:hAnsi="宋体" w:cs="宋体"/>
          <w:szCs w:val="21"/>
        </w:rPr>
        <w:t xml:space="preserve">。</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spacing w:line="360" w:lineRule="auto"/>
        <w:rPr>
          <w:rFonts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对于未预留份额专门面向中小企业采购的采购项目，以及预留份额项目中的非预留部分采购包，对</w:t>
      </w:r>
      <w:r>
        <w:rPr>
          <w:rFonts w:hint="eastAsia" w:ascii="宋体" w:hAnsi="宋体" w:cs="宋体"/>
          <w:b/>
          <w:szCs w:val="21"/>
        </w:rPr>
        <w:t xml:space="preserve">小微企业</w:t>
      </w:r>
      <w:r>
        <w:rPr>
          <w:rFonts w:hint="eastAsia" w:ascii="宋体" w:hAnsi="宋体" w:cs="宋体"/>
          <w:szCs w:val="21"/>
        </w:rPr>
        <w:t xml:space="preserve">报价给予20%的扣除，用扣除后的价格参加评审。</w:t>
      </w:r>
      <w:r/>
    </w:p>
    <w:p>
      <w:pPr>
        <w:numPr>
          <w:ilvl w:val="2"/>
          <w:numId w:val="11"/>
        </w:numPr>
        <w:spacing w:line="360" w:lineRule="auto"/>
        <w:rPr>
          <w:rFonts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30%以上的联合体或者大中型企业的报价给予3%的扣除，用扣除后的价格参加评审。</w:t>
      </w:r>
      <w:r/>
    </w:p>
    <w:p>
      <w:pPr>
        <w:numPr>
          <w:ilvl w:val="2"/>
          <w:numId w:val="11"/>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color w:val="000000"/>
          <w:szCs w:val="21"/>
        </w:rPr>
        <w:t xml:space="preserve">中小企业参加政府采购活动，应当按照竞争性磋商文件给定的格式出具《中小企业声明函》，否则不得享受相关中小企业扶持政策。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残疾人福利性单位按竞争性磋商文件要求提供了《残疾人福利性单位声明函》（见附件）的，视同小微企业。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若供应商同时属于小型或微型企业、监狱企业、残疾人福利性单位中的两种及以上，将不重复享受小微企业价格扣减的优惠政策。</w:t>
      </w:r>
      <w:r/>
    </w:p>
    <w:p>
      <w:pPr>
        <w:numPr>
          <w:ilvl w:val="2"/>
          <w:numId w:val="11"/>
        </w:numPr>
        <w:ind w:left="2035"/>
        <w:spacing w:line="360" w:lineRule="auto"/>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其他为落实政府采购政策实施的优先采购：</w:t>
      </w:r>
      <w:r>
        <w:rPr>
          <w:rFonts w:hint="eastAsia" w:ascii="宋体" w:hAnsi="宋体" w:cs="宋体"/>
          <w:szCs w:val="21"/>
          <w:u w:val="single"/>
        </w:rPr>
        <w:t xml:space="preserve"> / </w:t>
      </w:r>
      <w:r>
        <w:rPr>
          <w:rFonts w:hint="eastAsia" w:ascii="宋体" w:hAnsi="宋体" w:cs="宋体"/>
          <w:szCs w:val="21"/>
        </w:rPr>
        <w:t xml:space="preserve">。</w:t>
      </w:r>
      <w:r/>
    </w:p>
    <w:p>
      <w:pPr>
        <w:numPr>
          <w:ilvl w:val="0"/>
          <w:numId w:val="11"/>
        </w:numPr>
        <w:spacing w:line="360" w:lineRule="auto"/>
        <w:tabs>
          <w:tab w:val="left" w:pos="360" w:leader="none"/>
        </w:tabs>
        <w:rPr>
          <w:rFonts w:ascii="宋体" w:hAnsi="宋体" w:cs="宋体"/>
          <w:szCs w:val="21"/>
        </w:rPr>
        <w:outlineLvl w:val="1"/>
      </w:pPr>
      <w:r>
        <w:rPr>
          <w:rFonts w:hint="eastAsia" w:ascii="宋体" w:hAnsi="宋体" w:cs="宋体"/>
          <w:szCs w:val="21"/>
        </w:rPr>
        <w:t xml:space="preserve">磋商环节及提交最终报价后如出现以下情况的，供应商的</w:t>
      </w:r>
      <w:r>
        <w:rPr>
          <w:rFonts w:hint="eastAsia" w:ascii="宋体" w:hAnsi="宋体" w:cs="宋体"/>
          <w:b/>
          <w:szCs w:val="21"/>
        </w:rPr>
        <w:t xml:space="preserve">响应文件无效</w:t>
      </w:r>
      <w:r>
        <w:rPr>
          <w:rFonts w:hint="eastAsia" w:ascii="宋体" w:hAnsi="宋体" w:cs="宋体"/>
          <w:szCs w:val="21"/>
        </w:rPr>
        <w:t xml:space="preserve">：</w:t>
      </w:r>
      <w:r/>
    </w:p>
    <w:p>
      <w:pPr>
        <w:numPr>
          <w:ilvl w:val="1"/>
          <w:numId w:val="11"/>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供应商对实质性变动不予确认的；</w:t>
      </w:r>
      <w:r/>
    </w:p>
    <w:p>
      <w:pPr>
        <w:numPr>
          <w:ilvl w:val="1"/>
          <w:numId w:val="11"/>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未按照磋商小组规定的时间、逾期提交最终报价的；</w:t>
      </w:r>
      <w:r/>
    </w:p>
    <w:p>
      <w:pPr>
        <w:numPr>
          <w:ilvl w:val="1"/>
          <w:numId w:val="11"/>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最终报价出现前后不一致，供应商对修正后的报价不予确认的；</w:t>
      </w:r>
      <w:r/>
    </w:p>
    <w:p>
      <w:pPr>
        <w:numPr>
          <w:ilvl w:val="1"/>
          <w:numId w:val="11"/>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其他：</w:t>
      </w:r>
      <w:r>
        <w:rPr>
          <w:rFonts w:hint="eastAsia" w:ascii="宋体" w:hAnsi="宋体" w:cs="宋体"/>
          <w:szCs w:val="21"/>
          <w:u w:val="single"/>
        </w:rPr>
        <w:t xml:space="preserve"> / </w:t>
      </w:r>
      <w:r>
        <w:rPr>
          <w:rFonts w:hint="eastAsia" w:ascii="宋体" w:hAnsi="宋体" w:cs="宋体"/>
          <w:szCs w:val="21"/>
        </w:rPr>
        <w:t xml:space="preserve">。</w:t>
      </w:r>
      <w:r/>
    </w:p>
    <w:p>
      <w:pPr>
        <w:numPr>
          <w:ilvl w:val="0"/>
          <w:numId w:val="11"/>
        </w:numPr>
        <w:spacing w:line="360" w:lineRule="auto"/>
        <w:tabs>
          <w:tab w:val="left" w:pos="360" w:leader="none"/>
        </w:tabs>
        <w:rPr>
          <w:rFonts w:ascii="宋体" w:hAnsi="宋体" w:cs="宋体"/>
          <w:szCs w:val="21"/>
        </w:rPr>
        <w:outlineLvl w:val="1"/>
      </w:pPr>
      <w:r>
        <w:rPr>
          <w:rFonts w:hint="eastAsia" w:ascii="宋体" w:hAnsi="宋体" w:cs="宋体"/>
          <w:szCs w:val="21"/>
        </w:rPr>
        <w:t xml:space="preserve">评审方法和评审标准</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本项目采用的评审方法为：本项目的评审采用</w:t>
      </w:r>
      <w:r>
        <w:rPr>
          <w:rFonts w:hint="eastAsia" w:ascii="宋体" w:hAnsi="宋体" w:cs="宋体"/>
          <w:b/>
          <w:bCs/>
          <w:szCs w:val="21"/>
        </w:rPr>
        <w:t xml:space="preserve">综合评分法</w:t>
      </w:r>
      <w:r>
        <w:rPr>
          <w:rFonts w:hint="eastAsia" w:ascii="宋体" w:hAnsi="宋体" w:cs="宋体"/>
          <w:szCs w:val="21"/>
        </w:rPr>
        <w:t xml:space="preserve">。综合评分法，是指响应文件满足磋商文件全部实质性要求且按评审因素的量化指标评审得分最高的供应商为成交候选供应商的评审方法。</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竞争性磋商文件中没有规定的评审标准不得作为评审依据。</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非政府强制采购的节能产品或环境标志产品，依据品目清单和认证证书实施政府优先采购。优先采购的具体规定（如涉及）</w:t>
      </w:r>
      <w:r>
        <w:rPr>
          <w:rFonts w:hint="eastAsia" w:ascii="宋体" w:hAnsi="宋体" w:cs="宋体"/>
          <w:szCs w:val="21"/>
          <w:u w:val="single"/>
        </w:rPr>
        <w:t xml:space="preserve"> / </w:t>
      </w:r>
      <w:r>
        <w:rPr>
          <w:rFonts w:hint="eastAsia" w:ascii="宋体" w:hAnsi="宋体" w:cs="宋体"/>
          <w:szCs w:val="21"/>
        </w:rPr>
        <w:t xml:space="preserve">。</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关于无线局域网认证产品政府采购清单中的产品，优先采购的具体规定（如涉及）</w:t>
      </w:r>
      <w:r>
        <w:rPr>
          <w:rFonts w:hint="eastAsia" w:ascii="宋体" w:hAnsi="宋体" w:cs="宋体"/>
          <w:szCs w:val="21"/>
          <w:u w:val="single"/>
        </w:rPr>
        <w:t xml:space="preserve"> / </w:t>
      </w:r>
      <w:r>
        <w:rPr>
          <w:rFonts w:hint="eastAsia" w:ascii="宋体" w:hAnsi="宋体" w:cs="宋体"/>
          <w:szCs w:val="21"/>
        </w:rPr>
        <w:t xml:space="preserve">。</w:t>
      </w:r>
      <w:r/>
    </w:p>
    <w:p>
      <w:pPr>
        <w:numPr>
          <w:ilvl w:val="0"/>
          <w:numId w:val="11"/>
        </w:numPr>
        <w:spacing w:line="360" w:lineRule="auto"/>
        <w:tabs>
          <w:tab w:val="left" w:pos="360" w:leader="none"/>
        </w:tabs>
        <w:rPr>
          <w:rFonts w:ascii="宋体" w:hAnsi="宋体" w:cs="宋体"/>
          <w:szCs w:val="21"/>
        </w:rPr>
        <w:outlineLvl w:val="1"/>
      </w:pPr>
      <w:r>
        <w:rPr>
          <w:rFonts w:hint="eastAsia" w:ascii="宋体" w:hAnsi="宋体" w:cs="宋体"/>
          <w:szCs w:val="21"/>
        </w:rPr>
        <w:t xml:space="preserve">确定</w:t>
      </w:r>
      <w:bookmarkStart w:id="615" w:name="_Toc195842911"/>
      <w:r/>
      <w:bookmarkStart w:id="616" w:name="_Toc520356170"/>
      <w:r/>
      <w:bookmarkStart w:id="617" w:name="_Toc151193788"/>
      <w:r/>
      <w:bookmarkStart w:id="618" w:name="_Toc151193934"/>
      <w:r/>
      <w:bookmarkStart w:id="619" w:name="_Toc226965736"/>
      <w:r/>
      <w:bookmarkStart w:id="620" w:name="_Toc151193644"/>
      <w:r/>
      <w:bookmarkStart w:id="621" w:name="_Toc150480784"/>
      <w:r/>
      <w:bookmarkStart w:id="622" w:name="_Toc226309790"/>
      <w:r/>
      <w:bookmarkStart w:id="623" w:name="_Toc164608815"/>
      <w:r/>
      <w:bookmarkStart w:id="624" w:name="_Toc127161460"/>
      <w:r/>
      <w:bookmarkStart w:id="625" w:name="_Toc226965819"/>
      <w:r/>
      <w:bookmarkStart w:id="626" w:name="_Toc305158888"/>
      <w:r/>
      <w:bookmarkStart w:id="627" w:name="_Toc164229387"/>
      <w:r/>
      <w:bookmarkStart w:id="628" w:name="_Toc150774646"/>
      <w:r/>
      <w:bookmarkStart w:id="629" w:name="_Toc264969236"/>
      <w:r/>
      <w:bookmarkStart w:id="630" w:name="_Toc164351640"/>
      <w:r/>
      <w:bookmarkStart w:id="631" w:name="_Toc149720839"/>
      <w:r/>
      <w:bookmarkStart w:id="632" w:name="_Toc226337242"/>
      <w:r/>
      <w:bookmarkStart w:id="633" w:name="_Toc150774751"/>
      <w:r/>
      <w:bookmarkStart w:id="634" w:name="_Toc265228384"/>
      <w:r/>
      <w:bookmarkStart w:id="635" w:name="_Toc164608660"/>
      <w:r/>
      <w:bookmarkStart w:id="636" w:name="_Toc150509297"/>
      <w:r/>
      <w:bookmarkStart w:id="637" w:name="_Ref467307010"/>
      <w:r/>
      <w:bookmarkStart w:id="638" w:name="_Toc151190173"/>
      <w:r/>
      <w:bookmarkStart w:id="639" w:name="_Toc127151546"/>
      <w:r/>
      <w:bookmarkStart w:id="640" w:name="_Toc305158814"/>
      <w:r/>
      <w:bookmarkStart w:id="641" w:name="_Toc164229241"/>
      <w:r/>
      <w:bookmarkStart w:id="642" w:name="_Toc151193860"/>
      <w:r/>
      <w:bookmarkStart w:id="643" w:name="_Toc127151747"/>
      <w:r/>
      <w:bookmarkStart w:id="644" w:name="_Toc151193716"/>
      <w:r/>
      <w:bookmarkStart w:id="645" w:name="_Toc142311048"/>
      <w:r>
        <w:rPr>
          <w:rFonts w:hint="eastAsia" w:ascii="宋体" w:hAnsi="宋体" w:cs="宋体"/>
          <w:szCs w:val="21"/>
        </w:rPr>
        <w:t xml:space="preserve">成交候选人名单</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磋商小组根据上述供应商排序，依次推荐排序前</w:t>
      </w:r>
      <w:r>
        <w:rPr>
          <w:rFonts w:hint="eastAsia" w:ascii="宋体" w:hAnsi="宋体" w:cs="宋体"/>
          <w:szCs w:val="21"/>
        </w:rPr>
        <w:t xml:space="preserve">3名</w:t>
      </w:r>
      <w:r>
        <w:rPr>
          <w:rFonts w:hint="eastAsia" w:ascii="宋体" w:hAnsi="宋体" w:cs="宋体"/>
          <w:szCs w:val="21"/>
        </w:rPr>
        <w:t xml:space="preserve">的供应商为</w:t>
      </w:r>
      <w:r>
        <w:rPr>
          <w:rFonts w:hint="eastAsia" w:ascii="宋体" w:hAnsi="宋体" w:cs="宋体"/>
          <w:szCs w:val="21"/>
        </w:rPr>
        <w:t xml:space="preserve">成交候选供应商</w:t>
      </w:r>
      <w:r>
        <w:rPr>
          <w:rFonts w:hint="eastAsia" w:ascii="宋体" w:hAnsi="宋体" w:cs="宋体"/>
          <w:szCs w:val="21"/>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rFonts w:ascii="宋体" w:hAnsi="宋体" w:cs="宋体"/>
          <w:szCs w:val="21"/>
        </w:rPr>
        <w:outlineLvl w:val="1"/>
      </w:pPr>
      <w:r>
        <w:rPr>
          <w:rFonts w:hint="eastAsia" w:ascii="宋体" w:hAnsi="宋体" w:cs="宋体"/>
          <w:szCs w:val="21"/>
        </w:rPr>
        <w:t xml:space="preserve">报告违法行为</w:t>
      </w:r>
      <w:r/>
    </w:p>
    <w:p>
      <w:pPr>
        <w:numPr>
          <w:ilvl w:val="1"/>
          <w:numId w:val="11"/>
        </w:numPr>
        <w:ind w:left="1077" w:hanging="720"/>
        <w:jc w:val="left"/>
        <w:spacing w:line="360" w:lineRule="auto"/>
        <w:widowControl/>
        <w:tabs>
          <w:tab w:val="left" w:pos="1080" w:leader="none"/>
          <w:tab w:val="left" w:pos="1872" w:leader="none"/>
        </w:tabs>
        <w:rPr>
          <w:sz w:val="24"/>
        </w:rPr>
      </w:pPr>
      <w:r>
        <w:rPr>
          <w:rFonts w:hint="eastAsia" w:ascii="宋体" w:hAnsi="宋体" w:cs="宋体"/>
          <w:szCs w:val="21"/>
        </w:rPr>
        <w:t xml:space="preserve">磋商小组在评审过程中发现供应商有行贿、提供虚假材料或者串通等违法行为时，有向采购人、采购代理机构或者有关部门报告的职责。</w:t>
      </w:r>
      <w:r/>
    </w:p>
    <w:p>
      <w:pPr>
        <w:jc w:val="center"/>
        <w:spacing w:line="360" w:lineRule="auto"/>
        <w:widowControl/>
        <w:tabs>
          <w:tab w:val="left" w:pos="1080" w:leader="none"/>
          <w:tab w:val="left" w:pos="1872" w:leader="none"/>
        </w:tabs>
        <w:rPr>
          <w:b/>
          <w:bCs/>
          <w:sz w:val="24"/>
        </w:rPr>
      </w:pPr>
      <w:r>
        <w:rPr>
          <w:b/>
          <w:bCs/>
          <w:sz w:val="24"/>
        </w:rPr>
      </w:r>
      <w:r/>
    </w:p>
    <w:p>
      <w:pPr>
        <w:numPr>
          <w:ilvl w:val="0"/>
          <w:numId w:val="12"/>
        </w:numPr>
        <w:jc w:val="center"/>
        <w:spacing w:line="360" w:lineRule="auto"/>
        <w:widowControl/>
        <w:tabs>
          <w:tab w:val="left" w:pos="1080" w:leader="none"/>
          <w:tab w:val="left" w:pos="1872" w:leader="none"/>
        </w:tabs>
        <w:rPr>
          <w:b/>
          <w:bCs/>
          <w:sz w:val="24"/>
        </w:rPr>
      </w:pPr>
      <w:r>
        <w:rPr>
          <w:b/>
          <w:bCs/>
          <w:sz w:val="24"/>
        </w:rPr>
        <w:br w:type="page" w:clear="all"/>
      </w:r>
      <w:r>
        <w:rPr>
          <w:b/>
          <w:bCs/>
          <w:sz w:val="24"/>
          <w:highlight w:val="none"/>
        </w:rPr>
        <w:t xml:space="preserve">评</w:t>
      </w:r>
      <w:r>
        <w:rPr>
          <w:rFonts w:hint="eastAsia"/>
          <w:b/>
          <w:bCs/>
          <w:sz w:val="24"/>
          <w:highlight w:val="none"/>
        </w:rPr>
        <w:t xml:space="preserve">审</w:t>
      </w:r>
      <w:r>
        <w:rPr>
          <w:b/>
          <w:bCs/>
          <w:sz w:val="24"/>
          <w:highlight w:val="none"/>
        </w:rPr>
        <w:t xml:space="preserve">标准</w:t>
      </w:r>
      <w:r/>
    </w:p>
    <w:tbl>
      <w:tblPr>
        <w:tblStyle w:val="93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850"/>
        <w:gridCol w:w="738"/>
        <w:gridCol w:w="5300"/>
        <w:gridCol w:w="1855"/>
      </w:tblGrid>
      <w:tr>
        <w:trPr>
          <w:jc w:val="center"/>
          <w:trHeight w:val="23"/>
        </w:trPr>
        <w:tc>
          <w:tcPr>
            <w:tcW w:w="611"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序号</w:t>
            </w:r>
            <w:r/>
          </w:p>
        </w:tc>
        <w:tc>
          <w:tcPr>
            <w:tcW w:w="850"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评分</w:t>
            </w:r>
            <w:r/>
          </w:p>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因素</w:t>
            </w:r>
            <w:r/>
          </w:p>
        </w:tc>
        <w:tc>
          <w:tcPr>
            <w:tcW w:w="738"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分值</w:t>
            </w:r>
            <w:r/>
          </w:p>
        </w:tc>
        <w:tc>
          <w:tcPr>
            <w:tcW w:w="5300"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评分标准</w:t>
            </w:r>
            <w:r/>
          </w:p>
        </w:tc>
        <w:tc>
          <w:tcPr>
            <w:tcW w:w="1855"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说明</w:t>
            </w:r>
            <w:r/>
          </w:p>
        </w:tc>
      </w:tr>
      <w:tr>
        <w:trPr>
          <w:jc w:val="center"/>
          <w:trHeight w:val="23"/>
        </w:trPr>
        <w:tc>
          <w:tcPr>
            <w:tcW w:w="611"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1</w:t>
            </w:r>
            <w:r/>
          </w:p>
        </w:tc>
        <w:tc>
          <w:tcPr>
            <w:tcW w:w="850"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价格分</w:t>
            </w:r>
            <w:r/>
          </w:p>
        </w:tc>
        <w:tc>
          <w:tcPr>
            <w:tcW w:w="738"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lang w:val="en-US" w:eastAsia="zh-CN"/>
              </w:rPr>
              <w:t xml:space="preserve">10</w:t>
            </w:r>
            <w:r>
              <w:rPr>
                <w:rFonts w:hint="eastAsia" w:ascii="宋体" w:hAnsi="宋体" w:eastAsiaTheme="minorEastAsia" w:cstheme="minorBidi"/>
                <w:b/>
                <w:bCs/>
                <w:szCs w:val="21"/>
                <w:highlight w:val="none"/>
              </w:rPr>
              <w:t xml:space="preserve">分</w:t>
            </w:r>
            <w:r/>
          </w:p>
        </w:tc>
        <w:tc>
          <w:tcPr>
            <w:tcW w:w="5300" w:type="dxa"/>
            <w:vAlign w:val="center"/>
            <w:textDirection w:val="lrTb"/>
            <w:noWrap w:val="false"/>
          </w:tcPr>
          <w:p>
            <w:pPr>
              <w:jc w:val="left"/>
              <w:keepLines w:val="0"/>
              <w:keepNext w:val="0"/>
              <w:pageBreakBefore w:val="0"/>
              <w:spacing w:line="288" w:lineRule="auto"/>
              <w:widowControl w:val="off"/>
              <w:rPr>
                <w:rFonts w:ascii="宋体" w:hAnsi="宋体" w:cs="宋体"/>
                <w:szCs w:val="21"/>
                <w:highlight w:val="none"/>
              </w:rPr>
            </w:pPr>
            <w:r>
              <w:rPr>
                <w:rFonts w:hint="eastAsia" w:ascii="宋体" w:hAnsi="宋体" w:cs="宋体"/>
                <w:szCs w:val="21"/>
                <w:highlight w:val="none"/>
              </w:rPr>
              <w:t xml:space="preserve">满足磋商文件要求且最终报价最低的报价为评标基准价，其价格分为满分。其他供应商的价格分统一按照下列公式计算：价格分得分＝（评标基准价/最终报价）×分值；得分保留两位小数，计算结果四舍五入。</w:t>
            </w:r>
            <w:r/>
          </w:p>
        </w:tc>
        <w:tc>
          <w:tcPr>
            <w:tcW w:w="1855" w:type="dxa"/>
            <w:vAlign w:val="center"/>
            <w:textDirection w:val="lrTb"/>
            <w:noWrap w:val="false"/>
          </w:tcPr>
          <w:p>
            <w:pPr>
              <w:jc w:val="left"/>
              <w:keepLines w:val="0"/>
              <w:keepNext w:val="0"/>
              <w:pageBreakBefore w:val="0"/>
              <w:spacing w:line="288" w:lineRule="auto"/>
              <w:widowControl w:val="off"/>
              <w:rPr>
                <w:rFonts w:ascii="宋体" w:hAnsi="宋体" w:cs="宋体"/>
                <w:szCs w:val="21"/>
                <w:highlight w:val="none"/>
              </w:rPr>
            </w:pPr>
            <w:r>
              <w:rPr>
                <w:rFonts w:hint="eastAsia" w:ascii="宋体" w:hAnsi="宋体" w:cs="宋体"/>
                <w:szCs w:val="21"/>
                <w:highlight w:val="none"/>
              </w:rPr>
              <w:t xml:space="preserve">此处最终报价指经过报价修正，及因落实政府采购政策进行价格调整后的最终报价。</w:t>
            </w:r>
            <w:r/>
          </w:p>
        </w:tc>
      </w:tr>
      <w:tr>
        <w:trPr>
          <w:jc w:val="center"/>
          <w:trHeight w:val="23"/>
        </w:trPr>
        <w:tc>
          <w:tcPr>
            <w:tcW w:w="611"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2</w:t>
            </w:r>
            <w:r/>
          </w:p>
        </w:tc>
        <w:tc>
          <w:tcPr>
            <w:tcW w:w="850"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主观分</w:t>
            </w:r>
            <w:r/>
          </w:p>
        </w:tc>
        <w:tc>
          <w:tcPr>
            <w:tcW w:w="738" w:type="dxa"/>
            <w:vAlign w:val="center"/>
            <w:textDirection w:val="lrTb"/>
            <w:noWrap w:val="false"/>
          </w:tcPr>
          <w:p>
            <w:pPr>
              <w:jc w:val="both"/>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lang w:val="en-US" w:eastAsia="zh-CN"/>
              </w:rPr>
              <w:t xml:space="preserve">55</w:t>
            </w:r>
            <w:r>
              <w:rPr>
                <w:rFonts w:hint="eastAsia" w:ascii="宋体" w:hAnsi="宋体" w:eastAsiaTheme="minorEastAsia" w:cstheme="minorBidi"/>
                <w:b/>
                <w:bCs/>
                <w:szCs w:val="21"/>
                <w:highlight w:val="none"/>
              </w:rPr>
              <w:t xml:space="preserve">分</w:t>
            </w:r>
            <w:r/>
          </w:p>
        </w:tc>
        <w:tc>
          <w:tcPr>
            <w:tcW w:w="5300" w:type="dxa"/>
            <w:vAlign w:val="center"/>
            <w:textDirection w:val="lrTb"/>
            <w:noWrap w:val="false"/>
          </w:tcPr>
          <w:p>
            <w:pPr>
              <w:jc w:val="left"/>
              <w:keepLines w:val="0"/>
              <w:keepNext w:val="0"/>
              <w:pageBreakBefore w:val="0"/>
              <w:spacing w:line="288" w:lineRule="auto"/>
              <w:widowControl w:val="off"/>
              <w:rPr>
                <w:rFonts w:ascii="宋体" w:hAnsi="宋体" w:cs="宋体"/>
                <w:szCs w:val="21"/>
                <w:highlight w:val="none"/>
              </w:rPr>
            </w:pPr>
            <w:r>
              <w:rPr>
                <w:rFonts w:ascii="宋体" w:hAnsi="宋体" w:cs="宋体"/>
                <w:szCs w:val="21"/>
                <w:highlight w:val="none"/>
              </w:rPr>
            </w:r>
            <w:r/>
          </w:p>
        </w:tc>
        <w:tc>
          <w:tcPr>
            <w:tcW w:w="1855" w:type="dxa"/>
            <w:vAlign w:val="center"/>
            <w:textDirection w:val="lrTb"/>
            <w:noWrap w:val="false"/>
          </w:tcPr>
          <w:p>
            <w:pPr>
              <w:jc w:val="left"/>
              <w:keepLines w:val="0"/>
              <w:keepNext w:val="0"/>
              <w:pageBreakBefore w:val="0"/>
              <w:spacing w:line="288" w:lineRule="auto"/>
              <w:widowControl w:val="off"/>
              <w:rPr>
                <w:rFonts w:ascii="宋体" w:hAnsi="宋体" w:cs="宋体"/>
                <w:szCs w:val="21"/>
                <w:highlight w:val="none"/>
              </w:rPr>
            </w:pPr>
            <w:r>
              <w:rPr>
                <w:rFonts w:ascii="宋体" w:hAnsi="宋体" w:cs="宋体"/>
                <w:szCs w:val="21"/>
                <w:highlight w:val="none"/>
              </w:rPr>
            </w:r>
            <w:r/>
          </w:p>
        </w:tc>
      </w:tr>
      <w:tr>
        <w:trPr>
          <w:jc w:val="center"/>
          <w:trHeight w:val="23"/>
        </w:trPr>
        <w:tc>
          <w:tcPr>
            <w:tcW w:w="611" w:type="dxa"/>
            <w:vAlign w:val="center"/>
            <w:textDirection w:val="lrTb"/>
            <w:noWrap w:val="false"/>
          </w:tcPr>
          <w:p>
            <w:pPr>
              <w:jc w:val="center"/>
              <w:keepLines w:val="0"/>
              <w:keepNext w:val="0"/>
              <w:pageBreakBefore w:val="0"/>
              <w:spacing w:line="288" w:lineRule="auto"/>
              <w:widowControl w:val="off"/>
              <w:rPr>
                <w:rFonts w:hint="default" w:ascii="宋体" w:hAnsi="宋体" w:eastAsiaTheme="minorEastAsia" w:cstheme="minorBidi"/>
                <w:b/>
                <w:bCs/>
                <w:szCs w:val="21"/>
                <w:highlight w:val="none"/>
                <w:lang w:val="en-US" w:eastAsia="zh-CN"/>
              </w:rPr>
            </w:pPr>
            <w:r>
              <w:rPr>
                <w:rFonts w:hint="eastAsia" w:ascii="宋体" w:hAnsi="宋体" w:cs="宋体"/>
                <w:szCs w:val="21"/>
                <w:highlight w:val="none"/>
              </w:rPr>
              <w:t xml:space="preserve">2.1</w:t>
            </w:r>
            <w:r/>
          </w:p>
        </w:tc>
        <w:tc>
          <w:tcPr>
            <w:tcW w:w="850" w:type="dxa"/>
            <w:vAlign w:val="center"/>
            <w:textDirection w:val="lrTb"/>
            <w:noWrap w:val="false"/>
          </w:tcPr>
          <w:p>
            <w:pPr>
              <w:ind w:firstLine="28"/>
              <w:jc w:val="center"/>
              <w:keepLines w:val="0"/>
              <w:keepNext w:val="0"/>
              <w:pageBreakBefore w:val="0"/>
              <w:spacing w:line="312" w:lineRule="auto"/>
              <w:rPr>
                <w:rFonts w:hint="eastAsia" w:ascii="宋体" w:hAnsi="宋体" w:eastAsiaTheme="minorEastAsia" w:cstheme="minorBidi"/>
                <w:b/>
                <w:bCs/>
                <w:szCs w:val="21"/>
                <w:highlight w:val="none"/>
              </w:rPr>
            </w:pPr>
            <w:r>
              <w:rPr>
                <w:rFonts w:hint="eastAsia" w:ascii="宋体" w:hAnsi="宋体" w:cs="宋体"/>
                <w:b w:val="0"/>
                <w:bCs w:val="0"/>
                <w:sz w:val="21"/>
                <w:szCs w:val="21"/>
                <w:highlight w:val="none"/>
                <w:lang w:val="en-US" w:eastAsia="zh-CN"/>
              </w:rPr>
              <w:t xml:space="preserve">总体设计方案</w:t>
            </w:r>
            <w:r>
              <w:rPr>
                <w:rFonts w:hint="eastAsia" w:ascii="宋体" w:hAnsi="宋体" w:eastAsia="宋体" w:cs="宋体"/>
                <w:b w:val="0"/>
                <w:bCs w:val="0"/>
                <w:sz w:val="21"/>
                <w:szCs w:val="21"/>
                <w:highlight w:val="none"/>
                <w:lang w:val="en-US" w:eastAsia="zh-CN"/>
              </w:rPr>
              <w:t xml:space="preserve"> </w:t>
            </w:r>
            <w:r/>
          </w:p>
        </w:tc>
        <w:tc>
          <w:tcPr>
            <w:tcW w:w="738" w:type="dxa"/>
            <w:vAlign w:val="center"/>
            <w:textDirection w:val="lrTb"/>
            <w:noWrap w:val="false"/>
          </w:tcPr>
          <w:p>
            <w:pPr>
              <w:ind w:firstLine="28"/>
              <w:jc w:val="center"/>
              <w:keepLines w:val="0"/>
              <w:keepNext w:val="0"/>
              <w:pageBreakBefore w:val="0"/>
              <w:spacing w:line="312" w:lineRule="auto"/>
              <w:rPr>
                <w:rFonts w:hint="eastAsia" w:ascii="宋体" w:hAnsi="宋体" w:eastAsiaTheme="minorEastAsia" w:cstheme="minorBidi"/>
                <w:b/>
                <w:bCs/>
                <w:szCs w:val="21"/>
                <w:highlight w:val="none"/>
                <w:lang w:val="en-US" w:eastAsia="zh-CN"/>
              </w:rPr>
            </w:pPr>
            <w:r>
              <w:rPr>
                <w:rFonts w:hint="eastAsia" w:ascii="宋体" w:hAnsi="宋体" w:cs="宋体"/>
                <w:b w:val="0"/>
                <w:bCs w:val="0"/>
                <w:sz w:val="21"/>
                <w:szCs w:val="21"/>
                <w:highlight w:val="none"/>
                <w:lang w:val="en-US" w:eastAsia="zh-CN"/>
              </w:rPr>
              <w:t xml:space="preserve">12分</w:t>
            </w:r>
            <w:r/>
          </w:p>
        </w:tc>
        <w:tc>
          <w:tcPr>
            <w:tcW w:w="5300" w:type="dxa"/>
            <w:vAlign w:val="center"/>
            <w:textDirection w:val="lrTb"/>
            <w:noWrap w:val="false"/>
          </w:tcPr>
          <w:p>
            <w:pPr>
              <w:jc w:val="left"/>
              <w:keepLines w:val="0"/>
              <w:keepNext w:val="0"/>
              <w:pageBreakBefore w:val="0"/>
              <w:spacing w:line="288" w:lineRule="auto"/>
              <w:widowControl w:val="off"/>
              <w:rPr>
                <w:rFonts w:hint="eastAsia" w:ascii="宋体" w:hAnsi="宋体" w:eastAsia="宋体" w:cs="宋体"/>
                <w:szCs w:val="21"/>
                <w:highlight w:val="none"/>
                <w:lang w:eastAsia="zh-CN"/>
              </w:rPr>
            </w:pPr>
            <w:r>
              <w:rPr>
                <w:rFonts w:hint="eastAsia" w:ascii="宋体" w:hAnsi="宋体" w:cs="宋体"/>
                <w:b w:val="0"/>
                <w:bCs w:val="0"/>
                <w:sz w:val="21"/>
                <w:szCs w:val="21"/>
                <w:highlight w:val="none"/>
                <w:lang w:val="en-US" w:eastAsia="zh-CN"/>
              </w:rPr>
              <w:t xml:space="preserve">根据供应商对本项目的总体设计方案 进行评分，包括但不限于以下内容：①项目背景分析、②项目需求分析、③项目整体设计、④总体技术路线、⑤项目实施规划、⑥方案设计依据等；根据以上内容进行综合评审，上述内容完整详细且满足采购文件及采购需求的得12分，每缺失一项内容扣2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w:t>
            </w:r>
            <w:r>
              <w:rPr>
                <w:rFonts w:hint="eastAsia" w:ascii="宋体" w:hAnsi="宋体" w:cs="宋体"/>
                <w:szCs w:val="21"/>
                <w:highlight w:val="none"/>
              </w:rPr>
              <w:t xml:space="preserve">他方案、内容阐述与实际情况不符、不利于项目实施、不可能实现的情形、存在与本项目无关的内容描述或内容过于简略、对本项目的理解不准确等）</w:t>
            </w:r>
            <w:r/>
          </w:p>
          <w:p>
            <w:pPr>
              <w:jc w:val="left"/>
              <w:keepLines w:val="0"/>
              <w:keepNext w:val="0"/>
              <w:pageBreakBefore w:val="0"/>
              <w:spacing w:line="288" w:lineRule="auto"/>
              <w:widowControl w:val="off"/>
              <w:rPr>
                <w:rFonts w:ascii="宋体" w:hAnsi="宋体" w:cs="宋体"/>
                <w:szCs w:val="21"/>
                <w:highlight w:val="none"/>
              </w:rPr>
            </w:pPr>
            <w:r>
              <w:rPr>
                <w:rFonts w:hint="eastAsia" w:ascii="宋体" w:hAnsi="宋体" w:cs="宋体"/>
                <w:b/>
                <w:bCs/>
                <w:szCs w:val="21"/>
                <w:highlight w:val="none"/>
              </w:rPr>
              <w:t xml:space="preserve">未提供方案不得分。</w:t>
            </w:r>
            <w:r/>
          </w:p>
        </w:tc>
        <w:tc>
          <w:tcPr>
            <w:tcW w:w="1855" w:type="dxa"/>
            <w:vAlign w:val="center"/>
            <w:textDirection w:val="lrTb"/>
            <w:noWrap w:val="false"/>
          </w:tcPr>
          <w:p>
            <w:pPr>
              <w:jc w:val="left"/>
              <w:keepLines w:val="0"/>
              <w:keepNext w:val="0"/>
              <w:pageBreakBefore w:val="0"/>
              <w:spacing w:line="288" w:lineRule="auto"/>
              <w:widowControl w:val="off"/>
              <w:rPr>
                <w:rFonts w:ascii="宋体" w:hAnsi="宋体" w:cs="宋体"/>
                <w:szCs w:val="21"/>
                <w:highlight w:val="none"/>
              </w:rPr>
            </w:pPr>
            <w:r>
              <w:rPr>
                <w:rFonts w:ascii="宋体" w:hAnsi="宋体" w:cs="宋体"/>
                <w:szCs w:val="21"/>
                <w:highlight w:val="none"/>
              </w:rPr>
            </w:r>
            <w:r/>
          </w:p>
        </w:tc>
      </w:tr>
      <w:tr>
        <w:trPr>
          <w:jc w:val="center"/>
          <w:trHeight w:val="23"/>
        </w:trPr>
        <w:tc>
          <w:tcPr>
            <w:tcW w:w="611"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lang w:val="en-US" w:eastAsia="zh-CN"/>
              </w:rPr>
              <w:t xml:space="preserve">2.2</w:t>
            </w:r>
            <w:r/>
          </w:p>
        </w:tc>
        <w:tc>
          <w:tcPr>
            <w:shd w:val="clear" w:color="auto" w:fill="auto"/>
            <w:tcW w:w="850" w:type="dxa"/>
            <w:vAlign w:val="center"/>
            <w:textDirection w:val="lrTb"/>
            <w:noWrap w:val="false"/>
          </w:tcPr>
          <w:p>
            <w:pPr>
              <w:ind w:firstLine="28"/>
              <w:jc w:val="center"/>
              <w:keepLines w:val="0"/>
              <w:keepNext w:val="0"/>
              <w:pageBreakBefore w:val="0"/>
              <w:spacing w:line="312" w:lineRule="auto"/>
              <w:rPr>
                <w:rFonts w:hint="eastAsia" w:ascii="宋体" w:hAnsi="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文物三维采集制作、建档服务方案</w:t>
            </w:r>
            <w:r/>
          </w:p>
        </w:tc>
        <w:tc>
          <w:tcPr>
            <w:shd w:val="clear" w:color="auto" w:fill="auto"/>
            <w:tcW w:w="738" w:type="dxa"/>
            <w:vAlign w:val="center"/>
            <w:textDirection w:val="lrTb"/>
            <w:noWrap w:val="false"/>
          </w:tcPr>
          <w:p>
            <w:pPr>
              <w:ind w:firstLine="28"/>
              <w:jc w:val="center"/>
              <w:keepLines w:val="0"/>
              <w:keepNext w:val="0"/>
              <w:pageBreakBefore w:val="0"/>
              <w:spacing w:line="312"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18分</w:t>
            </w:r>
            <w:r/>
          </w:p>
        </w:tc>
        <w:tc>
          <w:tcPr>
            <w:shd w:val="clear" w:color="auto" w:fill="auto"/>
            <w:tcW w:w="5300" w:type="dxa"/>
            <w:vAlign w:val="center"/>
            <w:textDirection w:val="lrTb"/>
            <w:noWrap w:val="false"/>
          </w:tcPr>
          <w:p>
            <w:pPr>
              <w:jc w:val="left"/>
              <w:keepLines w:val="0"/>
              <w:keepNext w:val="0"/>
              <w:pageBreakBefore w:val="0"/>
              <w:spacing w:line="288" w:lineRule="auto"/>
              <w:widowControl w:val="off"/>
              <w:rPr>
                <w:rFonts w:hint="eastAsia" w:ascii="宋体" w:hAnsi="宋体" w:cs="宋体"/>
                <w:highlight w:val="none"/>
              </w:rPr>
            </w:pPr>
            <w:r>
              <w:rPr>
                <w:rFonts w:hint="eastAsia" w:ascii="宋体" w:hAnsi="宋体" w:eastAsia="宋体" w:cs="宋体"/>
                <w:szCs w:val="21"/>
                <w:highlight w:val="none"/>
              </w:rPr>
              <w:t xml:space="preserve">根据供应商对本项目文物三维采集制作、建档服务方案进行</w:t>
            </w:r>
            <w:r>
              <w:rPr>
                <w:rFonts w:hint="eastAsia" w:ascii="宋体" w:hAnsi="宋体" w:cs="宋体"/>
                <w:szCs w:val="21"/>
                <w:highlight w:val="none"/>
              </w:rPr>
              <w:t xml:space="preserve">评分，包括：①数据采集加工流程、②数据采集实施方案、③数据加工处理方案、④数据质量检查方案、⑤数据成果提交方案、⑥数据入库与归档服务（数字资源管理信息化工具方案、文物数字资源入库服务方案、数字化采集归档技术服务方案）</w:t>
            </w:r>
            <w:r>
              <w:rPr>
                <w:rFonts w:hint="eastAsia" w:ascii="宋体" w:hAnsi="宋体" w:cs="宋体"/>
                <w:szCs w:val="21"/>
                <w:highlight w:val="none"/>
                <w:lang w:val="en-US" w:eastAsia="zh-CN"/>
              </w:rPr>
              <w:t xml:space="preserve">等；</w:t>
            </w:r>
            <w:r>
              <w:rPr>
                <w:rFonts w:hint="eastAsia" w:ascii="宋体" w:hAnsi="宋体" w:cs="宋体"/>
                <w:szCs w:val="21"/>
                <w:highlight w:val="none"/>
              </w:rPr>
              <w:t xml:space="preserve">根据以上内容进行综合评审，上述内容完整详细且满足采购文件及采购需求的得18分，每缺失一项内容扣3分，方案每有一处存在错误或瑕疵的扣</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b/>
                <w:bCs/>
                <w:szCs w:val="21"/>
                <w:highlight w:val="none"/>
              </w:rPr>
            </w:r>
            <w:r/>
          </w:p>
          <w:p>
            <w:pPr>
              <w:jc w:val="left"/>
              <w:keepLines w:val="0"/>
              <w:keepNext w:val="0"/>
              <w:pageBreakBefore w:val="0"/>
              <w:spacing w:line="288" w:lineRule="auto"/>
              <w:widowControl w:val="off"/>
              <w:rPr>
                <w:rFonts w:hint="eastAsia" w:ascii="宋体" w:hAnsi="宋体" w:cs="宋体"/>
                <w:b/>
                <w:bCs/>
                <w:highlight w:val="none"/>
              </w:rPr>
            </w:pPr>
            <w:r>
              <w:rPr>
                <w:rFonts w:hint="eastAsia" w:ascii="宋体" w:hAnsi="宋体" w:cs="宋体"/>
                <w:szCs w:val="21"/>
                <w:highlight w:val="none"/>
              </w:rPr>
            </w:r>
            <w:r>
              <w:rPr>
                <w:rFonts w:hint="eastAsia" w:ascii="宋体" w:hAnsi="宋体" w:cs="宋体"/>
                <w:b/>
                <w:bCs/>
                <w:szCs w:val="21"/>
                <w:highlight w:val="none"/>
              </w:rPr>
              <w:t xml:space="preserve">未提供方案不得分。</w:t>
            </w:r>
            <w:r/>
          </w:p>
        </w:tc>
        <w:tc>
          <w:tcPr>
            <w:tcW w:w="1855" w:type="dxa"/>
            <w:vAlign w:val="center"/>
            <w:textDirection w:val="lrTb"/>
            <w:noWrap w:val="false"/>
          </w:tcPr>
          <w:p>
            <w:pPr>
              <w:jc w:val="left"/>
              <w:keepLines w:val="0"/>
              <w:keepNext w:val="0"/>
              <w:pageBreakBefore w:val="0"/>
              <w:spacing w:line="288" w:lineRule="auto"/>
              <w:widowControl w:val="off"/>
              <w:rPr>
                <w:rFonts w:ascii="宋体" w:hAnsi="宋体" w:cs="宋体"/>
                <w:szCs w:val="21"/>
              </w:rPr>
            </w:pPr>
            <w:r>
              <w:rPr>
                <w:rFonts w:ascii="宋体" w:hAnsi="宋体" w:cs="宋体"/>
                <w:szCs w:val="21"/>
              </w:rPr>
            </w:r>
            <w:r/>
          </w:p>
        </w:tc>
      </w:tr>
      <w:tr>
        <w:trPr>
          <w:jc w:val="center"/>
          <w:trHeight w:val="23"/>
        </w:trPr>
        <w:tc>
          <w:tcPr>
            <w:tcW w:w="611"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s="宋体"/>
                <w:szCs w:val="21"/>
                <w:lang w:val="en-US" w:eastAsia="zh-CN"/>
              </w:rPr>
            </w:pPr>
            <w:r>
              <w:rPr>
                <w:rFonts w:hint="eastAsia" w:ascii="宋体" w:hAnsi="宋体" w:cs="宋体"/>
                <w:szCs w:val="21"/>
              </w:rPr>
              <w:t xml:space="preserve">2</w:t>
            </w:r>
            <w:r>
              <w:rPr>
                <w:rFonts w:hint="eastAsia" w:ascii="宋体" w:hAnsi="宋体" w:cs="宋体"/>
                <w:szCs w:val="21"/>
                <w:lang w:val="en-US" w:eastAsia="zh-CN"/>
              </w:rPr>
              <w:t xml:space="preserve">.3</w:t>
            </w:r>
            <w:r/>
          </w:p>
        </w:tc>
        <w:tc>
          <w:tcPr>
            <w:tcW w:w="850" w:type="dxa"/>
            <w:vAlign w:val="center"/>
            <w:textDirection w:val="lrTb"/>
            <w:noWrap w:val="false"/>
          </w:tcPr>
          <w:p>
            <w:pPr>
              <w:ind w:firstLine="28"/>
              <w:jc w:val="center"/>
              <w:keepLines w:val="0"/>
              <w:keepNext w:val="0"/>
              <w:pageBreakBefore w:val="0"/>
              <w:spacing w:line="312"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文物知识图谱展示应用服务方案</w:t>
            </w:r>
            <w:r/>
          </w:p>
        </w:tc>
        <w:tc>
          <w:tcPr>
            <w:tcW w:w="738" w:type="dxa"/>
            <w:vAlign w:val="center"/>
            <w:textDirection w:val="lrTb"/>
            <w:noWrap w:val="false"/>
          </w:tcPr>
          <w:p>
            <w:pPr>
              <w:ind w:firstLine="28"/>
              <w:jc w:val="center"/>
              <w:keepLines w:val="0"/>
              <w:keepNext w:val="0"/>
              <w:pageBreakBefore w:val="0"/>
              <w:spacing w:line="312"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15分</w:t>
            </w:r>
            <w:r/>
          </w:p>
        </w:tc>
        <w:tc>
          <w:tcPr>
            <w:tcW w:w="5300" w:type="dxa"/>
            <w:vAlign w:val="center"/>
            <w:textDirection w:val="lrTb"/>
            <w:noWrap w:val="false"/>
          </w:tcPr>
          <w:p>
            <w:pPr>
              <w:jc w:val="left"/>
              <w:keepLines w:val="0"/>
              <w:keepNext w:val="0"/>
              <w:pageBreakBefore w:val="0"/>
              <w:spacing w:line="288" w:lineRule="auto"/>
              <w:widowControl w:val="off"/>
              <w:rPr>
                <w:rFonts w:hint="eastAsia" w:ascii="宋体" w:hAnsi="宋体" w:cs="宋体"/>
                <w:highlight w:val="none"/>
              </w:rPr>
            </w:pPr>
            <w:r>
              <w:rPr>
                <w:rFonts w:hint="eastAsia" w:ascii="宋体" w:hAnsi="宋体" w:cs="宋体"/>
                <w:szCs w:val="21"/>
                <w:highlight w:val="none"/>
              </w:rPr>
              <w:t xml:space="preserve">根据供应商对本项目文物知识图谱应用展示服务方案进行评分，包括且不限于以下内容：</w:t>
            </w:r>
            <w:r>
              <w:rPr>
                <w:rFonts w:hint="eastAsia" w:ascii="宋体" w:hAnsi="宋体" w:cs="宋体"/>
                <w:color w:val="auto"/>
                <w:szCs w:val="21"/>
                <w:highlight w:val="none"/>
              </w:rPr>
              <w:t xml:space="preserve">①应用展示整体设计框架、②知识图谱展示功能详情、③技术及设计制作要点、④知识内容搜集及知识库建设方案、⑤知识图谱支撑管理工具方案等</w:t>
            </w:r>
            <w:r>
              <w:rPr>
                <w:rFonts w:hint="eastAsia" w:ascii="宋体" w:hAnsi="宋体" w:cs="宋体"/>
                <w:color w:val="auto"/>
                <w:szCs w:val="21"/>
                <w:highlight w:val="none"/>
                <w:lang w:eastAsia="zh-CN"/>
              </w:rPr>
              <w:t xml:space="preserve">；</w:t>
            </w:r>
            <w:r>
              <w:rPr>
                <w:rFonts w:hint="eastAsia" w:ascii="宋体" w:hAnsi="宋体" w:cs="宋体"/>
                <w:szCs w:val="21"/>
                <w:highlight w:val="none"/>
              </w:rPr>
              <w:t xml:space="preserve">根据以上内容进行综合评审，上述内容完整详细且满足采购文件及采购需求的得</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分，每缺失一项内容扣</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分，方案每有一处存在错误或瑕疵的扣</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highlight w:val="none"/>
              </w:rPr>
            </w:r>
            <w:r/>
          </w:p>
          <w:p>
            <w:pPr>
              <w:jc w:val="left"/>
              <w:keepLines w:val="0"/>
              <w:keepNext w:val="0"/>
              <w:pageBreakBefore w:val="0"/>
              <w:spacing w:line="288" w:lineRule="auto"/>
              <w:widowControl w:val="off"/>
              <w:rPr>
                <w:rFonts w:hint="eastAsia" w:ascii="宋体" w:hAnsi="宋体" w:cs="宋体"/>
                <w:highlight w:val="none"/>
              </w:rPr>
            </w:pPr>
            <w:r>
              <w:rPr>
                <w:rFonts w:hint="eastAsia" w:ascii="宋体" w:hAnsi="宋体" w:cs="宋体"/>
                <w:szCs w:val="21"/>
                <w:highlight w:val="none"/>
              </w:rPr>
            </w:r>
            <w:r>
              <w:rPr>
                <w:rFonts w:hint="eastAsia" w:ascii="宋体" w:hAnsi="宋体" w:cs="宋体"/>
                <w:b/>
                <w:bCs/>
                <w:szCs w:val="21"/>
                <w:highlight w:val="none"/>
              </w:rPr>
              <w:t xml:space="preserve">未提供方案不得分。</w:t>
            </w:r>
            <w:r/>
          </w:p>
        </w:tc>
        <w:tc>
          <w:tcPr>
            <w:tcW w:w="1855" w:type="dxa"/>
            <w:vAlign w:val="center"/>
            <w:textDirection w:val="lrTb"/>
            <w:noWrap w:val="false"/>
          </w:tcPr>
          <w:p>
            <w:pPr>
              <w:jc w:val="left"/>
              <w:keepLines w:val="0"/>
              <w:keepNext w:val="0"/>
              <w:pageBreakBefore w:val="0"/>
              <w:spacing w:line="288" w:lineRule="auto"/>
              <w:widowControl w:val="off"/>
              <w:rPr>
                <w:rFonts w:ascii="宋体" w:hAnsi="宋体" w:cs="宋体"/>
                <w:szCs w:val="21"/>
              </w:rPr>
            </w:pPr>
            <w:r>
              <w:rPr>
                <w:rFonts w:ascii="宋体" w:hAnsi="宋体" w:cs="宋体"/>
                <w:szCs w:val="21"/>
              </w:rPr>
            </w:r>
            <w:r/>
          </w:p>
        </w:tc>
      </w:tr>
      <w:tr>
        <w:trPr>
          <w:jc w:val="center"/>
          <w:trHeight w:val="23"/>
        </w:trPr>
        <w:tc>
          <w:tcPr>
            <w:tcW w:w="611" w:type="dxa"/>
            <w:vAlign w:val="center"/>
            <w:textDirection w:val="lrTb"/>
            <w:noWrap w:val="false"/>
          </w:tcPr>
          <w:p>
            <w:pPr>
              <w:jc w:val="center"/>
              <w:spacing w:line="360" w:lineRule="exact"/>
              <w:rPr>
                <w:rFonts w:hint="eastAsia" w:ascii="宋体" w:hAnsi="宋体" w:eastAsia="宋体" w:cs="宋体"/>
                <w:szCs w:val="21"/>
                <w:lang w:eastAsia="zh-CN"/>
              </w:rPr>
            </w:pPr>
            <w:r>
              <w:rPr>
                <w:rFonts w:hint="eastAsia" w:ascii="宋体" w:hAnsi="宋体" w:cs="宋体"/>
                <w:szCs w:val="21"/>
                <w:lang w:val="en-US" w:eastAsia="zh-CN"/>
              </w:rPr>
              <w:t xml:space="preserve">2.4</w:t>
            </w:r>
            <w:r/>
          </w:p>
        </w:tc>
        <w:tc>
          <w:tcPr>
            <w:tcW w:w="850" w:type="dxa"/>
            <w:vAlign w:val="center"/>
            <w:textDirection w:val="lrTb"/>
            <w:noWrap w:val="false"/>
          </w:tcPr>
          <w:p>
            <w:pPr>
              <w:ind w:firstLine="28"/>
              <w:jc w:val="center"/>
              <w:keepLines w:val="0"/>
              <w:keepNext w:val="0"/>
              <w:pageBreakBefore w:val="0"/>
              <w:spacing w:line="312"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馆藏精品文物数字化交互展示制作服务方案</w:t>
            </w:r>
            <w:r/>
          </w:p>
        </w:tc>
        <w:tc>
          <w:tcPr>
            <w:tcW w:w="738" w:type="dxa"/>
            <w:vAlign w:val="center"/>
            <w:textDirection w:val="lrTb"/>
            <w:noWrap w:val="false"/>
          </w:tcPr>
          <w:p>
            <w:pPr>
              <w:ind w:firstLine="28"/>
              <w:jc w:val="center"/>
              <w:keepLines w:val="0"/>
              <w:keepNext w:val="0"/>
              <w:pageBreakBefore w:val="0"/>
              <w:spacing w:line="312"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10分</w:t>
            </w:r>
            <w:r/>
          </w:p>
        </w:tc>
        <w:tc>
          <w:tcPr>
            <w:tcW w:w="5300" w:type="dxa"/>
            <w:vAlign w:val="center"/>
            <w:textDirection w:val="lrTb"/>
            <w:noWrap w:val="false"/>
          </w:tcPr>
          <w:p>
            <w:pPr>
              <w:jc w:val="left"/>
              <w:keepLines w:val="0"/>
              <w:keepNext w:val="0"/>
              <w:pageBreakBefore w:val="0"/>
              <w:spacing w:line="288" w:lineRule="auto"/>
              <w:widowControl w:val="off"/>
              <w:rPr>
                <w:rFonts w:hint="eastAsia" w:ascii="宋体" w:hAnsi="宋体" w:cs="宋体"/>
                <w:highlight w:val="none"/>
              </w:rPr>
            </w:pPr>
            <w:r>
              <w:rPr>
                <w:rFonts w:hint="eastAsia" w:ascii="宋体" w:hAnsi="宋体" w:cs="宋体"/>
                <w:szCs w:val="21"/>
                <w:highlight w:val="none"/>
              </w:rPr>
              <w:t xml:space="preserve">根据供应商对本项目馆藏精品文物数字化交互展示制作服务方案进行评分，包括：</w:t>
            </w:r>
            <w:r>
              <w:rPr>
                <w:rFonts w:hint="eastAsia" w:ascii="宋体" w:hAnsi="宋体" w:cs="宋体"/>
                <w:color w:val="auto"/>
                <w:szCs w:val="21"/>
                <w:highlight w:val="none"/>
              </w:rPr>
              <w:t xml:space="preserve">①文物资源资料搜集方案、②应用展示脚本设计策划方案、③界面及UI设计方案、④交互展示资源及内容管理方案、⑤江苏省“文物数字百宝箱”平台对接展示方案等</w:t>
            </w:r>
            <w:r>
              <w:rPr>
                <w:rFonts w:hint="eastAsia" w:ascii="宋体" w:hAnsi="宋体" w:cs="宋体"/>
                <w:szCs w:val="21"/>
                <w:highlight w:val="none"/>
                <w:lang w:eastAsia="zh-CN"/>
              </w:rPr>
              <w:t xml:space="preserve">；</w:t>
            </w:r>
            <w:r>
              <w:rPr>
                <w:rFonts w:hint="eastAsia" w:ascii="宋体" w:hAnsi="宋体" w:cs="宋体"/>
                <w:szCs w:val="21"/>
                <w:highlight w:val="none"/>
              </w:rPr>
              <w:t xml:space="preserve">根据以上内容进行综合评审，上述内容完整详细且满足采购文件及采购需求的得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分，每缺失一项内容扣</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分，方案每有一处存在错误或瑕疵的扣</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highlight w:val="none"/>
              </w:rPr>
            </w:r>
            <w:r/>
          </w:p>
          <w:p>
            <w:pPr>
              <w:jc w:val="left"/>
              <w:keepLines w:val="0"/>
              <w:keepNext w:val="0"/>
              <w:pageBreakBefore w:val="0"/>
              <w:spacing w:line="288" w:lineRule="auto"/>
              <w:widowControl w:val="off"/>
              <w:rPr>
                <w:rFonts w:hint="eastAsia" w:ascii="宋体" w:hAnsi="宋体" w:cs="宋体"/>
                <w:highlight w:val="none"/>
              </w:rPr>
            </w:pPr>
            <w:r>
              <w:rPr>
                <w:rFonts w:hint="eastAsia" w:ascii="宋体" w:hAnsi="宋体" w:cs="宋体"/>
                <w:szCs w:val="21"/>
                <w:highlight w:val="none"/>
              </w:rPr>
            </w:r>
            <w:r>
              <w:rPr>
                <w:rFonts w:hint="eastAsia" w:ascii="宋体" w:hAnsi="宋体" w:cs="宋体"/>
                <w:b/>
                <w:bCs/>
                <w:szCs w:val="21"/>
                <w:highlight w:val="none"/>
              </w:rPr>
              <w:t xml:space="preserve">未提供方案不得分。</w:t>
            </w:r>
            <w:r/>
          </w:p>
        </w:tc>
        <w:tc>
          <w:tcPr>
            <w:tcW w:w="1855" w:type="dxa"/>
            <w:vAlign w:val="center"/>
            <w:textDirection w:val="lrTb"/>
            <w:noWrap w:val="false"/>
          </w:tcPr>
          <w:p>
            <w:pPr>
              <w:jc w:val="left"/>
              <w:keepLines w:val="0"/>
              <w:keepNext w:val="0"/>
              <w:pageBreakBefore w:val="0"/>
              <w:spacing w:line="288" w:lineRule="auto"/>
              <w:widowControl w:val="off"/>
              <w:rPr>
                <w:rFonts w:ascii="宋体" w:hAnsi="宋体" w:cs="宋体"/>
                <w:szCs w:val="21"/>
              </w:rPr>
            </w:pPr>
            <w:r>
              <w:rPr>
                <w:rFonts w:ascii="宋体" w:hAnsi="宋体" w:cs="宋体"/>
                <w:szCs w:val="21"/>
              </w:rPr>
            </w:r>
            <w:r/>
          </w:p>
        </w:tc>
      </w:tr>
      <w:tr>
        <w:trPr>
          <w:jc w:val="center"/>
          <w:trHeight w:val="23"/>
        </w:trPr>
        <w:tc>
          <w:tcPr>
            <w:tcW w:w="611"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3</w:t>
            </w:r>
            <w:r/>
          </w:p>
        </w:tc>
        <w:tc>
          <w:tcPr>
            <w:tcW w:w="850"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rPr>
              <w:t xml:space="preserve">客观分</w:t>
            </w:r>
            <w:r/>
          </w:p>
        </w:tc>
        <w:tc>
          <w:tcPr>
            <w:tcW w:w="738"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highlight w:val="none"/>
              </w:rPr>
            </w:pPr>
            <w:r>
              <w:rPr>
                <w:rFonts w:hint="eastAsia" w:ascii="宋体" w:hAnsi="宋体" w:eastAsiaTheme="minorEastAsia" w:cstheme="minorBidi"/>
                <w:b/>
                <w:bCs/>
                <w:szCs w:val="21"/>
                <w:highlight w:val="none"/>
                <w:lang w:val="en-US" w:eastAsia="zh-CN"/>
              </w:rPr>
              <w:t xml:space="preserve">35</w:t>
            </w:r>
            <w:r>
              <w:rPr>
                <w:rFonts w:hint="eastAsia" w:ascii="宋体" w:hAnsi="宋体" w:eastAsiaTheme="minorEastAsia" w:cstheme="minorBidi"/>
                <w:b/>
                <w:bCs/>
                <w:szCs w:val="21"/>
                <w:highlight w:val="none"/>
              </w:rPr>
              <w:t xml:space="preserve">分</w:t>
            </w:r>
            <w:r/>
          </w:p>
        </w:tc>
        <w:tc>
          <w:tcPr>
            <w:tcW w:w="5300" w:type="dxa"/>
            <w:vAlign w:val="center"/>
            <w:textDirection w:val="lrTb"/>
            <w:noWrap w:val="false"/>
          </w:tcPr>
          <w:p>
            <w:pPr>
              <w:jc w:val="center"/>
              <w:keepLines w:val="0"/>
              <w:keepNext w:val="0"/>
              <w:pageBreakBefore w:val="0"/>
              <w:spacing w:line="288" w:lineRule="auto"/>
              <w:widowControl w:val="off"/>
              <w:rPr>
                <w:rFonts w:ascii="宋体" w:hAnsi="宋体" w:eastAsiaTheme="minorEastAsia" w:cstheme="minorBidi"/>
                <w:b/>
                <w:bCs/>
                <w:szCs w:val="21"/>
              </w:rPr>
            </w:pPr>
            <w:r>
              <w:rPr>
                <w:rFonts w:ascii="宋体" w:hAnsi="宋体" w:eastAsiaTheme="minorEastAsia" w:cstheme="minorBidi"/>
                <w:b/>
                <w:bCs/>
                <w:szCs w:val="21"/>
              </w:rPr>
            </w:r>
            <w:r/>
          </w:p>
        </w:tc>
        <w:tc>
          <w:tcPr>
            <w:tcW w:w="1855" w:type="dxa"/>
            <w:vAlign w:val="center"/>
            <w:textDirection w:val="lrTb"/>
            <w:noWrap w:val="false"/>
          </w:tcPr>
          <w:p>
            <w:pPr>
              <w:jc w:val="left"/>
              <w:keepLines w:val="0"/>
              <w:keepNext w:val="0"/>
              <w:pageBreakBefore w:val="0"/>
              <w:spacing w:line="288" w:lineRule="auto"/>
              <w:widowControl w:val="off"/>
              <w:rPr>
                <w:rFonts w:ascii="宋体" w:hAnsi="宋体" w:cs="宋体"/>
                <w:szCs w:val="21"/>
              </w:rPr>
            </w:pPr>
            <w:r>
              <w:rPr>
                <w:rFonts w:ascii="宋体" w:hAnsi="宋体" w:cs="宋体"/>
                <w:szCs w:val="21"/>
              </w:rPr>
            </w:r>
            <w:r/>
          </w:p>
        </w:tc>
      </w:tr>
      <w:tr>
        <w:trPr>
          <w:jc w:val="center"/>
          <w:trHeight w:val="23"/>
        </w:trPr>
        <w:tc>
          <w:tcPr>
            <w:tcW w:w="61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Cs w:val="21"/>
              </w:rPr>
            </w:pPr>
            <w:r>
              <w:rPr>
                <w:rFonts w:hint="eastAsia" w:ascii="宋体" w:hAnsi="宋体" w:eastAsia="宋体" w:cs="宋体"/>
                <w:szCs w:val="21"/>
              </w:rPr>
              <w:t xml:space="preserve">3.1</w:t>
            </w:r>
            <w:r/>
          </w:p>
        </w:tc>
        <w:tc>
          <w:tcPr>
            <w:tcW w:w="85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业绩</w:t>
            </w:r>
            <w:r/>
          </w:p>
        </w:tc>
        <w:tc>
          <w:tcPr>
            <w:tcW w:w="73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Cs w:val="21"/>
                <w:highlight w:val="none"/>
              </w:rPr>
            </w:pPr>
            <w:r>
              <w:rPr>
                <w:rFonts w:hint="eastAsia" w:ascii="宋体" w:hAnsi="宋体" w:cs="宋体"/>
                <w:szCs w:val="21"/>
                <w:highlight w:val="none"/>
                <w:lang w:val="en-US" w:eastAsia="zh-CN"/>
              </w:rPr>
              <w:t xml:space="preserve">12</w:t>
            </w:r>
            <w:r>
              <w:rPr>
                <w:rFonts w:hint="eastAsia" w:ascii="宋体" w:hAnsi="宋体" w:eastAsia="宋体" w:cs="宋体"/>
                <w:szCs w:val="21"/>
                <w:highlight w:val="none"/>
              </w:rPr>
              <w:t xml:space="preserve">分</w:t>
            </w:r>
            <w:r/>
          </w:p>
        </w:tc>
        <w:tc>
          <w:tcPr>
            <w:tcW w:w="5300" w:type="dxa"/>
            <w:vAlign w:val="center"/>
            <w:textDirection w:val="lrTb"/>
            <w:noWrap w:val="false"/>
          </w:tcPr>
          <w:p>
            <w:pPr>
              <w:keepLines w:val="0"/>
              <w:keepNext w:val="0"/>
              <w:pageBreakBefore w:val="0"/>
              <w:spacing w:line="288" w:lineRule="auto"/>
              <w:widowControl w:val="off"/>
              <w:rPr>
                <w:rFonts w:hint="eastAsia" w:ascii="宋体" w:hAnsi="宋体" w:eastAsia="宋体" w:cs="宋体"/>
                <w:szCs w:val="21"/>
                <w:lang w:eastAsia="zh-CN"/>
              </w:rPr>
            </w:pPr>
            <w:r>
              <w:rPr>
                <w:rFonts w:hint="eastAsia" w:ascii="宋体" w:hAnsi="宋体" w:eastAsia="宋体" w:cs="宋体"/>
                <w:szCs w:val="21"/>
              </w:rPr>
              <w:t xml:space="preserve">供应商自</w:t>
            </w:r>
            <w:r>
              <w:rPr>
                <w:rFonts w:hint="eastAsia" w:ascii="宋体" w:hAnsi="宋体" w:cs="宋体"/>
                <w:szCs w:val="21"/>
                <w:lang w:val="en-US" w:eastAsia="zh-CN"/>
              </w:rPr>
              <w:t xml:space="preserve">2023</w:t>
            </w:r>
            <w:r>
              <w:rPr>
                <w:rFonts w:hint="eastAsia" w:ascii="宋体" w:hAnsi="宋体" w:eastAsia="宋体" w:cs="宋体"/>
                <w:szCs w:val="21"/>
              </w:rPr>
              <w:t xml:space="preserve">年</w:t>
            </w:r>
            <w:r>
              <w:rPr>
                <w:rFonts w:hint="eastAsia" w:ascii="宋体" w:hAnsi="宋体" w:cs="宋体"/>
                <w:szCs w:val="21"/>
                <w:lang w:val="en-US" w:eastAsia="zh-CN"/>
              </w:rPr>
              <w:t xml:space="preserve">6</w:t>
            </w:r>
            <w:r>
              <w:rPr>
                <w:rFonts w:hint="eastAsia" w:ascii="宋体" w:hAnsi="宋体" w:eastAsia="宋体" w:cs="宋体"/>
                <w:szCs w:val="21"/>
              </w:rPr>
              <w:t xml:space="preserve">月1日（以合同签订时间为准）至今有类似项目</w:t>
            </w:r>
            <w:r>
              <w:rPr>
                <w:rFonts w:hint="eastAsia" w:ascii="宋体" w:hAnsi="宋体" w:cs="宋体"/>
                <w:szCs w:val="21"/>
                <w:lang w:val="en-US" w:eastAsia="zh-CN"/>
              </w:rPr>
              <w:t xml:space="preserve">服务业绩</w:t>
            </w:r>
            <w:r>
              <w:rPr>
                <w:rFonts w:hint="eastAsia" w:ascii="宋体" w:hAnsi="宋体" w:eastAsia="宋体" w:cs="宋体"/>
                <w:szCs w:val="21"/>
              </w:rPr>
              <w:t xml:space="preserve">的</w:t>
            </w:r>
            <w:r>
              <w:rPr>
                <w:rFonts w:hint="eastAsia" w:ascii="宋体" w:hAnsi="宋体" w:cs="宋体"/>
                <w:szCs w:val="21"/>
                <w:lang w:eastAsia="zh-CN"/>
              </w:rPr>
              <w:t xml:space="preserve">，</w:t>
            </w:r>
            <w:r>
              <w:rPr>
                <w:rFonts w:hint="eastAsia" w:ascii="宋体" w:hAnsi="宋体" w:cs="宋体"/>
                <w:szCs w:val="21"/>
              </w:rPr>
              <w:t xml:space="preserve">每提供一份得</w:t>
            </w:r>
            <w:r>
              <w:rPr>
                <w:rFonts w:hint="eastAsia" w:ascii="宋体" w:hAnsi="宋体" w:cs="宋体"/>
                <w:szCs w:val="21"/>
                <w:lang w:val="en-US" w:eastAsia="zh-CN"/>
              </w:rPr>
              <w:t xml:space="preserve">4</w:t>
            </w:r>
            <w:r>
              <w:rPr>
                <w:rFonts w:hint="eastAsia" w:ascii="宋体" w:hAnsi="宋体" w:cs="宋体"/>
                <w:szCs w:val="21"/>
              </w:rPr>
              <w:t xml:space="preserve">分，最高得</w:t>
            </w:r>
            <w:r>
              <w:rPr>
                <w:rFonts w:hint="eastAsia" w:ascii="宋体" w:hAnsi="宋体" w:cs="宋体"/>
                <w:szCs w:val="21"/>
                <w:lang w:val="en-US" w:eastAsia="zh-CN"/>
              </w:rPr>
              <w:t xml:space="preserve">12</w:t>
            </w:r>
            <w:r>
              <w:rPr>
                <w:rFonts w:hint="eastAsia" w:ascii="宋体" w:hAnsi="宋体" w:cs="宋体"/>
                <w:szCs w:val="21"/>
              </w:rPr>
              <w:t xml:space="preserve">分。</w:t>
            </w:r>
            <w:r/>
          </w:p>
        </w:tc>
        <w:tc>
          <w:tcPr>
            <w:tcW w:w="1855" w:type="dxa"/>
            <w:vAlign w:val="center"/>
            <w:textDirection w:val="lrTb"/>
            <w:noWrap w:val="false"/>
          </w:tcPr>
          <w:p>
            <w:pPr>
              <w:jc w:val="left"/>
              <w:keepLines w:val="0"/>
              <w:keepNext w:val="0"/>
              <w:pageBreakBefore w:val="0"/>
              <w:spacing w:line="288" w:lineRule="auto"/>
              <w:widowControl w:val="off"/>
              <w:rPr>
                <w:rFonts w:hint="eastAsia" w:ascii="宋体" w:hAnsi="宋体" w:eastAsia="宋体" w:cs="宋体"/>
                <w:b/>
                <w:bCs/>
              </w:rPr>
            </w:pPr>
            <w:r>
              <w:rPr>
                <w:rFonts w:hint="eastAsia" w:ascii="宋体" w:hAnsi="宋体" w:eastAsia="宋体" w:cs="宋体"/>
                <w:b/>
                <w:bCs/>
              </w:rPr>
              <w:t xml:space="preserve">响应文件内提供合同复印件并加盖公章，未提供不得分。</w:t>
            </w:r>
            <w:r/>
          </w:p>
        </w:tc>
      </w:tr>
      <w:tr>
        <w:trPr>
          <w:jc w:val="center"/>
          <w:trHeight w:val="23"/>
        </w:trPr>
        <w:tc>
          <w:tcPr>
            <w:shd w:val="clear" w:color="auto" w:fill="auto"/>
            <w:tcW w:w="61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3.</w:t>
            </w:r>
            <w:r>
              <w:rPr>
                <w:rFonts w:hint="eastAsia" w:ascii="宋体" w:hAnsi="宋体" w:cs="宋体"/>
                <w:szCs w:val="21"/>
                <w:lang w:val="en-US" w:eastAsia="zh-CN"/>
              </w:rPr>
              <w:t xml:space="preserve">2</w:t>
            </w:r>
            <w:r/>
          </w:p>
        </w:tc>
        <w:tc>
          <w:tcPr>
            <w:shd w:val="clear" w:color="auto" w:fill="auto"/>
            <w:tcW w:w="85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r>
            <w:r/>
          </w:p>
          <w:p>
            <w:pPr>
              <w:jc w:val="center"/>
              <w:keepLines w:val="0"/>
              <w:keepNext w:val="0"/>
              <w:pageBreakBefore w:val="0"/>
              <w:spacing w:line="288"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本项目拟投入</w:t>
            </w:r>
            <w:r>
              <w:rPr>
                <w:rFonts w:hint="eastAsia" w:ascii="宋体" w:hAnsi="宋体" w:eastAsia="宋体" w:cs="宋体"/>
                <w:szCs w:val="21"/>
                <w:highlight w:val="none"/>
                <w:lang w:eastAsia="zh-CN"/>
              </w:rPr>
              <w:t xml:space="preserve">人员</w:t>
            </w:r>
            <w:r/>
          </w:p>
          <w:p>
            <w:pPr>
              <w:jc w:val="center"/>
              <w:keepLines w:val="0"/>
              <w:keepNext w:val="0"/>
              <w:pageBreakBefore w:val="0"/>
              <w:spacing w:line="288"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r>
            <w:r/>
          </w:p>
        </w:tc>
        <w:tc>
          <w:tcPr>
            <w:shd w:val="clear" w:color="auto" w:fill="auto"/>
            <w:tcW w:w="73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18</w:t>
            </w:r>
            <w:r>
              <w:rPr>
                <w:rFonts w:hint="eastAsia" w:ascii="宋体" w:hAnsi="宋体" w:eastAsia="宋体" w:cs="宋体"/>
                <w:szCs w:val="21"/>
                <w:highlight w:val="none"/>
                <w:lang w:val="en-US" w:eastAsia="zh-CN"/>
              </w:rPr>
              <w:t xml:space="preserve">分</w:t>
            </w:r>
            <w:r/>
          </w:p>
        </w:tc>
        <w:tc>
          <w:tcPr>
            <w:tcW w:w="5300" w:type="dxa"/>
            <w:vAlign w:val="center"/>
            <w:textDirection w:val="lrTb"/>
            <w:noWrap w:val="false"/>
          </w:tcPr>
          <w:p>
            <w:pPr>
              <w:numPr>
                <w:ilvl w:val="0"/>
                <w:numId w:val="13"/>
              </w:numPr>
              <w:spacing w:line="288" w:lineRule="auto"/>
              <w:rPr>
                <w:rFonts w:hint="eastAsia" w:ascii="宋体" w:hAnsi="宋体" w:cs="宋体"/>
                <w:szCs w:val="21"/>
              </w:rPr>
            </w:pPr>
            <w:r>
              <w:rPr>
                <w:rFonts w:hint="eastAsia" w:ascii="宋体" w:hAnsi="宋体" w:cs="宋体"/>
                <w:szCs w:val="21"/>
              </w:rPr>
              <w:t xml:space="preserve">拟派</w:t>
            </w:r>
            <w:r>
              <w:rPr>
                <w:rFonts w:hint="eastAsia" w:ascii="宋体" w:hAnsi="宋体" w:cs="宋体"/>
                <w:b/>
                <w:bCs/>
                <w:szCs w:val="21"/>
              </w:rPr>
              <w:t xml:space="preserve">项目负责人</w:t>
            </w:r>
            <w:r>
              <w:rPr>
                <w:rFonts w:hint="eastAsia" w:ascii="宋体" w:hAnsi="宋体" w:cs="宋体"/>
                <w:szCs w:val="21"/>
              </w:rPr>
              <w:t xml:space="preserve">所学专业为计算机、软件工程、大数据、数字媒体、信息系统等数字化相关专业（人工智能、地理信息、物联网等数字化相近专业经评标委员会认定视同有效，提供毕业证、学位证或相关职称、技能证书佐证）得2分；持有各级档案主管部门、档案行业权威机构颁发且在有效期内的档案管理、档案数字化上岗培训合格证书得2分；持有人社部门评审文物博物系列</w:t>
            </w:r>
            <w:r>
              <w:rPr>
                <w:rFonts w:hint="eastAsia" w:ascii="宋体" w:hAnsi="宋体" w:cs="宋体"/>
                <w:szCs w:val="21"/>
                <w:lang w:val="en-US" w:eastAsia="zh-CN"/>
              </w:rPr>
              <w:t xml:space="preserve">助理</w:t>
            </w:r>
            <w:r>
              <w:rPr>
                <w:rFonts w:hint="eastAsia" w:ascii="宋体" w:hAnsi="宋体" w:cs="宋体"/>
                <w:szCs w:val="21"/>
              </w:rPr>
              <w:t xml:space="preserve">馆员及以上职称证书得2分；本项最高得6分； </w:t>
            </w:r>
            <w:r/>
          </w:p>
          <w:p>
            <w:pPr>
              <w:numPr>
                <w:ilvl w:val="0"/>
                <w:numId w:val="13"/>
              </w:numPr>
              <w:spacing w:line="288" w:lineRule="auto"/>
              <w:rPr>
                <w:rFonts w:hint="eastAsia" w:ascii="宋体" w:hAnsi="宋体" w:cs="宋体"/>
                <w:szCs w:val="21"/>
              </w:rPr>
            </w:pPr>
            <w:r>
              <w:rPr>
                <w:rFonts w:hint="eastAsia" w:ascii="宋体" w:hAnsi="宋体" w:cs="宋体"/>
                <w:szCs w:val="21"/>
              </w:rPr>
              <w:t xml:space="preserve">拟投入本项目团队成员持有各级档案主管部门、档案行业权威机构颁发的档案管理、档案数字化上岗培训合格证书的，得2分，本项最高得4 分； </w:t>
            </w:r>
            <w:r/>
          </w:p>
          <w:p>
            <w:pPr>
              <w:jc w:val="left"/>
              <w:spacing w:line="288" w:lineRule="auto"/>
              <w:rPr>
                <w:rFonts w:hint="eastAsia" w:ascii="宋体" w:hAnsi="宋体" w:cs="宋体"/>
                <w:szCs w:val="21"/>
              </w:rPr>
            </w:pPr>
            <w:r>
              <w:rPr>
                <w:rFonts w:hint="eastAsia" w:ascii="宋体" w:hAnsi="宋体" w:cs="宋体"/>
                <w:szCs w:val="21"/>
              </w:rPr>
              <w:t xml:space="preserve">3、拟投入本项目团队成员持有人社部门评审的文物博物系列专业技术职称证书（</w:t>
            </w:r>
            <w:r>
              <w:rPr>
                <w:rFonts w:hint="eastAsia" w:ascii="宋体" w:hAnsi="宋体" w:cs="宋体"/>
                <w:szCs w:val="21"/>
                <w:lang w:val="en-US" w:eastAsia="zh-CN"/>
              </w:rPr>
              <w:t xml:space="preserve">助理</w:t>
            </w:r>
            <w:r>
              <w:rPr>
                <w:rFonts w:hint="eastAsia" w:ascii="宋体" w:hAnsi="宋体" w:cs="宋体"/>
                <w:szCs w:val="21"/>
              </w:rPr>
              <w:t xml:space="preserve">馆员及以上）或文旅文物主管部门颁发文物数字化、文物保护相关专业技术资格证书，每提供一名符合要求人员得2分，本项最高得4分；</w:t>
            </w:r>
            <w:r/>
          </w:p>
          <w:p>
            <w:pPr>
              <w:jc w:val="left"/>
              <w:keepLines w:val="0"/>
              <w:keepNext w:val="0"/>
              <w:pageBreakBefore w:val="0"/>
              <w:spacing w:line="288" w:lineRule="auto"/>
              <w:widowControl w:val="off"/>
              <w:rPr>
                <w:rFonts w:hint="default"/>
                <w:lang w:val="en-US" w:eastAsia="zh-CN"/>
              </w:rPr>
            </w:pPr>
            <w:r>
              <w:rPr>
                <w:rFonts w:hint="eastAsia" w:ascii="宋体" w:hAnsi="宋体" w:cs="宋体"/>
                <w:szCs w:val="21"/>
              </w:rPr>
              <w:t xml:space="preserve">4、拟投入本项目团队成员持有有效 PMP 项目管理认证，或持有国家人社、工信部颁发系统集成项目管理工程师 、信息系统项目管理师证书，每提供一名符合要求人员得2分，本项最高得4分。</w:t>
            </w:r>
            <w:r/>
          </w:p>
        </w:tc>
        <w:tc>
          <w:tcPr>
            <w:tcW w:w="185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t xml:space="preserve">提供</w:t>
            </w:r>
            <w:r>
              <w:rPr>
                <w:rFonts w:hint="eastAsia" w:ascii="宋体" w:hAnsi="宋体" w:cs="宋体"/>
                <w:b/>
                <w:bCs/>
                <w:color w:val="000000"/>
                <w:sz w:val="21"/>
                <w:szCs w:val="21"/>
                <w:lang w:val="en-US" w:eastAsia="zh-CN" w:bidi="ar"/>
              </w:rPr>
              <w:t xml:space="preserve">相关证明、</w:t>
            </w:r>
            <w:r>
              <w:rPr>
                <w:rFonts w:hint="eastAsia" w:ascii="宋体" w:hAnsi="宋体" w:eastAsia="宋体" w:cs="宋体"/>
                <w:b/>
                <w:bCs/>
                <w:color w:val="000000"/>
                <w:sz w:val="21"/>
                <w:szCs w:val="21"/>
                <w:lang w:val="en-US" w:eastAsia="zh-CN" w:bidi="ar"/>
              </w:rPr>
              <w:t xml:space="preserve">证书和社保证明</w:t>
            </w:r>
            <w:r>
              <w:rPr>
                <w:rFonts w:hint="eastAsia" w:ascii="宋体" w:hAnsi="宋体" w:cs="宋体"/>
                <w:b/>
                <w:bCs/>
                <w:color w:val="000000"/>
                <w:sz w:val="21"/>
                <w:szCs w:val="21"/>
                <w:lang w:val="en-US" w:eastAsia="zh-CN" w:bidi="ar"/>
              </w:rPr>
              <w:t xml:space="preserve">（</w:t>
            </w:r>
            <w:r>
              <w:rPr>
                <w:rFonts w:hint="eastAsia" w:ascii="宋体" w:hAnsi="宋体" w:eastAsia="宋体" w:cs="宋体"/>
                <w:b/>
                <w:bCs/>
                <w:color w:val="000000"/>
                <w:sz w:val="21"/>
                <w:szCs w:val="21"/>
                <w:lang w:val="en-US" w:eastAsia="zh-CN" w:bidi="ar"/>
              </w:rPr>
              <w:t xml:space="preserve">由社保机构出具的</w:t>
            </w:r>
            <w:r>
              <w:rPr>
                <w:rFonts w:hint="eastAsia" w:ascii="宋体" w:hAnsi="宋体" w:cs="宋体"/>
                <w:b/>
                <w:bCs/>
                <w:color w:val="000000"/>
                <w:sz w:val="21"/>
                <w:szCs w:val="21"/>
                <w:lang w:val="en-US" w:eastAsia="zh-CN" w:bidi="ar"/>
              </w:rPr>
              <w:t xml:space="preserve">供应商</w:t>
            </w:r>
            <w:r>
              <w:rPr>
                <w:rFonts w:hint="eastAsia" w:ascii="宋体" w:hAnsi="宋体" w:eastAsia="宋体" w:cs="宋体"/>
                <w:b/>
                <w:bCs/>
                <w:color w:val="000000"/>
                <w:sz w:val="21"/>
                <w:szCs w:val="21"/>
                <w:lang w:val="en-US" w:eastAsia="zh-CN" w:bidi="ar"/>
              </w:rPr>
              <w:t xml:space="preserve">为其缴纳的近三个月</w:t>
            </w:r>
            <w:r>
              <w:rPr>
                <w:rFonts w:hint="eastAsia" w:ascii="宋体" w:hAnsi="宋体" w:cs="宋体"/>
                <w:b/>
                <w:bCs/>
                <w:color w:val="000000"/>
                <w:sz w:val="21"/>
                <w:szCs w:val="21"/>
                <w:lang w:val="en-US" w:eastAsia="zh-CN" w:bidi="ar"/>
              </w:rPr>
              <w:t xml:space="preserve">中任一月份</w:t>
            </w:r>
            <w:r>
              <w:rPr>
                <w:rFonts w:hint="eastAsia" w:ascii="宋体" w:hAnsi="宋体" w:eastAsia="宋体" w:cs="宋体"/>
                <w:b/>
                <w:bCs/>
                <w:color w:val="000000"/>
                <w:sz w:val="21"/>
                <w:szCs w:val="21"/>
                <w:lang w:val="en-US" w:eastAsia="zh-CN" w:bidi="ar"/>
              </w:rPr>
              <w:t xml:space="preserve">社会保险的凭证</w:t>
            </w:r>
            <w:r>
              <w:rPr>
                <w:rFonts w:hint="eastAsia" w:ascii="宋体" w:hAnsi="宋体" w:cs="宋体"/>
                <w:b/>
                <w:bCs/>
                <w:color w:val="000000"/>
                <w:sz w:val="21"/>
                <w:szCs w:val="21"/>
                <w:lang w:val="en-US" w:eastAsia="zh-CN" w:bidi="ar"/>
              </w:rPr>
              <w:t xml:space="preserve">）加盖公章。</w:t>
            </w:r>
            <w:r/>
          </w:p>
          <w:p>
            <w:pPr>
              <w:jc w:val="left"/>
              <w:keepLines w:val="0"/>
              <w:keepNext w:val="0"/>
              <w:pageBreakBefore w:val="0"/>
              <w:spacing w:line="288" w:lineRule="auto"/>
              <w:widowControl w:val="off"/>
              <w:rPr>
                <w:rFonts w:hint="eastAsia" w:ascii="宋体" w:hAnsi="宋体" w:eastAsia="宋体" w:cs="宋体"/>
                <w:b/>
                <w:bCs/>
              </w:rPr>
            </w:pPr>
            <w:r>
              <w:rPr>
                <w:rFonts w:hint="eastAsia" w:ascii="宋体" w:hAnsi="宋体" w:cs="宋体"/>
                <w:b/>
                <w:bCs/>
                <w:color w:val="000000"/>
                <w:sz w:val="21"/>
                <w:szCs w:val="21"/>
                <w:lang w:val="en-US" w:eastAsia="zh-CN" w:bidi="ar"/>
              </w:rPr>
              <w:t xml:space="preserve">同一人的不同证件不可重复得分。</w:t>
            </w:r>
            <w:r/>
          </w:p>
        </w:tc>
      </w:tr>
      <w:tr>
        <w:trPr>
          <w:jc w:val="center"/>
          <w:trHeight w:val="23"/>
        </w:trPr>
        <w:tc>
          <w:tcPr>
            <w:shd w:val="clear" w:color="auto" w:fill="auto"/>
            <w:tcW w:w="611"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s="宋体"/>
                <w:szCs w:val="21"/>
                <w:lang w:val="en-US" w:eastAsia="zh-CN"/>
              </w:rPr>
            </w:pPr>
            <w:r>
              <w:rPr>
                <w:rFonts w:hint="eastAsia" w:ascii="宋体" w:hAnsi="宋体" w:cs="宋体"/>
                <w:szCs w:val="21"/>
                <w:lang w:val="en-US" w:eastAsia="zh-CN"/>
              </w:rPr>
              <w:t xml:space="preserve">3.3</w:t>
            </w:r>
            <w:r/>
          </w:p>
        </w:tc>
        <w:tc>
          <w:tcPr>
            <w:shd w:val="clear" w:color="auto" w:fill="auto"/>
            <w:tcW w:w="850" w:type="dxa"/>
            <w:vAlign w:val="center"/>
            <w:textDirection w:val="lrTb"/>
            <w:noWrap w:val="false"/>
          </w:tcPr>
          <w:p>
            <w:pPr>
              <w:jc w:val="center"/>
              <w:spacing w:line="36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配备实施工具</w:t>
            </w:r>
            <w:r/>
          </w:p>
        </w:tc>
        <w:tc>
          <w:tcPr>
            <w:shd w:val="clear" w:color="auto" w:fill="auto"/>
            <w:tcW w:w="738" w:type="dxa"/>
            <w:vAlign w:val="center"/>
            <w:textDirection w:val="lrTb"/>
            <w:noWrap w:val="false"/>
          </w:tcPr>
          <w:p>
            <w:pPr>
              <w:jc w:val="center"/>
              <w:spacing w:line="360" w:lineRule="exac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5分</w:t>
            </w:r>
            <w:r/>
          </w:p>
        </w:tc>
        <w:tc>
          <w:tcPr>
            <w:tcW w:w="5300" w:type="dxa"/>
            <w:vAlign w:val="center"/>
            <w:textDirection w:val="lrTb"/>
            <w:noWrap w:val="false"/>
          </w:tcPr>
          <w:p>
            <w:pPr>
              <w:jc w:val="left"/>
              <w:keepLines w:val="0"/>
              <w:keepNext w:val="0"/>
              <w:pageBreakBefore w:val="0"/>
              <w:spacing w:line="288"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供应商为本项目配备实施工具包含藏品数字化管理、文物三维建模制作、文物知识图谱、文物互动展示、虚拟博物馆展示五类软件，供应商自有配套基础软件持有有效计算机软件著作权登记证书的，每提供一类对应软件著作权登记证书得1分，本项最高得5分，同类软件多份著作权不重复计分。</w:t>
            </w:r>
            <w:r/>
          </w:p>
          <w:p>
            <w:pPr>
              <w:jc w:val="left"/>
              <w:keepLines w:val="0"/>
              <w:keepNext w:val="0"/>
              <w:pageBreakBefore w:val="0"/>
              <w:spacing w:line="288"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细分对应类别：</w:t>
            </w:r>
            <w:r/>
          </w:p>
          <w:p>
            <w:pPr>
              <w:jc w:val="left"/>
              <w:keepLines w:val="0"/>
              <w:keepNext w:val="0"/>
              <w:pageBreakBefore w:val="0"/>
              <w:spacing w:line="288"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藏品数字化管理类软件著作权；</w:t>
            </w:r>
            <w:r/>
          </w:p>
          <w:p>
            <w:pPr>
              <w:jc w:val="left"/>
              <w:keepLines w:val="0"/>
              <w:keepNext w:val="0"/>
              <w:pageBreakBefore w:val="0"/>
              <w:spacing w:line="288"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文物三维建模制作类软件著作权；</w:t>
            </w:r>
            <w:r/>
          </w:p>
          <w:p>
            <w:pPr>
              <w:jc w:val="left"/>
              <w:keepLines w:val="0"/>
              <w:keepNext w:val="0"/>
              <w:pageBreakBefore w:val="0"/>
              <w:spacing w:line="288"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文物知识图谱类软件著作权；</w:t>
            </w:r>
            <w:r/>
          </w:p>
          <w:p>
            <w:pPr>
              <w:jc w:val="left"/>
              <w:keepLines w:val="0"/>
              <w:keepNext w:val="0"/>
              <w:pageBreakBefore w:val="0"/>
              <w:spacing w:line="288"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文物互动展示类软件著作权；</w:t>
            </w:r>
            <w:r/>
          </w:p>
          <w:p>
            <w:pPr>
              <w:jc w:val="left"/>
              <w:keepLines w:val="0"/>
              <w:keepNext w:val="0"/>
              <w:pageBreakBefore w:val="0"/>
              <w:spacing w:line="288" w:lineRule="auto"/>
              <w:widowControl w:val="off"/>
              <w:rPr>
                <w:rFonts w:hint="default"/>
                <w:lang w:val="en-US" w:eastAsia="zh-CN"/>
              </w:rPr>
            </w:pPr>
            <w:r>
              <w:rPr>
                <w:rFonts w:hint="eastAsia" w:ascii="宋体" w:hAnsi="宋体" w:eastAsia="宋体" w:cs="宋体"/>
                <w:szCs w:val="21"/>
                <w:highlight w:val="none"/>
                <w:lang w:val="en-US" w:eastAsia="zh-CN"/>
              </w:rPr>
              <w:t xml:space="preserve">虚拟博物馆展示类软件著作权。</w:t>
            </w:r>
            <w:r/>
          </w:p>
        </w:tc>
        <w:tc>
          <w:tcPr>
            <w:tcW w:w="1855" w:type="dxa"/>
            <w:vAlign w:val="center"/>
            <w:textDirection w:val="lrTb"/>
            <w:noWrap w:val="false"/>
          </w:tcPr>
          <w:p>
            <w:pPr>
              <w:jc w:val="left"/>
              <w:keepLines w:val="0"/>
              <w:keepNext w:val="0"/>
              <w:pageBreakBefore w:val="0"/>
              <w:spacing w:line="288" w:lineRule="auto"/>
              <w:widowControl w:val="off"/>
              <w:rPr>
                <w:rFonts w:hint="eastAsia" w:ascii="宋体" w:hAnsi="宋体" w:cs="宋体"/>
                <w:b/>
                <w:bCs/>
                <w:color w:val="000000"/>
                <w:sz w:val="21"/>
                <w:szCs w:val="21"/>
                <w:lang w:val="en-US" w:eastAsia="zh-CN" w:bidi="ar"/>
              </w:rPr>
            </w:pPr>
            <w:r>
              <w:rPr>
                <w:rFonts w:hint="eastAsia" w:ascii="宋体" w:hAnsi="宋体" w:eastAsia="宋体" w:cs="宋体"/>
                <w:b/>
                <w:bCs/>
              </w:rPr>
              <w:t xml:space="preserve">响应文件内提供</w:t>
            </w:r>
            <w:r>
              <w:rPr>
                <w:rFonts w:hint="eastAsia" w:ascii="宋体" w:hAnsi="宋体" w:eastAsia="宋体" w:cs="宋体"/>
                <w:b/>
                <w:bCs/>
                <w:lang w:val="en-US" w:eastAsia="zh-CN"/>
              </w:rPr>
              <w:t xml:space="preserve">证书复印件</w:t>
            </w:r>
            <w:r>
              <w:rPr>
                <w:rFonts w:hint="eastAsia" w:ascii="宋体" w:hAnsi="宋体" w:eastAsia="宋体" w:cs="宋体"/>
                <w:b/>
                <w:bCs/>
              </w:rPr>
              <w:t xml:space="preserve">并加盖公章，未提供不得分。</w:t>
            </w:r>
            <w:r/>
          </w:p>
        </w:tc>
      </w:tr>
      <w:tr>
        <w:trPr>
          <w:jc w:val="center"/>
          <w:trHeight w:val="23"/>
        </w:trPr>
        <w:tc>
          <w:tcPr>
            <w:gridSpan w:val="2"/>
            <w:tcW w:w="1461" w:type="dxa"/>
            <w:vAlign w:val="center"/>
            <w:textDirection w:val="lrTb"/>
            <w:noWrap w:val="false"/>
          </w:tcPr>
          <w:p>
            <w:pPr>
              <w:jc w:val="center"/>
              <w:keepLines w:val="0"/>
              <w:keepNext w:val="0"/>
              <w:pageBreakBefore w:val="0"/>
              <w:spacing w:line="288" w:lineRule="auto"/>
              <w:widowControl w:val="off"/>
              <w:rPr>
                <w:rFonts w:ascii="宋体" w:hAnsi="宋体" w:cs="宋体"/>
                <w:szCs w:val="21"/>
              </w:rPr>
            </w:pPr>
            <w:r>
              <w:rPr>
                <w:rFonts w:hint="eastAsia" w:ascii="宋体" w:hAnsi="宋体" w:cs="宋体"/>
                <w:szCs w:val="21"/>
              </w:rPr>
              <w:t xml:space="preserve">合计</w:t>
            </w:r>
            <w:r/>
          </w:p>
        </w:tc>
        <w:tc>
          <w:tcPr>
            <w:tcW w:w="738" w:type="dxa"/>
            <w:vAlign w:val="center"/>
            <w:textDirection w:val="lrTb"/>
            <w:noWrap w:val="false"/>
          </w:tcPr>
          <w:p>
            <w:pPr>
              <w:jc w:val="center"/>
              <w:keepLines w:val="0"/>
              <w:keepNext w:val="0"/>
              <w:pageBreakBefore w:val="0"/>
              <w:spacing w:line="288" w:lineRule="auto"/>
              <w:widowControl w:val="off"/>
              <w:rPr>
                <w:rFonts w:ascii="宋体" w:hAnsi="宋体" w:cs="宋体"/>
                <w:szCs w:val="21"/>
              </w:rPr>
            </w:pPr>
            <w:r>
              <w:rPr>
                <w:rFonts w:hint="eastAsia" w:ascii="宋体" w:hAnsi="宋体" w:cs="宋体"/>
                <w:szCs w:val="21"/>
              </w:rPr>
              <w:t xml:space="preserve">100分</w:t>
            </w:r>
            <w:r/>
          </w:p>
        </w:tc>
        <w:tc>
          <w:tcPr>
            <w:tcW w:w="5300" w:type="dxa"/>
            <w:vAlign w:val="center"/>
            <w:textDirection w:val="lrTb"/>
            <w:noWrap w:val="false"/>
          </w:tcPr>
          <w:p>
            <w:pPr>
              <w:ind w:firstLine="28"/>
              <w:jc w:val="left"/>
              <w:keepLines w:val="0"/>
              <w:keepNext w:val="0"/>
              <w:pageBreakBefore w:val="0"/>
              <w:spacing w:line="288" w:lineRule="auto"/>
              <w:widowControl w:val="off"/>
              <w:rPr>
                <w:rFonts w:ascii="宋体" w:hAnsi="宋体" w:cs="宋体"/>
                <w:b/>
                <w:bCs/>
                <w:szCs w:val="21"/>
              </w:rPr>
            </w:pPr>
            <w:r>
              <w:rPr>
                <w:rFonts w:ascii="宋体" w:hAnsi="宋体" w:cs="宋体"/>
                <w:b/>
                <w:bCs/>
                <w:szCs w:val="21"/>
              </w:rPr>
            </w:r>
            <w:r/>
          </w:p>
        </w:tc>
        <w:tc>
          <w:tcPr>
            <w:tcW w:w="1855" w:type="dxa"/>
            <w:vAlign w:val="center"/>
            <w:textDirection w:val="lrTb"/>
            <w:noWrap w:val="false"/>
          </w:tcPr>
          <w:p>
            <w:pPr>
              <w:ind w:firstLine="28"/>
              <w:jc w:val="left"/>
              <w:keepLines w:val="0"/>
              <w:keepNext w:val="0"/>
              <w:pageBreakBefore w:val="0"/>
              <w:spacing w:line="288" w:lineRule="auto"/>
              <w:widowControl w:val="off"/>
              <w:rPr>
                <w:rFonts w:ascii="宋体" w:hAnsi="宋体" w:cs="宋体"/>
                <w:szCs w:val="21"/>
              </w:rPr>
            </w:pPr>
            <w:r>
              <w:rPr>
                <w:rFonts w:ascii="宋体" w:hAnsi="宋体" w:cs="宋体"/>
                <w:szCs w:val="21"/>
              </w:rPr>
            </w:r>
            <w:r/>
          </w:p>
        </w:tc>
      </w:tr>
    </w:tbl>
    <w:p>
      <w:pPr>
        <w:pStyle w:val="966"/>
        <w:ind w:left="0" w:firstLine="0"/>
      </w:pPr>
      <w:r/>
      <w:r/>
    </w:p>
    <w:p>
      <w:pPr>
        <w:spacing w:line="360" w:lineRule="auto"/>
        <w:outlineLvl w:val="0"/>
      </w:pPr>
      <w:r>
        <w:rPr>
          <w:rFonts w:hint="eastAsia" w:ascii="宋体" w:hAnsi="宋体" w:cs="宋体"/>
          <w:b/>
          <w:szCs w:val="21"/>
        </w:rPr>
        <w:t xml:space="preserve">注： </w:t>
      </w:r>
      <w:r>
        <w:rPr>
          <w:rFonts w:hint="eastAsia"/>
          <w:b/>
          <w:szCs w:val="21"/>
        </w:rPr>
        <w:t xml:space="preserve">评审标准中要求提供的证明文件及资料通过“苏采云”政府采购一体化平台按对应评分项目（或数字编号）分别制作上传，必须保证内容具体、印章完整、清晰可辨。</w:t>
      </w:r>
      <w:r/>
    </w:p>
    <w:p>
      <w:pPr>
        <w:jc w:val="center"/>
        <w:spacing w:line="360" w:lineRule="auto"/>
        <w:rPr>
          <w:rFonts w:ascii="宋体" w:hAnsi="宋体" w:cs="宋体"/>
          <w:b/>
          <w:sz w:val="28"/>
          <w:szCs w:val="28"/>
        </w:rPr>
        <w:outlineLvl w:val="0"/>
      </w:pPr>
      <w:r>
        <w:rPr>
          <w:rFonts w:ascii="宋体" w:hAnsi="宋体" w:cs="宋体"/>
          <w:b/>
          <w:sz w:val="28"/>
          <w:szCs w:val="28"/>
        </w:rPr>
      </w:r>
      <w:r/>
    </w:p>
    <w:p>
      <w:pPr>
        <w:jc w:val="center"/>
        <w:spacing w:line="360" w:lineRule="auto"/>
        <w:rPr>
          <w:rFonts w:ascii="宋体" w:hAnsi="宋体" w:cs="宋体"/>
          <w:b/>
          <w:sz w:val="28"/>
          <w:szCs w:val="28"/>
        </w:rPr>
        <w:outlineLvl w:val="0"/>
      </w:pPr>
      <w:r>
        <w:rPr>
          <w:rFonts w:ascii="宋体" w:hAnsi="宋体" w:cs="宋体"/>
          <w:b/>
          <w:sz w:val="28"/>
          <w:szCs w:val="28"/>
        </w:rPr>
      </w:r>
      <w:r/>
    </w:p>
    <w:p>
      <w:pPr>
        <w:jc w:val="center"/>
        <w:spacing w:line="360" w:lineRule="auto"/>
        <w:rPr>
          <w:rFonts w:ascii="宋体" w:hAnsi="宋体" w:cs="宋体"/>
          <w:b/>
          <w:sz w:val="28"/>
          <w:szCs w:val="28"/>
        </w:rPr>
        <w:outlineLvl w:val="0"/>
      </w:pPr>
      <w:r>
        <w:rPr>
          <w:rFonts w:ascii="宋体" w:hAnsi="宋体" w:cs="宋体"/>
          <w:b/>
          <w:sz w:val="28"/>
          <w:szCs w:val="28"/>
        </w:rPr>
      </w:r>
      <w:r/>
    </w:p>
    <w:p>
      <w:pPr>
        <w:pStyle w:val="932"/>
        <w:rPr>
          <w:rFonts w:ascii="宋体" w:hAnsi="宋体" w:cs="宋体"/>
          <w:b/>
          <w:sz w:val="28"/>
          <w:szCs w:val="28"/>
        </w:rPr>
      </w:pPr>
      <w:r>
        <w:rPr>
          <w:rFonts w:ascii="宋体" w:hAnsi="宋体" w:cs="宋体"/>
          <w:b/>
          <w:sz w:val="28"/>
          <w:szCs w:val="28"/>
        </w:rPr>
      </w:r>
      <w:r/>
    </w:p>
    <w:p>
      <w:pPr>
        <w:pStyle w:val="932"/>
        <w:rPr>
          <w:rFonts w:ascii="宋体" w:hAnsi="宋体" w:cs="宋体"/>
          <w:b/>
          <w:sz w:val="28"/>
          <w:szCs w:val="28"/>
        </w:rPr>
      </w:pPr>
      <w:r>
        <w:rPr>
          <w:rFonts w:ascii="宋体" w:hAnsi="宋体" w:cs="宋体"/>
          <w:b/>
          <w:sz w:val="28"/>
          <w:szCs w:val="28"/>
        </w:rPr>
      </w:r>
      <w:r/>
    </w:p>
    <w:p>
      <w:pPr>
        <w:pStyle w:val="932"/>
        <w:rPr>
          <w:rFonts w:ascii="宋体" w:hAnsi="宋体" w:cs="宋体"/>
          <w:b/>
          <w:sz w:val="28"/>
          <w:szCs w:val="28"/>
        </w:rPr>
      </w:pPr>
      <w:r>
        <w:rPr>
          <w:rFonts w:ascii="宋体" w:hAnsi="宋体" w:cs="宋体"/>
          <w:b/>
          <w:sz w:val="28"/>
          <w:szCs w:val="28"/>
        </w:rPr>
      </w:r>
      <w:r/>
    </w:p>
    <w:p>
      <w:pPr>
        <w:pStyle w:val="932"/>
        <w:rPr>
          <w:rFonts w:ascii="宋体" w:hAnsi="宋体" w:cs="宋体"/>
          <w:b/>
          <w:sz w:val="28"/>
          <w:szCs w:val="28"/>
        </w:rPr>
      </w:pPr>
      <w:r>
        <w:rPr>
          <w:rFonts w:ascii="宋体" w:hAnsi="宋体" w:cs="宋体"/>
          <w:b/>
          <w:sz w:val="28"/>
          <w:szCs w:val="28"/>
        </w:rPr>
      </w:r>
      <w:r/>
    </w:p>
    <w:p>
      <w:pPr>
        <w:jc w:val="center"/>
        <w:spacing w:line="360" w:lineRule="auto"/>
        <w:rPr>
          <w:rFonts w:hint="eastAsia" w:ascii="宋体" w:hAnsi="宋体" w:eastAsia="宋体" w:cs="宋体"/>
          <w:highlight w:val="none"/>
        </w:rPr>
        <w:outlineLvl w:val="0"/>
      </w:pPr>
      <w:r>
        <w:rPr>
          <w:highlight w:val="none"/>
        </w:rPr>
      </w:r>
      <w:r>
        <w:rPr>
          <w:highlight w:val="none"/>
        </w:rPr>
      </w:r>
      <w:r/>
    </w:p>
    <w:p>
      <w:pPr>
        <w:jc w:val="center"/>
        <w:spacing w:line="360" w:lineRule="auto"/>
        <w:rPr>
          <w:highlight w:val="none"/>
        </w:rPr>
        <w:outlineLvl w:val="0"/>
      </w:pPr>
      <w:r>
        <w:rPr>
          <w:rFonts w:hint="eastAsia" w:ascii="宋体" w:hAnsi="宋体" w:eastAsia="宋体" w:cs="宋体"/>
          <w:b/>
          <w:sz w:val="28"/>
          <w:szCs w:val="28"/>
          <w:highlight w:val="none"/>
        </w:rPr>
        <w:t xml:space="preserve">第四章  </w:t>
      </w:r>
      <w:bookmarkStart w:id="646" w:name="_Toc1417"/>
      <w:r>
        <w:rPr>
          <w:rFonts w:hint="eastAsia" w:ascii="宋体" w:hAnsi="宋体" w:eastAsia="宋体" w:cs="宋体"/>
          <w:b/>
          <w:sz w:val="28"/>
          <w:szCs w:val="28"/>
          <w:highlight w:val="none"/>
        </w:rPr>
        <w:t xml:space="preserve">采购需求</w:t>
      </w:r>
      <w:bookmarkEnd w:id="646"/>
      <w:r/>
      <w:r/>
    </w:p>
    <w:p>
      <w:pPr>
        <w:pStyle w:val="1034"/>
        <w:contextualSpacing/>
        <w:ind w:left="500" w:hanging="500"/>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一、采购标的</w:t>
      </w:r>
      <w:r/>
    </w:p>
    <w:p>
      <w:pPr>
        <w:contextualSpacing/>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1. 采购标的：</w:t>
      </w:r>
      <w:r>
        <w:rPr>
          <w:rFonts w:hint="eastAsia" w:ascii="宋体" w:hAnsi="宋体" w:cs="宋体"/>
          <w:bCs/>
          <w:szCs w:val="21"/>
          <w:highlight w:val="none"/>
          <w:lang w:eastAsia="zh-CN"/>
        </w:rPr>
        <w:t xml:space="preserve">溧阳市博物馆可移动文物数字化保护项目</w:t>
      </w:r>
      <w:r>
        <w:rPr>
          <w:rFonts w:hint="eastAsia" w:ascii="宋体" w:hAnsi="宋体" w:eastAsia="宋体" w:cs="宋体"/>
          <w:bCs/>
          <w:szCs w:val="21"/>
          <w:highlight w:val="none"/>
        </w:rPr>
        <w:t xml:space="preserve">。</w:t>
      </w:r>
      <w:r/>
    </w:p>
    <w:p>
      <w:pPr>
        <w:contextualSpacing/>
        <w:keepLines w:val="0"/>
        <w:keepNext w:val="0"/>
        <w:pageBreakBefore w:val="0"/>
        <w:spacing w:line="336" w:lineRule="auto"/>
        <w:shd w:val="clear" w:color="auto" w:fill="ffffff"/>
        <w:rPr>
          <w:rFonts w:hint="eastAsia" w:ascii="宋体" w:hAnsi="宋体" w:eastAsia="宋体" w:cs="宋体"/>
          <w:szCs w:val="21"/>
          <w:highlight w:val="none"/>
          <w:shd w:val="clear" w:color="auto" w:fill="ffffff"/>
        </w:rPr>
      </w:pPr>
      <w:r>
        <w:rPr>
          <w:rFonts w:hint="eastAsia" w:ascii="宋体" w:hAnsi="宋体" w:eastAsia="宋体" w:cs="宋体"/>
          <w:bCs/>
          <w:szCs w:val="21"/>
          <w:highlight w:val="none"/>
        </w:rPr>
        <w:t xml:space="preserve">2. 项目背景/项目概述：</w:t>
      </w:r>
      <w:r>
        <w:rPr>
          <w:rFonts w:hint="eastAsia" w:ascii="宋体" w:hAnsi="宋体" w:eastAsia="宋体" w:cs="宋体"/>
          <w:szCs w:val="21"/>
          <w:highlight w:val="none"/>
          <w:shd w:val="clear" w:color="auto" w:fill="ffffff"/>
        </w:rPr>
        <w:t xml:space="preserve">溧阳市博物馆馆藏文物众多，具有极高的历史、艺术及科学研究价值。本项目拟对馆内精品可移动文物进行三维高精度数字化采集加工，并对馆藏精品文物进行数字化展示利用建设。项目契合“江苏数字文物百宝箱”发展方针，建设内容包括藏品的二、三维高清影像展示、数字化成果交互体验、内容制作等。通过本项目将全方位提升馆内文物数字化利用能力，完善数字化系统基础设施，提升文物数字化保护、管理、研究、利用水平，提高博物馆的服务辐射力和影响力。</w:t>
      </w:r>
      <w:r/>
    </w:p>
    <w:p>
      <w:pPr>
        <w:spacing w:line="360" w:lineRule="auto"/>
        <w:shd w:val="clear" w:color="auto"/>
        <w:rPr>
          <w:rFonts w:hint="eastAsia" w:ascii="宋体" w:hAnsi="宋体" w:eastAsia="宋体" w:cs="宋体"/>
          <w:bCs/>
          <w:szCs w:val="21"/>
          <w:highlight w:val="none"/>
          <w:shd w:val="clear" w:color="auto"/>
        </w:rPr>
      </w:pPr>
      <w:r>
        <w:rPr>
          <w:rFonts w:hint="eastAsia" w:ascii="宋体" w:hAnsi="宋体" w:eastAsia="宋体" w:cs="宋体"/>
          <w:bCs/>
          <w:szCs w:val="21"/>
          <w:highlight w:val="none"/>
          <w:shd w:val="clear" w:color="auto"/>
        </w:rPr>
      </w:r>
      <w:r/>
    </w:p>
    <w:p>
      <w:pPr>
        <w:pStyle w:val="1034"/>
        <w:contextualSpacing/>
        <w:ind w:left="500" w:hanging="500"/>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二、商务要求</w:t>
      </w:r>
      <w:r/>
    </w:p>
    <w:p>
      <w:pPr>
        <w:spacing w:line="336" w:lineRule="auto"/>
        <w:rPr>
          <w:rFonts w:hint="eastAsia" w:ascii="宋体" w:hAnsi="宋体" w:cs="宋体"/>
          <w:color w:val="auto"/>
          <w:szCs w:val="21"/>
          <w:highlight w:val="none"/>
        </w:rPr>
      </w:pPr>
      <w:r>
        <w:rPr>
          <w:rFonts w:hint="eastAsia" w:ascii="宋体" w:hAnsi="宋体" w:eastAsia="宋体" w:cs="宋体"/>
          <w:szCs w:val="21"/>
          <w:highlight w:val="none"/>
        </w:rPr>
        <w:t xml:space="preserve">1.交付（实施）的时间（期限）：</w:t>
      </w:r>
      <w:r>
        <w:rPr>
          <w:rFonts w:hint="eastAsia" w:ascii="宋体" w:hAnsi="宋体" w:cs="宋体"/>
          <w:color w:val="auto"/>
          <w:szCs w:val="21"/>
          <w:highlight w:val="none"/>
          <w:shd w:val="clear" w:color="auto" w:fill="ffffff"/>
        </w:rPr>
        <w:t xml:space="preserve">自合同签订之日起10个月，前7个月为建设周期，后3个月为试运行与验收阶段。</w:t>
      </w:r>
      <w:r/>
    </w:p>
    <w:p>
      <w:pPr>
        <w:contextualSpacing/>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2.地点（范围）：</w:t>
      </w:r>
      <w:r>
        <w:rPr>
          <w:rFonts w:hint="eastAsia" w:ascii="宋体" w:hAnsi="宋体" w:eastAsia="宋体" w:cs="宋体"/>
          <w:szCs w:val="21"/>
          <w:highlight w:val="none"/>
          <w:lang w:eastAsia="zh-CN"/>
        </w:rPr>
        <w:t xml:space="preserve">溧阳市博物馆</w:t>
      </w:r>
      <w:r/>
    </w:p>
    <w:p>
      <w:pPr>
        <w:contextualSpacing/>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3.付款条件（进度和方式）：</w:t>
      </w:r>
      <w:r>
        <w:rPr>
          <w:rFonts w:hint="eastAsia" w:ascii="宋体" w:hAnsi="宋体" w:eastAsia="宋体" w:cs="宋体"/>
          <w:szCs w:val="21"/>
          <w:highlight w:val="none"/>
          <w:lang w:eastAsia="zh-CN"/>
        </w:rPr>
        <w:t xml:space="preserve">合同签订后支付合同价的40%，竣工验收合格后</w:t>
      </w:r>
      <w:r>
        <w:rPr>
          <w:rFonts w:hint="eastAsia" w:ascii="宋体" w:hAnsi="宋体" w:cs="宋体"/>
          <w:szCs w:val="21"/>
          <w:highlight w:val="none"/>
          <w:lang w:val="en-US" w:eastAsia="zh-CN"/>
        </w:rPr>
        <w:t xml:space="preserve">一次性</w:t>
      </w:r>
      <w:r>
        <w:rPr>
          <w:rFonts w:hint="eastAsia" w:ascii="宋体" w:hAnsi="宋体" w:eastAsia="宋体" w:cs="宋体"/>
          <w:szCs w:val="21"/>
          <w:highlight w:val="none"/>
          <w:lang w:eastAsia="zh-CN"/>
        </w:rPr>
        <w:t xml:space="preserve">付清。</w:t>
      </w:r>
      <w:r/>
    </w:p>
    <w:p>
      <w:pPr>
        <w:pStyle w:val="1034"/>
        <w:contextualSpacing/>
        <w:ind w:left="500" w:hanging="500"/>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r>
      <w:r/>
    </w:p>
    <w:p>
      <w:pPr>
        <w:pStyle w:val="1034"/>
        <w:contextualSpacing/>
        <w:ind w:left="500" w:hanging="500"/>
        <w:spacing w:line="360" w:lineRule="auto"/>
        <w:rPr>
          <w:rFonts w:hint="eastAsia" w:ascii="宋体" w:hAnsi="宋体" w:cs="宋体"/>
          <w:b/>
          <w:szCs w:val="21"/>
        </w:rPr>
      </w:pPr>
      <w:r>
        <w:rPr>
          <w:rFonts w:hint="eastAsia" w:ascii="宋体" w:hAnsi="宋体" w:cs="宋体"/>
          <w:b/>
          <w:szCs w:val="21"/>
        </w:rPr>
        <w:t xml:space="preserve">三、服务内容</w:t>
      </w:r>
      <w:r/>
    </w:p>
    <w:tbl>
      <w:tblPr>
        <w:tblStyle w:val="93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1392"/>
        <w:gridCol w:w="1765"/>
        <w:gridCol w:w="1018"/>
        <w:gridCol w:w="889"/>
        <w:gridCol w:w="3608"/>
      </w:tblGrid>
      <w:tr>
        <w:trPr>
          <w:jc w:val="center"/>
          <w:trHeight w:val="23"/>
        </w:trPr>
        <w:tc>
          <w:tcPr>
            <w:tcW w:w="365"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bookmarkStart w:id="647" w:name="_Hlk105072349"/>
            <w:r>
              <w:rPr>
                <w:rFonts w:hint="eastAsia" w:asciiTheme="majorEastAsia" w:hAnsiTheme="majorEastAsia" w:eastAsiaTheme="majorEastAsia" w:cstheme="majorEastAsia"/>
                <w:szCs w:val="21"/>
              </w:rPr>
              <w:t xml:space="preserve">序号</w:t>
            </w:r>
            <w:r/>
          </w:p>
        </w:tc>
        <w:tc>
          <w:tcPr>
            <w:tcW w:w="744"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项目名称</w:t>
            </w:r>
            <w:r/>
          </w:p>
        </w:tc>
        <w:tc>
          <w:tcPr>
            <w:tcW w:w="943"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项目内容</w:t>
            </w:r>
            <w:r/>
          </w:p>
        </w:tc>
        <w:tc>
          <w:tcPr>
            <w:tcW w:w="544"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数量</w:t>
            </w:r>
            <w:r/>
          </w:p>
        </w:tc>
        <w:tc>
          <w:tcPr>
            <w:tcW w:w="475"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单位</w:t>
            </w:r>
            <w:r/>
          </w:p>
        </w:tc>
        <w:tc>
          <w:tcPr>
            <w:tcW w:w="1928"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内容/参数</w:t>
            </w:r>
            <w:r/>
          </w:p>
        </w:tc>
      </w:tr>
      <w:tr>
        <w:trPr>
          <w:jc w:val="center"/>
          <w:trHeight w:val="23"/>
        </w:trPr>
        <w:tc>
          <w:tcPr>
            <w:tcW w:w="365"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W w:w="744"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馆藏文物三维数字资源采集加工</w:t>
            </w:r>
            <w:r/>
          </w:p>
        </w:tc>
        <w:tc>
          <w:tcPr>
            <w:tcW w:w="943"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文物三维采集加工处理</w:t>
            </w:r>
            <w:r/>
          </w:p>
        </w:tc>
        <w:tc>
          <w:tcPr>
            <w:tcW w:w="544"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89</w:t>
            </w:r>
            <w:r/>
          </w:p>
        </w:tc>
        <w:tc>
          <w:tcPr>
            <w:tcW w:w="475"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件</w:t>
            </w:r>
            <w:r/>
          </w:p>
        </w:tc>
        <w:tc>
          <w:tcPr>
            <w:tcW w:w="1928" w:type="pct"/>
            <w:vAlign w:val="center"/>
            <w:textDirection w:val="lrTb"/>
            <w:noWrap w:val="false"/>
          </w:tcPr>
          <w:p>
            <w:pP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①文物高精度三维点云数据采集，②高模、低模三维数字资源加工制作成果交付，③数据存储备份，④数据入库、归档</w:t>
            </w:r>
            <w:r/>
          </w:p>
        </w:tc>
      </w:tr>
      <w:tr>
        <w:trPr>
          <w:jc w:val="center"/>
          <w:trHeight w:val="23"/>
        </w:trPr>
        <w:tc>
          <w:tcPr>
            <w:tcW w:w="365" w:type="pct"/>
            <w:vAlign w:val="center"/>
            <w:vMerge w:val="restart"/>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W w:w="744" w:type="pct"/>
            <w:vAlign w:val="center"/>
            <w:vMerge w:val="restart"/>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文物知识图谱应用展示服务</w:t>
            </w:r>
            <w:r/>
          </w:p>
        </w:tc>
        <w:tc>
          <w:tcPr>
            <w:tcW w:w="943"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文物知识图谱大屏交互展示</w:t>
            </w:r>
            <w:r/>
          </w:p>
        </w:tc>
        <w:tc>
          <w:tcPr>
            <w:tcW w:w="544"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W w:w="475"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项</w:t>
            </w:r>
            <w:r/>
          </w:p>
        </w:tc>
        <w:tc>
          <w:tcPr>
            <w:tcW w:w="1928" w:type="pct"/>
            <w:vAlign w:val="center"/>
            <w:textDirection w:val="lrTb"/>
            <w:noWrap w:val="false"/>
          </w:tcPr>
          <w:p>
            <w:pP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馆藏文物数字化知识图谱多媒体展示，包括大屏端应用展示及后台支撑管理工具</w:t>
            </w:r>
            <w:r/>
          </w:p>
        </w:tc>
      </w:tr>
      <w:tr>
        <w:trPr>
          <w:jc w:val="center"/>
          <w:trHeight w:val="23"/>
        </w:trPr>
        <w:tc>
          <w:tcPr>
            <w:tcW w:w="365" w:type="pct"/>
            <w:vAlign w:val="center"/>
            <w:vMerge w:val="continue"/>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W w:w="744" w:type="pct"/>
            <w:vAlign w:val="center"/>
            <w:vMerge w:val="continue"/>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W w:w="943"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数字化交互展示设备</w:t>
            </w:r>
            <w:r/>
          </w:p>
        </w:tc>
        <w:tc>
          <w:tcPr>
            <w:tcW w:w="544"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W w:w="475"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项</w:t>
            </w:r>
            <w:r/>
          </w:p>
        </w:tc>
        <w:tc>
          <w:tcPr>
            <w:tcW w:w="1928" w:type="pct"/>
            <w:vAlign w:val="center"/>
            <w:textDirection w:val="lrTb"/>
            <w:noWrap w:val="false"/>
          </w:tcPr>
          <w:p>
            <w:pP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工业拼接屏、触摸框、运行主机、控制器、外框\支架、钢化玻璃、电源耗材及安装服务等</w:t>
            </w:r>
            <w:r/>
          </w:p>
        </w:tc>
      </w:tr>
      <w:tr>
        <w:trPr>
          <w:jc w:val="center"/>
          <w:trHeight w:val="23"/>
        </w:trPr>
        <w:tc>
          <w:tcPr>
            <w:tcW w:w="365"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W w:w="744"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馆藏精品文物数字化交互展示制作服务</w:t>
            </w:r>
            <w:r/>
          </w:p>
        </w:tc>
        <w:tc>
          <w:tcPr>
            <w:tcW w:w="943"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指定文物三维模型交互展示内容制作</w:t>
            </w:r>
            <w:r/>
          </w:p>
        </w:tc>
        <w:tc>
          <w:tcPr>
            <w:tcW w:w="544"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W w:w="475" w:type="pct"/>
            <w:vAlign w:val="center"/>
            <w:textDirection w:val="lrTb"/>
            <w:noWrap w:val="false"/>
          </w:tcPr>
          <w:p>
            <w:pPr>
              <w:jc w:val="cente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件</w:t>
            </w:r>
            <w:r/>
          </w:p>
        </w:tc>
        <w:tc>
          <w:tcPr>
            <w:tcW w:w="1928" w:type="pct"/>
            <w:vAlign w:val="center"/>
            <w:textDirection w:val="lrTb"/>
            <w:noWrap w:val="false"/>
          </w:tcPr>
          <w:p>
            <w:pPr>
              <w:spacing w:line="30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通过对文物及其三维模型等数据的设计加工，建立开放的线上数字展览，制作丰富的多主题风格呈现效果，支持在PC端、移动端等多终端浏览。支持后续与江苏省数字文物展示平台的展示对接</w:t>
            </w:r>
            <w:bookmarkEnd w:id="647"/>
            <w:r/>
            <w:r/>
          </w:p>
        </w:tc>
      </w:tr>
    </w:tbl>
    <w:p>
      <w:pPr>
        <w:jc w:val="left"/>
        <w:spacing w:line="360" w:lineRule="auto"/>
        <w:widowControl/>
        <w:rPr>
          <w:rFonts w:hint="eastAsia" w:asciiTheme="majorEastAsia" w:hAnsiTheme="majorEastAsia" w:eastAsiaTheme="majorEastAsia" w:cstheme="majorEastAsia"/>
          <w:b/>
          <w:szCs w:val="21"/>
        </w:rPr>
        <w:outlineLvl w:val="0"/>
      </w:pPr>
      <w:r>
        <w:rPr>
          <w:rFonts w:hint="eastAsia" w:asciiTheme="majorEastAsia" w:hAnsiTheme="majorEastAsia" w:eastAsiaTheme="majorEastAsia" w:cstheme="majorEastAsia"/>
          <w:b/>
          <w:szCs w:val="21"/>
        </w:rPr>
      </w:r>
      <w:r/>
    </w:p>
    <w:p>
      <w:pPr>
        <w:jc w:val="left"/>
        <w:spacing w:line="360" w:lineRule="auto"/>
        <w:widowControl/>
        <w:rPr>
          <w:rFonts w:hint="eastAsia" w:asciiTheme="majorEastAsia" w:hAnsiTheme="majorEastAsia" w:eastAsiaTheme="majorEastAsia" w:cstheme="majorEastAsia"/>
          <w:color w:val="000000"/>
          <w:szCs w:val="21"/>
          <w:lang w:bidi="ar"/>
        </w:rPr>
        <w:outlineLvl w:val="0"/>
      </w:pPr>
      <w:r>
        <w:rPr>
          <w:rFonts w:hint="eastAsia" w:asciiTheme="majorEastAsia" w:hAnsiTheme="majorEastAsia" w:eastAsiaTheme="majorEastAsia" w:cstheme="majorEastAsia"/>
          <w:b/>
          <w:szCs w:val="21"/>
        </w:rPr>
        <w:t xml:space="preserve">四、总体要求</w:t>
      </w:r>
      <w:r/>
    </w:p>
    <w:p>
      <w:pPr>
        <w:ind w:firstLine="420"/>
        <w:jc w:val="left"/>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bidi="ar"/>
        </w:rPr>
        <w:t xml:space="preserve">以《国家文物事业发展“十四五”规划》、《国家文化大数据标准体系》、《江苏省国有收藏单位盘库建档专项工作导则（试行）》、</w:t>
      </w:r>
      <w:bookmarkStart w:id="648" w:name="OLE_LINK1"/>
      <w:r>
        <w:rPr>
          <w:rFonts w:hint="eastAsia" w:asciiTheme="majorEastAsia" w:hAnsiTheme="majorEastAsia" w:eastAsiaTheme="majorEastAsia" w:cstheme="majorEastAsia"/>
          <w:szCs w:val="21"/>
          <w:lang w:bidi="ar"/>
        </w:rPr>
        <w:t xml:space="preserve">《文物藏品档案管理规范》（DB32/T 5344-2026）</w:t>
      </w:r>
      <w:bookmarkEnd w:id="648"/>
      <w:r>
        <w:rPr>
          <w:rFonts w:hint="eastAsia" w:asciiTheme="majorEastAsia" w:hAnsiTheme="majorEastAsia" w:eastAsiaTheme="majorEastAsia" w:cstheme="majorEastAsia"/>
          <w:szCs w:val="21"/>
          <w:lang w:bidi="ar"/>
        </w:rPr>
        <w:t xml:space="preserve">、可移动文物二维数字化采集与加工（《WW/T 0114-2023》）、可移动文物三维数字化采集与加工《WW/T 0115-2023》</w:t>
      </w:r>
      <w:r>
        <w:rPr>
          <w:rFonts w:hint="eastAsia" w:asciiTheme="majorEastAsia" w:hAnsiTheme="majorEastAsia" w:eastAsiaTheme="majorEastAsia" w:cstheme="majorEastAsia"/>
          <w:color w:val="000000"/>
          <w:szCs w:val="21"/>
          <w:lang w:bidi="ar"/>
        </w:rPr>
        <w:t xml:space="preserve">等政策、标准、导则、规范为总体设计依据。旨在高质量、全程留痕完成馆藏文物资源二三维采集、加工、管理、展示应用，全面提升博物馆数字化管理水平，推动馆藏文物资源合理保护应用。</w:t>
      </w:r>
      <w:r/>
    </w:p>
    <w:p>
      <w:pPr>
        <w:jc w:val="left"/>
        <w:spacing w:line="360" w:lineRule="auto"/>
        <w:widowControl/>
        <w:rPr>
          <w:rFonts w:hint="eastAsia" w:asciiTheme="majorEastAsia" w:hAnsiTheme="majorEastAsia" w:eastAsiaTheme="majorEastAsia" w:cstheme="majorEastAsia"/>
          <w:b/>
          <w:bCs/>
          <w:szCs w:val="21"/>
        </w:rPr>
        <w:outlineLvl w:val="0"/>
      </w:pPr>
      <w:r/>
      <w:bookmarkStart w:id="649" w:name="_Toc10038"/>
      <w:r/>
      <w:r/>
    </w:p>
    <w:p>
      <w:pPr>
        <w:jc w:val="left"/>
        <w:spacing w:line="360" w:lineRule="auto"/>
        <w:widowControl/>
        <w:rPr>
          <w:rFonts w:hint="eastAsia" w:asciiTheme="majorEastAsia" w:hAnsiTheme="majorEastAsia" w:eastAsiaTheme="majorEastAsia" w:cstheme="majorEastAsia"/>
          <w:b/>
          <w:szCs w:val="21"/>
          <w:highlight w:val="yellow"/>
        </w:rPr>
        <w:outlineLvl w:val="0"/>
      </w:pPr>
      <w:r>
        <w:rPr>
          <w:rFonts w:hint="eastAsia" w:asciiTheme="majorEastAsia" w:hAnsiTheme="majorEastAsia" w:eastAsiaTheme="majorEastAsia" w:cstheme="majorEastAsia"/>
          <w:b/>
          <w:bCs/>
          <w:szCs w:val="21"/>
        </w:rPr>
        <w:t xml:space="preserve">五、</w:t>
      </w:r>
      <w:bookmarkEnd w:id="649"/>
      <w:r>
        <w:rPr>
          <w:rFonts w:hint="eastAsia" w:asciiTheme="majorEastAsia" w:hAnsiTheme="majorEastAsia" w:eastAsiaTheme="majorEastAsia" w:cstheme="majorEastAsia"/>
          <w:b/>
          <w:szCs w:val="21"/>
        </w:rPr>
        <w:t xml:space="preserve">详细技术及服务要求</w:t>
      </w:r>
      <w:r/>
    </w:p>
    <w:p>
      <w:pPr>
        <w:ind w:firstLine="422"/>
        <w:spacing w:line="360" w:lineRule="auto"/>
        <w:rPr>
          <w:rFonts w:hint="eastAsia" w:asciiTheme="majorEastAsia" w:hAnsiTheme="majorEastAsia" w:eastAsiaTheme="majorEastAsia" w:cstheme="majorEastAsia"/>
          <w:b/>
          <w:szCs w:val="21"/>
        </w:rPr>
        <w:outlineLvl w:val="1"/>
      </w:pPr>
      <w:r>
        <w:rPr>
          <w:rFonts w:hint="eastAsia" w:asciiTheme="majorEastAsia" w:hAnsiTheme="majorEastAsia" w:eastAsiaTheme="majorEastAsia" w:cstheme="majorEastAsia"/>
          <w:b/>
          <w:szCs w:val="21"/>
        </w:rPr>
        <w:t xml:space="preserve">5.1馆藏文物三维数字资源采集加工</w:t>
      </w:r>
      <w:r/>
    </w:p>
    <w:p>
      <w:pPr>
        <w:ind w:firstLine="422"/>
        <w:spacing w:line="360" w:lineRule="auto"/>
        <w:rPr>
          <w:rFonts w:hint="eastAsia" w:asciiTheme="majorEastAsia" w:hAnsiTheme="majorEastAsia" w:eastAsiaTheme="majorEastAsia" w:cstheme="majorEastAsia"/>
          <w:b/>
          <w:bCs/>
          <w:szCs w:val="21"/>
        </w:rPr>
        <w:outlineLvl w:val="2"/>
      </w:pPr>
      <w:r>
        <w:rPr>
          <w:rFonts w:hint="eastAsia" w:asciiTheme="majorEastAsia" w:hAnsiTheme="majorEastAsia" w:eastAsiaTheme="majorEastAsia" w:cstheme="majorEastAsia"/>
          <w:b/>
          <w:bCs/>
          <w:szCs w:val="21"/>
        </w:rPr>
        <w:t xml:space="preserve">5.1.1文物三维采集加工处理</w:t>
      </w:r>
      <w:r/>
    </w:p>
    <w:p>
      <w:pPr>
        <w:pStyle w:val="941"/>
        <w:ind w:firstLine="42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要求供应商利用三维扫描技术、高清纹理拍摄技术等多种数字化技术，对采购人馆藏89件精品文物进行三维数据采集、制作、加工及成果提交工作，获取其精细点云数据、高清纹理数据、原真模型数据、文物展示数据等信息，技术要求如下：</w:t>
      </w:r>
      <w:r/>
    </w:p>
    <w:p>
      <w:pPr>
        <w:pStyle w:val="941"/>
        <w:ind w:firstLine="42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1. 采集方式要求</w:t>
      </w:r>
      <w:r/>
    </w:p>
    <w:p>
      <w:pPr>
        <w:pStyle w:val="941"/>
        <w:ind w:firstLine="42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（1）三维点云信息采集</w:t>
      </w:r>
      <w:r/>
    </w:p>
    <w:p>
      <w:pPr>
        <w:pStyle w:val="941"/>
        <w:ind w:firstLine="42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三维扫描数据要求：要求非接触式采集方式获取原始点云数据，并使用插补、拼合等技术手段处理得到文物的最终表面形状，网格模型。文物表面禁止贴反射片的三维扫描设备进行扫描，数据加工要求如下：支持数据格式：PLY、XYZ、OBJ、STL等；点云平均点间距≤0.05mm；最大点间距≤0.20mm；网格模型精度小于等于0.10mm；网格模型完整度大于等于98%。</w:t>
      </w:r>
      <w:r/>
    </w:p>
    <w:p>
      <w:pPr>
        <w:pStyle w:val="941"/>
        <w:ind w:firstLine="42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（2）纹理影像数据采集</w:t>
      </w:r>
      <w:r/>
    </w:p>
    <w:p>
      <w:pPr>
        <w:pStyle w:val="941"/>
        <w:ind w:firstLine="42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要求采用高清单反数码相机进行拍摄，获取文物详细的纹理影像数据。数据格式：RAW文件和JPG格式应同时存储；保证纹理颜色的真实性，色彩还原为自然光照条件下物体表面色彩；图像清晰，曝光均匀，保存有色卡照片；焦距整体一致或成组一致；照片分辨率大于等于300dpi，单张纹理贴图分辨率不低于8192×8192像素。</w:t>
      </w:r>
      <w:r/>
    </w:p>
    <w:p>
      <w:pPr>
        <w:pStyle w:val="941"/>
        <w:numPr>
          <w:ilvl w:val="0"/>
          <w:numId w:val="14"/>
        </w:numPr>
        <w:ind w:firstLine="42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成果要求</w:t>
      </w:r>
      <w:r/>
    </w:p>
    <w:p>
      <w:pPr>
        <w:pStyle w:val="941"/>
        <w:ind w:firstLine="42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最终完成文物本体模型的三维重建工作，所得到的最终结果需提交三套规格。</w:t>
      </w:r>
      <w:r/>
    </w:p>
    <w:p>
      <w:pPr>
        <w:pStyle w:val="941"/>
        <w:ind w:firstLine="42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（1）第一套规格：存档纹理模型，可用于模型数据的长期保存，为后续应用提供数据基础。具体要求如下：</w:t>
      </w:r>
      <w:r/>
    </w:p>
    <w:tbl>
      <w:tblPr>
        <w:tblStyle w:val="93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5"/>
        <w:gridCol w:w="1310"/>
        <w:gridCol w:w="1338"/>
        <w:gridCol w:w="5381"/>
      </w:tblGrid>
      <w:tr>
        <w:trPr>
          <w:jc w:val="center"/>
          <w:trHeight w:val="23"/>
          <w:tblHeader/>
        </w:trPr>
        <w:tc>
          <w:tcPr>
            <w:tcW w:w="708" w:type="pct"/>
            <w:vAlign w:val="center"/>
            <w:textDirection w:val="lrTb"/>
            <w:noWrap w:val="false"/>
          </w:tcPr>
          <w:p>
            <w:pPr>
              <w:pStyle w:val="1207"/>
              <w:ind w:firstLine="0"/>
              <w:jc w:val="center"/>
              <w:spacing w:line="360" w:lineRule="auto"/>
              <w:widowControl w:val="off"/>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成果级别</w:t>
            </w:r>
            <w:r/>
          </w:p>
        </w:tc>
        <w:tc>
          <w:tcPr>
            <w:gridSpan w:val="2"/>
            <w:tcW w:w="1415" w:type="pct"/>
            <w:vAlign w:val="center"/>
            <w:textDirection w:val="lrTb"/>
            <w:noWrap w:val="false"/>
          </w:tcPr>
          <w:p>
            <w:pPr>
              <w:pStyle w:val="1207"/>
              <w:ind w:firstLine="0"/>
              <w:jc w:val="center"/>
              <w:spacing w:line="360" w:lineRule="auto"/>
              <w:widowControl w:val="off"/>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成果内容</w:t>
            </w:r>
            <w:r/>
          </w:p>
        </w:tc>
        <w:tc>
          <w:tcPr>
            <w:tcW w:w="2875" w:type="pct"/>
            <w:vAlign w:val="center"/>
            <w:textDirection w:val="lrTb"/>
            <w:noWrap w:val="false"/>
          </w:tcPr>
          <w:p>
            <w:pPr>
              <w:pStyle w:val="1207"/>
              <w:ind w:firstLine="0"/>
              <w:jc w:val="center"/>
              <w:spacing w:line="360" w:lineRule="auto"/>
              <w:widowControl w:val="off"/>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技术指标</w:t>
            </w:r>
            <w:r/>
          </w:p>
        </w:tc>
      </w:tr>
      <w:tr>
        <w:trPr>
          <w:jc w:val="center"/>
          <w:trHeight w:val="23"/>
        </w:trPr>
        <w:tc>
          <w:tcPr>
            <w:tcW w:w="708" w:type="pct"/>
            <w:vAlign w:val="center"/>
            <w:vMerge w:val="restart"/>
            <w:textDirection w:val="lrTb"/>
            <w:noWrap w:val="false"/>
          </w:tcPr>
          <w:p>
            <w:pPr>
              <w:pStyle w:val="1207"/>
              <w:ind w:firstLine="0"/>
              <w:jc w:val="center"/>
              <w:spacing w:line="360" w:lineRule="auto"/>
              <w:widowControl w:val="off"/>
              <w:rPr>
                <w:rFonts w:hint="eastAsia" w:asciiTheme="minorEastAsia" w:hAnsiTheme="minorEastAsia" w:eastAsiaTheme="minorEastAsia" w:cstheme="minorEastAsia"/>
                <w:szCs w:val="21"/>
              </w:rPr>
            </w:pPr>
            <w:r/>
            <w:bookmarkStart w:id="650" w:name="_Hlk144289744"/>
            <w:r>
              <w:rPr>
                <w:rFonts w:hint="eastAsia" w:asciiTheme="minorEastAsia" w:hAnsiTheme="minorEastAsia" w:eastAsiaTheme="minorEastAsia" w:cstheme="minorEastAsia"/>
                <w:szCs w:val="21"/>
              </w:rPr>
              <w:t xml:space="preserve">存档数据</w:t>
            </w:r>
            <w:r/>
          </w:p>
        </w:tc>
        <w:tc>
          <w:tcPr>
            <w:tcW w:w="700" w:type="pct"/>
            <w:vAlign w:val="center"/>
            <w:vMerge w:val="restart"/>
            <w:textDirection w:val="lrTb"/>
            <w:noWrap w:val="false"/>
          </w:tcPr>
          <w:p>
            <w:pPr>
              <w:pStyle w:val="1207"/>
              <w:ind w:firstLine="0"/>
              <w:jc w:val="center"/>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原始数据</w:t>
            </w:r>
            <w:r/>
          </w:p>
        </w:tc>
        <w:tc>
          <w:tcPr>
            <w:tcW w:w="715" w:type="pct"/>
            <w:vAlign w:val="center"/>
            <w:textDirection w:val="lrTb"/>
            <w:noWrap w:val="false"/>
          </w:tcPr>
          <w:p>
            <w:pPr>
              <w:pStyle w:val="1207"/>
              <w:ind w:firstLine="0"/>
              <w:jc w:val="center"/>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点云数据</w:t>
            </w:r>
            <w:r/>
          </w:p>
        </w:tc>
        <w:tc>
          <w:tcPr>
            <w:tcW w:w="2875" w:type="pct"/>
            <w:vAlign w:val="center"/>
            <w:textDirection w:val="lrTb"/>
            <w:noWrap w:val="false"/>
          </w:tcPr>
          <w:p>
            <w:pPr>
              <w:pStyle w:val="1207"/>
              <w:ind w:firstLine="0"/>
              <w:jc w:val="left"/>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1.模型精度≤0.1mm；</w:t>
            </w:r>
            <w:r/>
          </w:p>
          <w:p>
            <w:pPr>
              <w:pStyle w:val="1207"/>
              <w:ind w:firstLine="0"/>
              <w:jc w:val="left"/>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2.平均点间距≤0.15mm；</w:t>
            </w:r>
            <w:r/>
          </w:p>
          <w:p>
            <w:pPr>
              <w:pStyle w:val="1207"/>
              <w:ind w:firstLine="0"/>
              <w:jc w:val="left"/>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3.最大点间距≤0.3mm；</w:t>
            </w:r>
            <w:r/>
          </w:p>
          <w:p>
            <w:pPr>
              <w:pStyle w:val="1207"/>
              <w:ind w:firstLine="0"/>
              <w:jc w:val="left"/>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4.完整度≥96％；</w:t>
            </w:r>
            <w:r/>
          </w:p>
          <w:p>
            <w:pPr>
              <w:pStyle w:val="1207"/>
              <w:ind w:firstLine="0"/>
              <w:jc w:val="left"/>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5.*.xyz或.*ASC。</w:t>
            </w:r>
            <w:bookmarkEnd w:id="650"/>
            <w:r/>
            <w:r/>
          </w:p>
        </w:tc>
      </w:tr>
      <w:tr>
        <w:trPr>
          <w:jc w:val="center"/>
          <w:trHeight w:val="23"/>
        </w:trPr>
        <w:tc>
          <w:tcPr>
            <w:tcW w:w="708" w:type="pct"/>
            <w:vAlign w:val="center"/>
            <w:vMerge w:val="continue"/>
            <w:textDirection w:val="lrTb"/>
            <w:noWrap w:val="false"/>
          </w:tcPr>
          <w:p>
            <w:pPr>
              <w:pStyle w:val="1207"/>
              <w:ind w:firstLine="0"/>
              <w:jc w:val="center"/>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00" w:type="pct"/>
            <w:vAlign w:val="center"/>
            <w:vMerge w:val="continue"/>
            <w:textDirection w:val="lrTb"/>
            <w:noWrap w:val="false"/>
          </w:tcPr>
          <w:p>
            <w:pPr>
              <w:pStyle w:val="1207"/>
              <w:ind w:firstLine="0"/>
              <w:jc w:val="center"/>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15" w:type="pct"/>
            <w:vAlign w:val="center"/>
            <w:textDirection w:val="lrTb"/>
            <w:noWrap w:val="false"/>
          </w:tcPr>
          <w:p>
            <w:pPr>
              <w:pStyle w:val="1207"/>
              <w:ind w:firstLine="0"/>
              <w:jc w:val="center"/>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纹理影像</w:t>
            </w:r>
            <w:r/>
          </w:p>
        </w:tc>
        <w:tc>
          <w:tcPr>
            <w:tcW w:w="2875" w:type="pct"/>
            <w:vAlign w:val="center"/>
            <w:textDirection w:val="lrTb"/>
            <w:noWrap w:val="false"/>
          </w:tcPr>
          <w:p>
            <w:pPr>
              <w:pStyle w:val="1207"/>
              <w:ind w:firstLine="0"/>
              <w:jc w:val="left"/>
              <w:spacing w:line="360" w:lineRule="auto"/>
              <w:widowControl w:val="off"/>
              <w:rPr>
                <w:rFonts w:hint="eastAsia" w:asciiTheme="minorEastAsia" w:hAnsiTheme="minorEastAsia" w:eastAsiaTheme="minorEastAsia" w:cstheme="minorEastAsia"/>
                <w:szCs w:val="21"/>
              </w:rPr>
            </w:pPr>
            <w:r/>
            <w:bookmarkStart w:id="651" w:name="_Hlk144289821"/>
            <w:r>
              <w:rPr>
                <w:rFonts w:hint="eastAsia" w:asciiTheme="minorEastAsia" w:hAnsiTheme="minorEastAsia" w:eastAsiaTheme="minorEastAsia" w:cstheme="minorEastAsia"/>
                <w:szCs w:val="21"/>
              </w:rPr>
              <w:t xml:space="preserve">1.影像像素≥4500万；</w:t>
            </w:r>
            <w:r/>
          </w:p>
          <w:p>
            <w:pPr>
              <w:pStyle w:val="1207"/>
              <w:ind w:firstLine="0"/>
              <w:jc w:val="left"/>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2.影像重叠度≥50％；</w:t>
            </w:r>
            <w:r/>
          </w:p>
          <w:p>
            <w:pPr>
              <w:pStyle w:val="1207"/>
              <w:ind w:firstLine="0"/>
              <w:jc w:val="left"/>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3.纹理存储格式：*.JPG、TIFF</w:t>
            </w:r>
            <w:r>
              <w:rPr>
                <w:rFonts w:asciiTheme="minorEastAsia" w:hAnsiTheme="minorEastAsia" w:eastAsiaTheme="minorEastAsia" w:cstheme="minorEastAsia"/>
                <w:szCs w:val="21"/>
              </w:rPr>
              <w:t xml:space="preserve">、PNG</w:t>
            </w:r>
            <w:r>
              <w:rPr>
                <w:rFonts w:hint="eastAsia" w:asciiTheme="minorEastAsia" w:hAnsiTheme="minorEastAsia" w:eastAsiaTheme="minorEastAsia" w:cstheme="minorEastAsia"/>
                <w:szCs w:val="21"/>
              </w:rPr>
              <w:t xml:space="preserve">等。</w:t>
            </w:r>
            <w:bookmarkEnd w:id="651"/>
            <w:r/>
            <w:r/>
          </w:p>
        </w:tc>
      </w:tr>
      <w:tr>
        <w:trPr>
          <w:jc w:val="center"/>
          <w:trHeight w:val="23"/>
        </w:trPr>
        <w:tc>
          <w:tcPr>
            <w:tcW w:w="708" w:type="pct"/>
            <w:vAlign w:val="center"/>
            <w:vMerge w:val="continue"/>
            <w:textDirection w:val="lrTb"/>
            <w:noWrap w:val="false"/>
          </w:tcPr>
          <w:p>
            <w:pPr>
              <w:pStyle w:val="1207"/>
              <w:ind w:firstLine="0"/>
              <w:jc w:val="center"/>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00" w:type="pct"/>
            <w:vAlign w:val="center"/>
            <w:vMerge w:val="restart"/>
            <w:textDirection w:val="lrTb"/>
            <w:noWrap w:val="false"/>
          </w:tcPr>
          <w:p>
            <w:pPr>
              <w:pStyle w:val="1207"/>
              <w:ind w:firstLine="0"/>
              <w:jc w:val="center"/>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纹理模型</w:t>
            </w:r>
            <w:r/>
          </w:p>
        </w:tc>
        <w:tc>
          <w:tcPr>
            <w:tcW w:w="715" w:type="pct"/>
            <w:vAlign w:val="center"/>
            <w:textDirection w:val="lrTb"/>
            <w:noWrap w:val="false"/>
          </w:tcPr>
          <w:p>
            <w:pPr>
              <w:pStyle w:val="1207"/>
              <w:ind w:firstLine="0"/>
              <w:jc w:val="center"/>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三维素模</w:t>
            </w:r>
            <w:r/>
          </w:p>
        </w:tc>
        <w:tc>
          <w:tcPr>
            <w:tcW w:w="2875" w:type="pct"/>
            <w:vAlign w:val="center"/>
            <w:textDirection w:val="lrTb"/>
            <w:noWrap w:val="false"/>
          </w:tcPr>
          <w:p>
            <w:pPr>
              <w:pStyle w:val="1207"/>
              <w:ind w:firstLine="0"/>
              <w:jc w:val="left"/>
              <w:spacing w:line="360" w:lineRule="auto"/>
              <w:widowControl w:val="off"/>
              <w:rPr>
                <w:rFonts w:hint="eastAsia" w:asciiTheme="minorEastAsia" w:hAnsiTheme="minorEastAsia" w:eastAsiaTheme="minorEastAsia" w:cstheme="minorEastAsia"/>
                <w:szCs w:val="21"/>
              </w:rPr>
            </w:pPr>
            <w:r/>
            <w:bookmarkStart w:id="652" w:name="_Hlk144289854"/>
            <w:r>
              <w:rPr>
                <w:rFonts w:hint="eastAsia" w:asciiTheme="minorEastAsia" w:hAnsiTheme="minorEastAsia" w:eastAsiaTheme="minorEastAsia" w:cstheme="minorEastAsia"/>
                <w:szCs w:val="21"/>
              </w:rPr>
              <w:t xml:space="preserve">1.完整度100％；</w:t>
            </w:r>
            <w:r/>
          </w:p>
          <w:p>
            <w:pPr>
              <w:pStyle w:val="1207"/>
              <w:ind w:firstLine="0"/>
              <w:jc w:val="left"/>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2.尺寸误差≤0.2mm；</w:t>
            </w:r>
            <w:r/>
          </w:p>
          <w:p>
            <w:pPr>
              <w:pStyle w:val="1207"/>
              <w:ind w:firstLine="0"/>
              <w:jc w:val="left"/>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3.表达的最小表面起伏变化≥尺寸误差；</w:t>
            </w:r>
            <w:r/>
          </w:p>
          <w:p>
            <w:pPr>
              <w:pStyle w:val="1207"/>
              <w:ind w:firstLine="0"/>
              <w:jc w:val="left"/>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4.模型存储格式*.OBJ、STL等。</w:t>
            </w:r>
            <w:bookmarkEnd w:id="652"/>
            <w:r/>
            <w:r/>
          </w:p>
        </w:tc>
      </w:tr>
      <w:tr>
        <w:trPr>
          <w:jc w:val="center"/>
          <w:trHeight w:val="23"/>
        </w:trPr>
        <w:tc>
          <w:tcPr>
            <w:tcW w:w="708" w:type="pct"/>
            <w:vAlign w:val="center"/>
            <w:vMerge w:val="continue"/>
            <w:textDirection w:val="lrTb"/>
            <w:noWrap w:val="false"/>
          </w:tcPr>
          <w:p>
            <w:pPr>
              <w:pStyle w:val="1207"/>
              <w:ind w:firstLine="0"/>
              <w:jc w:val="center"/>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00" w:type="pct"/>
            <w:vAlign w:val="center"/>
            <w:vMerge w:val="continue"/>
            <w:textDirection w:val="lrTb"/>
            <w:noWrap w:val="false"/>
          </w:tcPr>
          <w:p>
            <w:pPr>
              <w:pStyle w:val="1207"/>
              <w:ind w:firstLine="0"/>
              <w:jc w:val="center"/>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15" w:type="pct"/>
            <w:vAlign w:val="center"/>
            <w:textDirection w:val="lrTb"/>
            <w:noWrap w:val="false"/>
          </w:tcPr>
          <w:p>
            <w:pPr>
              <w:pStyle w:val="1207"/>
              <w:ind w:firstLine="0"/>
              <w:jc w:val="center"/>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纹理贴图</w:t>
            </w:r>
            <w:r/>
          </w:p>
        </w:tc>
        <w:tc>
          <w:tcPr>
            <w:tcW w:w="2875" w:type="pct"/>
            <w:vAlign w:val="center"/>
            <w:textDirection w:val="lrTb"/>
            <w:noWrap w:val="false"/>
          </w:tcPr>
          <w:p>
            <w:pPr>
              <w:pStyle w:val="1207"/>
              <w:ind w:firstLine="0"/>
              <w:jc w:val="left"/>
              <w:spacing w:line="360" w:lineRule="auto"/>
              <w:widowControl w:val="off"/>
              <w:rPr>
                <w:rFonts w:hint="eastAsia" w:asciiTheme="minorEastAsia" w:hAnsiTheme="minorEastAsia" w:eastAsiaTheme="minorEastAsia" w:cstheme="minorEastAsia"/>
                <w:szCs w:val="21"/>
              </w:rPr>
            </w:pPr>
            <w:r/>
            <w:bookmarkStart w:id="653" w:name="_Hlk144289880"/>
            <w:r>
              <w:rPr>
                <w:rFonts w:hint="eastAsia" w:asciiTheme="minorEastAsia" w:hAnsiTheme="minorEastAsia" w:eastAsiaTheme="minorEastAsia" w:cstheme="minorEastAsia"/>
                <w:szCs w:val="21"/>
              </w:rPr>
              <w:t xml:space="preserve">1.CIEDE2000色差平均值≤3.0；</w:t>
            </w:r>
            <w:r/>
          </w:p>
          <w:p>
            <w:pPr>
              <w:pStyle w:val="1207"/>
              <w:ind w:firstLine="0"/>
              <w:jc w:val="left"/>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2.与网格模型映射的位置误差≤0.2mm；</w:t>
            </w:r>
            <w:r/>
          </w:p>
          <w:p>
            <w:pPr>
              <w:pStyle w:val="1207"/>
              <w:ind w:firstLine="0"/>
              <w:jc w:val="left"/>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3.完整度100％；</w:t>
            </w:r>
            <w:r/>
          </w:p>
          <w:p>
            <w:pPr>
              <w:pStyle w:val="1207"/>
              <w:ind w:firstLine="0"/>
              <w:jc w:val="left"/>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4.贴图分辨率大于等于300dpi；</w:t>
            </w:r>
            <w:r/>
          </w:p>
          <w:p>
            <w:pPr>
              <w:pStyle w:val="1207"/>
              <w:ind w:firstLine="0"/>
              <w:jc w:val="left"/>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5.贴图存储格式*.jpg或*.png。</w:t>
            </w:r>
            <w:bookmarkEnd w:id="653"/>
            <w:r/>
            <w:r/>
          </w:p>
        </w:tc>
      </w:tr>
    </w:tbl>
    <w:p>
      <w:pPr>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p>
      <w:pPr>
        <w:pStyle w:val="941"/>
        <w:ind w:firstLine="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（2）第二套规格：高网格面纹理模型，可用于文物修复、研究等领域。具体要求：</w:t>
      </w:r>
      <w:r/>
    </w:p>
    <w:tbl>
      <w:tblPr>
        <w:tblStyle w:val="93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5"/>
        <w:gridCol w:w="1353"/>
        <w:gridCol w:w="1470"/>
        <w:gridCol w:w="4946"/>
      </w:tblGrid>
      <w:tr>
        <w:trPr>
          <w:jc w:val="center"/>
          <w:trHeight w:val="23"/>
          <w:tblHeader/>
        </w:trPr>
        <w:tc>
          <w:tcPr>
            <w:tcW w:w="847" w:type="pct"/>
            <w:vAlign w:val="center"/>
            <w:textDirection w:val="lrTb"/>
            <w:noWrap w:val="false"/>
          </w:tcPr>
          <w:p>
            <w:pPr>
              <w:jc w:val="center"/>
              <w:spacing w:line="360" w:lineRule="auto"/>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 xml:space="preserve">成果级别</w:t>
            </w:r>
            <w:r/>
          </w:p>
        </w:tc>
        <w:tc>
          <w:tcPr>
            <w:gridSpan w:val="2"/>
            <w:tcW w:w="1508" w:type="pct"/>
            <w:vAlign w:val="center"/>
            <w:textDirection w:val="lrTb"/>
            <w:noWrap w:val="false"/>
          </w:tcPr>
          <w:p>
            <w:pPr>
              <w:jc w:val="center"/>
              <w:spacing w:line="360" w:lineRule="auto"/>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 xml:space="preserve">成果内容</w:t>
            </w:r>
            <w:r/>
          </w:p>
        </w:tc>
        <w:tc>
          <w:tcPr>
            <w:tcW w:w="2645" w:type="pct"/>
            <w:vAlign w:val="center"/>
            <w:textDirection w:val="lrTb"/>
            <w:noWrap w:val="false"/>
          </w:tcPr>
          <w:p>
            <w:pPr>
              <w:jc w:val="center"/>
              <w:spacing w:line="360" w:lineRule="auto"/>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 xml:space="preserve">技术指标</w:t>
            </w:r>
            <w:r/>
          </w:p>
        </w:tc>
      </w:tr>
      <w:tr>
        <w:trPr>
          <w:jc w:val="center"/>
          <w:trHeight w:val="23"/>
        </w:trPr>
        <w:tc>
          <w:tcPr>
            <w:tcW w:w="847" w:type="pct"/>
            <w:vAlign w:val="center"/>
            <w:vMerge w:val="restart"/>
            <w:textDirection w:val="lrTb"/>
            <w:noWrap w:val="false"/>
          </w:tcPr>
          <w:p>
            <w:pPr>
              <w:jc w:val="center"/>
              <w:spacing w:line="360" w:lineRule="auto"/>
              <w:rPr>
                <w:rFonts w:hint="eastAsia" w:asciiTheme="majorEastAsia" w:hAnsiTheme="majorEastAsia" w:eastAsiaTheme="majorEastAsia" w:cstheme="majorEastAsia"/>
                <w:szCs w:val="21"/>
              </w:rPr>
            </w:pPr>
            <w:r/>
            <w:bookmarkStart w:id="654" w:name="_Hlk144289945"/>
            <w:r>
              <w:rPr>
                <w:rFonts w:hint="eastAsia" w:asciiTheme="majorEastAsia" w:hAnsiTheme="majorEastAsia" w:eastAsiaTheme="majorEastAsia" w:cstheme="majorEastAsia"/>
                <w:szCs w:val="21"/>
              </w:rPr>
              <w:t xml:space="preserve">研究修复级</w:t>
            </w:r>
            <w:r/>
          </w:p>
        </w:tc>
        <w:tc>
          <w:tcPr>
            <w:tcW w:w="723" w:type="pct"/>
            <w:vAlign w:val="center"/>
            <w:vMerge w:val="restart"/>
            <w:textDirection w:val="lrTb"/>
            <w:noWrap w:val="false"/>
          </w:tcPr>
          <w:p>
            <w:pPr>
              <w:jc w:val="center"/>
              <w:spacing w:line="360" w:lineRule="auto"/>
              <w:rPr>
                <w:rFonts w:hint="eastAsia" w:asciiTheme="majorEastAsia" w:hAnsiTheme="majorEastAsia" w:eastAsiaTheme="majorEastAsia" w:cstheme="majorEastAsia"/>
                <w:szCs w:val="21"/>
              </w:rPr>
            </w:pPr>
            <w:r/>
            <w:bookmarkStart w:id="655" w:name="_Hlk144286959"/>
            <w:r>
              <w:rPr>
                <w:rFonts w:hint="eastAsia" w:asciiTheme="majorEastAsia" w:hAnsiTheme="majorEastAsia" w:eastAsiaTheme="majorEastAsia" w:cstheme="majorEastAsia"/>
                <w:szCs w:val="21"/>
              </w:rPr>
              <w:t xml:space="preserve">纹理模型</w:t>
            </w:r>
            <w:bookmarkEnd w:id="655"/>
            <w:r/>
            <w:r/>
          </w:p>
        </w:tc>
        <w:tc>
          <w:tcPr>
            <w:tcW w:w="786" w:type="pct"/>
            <w:vAlign w:val="center"/>
            <w:textDirection w:val="lrTb"/>
            <w:noWrap w:val="false"/>
          </w:tcPr>
          <w:p>
            <w:pPr>
              <w:jc w:val="center"/>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三维素模</w:t>
            </w:r>
            <w:r/>
          </w:p>
        </w:tc>
        <w:tc>
          <w:tcPr>
            <w:tcW w:w="2645" w:type="pct"/>
            <w:vAlign w:val="center"/>
            <w:textDirection w:val="lrTb"/>
            <w:noWrap w:val="false"/>
          </w:tcPr>
          <w:p>
            <w:pPr>
              <w:jc w:val="left"/>
              <w:spacing w:line="360" w:lineRule="auto"/>
              <w:rPr>
                <w:rFonts w:hint="eastAsia" w:asciiTheme="majorEastAsia" w:hAnsiTheme="majorEastAsia" w:eastAsiaTheme="majorEastAsia" w:cstheme="majorEastAsia"/>
                <w:szCs w:val="21"/>
              </w:rPr>
            </w:pPr>
            <w:r/>
            <w:bookmarkStart w:id="656" w:name="_Hlk144288438"/>
            <w:r>
              <w:rPr>
                <w:rFonts w:hint="eastAsia" w:asciiTheme="majorEastAsia" w:hAnsiTheme="majorEastAsia" w:eastAsiaTheme="majorEastAsia" w:cstheme="majorEastAsia"/>
                <w:szCs w:val="21"/>
              </w:rPr>
              <w:t xml:space="preserve">1.模型网格面数量为相应存档网格模型的50%，原则上≤1000万；</w:t>
            </w:r>
            <w:r/>
          </w:p>
          <w:p>
            <w:pPr>
              <w:jc w:val="left"/>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2.表达的最小表面起伏变化≥1mm；</w:t>
            </w:r>
            <w:r/>
          </w:p>
          <w:p>
            <w:pPr>
              <w:jc w:val="left"/>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3.完整度100％；</w:t>
            </w:r>
            <w:r/>
          </w:p>
          <w:p>
            <w:pPr>
              <w:jc w:val="left"/>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4.模型存储格式*.OBJ、STL等。</w:t>
            </w:r>
            <w:bookmarkEnd w:id="656"/>
            <w:r/>
            <w:r/>
          </w:p>
        </w:tc>
      </w:tr>
      <w:tr>
        <w:trPr>
          <w:jc w:val="center"/>
          <w:trHeight w:val="23"/>
        </w:trPr>
        <w:tc>
          <w:tcPr>
            <w:tcW w:w="847" w:type="pct"/>
            <w:vAlign w:val="center"/>
            <w:vMerge w:val="continue"/>
            <w:textDirection w:val="lrTb"/>
            <w:noWrap w:val="false"/>
          </w:tcPr>
          <w:p>
            <w:pPr>
              <w:ind w:firstLine="420"/>
              <w:jc w:val="center"/>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W w:w="723" w:type="pct"/>
            <w:vMerge w:val="continue"/>
            <w:textDirection w:val="lrTb"/>
            <w:noWrap w:val="false"/>
          </w:tcPr>
          <w:p>
            <w:pPr>
              <w:jc w:val="center"/>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W w:w="786" w:type="pct"/>
            <w:vAlign w:val="center"/>
            <w:textDirection w:val="lrTb"/>
            <w:noWrap w:val="false"/>
          </w:tcPr>
          <w:p>
            <w:pPr>
              <w:jc w:val="center"/>
              <w:spacing w:line="360" w:lineRule="auto"/>
              <w:rPr>
                <w:rFonts w:hint="eastAsia" w:asciiTheme="majorEastAsia" w:hAnsiTheme="majorEastAsia" w:eastAsiaTheme="majorEastAsia" w:cstheme="majorEastAsia"/>
                <w:szCs w:val="21"/>
              </w:rPr>
            </w:pPr>
            <w:r/>
            <w:bookmarkStart w:id="657" w:name="_Hlk144288161"/>
            <w:r>
              <w:rPr>
                <w:rFonts w:hint="eastAsia" w:asciiTheme="majorEastAsia" w:hAnsiTheme="majorEastAsia" w:eastAsiaTheme="majorEastAsia" w:cstheme="majorEastAsia"/>
                <w:szCs w:val="21"/>
              </w:rPr>
              <w:t xml:space="preserve">纹理贴图</w:t>
            </w:r>
            <w:bookmarkEnd w:id="657"/>
            <w:r/>
            <w:r/>
          </w:p>
        </w:tc>
        <w:tc>
          <w:tcPr>
            <w:tcW w:w="2645" w:type="pct"/>
            <w:vAlign w:val="center"/>
            <w:textDirection w:val="lrTb"/>
            <w:noWrap w:val="false"/>
          </w:tcPr>
          <w:p>
            <w:pPr>
              <w:jc w:val="left"/>
              <w:spacing w:line="360" w:lineRule="auto"/>
              <w:rPr>
                <w:rFonts w:hint="eastAsia" w:asciiTheme="majorEastAsia" w:hAnsiTheme="majorEastAsia" w:eastAsiaTheme="majorEastAsia" w:cstheme="majorEastAsia"/>
                <w:szCs w:val="21"/>
              </w:rPr>
            </w:pPr>
            <w:r/>
            <w:bookmarkStart w:id="658" w:name="_Hlk144288464"/>
            <w:r>
              <w:rPr>
                <w:rFonts w:hint="eastAsia" w:asciiTheme="majorEastAsia" w:hAnsiTheme="majorEastAsia" w:eastAsiaTheme="majorEastAsia" w:cstheme="majorEastAsia"/>
                <w:szCs w:val="21"/>
              </w:rPr>
              <w:t xml:space="preserve">1.贴图像素：单张4096×4096；</w:t>
            </w:r>
            <w:r/>
          </w:p>
          <w:p>
            <w:pPr>
              <w:jc w:val="left"/>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2.完整度100％；</w:t>
            </w:r>
            <w:r/>
          </w:p>
          <w:p>
            <w:pPr>
              <w:jc w:val="left"/>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3.贴图存储格式*JPG、TIFF、PNG等。</w:t>
            </w:r>
            <w:bookmarkEnd w:id="658"/>
            <w:r/>
            <w:bookmarkEnd w:id="654"/>
            <w:r/>
            <w:r/>
          </w:p>
        </w:tc>
      </w:tr>
    </w:tbl>
    <w:p>
      <w:pPr>
        <w:pStyle w:val="941"/>
        <w:ind w:firstLine="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（3）第三套规格：低网格面纹理模型，可用于文物展示、传播等领域。具体要求：</w:t>
      </w:r>
      <w:r/>
    </w:p>
    <w:tbl>
      <w:tblPr>
        <w:tblStyle w:val="93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3"/>
        <w:gridCol w:w="1351"/>
        <w:gridCol w:w="1472"/>
        <w:gridCol w:w="4948"/>
      </w:tblGrid>
      <w:tr>
        <w:trPr>
          <w:jc w:val="center"/>
          <w:trHeight w:val="23"/>
          <w:tblHeader/>
        </w:trPr>
        <w:tc>
          <w:tcPr>
            <w:tcW w:w="846" w:type="pct"/>
            <w:vAlign w:val="center"/>
            <w:textDirection w:val="lrTb"/>
            <w:noWrap w:val="false"/>
          </w:tcPr>
          <w:p>
            <w:pPr>
              <w:jc w:val="center"/>
              <w:spacing w:line="360" w:lineRule="auto"/>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 xml:space="preserve">成果级别</w:t>
            </w:r>
            <w:r/>
          </w:p>
        </w:tc>
        <w:tc>
          <w:tcPr>
            <w:gridSpan w:val="2"/>
            <w:tcW w:w="1508" w:type="pct"/>
            <w:vAlign w:val="center"/>
            <w:textDirection w:val="lrTb"/>
            <w:noWrap w:val="false"/>
          </w:tcPr>
          <w:p>
            <w:pPr>
              <w:jc w:val="center"/>
              <w:spacing w:line="360" w:lineRule="auto"/>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 xml:space="preserve">成果内容</w:t>
            </w:r>
            <w:r/>
          </w:p>
        </w:tc>
        <w:tc>
          <w:tcPr>
            <w:tcW w:w="2646" w:type="pct"/>
            <w:vAlign w:val="center"/>
            <w:textDirection w:val="lrTb"/>
            <w:noWrap w:val="false"/>
          </w:tcPr>
          <w:p>
            <w:pPr>
              <w:jc w:val="center"/>
              <w:spacing w:line="360" w:lineRule="auto"/>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 xml:space="preserve">技术指标</w:t>
            </w:r>
            <w:r/>
          </w:p>
        </w:tc>
      </w:tr>
      <w:tr>
        <w:trPr>
          <w:jc w:val="center"/>
          <w:trHeight w:val="23"/>
        </w:trPr>
        <w:tc>
          <w:tcPr>
            <w:tcW w:w="846" w:type="pct"/>
            <w:vAlign w:val="center"/>
            <w:vMerge w:val="restart"/>
            <w:textDirection w:val="lrTb"/>
            <w:noWrap w:val="false"/>
          </w:tcPr>
          <w:p>
            <w:pPr>
              <w:jc w:val="center"/>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展示传播级</w:t>
            </w:r>
            <w:r/>
          </w:p>
        </w:tc>
        <w:tc>
          <w:tcPr>
            <w:tcW w:w="722" w:type="pct"/>
            <w:vAlign w:val="center"/>
            <w:vMerge w:val="restart"/>
            <w:textDirection w:val="lrTb"/>
            <w:noWrap w:val="false"/>
          </w:tcPr>
          <w:p>
            <w:pPr>
              <w:jc w:val="center"/>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纹理模型</w:t>
            </w:r>
            <w:r/>
          </w:p>
        </w:tc>
        <w:tc>
          <w:tcPr>
            <w:tcW w:w="787" w:type="pct"/>
            <w:vAlign w:val="center"/>
            <w:textDirection w:val="lrTb"/>
            <w:noWrap w:val="false"/>
          </w:tcPr>
          <w:p>
            <w:pPr>
              <w:jc w:val="center"/>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三维素模</w:t>
            </w:r>
            <w:r/>
          </w:p>
        </w:tc>
        <w:tc>
          <w:tcPr>
            <w:tcW w:w="2646" w:type="pct"/>
            <w:vAlign w:val="center"/>
            <w:textDirection w:val="lrTb"/>
            <w:noWrap w:val="false"/>
          </w:tcPr>
          <w:p>
            <w:pPr>
              <w:jc w:val="left"/>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1.模型网格面数量原则上≤30万；</w:t>
            </w:r>
            <w:r/>
          </w:p>
          <w:p>
            <w:pPr>
              <w:jc w:val="left"/>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2.表达的最小表面起伏变化≥2mm；</w:t>
            </w:r>
            <w:r/>
          </w:p>
          <w:p>
            <w:pPr>
              <w:jc w:val="left"/>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3.完整度100％；</w:t>
            </w:r>
            <w:r/>
          </w:p>
          <w:p>
            <w:pPr>
              <w:jc w:val="left"/>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4.模型存储格式*.OBJ、STL等。</w:t>
            </w:r>
            <w:r/>
          </w:p>
        </w:tc>
      </w:tr>
      <w:tr>
        <w:trPr>
          <w:jc w:val="center"/>
          <w:trHeight w:val="23"/>
        </w:trPr>
        <w:tc>
          <w:tcPr>
            <w:tcW w:w="846" w:type="pct"/>
            <w:vAlign w:val="center"/>
            <w:vMerge w:val="continue"/>
            <w:textDirection w:val="lrTb"/>
            <w:noWrap w:val="false"/>
          </w:tcPr>
          <w:p>
            <w:pPr>
              <w:jc w:val="center"/>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W w:w="722" w:type="pct"/>
            <w:vMerge w:val="continue"/>
            <w:textDirection w:val="lrTb"/>
            <w:noWrap w:val="false"/>
          </w:tcPr>
          <w:p>
            <w:pPr>
              <w:jc w:val="center"/>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r>
            <w:r/>
          </w:p>
        </w:tc>
        <w:tc>
          <w:tcPr>
            <w:tcW w:w="787" w:type="pct"/>
            <w:vAlign w:val="center"/>
            <w:textDirection w:val="lrTb"/>
            <w:noWrap w:val="false"/>
          </w:tcPr>
          <w:p>
            <w:pPr>
              <w:jc w:val="center"/>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纹理贴图</w:t>
            </w:r>
            <w:r/>
          </w:p>
        </w:tc>
        <w:tc>
          <w:tcPr>
            <w:tcW w:w="2646" w:type="pct"/>
            <w:vAlign w:val="center"/>
            <w:textDirection w:val="lrTb"/>
            <w:noWrap w:val="false"/>
          </w:tcPr>
          <w:p>
            <w:pPr>
              <w:jc w:val="left"/>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1.贴图像素：单张4096×4096；</w:t>
            </w:r>
            <w:r/>
          </w:p>
          <w:p>
            <w:pPr>
              <w:jc w:val="left"/>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2.完整度100％；</w:t>
            </w:r>
            <w:r/>
          </w:p>
          <w:p>
            <w:pPr>
              <w:jc w:val="left"/>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3.贴图存储格式*.JPG、TIFF、PNG等。</w:t>
            </w:r>
            <w:r/>
          </w:p>
        </w:tc>
      </w:tr>
    </w:tbl>
    <w:p>
      <w:pPr>
        <w:spacing w:before="240" w:after="120" w:line="360" w:lineRule="auto"/>
        <w:rPr>
          <w:rFonts w:hint="eastAsia" w:asciiTheme="majorEastAsia" w:hAnsiTheme="majorEastAsia" w:eastAsiaTheme="majorEastAsia" w:cstheme="majorEastAsia"/>
          <w:b/>
          <w:bCs/>
          <w:szCs w:val="21"/>
        </w:rPr>
        <w:outlineLvl w:val="2"/>
      </w:pPr>
      <w:r>
        <w:rPr>
          <w:rFonts w:hint="eastAsia" w:asciiTheme="majorEastAsia" w:hAnsiTheme="majorEastAsia" w:eastAsiaTheme="majorEastAsia" w:cstheme="majorEastAsia"/>
          <w:b/>
          <w:bCs/>
          <w:szCs w:val="21"/>
          <w:lang w:val="en-US" w:eastAsia="zh-CN"/>
        </w:rPr>
        <w:t xml:space="preserve">5</w:t>
      </w:r>
      <w:r>
        <w:rPr>
          <w:rFonts w:hint="eastAsia" w:asciiTheme="majorEastAsia" w:hAnsiTheme="majorEastAsia" w:eastAsiaTheme="majorEastAsia" w:cstheme="majorEastAsia"/>
          <w:b/>
          <w:bCs/>
          <w:szCs w:val="21"/>
        </w:rPr>
        <w:t xml:space="preserve">.1.2待采集文物清单</w:t>
      </w:r>
      <w:r/>
    </w:p>
    <w:tbl>
      <w:tblPr>
        <w:tblStyle w:val="93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839"/>
        <w:gridCol w:w="1132"/>
        <w:gridCol w:w="672"/>
        <w:gridCol w:w="744"/>
        <w:gridCol w:w="732"/>
        <w:gridCol w:w="768"/>
        <w:gridCol w:w="1308"/>
        <w:gridCol w:w="1233"/>
        <w:gridCol w:w="1353"/>
      </w:tblGrid>
      <w:tr>
        <w:trPr>
          <w:jc w:val="center"/>
          <w:trHeight w:val="23"/>
          <w:tblHeader/>
        </w:trPr>
        <w:tc>
          <w:tcPr>
            <w:tcW w:w="573" w:type="dxa"/>
            <w:vAlign w:val="center"/>
            <w:textDirection w:val="lrTb"/>
            <w:noWrap/>
          </w:tcPr>
          <w:p>
            <w:pPr>
              <w:jc w:val="center"/>
              <w:widowControl/>
              <w:rPr>
                <w:rFonts w:hint="eastAsia" w:asciiTheme="majorEastAsia" w:hAnsiTheme="majorEastAsia" w:eastAsiaTheme="majorEastAsia" w:cstheme="majorEastAsia"/>
                <w:b/>
                <w:bCs/>
                <w:color w:val="000000"/>
                <w:szCs w:val="21"/>
                <w:lang w:bidi="ar"/>
              </w:rPr>
            </w:pPr>
            <w:r>
              <w:rPr>
                <w:rFonts w:hint="eastAsia" w:asciiTheme="majorEastAsia" w:hAnsiTheme="majorEastAsia" w:eastAsiaTheme="majorEastAsia" w:cstheme="majorEastAsia"/>
                <w:b/>
                <w:bCs/>
                <w:color w:val="000000"/>
                <w:szCs w:val="21"/>
                <w:lang w:bidi="ar"/>
              </w:rPr>
              <w:t xml:space="preserve">序号</w:t>
            </w:r>
            <w:r/>
          </w:p>
        </w:tc>
        <w:tc>
          <w:tcPr>
            <w:tcW w:w="839" w:type="dxa"/>
            <w:vAlign w:val="center"/>
            <w:textDirection w:val="lrTb"/>
            <w:noWrap/>
          </w:tcPr>
          <w:p>
            <w:pPr>
              <w:jc w:val="center"/>
              <w:widowControl/>
              <w:rPr>
                <w:rFonts w:hint="eastAsia" w:asciiTheme="majorEastAsia" w:hAnsiTheme="majorEastAsia" w:eastAsiaTheme="majorEastAsia" w:cstheme="majorEastAsia"/>
                <w:b/>
                <w:bCs/>
                <w:color w:val="000000"/>
                <w:szCs w:val="21"/>
                <w:lang w:bidi="ar"/>
              </w:rPr>
            </w:pPr>
            <w:r>
              <w:rPr>
                <w:rFonts w:hint="eastAsia" w:asciiTheme="majorEastAsia" w:hAnsiTheme="majorEastAsia" w:eastAsiaTheme="majorEastAsia" w:cstheme="majorEastAsia"/>
                <w:b/>
                <w:bCs/>
                <w:color w:val="000000"/>
                <w:szCs w:val="21"/>
                <w:lang w:bidi="ar"/>
              </w:rPr>
              <w:t xml:space="preserve">藏品编号</w:t>
            </w:r>
            <w:r/>
          </w:p>
        </w:tc>
        <w:tc>
          <w:tcPr>
            <w:tcW w:w="1132" w:type="dxa"/>
            <w:vAlign w:val="center"/>
            <w:textDirection w:val="lrTb"/>
            <w:noWrap w:val="false"/>
          </w:tcPr>
          <w:p>
            <w:pPr>
              <w:jc w:val="center"/>
              <w:widowControl/>
              <w:rPr>
                <w:rFonts w:hint="eastAsia" w:asciiTheme="majorEastAsia" w:hAnsiTheme="majorEastAsia" w:eastAsiaTheme="majorEastAsia" w:cstheme="majorEastAsia"/>
                <w:b/>
                <w:bCs/>
                <w:color w:val="000000"/>
                <w:szCs w:val="21"/>
                <w:lang w:bidi="ar"/>
              </w:rPr>
            </w:pPr>
            <w:r>
              <w:rPr>
                <w:rFonts w:hint="eastAsia" w:asciiTheme="majorEastAsia" w:hAnsiTheme="majorEastAsia" w:eastAsiaTheme="majorEastAsia" w:cstheme="majorEastAsia"/>
                <w:b/>
                <w:bCs/>
                <w:color w:val="000000"/>
                <w:szCs w:val="21"/>
                <w:lang w:bidi="ar"/>
              </w:rPr>
              <w:t xml:space="preserve">名称</w:t>
            </w:r>
            <w:r/>
          </w:p>
        </w:tc>
        <w:tc>
          <w:tcPr>
            <w:tcW w:w="672" w:type="dxa"/>
            <w:vAlign w:val="center"/>
            <w:textDirection w:val="lrTb"/>
            <w:noWrap w:val="false"/>
          </w:tcPr>
          <w:p>
            <w:pPr>
              <w:jc w:val="center"/>
              <w:widowControl/>
              <w:rPr>
                <w:rFonts w:hint="eastAsia" w:asciiTheme="majorEastAsia" w:hAnsiTheme="majorEastAsia" w:eastAsiaTheme="majorEastAsia" w:cstheme="majorEastAsia"/>
                <w:b/>
                <w:bCs/>
                <w:color w:val="000000"/>
                <w:szCs w:val="21"/>
                <w:lang w:bidi="ar"/>
              </w:rPr>
            </w:pPr>
            <w:r>
              <w:rPr>
                <w:rFonts w:hint="eastAsia" w:asciiTheme="majorEastAsia" w:hAnsiTheme="majorEastAsia" w:eastAsiaTheme="majorEastAsia" w:cstheme="majorEastAsia"/>
                <w:b/>
                <w:bCs/>
                <w:color w:val="000000"/>
                <w:szCs w:val="21"/>
                <w:lang w:bidi="ar"/>
              </w:rPr>
              <w:t xml:space="preserve">年代</w:t>
            </w:r>
            <w:r/>
          </w:p>
        </w:tc>
        <w:tc>
          <w:tcPr>
            <w:tcW w:w="744" w:type="dxa"/>
            <w:vAlign w:val="center"/>
            <w:textDirection w:val="lrTb"/>
            <w:noWrap w:val="false"/>
          </w:tcPr>
          <w:p>
            <w:pPr>
              <w:jc w:val="center"/>
              <w:widowControl/>
              <w:rPr>
                <w:rFonts w:hint="eastAsia" w:asciiTheme="majorEastAsia" w:hAnsiTheme="majorEastAsia" w:eastAsiaTheme="majorEastAsia" w:cstheme="majorEastAsia"/>
                <w:b/>
                <w:bCs/>
                <w:color w:val="000000"/>
                <w:szCs w:val="21"/>
                <w:lang w:bidi="ar"/>
              </w:rPr>
            </w:pPr>
            <w:r>
              <w:rPr>
                <w:rFonts w:hint="eastAsia" w:asciiTheme="majorEastAsia" w:hAnsiTheme="majorEastAsia" w:eastAsiaTheme="majorEastAsia" w:cstheme="majorEastAsia"/>
                <w:b/>
                <w:bCs/>
                <w:color w:val="000000"/>
                <w:szCs w:val="21"/>
                <w:lang w:bidi="ar"/>
              </w:rPr>
              <w:t xml:space="preserve">质地</w:t>
            </w:r>
            <w:r/>
          </w:p>
        </w:tc>
        <w:tc>
          <w:tcPr>
            <w:tcW w:w="732" w:type="dxa"/>
            <w:vAlign w:val="center"/>
            <w:textDirection w:val="lrTb"/>
            <w:noWrap/>
          </w:tcPr>
          <w:p>
            <w:pPr>
              <w:jc w:val="center"/>
              <w:widowControl/>
              <w:rPr>
                <w:rFonts w:hint="eastAsia" w:asciiTheme="majorEastAsia" w:hAnsiTheme="majorEastAsia" w:eastAsiaTheme="majorEastAsia" w:cstheme="majorEastAsia"/>
                <w:b/>
                <w:bCs/>
                <w:color w:val="000000"/>
                <w:szCs w:val="21"/>
                <w:lang w:bidi="ar"/>
              </w:rPr>
            </w:pPr>
            <w:r>
              <w:rPr>
                <w:rFonts w:hint="eastAsia" w:asciiTheme="majorEastAsia" w:hAnsiTheme="majorEastAsia" w:eastAsiaTheme="majorEastAsia" w:cstheme="majorEastAsia"/>
                <w:b/>
                <w:bCs/>
                <w:color w:val="000000"/>
                <w:szCs w:val="21"/>
                <w:lang w:bidi="ar"/>
              </w:rPr>
              <w:t xml:space="preserve">实际数量</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b/>
                <w:bCs/>
                <w:color w:val="000000"/>
                <w:szCs w:val="21"/>
                <w:lang w:bidi="ar"/>
              </w:rPr>
            </w:pPr>
            <w:r>
              <w:rPr>
                <w:rFonts w:hint="eastAsia" w:asciiTheme="majorEastAsia" w:hAnsiTheme="majorEastAsia" w:eastAsiaTheme="majorEastAsia" w:cstheme="majorEastAsia"/>
                <w:b/>
                <w:bCs/>
                <w:color w:val="000000"/>
                <w:szCs w:val="21"/>
                <w:lang w:bidi="ar"/>
              </w:rPr>
              <w:t xml:space="preserve">文物级别</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b/>
                <w:bCs/>
                <w:color w:val="000000"/>
                <w:szCs w:val="21"/>
                <w:lang w:bidi="ar"/>
              </w:rPr>
            </w:pPr>
            <w:r>
              <w:rPr>
                <w:rFonts w:hint="eastAsia" w:asciiTheme="majorEastAsia" w:hAnsiTheme="majorEastAsia" w:eastAsiaTheme="majorEastAsia" w:cstheme="majorEastAsia"/>
                <w:b/>
                <w:bCs/>
                <w:color w:val="000000"/>
                <w:szCs w:val="21"/>
                <w:lang w:bidi="ar"/>
              </w:rPr>
              <w:t xml:space="preserve">尺寸</w:t>
            </w:r>
            <w:r/>
          </w:p>
        </w:tc>
        <w:tc>
          <w:tcPr>
            <w:tcW w:w="1233" w:type="dxa"/>
            <w:vAlign w:val="center"/>
            <w:textDirection w:val="lrTb"/>
            <w:noWrap w:val="false"/>
          </w:tcPr>
          <w:p>
            <w:pPr>
              <w:jc w:val="center"/>
              <w:widowControl/>
              <w:rPr>
                <w:rFonts w:hint="eastAsia" w:asciiTheme="majorEastAsia" w:hAnsiTheme="majorEastAsia" w:eastAsiaTheme="majorEastAsia" w:cstheme="majorEastAsia"/>
                <w:b/>
                <w:bCs/>
                <w:color w:val="000000"/>
                <w:szCs w:val="21"/>
                <w:lang w:bidi="ar"/>
              </w:rPr>
            </w:pPr>
            <w:r>
              <w:rPr>
                <w:rFonts w:hint="eastAsia" w:asciiTheme="majorEastAsia" w:hAnsiTheme="majorEastAsia" w:eastAsiaTheme="majorEastAsia" w:cstheme="majorEastAsia"/>
                <w:b/>
                <w:bCs/>
                <w:color w:val="000000"/>
                <w:szCs w:val="21"/>
                <w:lang w:bidi="ar"/>
              </w:rPr>
              <w:t xml:space="preserve">保存状态</w:t>
            </w:r>
            <w:r/>
          </w:p>
        </w:tc>
        <w:tc>
          <w:tcPr>
            <w:tcW w:w="1353" w:type="dxa"/>
            <w:vAlign w:val="center"/>
            <w:textDirection w:val="lrTb"/>
            <w:noWrap/>
          </w:tcPr>
          <w:p>
            <w:pPr>
              <w:jc w:val="center"/>
              <w:widowControl/>
              <w:rPr>
                <w:rFonts w:hint="eastAsia" w:asciiTheme="majorEastAsia" w:hAnsiTheme="majorEastAsia" w:eastAsiaTheme="majorEastAsia" w:cstheme="majorEastAsia"/>
                <w:b/>
                <w:bCs/>
                <w:color w:val="000000"/>
                <w:szCs w:val="21"/>
                <w:lang w:bidi="ar"/>
              </w:rPr>
            </w:pPr>
            <w:r>
              <w:rPr>
                <w:rFonts w:hint="eastAsia" w:asciiTheme="majorEastAsia" w:hAnsiTheme="majorEastAsia" w:eastAsiaTheme="majorEastAsia" w:cstheme="majorEastAsia"/>
                <w:b/>
                <w:bCs/>
                <w:color w:val="000000"/>
                <w:szCs w:val="21"/>
                <w:lang w:bidi="ar"/>
              </w:rPr>
              <w:t xml:space="preserve">缩略图</w: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2494</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宋牡丹纹银托盏</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一级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托盘直径16.8cm，高1.5cm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IMG_256"/>
                              <pic:cNvPicPr>
                                <a:picLocks noChangeAspect="1"/>
                              </pic:cNvPicPr>
                              <pic:nvPr/>
                            </pic:nvPicPr>
                            <pic:blipFill>
                              <a:blip r:embed="rId16"/>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0pt;height:39.8pt;mso-wrap-distance-left:0.0pt;mso-wrap-distance-top:0.0pt;mso-wrap-distance-right:0.0pt;mso-wrap-distance-bottom:0.0pt;" stroked="f" strokeweight="0.75pt">
                      <v:path textboxrect="0,0,0,0"/>
                      <v:imagedata r:id="rId16"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2495</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宋鎏金梅花银盒</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一级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直径11.0cm，高4.5cm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7"/>
                              <pic:cNvPicPr>
                                <a:picLocks noChangeAspect="1"/>
                              </pic:cNvPicPr>
                              <pic:nvPr/>
                            </pic:nvPicPr>
                            <pic:blipFill>
                              <a:blip r:embed="rId17"/>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0pt;height:39.8pt;mso-wrap-distance-left:0.0pt;mso-wrap-distance-top:0.0pt;mso-wrap-distance-right:0.0pt;mso-wrap-distance-bottom:0.0pt;" stroked="f" strokeweight="0.75pt">
                      <v:path textboxrect="0,0,0,0"/>
                      <v:imagedata r:id="rId17"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3</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79</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宋定窑划花鱼纹瓷盘</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瓷</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口径13.5cm，高2.0cm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IMG_258"/>
                              <pic:cNvPicPr>
                                <a:picLocks noChangeAspect="1"/>
                              </pic:cNvPicPr>
                              <pic:nvPr/>
                            </pic:nvPicPr>
                            <pic:blipFill>
                              <a:blip r:embed="rId18"/>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39.8pt;mso-wrap-distance-left:0.0pt;mso-wrap-distance-top:0.0pt;mso-wrap-distance-right:0.0pt;mso-wrap-distance-bottom:0.0pt;" stroked="f" strokeweight="0.75pt">
                      <v:path textboxrect="0,0,0,0"/>
                      <v:imagedata r:id="rId18"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4</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80</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宋定窑划花鱼荷纹瓷盘</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瓷</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口径13.5cm，高2.0cm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descr="IMG_259"/>
                              <pic:cNvPicPr>
                                <a:picLocks noChangeAspect="1"/>
                              </pic:cNvPicPr>
                              <pic:nvPr/>
                            </pic:nvPicPr>
                            <pic:blipFill>
                              <a:blip r:embed="rId19"/>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0pt;height:39.8pt;mso-wrap-distance-left:0.0pt;mso-wrap-distance-top:0.0pt;mso-wrap-distance-right:0.0pt;mso-wrap-distance-bottom:0.0pt;" stroked="f" strokeweight="0.75pt">
                      <v:path textboxrect="0,0,0,0"/>
                      <v:imagedata r:id="rId19"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5</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92</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宋越窑青釉刻花牡丹纹盖盒</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瓷</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外口径13.5cm，内口径11.5cm，高7.0cm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descr="IMG_260"/>
                              <pic:cNvPicPr>
                                <a:picLocks noChangeAspect="1"/>
                              </pic:cNvPicPr>
                              <pic:nvPr/>
                            </pic:nvPicPr>
                            <pic:blipFill>
                              <a:blip r:embed="rId20"/>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0pt;height:39.8pt;mso-wrap-distance-left:0.0pt;mso-wrap-distance-top:0.0pt;mso-wrap-distance-right:0.0pt;mso-wrap-distance-bottom:0.0pt;" stroked="f" strokeweight="0.75pt">
                      <v:path textboxrect="0,0,0,0"/>
                      <v:imagedata r:id="rId20"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6</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98</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西晋青瓷辟邪烛台</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瓷</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身长16.5cm，身高10.5cm，腹周25.0cm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已修复 基本完整 腹部有裂缝</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8"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descr="IMG_261"/>
                              <pic:cNvPicPr>
                                <a:picLocks noChangeAspect="1"/>
                              </pic:cNvPicPr>
                              <pic:nvPr/>
                            </pic:nvPicPr>
                            <pic:blipFill>
                              <a:blip r:embed="rId21"/>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0.0pt;height:39.8pt;mso-wrap-distance-left:0.0pt;mso-wrap-distance-top:0.0pt;mso-wrap-distance-right:0.0pt;mso-wrap-distance-bottom:0.0pt;" stroked="f" strokeweight="0.75pt">
                      <v:path textboxrect="0,0,0,0"/>
                      <v:imagedata r:id="rId21"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7</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392</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宋琉璃陶青龙</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通长73.0cm,通高46.0cm,首宽11.0cm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基本完整，腹部腿部有裂缝、起翘</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9"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descr="IMG_262"/>
                              <pic:cNvPicPr>
                                <a:picLocks noChangeAspect="1"/>
                              </pic:cNvPicPr>
                              <pic:nvPr/>
                            </pic:nvPicPr>
                            <pic:blipFill>
                              <a:blip r:embed="rId22"/>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0.0pt;height:39.8pt;mso-wrap-distance-left:0.0pt;mso-wrap-distance-top:0.0pt;mso-wrap-distance-right:0.0pt;mso-wrap-distance-bottom:0.0pt;" stroked="f" strokeweight="0.75pt">
                      <v:path textboxrect="0,0,0,0"/>
                      <v:imagedata r:id="rId22"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8</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393</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宋琉璃陶白虎</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通长60.0cm,通高43.0cm,首宽14.0cm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已修复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10"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IMG_263"/>
                              <pic:cNvPicPr>
                                <a:picLocks noChangeAspect="1"/>
                              </pic:cNvPicPr>
                              <pic:nvPr/>
                            </pic:nvPicPr>
                            <pic:blipFill>
                              <a:blip r:embed="rId23"/>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0.0pt;height:39.8pt;mso-wrap-distance-left:0.0pt;mso-wrap-distance-top:0.0pt;mso-wrap-distance-right:0.0pt;mso-wrap-distance-bottom:0.0pt;" stroked="f" strokeweight="0.75pt">
                      <v:path textboxrect="0,0,0,0"/>
                      <v:imagedata r:id="rId23"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9</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394</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宋陶玄武</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通长22.0cm，通高16.0cm，通宽15.0cm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已修复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11"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 descr="IMG_264"/>
                              <pic:cNvPicPr>
                                <a:picLocks noChangeAspect="1"/>
                              </pic:cNvPicPr>
                              <pic:nvPr/>
                            </pic:nvPicPr>
                            <pic:blipFill>
                              <a:blip r:embed="rId24"/>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0.0pt;height:39.8pt;mso-wrap-distance-left:0.0pt;mso-wrap-distance-top:0.0pt;mso-wrap-distance-right:0.0pt;mso-wrap-distance-bottom:0.0pt;" stroked="f" strokeweight="0.75pt">
                      <v:path textboxrect="0,0,0,0"/>
                      <v:imagedata r:id="rId24"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10</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439</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东吴龟纽铜印</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三国·吴(222~280)</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边长2.3cm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12"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descr="IMG_265"/>
                              <pic:cNvPicPr>
                                <a:picLocks noChangeAspect="1"/>
                              </pic:cNvPicPr>
                              <pic:nvPr/>
                            </pic:nvPicPr>
                            <pic:blipFill>
                              <a:blip r:embed="rId25"/>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0.0pt;height:39.8pt;mso-wrap-distance-left:0.0pt;mso-wrap-distance-top:0.0pt;mso-wrap-distance-right:0.0pt;mso-wrap-distance-bottom:0.0pt;" stroked="f" strokeweight="0.75pt">
                      <v:path textboxrect="0,0,0,0"/>
                      <v:imagedata r:id="rId25"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11</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467</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明仿汉四乳镜</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明(1368~1644)</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直径10.5cm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基本完整，镜面微缺 边沿微缺</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13"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1" descr="IMG_266"/>
                              <pic:cNvPicPr>
                                <a:picLocks noChangeAspect="1"/>
                              </pic:cNvPicPr>
                              <pic:nvPr/>
                            </pic:nvPicPr>
                            <pic:blipFill>
                              <a:blip r:embed="rId26"/>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0.0pt;height:39.8pt;mso-wrap-distance-left:0.0pt;mso-wrap-distance-top:0.0pt;mso-wrap-distance-right:0.0pt;mso-wrap-distance-bottom:0.0pt;" stroked="f" strokeweight="0.75pt">
                      <v:path textboxrect="0,0,0,0"/>
                      <v:imagedata r:id="rId26"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12</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481</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宋铜锡合金鼎</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高8.1cm，口径10.2cm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14"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2" descr="IMG_267"/>
                              <pic:cNvPicPr>
                                <a:picLocks noChangeAspect="1"/>
                              </pic:cNvPicPr>
                              <pic:nvPr/>
                            </pic:nvPicPr>
                            <pic:blipFill>
                              <a:blip r:embed="rId27"/>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0.0pt;height:39.8pt;mso-wrap-distance-left:0.0pt;mso-wrap-distance-top:0.0pt;mso-wrap-distance-right:0.0pt;mso-wrap-distance-bottom:0.0pt;" stroked="f" strokeweight="0.75pt">
                      <v:path textboxrect="0,0,0,0"/>
                      <v:imagedata r:id="rId27"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13</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1255</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汉漆耳杯</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木</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长17.8cm，宽13.5cm，高4.5cm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基本完整，底部微缺 局部掉漆</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15"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3" descr="IMG_268"/>
                              <pic:cNvPicPr>
                                <a:picLocks noChangeAspect="1"/>
                              </pic:cNvPicPr>
                              <pic:nvPr/>
                            </pic:nvPicPr>
                            <pic:blipFill>
                              <a:blip r:embed="rId28"/>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0.0pt;height:39.8pt;mso-wrap-distance-left:0.0pt;mso-wrap-distance-top:0.0pt;mso-wrap-distance-right:0.0pt;mso-wrap-distance-bottom:0.0pt;" stroked="f" strokeweight="0.75pt">
                      <v:path textboxrect="0,0,0,0"/>
                      <v:imagedata r:id="rId28"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14</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1256</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汉漆耳杯</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木</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长12.4cm，宽11.0cm，高4.5cm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基本完整，器身开裂 有细小裂纹</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16"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4" descr="IMG_269"/>
                              <pic:cNvPicPr>
                                <a:picLocks noChangeAspect="1"/>
                              </pic:cNvPicPr>
                              <pic:nvPr/>
                            </pic:nvPicPr>
                            <pic:blipFill>
                              <a:blip r:embed="rId29"/>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0.0pt;height:39.8pt;mso-wrap-distance-left:0.0pt;mso-wrap-distance-top:0.0pt;mso-wrap-distance-right:0.0pt;mso-wrap-distance-bottom:0.0pt;" stroked="f" strokeweight="0.75pt">
                      <v:path textboxrect="0,0,0,0"/>
                      <v:imagedata r:id="rId29"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15</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1264</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新石器时代双孔石斧</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新石器时代</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石</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斧宽6.5cm，刃长14.5cm，顶部长13.5cm，孔直径2.0cm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17"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5" descr="IMG_270"/>
                              <pic:cNvPicPr>
                                <a:picLocks noChangeAspect="1"/>
                              </pic:cNvPicPr>
                              <pic:nvPr/>
                            </pic:nvPicPr>
                            <pic:blipFill>
                              <a:blip r:embed="rId30"/>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0.0pt;height:39.8pt;mso-wrap-distance-left:0.0pt;mso-wrap-distance-top:0.0pt;mso-wrap-distance-right:0.0pt;mso-wrap-distance-bottom:0.0pt;" stroked="f" strokeweight="0.75pt">
                      <v:path textboxrect="0,0,0,0"/>
                      <v:imagedata r:id="rId30"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16</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1267</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汉四乳铜镜</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直径13.0cm，边厚0.7cm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18"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6" descr="IMG_271"/>
                              <pic:cNvPicPr>
                                <a:picLocks noChangeAspect="1"/>
                              </pic:cNvPicPr>
                              <pic:nvPr/>
                            </pic:nvPicPr>
                            <pic:blipFill>
                              <a:blip r:embed="rId31"/>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0.0pt;height:39.8pt;mso-wrap-distance-left:0.0pt;mso-wrap-distance-top:0.0pt;mso-wrap-distance-right:0.0pt;mso-wrap-distance-bottom:0.0pt;" stroked="f" strokeweight="0.75pt">
                      <v:path textboxrect="0,0,0,0"/>
                      <v:imagedata r:id="rId31"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17</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1268</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六朝四神铜镜</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六朝</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直径18.3cm，边厚0.7cm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基本完整，有两条裂缝</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19" name="图片 19"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IMG_272"/>
                              <pic:cNvPicPr>
                                <a:picLocks noChangeAspect="1"/>
                              </pic:cNvPicPr>
                              <pic:nvPr/>
                            </pic:nvPicPr>
                            <pic:blipFill>
                              <a:blip r:embed="rId32"/>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60.0pt;height:39.8pt;mso-wrap-distance-left:0.0pt;mso-wrap-distance-top:0.0pt;mso-wrap-distance-right:0.0pt;mso-wrap-distance-bottom:0.0pt;" stroked="f" strokeweight="0.75pt">
                      <v:path textboxrect="0,0,0,0"/>
                      <v:imagedata r:id="rId32"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18</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1367</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宋银酒壶</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高18.5cm，口径5.5cm，腹周32cm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20"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8" descr="IMG_273"/>
                              <pic:cNvPicPr>
                                <a:picLocks noChangeAspect="1"/>
                              </pic:cNvPicPr>
                              <pic:nvPr/>
                            </pic:nvPicPr>
                            <pic:blipFill>
                              <a:blip r:embed="rId33"/>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0.0pt;height:39.8pt;mso-wrap-distance-left:0.0pt;mso-wrap-distance-top:0.0pt;mso-wrap-distance-right:0.0pt;mso-wrap-distance-bottom:0.0pt;" stroked="f" strokeweight="0.75pt">
                      <v:path textboxrect="0,0,0,0"/>
                      <v:imagedata r:id="rId33"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19</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1368</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宋敞口银碗</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高8.3cm，口径11.8cm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21"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9" descr="IMG_274"/>
                              <pic:cNvPicPr>
                                <a:picLocks noChangeAspect="1"/>
                              </pic:cNvPicPr>
                              <pic:nvPr/>
                            </pic:nvPicPr>
                            <pic:blipFill>
                              <a:blip r:embed="rId34"/>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60.0pt;height:39.8pt;mso-wrap-distance-left:0.0pt;mso-wrap-distance-top:0.0pt;mso-wrap-distance-right:0.0pt;mso-wrap-distance-bottom:0.0pt;" stroked="f" strokeweight="0.75pt">
                      <v:path textboxrect="0,0,0,0"/>
                      <v:imagedata r:id="rId34"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20</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1369</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宋银发冠</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长13.5cm，高6.5cm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22"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0" descr="IMG_275"/>
                              <pic:cNvPicPr>
                                <a:picLocks noChangeAspect="1"/>
                              </pic:cNvPicPr>
                              <pic:nvPr/>
                            </pic:nvPicPr>
                            <pic:blipFill>
                              <a:blip r:embed="rId35"/>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60.0pt;height:39.8pt;mso-wrap-distance-left:0.0pt;mso-wrap-distance-top:0.0pt;mso-wrap-distance-right:0.0pt;mso-wrap-distance-bottom:0.0pt;" stroked="f" strokeweight="0.75pt">
                      <v:path textboxrect="0,0,0,0"/>
                      <v:imagedata r:id="rId35"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21</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1375</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宋银筷</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长23.3cm，宽0.6cm,高0.6cm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23"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1" descr="IMG_276"/>
                              <pic:cNvPicPr>
                                <a:picLocks noChangeAspect="1"/>
                              </pic:cNvPicPr>
                              <pic:nvPr/>
                            </pic:nvPicPr>
                            <pic:blipFill>
                              <a:blip r:embed="rId36"/>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0.0pt;height:39.8pt;mso-wrap-distance-left:0.0pt;mso-wrap-distance-top:0.0pt;mso-wrap-distance-right:0.0pt;mso-wrap-distance-bottom:0.0pt;" stroked="f" strokeweight="0.75pt">
                      <v:path textboxrect="0,0,0,0"/>
                      <v:imagedata r:id="rId36"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22</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1380</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宋莲花银盏</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直径9.4cm，高5.0cm，底径4.5cm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24"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2" descr="IMG_277"/>
                              <pic:cNvPicPr>
                                <a:picLocks noChangeAspect="1"/>
                              </pic:cNvPicPr>
                              <pic:nvPr/>
                            </pic:nvPicPr>
                            <pic:blipFill>
                              <a:blip r:embed="rId37"/>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60.0pt;height:39.8pt;mso-wrap-distance-left:0.0pt;mso-wrap-distance-top:0.0pt;mso-wrap-distance-right:0.0pt;mso-wrap-distance-bottom:0.0pt;" stroked="f" strokeweight="0.75pt">
                      <v:path textboxrect="0,0,0,0"/>
                      <v:imagedata r:id="rId37"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23</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1411</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清“大清雍正年制”祭红釉瓷盘</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清(1616~1911)</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瓷</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口径20.7cm，高4.5cm，底径13.4cm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25"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3" descr="IMG_278"/>
                              <pic:cNvPicPr>
                                <a:picLocks noChangeAspect="1"/>
                              </pic:cNvPicPr>
                              <pic:nvPr/>
                            </pic:nvPicPr>
                            <pic:blipFill>
                              <a:blip r:embed="rId38"/>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60.0pt;height:39.8pt;mso-wrap-distance-left:0.0pt;mso-wrap-distance-top:0.0pt;mso-wrap-distance-right:0.0pt;mso-wrap-distance-bottom:0.0pt;" stroked="f" strokeweight="0.75pt">
                      <v:path textboxrect="0,0,0,0"/>
                      <v:imagedata r:id="rId38"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24</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1412</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清“大清雍正年制”黄釉暗刻龙纹瓷盘</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清(1616~1911)</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瓷</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二级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口径20.5cm，高4.0cm，底径12.6cm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26"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4" descr="IMG_279"/>
                              <pic:cNvPicPr>
                                <a:picLocks noChangeAspect="1"/>
                              </pic:cNvPicPr>
                              <pic:nvPr/>
                            </pic:nvPicPr>
                            <pic:blipFill>
                              <a:blip r:embed="rId39"/>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60.0pt;height:39.8pt;mso-wrap-distance-left:0.0pt;mso-wrap-distance-top:0.0pt;mso-wrap-distance-right:0.0pt;mso-wrap-distance-bottom:0.0pt;" stroked="f" strokeweight="0.75pt">
                      <v:path textboxrect="0,0,0,0"/>
                      <v:imagedata r:id="rId39"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25</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74</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西晋三足瓷洗</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西晋(265~317)</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瓷</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直径24.5cm，高9.6cm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基本完整，口沿微缺</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27"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5" descr="IMG_280"/>
                              <pic:cNvPicPr>
                                <a:picLocks noChangeAspect="1"/>
                              </pic:cNvPicPr>
                              <pic:nvPr/>
                            </pic:nvPicPr>
                            <pic:blipFill>
                              <a:blip r:embed="rId40"/>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60.0pt;height:39.8pt;mso-wrap-distance-left:0.0pt;mso-wrap-distance-top:0.0pt;mso-wrap-distance-right:0.0pt;mso-wrap-distance-bottom:0.0pt;" stroked="f" strokeweight="0.75pt">
                      <v:path textboxrect="0,0,0,0"/>
                      <v:imagedata r:id="rId40"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26</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76</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东周弦纹青瓷豆</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东周(前770~前256)</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瓷</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口径9.5cm，高6.8cm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28"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26" descr="IMG_281"/>
                              <pic:cNvPicPr>
                                <a:picLocks noChangeAspect="1"/>
                              </pic:cNvPicPr>
                              <pic:nvPr/>
                            </pic:nvPicPr>
                            <pic:blipFill>
                              <a:blip r:embed="rId41"/>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60.0pt;height:39.8pt;mso-wrap-distance-left:0.0pt;mso-wrap-distance-top:0.0pt;mso-wrap-distance-right:0.0pt;mso-wrap-distance-bottom:0.0pt;" stroked="f" strokeweight="0.75pt">
                      <v:path textboxrect="0,0,0,0"/>
                      <v:imagedata r:id="rId41"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27</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78</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清“大清乾隆年制”青花双龙捧寿葫芦瓷瓶</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清(1616~1911)</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瓷</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高18.0cm，口沿直径2.5cm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29"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27" descr="IMG_282"/>
                              <pic:cNvPicPr>
                                <a:picLocks noChangeAspect="1"/>
                              </pic:cNvPicPr>
                              <pic:nvPr/>
                            </pic:nvPicPr>
                            <pic:blipFill>
                              <a:blip r:embed="rId42"/>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60.0pt;height:39.8pt;mso-wrap-distance-left:0.0pt;mso-wrap-distance-top:0.0pt;mso-wrap-distance-right:0.0pt;mso-wrap-distance-bottom:0.0pt;" stroked="f" strokeweight="0.75pt">
                      <v:path textboxrect="0,0,0,0"/>
                      <v:imagedata r:id="rId42"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28</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81</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明青花釉里红狮戏球纹瓷碗</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清(1616~1911)</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瓷</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口沿直径19.0cm，高9.0cm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30"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8" descr="IMG_283"/>
                              <pic:cNvPicPr>
                                <a:picLocks noChangeAspect="1"/>
                              </pic:cNvPicPr>
                              <pic:nvPr/>
                            </pic:nvPicPr>
                            <pic:blipFill>
                              <a:blip r:embed="rId43"/>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60.0pt;height:39.8pt;mso-wrap-distance-left:0.0pt;mso-wrap-distance-top:0.0pt;mso-wrap-distance-right:0.0pt;mso-wrap-distance-bottom:0.0pt;" stroked="f" strokeweight="0.75pt">
                      <v:path textboxrect="0,0,0,0"/>
                      <v:imagedata r:id="rId43"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29</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82</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东吴青瓷香熏</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三国·吴(222~280)</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瓷</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高8.0cm，圆底直径6.3cm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31"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9" descr="IMG_284"/>
                              <pic:cNvPicPr>
                                <a:picLocks noChangeAspect="1"/>
                              </pic:cNvPicPr>
                              <pic:nvPr/>
                            </pic:nvPicPr>
                            <pic:blipFill>
                              <a:blip r:embed="rId44"/>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0.0pt;height:39.8pt;mso-wrap-distance-left:0.0pt;mso-wrap-distance-top:0.0pt;mso-wrap-distance-right:0.0pt;mso-wrap-distance-bottom:0.0pt;" stroked="f" strokeweight="0.75pt">
                      <v:path textboxrect="0,0,0,0"/>
                      <v:imagedata r:id="rId44"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30</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83</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东吴青瓷狗圈</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三国·吴(222~280)</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瓷</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高4.0cm，圆口直径10.0cm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已修复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32"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0" descr="IMG_285"/>
                              <pic:cNvPicPr>
                                <a:picLocks noChangeAspect="1"/>
                              </pic:cNvPicPr>
                              <pic:nvPr/>
                            </pic:nvPicPr>
                            <pic:blipFill>
                              <a:blip r:embed="rId45"/>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0.0pt;height:39.8pt;mso-wrap-distance-left:0.0pt;mso-wrap-distance-top:0.0pt;mso-wrap-distance-right:0.0pt;mso-wrap-distance-bottom:0.0pt;" stroked="f" strokeweight="0.75pt">
                      <v:path textboxrect="0,0,0,0"/>
                      <v:imagedata r:id="rId45"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31</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96</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宋白釉梅花纹瓷盖罐</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瓷</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盖直径9.2cm，罐口8.0cm，底6.8cm，通高8.0cm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钮残</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33"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31" descr="IMG_286"/>
                              <pic:cNvPicPr>
                                <a:picLocks noChangeAspect="1"/>
                              </pic:cNvPicPr>
                              <pic:nvPr/>
                            </pic:nvPicPr>
                            <pic:blipFill>
                              <a:blip r:embed="rId46"/>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60.0pt;height:39.8pt;mso-wrap-distance-left:0.0pt;mso-wrap-distance-top:0.0pt;mso-wrap-distance-right:0.0pt;mso-wrap-distance-bottom:0.0pt;" stroked="f" strokeweight="0.75pt">
                      <v:path textboxrect="0,0,0,0"/>
                      <v:imagedata r:id="rId46"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32</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391</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战国陶簠</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战国时代(前475~前221)</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口边长9.0cm，宽7.0cm，身高11.5cm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基本完整，有裂缝 口修复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34"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32" descr="IMG_287"/>
                              <pic:cNvPicPr>
                                <a:picLocks noChangeAspect="1"/>
                              </pic:cNvPicPr>
                              <pic:nvPr/>
                            </pic:nvPicPr>
                            <pic:blipFill>
                              <a:blip r:embed="rId47"/>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0.0pt;height:39.8pt;mso-wrap-distance-left:0.0pt;mso-wrap-distance-top:0.0pt;mso-wrap-distance-right:0.0pt;mso-wrap-distance-bottom:0.0pt;" stroked="f" strokeweight="0.75pt">
                      <v:path textboxrect="0,0,0,0"/>
                      <v:imagedata r:id="rId47"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33</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441</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青铜芮过之印</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长1.9cm，宽1.7cm，印厚0.8cm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印钮残缺</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35"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33" descr="IMG_288"/>
                              <pic:cNvPicPr>
                                <a:picLocks noChangeAspect="1"/>
                              </pic:cNvPicPr>
                              <pic:nvPr/>
                            </pic:nvPicPr>
                            <pic:blipFill>
                              <a:blip r:embed="rId48"/>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60.0pt;height:39.8pt;mso-wrap-distance-left:0.0pt;mso-wrap-distance-top:0.0pt;mso-wrap-distance-right:0.0pt;mso-wrap-distance-bottom:0.0pt;" stroked="f" strokeweight="0.75pt">
                      <v:path textboxrect="0,0,0,0"/>
                      <v:imagedata r:id="rId48"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34</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442</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青铜陆贵州印</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边长1.9cm，通高1.4cm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印钮残缺</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36"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4" descr="IMG_289"/>
                              <pic:cNvPicPr>
                                <a:picLocks noChangeAspect="1"/>
                              </pic:cNvPicPr>
                              <pic:nvPr/>
                            </pic:nvPicPr>
                            <pic:blipFill>
                              <a:blip r:embed="rId49"/>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0.0pt;height:39.8pt;mso-wrap-distance-left:0.0pt;mso-wrap-distance-top:0.0pt;mso-wrap-distance-right:0.0pt;mso-wrap-distance-bottom:0.0pt;" stroked="f" strokeweight="0.75pt">
                      <v:path textboxrect="0,0,0,0"/>
                      <v:imagedata r:id="rId49"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35</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446</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西晋神兽仙神铜镜</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西晋(265~317)</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直径11.5cm，厚0.4cm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37"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5" descr="IMG_290"/>
                              <pic:cNvPicPr>
                                <a:picLocks noChangeAspect="1"/>
                              </pic:cNvPicPr>
                              <pic:nvPr/>
                            </pic:nvPicPr>
                            <pic:blipFill>
                              <a:blip r:embed="rId50"/>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60.0pt;height:39.8pt;mso-wrap-distance-left:0.0pt;mso-wrap-distance-top:0.0pt;mso-wrap-distance-right:0.0pt;mso-wrap-distance-bottom:0.0pt;" stroked="f" strokeweight="0.75pt">
                      <v:path textboxrect="0,0,0,0"/>
                      <v:imagedata r:id="rId50"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36</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448</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唐弦纹四猴葡萄铜镜</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唐(618~907)</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直径9.5cm，边厚8.0cm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38"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6" descr="IMG_291"/>
                              <pic:cNvPicPr>
                                <a:picLocks noChangeAspect="1"/>
                              </pic:cNvPicPr>
                              <pic:nvPr/>
                            </pic:nvPicPr>
                            <pic:blipFill>
                              <a:blip r:embed="rId51"/>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60.0pt;height:39.8pt;mso-wrap-distance-left:0.0pt;mso-wrap-distance-top:0.0pt;mso-wrap-distance-right:0.0pt;mso-wrap-distance-bottom:0.0pt;" stroked="f" strokeweight="0.75pt">
                      <v:path textboxrect="0,0,0,0"/>
                      <v:imagedata r:id="rId51"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37</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462</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宋仿西周铜爵</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通长20.0cm，通宽9.5cm，高20.0cm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39"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7" descr="IMG_292"/>
                              <pic:cNvPicPr>
                                <a:picLocks noChangeAspect="1"/>
                              </pic:cNvPicPr>
                              <pic:nvPr/>
                            </pic:nvPicPr>
                            <pic:blipFill>
                              <a:blip r:embed="rId52"/>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60.0pt;height:39.8pt;mso-wrap-distance-left:0.0pt;mso-wrap-distance-top:0.0pt;mso-wrap-distance-right:0.0pt;mso-wrap-distance-bottom:0.0pt;" stroked="f" strokeweight="0.75pt">
                      <v:path textboxrect="0,0,0,0"/>
                      <v:imagedata r:id="rId52"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38</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475</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西汉蟠螭纹铜镜</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西汉(前206~公元25)</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直径15.3cm，边厚0.5cm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40"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8" descr="IMG_293"/>
                              <pic:cNvPicPr>
                                <a:picLocks noChangeAspect="1"/>
                              </pic:cNvPicPr>
                              <pic:nvPr/>
                            </pic:nvPicPr>
                            <pic:blipFill>
                              <a:blip r:embed="rId53"/>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60.0pt;height:39.8pt;mso-wrap-distance-left:0.0pt;mso-wrap-distance-top:0.0pt;mso-wrap-distance-right:0.0pt;mso-wrap-distance-bottom:0.0pt;" stroked="f" strokeweight="0.75pt">
                      <v:path textboxrect="0,0,0,0"/>
                      <v:imagedata r:id="rId53"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39</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480</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汉“宜子孙”铜盆</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口径37.5cm，高9.5cm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基本完整，口沿有两条裂缝</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41"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9" descr="IMG_294"/>
                              <pic:cNvPicPr>
                                <a:picLocks noChangeAspect="1"/>
                              </pic:cNvPicPr>
                              <pic:nvPr/>
                            </pic:nvPicPr>
                            <pic:blipFill>
                              <a:blip r:embed="rId54"/>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60.0pt;height:39.8pt;mso-wrap-distance-left:0.0pt;mso-wrap-distance-top:0.0pt;mso-wrap-distance-right:0.0pt;mso-wrap-distance-bottom:0.0pt;" stroked="f" strokeweight="0.75pt">
                      <v:path textboxrect="0,0,0,0"/>
                      <v:imagedata r:id="rId54"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40</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533</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东汉四乳神兽铜镜</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直径12.27cm，边厚0.5cm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42"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0" descr="IMG_295"/>
                              <pic:cNvPicPr>
                                <a:picLocks noChangeAspect="1"/>
                              </pic:cNvPicPr>
                              <pic:nvPr/>
                            </pic:nvPicPr>
                            <pic:blipFill>
                              <a:blip r:embed="rId55"/>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0.0pt;height:39.8pt;mso-wrap-distance-left:0.0pt;mso-wrap-distance-top:0.0pt;mso-wrap-distance-right:0.0pt;mso-wrap-distance-bottom:0.0pt;" stroked="f" strokeweight="0.75pt">
                      <v:path textboxrect="0,0,0,0"/>
                      <v:imagedata r:id="rId55"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41</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534</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东汉尚方博局铜镜</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直径18.0cm，边厚0.6cm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43"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1" descr="IMG_296"/>
                              <pic:cNvPicPr>
                                <a:picLocks noChangeAspect="1"/>
                              </pic:cNvPicPr>
                              <pic:nvPr/>
                            </pic:nvPicPr>
                            <pic:blipFill>
                              <a:blip r:embed="rId56"/>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0.0pt;height:39.8pt;mso-wrap-distance-left:0.0pt;mso-wrap-distance-top:0.0pt;mso-wrap-distance-right:0.0pt;mso-wrap-distance-bottom:0.0pt;" stroked="f" strokeweight="0.75pt">
                      <v:path textboxrect="0,0,0,0"/>
                      <v:imagedata r:id="rId56"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42</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558</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西汉昭明铜镜</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西汉(前206~公元25)</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直径14.8cm，厚0.5cm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44"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42" descr="IMG_297"/>
                              <pic:cNvPicPr>
                                <a:picLocks noChangeAspect="1"/>
                              </pic:cNvPicPr>
                              <pic:nvPr/>
                            </pic:nvPicPr>
                            <pic:blipFill>
                              <a:blip r:embed="rId57"/>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60.0pt;height:39.8pt;mso-wrap-distance-left:0.0pt;mso-wrap-distance-top:0.0pt;mso-wrap-distance-right:0.0pt;mso-wrap-distance-bottom:0.0pt;" stroked="f" strokeweight="0.75pt">
                      <v:path textboxrect="0,0,0,0"/>
                      <v:imagedata r:id="rId57"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43</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559</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西汉“日有熹”连弧纹铜镜</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西汉(前206~公元25)</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直径16.5cm，边厚0.7cm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45"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43" descr="IMG_298"/>
                              <pic:cNvPicPr>
                                <a:picLocks noChangeAspect="1"/>
                              </pic:cNvPicPr>
                              <pic:nvPr/>
                            </pic:nvPicPr>
                            <pic:blipFill>
                              <a:blip r:embed="rId58"/>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0.0pt;height:39.8pt;mso-wrap-distance-left:0.0pt;mso-wrap-distance-top:0.0pt;mso-wrap-distance-right:0.0pt;mso-wrap-distance-bottom:0.0pt;" stroked="f" strokeweight="0.75pt">
                      <v:path textboxrect="0,0,0,0"/>
                      <v:imagedata r:id="rId58"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44</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638</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汉四乳花草纹铜镜</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直径13.1cm，厚0.5cm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46"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4" descr="IMG_299"/>
                              <pic:cNvPicPr>
                                <a:picLocks noChangeAspect="1"/>
                              </pic:cNvPicPr>
                              <pic:nvPr/>
                            </pic:nvPicPr>
                            <pic:blipFill>
                              <a:blip r:embed="rId59"/>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60.0pt;height:39.8pt;mso-wrap-distance-left:0.0pt;mso-wrap-distance-top:0.0pt;mso-wrap-distance-right:0.0pt;mso-wrap-distance-bottom:0.0pt;" stroked="f" strokeweight="0.75pt">
                      <v:path textboxrect="0,0,0,0"/>
                      <v:imagedata r:id="rId59"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45</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673</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新石器时代石铲</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新石器时代</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石</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通长20.8cm，通宽11.0cm，通高0.5cm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基本完整，刃部微缺</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47"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5" descr="IMG_300"/>
                              <pic:cNvPicPr>
                                <a:picLocks noChangeAspect="1"/>
                              </pic:cNvPicPr>
                              <pic:nvPr/>
                            </pic:nvPicPr>
                            <pic:blipFill>
                              <a:blip r:embed="rId60"/>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60.0pt;height:39.8pt;mso-wrap-distance-left:0.0pt;mso-wrap-distance-top:0.0pt;mso-wrap-distance-right:0.0pt;mso-wrap-distance-bottom:0.0pt;" stroked="f" strokeweight="0.75pt">
                      <v:path textboxrect="0,0,0,0"/>
                      <v:imagedata r:id="rId60"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46</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744</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汉铜弩机</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长13.0cm，高11.8cm，厚2.3cm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48"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46" descr="IMG_301"/>
                              <pic:cNvPicPr>
                                <a:picLocks noChangeAspect="1"/>
                              </pic:cNvPicPr>
                              <pic:nvPr/>
                            </pic:nvPicPr>
                            <pic:blipFill>
                              <a:blip r:embed="rId61"/>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60.0pt;height:39.8pt;mso-wrap-distance-left:0.0pt;mso-wrap-distance-top:0.0pt;mso-wrap-distance-right:0.0pt;mso-wrap-distance-bottom:0.0pt;" stroked="f" strokeweight="0.75pt">
                      <v:path textboxrect="0,0,0,0"/>
                      <v:imagedata r:id="rId61"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47</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1013</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明福寿双全铜镜</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清(1616~1911)</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直径27.5cm，厚1.0cm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49"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47" descr="IMG_302"/>
                              <pic:cNvPicPr>
                                <a:picLocks noChangeAspect="1"/>
                              </pic:cNvPicPr>
                              <pic:nvPr/>
                            </pic:nvPicPr>
                            <pic:blipFill>
                              <a:blip r:embed="rId62"/>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60.0pt;height:39.8pt;mso-wrap-distance-left:0.0pt;mso-wrap-distance-top:0.0pt;mso-wrap-distance-right:0.0pt;mso-wrap-distance-bottom:0.0pt;" stroked="f" strokeweight="0.75pt">
                      <v:path textboxrect="0,0,0,0"/>
                      <v:imagedata r:id="rId62"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48</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1222</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西周原始青瓷罐</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西周(前1046~前771)</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瓷</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口径13.0cm，高17.5cm，底径17.0cm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基本完整，口沿微缺</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50"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48" descr="IMG_303"/>
                              <pic:cNvPicPr>
                                <a:picLocks noChangeAspect="1"/>
                              </pic:cNvPicPr>
                              <pic:nvPr/>
                            </pic:nvPicPr>
                            <pic:blipFill>
                              <a:blip r:embed="rId63"/>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60.0pt;height:39.8pt;mso-wrap-distance-left:0.0pt;mso-wrap-distance-top:0.0pt;mso-wrap-distance-right:0.0pt;mso-wrap-distance-bottom:0.0pt;" stroked="f" strokeweight="0.75pt">
                      <v:path textboxrect="0,0,0,0"/>
                      <v:imagedata r:id="rId63"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49</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1364</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宋银铤</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长10.9cm，厚1.5cm，两头宽7.3cm，腰宽4.5cm，正面刻文：余家宅25两</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51"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9" descr="IMG_304"/>
                              <pic:cNvPicPr>
                                <a:picLocks noChangeAspect="1"/>
                              </pic:cNvPicPr>
                              <pic:nvPr/>
                            </pic:nvPicPr>
                            <pic:blipFill>
                              <a:blip r:embed="rId64"/>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0.0pt;height:39.8pt;mso-wrap-distance-left:0.0pt;mso-wrap-distance-top:0.0pt;mso-wrap-distance-right:0.0pt;mso-wrap-distance-bottom:0.0pt;" stroked="f" strokeweight="0.75pt">
                      <v:path textboxrect="0,0,0,0"/>
                      <v:imagedata r:id="rId64"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50</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1365</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宋银铤</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束腰形长11.2cm，腰宽4.4cm，两头宽7.1cm，厚1.5cm，正面刻文：真花铤银</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52"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50" descr="IMG_305"/>
                              <pic:cNvPicPr>
                                <a:picLocks noChangeAspect="1"/>
                              </pic:cNvPicPr>
                              <pic:nvPr/>
                            </pic:nvPicPr>
                            <pic:blipFill>
                              <a:blip r:embed="rId65"/>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60.0pt;height:39.8pt;mso-wrap-distance-left:0.0pt;mso-wrap-distance-top:0.0pt;mso-wrap-distance-right:0.0pt;mso-wrap-distance-bottom:0.0pt;" stroked="f" strokeweight="0.75pt">
                      <v:path textboxrect="0,0,0,0"/>
                      <v:imagedata r:id="rId65"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51</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1366</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宋银铤</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束腰形长11.0cm，腰宽4.5cm，两头宽6.6cm，厚1.4cm，正面刻文：谢铺记</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53"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51" descr="IMG_306"/>
                              <pic:cNvPicPr>
                                <a:picLocks noChangeAspect="1"/>
                              </pic:cNvPicPr>
                              <pic:nvPr/>
                            </pic:nvPicPr>
                            <pic:blipFill>
                              <a:blip r:embed="rId66"/>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60.0pt;height:39.8pt;mso-wrap-distance-left:0.0pt;mso-wrap-distance-top:0.0pt;mso-wrap-distance-right:0.0pt;mso-wrap-distance-bottom:0.0pt;" stroked="f" strokeweight="0.75pt">
                      <v:path textboxrect="0,0,0,0"/>
                      <v:imagedata r:id="rId66"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52</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1373</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春秋金瓜子</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春秋时代(前770~前476)</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通长0.9cm,通宽0.5cm,通高0.3cm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54"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52" descr="IMG_307"/>
                              <pic:cNvPicPr>
                                <a:picLocks noChangeAspect="1"/>
                              </pic:cNvPicPr>
                              <pic:nvPr/>
                            </pic:nvPicPr>
                            <pic:blipFill>
                              <a:blip r:embed="rId67"/>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60.0pt;height:39.8pt;mso-wrap-distance-left:0.0pt;mso-wrap-distance-top:0.0pt;mso-wrap-distance-right:0.0pt;mso-wrap-distance-bottom:0.0pt;" stroked="f" strokeweight="0.75pt">
                      <v:path textboxrect="0,0,0,0"/>
                      <v:imagedata r:id="rId67"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53</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1376</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宋卷草纹银瓶</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通高17.5cm，底径4.5cm，口径2.5cm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基本完整，略微变形 锈蚀</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55"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53" descr="IMG_308"/>
                              <pic:cNvPicPr>
                                <a:picLocks noChangeAspect="1"/>
                              </pic:cNvPicPr>
                              <pic:nvPr/>
                            </pic:nvPicPr>
                            <pic:blipFill>
                              <a:blip r:embed="rId68"/>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0.0pt;height:39.8pt;mso-wrap-distance-left:0.0pt;mso-wrap-distance-top:0.0pt;mso-wrap-distance-right:0.0pt;mso-wrap-distance-bottom:0.0pt;" stroked="f" strokeweight="0.75pt">
                      <v:path textboxrect="0,0,0,0"/>
                      <v:imagedata r:id="rId68"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54</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1377</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宋莲花金发饰</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金</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弧长16.5cm，通长9cm,宽2.2cm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56"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54" descr="IMG_309"/>
                              <pic:cNvPicPr>
                                <a:picLocks noChangeAspect="1"/>
                              </pic:cNvPicPr>
                              <pic:nvPr/>
                            </pic:nvPicPr>
                            <pic:blipFill>
                              <a:blip r:embed="rId69"/>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0.0pt;height:39.8pt;mso-wrap-distance-left:0.0pt;mso-wrap-distance-top:0.0pt;mso-wrap-distance-right:0.0pt;mso-wrap-distance-bottom:0.0pt;" stroked="f" strokeweight="0.75pt">
                      <v:path textboxrect="0,0,0,0"/>
                      <v:imagedata r:id="rId69"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55</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1378</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宋莲花金发饰</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金</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弧长16.5cm，通长9.4cm,宽2.2cm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57" name="图片 5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55" descr="IMG_310"/>
                              <pic:cNvPicPr>
                                <a:picLocks noChangeAspect="1"/>
                              </pic:cNvPicPr>
                              <pic:nvPr/>
                            </pic:nvPicPr>
                            <pic:blipFill>
                              <a:blip r:embed="rId70"/>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60.0pt;height:39.8pt;mso-wrap-distance-left:0.0pt;mso-wrap-distance-top:0.0pt;mso-wrap-distance-right:0.0pt;mso-wrap-distance-bottom:0.0pt;" stroked="f" strokeweight="0.75pt">
                      <v:path textboxrect="0,0,0,0"/>
                      <v:imagedata r:id="rId70"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56</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1389</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清金项链</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清(1616~1911)</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金</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通长30.5cm，通宽3.1cm，通高0.95cm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476250" cy="723900"/>
                      <wp:effectExtent l="0" t="0" r="11430" b="7620"/>
                      <wp:docPr id="58"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56" descr="IMG_311"/>
                              <pic:cNvPicPr>
                                <a:picLocks noChangeAspect="1"/>
                              </pic:cNvPicPr>
                              <pic:nvPr/>
                            </pic:nvPicPr>
                            <pic:blipFill>
                              <a:blip r:embed="rId71"/>
                              <a:stretch/>
                            </pic:blipFill>
                            <pic:spPr bwMode="auto">
                              <a:xfrm>
                                <a:off x="0" y="0"/>
                                <a:ext cx="476250" cy="723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37.5pt;height:57.0pt;mso-wrap-distance-left:0.0pt;mso-wrap-distance-top:0.0pt;mso-wrap-distance-right:0.0pt;mso-wrap-distance-bottom:0.0pt;" stroked="f" strokeweight="0.75pt">
                      <v:path textboxrect="0,0,0,0"/>
                      <v:imagedata r:id="rId71"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57</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1483</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清“大清嘉庆年制”青釉瓷碗</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清(1616~1911)</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瓷</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口径17.0cm，高3.0cm，底径10.4cm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基本完整，口沿微缺</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59"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57" descr="IMG_312"/>
                              <pic:cNvPicPr>
                                <a:picLocks noChangeAspect="1"/>
                              </pic:cNvPicPr>
                              <pic:nvPr/>
                            </pic:nvPicPr>
                            <pic:blipFill>
                              <a:blip r:embed="rId72"/>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60.0pt;height:39.8pt;mso-wrap-distance-left:0.0pt;mso-wrap-distance-top:0.0pt;mso-wrap-distance-right:0.0pt;mso-wrap-distance-bottom:0.0pt;" stroked="f" strokeweight="0.75pt">
                      <v:path textboxrect="0,0,0,0"/>
                      <v:imagedata r:id="rId72"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58</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1494</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清“大清乾隆年制”黄地绿龙纹瓷碗</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清(1616~1911)</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瓷</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口径14.2cm，高6.8cm，底径6.2cm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60"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58" descr="IMG_313"/>
                              <pic:cNvPicPr>
                                <a:picLocks noChangeAspect="1"/>
                              </pic:cNvPicPr>
                              <pic:nvPr/>
                            </pic:nvPicPr>
                            <pic:blipFill>
                              <a:blip r:embed="rId73"/>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60.0pt;height:39.8pt;mso-wrap-distance-left:0.0pt;mso-wrap-distance-top:0.0pt;mso-wrap-distance-right:0.0pt;mso-wrap-distance-bottom:0.0pt;" stroked="f" strokeweight="0.75pt">
                      <v:path textboxrect="0,0,0,0"/>
                      <v:imagedata r:id="rId73"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59</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1495</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清“大明宣德年制”款青花瓷盘</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清(1616~1911)</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瓷</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口径15.5cm，高3.0cm，底径10.0cm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61"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59" descr="IMG_314"/>
                              <pic:cNvPicPr>
                                <a:picLocks noChangeAspect="1"/>
                              </pic:cNvPicPr>
                              <pic:nvPr/>
                            </pic:nvPicPr>
                            <pic:blipFill>
                              <a:blip r:embed="rId74"/>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60.0pt;height:39.8pt;mso-wrap-distance-left:0.0pt;mso-wrap-distance-top:0.0pt;mso-wrap-distance-right:0.0pt;mso-wrap-distance-bottom:0.0pt;" stroked="f" strokeweight="0.75pt">
                      <v:path textboxrect="0,0,0,0"/>
                      <v:imagedata r:id="rId74"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60</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1516</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唐白瓷执壶</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唐(618~907)</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瓷</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口径7.2cm，高3.9cm，底径6.1cm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62"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0" descr="IMG_315"/>
                              <pic:cNvPicPr>
                                <a:picLocks noChangeAspect="1"/>
                              </pic:cNvPicPr>
                              <pic:nvPr/>
                            </pic:nvPicPr>
                            <pic:blipFill>
                              <a:blip r:embed="rId75"/>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60.0pt;height:39.8pt;mso-wrap-distance-left:0.0pt;mso-wrap-distance-top:0.0pt;mso-wrap-distance-right:0.0pt;mso-wrap-distance-bottom:0.0pt;" stroked="f" strokeweight="0.75pt">
                      <v:path textboxrect="0,0,0,0"/>
                      <v:imagedata r:id="rId75"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61</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1984</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汉四乳铜镜</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直径11.0cm，厚0.5cm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63"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61" descr="IMG_316"/>
                              <pic:cNvPicPr>
                                <a:picLocks noChangeAspect="1"/>
                              </pic:cNvPicPr>
                              <pic:nvPr/>
                            </pic:nvPicPr>
                            <pic:blipFill>
                              <a:blip r:embed="rId76"/>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60.0pt;height:39.8pt;mso-wrap-distance-left:0.0pt;mso-wrap-distance-top:0.0pt;mso-wrap-distance-right:0.0pt;mso-wrap-distance-bottom:0.0pt;" stroked="f" strokeweight="0.75pt">
                      <v:path textboxrect="0,0,0,0"/>
                      <v:imagedata r:id="rId76"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62</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1985</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汉昭明铜镜</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直径9.0cm，厚0.5cm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64" name="图片 6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62" descr="IMG_317"/>
                              <pic:cNvPicPr>
                                <a:picLocks noChangeAspect="1"/>
                              </pic:cNvPicPr>
                              <pic:nvPr/>
                            </pic:nvPicPr>
                            <pic:blipFill>
                              <a:blip r:embed="rId77"/>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60.0pt;height:39.8pt;mso-wrap-distance-left:0.0pt;mso-wrap-distance-top:0.0pt;mso-wrap-distance-right:0.0pt;mso-wrap-distance-bottom:0.0pt;" stroked="f" strokeweight="0.75pt">
                      <v:path textboxrect="0,0,0,0"/>
                      <v:imagedata r:id="rId77"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63</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2000</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宋“郭兼□”双鸟纹铜锡碗</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铜,其他金属</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口直径7.5cm，高3.0cm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65" name="图片 6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63" descr="IMG_318"/>
                              <pic:cNvPicPr>
                                <a:picLocks noChangeAspect="1"/>
                              </pic:cNvPicPr>
                              <pic:nvPr/>
                            </pic:nvPicPr>
                            <pic:blipFill>
                              <a:blip r:embed="rId78"/>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60.0pt;height:39.8pt;mso-wrap-distance-left:0.0pt;mso-wrap-distance-top:0.0pt;mso-wrap-distance-right:0.0pt;mso-wrap-distance-bottom:0.0pt;" stroked="f" strokeweight="0.75pt">
                      <v:path textboxrect="0,0,0,0"/>
                      <v:imagedata r:id="rId78"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64</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2001</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汉四乳铜镜</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直径10.0cm，厚1.0cm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66" name="图片 6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64" descr="IMG_319"/>
                              <pic:cNvPicPr>
                                <a:picLocks noChangeAspect="1"/>
                              </pic:cNvPicPr>
                              <pic:nvPr/>
                            </pic:nvPicPr>
                            <pic:blipFill>
                              <a:blip r:embed="rId79"/>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60.0pt;height:39.8pt;mso-wrap-distance-left:0.0pt;mso-wrap-distance-top:0.0pt;mso-wrap-distance-right:0.0pt;mso-wrap-distance-bottom:0.0pt;" stroked="f" strokeweight="0.75pt">
                      <v:path textboxrect="0,0,0,0"/>
                      <v:imagedata r:id="rId79"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65</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2017</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汉玉蝉</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宝玉石</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长7.0cm，宽3.6cm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67" name="图片 65"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65" descr="IMG_320"/>
                              <pic:cNvPicPr>
                                <a:picLocks noChangeAspect="1"/>
                              </pic:cNvPicPr>
                              <pic:nvPr/>
                            </pic:nvPicPr>
                            <pic:blipFill>
                              <a:blip r:embed="rId80"/>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60.0pt;height:39.8pt;mso-wrap-distance-left:0.0pt;mso-wrap-distance-top:0.0pt;mso-wrap-distance-right:0.0pt;mso-wrap-distance-bottom:0.0pt;" stroked="f" strokeweight="0.75pt">
                      <v:path textboxrect="0,0,0,0"/>
                      <v:imagedata r:id="rId80"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66</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2089</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清“萬顺□”花草纹银簪</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清(1616~1911)</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长13.0cm，边宽1.8cm，簪花宽3.9cm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68" name="图片 6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6" descr="IMG_321"/>
                              <pic:cNvPicPr>
                                <a:picLocks noChangeAspect="1"/>
                              </pic:cNvPicPr>
                              <pic:nvPr/>
                            </pic:nvPicPr>
                            <pic:blipFill>
                              <a:blip r:embed="rId81"/>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60.0pt;height:39.8pt;mso-wrap-distance-left:0.0pt;mso-wrap-distance-top:0.0pt;mso-wrap-distance-right:0.0pt;mso-wrap-distance-bottom:0.0pt;" stroked="f" strokeweight="0.75pt">
                      <v:path textboxrect="0,0,0,0"/>
                      <v:imagedata r:id="rId81"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67</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2109</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清银耳扒勺</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清(1616~1911)</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长19.6cm，边宽1.1cm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69" name="图片 6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67" descr="IMG_322"/>
                              <pic:cNvPicPr>
                                <a:picLocks noChangeAspect="1"/>
                              </pic:cNvPicPr>
                              <pic:nvPr/>
                            </pic:nvPicPr>
                            <pic:blipFill>
                              <a:blip r:embed="rId82"/>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60.0pt;height:39.8pt;mso-wrap-distance-left:0.0pt;mso-wrap-distance-top:0.0pt;mso-wrap-distance-right:0.0pt;mso-wrap-distance-bottom:0.0pt;" stroked="f" strokeweight="0.75pt">
                      <v:path textboxrect="0,0,0,0"/>
                      <v:imagedata r:id="rId82"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68</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36</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汉釉陶瓿</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口径9cm 通高33cm 腹径38cm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有裂缝 一系微缺</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70" name="图片 68"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68" descr="IMG_323"/>
                              <pic:cNvPicPr>
                                <a:picLocks noChangeAspect="1"/>
                              </pic:cNvPicPr>
                              <pic:nvPr/>
                            </pic:nvPicPr>
                            <pic:blipFill>
                              <a:blip r:embed="rId83"/>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60.0pt;height:39.8pt;mso-wrap-distance-left:0.0pt;mso-wrap-distance-top:0.0pt;mso-wrap-distance-right:0.0pt;mso-wrap-distance-bottom:0.0pt;" stroked="f" strokeweight="0.75pt">
                      <v:path textboxrect="0,0,0,0"/>
                      <v:imagedata r:id="rId83"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69</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2546</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明“宣德年造”青瓷碗</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明(1368~1644)</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瓷</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口径13.0cm，高6.0cm，圈足径4.5cm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71" name="图片 69"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69" descr="IMG_324"/>
                              <pic:cNvPicPr>
                                <a:picLocks noChangeAspect="1"/>
                              </pic:cNvPicPr>
                              <pic:nvPr/>
                            </pic:nvPicPr>
                            <pic:blipFill>
                              <a:blip r:embed="rId84"/>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60.0pt;height:39.8pt;mso-wrap-distance-left:0.0pt;mso-wrap-distance-top:0.0pt;mso-wrap-distance-right:0.0pt;mso-wrap-distance-bottom:0.0pt;" stroked="f" strokeweight="0.75pt">
                      <v:path textboxrect="0,0,0,0"/>
                      <v:imagedata r:id="rId84"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70</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2729</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汉侈口陶壶</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口径14.0cm，高36.0cm，底径15.6cm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72" name="图片 70"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70" descr="IMG_325"/>
                              <pic:cNvPicPr>
                                <a:picLocks noChangeAspect="1"/>
                              </pic:cNvPicPr>
                              <pic:nvPr/>
                            </pic:nvPicPr>
                            <pic:blipFill>
                              <a:blip r:embed="rId85"/>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60.0pt;height:39.8pt;mso-wrap-distance-left:0.0pt;mso-wrap-distance-top:0.0pt;mso-wrap-distance-right:0.0pt;mso-wrap-distance-bottom:0.0pt;" stroked="f" strokeweight="0.75pt">
                      <v:path textboxrect="0,0,0,0"/>
                      <v:imagedata r:id="rId85"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71</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2755</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汉玉璧</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宝玉石</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直径11.5cm，厚0.3cm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基本完整，边沿微缺</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73" name="图片 71"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71" descr="IMG_326"/>
                              <pic:cNvPicPr>
                                <a:picLocks noChangeAspect="1"/>
                              </pic:cNvPicPr>
                              <pic:nvPr/>
                            </pic:nvPicPr>
                            <pic:blipFill>
                              <a:blip r:embed="rId86"/>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60.0pt;height:39.8pt;mso-wrap-distance-left:0.0pt;mso-wrap-distance-top:0.0pt;mso-wrap-distance-right:0.0pt;mso-wrap-distance-bottom:0.0pt;" stroked="f" strokeweight="0.75pt">
                      <v:path textboxrect="0,0,0,0"/>
                      <v:imagedata r:id="rId86"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72</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2756</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汉凤鸟纹釉陶壶</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口径15.5cm，高40.0cm，底径15.5cm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基本完整，腹部有裂缝</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74" name="图片 72"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72" descr="IMG_327"/>
                              <pic:cNvPicPr>
                                <a:picLocks noChangeAspect="1"/>
                              </pic:cNvPicPr>
                              <pic:nvPr/>
                            </pic:nvPicPr>
                            <pic:blipFill>
                              <a:blip r:embed="rId87"/>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60.0pt;height:39.8pt;mso-wrap-distance-left:0.0pt;mso-wrap-distance-top:0.0pt;mso-wrap-distance-right:0.0pt;mso-wrap-distance-bottom:0.0pt;" stroked="f" strokeweight="0.75pt">
                      <v:path textboxrect="0,0,0,0"/>
                      <v:imagedata r:id="rId87"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73</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2763</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汉釉陶瓿</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陶</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口径8.0cm，底径17.5cm，高28.0cm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已修复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75" name="图片 73"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73" descr="IMG_328"/>
                              <pic:cNvPicPr>
                                <a:picLocks noChangeAspect="1"/>
                              </pic:cNvPicPr>
                              <pic:nvPr/>
                            </pic:nvPicPr>
                            <pic:blipFill>
                              <a:blip r:embed="rId88"/>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60.0pt;height:39.8pt;mso-wrap-distance-left:0.0pt;mso-wrap-distance-top:0.0pt;mso-wrap-distance-right:0.0pt;mso-wrap-distance-bottom:0.0pt;" stroked="f" strokeweight="0.75pt">
                      <v:path textboxrect="0,0,0,0"/>
                      <v:imagedata r:id="rId88"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74</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2827</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战国印纹双系瓷罐</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战国时代(前475~前221)</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瓷</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口径15.0cm，底径15.0cm，高17.0cm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76" name="图片 74"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74" descr="IMG_329"/>
                              <pic:cNvPicPr>
                                <a:picLocks noChangeAspect="1"/>
                              </pic:cNvPicPr>
                              <pic:nvPr/>
                            </pic:nvPicPr>
                            <pic:blipFill>
                              <a:blip r:embed="rId89"/>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60.0pt;height:39.8pt;mso-wrap-distance-left:0.0pt;mso-wrap-distance-top:0.0pt;mso-wrap-distance-right:0.0pt;mso-wrap-distance-bottom:0.0pt;" stroked="f" strokeweight="0.75pt">
                      <v:path textboxrect="0,0,0,0"/>
                      <v:imagedata r:id="rId89"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75</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2837</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汉滑石猪</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汉</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石</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通长9.0cm，通宽2.2cm，通高2.4cm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77" name="图片 75"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75" descr="IMG_330"/>
                              <pic:cNvPicPr>
                                <a:picLocks noChangeAspect="1"/>
                              </pic:cNvPicPr>
                              <pic:nvPr/>
                            </pic:nvPicPr>
                            <pic:blipFill>
                              <a:blip r:embed="rId90"/>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60.0pt;height:39.8pt;mso-wrap-distance-left:0.0pt;mso-wrap-distance-top:0.0pt;mso-wrap-distance-right:0.0pt;mso-wrap-distance-bottom:0.0pt;" stroked="f" strokeweight="0.75pt">
                      <v:path textboxrect="0,0,0,0"/>
                      <v:imagedata r:id="rId90"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76</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3370</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新石器时代马家浜文化玉玦</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新石器时代</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宝玉石</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外径3.5cm，孔径1.2cm，厚0.87cm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78" name="图片 76"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76" descr="IMG_331"/>
                              <pic:cNvPicPr>
                                <a:picLocks noChangeAspect="1"/>
                              </pic:cNvPicPr>
                              <pic:nvPr/>
                            </pic:nvPicPr>
                            <pic:blipFill>
                              <a:blip r:embed="rId91"/>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60.0pt;height:39.8pt;mso-wrap-distance-left:0.0pt;mso-wrap-distance-top:0.0pt;mso-wrap-distance-right:0.0pt;mso-wrap-distance-bottom:0.0pt;" stroked="f" strokeweight="0.75pt">
                      <v:path textboxrect="0,0,0,0"/>
                      <v:imagedata r:id="rId91"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77</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3371</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新石器时代马家浜文化玉璜</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新石器时代</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宝玉石</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长9.6cm，宽1.3cm，厚0.5cm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79" name="图片 77"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77" descr="IMG_332"/>
                              <pic:cNvPicPr>
                                <a:picLocks noChangeAspect="1"/>
                              </pic:cNvPicPr>
                              <pic:nvPr/>
                            </pic:nvPicPr>
                            <pic:blipFill>
                              <a:blip r:embed="rId92"/>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60.0pt;height:39.8pt;mso-wrap-distance-left:0.0pt;mso-wrap-distance-top:0.0pt;mso-wrap-distance-right:0.0pt;mso-wrap-distance-bottom:0.0pt;" stroked="f" strokeweight="0.75pt">
                      <v:path textboxrect="0,0,0,0"/>
                      <v:imagedata r:id="rId92"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78</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3372</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新石器时代马家浜文化玉璜</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新石器时代</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宝玉石</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长6.4cm，宽1.0cm，厚0.75cm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80" name="图片 78"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78" descr="IMG_333"/>
                              <pic:cNvPicPr>
                                <a:picLocks noChangeAspect="1"/>
                              </pic:cNvPicPr>
                              <pic:nvPr/>
                            </pic:nvPicPr>
                            <pic:blipFill>
                              <a:blip r:embed="rId93"/>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60.0pt;height:39.8pt;mso-wrap-distance-left:0.0pt;mso-wrap-distance-top:0.0pt;mso-wrap-distance-right:0.0pt;mso-wrap-distance-bottom:0.0pt;" stroked="f" strokeweight="0.75pt">
                      <v:path textboxrect="0,0,0,0"/>
                      <v:imagedata r:id="rId93"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79</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b/>
                <w:bCs/>
                <w:color w:val="000000"/>
                <w:szCs w:val="21"/>
                <w:lang w:bidi="ar"/>
              </w:rPr>
              <w:t xml:space="preserve">3373</w:t>
            </w:r>
            <w:r>
              <w:rPr>
                <w:rFonts w:hint="eastAsia" w:asciiTheme="majorEastAsia" w:hAnsiTheme="majorEastAsia" w:eastAsiaTheme="majorEastAsia" w:cstheme="majorEastAsia"/>
                <w:color w:val="000000"/>
                <w:szCs w:val="21"/>
                <w:lang w:bidi="ar"/>
              </w:rPr>
              <w:t xml:space="preserve">、3374、3375、3376、33773378</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新石器时代马家浜文化玉管</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新石器时代</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宝玉石</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三级</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长4.3cm，直径1.1－1.4cm；长2.1cm，直径1.2－1.5cm；长2.1cm，直径1.2－1.5cm；长3.5cm，直径1.45－1.5cm；长2.1cm，直径1－1.15cm；长2.1cm，直径0.9cm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状态稳定，不需修复</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lang w:bidi="ar"/>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762000" cy="504825"/>
                      <wp:effectExtent l="0" t="0" r="0" b="13335"/>
                      <wp:docPr id="81" name="图片 79"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79" descr="IMG_334"/>
                              <pic:cNvPicPr>
                                <a:picLocks noChangeAspect="1"/>
                              </pic:cNvPicPr>
                              <pic:nvPr/>
                            </pic:nvPicPr>
                            <pic:blipFill>
                              <a:blip r:embed="rId94"/>
                              <a:stretch/>
                            </pic:blipFill>
                            <pic:spPr bwMode="auto">
                              <a:xfrm>
                                <a:off x="0" y="0"/>
                                <a:ext cx="762000" cy="504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60.0pt;height:39.8pt;mso-wrap-distance-left:0.0pt;mso-wrap-distance-top:0.0pt;mso-wrap-distance-right:0.0pt;mso-wrap-distance-bottom:0.0pt;" stroked="f" strokeweight="0.75pt">
                      <v:path textboxrect="0,0,0,0"/>
                      <v:imagedata r:id="rId94" o:title=""/>
                    </v:shape>
                  </w:pict>
                </mc:Fallback>
              </mc:AlternateContent>
            </w:r>
            <w:r/>
          </w:p>
          <w:p>
            <w:pPr>
              <w:jc w:val="center"/>
              <w:widowControl/>
              <w:rPr>
                <w:rFonts w:hint="eastAsia" w:asciiTheme="majorEastAsia" w:hAnsiTheme="majorEastAsia" w:eastAsiaTheme="majorEastAsia" w:cstheme="majorEastAsia"/>
                <w:color w:val="000000"/>
                <w:szCs w:val="21"/>
                <w:lang w:bidi="ar"/>
              </w:rPr>
            </w:pPr>
            <w:r>
              <w:rPr>
                <w:rFonts w:hint="eastAsia" w:asciiTheme="majorEastAsia" w:hAnsiTheme="majorEastAsia" w:eastAsiaTheme="majorEastAsia" w:cstheme="majorEastAsia"/>
                <w:color w:val="000000"/>
                <w:szCs w:val="21"/>
                <w:lang w:bidi="ar"/>
              </w:rPr>
            </w:r>
            <w:r/>
          </w:p>
          <w:p>
            <w:pPr>
              <w:jc w:val="center"/>
              <w:widowControl/>
              <w:rPr>
                <w:rFonts w:hint="eastAsia" w:asciiTheme="majorEastAsia" w:hAnsiTheme="majorEastAsia" w:eastAsiaTheme="majorEastAsia" w:cstheme="majorEastAsia"/>
                <w:color w:val="000000"/>
                <w:szCs w:val="21"/>
                <w:lang w:bidi="ar"/>
              </w:rPr>
            </w:pPr>
            <w:r>
              <w:rPr>
                <w:rFonts w:hint="eastAsia" w:asciiTheme="majorEastAsia" w:hAnsiTheme="majorEastAsia" w:eastAsiaTheme="majorEastAsia" w:cstheme="majorEastAsia"/>
                <w:color w:val="000000"/>
                <w:szCs w:val="21"/>
                <w:lang w:bidi="ar"/>
              </w:rPr>
              <mc:AlternateContent>
                <mc:Choice Requires="wpg">
                  <w:drawing>
                    <wp:inline xmlns:wp="http://schemas.openxmlformats.org/drawingml/2006/wordprocessingDrawing" distT="0" distB="0" distL="0" distR="0">
                      <wp:extent cx="536575" cy="715645"/>
                      <wp:effectExtent l="0" t="0" r="635" b="12065"/>
                      <wp:docPr id="82" name="图片 85" descr="4c232139261b70f0fad17b6eabceda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4c232139261b70f0fad17b6eabceda07"/>
                              <pic:cNvPicPr>
                                <a:picLocks noChangeAspect="1"/>
                              </pic:cNvPicPr>
                              <pic:nvPr/>
                            </pic:nvPicPr>
                            <pic:blipFill>
                              <a:blip r:embed="rId95"/>
                              <a:stretch/>
                            </pic:blipFill>
                            <pic:spPr bwMode="auto">
                              <a:xfrm rot="16199998">
                                <a:off x="0" y="0"/>
                                <a:ext cx="536575" cy="7156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2.2pt;height:56.3pt;mso-wrap-distance-left:0.0pt;mso-wrap-distance-top:0.0pt;mso-wrap-distance-right:0.0pt;mso-wrap-distance-bottom:0.0pt;rotation:269;" stroked="false">
                      <v:path textboxrect="0,0,0,0"/>
                      <v:imagedata r:id="rId95"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80</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rPr>
              <w:t xml:space="preserve">4285</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清嘉庆“彤管流芳”石枋</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石</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一般</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rPr>
              <w:t xml:space="preserve">通长194cm 通宽55cm 通高20cm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rPr>
              <mc:AlternateContent>
                <mc:Choice Requires="wpg">
                  <w:drawing>
                    <wp:inline xmlns:wp="http://schemas.openxmlformats.org/drawingml/2006/wordprocessingDrawing" distT="0" distB="0" distL="0" distR="0">
                      <wp:extent cx="702310" cy="526415"/>
                      <wp:effectExtent l="0" t="0" r="13970" b="6985"/>
                      <wp:docPr id="83" name="图片 48" descr="9f9b4271bbe27ca768d662f4a116c0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9f9b4271bbe27ca768d662f4a116c0c6"/>
                              <pic:cNvPicPr>
                                <a:picLocks noChangeAspect="1"/>
                              </pic:cNvPicPr>
                              <pic:nvPr/>
                            </pic:nvPicPr>
                            <pic:blipFill>
                              <a:blip r:embed="rId96"/>
                              <a:stretch/>
                            </pic:blipFill>
                            <pic:spPr bwMode="auto">
                              <a:xfrm>
                                <a:off x="0" y="0"/>
                                <a:ext cx="702310" cy="526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55.3pt;height:41.4pt;mso-wrap-distance-left:0.0pt;mso-wrap-distance-top:0.0pt;mso-wrap-distance-right:0.0pt;mso-wrap-distance-bottom:0.0pt;" stroked="false">
                      <v:path textboxrect="0,0,0,0"/>
                      <v:imagedata r:id="rId96"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81</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rPr>
              <w:t xml:space="preserve">1257</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宋莲瓣式漆奁</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木</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一般</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rPr>
              <w:t xml:space="preserve">通高26.5cm，口径22.0cm，底径17.3cm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rPr>
              <mc:AlternateContent>
                <mc:Choice Requires="wpg">
                  <w:drawing>
                    <wp:inline xmlns:wp="http://schemas.openxmlformats.org/drawingml/2006/wordprocessingDrawing" distT="0" distB="0" distL="0" distR="0">
                      <wp:extent cx="719455" cy="575310"/>
                      <wp:effectExtent l="0" t="0" r="12065" b="3810"/>
                      <wp:docPr id="84" name="图片 89" descr="7b80ae7abe81ea7f19ea375015f907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7b80ae7abe81ea7f19ea375015f907b0"/>
                              <pic:cNvPicPr>
                                <a:picLocks noChangeAspect="1"/>
                              </pic:cNvPicPr>
                              <pic:nvPr/>
                            </pic:nvPicPr>
                            <pic:blipFill>
                              <a:blip r:embed="rId97"/>
                              <a:stretch/>
                            </pic:blipFill>
                            <pic:spPr bwMode="auto">
                              <a:xfrm>
                                <a:off x="0" y="0"/>
                                <a:ext cx="719455" cy="5753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56.6pt;height:45.3pt;mso-wrap-distance-left:0.0pt;mso-wrap-distance-top:0.0pt;mso-wrap-distance-right:0.0pt;mso-wrap-distance-bottom:0.0pt;" stroked="false">
                      <v:path textboxrect="0,0,0,0"/>
                      <v:imagedata r:id="rId97"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82</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rPr>
              <w:t xml:space="preserve">1849</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清“雍正壬子春阅制”铜钟</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清</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一般</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rPr>
              <w:t xml:space="preserve">高30cm 腹周长72.5cm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rPr>
              <mc:AlternateContent>
                <mc:Choice Requires="wpg">
                  <w:drawing>
                    <wp:inline xmlns:wp="http://schemas.openxmlformats.org/drawingml/2006/wordprocessingDrawing" distT="0" distB="0" distL="0" distR="0">
                      <wp:extent cx="702310" cy="467995"/>
                      <wp:effectExtent l="0" t="0" r="13970" b="4445"/>
                      <wp:docPr id="85" name="图片 86" descr="1849-A-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1849-A-0001"/>
                              <pic:cNvPicPr>
                                <a:picLocks noChangeAspect="1"/>
                              </pic:cNvPicPr>
                              <pic:nvPr/>
                            </pic:nvPicPr>
                            <pic:blipFill>
                              <a:blip r:embed="rId98"/>
                              <a:stretch/>
                            </pic:blipFill>
                            <pic:spPr bwMode="auto">
                              <a:xfrm>
                                <a:off x="0" y="0"/>
                                <a:ext cx="702310" cy="467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55.3pt;height:36.9pt;mso-wrap-distance-left:0.0pt;mso-wrap-distance-top:0.0pt;mso-wrap-distance-right:0.0pt;mso-wrap-distance-bottom:0.0pt;" stroked="false">
                      <v:path textboxrect="0,0,0,0"/>
                      <v:imagedata r:id="rId98"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83</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rPr>
              <w:t xml:space="preserve">1012</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明铜麒麟</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明</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铜</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一般</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rPr>
              <w:t xml:space="preserve">长30.3cm,宽20.0cm,高32.0cm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rPr>
              <mc:AlternateContent>
                <mc:Choice Requires="wpg">
                  <w:drawing>
                    <wp:inline xmlns:wp="http://schemas.openxmlformats.org/drawingml/2006/wordprocessingDrawing" distT="0" distB="0" distL="0" distR="0">
                      <wp:extent cx="721995" cy="593725"/>
                      <wp:effectExtent l="0" t="0" r="9525" b="635"/>
                      <wp:docPr id="86" name="图片 87" descr="a00d6e9fa2b0bb0adc6f225cf013c5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a00d6e9fa2b0bb0adc6f225cf013c51b"/>
                              <pic:cNvPicPr>
                                <a:picLocks noChangeAspect="1"/>
                              </pic:cNvPicPr>
                              <pic:nvPr/>
                            </pic:nvPicPr>
                            <pic:blipFill>
                              <a:blip r:embed="rId99"/>
                              <a:stretch/>
                            </pic:blipFill>
                            <pic:spPr bwMode="auto">
                              <a:xfrm>
                                <a:off x="0" y="0"/>
                                <a:ext cx="721995" cy="593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6.8pt;height:46.8pt;mso-wrap-distance-left:0.0pt;mso-wrap-distance-top:0.0pt;mso-wrap-distance-right:0.0pt;mso-wrap-distance-bottom:0.0pt;" stroked="false">
                      <v:path textboxrect="0,0,0,0"/>
                      <v:imagedata r:id="rId99" o:title=""/>
                    </v:shape>
                  </w:pict>
                </mc:Fallback>
              </mc:AlternateContent>
            </w:r>
            <w:r/>
          </w:p>
        </w:tc>
      </w:tr>
      <w:tr>
        <w:trPr>
          <w:jc w:val="center"/>
          <w:trHeight w:val="23"/>
        </w:trPr>
        <w:tc>
          <w:tcPr>
            <w:tcW w:w="57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84</w:t>
            </w:r>
            <w:r/>
          </w:p>
        </w:tc>
        <w:tc>
          <w:tcPr>
            <w:tcW w:w="839"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rPr>
              <w:t xml:space="preserve">2023</w:t>
            </w:r>
            <w:r/>
          </w:p>
        </w:tc>
        <w:tc>
          <w:tcPr>
            <w:tcW w:w="113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宋玉马</w:t>
            </w:r>
            <w:r/>
          </w:p>
        </w:tc>
        <w:tc>
          <w:tcPr>
            <w:tcW w:w="672"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宋</w:t>
            </w:r>
            <w:r/>
          </w:p>
        </w:tc>
        <w:tc>
          <w:tcPr>
            <w:tcW w:w="744"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宝玉石</w:t>
            </w:r>
            <w:r/>
          </w:p>
        </w:tc>
        <w:tc>
          <w:tcPr>
            <w:tcW w:w="732"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1</w:t>
            </w:r>
            <w:r/>
          </w:p>
        </w:tc>
        <w:tc>
          <w:tcPr>
            <w:shd w:val="clear" w:color="auto" w:fill="ffffff"/>
            <w:tcW w:w="768"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一般</w:t>
            </w:r>
            <w:r/>
          </w:p>
        </w:tc>
        <w:tc>
          <w:tcPr>
            <w:shd w:val="clear" w:color="auto" w:fill="ffffff"/>
            <w:tcW w:w="1308"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rPr>
              <w:t xml:space="preserve">通长4.7cm 通宽1.8cm 通高2.7cm</w:t>
            </w:r>
            <w:r/>
          </w:p>
        </w:tc>
        <w:tc>
          <w:tcPr>
            <w:tcW w:w="1233" w:type="dxa"/>
            <w:vAlign w:val="center"/>
            <w:textDirection w:val="lrTb"/>
            <w:noWrap w:val="false"/>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lang w:bidi="ar"/>
              </w:rPr>
              <w:t xml:space="preserve">状态稳定</w:t>
            </w:r>
            <w:r/>
          </w:p>
        </w:tc>
        <w:tc>
          <w:tcPr>
            <w:tcW w:w="1353" w:type="dxa"/>
            <w:vAlign w:val="center"/>
            <w:textDirection w:val="lrTb"/>
            <w:noWrap/>
          </w:tcPr>
          <w:p>
            <w:pPr>
              <w:jc w:val="center"/>
              <w:widowControl/>
              <w:rPr>
                <w:rFonts w:hint="eastAsia" w:asciiTheme="majorEastAsia" w:hAnsiTheme="majorEastAsia" w:eastAsiaTheme="majorEastAsia" w:cstheme="majorEastAsia"/>
                <w:color w:val="000000"/>
                <w:szCs w:val="21"/>
              </w:rPr>
            </w:pPr>
            <w:r>
              <w:rPr>
                <w:rFonts w:hint="eastAsia" w:asciiTheme="majorEastAsia" w:hAnsiTheme="majorEastAsia" w:eastAsiaTheme="majorEastAsia" w:cstheme="majorEastAsia"/>
                <w:color w:val="000000"/>
                <w:szCs w:val="21"/>
              </w:rPr>
              <mc:AlternateContent>
                <mc:Choice Requires="wpg">
                  <w:drawing>
                    <wp:inline xmlns:wp="http://schemas.openxmlformats.org/drawingml/2006/wordprocessingDrawing" distT="0" distB="0" distL="0" distR="0">
                      <wp:extent cx="720725" cy="383540"/>
                      <wp:effectExtent l="0" t="0" r="10795" b="12700"/>
                      <wp:docPr id="87" name="图片 88" descr="eae98cf6526875a9720fb9b1bf5bd7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eae98cf6526875a9720fb9b1bf5bd7f1"/>
                              <pic:cNvPicPr>
                                <a:picLocks noChangeAspect="1"/>
                              </pic:cNvPicPr>
                              <pic:nvPr/>
                            </pic:nvPicPr>
                            <pic:blipFill>
                              <a:blip r:embed="rId100"/>
                              <a:stretch/>
                            </pic:blipFill>
                            <pic:spPr bwMode="auto">
                              <a:xfrm>
                                <a:off x="0" y="0"/>
                                <a:ext cx="720724" cy="38353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56.8pt;height:30.2pt;mso-wrap-distance-left:0.0pt;mso-wrap-distance-top:0.0pt;mso-wrap-distance-right:0.0pt;mso-wrap-distance-bottom:0.0pt;" stroked="false">
                      <v:path textboxrect="0,0,0,0"/>
                      <v:imagedata r:id="rId100" o:title=""/>
                    </v:shape>
                  </w:pict>
                </mc:Fallback>
              </mc:AlternateContent>
            </w:r>
            <w:r/>
          </w:p>
        </w:tc>
      </w:tr>
    </w:tbl>
    <w:p>
      <w:pPr>
        <w:ind w:firstLine="422"/>
        <w:spacing w:line="360" w:lineRule="auto"/>
        <w:rPr>
          <w:rFonts w:hint="eastAsia" w:asciiTheme="majorEastAsia" w:hAnsiTheme="majorEastAsia" w:eastAsiaTheme="majorEastAsia" w:cstheme="majorEastAsia"/>
          <w:b/>
          <w:bCs/>
          <w:szCs w:val="21"/>
        </w:rPr>
        <w:outlineLvl w:val="2"/>
      </w:pPr>
      <w:r>
        <w:rPr>
          <w:rFonts w:hint="eastAsia" w:asciiTheme="majorEastAsia" w:hAnsiTheme="majorEastAsia" w:eastAsiaTheme="majorEastAsia" w:cstheme="majorEastAsia"/>
          <w:b/>
          <w:bCs/>
          <w:szCs w:val="21"/>
        </w:rPr>
        <w:t xml:space="preserve">5.1.3数据成果存储及备份</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供应商需为馆方提供数据存储单元（桌面式）设备1套，用于馆方永久存放本项目采集、加工的馆藏文物二、三维数据成果。设备技术参数要求：4核CPU，2.0GHz主频，4GBDDR4内存，2*4TB硬盘。及冷备份设备1套，移动固态硬盘（存储容量≥5T）。</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需归档数据的文件命名标准规范需符合《江苏省国有收藏单位盘库建档专项工作导则（试行）》、《文物藏品档案管理规范》（DB32/T 5344-2026）等文件要求，并支持批量导入江苏省藏品档案管理平台，与系统内藏品批量关联绑定。</w:t>
      </w:r>
      <w:r/>
    </w:p>
    <w:p>
      <w:pPr>
        <w:ind w:firstLine="422"/>
        <w:spacing w:line="360" w:lineRule="auto"/>
        <w:rPr>
          <w:rFonts w:hint="eastAsia" w:asciiTheme="majorEastAsia" w:hAnsiTheme="majorEastAsia" w:eastAsiaTheme="majorEastAsia" w:cstheme="majorEastAsia"/>
          <w:b/>
          <w:bCs/>
          <w:szCs w:val="21"/>
        </w:rPr>
        <w:outlineLvl w:val="2"/>
      </w:pPr>
      <w:r>
        <w:rPr>
          <w:rFonts w:hint="eastAsia" w:asciiTheme="majorEastAsia" w:hAnsiTheme="majorEastAsia" w:eastAsiaTheme="majorEastAsia" w:cstheme="majorEastAsia"/>
          <w:b/>
          <w:bCs/>
          <w:szCs w:val="21"/>
        </w:rPr>
        <w:t xml:space="preserve">5.1.4数据入库与归档服务</w:t>
      </w:r>
      <w:r/>
    </w:p>
    <w:p>
      <w:pPr>
        <w:ind w:firstLine="422"/>
        <w:spacing w:line="360" w:lineRule="auto"/>
        <w:rPr>
          <w:rFonts w:hint="eastAsia" w:asciiTheme="majorEastAsia" w:hAnsiTheme="majorEastAsia" w:eastAsiaTheme="majorEastAsia" w:cstheme="majorEastAsia"/>
          <w:b/>
          <w:bCs/>
          <w:szCs w:val="21"/>
        </w:rPr>
        <w:outlineLvl w:val="3"/>
      </w:pPr>
      <w:r>
        <w:rPr>
          <w:rFonts w:hint="eastAsia" w:asciiTheme="majorEastAsia" w:hAnsiTheme="majorEastAsia" w:eastAsiaTheme="majorEastAsia" w:cstheme="majorEastAsia"/>
          <w:b/>
          <w:bCs/>
          <w:szCs w:val="21"/>
        </w:rPr>
        <w:t xml:space="preserve">5.1.4.1数字化采集项目信息化管理</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供应商需提供、配套必要的数字化采集项目信息化管理工具，用于本次采集藏品数字化采集加工项目的流程、质量管理。协助馆方将本次项目采集的数据整理到信息化管理工具，并借助信息化管理工具完成：</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①采集项目（任务）信息录入，包括项目执行信息、采集藏品信息及明细。</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②采集数据资源录入，项目采集的二三维数字资源录入及与藏品关联绑定。</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③采集加工项目日志及执行信息录入及相关过程表单输出，包括但不限于《数字化采集信息记录单》、《数字化加工信息记录单》、《采集成果检查记录表》等，实现数字化采集项目的信息化管理。</w:t>
      </w:r>
      <w:r/>
    </w:p>
    <w:p>
      <w:pPr>
        <w:pStyle w:val="1204"/>
        <w:ind w:firstLine="422"/>
        <w:spacing w:line="360" w:lineRule="auto"/>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 xml:space="preserve">1.信息化管理工具设计使用原则</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针对性：满足文物藏品数字化采集业务中必需的数字化、信息化、流程化应用需求；</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规范性：符合“总体要求”中本项目所涉及的国家相关法律法规，以及各级文物行政部门颁发的业务工作导则、标准、规范要求；</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兼容性：应具有高效的藏品数据采集方式，可根据需要将馆方已有藏品数据资料等便捷导入系统；兼顾江苏省文物局对藏品档案相关藏品及业务数据的全局管控要求，做好兼容性设计，支持包括藏品信息、采集项目信息、业务指标项、数字资源归档等方面的输入\输出兼容功能，从系统架构到数据库设计，均满足与全省藏品档案管理平台的数据对接要求。</w:t>
      </w:r>
      <w:r/>
    </w:p>
    <w:p>
      <w:pPr>
        <w:pStyle w:val="1204"/>
        <w:ind w:firstLine="422"/>
        <w:spacing w:line="360" w:lineRule="auto"/>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 xml:space="preserve">2.</w:t>
      </w:r>
      <w:r>
        <w:rPr>
          <w:rFonts w:hint="eastAsia" w:asciiTheme="majorEastAsia" w:hAnsiTheme="majorEastAsia" w:eastAsiaTheme="majorEastAsia" w:cstheme="majorEastAsia"/>
          <w:szCs w:val="21"/>
        </w:rPr>
        <w:t xml:space="preserve"> </w:t>
      </w:r>
      <w:r>
        <w:rPr>
          <w:rFonts w:hint="eastAsia" w:asciiTheme="majorEastAsia" w:hAnsiTheme="majorEastAsia" w:eastAsiaTheme="majorEastAsia" w:cstheme="majorEastAsia"/>
          <w:b/>
          <w:bCs/>
          <w:szCs w:val="21"/>
        </w:rPr>
        <w:t xml:space="preserve">信息化管理工具功能要求</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该信息化工具主要包括以下几个功能版块： </w:t>
      </w:r>
      <w:r/>
    </w:p>
    <w:p>
      <w:pPr>
        <w:ind w:firstLine="422"/>
        <w:spacing w:line="360" w:lineRule="auto"/>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 xml:space="preserve">（1）藏品模块</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A.藏品信息导入、导出</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B.藏品信息管理（增删改查）</w:t>
      </w:r>
      <w:r/>
    </w:p>
    <w:p>
      <w:pPr>
        <w:ind w:firstLine="422"/>
        <w:spacing w:line="360" w:lineRule="auto"/>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 xml:space="preserve">（2）资源管理模块</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A.藏品数字资源（二三维数据）导入导出</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B.藏品资源管理（增删改查）</w:t>
      </w:r>
      <w:r/>
    </w:p>
    <w:p>
      <w:pPr>
        <w:ind w:firstLine="422"/>
        <w:spacing w:line="360" w:lineRule="auto"/>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 xml:space="preserve">（3）项目执行管理模块</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A.数字化采集项目（任务）导入、导出</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B.数字化采集项目（任务）管理（增删改查）</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C.数字化采集项目执行报表输出（二三维采集、加工、检查记录表单）</w:t>
      </w:r>
      <w:r/>
    </w:p>
    <w:p>
      <w:pPr>
        <w:ind w:firstLine="422"/>
        <w:spacing w:line="360" w:lineRule="auto"/>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 xml:space="preserve">（4）配置管理模块</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A.博物馆信息管理</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B.用户、角色、权限管理 </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C.项目配置管理（项目库、单位库、人员库等）</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D.编号管理</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E.日志管理</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F.藏品收藏夹功能</w:t>
      </w:r>
      <w:r/>
    </w:p>
    <w:p>
      <w:pPr>
        <w:ind w:firstLine="422"/>
        <w:spacing w:line="360" w:lineRule="auto"/>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 xml:space="preserve">（5）信息化管理管理工具重点功能要求：</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①兼容江苏省藏品档案管理系统输出的项目模板，模板包含业务信息与藏品明细表，可直接导入项目模板并在资源管理工具内自动新建数字化采集项目；信息化工具导出的项目模板支持导入全省藏品档案管理系统后自动生成对应的采集项目业务单；</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②支持项目信息管理，包括采集场地信息、设备信息、人员信息等，可输出项目相关表单（符合WW/T 0114-2023标准、WW/T 0115-2023标准要求）；</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③支持批量上传预处理的藏品图片，并与系统内已有藏品进行批量关联（支持按照总登记号或分类号关联）；</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④支持批量导入藏品信息，需兼容、支持导入江苏省藏品档案管理系统输出的藏品模板（符合《文物藏品档案管理规范》（DB32/T 5344-2026）标准）；</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⑤支持批量设置藏品图片的拍摄角度，支持通过附件名称快速设置拍摄角度；</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⑥信息化管理工具内置WW/T 0114-2023标准、WW/T 0115-2023标准中的表单模板，支持对藏品二、三维数字资源的采集、加工、检测等操作进行流程化、步骤化、系统化的留痕记录，支持为每个步骤下载、上传、关联对应的表单，以确保数字化采集工序符合国标要求；</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⑦支持任务分配管理，可指定人员对项目内指定的藏品数字化采集、加工、检查等工作任务进行对应操作执行；</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⑧支持项目统计，可根据任务信息汇总统计二三维采集加工的执行数据，支持输出数字化采集交付报告模板，报告规范符合WW/T 0114-2023、WW/T 0115-2023要求；</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⑨支持收藏夹功能，可添加藏品或影像至收藏夹，支持自定义收藏夹；支持导出收藏夹中的藏品列表（带图），支持自定义不同字段的Excel导出模板。</w:t>
      </w:r>
      <w:r/>
    </w:p>
    <w:p>
      <w:pPr>
        <w:ind w:firstLine="422"/>
        <w:spacing w:line="360" w:lineRule="auto"/>
        <w:rPr>
          <w:rFonts w:hint="eastAsia" w:asciiTheme="majorEastAsia" w:hAnsiTheme="majorEastAsia" w:eastAsiaTheme="majorEastAsia" w:cstheme="majorEastAsia"/>
          <w:b/>
          <w:bCs/>
          <w:szCs w:val="21"/>
        </w:rPr>
        <w:outlineLvl w:val="3"/>
      </w:pPr>
      <w:r>
        <w:rPr>
          <w:rFonts w:hint="eastAsia" w:asciiTheme="majorEastAsia" w:hAnsiTheme="majorEastAsia" w:eastAsiaTheme="majorEastAsia" w:cstheme="majorEastAsia"/>
          <w:b/>
          <w:bCs/>
          <w:szCs w:val="21"/>
        </w:rPr>
        <w:t xml:space="preserve">5.1.4.2文物数字资源入库服务</w:t>
      </w:r>
      <w:r/>
    </w:p>
    <w:p>
      <w:pPr>
        <w:pStyle w:val="941"/>
        <w:ind w:firstLine="42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供应商需安排技术服务人员，协助配合馆方完成本次项目采集的需入库的数字资源录入全省藏品档案管理系统，完成数据入库。</w:t>
      </w:r>
      <w:r/>
    </w:p>
    <w:p>
      <w:pPr>
        <w:pStyle w:val="941"/>
        <w:ind w:firstLine="42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①数据整理及关联预处理：协助馆方对本项目采集的需入库的藏品影像数字资源（二、三维数据）进行关联预处理，确保数字资源能够符合入库标准。</w:t>
      </w:r>
      <w:r/>
    </w:p>
    <w:p>
      <w:pPr>
        <w:pStyle w:val="941"/>
        <w:ind w:firstLine="42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②数据入库：将完成预处理的数字资源批量录入江苏省藏品档案管理系统，完成与藏品的关联绑定。</w:t>
      </w:r>
      <w:r/>
    </w:p>
    <w:p>
      <w:pPr>
        <w:ind w:firstLine="422"/>
        <w:spacing w:line="360" w:lineRule="auto"/>
        <w:rPr>
          <w:rFonts w:hint="eastAsia" w:asciiTheme="majorEastAsia" w:hAnsiTheme="majorEastAsia" w:eastAsiaTheme="majorEastAsia" w:cstheme="majorEastAsia"/>
          <w:b/>
          <w:bCs/>
          <w:szCs w:val="21"/>
        </w:rPr>
        <w:outlineLvl w:val="3"/>
      </w:pPr>
      <w:r>
        <w:rPr>
          <w:rFonts w:hint="eastAsia" w:asciiTheme="majorEastAsia" w:hAnsiTheme="majorEastAsia" w:eastAsiaTheme="majorEastAsia" w:cstheme="majorEastAsia"/>
          <w:b/>
          <w:bCs/>
          <w:szCs w:val="21"/>
        </w:rPr>
        <w:t xml:space="preserve">5.1.4.3数字化采集归档技术服务</w:t>
      </w:r>
      <w:r/>
    </w:p>
    <w:p>
      <w:pPr>
        <w:pStyle w:val="941"/>
        <w:ind w:firstLine="42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①供应商需根据馆方要求，安排技术服务人员配合馆方完成本次数字化采集工作在江苏省标准版博物馆藏品档案管理系统中的出、归库业务归档操作，实现采集业务的动态待归档记录在藏品档案系统内的信息归档。</w:t>
      </w:r>
      <w:r/>
    </w:p>
    <w:p>
      <w:pPr>
        <w:pStyle w:val="941"/>
        <w:ind w:firstLine="42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②供应商需根据馆方要求，对本次采集的藏品数字资源中需要归档的电子档案数据进行信息化处理，完成已采集文物中需要归档的册页归档操作，在卷内目录中生成对应的归档信息，并配合馆方输出纸质归档文件。</w:t>
      </w:r>
      <w:r/>
    </w:p>
    <w:p>
      <w:pPr>
        <w:pStyle w:val="941"/>
        <w:ind w:firstLine="420"/>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归档技术服务流程及要求需符合符合《文物藏品档案管理规范》（DB32/T 5344-2026）标准，供应商须在响应文件内阐述归档技术服务的实施内容、相关业务产生的待归档记录名称及相关内容、归档操作实施细则，保证归档内容及流程严格符合档案管理要求。</w:t>
      </w:r>
      <w:r/>
    </w:p>
    <w:p>
      <w:pPr>
        <w:ind w:firstLine="422"/>
        <w:spacing w:line="360" w:lineRule="auto"/>
        <w:rPr>
          <w:rFonts w:hint="eastAsia" w:asciiTheme="majorEastAsia" w:hAnsiTheme="majorEastAsia" w:eastAsiaTheme="majorEastAsia" w:cstheme="majorEastAsia"/>
          <w:szCs w:val="21"/>
        </w:rPr>
        <w:outlineLvl w:val="1"/>
      </w:pPr>
      <w:r>
        <w:rPr>
          <w:rFonts w:hint="eastAsia" w:asciiTheme="majorEastAsia" w:hAnsiTheme="majorEastAsia" w:eastAsiaTheme="majorEastAsia" w:cstheme="majorEastAsia"/>
          <w:b/>
          <w:bCs/>
          <w:szCs w:val="21"/>
        </w:rPr>
        <w:t xml:space="preserve">5.2文物知识图谱应用展示服务</w:t>
      </w:r>
      <w:r/>
    </w:p>
    <w:p>
      <w:pPr>
        <w:ind w:firstLine="422"/>
        <w:spacing w:line="360" w:lineRule="auto"/>
        <w:rPr>
          <w:rFonts w:hint="eastAsia" w:asciiTheme="majorEastAsia" w:hAnsiTheme="majorEastAsia" w:eastAsiaTheme="majorEastAsia" w:cstheme="majorEastAsia"/>
          <w:b/>
          <w:bCs/>
          <w:szCs w:val="21"/>
        </w:rPr>
        <w:outlineLvl w:val="2"/>
      </w:pPr>
      <w:r>
        <w:rPr>
          <w:rFonts w:hint="eastAsia" w:asciiTheme="majorEastAsia" w:hAnsiTheme="majorEastAsia" w:eastAsiaTheme="majorEastAsia" w:cstheme="majorEastAsia"/>
          <w:b/>
          <w:bCs/>
          <w:szCs w:val="21"/>
        </w:rPr>
        <w:t xml:space="preserve">5.2.1文物知识图谱大屏交互展示</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《濑水汤汤》大型文物遗址知识图谱应用设计制作。</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溧阳持续不断的考古工作，将抢救性基建考古纳入区域文明探索的课题中，取得了卓著的成果，出土了大量珍贵文物，保护了文化遗产，让一座江南小城寻到了历史文化的根脉。根据考古工作成果编制的考古成果集，对“全域旅游城市”溧阳重要考古发现进行梳理展示，既可作为文物考古工作在社会效益中的闪光业绩，又可成为考古成果转化、惠及广大公众、普及文化遗产理念的精神载体。</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为将溧阳丰富的考古成果以更轻松、便捷、具有娱乐性的方式展示给游客，本应用以知识图谱的形式进行展示。该应用主要展示馆藏的众多文物的数据资源以及延伸出的历史事件、人物、典故等，采用“文物知识百科”的可视化技术，展现形式新颖、生动、交互性强。将文物藏品、文献资料、历史事件、作品成就、人物关系等进行互联互通，深度发掘文物背后的历史、文化内涵。</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知识图谱展示须包含但不限于以下内容：图片墙展示场景、考古遗址主题知识图谱、文物主题知识图谱、历史人物主题知识图谱、历史事件主题知识图谱、3D文物展示、多点触控交互展示等；</w:t>
      </w:r>
      <w:r/>
    </w:p>
    <w:p>
      <w:pPr>
        <w:ind w:firstLine="422"/>
        <w:spacing w:line="360" w:lineRule="auto"/>
        <w:rPr>
          <w:rFonts w:hint="eastAsia" w:asciiTheme="majorEastAsia" w:hAnsiTheme="majorEastAsia" w:eastAsiaTheme="majorEastAsia" w:cstheme="majorEastAsia"/>
          <w:b/>
          <w:bCs/>
          <w:szCs w:val="21"/>
        </w:rPr>
        <w:outlineLvl w:val="2"/>
      </w:pPr>
      <w:r>
        <w:rPr>
          <w:rFonts w:hint="eastAsia" w:asciiTheme="majorEastAsia" w:hAnsiTheme="majorEastAsia" w:eastAsiaTheme="majorEastAsia" w:cstheme="majorEastAsia"/>
          <w:b/>
          <w:bCs/>
          <w:szCs w:val="21"/>
        </w:rPr>
        <w:t xml:space="preserve">5.2.2应用设计要求</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1.运行环境：本系统需在多点触控液晶屏上运行展示，并配置必要的主机设备。</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2.用户界面设计开发：模拟真实物理效果，支持1080px*1920px分辨率即时演算效果，图片和三维模型缩放不变形、不卡顿、不断裂。</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3.支持观看三维文物资源信息展示：720°旋转无死角浏览。</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4.多人同时互动功能：多人同时操作互动，同时能够自动进行区域分配且互不干扰。</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5.用户知识获取分析：对知识图谱中的知识元素，包括但不限于文物资源、年代、等级、质地、功能、人物、事件、成就、地点、遗址等知识的获取数据进行汇总统计，并可提供以下统计数据的可视化图表：</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①上述文物资源、年代、等级、质地、功能、人物、事件、成就、地点、遗址等知识节点的分类数量统计；</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②不同知识节点之间的关系数量分类统计；</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③对游客的知识操作行为、用户会话、浏览量、使用时长等数量统计。</w:t>
      </w:r>
      <w:r/>
    </w:p>
    <w:p>
      <w:pPr>
        <w:ind w:firstLine="422"/>
        <w:spacing w:line="360" w:lineRule="auto"/>
        <w:rPr>
          <w:rFonts w:hint="eastAsia" w:asciiTheme="majorEastAsia" w:hAnsiTheme="majorEastAsia" w:eastAsiaTheme="majorEastAsia" w:cstheme="majorEastAsia"/>
          <w:b/>
          <w:bCs/>
          <w:szCs w:val="21"/>
        </w:rPr>
        <w:outlineLvl w:val="2"/>
      </w:pPr>
      <w:r>
        <w:rPr>
          <w:rFonts w:hint="eastAsia" w:asciiTheme="majorEastAsia" w:hAnsiTheme="majorEastAsia" w:eastAsiaTheme="majorEastAsia" w:cstheme="majorEastAsia"/>
          <w:b/>
          <w:bCs/>
          <w:szCs w:val="21"/>
        </w:rPr>
        <w:t xml:space="preserve">5.2.3展示应用功能需求</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1.应用界面应保持较好美观度与视觉效果、操作流畅、便利，具有流畅操作体验。</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2.文物知识图谱展现形式新颖生动、交互性强，内容丰富，设计上要紧密结合纪念馆的文物资源，发掘馆藏精品文物本体及背后的故事与渊源。</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3.文物知识图谱应以馆藏精品文物资源为核心，除展示馆藏精品文物资源的数字化采集成果与详情，还应综合展示推荐更具深度和广度的精品文物及非文物类的综合性 。界面的交互展示应以“关系链+知识内容”的图谱形式，展示各单一知识信息内容以及不同知识间的逻辑关系。</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4.大屏展示端以飞流形式展现，支持三维文物旋转交互，定时切换展示，支持滑动、拖拽、放大、缩小、返回等互动操作。</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5.大屏展示端支持点赞以及点赞榜功能。</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6.大屏展示端须基于Unity平台开发，保证系统功能交互和3D资源的流畅体验。</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7.大屏展示端：支持多维度知识探索功能。支持多个维度动态展现，支持多点、多人同时触控交互，实现知识展示卡片拖动旋转效果。</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8.文物资源卡片由文物资源词条高清图、文物资源详情介绍、智能推荐知识列表、“刷一刷”智能推荐按钮等功能模块构成。用户可在该处查看文物资源的图文介绍，并查看与当前文物资源的相关文史知识。</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9.知识信息详情版块，以知识链的形式，以游客当前点开的文物资源为核心，围绕“相关文物、年代、事件、成就、人物、地点、遗址”等多个维度，系统、有序的向外延展，循环展开显示与该当前文物资源相关的文史知识。</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10.大屏展示端：知识节点的关系动态图谱化。图谱节点支持拖动，观众在大屏上点击查看任意精品文物或非文物知识节点时，需以图谱形式展开与当前知识节点具有合理逻辑关系的多个知识节点链条。展开的知识链条上的每个知识节点，应与当前知识节点存在一种或多种内在关系，该关系的名称与详情，须在应用界面上直观标注说明，且上述知识间的逻辑关系必须符合基本的史实与文化常识。</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11.大屏展示端：交互参数支持动态化管理。</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12.具有词云功能模式，游客可自行选择切换“图谱”模式或“词云”操作。应用展示端中，“词云”展示模式下，词云中的知识词条可通过知识图谱后台对关键字、词条类别等进行管理设置。</w:t>
      </w:r>
      <w:r/>
    </w:p>
    <w:p>
      <w:pPr>
        <w:ind w:firstLine="422"/>
        <w:spacing w:line="360" w:lineRule="auto"/>
        <w:rPr>
          <w:rFonts w:hint="eastAsia" w:asciiTheme="majorEastAsia" w:hAnsiTheme="majorEastAsia" w:eastAsiaTheme="majorEastAsia" w:cstheme="majorEastAsia"/>
          <w:b/>
          <w:bCs/>
          <w:szCs w:val="21"/>
        </w:rPr>
        <w:outlineLvl w:val="2"/>
      </w:pPr>
      <w:r>
        <w:rPr>
          <w:rFonts w:hint="eastAsia" w:asciiTheme="majorEastAsia" w:hAnsiTheme="majorEastAsia" w:eastAsiaTheme="majorEastAsia" w:cstheme="majorEastAsia"/>
          <w:b/>
          <w:bCs/>
          <w:szCs w:val="21"/>
        </w:rPr>
        <w:t xml:space="preserve">5.2.4知识图谱支撑管理工具</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知识图谱后台支撑管理工具是对文物知识图谱展示前端中所呈现的实体节点、知识内容、文物数字化资源等进行查询及编辑管理，对文史知识库进行维护。</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1.知识图谱节点资料整理：知识信息内容、文物资源分析与资料搜集。</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2.知识图谱知识库的构建：实现知识图谱展示系统的初步建立，为游客提供全方位的立体文史知识呈现。</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3.后台支撑管理功能：可实现知识节点管理、标签管理、附件管理、看板管理、数据统计功能。</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4.功能要求：</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①后台支撑应用须支持MySQL数据库与Neo4j图数据库的兼容与知识节点对照，以确保今后知识内容的扩容与知识链路拓展。</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②知识节点库的构建。本项目需对所有进行数字化采集的文物资源，以及与其相关的延展知识节点建立文史知识库，包括文物藏品本体节点及相关属性知识节点及非文物知识节点的数量须不少于200个。</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③知识关系库的建立。知识节点间的关系，须不少于300个，并在标书中提供知识关系列表说明。</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④单个知识节点关系数量要求。单个文物藏品知识节点的关系链不得少于5个，单个非文物知识节点单关系链数量最少1个。本项目中至少要有10个非文物知识节点，其单个知识节点的关系链数量大于10个，以确保知识图谱内容丰富性。</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⑤知识节点关系优先级管理。对于单个知识节点，能够支持多个标签类型节点的优先级展示，需支持大屏端效果展示。</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⑥知识链延展维度。文物知识本体以外其他维度的延展性非文物类知识节点，需提供不少于8个维度的相关拓展知识节点及内容展示（文物相关至少5个，非文物至少3个），为社会公众提供全面、深度的文史宣教服务。</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⑦知识自动推荐及知识分类调整。知识图谱须提供多种不同的知识展现方式，包括用户主动点击，系统自动推荐等。大屏上展示的文物信息，以及与文物相关的、不同维度的非文物知识节点，可通过系统后台设置，对系统推荐显示的知识节点分类进行灵活调整。</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⑧用户行为分析功能：可按照观众操作、会话等维度进行全方位行为数据分析。并提供数据分析的展现，展现功能具备多态性，数据展现完整，可追踪查询。</w:t>
      </w:r>
      <w:r/>
    </w:p>
    <w:p>
      <w:pPr>
        <w:ind w:firstLine="42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⑨知识库统计功能：系统须具备知识库数据统计分析功能，对知识图谱系统涉及的所有知识节点、节点关系等数据，按照不同规则与条件进行汇总、统计、分析。</w:t>
      </w:r>
      <w:r/>
    </w:p>
    <w:p>
      <w:pPr>
        <w:ind w:firstLine="422"/>
        <w:spacing w:line="360" w:lineRule="auto"/>
        <w:rPr>
          <w:rFonts w:hint="eastAsia" w:asciiTheme="majorEastAsia" w:hAnsiTheme="majorEastAsia" w:eastAsiaTheme="majorEastAsia" w:cstheme="majorEastAsia"/>
          <w:b/>
          <w:bCs/>
          <w:szCs w:val="21"/>
        </w:rPr>
        <w:outlineLvl w:val="2"/>
      </w:pPr>
      <w:r>
        <w:rPr>
          <w:rFonts w:hint="eastAsia" w:asciiTheme="majorEastAsia" w:hAnsiTheme="majorEastAsia" w:eastAsiaTheme="majorEastAsia" w:cstheme="majorEastAsia"/>
          <w:b/>
          <w:bCs/>
          <w:szCs w:val="21"/>
        </w:rPr>
        <w:t xml:space="preserve">5.2.2 数字化交互展示设备</w:t>
      </w:r>
      <w:r>
        <w:rPr>
          <w:rFonts w:hint="eastAsia" w:asciiTheme="majorEastAsia" w:hAnsiTheme="majorEastAsia" w:eastAsiaTheme="majorEastAsia" w:cstheme="majorEastAsia"/>
          <w:b/>
          <w:bCs/>
          <w:szCs w:val="21"/>
        </w:rPr>
        <w:tab/>
      </w:r>
      <w:r/>
    </w:p>
    <w:tbl>
      <w:tblPr>
        <w:tblStyle w:val="967"/>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3285"/>
        <w:gridCol w:w="4330"/>
        <w:gridCol w:w="925"/>
      </w:tblGrid>
      <w:tr>
        <w:trPr>
          <w:jc w:val="center"/>
          <w:trHeight w:val="23"/>
          <w:tblHeader/>
        </w:trPr>
        <w:tc>
          <w:tcPr>
            <w:tcW w:w="814" w:type="dxa"/>
            <w:vAlign w:val="center"/>
            <w:textDirection w:val="lrTb"/>
            <w:noWrap w:val="false"/>
          </w:tcPr>
          <w:p>
            <w:pPr>
              <w:jc w:val="center"/>
              <w:spacing w:after="72" w:line="360" w:lineRule="auto"/>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 xml:space="preserve">序号</w:t>
            </w:r>
            <w:r/>
          </w:p>
        </w:tc>
        <w:tc>
          <w:tcPr>
            <w:tcW w:w="3285" w:type="dxa"/>
            <w:vAlign w:val="center"/>
            <w:textDirection w:val="lrTb"/>
            <w:noWrap w:val="false"/>
          </w:tcPr>
          <w:p>
            <w:pPr>
              <w:jc w:val="center"/>
              <w:spacing w:after="72" w:line="360" w:lineRule="auto"/>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 xml:space="preserve">设备名称</w:t>
            </w:r>
            <w:r/>
          </w:p>
        </w:tc>
        <w:tc>
          <w:tcPr>
            <w:tcW w:w="4330" w:type="dxa"/>
            <w:vAlign w:val="center"/>
            <w:textDirection w:val="lrTb"/>
            <w:noWrap w:val="false"/>
          </w:tcPr>
          <w:p>
            <w:pPr>
              <w:jc w:val="center"/>
              <w:spacing w:after="72" w:line="360" w:lineRule="auto"/>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 xml:space="preserve">参数</w:t>
            </w:r>
            <w:r/>
          </w:p>
        </w:tc>
        <w:tc>
          <w:tcPr>
            <w:tcW w:w="925" w:type="dxa"/>
            <w:vAlign w:val="center"/>
            <w:textDirection w:val="lrTb"/>
            <w:noWrap w:val="false"/>
          </w:tcPr>
          <w:p>
            <w:pPr>
              <w:jc w:val="center"/>
              <w:spacing w:after="72" w:line="360" w:lineRule="auto"/>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 xml:space="preserve">数量</w:t>
            </w:r>
            <w:r/>
          </w:p>
        </w:tc>
      </w:tr>
      <w:tr>
        <w:trPr>
          <w:jc w:val="center"/>
          <w:trHeight w:val="23"/>
        </w:trPr>
        <w:tc>
          <w:tcPr>
            <w:tcW w:w="814" w:type="dxa"/>
            <w:vAlign w:val="center"/>
            <w:textDirection w:val="lrTb"/>
            <w:noWrap w:val="false"/>
          </w:tcPr>
          <w:p>
            <w:pPr>
              <w:ind w:right="-107"/>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W w:w="3285" w:type="dxa"/>
            <w:vAlign w:val="center"/>
            <w:textDirection w:val="lrTb"/>
            <w:noWrap w:val="false"/>
          </w:tcPr>
          <w:p>
            <w:pPr>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bidi="ar"/>
              </w:rPr>
              <w:t xml:space="preserve">工业拼接屏(文物知识图谱系统)</w:t>
            </w:r>
            <w:r/>
          </w:p>
        </w:tc>
        <w:tc>
          <w:tcPr>
            <w:tcW w:w="4330" w:type="dxa"/>
            <w:vAlign w:val="center"/>
            <w:textDirection w:val="lrTb"/>
            <w:noWrap w:val="false"/>
          </w:tcPr>
          <w:p>
            <w:pPr>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bidi="ar"/>
              </w:rPr>
              <w:t xml:space="preserve">55英寸原装液晶面板拼接显示单元;双边拼缝≤3.5mm，亮度≥500 cd/㎡、LED背光分辨率≥1920X1080；</w:t>
            </w:r>
            <w:r/>
          </w:p>
        </w:tc>
        <w:tc>
          <w:tcPr>
            <w:tcW w:w="925" w:type="dxa"/>
            <w:vAlign w:val="center"/>
            <w:textDirection w:val="lrTb"/>
            <w:noWrap w:val="false"/>
          </w:tcPr>
          <w:p>
            <w:pPr>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bidi="ar"/>
              </w:rPr>
              <w:t xml:space="preserve">8</w:t>
            </w:r>
            <w:r/>
          </w:p>
        </w:tc>
      </w:tr>
      <w:tr>
        <w:trPr>
          <w:jc w:val="center"/>
          <w:trHeight w:val="23"/>
        </w:trPr>
        <w:tc>
          <w:tcPr>
            <w:tcW w:w="814" w:type="dxa"/>
            <w:vAlign w:val="center"/>
            <w:textDirection w:val="lrTb"/>
            <w:noWrap w:val="false"/>
          </w:tcPr>
          <w:p>
            <w:pPr>
              <w:ind w:right="-107"/>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W w:w="3285" w:type="dxa"/>
            <w:vAlign w:val="center"/>
            <w:textDirection w:val="lrTb"/>
            <w:noWrap w:val="false"/>
          </w:tcPr>
          <w:p>
            <w:pPr>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红外触摸框（8屏）</w:t>
            </w:r>
            <w:r/>
          </w:p>
        </w:tc>
        <w:tc>
          <w:tcPr>
            <w:tcW w:w="4330" w:type="dxa"/>
            <w:vAlign w:val="center"/>
            <w:textDirection w:val="lrTb"/>
            <w:noWrap w:val="false"/>
          </w:tcPr>
          <w:p>
            <w:pPr>
              <w:jc w:val="center"/>
              <w:spacing w:after="72" w:line="360" w:lineRule="auto"/>
              <w:rPr>
                <w:rFonts w:hint="eastAsia" w:asciiTheme="majorEastAsia" w:hAnsiTheme="majorEastAsia" w:eastAsiaTheme="majorEastAsia" w:cstheme="majorEastAsia"/>
                <w:szCs w:val="21"/>
                <w:lang w:bidi="ar"/>
              </w:rPr>
            </w:pPr>
            <w:r>
              <w:rPr>
                <w:rFonts w:hint="eastAsia" w:asciiTheme="majorEastAsia" w:hAnsiTheme="majorEastAsia" w:eastAsiaTheme="majorEastAsia" w:cstheme="majorEastAsia"/>
                <w:szCs w:val="21"/>
                <w:lang w:bidi="ar"/>
              </w:rPr>
              <w:t xml:space="preserve">1）支持20点多点触摸；</w:t>
            </w:r>
            <w:r/>
          </w:p>
          <w:p>
            <w:pPr>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bidi="ar"/>
              </w:rPr>
              <w:t xml:space="preserve">2）触摸屏定位偏差≤0.5mm；</w:t>
            </w:r>
            <w:r/>
          </w:p>
        </w:tc>
        <w:tc>
          <w:tcPr>
            <w:tcW w:w="925" w:type="dxa"/>
            <w:vAlign w:val="center"/>
            <w:textDirection w:val="lrTb"/>
            <w:noWrap w:val="false"/>
          </w:tcPr>
          <w:p>
            <w:pPr>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bidi="ar"/>
              </w:rPr>
              <w:t xml:space="preserve">1</w:t>
            </w:r>
            <w:r/>
          </w:p>
        </w:tc>
      </w:tr>
      <w:tr>
        <w:trPr>
          <w:jc w:val="center"/>
          <w:trHeight w:val="23"/>
        </w:trPr>
        <w:tc>
          <w:tcPr>
            <w:tcW w:w="814" w:type="dxa"/>
            <w:vAlign w:val="center"/>
            <w:textDirection w:val="lrTb"/>
            <w:noWrap w:val="false"/>
          </w:tcPr>
          <w:p>
            <w:pPr>
              <w:ind w:right="-107"/>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tcW w:w="3285" w:type="dxa"/>
            <w:vAlign w:val="center"/>
            <w:textDirection w:val="lrTb"/>
            <w:noWrap w:val="false"/>
          </w:tcPr>
          <w:p>
            <w:pPr>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应用服务器及数据库服务器</w:t>
            </w:r>
            <w:r/>
          </w:p>
        </w:tc>
        <w:tc>
          <w:tcPr>
            <w:tcW w:w="4330" w:type="dxa"/>
            <w:vAlign w:val="center"/>
            <w:textDirection w:val="lrTb"/>
            <w:noWrap w:val="false"/>
          </w:tcPr>
          <w:p>
            <w:pPr>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bidi="ar"/>
              </w:rPr>
              <w:t xml:space="preserve">GPU台式服务器1台：10核/8G显存/32g/SSD250G+4TB及以上</w:t>
            </w:r>
            <w:r/>
          </w:p>
        </w:tc>
        <w:tc>
          <w:tcPr>
            <w:tcW w:w="925" w:type="dxa"/>
            <w:vAlign w:val="center"/>
            <w:textDirection w:val="lrTb"/>
            <w:noWrap w:val="false"/>
          </w:tcPr>
          <w:p>
            <w:pPr>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bidi="ar"/>
              </w:rPr>
              <w:t xml:space="preserve">1</w:t>
            </w:r>
            <w:r/>
          </w:p>
        </w:tc>
      </w:tr>
      <w:tr>
        <w:trPr>
          <w:jc w:val="center"/>
          <w:trHeight w:val="23"/>
        </w:trPr>
        <w:tc>
          <w:tcPr>
            <w:tcW w:w="814" w:type="dxa"/>
            <w:vAlign w:val="center"/>
            <w:textDirection w:val="lrTb"/>
            <w:noWrap w:val="false"/>
          </w:tcPr>
          <w:p>
            <w:pPr>
              <w:ind w:right="-107"/>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w:t>
            </w:r>
            <w:r/>
          </w:p>
        </w:tc>
        <w:tc>
          <w:tcPr>
            <w:tcW w:w="3285" w:type="dxa"/>
            <w:vAlign w:val="center"/>
            <w:textDirection w:val="lrTb"/>
            <w:noWrap w:val="false"/>
          </w:tcPr>
          <w:p>
            <w:pPr>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数字互动展示墙定制控制器</w:t>
            </w:r>
            <w:r/>
          </w:p>
        </w:tc>
        <w:tc>
          <w:tcPr>
            <w:tcW w:w="4330" w:type="dxa"/>
            <w:vAlign w:val="center"/>
            <w:textDirection w:val="lrTb"/>
            <w:noWrap w:val="false"/>
          </w:tcPr>
          <w:p>
            <w:pPr>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bidi="ar"/>
              </w:rPr>
              <w:t xml:space="preserve">支持任意画面分割输出，输出画面可以进行任意拼接、漫游；单路输出支持最高分辨率1920*1080@60Hz；</w:t>
            </w:r>
            <w:r/>
          </w:p>
        </w:tc>
        <w:tc>
          <w:tcPr>
            <w:tcW w:w="925" w:type="dxa"/>
            <w:vAlign w:val="center"/>
            <w:textDirection w:val="lrTb"/>
            <w:noWrap w:val="false"/>
          </w:tcPr>
          <w:p>
            <w:pPr>
              <w:jc w:val="center"/>
              <w:spacing w:after="72" w:line="360" w:lineRule="auto"/>
              <w:rPr>
                <w:rFonts w:hint="eastAsia" w:asciiTheme="majorEastAsia" w:hAnsiTheme="majorEastAsia" w:eastAsiaTheme="majorEastAsia" w:cstheme="majorEastAsia"/>
                <w:color w:val="ee0000"/>
                <w:szCs w:val="21"/>
              </w:rPr>
            </w:pPr>
            <w:r>
              <w:rPr>
                <w:rFonts w:hint="eastAsia" w:asciiTheme="majorEastAsia" w:hAnsiTheme="majorEastAsia" w:eastAsiaTheme="majorEastAsia" w:cstheme="majorEastAsia"/>
                <w:color w:val="ee0000"/>
                <w:szCs w:val="21"/>
              </w:rPr>
              <w:t xml:space="preserve">1组</w:t>
            </w:r>
            <w:r/>
          </w:p>
        </w:tc>
      </w:tr>
      <w:tr>
        <w:trPr>
          <w:jc w:val="center"/>
          <w:trHeight w:val="23"/>
        </w:trPr>
        <w:tc>
          <w:tcPr>
            <w:tcW w:w="814" w:type="dxa"/>
            <w:vAlign w:val="center"/>
            <w:textDirection w:val="lrTb"/>
            <w:noWrap w:val="false"/>
          </w:tcPr>
          <w:p>
            <w:pPr>
              <w:ind w:right="-107"/>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tcW w:w="3285" w:type="dxa"/>
            <w:vAlign w:val="center"/>
            <w:textDirection w:val="lrTb"/>
            <w:noWrap w:val="false"/>
          </w:tcPr>
          <w:p>
            <w:pPr>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不间断电源</w:t>
            </w:r>
            <w:r/>
          </w:p>
        </w:tc>
        <w:tc>
          <w:tcPr>
            <w:tcW w:w="4330" w:type="dxa"/>
            <w:vAlign w:val="center"/>
            <w:textDirection w:val="lrTb"/>
            <w:noWrap w:val="false"/>
          </w:tcPr>
          <w:p>
            <w:pPr>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bidi="ar"/>
              </w:rPr>
              <w:t xml:space="preserve">防断电、抗干扰，过载保护；</w:t>
            </w:r>
            <w:r/>
          </w:p>
        </w:tc>
        <w:tc>
          <w:tcPr>
            <w:tcW w:w="925" w:type="dxa"/>
            <w:vAlign w:val="center"/>
            <w:textDirection w:val="lrTb"/>
            <w:noWrap w:val="false"/>
          </w:tcPr>
          <w:p>
            <w:pPr>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r>
      <w:tr>
        <w:trPr>
          <w:jc w:val="center"/>
          <w:trHeight w:val="23"/>
        </w:trPr>
        <w:tc>
          <w:tcPr>
            <w:tcW w:w="814" w:type="dxa"/>
            <w:vAlign w:val="center"/>
            <w:textDirection w:val="lrTb"/>
            <w:noWrap w:val="false"/>
          </w:tcPr>
          <w:p>
            <w:pPr>
              <w:ind w:right="-107"/>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6</w:t>
            </w:r>
            <w:r/>
          </w:p>
        </w:tc>
        <w:tc>
          <w:tcPr>
            <w:tcW w:w="3285" w:type="dxa"/>
            <w:vAlign w:val="center"/>
            <w:textDirection w:val="lrTb"/>
            <w:noWrap w:val="false"/>
          </w:tcPr>
          <w:p>
            <w:pPr>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钢化玻璃</w:t>
            </w:r>
            <w:r/>
          </w:p>
        </w:tc>
        <w:tc>
          <w:tcPr>
            <w:tcW w:w="4330" w:type="dxa"/>
            <w:vAlign w:val="center"/>
            <w:textDirection w:val="lrTb"/>
            <w:noWrap w:val="false"/>
          </w:tcPr>
          <w:p>
            <w:pPr>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bidi="ar"/>
              </w:rPr>
              <w:t xml:space="preserve">厚度：8mm；超白超透钢化玻璃；</w:t>
            </w:r>
            <w:r/>
          </w:p>
        </w:tc>
        <w:tc>
          <w:tcPr>
            <w:tcW w:w="925" w:type="dxa"/>
            <w:vAlign w:val="center"/>
            <w:textDirection w:val="lrTb"/>
            <w:noWrap w:val="false"/>
          </w:tcPr>
          <w:p>
            <w:pPr>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1组</w:t>
            </w:r>
            <w:r/>
          </w:p>
        </w:tc>
      </w:tr>
      <w:tr>
        <w:trPr>
          <w:jc w:val="center"/>
          <w:trHeight w:val="23"/>
        </w:trPr>
        <w:tc>
          <w:tcPr>
            <w:tcW w:w="814" w:type="dxa"/>
            <w:vAlign w:val="center"/>
            <w:textDirection w:val="lrTb"/>
            <w:noWrap w:val="false"/>
          </w:tcPr>
          <w:p>
            <w:pPr>
              <w:ind w:right="-107"/>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7</w:t>
            </w:r>
            <w:r/>
          </w:p>
        </w:tc>
        <w:tc>
          <w:tcPr>
            <w:tcW w:w="3285" w:type="dxa"/>
            <w:vAlign w:val="center"/>
            <w:textDirection w:val="lrTb"/>
            <w:noWrap w:val="false"/>
          </w:tcPr>
          <w:p>
            <w:pPr>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大屏支架、耗材、安装费</w:t>
            </w:r>
            <w:r/>
          </w:p>
        </w:tc>
        <w:tc>
          <w:tcPr>
            <w:tcW w:w="4330" w:type="dxa"/>
            <w:vAlign w:val="center"/>
            <w:textDirection w:val="lrTb"/>
            <w:noWrap w:val="false"/>
          </w:tcPr>
          <w:p>
            <w:pPr>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lang w:bidi="ar"/>
              </w:rPr>
              <w:t xml:space="preserve">定制铝型材拼接屏安装支架及其他线材、辅配件、运费、人工费、差旅费</w:t>
            </w:r>
            <w:r/>
          </w:p>
        </w:tc>
        <w:tc>
          <w:tcPr>
            <w:tcW w:w="925" w:type="dxa"/>
            <w:vAlign w:val="center"/>
            <w:textDirection w:val="lrTb"/>
            <w:noWrap w:val="false"/>
          </w:tcPr>
          <w:p>
            <w:pPr>
              <w:jc w:val="center"/>
              <w:spacing w:after="72"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1套</w:t>
            </w:r>
            <w:r/>
          </w:p>
        </w:tc>
      </w:tr>
    </w:tbl>
    <w:p>
      <w:pPr>
        <w:ind w:firstLine="422"/>
        <w:spacing w:before="240" w:line="360" w:lineRule="auto"/>
        <w:rPr>
          <w:rFonts w:hint="eastAsia" w:asciiTheme="majorEastAsia" w:hAnsiTheme="majorEastAsia" w:eastAsiaTheme="majorEastAsia" w:cstheme="majorEastAsia"/>
          <w:b/>
          <w:bCs/>
          <w:szCs w:val="21"/>
        </w:rPr>
        <w:outlineLvl w:val="1"/>
      </w:pPr>
      <w:r>
        <w:rPr>
          <w:rFonts w:hint="eastAsia" w:asciiTheme="majorEastAsia" w:hAnsiTheme="majorEastAsia" w:eastAsiaTheme="majorEastAsia" w:cstheme="majorEastAsia"/>
          <w:b/>
          <w:bCs/>
          <w:szCs w:val="21"/>
        </w:rPr>
        <w:t xml:space="preserve">5.3馆藏精品文物数字化交互展示制作服务</w:t>
      </w:r>
      <w:r/>
    </w:p>
    <w:p>
      <w:pPr>
        <w:pStyle w:val="1208"/>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通过对文物及其三维模型等数据的设计策划，建立开放的线上数字展览，加工制作丰富的多主题风格呈现效果，支持在移动端、PC端等多终端浏览，满足观众随时随地云观展的应用需求。</w:t>
      </w:r>
      <w:r/>
    </w:p>
    <w:p>
      <w:pPr>
        <w:pStyle w:val="923"/>
        <w:ind w:firstLine="422"/>
        <w:spacing w:before="120" w:after="0" w:line="360" w:lineRule="auto"/>
        <w:rPr>
          <w:rFonts w:asciiTheme="majorEastAsia" w:hAnsiTheme="majorEastAsia" w:eastAsiaTheme="majorEastAsia" w:cstheme="majorEastAsia"/>
          <w:sz w:val="21"/>
          <w:szCs w:val="21"/>
          <w:highlight w:val="none"/>
          <w:u w:val="none"/>
        </w:rPr>
      </w:pPr>
      <w:r>
        <w:rPr>
          <w:rFonts w:hint="eastAsia" w:asciiTheme="majorEastAsia" w:hAnsiTheme="majorEastAsia" w:eastAsiaTheme="majorEastAsia" w:cstheme="majorEastAsia"/>
          <w:sz w:val="21"/>
          <w:szCs w:val="21"/>
          <w:highlight w:val="none"/>
          <w:u w:val="none"/>
        </w:rPr>
        <w:t xml:space="preserve">5.3.1 指定文物三维模型交互展示内容制作（3件）</w:t>
      </w:r>
      <w:r/>
    </w:p>
    <w:p>
      <w:pPr>
        <w:ind w:firstLine="480"/>
        <w:spacing w:line="360" w:lineRule="auto"/>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馆藏文物：宋琉璃陶青龙、宋琉璃陶白虎、宋陶玄武。</w:t>
      </w:r>
      <w:r/>
    </w:p>
    <w:p>
      <w:pPr>
        <w:ind w:firstLine="480"/>
        <w:spacing w:line="360" w:lineRule="auto"/>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 xml:space="preserve">（1）首页展示</w:t>
      </w:r>
      <w:r/>
    </w:p>
    <w:p>
      <w:pPr>
        <w:ind w:firstLine="48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提供三维文物数字展示入口，需提供具有馆方特色的首页，支持按照文物分类、质地等不同维度的相关性进行查询、检索。</w:t>
      </w:r>
      <w:r/>
    </w:p>
    <w:p>
      <w:pPr>
        <w:ind w:firstLine="480"/>
        <w:spacing w:line="360" w:lineRule="auto"/>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 xml:space="preserve">（2）分类展示</w:t>
      </w:r>
      <w:r/>
    </w:p>
    <w:p>
      <w:pPr>
        <w:ind w:firstLine="48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提供文物的分类展示效果，充分利用文物数字资源及相关信息，多维度、深层次挖掘文物关联展示，加强UI交互设计制作，提供体现文物特色、布局合理、视觉美观的UI设计，增强用户体验。</w:t>
      </w:r>
      <w:r/>
    </w:p>
    <w:p>
      <w:pPr>
        <w:ind w:firstLine="480"/>
        <w:spacing w:line="360" w:lineRule="auto"/>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 xml:space="preserve">（3）文物展示</w:t>
      </w:r>
      <w:r/>
    </w:p>
    <w:p>
      <w:pPr>
        <w:pStyle w:val="1208"/>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①提供文物列表展示效果，支持可视化知识链展示场景、卡片展示场景切换。支持多维度的分支节点。</w:t>
      </w:r>
      <w:r/>
    </w:p>
    <w:p>
      <w:pPr>
        <w:pStyle w:val="1208"/>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②对指定文物进行深度文化内容挖掘，提供“文物线上数字展”策展表，解析文物相关知识内容维度、知识信息详情，以知识拓展的形式，以用户当前查看文物为核心，围绕多个维度，系统有序的循环展开显示与该当前文物相关的文史知识。</w:t>
      </w:r>
      <w:r/>
    </w:p>
    <w:p>
      <w:pPr>
        <w:ind w:firstLine="480"/>
        <w:spacing w:line="360" w:lineRule="auto"/>
        <w:rPr>
          <w:rFonts w:hint="eastAsia"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③支持智能推荐功能，每次点击均可按照相关逻辑推荐不同的知识内容，为用户提供文物图文详情及相关文史知识。</w:t>
      </w:r>
      <w:r/>
    </w:p>
    <w:p>
      <w:pPr>
        <w:ind w:firstLine="480"/>
        <w:spacing w:line="360" w:lineRule="auto"/>
        <w:rPr>
          <w:rFonts w:hint="eastAsia" w:asciiTheme="majorEastAsia" w:hAnsiTheme="majorEastAsia" w:eastAsiaTheme="majorEastAsia" w:cstheme="majorEastAsia"/>
          <w:b/>
          <w:bCs/>
          <w:szCs w:val="21"/>
        </w:rPr>
      </w:pPr>
      <w:r>
        <w:rPr>
          <w:rFonts w:hint="eastAsia" w:asciiTheme="majorEastAsia" w:hAnsiTheme="majorEastAsia" w:eastAsiaTheme="majorEastAsia" w:cstheme="majorEastAsia"/>
          <w:b/>
          <w:bCs/>
          <w:szCs w:val="21"/>
        </w:rPr>
        <w:t xml:space="preserve">（4）三维浏览</w:t>
      </w:r>
      <w:r/>
    </w:p>
    <w:p>
      <w:pPr>
        <w:pStyle w:val="1208"/>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提供文物三维浏览效果，支持查看文物信息、浏览三维模型、点赞和分享。设计风格要体现文物的整体特征、文化符号，页面布局简约高效，根据文物的特点合理运用设计元素，提升用户观感体验。</w:t>
      </w:r>
      <w:r/>
    </w:p>
    <w:p>
      <w:pPr>
        <w:pStyle w:val="923"/>
        <w:ind w:firstLine="422"/>
        <w:spacing w:before="120" w:after="0" w:line="360" w:lineRule="auto"/>
        <w:rPr>
          <w:rFonts w:hint="eastAsia" w:asciiTheme="majorEastAsia" w:hAnsiTheme="majorEastAsia" w:eastAsiaTheme="majorEastAsia" w:cstheme="majorEastAsia"/>
          <w:sz w:val="21"/>
          <w:szCs w:val="21"/>
          <w:u w:val="none"/>
        </w:rPr>
      </w:pPr>
      <w:r>
        <w:rPr>
          <w:rFonts w:hint="eastAsia" w:asciiTheme="majorEastAsia" w:hAnsiTheme="majorEastAsia" w:eastAsiaTheme="majorEastAsia" w:cstheme="majorEastAsia"/>
          <w:sz w:val="21"/>
          <w:szCs w:val="21"/>
          <w:u w:val="none"/>
        </w:rPr>
        <w:t xml:space="preserve">5.3.2 江苏省“文物数字百宝箱”平台对接</w:t>
      </w:r>
      <w:r/>
    </w:p>
    <w:p>
      <w:pPr>
        <w:ind w:firstLine="420"/>
        <w:jc w:val="left"/>
        <w:spacing w:line="360" w:lineRule="auto"/>
        <w:widowControl/>
        <w:rPr>
          <w:rFonts w:hint="eastAsia" w:asciiTheme="majorEastAsia" w:hAnsiTheme="majorEastAsia" w:eastAsiaTheme="majorEastAsia" w:cstheme="majorEastAsia"/>
          <w:b/>
          <w:bCs/>
          <w:sz w:val="21"/>
          <w:szCs w:val="21"/>
          <w:lang w:val="en-US" w:eastAsia="zh-CN"/>
        </w:rPr>
        <w:outlineLvl w:val="0"/>
      </w:pPr>
      <w:r>
        <w:rPr>
          <w:rFonts w:hint="eastAsia" w:asciiTheme="majorEastAsia" w:hAnsiTheme="majorEastAsia" w:eastAsiaTheme="majorEastAsia" w:cstheme="majorEastAsia"/>
          <w:sz w:val="21"/>
          <w:szCs w:val="21"/>
        </w:rPr>
        <w:t xml:space="preserve">今后馆方需要与江苏省“文物数字百宝箱”平台对接时，本项目建设的三维交互展示内容需支持与省局展示平台完成对接展示，根据省局展示平台的展示要求，进行必要适配（PC端与移动端）。省局平台展示对接服务包含在本项目建设范围内，不另外计费。</w:t>
      </w:r>
      <w:r/>
    </w:p>
    <w:p>
      <w:pPr>
        <w:jc w:val="left"/>
        <w:spacing w:line="360" w:lineRule="auto"/>
        <w:widowControl/>
        <w:rPr>
          <w:rFonts w:hint="eastAsia" w:asciiTheme="majorEastAsia" w:hAnsiTheme="majorEastAsia" w:eastAsiaTheme="majorEastAsia" w:cstheme="majorEastAsia"/>
          <w:b/>
          <w:bCs/>
          <w:sz w:val="21"/>
          <w:szCs w:val="21"/>
          <w:lang w:val="en-US" w:eastAsia="zh-CN"/>
        </w:rPr>
        <w:outlineLvl w:val="0"/>
      </w:pPr>
      <w:r>
        <w:rPr>
          <w:rFonts w:hint="eastAsia" w:asciiTheme="majorEastAsia" w:hAnsiTheme="majorEastAsia" w:eastAsiaTheme="majorEastAsia" w:cstheme="majorEastAsia"/>
          <w:b/>
          <w:bCs/>
          <w:sz w:val="21"/>
          <w:szCs w:val="21"/>
          <w:lang w:val="en-US" w:eastAsia="zh-CN"/>
        </w:rPr>
      </w:r>
      <w:r/>
    </w:p>
    <w:p>
      <w:pPr>
        <w:jc w:val="left"/>
        <w:spacing w:line="360" w:lineRule="auto"/>
        <w:widowControl/>
        <w:rPr>
          <w:rFonts w:hint="eastAsia" w:asciiTheme="majorEastAsia" w:hAnsiTheme="majorEastAsia" w:eastAsiaTheme="majorEastAsia" w:cstheme="majorEastAsia"/>
          <w:b/>
          <w:bCs/>
          <w:sz w:val="21"/>
          <w:szCs w:val="21"/>
          <w:lang w:val="en-US" w:eastAsia="zh-CN"/>
        </w:rPr>
        <w:outlineLvl w:val="0"/>
      </w:pPr>
      <w:r>
        <w:rPr>
          <w:rFonts w:hint="eastAsia" w:asciiTheme="majorEastAsia" w:hAnsiTheme="majorEastAsia" w:eastAsiaTheme="majorEastAsia" w:cstheme="majorEastAsia"/>
          <w:b/>
          <w:bCs/>
          <w:sz w:val="21"/>
          <w:szCs w:val="21"/>
          <w:lang w:val="en-US" w:eastAsia="zh-CN"/>
        </w:rPr>
        <w:t xml:space="preserve">六、报价</w:t>
      </w:r>
      <w:r/>
    </w:p>
    <w:p>
      <w:pPr>
        <w:pStyle w:val="9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本项目报价为</w:t>
      </w:r>
      <w:r>
        <w:rPr>
          <w:rFonts w:hint="eastAsia" w:ascii="宋体" w:hAnsi="宋体" w:eastAsia="宋体" w:cs="宋体"/>
          <w:b/>
          <w:bCs/>
          <w:sz w:val="21"/>
          <w:szCs w:val="21"/>
          <w:u w:val="single"/>
        </w:rPr>
        <w:t xml:space="preserve">固定总价</w:t>
      </w:r>
      <w:r>
        <w:rPr>
          <w:rFonts w:hint="eastAsia" w:ascii="宋体" w:hAnsi="宋体" w:eastAsia="宋体" w:cs="宋体"/>
          <w:sz w:val="21"/>
          <w:szCs w:val="21"/>
        </w:rPr>
        <w:t xml:space="preserve">，磋商报价应包括竞争性磋商文件所确定的采购范围相应服务的提供、人员（包括工资和补贴）、</w:t>
      </w:r>
      <w:r>
        <w:rPr>
          <w:rFonts w:hint="eastAsia" w:ascii="宋体" w:hAnsi="宋体" w:eastAsia="宋体" w:cs="宋体"/>
          <w:sz w:val="21"/>
          <w:szCs w:val="21"/>
          <w:lang w:val="zh-CN"/>
        </w:rPr>
        <w:t xml:space="preserve">项目验收阶段所产生的验收费用，</w:t>
      </w:r>
      <w:r>
        <w:rPr>
          <w:rFonts w:hint="eastAsia" w:ascii="宋体" w:hAnsi="宋体" w:eastAsia="宋体" w:cs="宋体"/>
          <w:sz w:val="21"/>
          <w:szCs w:val="21"/>
        </w:rPr>
        <w:t xml:space="preserve">办公场所及设施、保险、劳保、管理、各种税费、利润、税金、政策性文件规定及合同包含的所有风险、责任等各项应有费用，以及为完成该项服务项目所涉及到的一切相关费用，采购人不再支付其他任何费用。 </w:t>
      </w:r>
      <w:r/>
    </w:p>
    <w:p>
      <w:pPr>
        <w:pStyle w:val="986"/>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报价货币为人民币，评审时以人民币为准。</w:t>
      </w:r>
      <w:r/>
    </w:p>
    <w:p>
      <w:pPr>
        <w:numPr>
          <w:ilvl w:val="0"/>
          <w:numId w:val="0"/>
        </w:numPr>
        <w:rPr>
          <w:rFonts w:hint="default" w:ascii="宋体" w:hAnsi="宋体" w:cs="宋体"/>
          <w:szCs w:val="21"/>
          <w:lang w:val="en-US" w:eastAsia="zh-CN"/>
        </w:rPr>
      </w:pPr>
      <w:r>
        <w:rPr>
          <w:rFonts w:hint="default" w:ascii="宋体" w:hAnsi="宋体" w:cs="宋体"/>
          <w:szCs w:val="21"/>
          <w:lang w:val="en-US" w:eastAsia="zh-CN"/>
        </w:rPr>
      </w:r>
      <w:r/>
    </w:p>
    <w:p>
      <w:pPr>
        <w:pStyle w:val="966"/>
        <w:ind w:firstLine="480"/>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966"/>
        <w:ind w:firstLine="480"/>
        <w:rPr>
          <w:rFonts w:ascii="宋体" w:hAnsi="宋体" w:cs="宋体"/>
          <w:szCs w:val="21"/>
        </w:rPr>
      </w:pPr>
      <w:r>
        <w:rPr>
          <w:rFonts w:ascii="宋体" w:hAnsi="宋体" w:cs="宋体"/>
          <w:szCs w:val="21"/>
        </w:rPr>
      </w:r>
      <w:r/>
    </w:p>
    <w:p>
      <w:pPr>
        <w:pStyle w:val="966"/>
        <w:ind w:firstLine="480"/>
        <w:rPr>
          <w:rFonts w:ascii="宋体" w:hAnsi="宋体" w:cs="宋体"/>
          <w:szCs w:val="21"/>
        </w:rPr>
      </w:pPr>
      <w:r>
        <w:rPr>
          <w:rFonts w:ascii="宋体" w:hAnsi="宋体" w:cs="宋体"/>
          <w:szCs w:val="21"/>
        </w:rPr>
      </w:r>
      <w:r/>
    </w:p>
    <w:p>
      <w:pPr>
        <w:pStyle w:val="966"/>
        <w:ind w:firstLine="480"/>
        <w:rPr>
          <w:rFonts w:ascii="宋体" w:hAnsi="宋体" w:cs="宋体"/>
          <w:szCs w:val="21"/>
        </w:rPr>
      </w:pPr>
      <w:r>
        <w:rPr>
          <w:rFonts w:ascii="宋体" w:hAnsi="宋体" w:cs="宋体"/>
          <w:szCs w:val="21"/>
        </w:rPr>
      </w:r>
      <w:r/>
    </w:p>
    <w:p>
      <w:pPr>
        <w:pStyle w:val="966"/>
        <w:ind w:firstLine="480"/>
        <w:rPr>
          <w:rFonts w:ascii="宋体" w:hAnsi="宋体" w:cs="宋体"/>
          <w:szCs w:val="21"/>
        </w:rPr>
      </w:pPr>
      <w:r>
        <w:rPr>
          <w:rFonts w:ascii="宋体" w:hAnsi="宋体" w:cs="宋体"/>
          <w:szCs w:val="21"/>
        </w:rPr>
      </w:r>
      <w:r/>
    </w:p>
    <w:p>
      <w:pPr>
        <w:pStyle w:val="966"/>
        <w:ind w:left="0" w:firstLine="0"/>
        <w:rPr>
          <w:rFonts w:ascii="宋体" w:hAnsi="宋体" w:cs="宋体"/>
          <w:szCs w:val="21"/>
        </w:rPr>
      </w:pPr>
      <w:r>
        <w:rPr>
          <w:rFonts w:ascii="宋体" w:hAnsi="宋体" w:cs="宋体"/>
          <w:szCs w:val="21"/>
        </w:rPr>
      </w:r>
      <w:r/>
    </w:p>
    <w:p>
      <w:pPr>
        <w:jc w:val="center"/>
        <w:spacing w:line="360" w:lineRule="auto"/>
        <w:widowControl/>
        <w:rPr>
          <w:rFonts w:hint="eastAsia"/>
          <w:b/>
          <w:sz w:val="28"/>
          <w:szCs w:val="28"/>
        </w:rPr>
        <w:outlineLvl w:val="0"/>
      </w:pPr>
      <w:r/>
      <w:bookmarkStart w:id="659" w:name="_Toc11543"/>
      <w:r/>
      <w:r/>
    </w:p>
    <w:p>
      <w:pPr>
        <w:jc w:val="center"/>
        <w:spacing w:line="360" w:lineRule="auto"/>
        <w:widowControl/>
        <w:rPr>
          <w:b/>
          <w:bCs/>
          <w:sz w:val="28"/>
          <w:szCs w:val="28"/>
        </w:rPr>
        <w:outlineLvl w:val="0"/>
      </w:pPr>
      <w:r>
        <w:rPr>
          <w:highlight w:val="none"/>
        </w:rPr>
      </w:r>
      <w:r>
        <w:rPr>
          <w:highlight w:val="none"/>
        </w:rPr>
      </w:r>
    </w:p>
    <w:p>
      <w:pPr>
        <w:jc w:val="center"/>
        <w:spacing w:line="360" w:lineRule="auto"/>
        <w:widowControl/>
        <w:rPr>
          <w:highlight w:val="none"/>
        </w:rPr>
        <w:outlineLvl w:val="0"/>
      </w:pPr>
      <w:r>
        <w:rPr>
          <w:highlight w:val="none"/>
        </w:rPr>
      </w:r>
      <w:r>
        <w:rPr>
          <w:highlight w:val="none"/>
        </w:rPr>
      </w:r>
    </w:p>
    <w:p>
      <w:pPr>
        <w:jc w:val="center"/>
        <w:spacing w:line="360" w:lineRule="auto"/>
        <w:widowControl/>
        <w:rPr>
          <w:highlight w:val="none"/>
        </w:rPr>
        <w:outlineLvl w:val="0"/>
      </w:pPr>
      <w:r>
        <w:rPr>
          <w:highlight w:val="none"/>
        </w:rPr>
      </w:r>
      <w:r>
        <w:rPr>
          <w:highlight w:val="none"/>
        </w:rPr>
      </w:r>
    </w:p>
    <w:p>
      <w:pPr>
        <w:jc w:val="center"/>
        <w:spacing w:line="360" w:lineRule="auto"/>
        <w:widowControl/>
        <w:rPr>
          <w:highlight w:val="none"/>
        </w:rPr>
        <w:outlineLvl w:val="0"/>
      </w:pPr>
      <w:r>
        <w:rPr>
          <w:highlight w:val="none"/>
        </w:rPr>
      </w:r>
      <w:r>
        <w:rPr>
          <w:highlight w:val="none"/>
        </w:rPr>
      </w:r>
    </w:p>
    <w:p>
      <w:pPr>
        <w:jc w:val="center"/>
        <w:spacing w:line="360" w:lineRule="auto"/>
        <w:widowControl/>
        <w:rPr>
          <w:highlight w:val="none"/>
        </w:rPr>
        <w:outlineLvl w:val="0"/>
      </w:pPr>
      <w:r>
        <w:rPr>
          <w:highlight w:val="none"/>
        </w:rPr>
      </w:r>
      <w:r>
        <w:rPr>
          <w:highlight w:val="none"/>
        </w:rPr>
      </w:r>
    </w:p>
    <w:p>
      <w:pPr>
        <w:jc w:val="center"/>
        <w:spacing w:line="360" w:lineRule="auto"/>
        <w:widowControl/>
        <w:rPr>
          <w:highlight w:val="none"/>
        </w:rPr>
        <w:outlineLvl w:val="0"/>
      </w:pPr>
      <w:r>
        <w:rPr>
          <w:highlight w:val="none"/>
        </w:rPr>
      </w:r>
      <w:r>
        <w:rPr>
          <w:highlight w:val="none"/>
        </w:rPr>
      </w:r>
    </w:p>
    <w:p>
      <w:pPr>
        <w:jc w:val="center"/>
        <w:spacing w:line="360" w:lineRule="auto"/>
        <w:widowControl/>
        <w:rPr>
          <w:highlight w:val="none"/>
        </w:rPr>
        <w:outlineLvl w:val="0"/>
      </w:pPr>
      <w:r>
        <w:rPr>
          <w:highlight w:val="none"/>
        </w:rPr>
      </w:r>
      <w:r>
        <w:rPr>
          <w:highlight w:val="none"/>
        </w:rPr>
      </w:r>
    </w:p>
    <w:p>
      <w:pPr>
        <w:jc w:val="center"/>
        <w:spacing w:line="360" w:lineRule="auto"/>
        <w:widowControl/>
        <w:rPr>
          <w:highlight w:val="none"/>
        </w:rPr>
        <w:outlineLvl w:val="0"/>
      </w:pPr>
      <w:r>
        <w:rPr>
          <w:rFonts w:hint="eastAsia"/>
          <w:b/>
          <w:sz w:val="28"/>
          <w:szCs w:val="28"/>
        </w:rPr>
        <w:t xml:space="preserve">第五章  </w:t>
      </w:r>
      <w:r>
        <w:rPr>
          <w:b/>
          <w:sz w:val="28"/>
          <w:szCs w:val="28"/>
        </w:rPr>
        <w:t xml:space="preserve">合同草案条款</w:t>
      </w:r>
      <w:bookmarkEnd w:id="659"/>
      <w:r/>
      <w:r/>
    </w:p>
    <w:p>
      <w:pPr>
        <w:pStyle w:val="1198"/>
      </w:pPr>
      <w:r/>
      <w:r/>
    </w:p>
    <w:p>
      <w:pPr>
        <w:pStyle w:val="947"/>
        <w:ind w:firstLine="422"/>
        <w:spacing w:line="332" w:lineRule="auto"/>
        <w:rPr>
          <w:rFonts w:hint="default" w:hAnsi="宋体" w:cs="宋体"/>
          <w:szCs w:val="21"/>
        </w:rPr>
      </w:pPr>
      <w:r>
        <w:rPr>
          <w:rFonts w:hAnsi="宋体" w:cs="宋体"/>
          <w:b/>
          <w:szCs w:val="21"/>
        </w:rPr>
        <w:t xml:space="preserve">甲方： </w:t>
      </w:r>
      <w:r>
        <w:rPr>
          <w:rFonts w:hAnsi="宋体" w:cs="宋体"/>
          <w:szCs w:val="21"/>
          <w:u w:val="single"/>
        </w:rPr>
        <w:t xml:space="preserve">                         </w:t>
      </w:r>
      <w:r>
        <w:rPr>
          <w:rFonts w:hAnsi="宋体" w:cs="宋体"/>
          <w:b/>
          <w:szCs w:val="21"/>
        </w:rPr>
        <w:t xml:space="preserve">               </w:t>
      </w:r>
      <w:r>
        <w:rPr>
          <w:rFonts w:hAnsi="宋体" w:cs="宋体"/>
          <w:szCs w:val="21"/>
        </w:rPr>
        <w:t xml:space="preserve">项目编号：</w:t>
      </w:r>
      <w:r>
        <w:rPr>
          <w:rFonts w:hAnsi="宋体" w:cs="宋体"/>
          <w:szCs w:val="21"/>
          <w:u w:val="single"/>
        </w:rPr>
        <w:t xml:space="preserve">              </w:t>
      </w:r>
      <w:r/>
    </w:p>
    <w:p>
      <w:pPr>
        <w:pStyle w:val="947"/>
        <w:ind w:firstLine="422"/>
        <w:spacing w:line="332" w:lineRule="auto"/>
        <w:rPr>
          <w:rFonts w:hint="default" w:hAnsi="宋体" w:cs="宋体"/>
          <w:szCs w:val="21"/>
          <w:u w:val="single"/>
        </w:rPr>
      </w:pPr>
      <w:r>
        <w:rPr>
          <w:rFonts w:hAnsi="宋体" w:cs="宋体"/>
          <w:b/>
          <w:szCs w:val="21"/>
        </w:rPr>
        <w:t xml:space="preserve">乙方： </w:t>
      </w:r>
      <w:r>
        <w:rPr>
          <w:rFonts w:hAnsi="宋体" w:cs="宋体"/>
          <w:b/>
          <w:szCs w:val="21"/>
          <w:u w:val="single"/>
        </w:rPr>
        <w:t xml:space="preserve">                         </w:t>
      </w:r>
      <w:r>
        <w:rPr>
          <w:rFonts w:hAnsi="宋体" w:cs="宋体"/>
          <w:b/>
          <w:szCs w:val="21"/>
        </w:rPr>
        <w:t xml:space="preserve">               </w:t>
      </w:r>
      <w:r>
        <w:rPr>
          <w:rFonts w:hAnsi="宋体" w:cs="宋体"/>
          <w:szCs w:val="21"/>
        </w:rPr>
        <w:t xml:space="preserve">合同时间： </w:t>
      </w:r>
      <w:r>
        <w:rPr>
          <w:rFonts w:hAnsi="宋体" w:cs="宋体"/>
          <w:szCs w:val="21"/>
          <w:u w:val="single"/>
        </w:rPr>
        <w:t xml:space="preserve">    年   月   日</w:t>
      </w:r>
      <w:r/>
    </w:p>
    <w:p>
      <w:pPr>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根据《中华人民共和国政府采购法》、《中华人民共和国民法典》等法律法规的规定，</w:t>
      </w:r>
      <w:r>
        <w:rPr>
          <w:rFonts w:hint="eastAsia" w:ascii="宋体" w:hAnsi="宋体" w:cs="宋体"/>
          <w:szCs w:val="21"/>
        </w:rPr>
        <w:t xml:space="preserve">遵循平等、自愿、公平和诚实信用的原则，双方协商一致，共同</w:t>
      </w:r>
      <w:r>
        <w:rPr>
          <w:rFonts w:hint="eastAsia" w:ascii="宋体" w:hAnsi="宋体" w:cs="宋体"/>
          <w:szCs w:val="21"/>
        </w:rPr>
        <w:t xml:space="preserve">达成如下协议：</w:t>
      </w:r>
      <w:r/>
    </w:p>
    <w:p>
      <w:pPr>
        <w:ind w:firstLine="422"/>
        <w:spacing w:line="332" w:lineRule="auto"/>
        <w:shd w:val="clear" w:color="auto" w:fill="ffffff"/>
        <w:widowControl/>
        <w:rPr>
          <w:rFonts w:ascii="宋体" w:hAnsi="宋体" w:cs="宋体"/>
          <w:szCs w:val="21"/>
        </w:rPr>
      </w:pPr>
      <w:r/>
      <w:bookmarkStart w:id="660" w:name="_Toc475692078"/>
      <w:r/>
      <w:bookmarkStart w:id="661" w:name="_Toc4536"/>
      <w:r>
        <w:rPr>
          <w:rFonts w:hint="eastAsia" w:ascii="宋体" w:hAnsi="宋体" w:cs="宋体"/>
          <w:b/>
          <w:bCs/>
          <w:szCs w:val="21"/>
        </w:rPr>
        <w:t xml:space="preserve">第一条 合同标的</w:t>
      </w:r>
      <w:bookmarkEnd w:id="660"/>
      <w:r>
        <w:rPr>
          <w:rFonts w:hint="eastAsia" w:ascii="宋体" w:hAnsi="宋体" w:cs="宋体"/>
          <w:szCs w:val="21"/>
        </w:rPr>
        <w:t xml:space="preserve"> </w:t>
      </w:r>
      <w:bookmarkEnd w:id="661"/>
      <w:r/>
      <w:r/>
    </w:p>
    <w:p>
      <w:pPr>
        <w:ind w:firstLine="422"/>
        <w:spacing w:line="332" w:lineRule="auto"/>
        <w:shd w:val="clear" w:color="auto" w:fill="ffffff"/>
        <w:widowControl/>
        <w:rPr>
          <w:rFonts w:ascii="宋体" w:hAnsi="宋体" w:cs="宋体"/>
          <w:color w:val="000000"/>
          <w:szCs w:val="21"/>
          <w:u w:val="single"/>
        </w:rPr>
      </w:pPr>
      <w:r>
        <w:rPr>
          <w:rFonts w:hint="eastAsia" w:ascii="宋体" w:hAnsi="宋体" w:cs="宋体"/>
          <w:color w:val="000000"/>
          <w:szCs w:val="21"/>
        </w:rPr>
        <w:t xml:space="preserve">乙方根据甲方要求提供下列服务：</w:t>
      </w:r>
      <w:r/>
    </w:p>
    <w:p>
      <w:pPr>
        <w:ind w:firstLine="422"/>
        <w:spacing w:line="332" w:lineRule="auto"/>
        <w:shd w:val="clear" w:color="auto" w:fill="ffffff"/>
        <w:widowControl/>
        <w:rPr>
          <w:rFonts w:ascii="宋体" w:hAnsi="宋体" w:cs="宋体"/>
          <w:szCs w:val="21"/>
        </w:rPr>
      </w:pPr>
      <w:r>
        <w:rPr>
          <w:rFonts w:hint="eastAsia" w:ascii="宋体" w:hAnsi="宋体" w:cs="宋体"/>
          <w:szCs w:val="21"/>
        </w:rPr>
        <w:t xml:space="preserve">服务内容详见乙方投标文件及费用清单等。</w:t>
      </w:r>
      <w:r/>
    </w:p>
    <w:p>
      <w:pPr>
        <w:ind w:firstLine="420"/>
        <w:jc w:val="left"/>
        <w:spacing w:line="332" w:lineRule="auto"/>
        <w:shd w:val="clear" w:color="auto" w:fill="ffffff"/>
        <w:widowControl/>
        <w:rPr>
          <w:rFonts w:ascii="宋体" w:hAnsi="宋体" w:cs="宋体"/>
          <w:szCs w:val="21"/>
        </w:rPr>
      </w:pPr>
      <w:r/>
      <w:bookmarkStart w:id="662" w:name="_Toc475692079"/>
      <w:r/>
      <w:bookmarkStart w:id="663" w:name="_Toc1799"/>
      <w:r>
        <w:rPr>
          <w:rFonts w:hint="eastAsia" w:ascii="宋体" w:hAnsi="宋体" w:cs="宋体"/>
          <w:b/>
          <w:bCs/>
          <w:szCs w:val="21"/>
        </w:rPr>
        <w:t xml:space="preserve">第二条 合同总价款</w:t>
      </w:r>
      <w:bookmarkEnd w:id="662"/>
      <w:r>
        <w:rPr>
          <w:rFonts w:hint="eastAsia" w:ascii="宋体" w:hAnsi="宋体" w:cs="宋体"/>
          <w:szCs w:val="21"/>
        </w:rPr>
        <w:t xml:space="preserve"> </w:t>
      </w:r>
      <w:bookmarkEnd w:id="663"/>
      <w:r/>
      <w:r/>
    </w:p>
    <w:p>
      <w:pPr>
        <w:ind w:firstLine="420"/>
        <w:jc w:val="left"/>
        <w:spacing w:line="332" w:lineRule="auto"/>
        <w:shd w:val="clear" w:color="auto" w:fill="ffffff"/>
        <w:widowControl/>
        <w:rPr>
          <w:rFonts w:ascii="宋体" w:hAnsi="宋体" w:cs="宋体"/>
          <w:szCs w:val="21"/>
        </w:rPr>
      </w:pPr>
      <w:r>
        <w:rPr>
          <w:rFonts w:hint="eastAsia" w:ascii="宋体" w:hAnsi="宋体" w:cs="宋体"/>
          <w:szCs w:val="21"/>
        </w:rPr>
        <w:t xml:space="preserve">本合同项下服务总价为</w:t>
      </w:r>
      <w:r>
        <w:rPr>
          <w:rFonts w:hint="eastAsia" w:ascii="宋体" w:hAnsi="宋体" w:cs="宋体"/>
          <w:b/>
          <w:bCs/>
          <w:szCs w:val="21"/>
          <w:u w:val="single"/>
        </w:rPr>
        <w:t xml:space="preserve">           </w:t>
      </w:r>
      <w:r>
        <w:rPr>
          <w:rFonts w:hint="eastAsia" w:ascii="宋体" w:hAnsi="宋体" w:cs="宋体"/>
          <w:szCs w:val="21"/>
          <w:u w:val="single"/>
        </w:rPr>
        <w:t xml:space="preserve">元</w:t>
      </w:r>
      <w:r>
        <w:rPr>
          <w:rFonts w:hint="eastAsia" w:ascii="宋体" w:hAnsi="宋体" w:cs="宋体"/>
          <w:szCs w:val="21"/>
        </w:rPr>
        <w:t xml:space="preserve">（小写）人民币，总价款为          （大写）人民币，</w:t>
      </w:r>
      <w:r>
        <w:rPr>
          <w:rFonts w:hint="eastAsia" w:ascii="宋体" w:hAnsi="宋体" w:cs="宋体"/>
          <w:bCs/>
          <w:color w:val="000000"/>
          <w:szCs w:val="21"/>
        </w:rPr>
        <w:t xml:space="preserve">分项报价表详见附件1</w:t>
      </w:r>
      <w:r>
        <w:rPr>
          <w:rFonts w:hint="eastAsia" w:ascii="宋体" w:hAnsi="宋体" w:cs="宋体"/>
          <w:color w:val="000000"/>
          <w:szCs w:val="21"/>
        </w:rPr>
        <w:t xml:space="preserve">。</w:t>
      </w:r>
      <w:r/>
    </w:p>
    <w:p>
      <w:pPr>
        <w:ind w:firstLine="413"/>
        <w:spacing w:line="332" w:lineRule="auto"/>
        <w:shd w:val="clear" w:color="auto" w:fill="ffffff"/>
        <w:widowControl/>
        <w:rPr>
          <w:rFonts w:ascii="宋体" w:hAnsi="宋体" w:cs="宋体"/>
          <w:szCs w:val="21"/>
        </w:rPr>
      </w:pPr>
      <w:r/>
      <w:bookmarkStart w:id="664" w:name="_Toc475692080"/>
      <w:r/>
      <w:bookmarkStart w:id="665" w:name="_Toc20055"/>
      <w:r>
        <w:rPr>
          <w:rFonts w:hint="eastAsia" w:ascii="宋体" w:hAnsi="宋体" w:cs="宋体"/>
          <w:b/>
          <w:bCs/>
          <w:szCs w:val="21"/>
        </w:rPr>
        <w:t xml:space="preserve">第三条 组成本合同的有关文件</w:t>
      </w:r>
      <w:bookmarkEnd w:id="664"/>
      <w:r>
        <w:rPr>
          <w:rFonts w:hint="eastAsia" w:ascii="宋体" w:hAnsi="宋体" w:cs="宋体"/>
          <w:szCs w:val="21"/>
        </w:rPr>
        <w:t xml:space="preserve">  </w:t>
      </w:r>
      <w:bookmarkEnd w:id="665"/>
      <w:r/>
      <w:r/>
    </w:p>
    <w:p>
      <w:pPr>
        <w:ind w:firstLine="411"/>
        <w:spacing w:line="332" w:lineRule="auto"/>
        <w:shd w:val="clear" w:color="auto" w:fill="ffffff"/>
        <w:widowControl/>
        <w:rPr>
          <w:rFonts w:ascii="宋体" w:hAnsi="宋体" w:cs="宋体"/>
          <w:szCs w:val="21"/>
        </w:rPr>
      </w:pPr>
      <w:r>
        <w:rPr>
          <w:rFonts w:hint="eastAsia" w:ascii="宋体" w:hAnsi="宋体" w:cs="宋体"/>
          <w:szCs w:val="21"/>
        </w:rPr>
        <w:t xml:space="preserve">招标文件和有关附件是本合同不可分割的组成部分，与本合同具有同等法律效力。</w:t>
      </w:r>
      <w:r/>
    </w:p>
    <w:p>
      <w:pPr>
        <w:ind w:firstLine="420"/>
        <w:jc w:val="left"/>
        <w:spacing w:line="332" w:lineRule="auto"/>
        <w:shd w:val="clear" w:color="auto" w:fill="ffffff"/>
        <w:widowControl/>
        <w:rPr>
          <w:rFonts w:ascii="宋体" w:hAnsi="宋体" w:cs="宋体"/>
          <w:szCs w:val="21"/>
        </w:rPr>
      </w:pPr>
      <w:r/>
      <w:bookmarkStart w:id="666" w:name="_Toc18715"/>
      <w:r/>
      <w:bookmarkStart w:id="667" w:name="_Toc475692081"/>
      <w:r>
        <w:rPr>
          <w:rFonts w:hint="eastAsia" w:ascii="宋体" w:hAnsi="宋体" w:cs="宋体"/>
          <w:b/>
          <w:bCs/>
          <w:szCs w:val="21"/>
        </w:rPr>
        <w:t xml:space="preserve">第四条 权利保证</w:t>
      </w:r>
      <w:bookmarkEnd w:id="666"/>
      <w:r/>
      <w:bookmarkEnd w:id="667"/>
      <w:r/>
      <w:r/>
    </w:p>
    <w:p>
      <w:pPr>
        <w:ind w:firstLine="420"/>
        <w:jc w:val="left"/>
        <w:spacing w:line="332" w:lineRule="auto"/>
        <w:shd w:val="clear" w:color="auto" w:fill="ffffff"/>
        <w:widowControl/>
        <w:rPr>
          <w:rFonts w:ascii="宋体" w:hAnsi="宋体" w:cs="宋体"/>
          <w:szCs w:val="21"/>
        </w:rPr>
      </w:pPr>
      <w:r>
        <w:rPr>
          <w:rFonts w:hint="eastAsia" w:ascii="宋体" w:hAnsi="宋体" w:cs="宋体"/>
          <w:szCs w:val="21"/>
        </w:rPr>
        <w:t xml:space="preserve">乙方应保证为甲方提供全部及其任何一部分服务时不侵犯第三方的专利权、版权、商标权或其他合法权利。一旦因乙方过错出现侵权诉讼，乙方应承担全部责任。</w:t>
      </w:r>
      <w:r/>
    </w:p>
    <w:p>
      <w:pPr>
        <w:ind w:firstLine="420"/>
        <w:jc w:val="left"/>
        <w:spacing w:line="332" w:lineRule="auto"/>
        <w:shd w:val="clear" w:color="auto" w:fill="ffffff"/>
        <w:widowControl/>
        <w:rPr>
          <w:rFonts w:ascii="宋体" w:hAnsi="宋体" w:cs="宋体"/>
          <w:szCs w:val="21"/>
        </w:rPr>
      </w:pPr>
      <w:r/>
      <w:bookmarkStart w:id="668" w:name="_Toc475692082"/>
      <w:r/>
      <w:bookmarkStart w:id="669" w:name="_Toc21349"/>
      <w:r>
        <w:rPr>
          <w:rFonts w:hint="eastAsia" w:ascii="宋体" w:hAnsi="宋体" w:cs="宋体"/>
          <w:b/>
          <w:bCs/>
          <w:szCs w:val="21"/>
        </w:rPr>
        <w:t xml:space="preserve">第五条 质量保证</w:t>
      </w:r>
      <w:bookmarkEnd w:id="668"/>
      <w:r/>
      <w:bookmarkEnd w:id="669"/>
      <w:r/>
      <w:r/>
    </w:p>
    <w:p>
      <w:pPr>
        <w:ind w:firstLine="420"/>
        <w:jc w:val="left"/>
        <w:spacing w:line="332" w:lineRule="auto"/>
        <w:shd w:val="clear" w:color="auto" w:fill="ffffff"/>
        <w:widowControl/>
        <w:rPr>
          <w:rFonts w:ascii="宋体" w:hAnsi="宋体" w:cs="宋体"/>
          <w:szCs w:val="21"/>
        </w:rPr>
      </w:pPr>
      <w:r>
        <w:rPr>
          <w:rFonts w:hint="eastAsia" w:ascii="宋体" w:hAnsi="宋体" w:cs="宋体"/>
          <w:szCs w:val="21"/>
        </w:rPr>
        <w:t xml:space="preserve">乙方提供的服务必须全部达到采购文件相应要求；国家或行业有规定的，还要符合相应规定。</w:t>
      </w:r>
      <w:r/>
    </w:p>
    <w:p>
      <w:pPr>
        <w:ind w:firstLine="420"/>
        <w:jc w:val="left"/>
        <w:spacing w:line="332" w:lineRule="auto"/>
        <w:shd w:val="clear" w:color="auto" w:fill="ffffff"/>
        <w:widowControl/>
        <w:rPr>
          <w:rFonts w:ascii="宋体" w:hAnsi="宋体" w:cs="宋体"/>
          <w:szCs w:val="21"/>
        </w:rPr>
      </w:pPr>
      <w:r/>
      <w:bookmarkStart w:id="670" w:name="_Toc475692083"/>
      <w:r/>
      <w:bookmarkStart w:id="671" w:name="_Toc16053"/>
      <w:r>
        <w:rPr>
          <w:rFonts w:hint="eastAsia" w:ascii="宋体" w:hAnsi="宋体" w:cs="宋体"/>
          <w:b/>
          <w:bCs/>
          <w:szCs w:val="21"/>
        </w:rPr>
        <w:t xml:space="preserve">第六条 交付使用和验收</w:t>
      </w:r>
      <w:bookmarkEnd w:id="670"/>
      <w:r/>
      <w:bookmarkEnd w:id="671"/>
      <w:r/>
      <w:r/>
    </w:p>
    <w:p>
      <w:pPr>
        <w:ind w:firstLine="420"/>
        <w:jc w:val="left"/>
        <w:spacing w:line="332" w:lineRule="auto"/>
        <w:shd w:val="clear" w:color="auto" w:fill="ffffff"/>
        <w:widowControl/>
        <w:rPr>
          <w:rFonts w:ascii="宋体" w:hAnsi="宋体" w:cs="宋体"/>
          <w:szCs w:val="21"/>
        </w:rPr>
      </w:pPr>
      <w:r>
        <w:rPr>
          <w:rFonts w:hint="eastAsia" w:ascii="宋体" w:hAnsi="宋体" w:cs="宋体"/>
          <w:szCs w:val="21"/>
        </w:rPr>
        <w:t xml:space="preserve">1、乙方应当在采购文件约定时间内完成该项目并交付甲方使用。</w:t>
      </w:r>
      <w:r/>
    </w:p>
    <w:p>
      <w:pPr>
        <w:ind w:firstLine="420"/>
        <w:jc w:val="left"/>
        <w:spacing w:line="332" w:lineRule="auto"/>
        <w:shd w:val="clear" w:color="auto" w:fill="ffffff"/>
        <w:widowControl/>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甲方自行组织或视情邀请相关专家或国家认可的质量检测机构参加验收，乙方提供的服务不符合采购文件和合同规定的，甲方有权拒收。</w:t>
      </w:r>
      <w:r/>
    </w:p>
    <w:p>
      <w:pPr>
        <w:ind w:firstLine="420"/>
        <w:jc w:val="left"/>
        <w:spacing w:line="332" w:lineRule="auto"/>
        <w:shd w:val="clear" w:color="auto" w:fill="ffffff"/>
        <w:widowControl/>
        <w:rPr>
          <w:rFonts w:ascii="宋体" w:hAnsi="宋体" w:cs="宋体"/>
          <w:szCs w:val="21"/>
        </w:rPr>
      </w:pPr>
      <w:r/>
      <w:bookmarkStart w:id="672" w:name="_Toc475692085"/>
      <w:r/>
      <w:bookmarkStart w:id="673" w:name="_Toc12393"/>
      <w:r>
        <w:rPr>
          <w:rFonts w:hint="eastAsia" w:ascii="宋体" w:hAnsi="宋体" w:cs="宋体"/>
          <w:b/>
          <w:bCs/>
          <w:szCs w:val="21"/>
        </w:rPr>
        <w:t xml:space="preserve">第七条 合同款支付</w:t>
      </w:r>
      <w:bookmarkEnd w:id="672"/>
      <w:r/>
      <w:bookmarkEnd w:id="673"/>
      <w:r/>
      <w:r/>
    </w:p>
    <w:p>
      <w:pPr>
        <w:ind w:firstLine="420"/>
        <w:jc w:val="left"/>
        <w:spacing w:line="332" w:lineRule="auto"/>
        <w:shd w:val="clear" w:color="auto" w:fill="ffffff"/>
        <w:widowControl/>
        <w:rPr>
          <w:rFonts w:ascii="宋体" w:hAnsi="宋体" w:cs="宋体"/>
          <w:szCs w:val="21"/>
        </w:rPr>
      </w:pPr>
      <w:r/>
      <w:bookmarkStart w:id="674" w:name="_Toc2515"/>
      <w:r>
        <w:rPr>
          <w:rFonts w:hint="eastAsia" w:ascii="宋体" w:hAnsi="宋体" w:cs="宋体"/>
          <w:szCs w:val="21"/>
        </w:rPr>
        <w:t xml:space="preserve">1、本合同项下所有款项均以人民币支付。</w:t>
      </w:r>
      <w:bookmarkEnd w:id="674"/>
      <w:r/>
      <w:r/>
    </w:p>
    <w:p>
      <w:pPr>
        <w:ind w:firstLine="420"/>
        <w:jc w:val="left"/>
        <w:spacing w:line="332" w:lineRule="auto"/>
        <w:shd w:val="clear" w:color="auto" w:fill="ffffff"/>
        <w:widowControl/>
        <w:rPr>
          <w:rFonts w:ascii="宋体" w:hAnsi="宋体" w:cs="宋体"/>
          <w:szCs w:val="21"/>
        </w:rPr>
      </w:pPr>
      <w:r/>
      <w:bookmarkStart w:id="675" w:name="_Toc21941"/>
      <w:r>
        <w:rPr>
          <w:rFonts w:hint="eastAsia" w:ascii="宋体" w:hAnsi="宋体" w:cs="宋体"/>
          <w:szCs w:val="21"/>
        </w:rPr>
        <w:t xml:space="preserve">2、本合同项下的采购资金由甲方自行支付，乙方向甲方开具发票。</w:t>
      </w:r>
      <w:bookmarkEnd w:id="675"/>
      <w:r/>
      <w:r/>
    </w:p>
    <w:p>
      <w:pPr>
        <w:ind w:firstLine="420"/>
        <w:jc w:val="left"/>
        <w:spacing w:line="332" w:lineRule="auto"/>
        <w:shd w:val="clear" w:color="auto" w:fill="ffffff"/>
        <w:widowControl/>
        <w:rPr>
          <w:rFonts w:ascii="宋体" w:hAnsi="宋体" w:cs="宋体"/>
          <w:spacing w:val="2"/>
          <w:szCs w:val="21"/>
        </w:rPr>
      </w:pPr>
      <w:r>
        <w:rPr>
          <w:rFonts w:hint="eastAsia" w:ascii="宋体" w:hAnsi="宋体" w:cs="宋体"/>
          <w:szCs w:val="21"/>
        </w:rPr>
        <w:t xml:space="preserve">3、付款方式</w:t>
      </w:r>
      <w:bookmarkStart w:id="676" w:name="_Toc475692086"/>
      <w:r>
        <w:rPr>
          <w:rFonts w:hint="eastAsia" w:ascii="宋体" w:hAnsi="宋体" w:cs="宋体"/>
          <w:szCs w:val="21"/>
        </w:rPr>
        <w:t xml:space="preserve">：</w:t>
      </w:r>
      <w:r/>
    </w:p>
    <w:p>
      <w:pPr>
        <w:ind w:firstLine="420"/>
        <w:jc w:val="left"/>
        <w:spacing w:line="332" w:lineRule="auto"/>
        <w:shd w:val="clear" w:color="auto" w:fill="ffffff"/>
        <w:widowControl/>
        <w:rPr>
          <w:rFonts w:ascii="宋体" w:hAnsi="宋体" w:cs="宋体"/>
          <w:spacing w:val="2"/>
          <w:szCs w:val="21"/>
        </w:rPr>
      </w:pPr>
      <w:r>
        <w:rPr>
          <w:rFonts w:hint="eastAsia" w:ascii="宋体" w:hAnsi="宋体" w:cs="宋体"/>
          <w:szCs w:val="21"/>
        </w:rPr>
        <w:t xml:space="preserve">4、如项目有调整，按实际项目数量结算，总价不超过合同价。</w:t>
      </w:r>
      <w:r/>
    </w:p>
    <w:p>
      <w:pPr>
        <w:ind w:firstLine="420"/>
        <w:jc w:val="left"/>
        <w:spacing w:line="332" w:lineRule="auto"/>
        <w:shd w:val="clear" w:color="auto" w:fill="ffffff"/>
        <w:widowControl/>
        <w:rPr>
          <w:rFonts w:ascii="宋体" w:hAnsi="宋体" w:cs="宋体"/>
          <w:szCs w:val="21"/>
        </w:rPr>
      </w:pPr>
      <w:r>
        <w:rPr>
          <w:rFonts w:hint="eastAsia" w:ascii="宋体" w:hAnsi="宋体" w:cs="宋体"/>
          <w:b/>
          <w:bCs/>
          <w:szCs w:val="21"/>
        </w:rPr>
        <w:t xml:space="preserve">第八条 违约责任</w:t>
      </w:r>
      <w:bookmarkEnd w:id="676"/>
      <w:r>
        <w:rPr>
          <w:rFonts w:hint="eastAsia" w:ascii="宋体" w:hAnsi="宋体" w:cs="宋体"/>
          <w:b/>
          <w:bCs/>
          <w:szCs w:val="21"/>
        </w:rPr>
        <w:t xml:space="preserve">  </w:t>
      </w:r>
      <w:r/>
    </w:p>
    <w:p>
      <w:pPr>
        <w:ind w:firstLine="420"/>
        <w:jc w:val="left"/>
        <w:spacing w:line="332" w:lineRule="auto"/>
        <w:shd w:val="clear" w:color="auto" w:fill="ffffff"/>
        <w:widowControl/>
        <w:rPr>
          <w:rFonts w:ascii="宋体" w:hAnsi="宋体" w:cs="宋体"/>
          <w:szCs w:val="21"/>
        </w:rPr>
      </w:pPr>
      <w:r>
        <w:rPr>
          <w:rFonts w:hint="eastAsia" w:ascii="宋体" w:hAnsi="宋体" w:cs="宋体"/>
          <w:szCs w:val="21"/>
        </w:rPr>
        <w:t xml:space="preserve">1、甲方无正当理由拒绝验收或拒付款的，甲方向乙方偿付合同总价的5%违约金。</w:t>
      </w:r>
      <w:r/>
    </w:p>
    <w:p>
      <w:pPr>
        <w:ind w:firstLine="420"/>
        <w:jc w:val="left"/>
        <w:spacing w:line="332" w:lineRule="auto"/>
        <w:shd w:val="clear" w:color="auto" w:fill="ffffff"/>
        <w:widowControl/>
        <w:rPr>
          <w:rFonts w:ascii="宋体" w:hAnsi="宋体" w:cs="宋体"/>
          <w:szCs w:val="21"/>
        </w:rPr>
      </w:pPr>
      <w:r>
        <w:rPr>
          <w:rFonts w:hint="eastAsia" w:ascii="宋体" w:hAnsi="宋体" w:cs="宋体"/>
          <w:szCs w:val="21"/>
        </w:rPr>
        <w:t xml:space="preserve">2、如乙方不能按期交付服务的，甲方有权扣留全部履约保证金；同时乙方应向甲方支付合同总价5%的违约金。</w:t>
      </w:r>
      <w:r/>
    </w:p>
    <w:p>
      <w:pPr>
        <w:ind w:firstLine="420"/>
        <w:jc w:val="left"/>
        <w:spacing w:line="332" w:lineRule="auto"/>
        <w:shd w:val="clear" w:color="auto" w:fill="ffffff"/>
        <w:widowControl/>
        <w:rPr>
          <w:rFonts w:ascii="宋体" w:hAnsi="宋体" w:cs="宋体"/>
          <w:szCs w:val="21"/>
        </w:rPr>
      </w:pPr>
      <w:r>
        <w:rPr>
          <w:rFonts w:hint="eastAsia" w:ascii="宋体" w:hAnsi="宋体" w:cs="宋体"/>
          <w:szCs w:val="21"/>
        </w:rPr>
        <w:t xml:space="preserve">3、乙方逾期交付的，每逾期1天，乙方向甲方偿付合同总额的5‰的滞纳金。如乙方逾期交付达</w:t>
      </w:r>
      <w:r/>
    </w:p>
    <w:p>
      <w:pPr>
        <w:jc w:val="left"/>
        <w:spacing w:line="332" w:lineRule="auto"/>
        <w:shd w:val="clear" w:color="auto" w:fill="ffffff"/>
        <w:widowControl/>
        <w:rPr>
          <w:rFonts w:ascii="宋体" w:hAnsi="宋体" w:cs="宋体"/>
          <w:szCs w:val="21"/>
        </w:rPr>
      </w:pPr>
      <w:r>
        <w:rPr>
          <w:rFonts w:hint="eastAsia" w:ascii="宋体" w:hAnsi="宋体" w:cs="宋体"/>
          <w:szCs w:val="21"/>
        </w:rPr>
        <w:t xml:space="preserve">10天，甲方有权解除合同，解除合同的通知自到达乙方时生效。乙方逾期交付的，今后参加政府采购</w:t>
      </w:r>
      <w:r/>
    </w:p>
    <w:p>
      <w:pPr>
        <w:jc w:val="left"/>
        <w:spacing w:line="332" w:lineRule="auto"/>
        <w:shd w:val="clear" w:color="auto" w:fill="ffffff"/>
        <w:widowControl/>
        <w:rPr>
          <w:rFonts w:ascii="宋体" w:hAnsi="宋体" w:cs="宋体"/>
          <w:szCs w:val="21"/>
        </w:rPr>
      </w:pPr>
      <w:r>
        <w:rPr>
          <w:rFonts w:hint="eastAsia" w:ascii="宋体" w:hAnsi="宋体" w:cs="宋体"/>
          <w:szCs w:val="21"/>
        </w:rPr>
        <w:t xml:space="preserve">信誉将受到影响。</w:t>
      </w:r>
      <w:r/>
    </w:p>
    <w:p>
      <w:pPr>
        <w:ind w:firstLine="420"/>
        <w:jc w:val="left"/>
        <w:spacing w:line="332" w:lineRule="auto"/>
        <w:shd w:val="clear" w:color="auto" w:fill="ffffff"/>
        <w:widowControl/>
        <w:rPr>
          <w:rFonts w:ascii="宋体" w:hAnsi="宋体" w:cs="宋体"/>
          <w:szCs w:val="21"/>
        </w:rPr>
      </w:pPr>
      <w:r>
        <w:rPr>
          <w:rFonts w:hint="eastAsia" w:ascii="宋体" w:hAnsi="宋体" w:cs="宋体"/>
          <w:szCs w:val="21"/>
        </w:rPr>
        <w:t xml:space="preserve">4、乙方在承担违约责任后，仍应继续履行合同规定的义务（甲方解除合同的除外）。甲方未能及时追究乙方的任何一项违约责任并不表明甲方放弃追究乙方该项或其他违约责任。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32" w:lineRule="auto"/>
        <w:shd w:val="clear" w:color="auto" w:fill="ffffff"/>
        <w:widowControl/>
        <w:rPr>
          <w:rFonts w:ascii="宋体" w:hAnsi="宋体" w:cs="宋体"/>
          <w:szCs w:val="21"/>
        </w:rPr>
      </w:pPr>
      <w:r>
        <w:rPr>
          <w:rFonts w:hint="eastAsia" w:ascii="宋体" w:hAnsi="宋体" w:cs="宋体"/>
          <w:szCs w:val="21"/>
        </w:rPr>
        <w:t xml:space="preserve">5、乙方虚假承诺，或经权威部门检测提供的服务不能满足采购文件要求，或是由于乙方的过错造成合同无法继续履行的，乙方履约保证金不予退还外，还应向甲方支付不少于合同总价30%赔偿金。</w:t>
      </w:r>
      <w:r/>
    </w:p>
    <w:p>
      <w:pPr>
        <w:ind w:firstLine="420"/>
        <w:jc w:val="left"/>
        <w:spacing w:line="332" w:lineRule="auto"/>
        <w:shd w:val="clear" w:color="auto" w:fill="ffffff"/>
        <w:widowControl/>
        <w:rPr>
          <w:rFonts w:ascii="宋体" w:hAnsi="宋体" w:cs="宋体"/>
          <w:szCs w:val="21"/>
        </w:rPr>
      </w:pPr>
      <w:r/>
      <w:bookmarkStart w:id="677" w:name="_Toc475692087"/>
      <w:r/>
      <w:bookmarkStart w:id="678" w:name="_Toc32414"/>
      <w:r>
        <w:rPr>
          <w:rFonts w:hint="eastAsia" w:ascii="宋体" w:hAnsi="宋体" w:cs="宋体"/>
          <w:b/>
          <w:bCs/>
          <w:szCs w:val="21"/>
        </w:rPr>
        <w:t xml:space="preserve">第九条 合同的变更和终止</w:t>
      </w:r>
      <w:bookmarkEnd w:id="677"/>
      <w:r/>
      <w:bookmarkEnd w:id="678"/>
      <w:r/>
      <w:r/>
    </w:p>
    <w:p>
      <w:pPr>
        <w:ind w:firstLine="420"/>
        <w:jc w:val="left"/>
        <w:spacing w:line="332" w:lineRule="auto"/>
        <w:shd w:val="clear" w:color="auto" w:fill="ffffff"/>
        <w:widowControl/>
        <w:rPr>
          <w:rFonts w:ascii="宋体" w:hAnsi="宋体" w:cs="宋体"/>
          <w:szCs w:val="21"/>
        </w:rPr>
      </w:pPr>
      <w:r>
        <w:rPr>
          <w:rFonts w:hint="eastAsia" w:ascii="宋体" w:hAnsi="宋体" w:cs="宋体"/>
          <w:szCs w:val="21"/>
        </w:rPr>
        <w:t xml:space="preserve">1、除《政府采购法》第50条第二款规定的情形外，本合同一经签订，甲乙双方不得擅自变更、中止或终止合同。</w:t>
      </w:r>
      <w:r/>
    </w:p>
    <w:p>
      <w:pPr>
        <w:ind w:firstLine="420"/>
        <w:jc w:val="left"/>
        <w:spacing w:line="332" w:lineRule="auto"/>
        <w:shd w:val="clear" w:color="auto" w:fill="ffffff"/>
        <w:widowControl/>
        <w:rPr>
          <w:rFonts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2、除发生法律规定的不能预见、不能避免并不能克服的客观情况外，甲乙双方不得放弃或拒绝履行合同。乙方放弃或拒绝履行合同，保证金不予退还，并赔偿甲方因此遭受的各项损失</w:t>
      </w:r>
      <w:r>
        <w:rPr>
          <w:rFonts w:hint="eastAsia" w:ascii="宋体" w:hAnsi="宋体" w:cs="宋体"/>
          <w:color w:val="000000"/>
          <w:szCs w:val="21"/>
        </w:rPr>
        <w:t xml:space="preserve">，在三年内不得参加甲方组织的招标。</w:t>
      </w:r>
      <w:r/>
    </w:p>
    <w:p>
      <w:pPr>
        <w:ind w:firstLine="422"/>
        <w:spacing w:line="332" w:lineRule="auto"/>
        <w:rPr>
          <w:rFonts w:ascii="宋体" w:hAnsi="宋体" w:cs="宋体"/>
          <w:b/>
          <w:bCs/>
          <w:color w:val="000000"/>
          <w:szCs w:val="21"/>
        </w:rPr>
      </w:pPr>
      <w:r>
        <w:rPr>
          <w:rFonts w:hint="eastAsia" w:ascii="宋体" w:hAnsi="宋体" w:cs="宋体"/>
          <w:b/>
          <w:bCs/>
          <w:color w:val="000000"/>
          <w:szCs w:val="21"/>
        </w:rPr>
        <w:t xml:space="preserve">第十条、合同标的减少与追加处理</w:t>
      </w:r>
      <w:r/>
    </w:p>
    <w:p>
      <w:pPr>
        <w:ind w:firstLine="420"/>
        <w:spacing w:line="332" w:lineRule="auto"/>
        <w:rPr>
          <w:rFonts w:ascii="宋体" w:hAnsi="宋体" w:cs="宋体"/>
          <w:color w:val="000000"/>
          <w:szCs w:val="21"/>
        </w:rPr>
      </w:pPr>
      <w:r>
        <w:rPr>
          <w:rFonts w:hint="eastAsia" w:ascii="宋体" w:hAnsi="宋体" w:cs="宋体"/>
          <w:color w:val="000000"/>
          <w:szCs w:val="21"/>
        </w:rPr>
        <w:t xml:space="preserve">1.如因在合同履行过程中有变更，存在减少有关服务数量或质量情况，经甲乙双方现场确认，报经审批后，按乙方中标时的固定单价对总价进行调减，并按有关规定签订补充合同。</w:t>
      </w:r>
      <w:r/>
    </w:p>
    <w:p>
      <w:pPr>
        <w:ind w:firstLine="420"/>
        <w:spacing w:line="332" w:lineRule="auto"/>
        <w:rPr>
          <w:rFonts w:ascii="宋体" w:hAnsi="宋体" w:cs="宋体"/>
          <w:color w:val="000000"/>
          <w:szCs w:val="21"/>
        </w:rPr>
      </w:pPr>
      <w:r>
        <w:rPr>
          <w:rFonts w:hint="eastAsia" w:ascii="宋体" w:hAnsi="宋体" w:cs="宋体"/>
          <w:color w:val="000000"/>
          <w:szCs w:val="21"/>
        </w:rPr>
        <w:t xml:space="preserve">2.如因在合同履行过程中，需追加与本合同标的相同的服务的，在不改变合同条款的前提下，经甲乙双方现场确认，报采购单位审批后，按乙方中标时的固定单价对总价进行调增，并按有关规定签订补充合同，但应注意追加增加的服务总价不得超过本合同金额的10%。如追加的服务总价超过本合同金额的10%，按有关规定处理。</w:t>
      </w:r>
      <w:r/>
    </w:p>
    <w:p>
      <w:pPr>
        <w:pStyle w:val="947"/>
        <w:spacing w:line="332" w:lineRule="auto"/>
        <w:rPr>
          <w:rFonts w:hint="default" w:hAnsi="宋体" w:cs="宋体"/>
          <w:b/>
          <w:szCs w:val="21"/>
        </w:rPr>
      </w:pPr>
      <w:r>
        <w:rPr>
          <w:rFonts w:hAnsi="宋体" w:cs="宋体"/>
          <w:b/>
          <w:szCs w:val="21"/>
        </w:rPr>
        <w:t xml:space="preserve">   </w:t>
      </w:r>
      <w:r>
        <w:rPr>
          <w:rFonts w:hAnsi="宋体" w:cs="宋体"/>
          <w:b/>
          <w:bCs/>
          <w:color w:val="000000"/>
          <w:szCs w:val="21"/>
        </w:rPr>
        <w:t xml:space="preserve">第十一条、争议的解决</w:t>
      </w:r>
      <w:r/>
    </w:p>
    <w:p>
      <w:pPr>
        <w:spacing w:line="332" w:lineRule="auto"/>
        <w:tabs>
          <w:tab w:val="left" w:pos="420" w:leader="none"/>
        </w:tabs>
        <w:rPr>
          <w:rFonts w:ascii="宋体" w:hAnsi="宋体" w:cs="宋体"/>
          <w:szCs w:val="21"/>
        </w:rPr>
      </w:pPr>
      <w:r>
        <w:rPr>
          <w:rFonts w:hint="eastAsia" w:ascii="宋体" w:hAnsi="宋体" w:cs="宋体"/>
          <w:szCs w:val="21"/>
        </w:rPr>
        <w:t xml:space="preserve">    1.凡因本合同的履行引起的或与本合同有关的任何争议，双方应友好协商解决。</w:t>
      </w:r>
      <w:r/>
    </w:p>
    <w:p>
      <w:pPr>
        <w:pStyle w:val="950"/>
        <w:ind w:firstLine="0"/>
        <w:spacing w:line="332" w:lineRule="auto"/>
        <w:tabs>
          <w:tab w:val="left" w:pos="420" w:leader="none"/>
          <w:tab w:val="left" w:pos="450" w:leader="none"/>
          <w:tab w:val="left" w:pos="1134" w:leader="none"/>
        </w:tabs>
        <w:rPr>
          <w:rFonts w:ascii="宋体" w:hAnsi="宋体" w:eastAsia="宋体" w:cs="宋体"/>
          <w:sz w:val="21"/>
          <w:szCs w:val="21"/>
        </w:rPr>
      </w:pPr>
      <w:r>
        <w:rPr>
          <w:rFonts w:hint="eastAsia" w:ascii="宋体" w:hAnsi="宋体" w:cs="宋体"/>
          <w:szCs w:val="21"/>
        </w:rPr>
        <w:t xml:space="preserve">   </w:t>
      </w:r>
      <w:r>
        <w:rPr>
          <w:rFonts w:hint="eastAsia" w:ascii="宋体" w:hAnsi="宋体" w:eastAsia="宋体" w:cs="宋体"/>
          <w:sz w:val="21"/>
          <w:szCs w:val="21"/>
        </w:rPr>
        <w:t xml:space="preserve"> 2.因履行本合同发生争议协商解决不成的，</w:t>
      </w:r>
      <w:r>
        <w:rPr>
          <w:rFonts w:hint="eastAsia" w:ascii="宋体" w:hAnsi="宋体" w:eastAsia="宋体" w:cs="宋体"/>
          <w:sz w:val="21"/>
          <w:szCs w:val="21"/>
          <w:lang w:val="zh-CN"/>
        </w:rPr>
        <w:t xml:space="preserve">则采取以下第</w:t>
      </w:r>
      <w:r>
        <w:rPr>
          <w:rFonts w:hint="eastAsia" w:ascii="宋体" w:hAnsi="宋体" w:eastAsia="宋体" w:cs="宋体"/>
          <w:sz w:val="21"/>
          <w:szCs w:val="21"/>
          <w:u w:val="single"/>
          <w:lang w:val="zh-CN"/>
        </w:rPr>
        <w:t xml:space="preserve">（</w:t>
      </w:r>
      <w:r>
        <w:rPr>
          <w:rFonts w:hint="eastAsia" w:ascii="宋体" w:hAnsi="宋体" w:eastAsia="宋体" w:cs="宋体"/>
          <w:sz w:val="21"/>
          <w:szCs w:val="21"/>
          <w:u w:val="single"/>
        </w:rPr>
        <w:t xml:space="preserve">1</w:t>
      </w:r>
      <w:r>
        <w:rPr>
          <w:rFonts w:hint="eastAsia" w:ascii="宋体" w:hAnsi="宋体" w:eastAsia="宋体" w:cs="宋体"/>
          <w:sz w:val="21"/>
          <w:szCs w:val="21"/>
          <w:u w:val="single"/>
          <w:lang w:val="zh-CN"/>
        </w:rPr>
        <w:t xml:space="preserve">）</w:t>
      </w:r>
      <w:r>
        <w:rPr>
          <w:rFonts w:hint="eastAsia" w:ascii="宋体" w:hAnsi="宋体" w:eastAsia="宋体" w:cs="宋体"/>
          <w:sz w:val="21"/>
          <w:szCs w:val="21"/>
          <w:lang w:val="zh-CN"/>
        </w:rPr>
        <w:t xml:space="preserve">种方式解决争议</w:t>
      </w:r>
      <w:r>
        <w:rPr>
          <w:rFonts w:hint="eastAsia" w:ascii="宋体" w:hAnsi="宋体" w:eastAsia="宋体" w:cs="宋体"/>
          <w:sz w:val="21"/>
          <w:szCs w:val="21"/>
        </w:rPr>
        <w:t xml:space="preserve">：</w:t>
      </w:r>
      <w:r/>
    </w:p>
    <w:p>
      <w:pPr>
        <w:ind w:firstLine="420"/>
        <w:jc w:val="left"/>
        <w:spacing w:line="332" w:lineRule="auto"/>
        <w:widowControl/>
        <w:rPr>
          <w:rFonts w:ascii="宋体" w:hAnsi="宋体" w:cs="宋体"/>
          <w:color w:val="000000"/>
          <w:szCs w:val="21"/>
          <w:lang w:val="zh-CN"/>
        </w:rPr>
      </w:pPr>
      <w:r>
        <w:rPr>
          <w:rFonts w:hint="eastAsia" w:ascii="宋体" w:hAnsi="宋体" w:cs="宋体"/>
          <w:color w:val="000000"/>
          <w:szCs w:val="21"/>
          <w:lang w:val="zh-CN"/>
        </w:rPr>
        <w:t xml:space="preserve">（1）向甲方所在地有管辖权的人民法院提起诉讼；</w:t>
      </w:r>
      <w:r/>
    </w:p>
    <w:p>
      <w:pPr>
        <w:ind w:firstLine="420"/>
        <w:jc w:val="left"/>
        <w:spacing w:line="332" w:lineRule="auto"/>
        <w:widowControl/>
        <w:rPr>
          <w:rFonts w:ascii="宋体" w:hAnsi="宋体" w:cs="宋体"/>
          <w:color w:val="000000"/>
          <w:szCs w:val="21"/>
          <w:lang w:val="zh-CN"/>
        </w:rPr>
      </w:pPr>
      <w:r>
        <w:rPr>
          <w:rFonts w:hint="eastAsia" w:ascii="宋体" w:hAnsi="宋体" w:cs="宋体"/>
          <w:color w:val="000000"/>
          <w:szCs w:val="21"/>
          <w:lang w:val="zh-CN"/>
        </w:rPr>
        <w:t xml:space="preserve">（2）向常州仲裁委员会按其仲裁规则申请仲裁。</w:t>
      </w:r>
      <w:r/>
    </w:p>
    <w:p>
      <w:pPr>
        <w:jc w:val="left"/>
        <w:spacing w:line="332" w:lineRule="auto"/>
        <w:widowControl/>
        <w:rPr>
          <w:rFonts w:ascii="宋体" w:hAnsi="宋体" w:cs="宋体"/>
          <w:color w:val="000000"/>
          <w:szCs w:val="21"/>
          <w:lang w:val="zh-CN"/>
        </w:rPr>
      </w:pPr>
      <w:r>
        <w:rPr>
          <w:rFonts w:hint="eastAsia" w:ascii="宋体" w:hAnsi="宋体" w:cs="宋体"/>
          <w:color w:val="000000"/>
          <w:szCs w:val="21"/>
        </w:rPr>
        <w:t xml:space="preserve">    </w:t>
      </w:r>
      <w:r>
        <w:rPr>
          <w:rFonts w:hint="eastAsia" w:ascii="宋体" w:hAnsi="宋体" w:cs="宋体"/>
          <w:color w:val="000000"/>
          <w:szCs w:val="21"/>
          <w:lang w:val="zh-CN"/>
        </w:rPr>
        <w:t xml:space="preserve">3.在仲裁期间，本合同应继续履行。</w:t>
      </w:r>
      <w:r/>
    </w:p>
    <w:p>
      <w:pPr>
        <w:pStyle w:val="947"/>
        <w:spacing w:line="332" w:lineRule="auto"/>
        <w:rPr>
          <w:rFonts w:hint="default" w:hAnsi="宋体" w:cs="宋体"/>
          <w:b/>
          <w:szCs w:val="21"/>
        </w:rPr>
      </w:pPr>
      <w:r>
        <w:rPr>
          <w:rFonts w:hAnsi="宋体" w:cs="宋体"/>
          <w:b/>
          <w:szCs w:val="21"/>
        </w:rPr>
        <w:t xml:space="preserve">  </w:t>
      </w:r>
      <w:r>
        <w:rPr>
          <w:rFonts w:hAnsi="宋体" w:cs="宋体"/>
          <w:b/>
          <w:bCs/>
          <w:color w:val="000000"/>
          <w:szCs w:val="21"/>
        </w:rPr>
        <w:t xml:space="preserve">第十二条、生效和其他</w:t>
      </w:r>
      <w:r/>
    </w:p>
    <w:p>
      <w:pPr>
        <w:ind w:firstLine="420"/>
        <w:spacing w:line="332" w:lineRule="auto"/>
        <w:rPr>
          <w:rFonts w:ascii="宋体" w:hAnsi="宋体" w:cs="宋体"/>
          <w:szCs w:val="21"/>
        </w:rPr>
      </w:pPr>
      <w:r>
        <w:rPr>
          <w:rFonts w:hint="eastAsia" w:ascii="宋体" w:hAnsi="宋体" w:cs="宋体"/>
          <w:szCs w:val="21"/>
        </w:rPr>
        <w:t xml:space="preserve">1.本合同经双方加盖公章（合同专用章）后生效。</w:t>
      </w:r>
      <w:r/>
    </w:p>
    <w:p>
      <w:pPr>
        <w:ind w:firstLine="420"/>
        <w:spacing w:line="332" w:lineRule="auto"/>
        <w:rPr>
          <w:rFonts w:ascii="宋体" w:hAnsi="宋体" w:cs="宋体"/>
          <w:szCs w:val="21"/>
        </w:rPr>
      </w:pPr>
      <w:r>
        <w:rPr>
          <w:rFonts w:hint="eastAsia" w:ascii="宋体" w:hAnsi="宋体" w:cs="宋体"/>
          <w:szCs w:val="21"/>
        </w:rPr>
        <w:t xml:space="preserve">2.双方应各指定一名授权代表，负责直接处理与本合同履行有关的技术和商务事宜。双方授权代表的名称和通讯地址在本合同签署的同时书面通知对方。</w:t>
      </w:r>
      <w:r/>
    </w:p>
    <w:p>
      <w:pPr>
        <w:ind w:firstLine="420"/>
        <w:spacing w:line="332" w:lineRule="auto"/>
        <w:rPr>
          <w:rFonts w:ascii="宋体" w:hAnsi="宋体" w:cs="宋体"/>
          <w:szCs w:val="21"/>
        </w:rPr>
      </w:pPr>
      <w:r>
        <w:rPr>
          <w:rFonts w:hint="eastAsia" w:ascii="宋体" w:hAnsi="宋体" w:cs="宋体"/>
          <w:szCs w:val="21"/>
        </w:rPr>
        <w:t xml:space="preserve">3.本合同履行期间双方间的通讯往来应采用书面方式。涉及重要事项的传真应随后立即以挂号信件或特快专递确认。</w:t>
      </w:r>
      <w:r/>
    </w:p>
    <w:p>
      <w:pPr>
        <w:ind w:firstLine="420"/>
        <w:spacing w:line="332" w:lineRule="auto"/>
        <w:rPr>
          <w:rFonts w:ascii="宋体" w:hAnsi="宋体" w:cs="宋体"/>
          <w:szCs w:val="21"/>
        </w:rPr>
      </w:pPr>
      <w:r>
        <w:rPr>
          <w:rFonts w:hint="eastAsia" w:ascii="宋体" w:hAnsi="宋体" w:cs="宋体"/>
          <w:szCs w:val="21"/>
        </w:rPr>
        <w:t xml:space="preserve">4. 本协议一式陆份，甲方持有贰份，乙方持有贰份，代理机构持有贰份。</w:t>
      </w:r>
      <w:r/>
    </w:p>
    <w:p>
      <w:pPr>
        <w:jc w:val="left"/>
        <w:spacing w:line="332" w:lineRule="auto"/>
        <w:rPr>
          <w:rFonts w:ascii="宋体" w:hAnsi="宋体" w:cs="宋体"/>
          <w:b/>
          <w:bCs/>
          <w:szCs w:val="21"/>
        </w:rPr>
      </w:pPr>
      <w:r>
        <w:rPr>
          <w:rFonts w:ascii="宋体" w:hAnsi="宋体" w:cs="宋体"/>
          <w:b/>
          <w:bCs/>
          <w:szCs w:val="21"/>
        </w:rPr>
      </w:r>
      <w:r/>
    </w:p>
    <w:p>
      <w:pPr>
        <w:ind w:firstLine="310"/>
        <w:jc w:val="left"/>
        <w:spacing w:line="332" w:lineRule="auto"/>
        <w:rPr>
          <w:rFonts w:ascii="宋体" w:hAnsi="宋体" w:cs="宋体"/>
          <w:b/>
          <w:bCs/>
          <w:szCs w:val="21"/>
        </w:rPr>
      </w:pPr>
      <w:r>
        <w:rPr>
          <w:rFonts w:hint="eastAsia" w:ascii="宋体" w:hAnsi="宋体" w:cs="宋体"/>
          <w:b/>
          <w:bCs/>
          <w:szCs w:val="21"/>
        </w:rPr>
        <w:t xml:space="preserve">注：最终以甲乙双方签订为准，一切解释权归甲方所有。</w:t>
      </w:r>
      <w:r/>
    </w:p>
    <w:p>
      <w:pPr>
        <w:jc w:val="left"/>
        <w:spacing w:line="332" w:lineRule="auto"/>
        <w:rPr>
          <w:rFonts w:ascii="宋体" w:hAnsi="宋体" w:cs="宋体"/>
          <w:b/>
          <w:bCs/>
          <w:szCs w:val="21"/>
        </w:rPr>
      </w:pPr>
      <w:r>
        <w:rPr>
          <w:rFonts w:ascii="宋体" w:hAnsi="宋体" w:cs="宋体"/>
          <w:b/>
          <w:bCs/>
          <w:szCs w:val="21"/>
        </w:rPr>
      </w:r>
      <w:r/>
    </w:p>
    <w:p>
      <w:pPr>
        <w:jc w:val="left"/>
        <w:spacing w:line="332" w:lineRule="auto"/>
        <w:rPr>
          <w:rFonts w:ascii="宋体" w:hAnsi="宋体" w:cs="宋体"/>
          <w:szCs w:val="21"/>
        </w:rPr>
      </w:pPr>
      <w:r>
        <w:rPr>
          <w:rFonts w:hint="eastAsia" w:ascii="宋体" w:hAnsi="宋体" w:cs="宋体"/>
          <w:b/>
          <w:bCs/>
          <w:szCs w:val="21"/>
        </w:rPr>
        <w:t xml:space="preserve">甲    方</w:t>
      </w:r>
      <w:r>
        <w:rPr>
          <w:rFonts w:hint="eastAsia" w:ascii="宋体" w:hAnsi="宋体" w:cs="宋体"/>
          <w:szCs w:val="21"/>
        </w:rPr>
        <w:t xml:space="preserve">：                                </w:t>
      </w:r>
      <w:r>
        <w:rPr>
          <w:rFonts w:hint="eastAsia" w:ascii="宋体" w:hAnsi="宋体" w:cs="宋体"/>
          <w:b/>
          <w:bCs/>
          <w:szCs w:val="21"/>
        </w:rPr>
        <w:t xml:space="preserve">乙    方</w:t>
      </w:r>
      <w:r>
        <w:rPr>
          <w:rFonts w:hint="eastAsia" w:ascii="宋体" w:hAnsi="宋体" w:cs="宋体"/>
          <w:szCs w:val="21"/>
        </w:rPr>
        <w:t xml:space="preserve">：</w:t>
      </w:r>
      <w:r/>
    </w:p>
    <w:p>
      <w:pPr>
        <w:spacing w:line="332" w:lineRule="auto"/>
        <w:rPr>
          <w:rFonts w:ascii="宋体" w:hAnsi="宋体" w:cs="宋体"/>
          <w:szCs w:val="21"/>
          <w:u w:val="single"/>
        </w:rPr>
      </w:pPr>
      <w:r>
        <w:rPr>
          <w:rFonts w:hint="eastAsia" w:ascii="宋体" w:hAnsi="宋体" w:cs="宋体"/>
          <w:szCs w:val="21"/>
        </w:rPr>
        <w:t xml:space="preserve">单位名称（章）：</w:t>
      </w:r>
      <w:r>
        <w:rPr>
          <w:rFonts w:hint="eastAsia" w:ascii="宋体" w:hAnsi="宋体" w:cs="宋体"/>
          <w:szCs w:val="21"/>
          <w:u w:val="single"/>
        </w:rPr>
        <w:t xml:space="preserve">                 </w:t>
      </w:r>
      <w:r>
        <w:rPr>
          <w:rFonts w:hint="eastAsia" w:ascii="宋体" w:hAnsi="宋体" w:cs="宋体"/>
          <w:szCs w:val="21"/>
        </w:rPr>
        <w:t xml:space="preserve">         单位名称（章）：      </w:t>
      </w:r>
      <w:r>
        <w:rPr>
          <w:rFonts w:hint="eastAsia" w:ascii="宋体" w:hAnsi="宋体" w:cs="宋体"/>
          <w:szCs w:val="21"/>
          <w:u w:val="single"/>
        </w:rPr>
        <w:t xml:space="preserve">                      </w:t>
      </w:r>
      <w:r/>
    </w:p>
    <w:p>
      <w:pPr>
        <w:spacing w:line="332" w:lineRule="auto"/>
        <w:rPr>
          <w:rFonts w:ascii="宋体" w:hAnsi="宋体" w:cs="宋体"/>
          <w:szCs w:val="21"/>
          <w:u w:val="single"/>
        </w:rPr>
      </w:pPr>
      <w:r>
        <w:rPr>
          <w:rFonts w:hint="eastAsia" w:ascii="宋体" w:hAnsi="宋体" w:cs="宋体"/>
          <w:szCs w:val="21"/>
        </w:rPr>
        <w:t xml:space="preserve">单位地址：</w:t>
      </w:r>
      <w:r>
        <w:rPr>
          <w:rFonts w:hint="eastAsia" w:ascii="宋体" w:hAnsi="宋体" w:cs="宋体"/>
          <w:szCs w:val="21"/>
          <w:u w:val="single"/>
        </w:rPr>
        <w:t xml:space="preserve">                      </w:t>
      </w:r>
      <w:r>
        <w:rPr>
          <w:rFonts w:hint="eastAsia" w:ascii="宋体" w:hAnsi="宋体" w:cs="宋体"/>
          <w:szCs w:val="21"/>
        </w:rPr>
        <w:t xml:space="preserve">          单位地址：</w:t>
      </w:r>
      <w:r>
        <w:rPr>
          <w:rFonts w:hint="eastAsia" w:ascii="宋体" w:hAnsi="宋体" w:cs="宋体"/>
          <w:szCs w:val="21"/>
          <w:u w:val="single"/>
        </w:rPr>
        <w:t xml:space="preserve">                    </w:t>
      </w:r>
      <w:r>
        <w:rPr>
          <w:rFonts w:hint="eastAsia" w:ascii="宋体" w:hAnsi="宋体" w:cs="宋体"/>
          <w:szCs w:val="21"/>
        </w:rPr>
        <w:t xml:space="preserve">    </w:t>
      </w:r>
      <w:r/>
    </w:p>
    <w:p>
      <w:pPr>
        <w:spacing w:line="332" w:lineRule="auto"/>
        <w:rPr>
          <w:rFonts w:ascii="宋体" w:hAnsi="宋体" w:cs="宋体"/>
          <w:szCs w:val="21"/>
        </w:rPr>
      </w:pPr>
      <w:r>
        <w:rPr>
          <w:rFonts w:hint="eastAsia" w:ascii="宋体" w:hAnsi="宋体" w:cs="宋体"/>
          <w:szCs w:val="21"/>
        </w:rPr>
        <w:t xml:space="preserve">法定代表人或委托代理人：                  法定代表人或委托代理人：</w:t>
      </w:r>
      <w:r/>
    </w:p>
    <w:p>
      <w:pPr>
        <w:spacing w:line="332" w:lineRule="auto"/>
        <w:rPr>
          <w:rFonts w:ascii="宋体" w:hAnsi="宋体" w:cs="宋体"/>
          <w:szCs w:val="21"/>
        </w:rPr>
      </w:pPr>
      <w:r>
        <w:rPr>
          <w:rFonts w:hint="eastAsia" w:ascii="宋体" w:hAnsi="宋体" w:cs="宋体"/>
          <w:szCs w:val="21"/>
        </w:rPr>
        <w:t xml:space="preserve">电话：                                    电话：             传真：</w:t>
      </w:r>
      <w:r/>
    </w:p>
    <w:p>
      <w:pPr>
        <w:spacing w:line="332" w:lineRule="auto"/>
        <w:rPr>
          <w:rFonts w:ascii="宋体" w:hAnsi="宋体" w:cs="宋体"/>
          <w:szCs w:val="21"/>
        </w:rPr>
      </w:pPr>
      <w:r/>
      <w:bookmarkStart w:id="679" w:name="_Toc24423"/>
      <w:r>
        <w:rPr>
          <w:rFonts w:hint="eastAsia" w:ascii="宋体" w:hAnsi="宋体" w:cs="宋体"/>
          <w:szCs w:val="21"/>
        </w:rPr>
        <w:t xml:space="preserve">传真：                                    开户银行：         帐号</w:t>
      </w:r>
      <w:bookmarkEnd w:id="679"/>
      <w:r>
        <w:rPr>
          <w:rFonts w:hint="eastAsia" w:ascii="宋体" w:hAnsi="宋体" w:cs="宋体"/>
          <w:szCs w:val="21"/>
        </w:rPr>
        <w:t xml:space="preserve">：                     </w:t>
      </w:r>
      <w:r/>
    </w:p>
    <w:p>
      <w:pPr>
        <w:jc w:val="center"/>
        <w:spacing w:line="332" w:lineRule="auto"/>
        <w:rPr>
          <w:b/>
          <w:sz w:val="36"/>
          <w:szCs w:val="36"/>
        </w:rPr>
        <w:outlineLvl w:val="0"/>
      </w:pPr>
      <w:r/>
      <w:bookmarkStart w:id="680" w:name="_Toc19821"/>
      <w:r/>
      <w:bookmarkStart w:id="681" w:name="_Toc26350"/>
      <w:r>
        <w:rPr>
          <w:b/>
          <w:sz w:val="28"/>
          <w:szCs w:val="28"/>
        </w:rPr>
        <w:t xml:space="preserve">第六章   响应文件格式</w:t>
      </w:r>
      <w:bookmarkEnd w:id="680"/>
      <w:r/>
      <w:bookmarkEnd w:id="681"/>
      <w:r/>
      <w:r/>
    </w:p>
    <w:p>
      <w:pPr>
        <w:ind w:left="142"/>
        <w:spacing w:line="360" w:lineRule="auto"/>
        <w:tabs>
          <w:tab w:val="left" w:pos="900" w:leader="none"/>
          <w:tab w:val="left" w:pos="1980" w:leader="none"/>
        </w:tabs>
        <w:rPr>
          <w:rFonts w:ascii="宋体" w:hAnsi="宋体" w:cs="宋体"/>
          <w:b/>
          <w:szCs w:val="21"/>
        </w:rPr>
      </w:pPr>
      <w:r>
        <w:rPr>
          <w:rFonts w:ascii="宋体" w:hAnsi="宋体" w:cs="宋体"/>
          <w:b/>
          <w:szCs w:val="21"/>
        </w:rPr>
      </w:r>
      <w:r/>
    </w:p>
    <w:p>
      <w:pPr>
        <w:ind w:left="142"/>
        <w:spacing w:line="360" w:lineRule="auto"/>
        <w:tabs>
          <w:tab w:val="left" w:pos="900" w:leader="none"/>
          <w:tab w:val="left" w:pos="1980" w:leader="none"/>
        </w:tabs>
        <w:rPr>
          <w:rFonts w:ascii="宋体" w:hAnsi="宋体" w:cs="宋体"/>
          <w:b/>
          <w:szCs w:val="21"/>
        </w:rPr>
      </w:pPr>
      <w:r>
        <w:rPr>
          <w:rFonts w:hint="eastAsia" w:ascii="宋体" w:hAnsi="宋体" w:cs="宋体"/>
          <w:b/>
          <w:szCs w:val="21"/>
        </w:rPr>
        <w:t xml:space="preserve">供应商编制文件须知</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对于竞争性磋商文件成交记了“实质性格式”文件的，供应商</w:t>
      </w:r>
      <w:r>
        <w:rPr>
          <w:rFonts w:hint="eastAsia" w:ascii="宋体" w:hAnsi="宋体" w:cs="宋体"/>
          <w:szCs w:val="21"/>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4、实行电子化不见面交易方式的，加盖公章、签名等均通过响应文件编制工具加盖电子公章、</w:t>
      </w:r>
      <w:r>
        <w:rPr>
          <w:rFonts w:hint="eastAsia" w:ascii="宋体" w:hAnsi="宋体" w:cs="宋体"/>
          <w:color w:val="000000"/>
          <w:szCs w:val="21"/>
        </w:rPr>
        <w:t xml:space="preserve">签字、签章或印鉴</w:t>
      </w:r>
      <w:r>
        <w:rPr>
          <w:rFonts w:hint="eastAsia" w:ascii="宋体" w:hAnsi="宋体" w:cs="宋体"/>
          <w:szCs w:val="21"/>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
    </w:p>
    <w:p>
      <w:pPr>
        <w:rPr>
          <w:b/>
          <w:spacing w:val="20"/>
          <w:szCs w:val="21"/>
        </w:rPr>
      </w:pPr>
      <w:r>
        <w:rPr>
          <w:b/>
          <w:spacing w:val="20"/>
          <w:szCs w:val="21"/>
        </w:rPr>
      </w:r>
      <w:r/>
    </w:p>
    <w:p>
      <w:pPr>
        <w:jc w:val="center"/>
        <w:rPr>
          <w:b/>
          <w:spacing w:val="20"/>
          <w:sz w:val="24"/>
        </w:rPr>
      </w:pPr>
      <w:r>
        <w:rPr>
          <w:b/>
          <w:spacing w:val="20"/>
          <w:sz w:val="24"/>
        </w:rPr>
      </w:r>
      <w:r/>
    </w:p>
    <w:p>
      <w:pPr>
        <w:jc w:val="center"/>
        <w:rPr>
          <w:b/>
          <w:sz w:val="28"/>
          <w:szCs w:val="28"/>
        </w:rPr>
      </w:pPr>
      <w:r>
        <w:rPr>
          <w:b/>
          <w:spacing w:val="20"/>
          <w:sz w:val="28"/>
          <w:szCs w:val="28"/>
        </w:rPr>
        <w:t xml:space="preserve">响应文件</w:t>
      </w:r>
      <w:r>
        <w:rPr>
          <w:b/>
          <w:sz w:val="28"/>
          <w:szCs w:val="28"/>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p>
    <w:p>
      <w:pPr>
        <w:pStyle w:val="921"/>
      </w:pPr>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21"/>
      </w:pPr>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pStyle w:val="921"/>
      </w:pPr>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spacing w:line="360" w:lineRule="auto"/>
        <w:rPr>
          <w:rFonts w:ascii="宋体" w:hAnsi="宋体" w:cs="宋体"/>
          <w:szCs w:val="21"/>
        </w:rPr>
      </w:pPr>
      <w:r>
        <w:rPr>
          <w:b/>
          <w:spacing w:val="20"/>
          <w:sz w:val="32"/>
          <w:szCs w:val="32"/>
        </w:rPr>
        <w:br w:type="page" w:clear="all"/>
      </w:r>
      <w:r>
        <w:rPr>
          <w:rFonts w:hint="eastAsia" w:ascii="宋体" w:hAnsi="宋体" w:cs="宋体"/>
          <w:b/>
          <w:bCs/>
          <w:szCs w:val="21"/>
        </w:rPr>
        <w:t xml:space="preserve">1、满足《中华人民共和国政府采购法》第二十二条规定及法律法规的其他规定</w:t>
      </w:r>
      <w:r/>
    </w:p>
    <w:p>
      <w:pPr>
        <w:spacing w:line="360" w:lineRule="auto"/>
        <w:tabs>
          <w:tab w:val="left" w:pos="900" w:leader="none"/>
          <w:tab w:val="left" w:pos="1980" w:leader="none"/>
        </w:tabs>
        <w:rPr>
          <w:rFonts w:ascii="宋体" w:hAnsi="宋体" w:cs="宋体"/>
          <w:b/>
          <w:bCs/>
          <w:szCs w:val="21"/>
        </w:rPr>
      </w:pPr>
      <w:r>
        <w:rPr>
          <w:rFonts w:hint="eastAsia" w:ascii="宋体" w:hAnsi="宋体" w:cs="宋体"/>
          <w:b/>
          <w:bCs/>
          <w:szCs w:val="21"/>
        </w:rPr>
        <w:t xml:space="preserve">1-1 供应商资格声明函（实质性格式）</w:t>
      </w:r>
      <w:r/>
    </w:p>
    <w:p>
      <w:pPr>
        <w:jc w:val="center"/>
        <w:spacing w:before="120" w:line="360" w:lineRule="auto"/>
        <w:widowControl/>
        <w:rPr>
          <w:rFonts w:ascii="宋体" w:hAnsi="宋体" w:cs="宋体"/>
          <w:sz w:val="24"/>
        </w:rPr>
      </w:pPr>
      <w:r>
        <w:rPr>
          <w:rFonts w:hint="eastAsia" w:ascii="宋体" w:hAnsi="宋体" w:cs="宋体"/>
          <w:b/>
          <w:sz w:val="24"/>
        </w:rPr>
        <w:t xml:space="preserve">供应商资格声明函</w:t>
      </w:r>
      <w:r/>
    </w:p>
    <w:p>
      <w:pPr>
        <w:pStyle w:val="935"/>
        <w:ind w:firstLine="480"/>
        <w:spacing w:line="460" w:lineRule="exact"/>
        <w:rPr>
          <w:rFonts w:hAnsi="宋体" w:cs="宋体"/>
          <w:sz w:val="21"/>
          <w:szCs w:val="21"/>
          <w:u w:val="single"/>
        </w:rPr>
      </w:pPr>
      <w:r>
        <w:rPr>
          <w:rFonts w:hint="eastAsia" w:hAnsi="宋体" w:cs="宋体"/>
          <w:sz w:val="21"/>
          <w:szCs w:val="21"/>
        </w:rPr>
        <w:t xml:space="preserve">致：</w:t>
      </w:r>
      <w:r>
        <w:rPr>
          <w:rFonts w:hint="eastAsia" w:hAnsi="宋体" w:cs="宋体"/>
          <w:sz w:val="21"/>
          <w:szCs w:val="21"/>
          <w:u w:val="single"/>
        </w:rPr>
        <w:t xml:space="preserve">（采购人名称）</w:t>
      </w:r>
      <w:r/>
    </w:p>
    <w:p>
      <w:pPr>
        <w:pStyle w:val="935"/>
        <w:ind w:firstLine="480"/>
        <w:spacing w:line="460" w:lineRule="exact"/>
        <w:rPr>
          <w:rFonts w:hAnsi="宋体" w:cs="宋体"/>
          <w:sz w:val="21"/>
          <w:szCs w:val="21"/>
        </w:rPr>
      </w:pPr>
      <w:r>
        <w:rPr>
          <w:rFonts w:hAnsi="宋体" w:cs="宋体"/>
          <w:sz w:val="21"/>
          <w:szCs w:val="21"/>
        </w:rPr>
      </w:r>
      <w:r/>
    </w:p>
    <w:p>
      <w:pPr>
        <w:pStyle w:val="935"/>
        <w:ind w:firstLine="480"/>
        <w:spacing w:line="460" w:lineRule="exact"/>
        <w:rPr>
          <w:rFonts w:hAnsi="宋体" w:cs="宋体"/>
          <w:sz w:val="21"/>
          <w:szCs w:val="21"/>
        </w:rPr>
      </w:pPr>
      <w:r>
        <w:rPr>
          <w:rFonts w:hint="eastAsia" w:hAnsi="宋体" w:cs="宋体"/>
          <w:sz w:val="21"/>
          <w:szCs w:val="21"/>
        </w:rPr>
        <w:t xml:space="preserve">按照《中华人民共和国政府采购法》第二十二条和磋商文件的规定，我单位郑重声明如下：</w:t>
      </w:r>
      <w:r/>
    </w:p>
    <w:p>
      <w:pPr>
        <w:pStyle w:val="935"/>
        <w:ind w:firstLine="480"/>
        <w:spacing w:line="460" w:lineRule="exact"/>
        <w:rPr>
          <w:rFonts w:hAnsi="宋体" w:cs="宋体"/>
          <w:sz w:val="21"/>
          <w:szCs w:val="21"/>
        </w:rPr>
      </w:pPr>
      <w:r>
        <w:rPr>
          <w:rFonts w:hint="eastAsia" w:hAnsi="宋体" w:cs="宋体"/>
          <w:sz w:val="21"/>
          <w:szCs w:val="21"/>
        </w:rPr>
        <w:t xml:space="preserve">一、我单位是按照中华人民共和国法律规定登记注册的，注册地点为</w:t>
      </w:r>
      <w:r>
        <w:rPr>
          <w:rFonts w:hint="eastAsia" w:hAnsi="宋体" w:cs="宋体"/>
          <w:sz w:val="21"/>
          <w:szCs w:val="21"/>
          <w:u w:val="single"/>
        </w:rPr>
        <w:t xml:space="preserve">         </w:t>
      </w:r>
      <w:r>
        <w:rPr>
          <w:rFonts w:hint="eastAsia" w:hAnsi="宋体" w:cs="宋体"/>
          <w:sz w:val="21"/>
          <w:szCs w:val="21"/>
        </w:rPr>
        <w:t xml:space="preserve">，全称为</w:t>
      </w:r>
      <w:r>
        <w:rPr>
          <w:rFonts w:hint="eastAsia" w:hAnsi="宋体" w:cs="宋体"/>
          <w:sz w:val="21"/>
          <w:szCs w:val="21"/>
          <w:u w:val="single"/>
        </w:rPr>
        <w:t xml:space="preserve">        </w:t>
      </w:r>
      <w:r>
        <w:rPr>
          <w:rFonts w:hint="eastAsia" w:hAnsi="宋体" w:cs="宋体"/>
          <w:sz w:val="21"/>
          <w:szCs w:val="21"/>
        </w:rPr>
        <w:t xml:space="preserve">，统一社会信用代码为</w:t>
      </w:r>
      <w:r>
        <w:rPr>
          <w:rFonts w:hint="eastAsia" w:hAnsi="宋体" w:cs="宋体"/>
          <w:sz w:val="21"/>
          <w:szCs w:val="21"/>
          <w:u w:val="single"/>
        </w:rPr>
        <w:t xml:space="preserve">           </w:t>
      </w:r>
      <w:r>
        <w:rPr>
          <w:rFonts w:hint="eastAsia" w:hAnsi="宋体" w:cs="宋体"/>
          <w:sz w:val="21"/>
          <w:szCs w:val="21"/>
        </w:rPr>
        <w:t xml:space="preserve"> ，法定代表人（单位负责人）为</w:t>
      </w:r>
      <w:r>
        <w:rPr>
          <w:rFonts w:hint="eastAsia" w:hAnsi="宋体" w:cs="宋体"/>
          <w:sz w:val="21"/>
          <w:szCs w:val="21"/>
          <w:u w:val="single"/>
        </w:rPr>
        <w:t xml:space="preserve">         </w:t>
      </w:r>
      <w:r>
        <w:rPr>
          <w:rFonts w:hint="eastAsia" w:hAnsi="宋体" w:cs="宋体"/>
          <w:sz w:val="21"/>
          <w:szCs w:val="21"/>
        </w:rPr>
        <w:t xml:space="preserve">，具有独立承担民事责任的能力</w:t>
      </w:r>
      <w:r>
        <w:rPr>
          <w:rFonts w:hint="eastAsia" w:hAnsi="宋体" w:cs="宋体"/>
          <w:b/>
          <w:sz w:val="21"/>
          <w:szCs w:val="21"/>
        </w:rPr>
        <w:t xml:space="preserve">（如属于分公司经总公司授权参与项目，由总公司承担民事责任的，需提供总公司项目授权书）</w:t>
      </w:r>
      <w:r>
        <w:rPr>
          <w:rFonts w:hint="eastAsia" w:hAnsi="宋体" w:cs="宋体"/>
          <w:sz w:val="21"/>
          <w:szCs w:val="21"/>
        </w:rPr>
        <w:t xml:space="preserve">。</w:t>
      </w:r>
      <w:r/>
    </w:p>
    <w:p>
      <w:pPr>
        <w:pStyle w:val="935"/>
        <w:ind w:firstLine="480"/>
        <w:spacing w:line="460" w:lineRule="exact"/>
        <w:rPr>
          <w:rFonts w:hAnsi="宋体" w:cs="宋体"/>
          <w:sz w:val="21"/>
          <w:szCs w:val="21"/>
        </w:rPr>
      </w:pPr>
      <w:r>
        <w:rPr>
          <w:rFonts w:hint="eastAsia" w:hAnsi="宋体" w:cs="宋体"/>
          <w:sz w:val="21"/>
          <w:szCs w:val="21"/>
        </w:rPr>
        <w:t xml:space="preserve">二、我单位未被“国家企业信用信息系统”列入经营异常名录或者严重违法企业名单。</w:t>
      </w:r>
      <w:r/>
    </w:p>
    <w:p>
      <w:pPr>
        <w:pStyle w:val="935"/>
        <w:ind w:firstLine="480"/>
        <w:spacing w:line="460" w:lineRule="exact"/>
        <w:rPr>
          <w:rFonts w:hAnsi="宋体" w:cs="宋体"/>
          <w:sz w:val="21"/>
          <w:szCs w:val="21"/>
        </w:rPr>
      </w:pPr>
      <w:r>
        <w:rPr>
          <w:rFonts w:hint="eastAsia" w:hAnsi="宋体" w:cs="宋体"/>
          <w:sz w:val="21"/>
          <w:szCs w:val="21"/>
        </w:rPr>
        <w:t xml:space="preserve">三、我单位具有良好的商业信誉（指供应商经营状况良好，无本资格声明第十条情形）和健全的财务会计制度。</w:t>
      </w:r>
      <w:r/>
    </w:p>
    <w:p>
      <w:pPr>
        <w:pStyle w:val="935"/>
        <w:ind w:firstLine="480"/>
        <w:spacing w:line="460" w:lineRule="exact"/>
        <w:rPr>
          <w:rFonts w:hAnsi="宋体" w:cs="宋体"/>
          <w:sz w:val="21"/>
          <w:szCs w:val="21"/>
        </w:rPr>
      </w:pPr>
      <w:r>
        <w:rPr>
          <w:rFonts w:hint="eastAsia" w:hAnsi="宋体" w:cs="宋体"/>
          <w:sz w:val="21"/>
          <w:szCs w:val="21"/>
        </w:rPr>
        <w:t xml:space="preserve">四、我单位依法进行纳税和社会保险申报并实际履行了义务。</w:t>
      </w:r>
      <w:r/>
    </w:p>
    <w:p>
      <w:pPr>
        <w:pStyle w:val="935"/>
        <w:ind w:firstLine="480"/>
        <w:spacing w:line="460" w:lineRule="exact"/>
        <w:rPr>
          <w:rFonts w:hAnsi="宋体" w:cs="宋体"/>
          <w:sz w:val="21"/>
          <w:szCs w:val="21"/>
        </w:rPr>
      </w:pPr>
      <w:r>
        <w:rPr>
          <w:rFonts w:hint="eastAsia" w:hAnsi="宋体" w:cs="宋体"/>
          <w:sz w:val="21"/>
          <w:szCs w:val="21"/>
        </w:rPr>
        <w:t xml:space="preserve">五、我单位具有履行本项目采购合同所必需的设备和专业技术能力，并具有履行合同的良好记录。为履行本项采购合同我单位具备如下主要设备和主要专业技术能力：</w:t>
      </w:r>
      <w:r/>
    </w:p>
    <w:p>
      <w:pPr>
        <w:pStyle w:val="935"/>
        <w:ind w:firstLine="480"/>
        <w:spacing w:line="460" w:lineRule="exact"/>
        <w:rPr>
          <w:rFonts w:hAnsi="宋体" w:cs="宋体"/>
          <w:sz w:val="21"/>
          <w:szCs w:val="21"/>
        </w:rPr>
      </w:pPr>
      <w:r>
        <w:rPr>
          <w:rFonts w:hint="eastAsia" w:hAnsi="宋体" w:cs="宋体"/>
          <w:sz w:val="21"/>
          <w:szCs w:val="21"/>
        </w:rPr>
        <w:t xml:space="preserve">主要设备有：</w:t>
      </w:r>
      <w:r>
        <w:rPr>
          <w:rFonts w:hint="eastAsia" w:hAnsi="宋体" w:cs="宋体"/>
          <w:sz w:val="21"/>
          <w:szCs w:val="21"/>
          <w:u w:val="single"/>
        </w:rPr>
        <w:t xml:space="preserve">            </w:t>
      </w:r>
      <w:r/>
    </w:p>
    <w:p>
      <w:pPr>
        <w:pStyle w:val="935"/>
        <w:ind w:firstLine="480"/>
        <w:spacing w:line="460" w:lineRule="exact"/>
        <w:rPr>
          <w:rFonts w:hAnsi="宋体" w:cs="宋体"/>
          <w:sz w:val="21"/>
          <w:szCs w:val="21"/>
        </w:rPr>
      </w:pPr>
      <w:r>
        <w:rPr>
          <w:rFonts w:hint="eastAsia" w:hAnsi="宋体" w:cs="宋体"/>
          <w:sz w:val="21"/>
          <w:szCs w:val="21"/>
        </w:rPr>
        <w:t xml:space="preserve">主要专业技术能力有</w:t>
      </w:r>
      <w:r>
        <w:rPr>
          <w:rFonts w:hint="eastAsia" w:hAnsi="宋体" w:cs="宋体"/>
          <w:sz w:val="21"/>
          <w:szCs w:val="21"/>
          <w:u w:val="single"/>
        </w:rPr>
        <w:t xml:space="preserve">                 </w:t>
      </w:r>
      <w:r/>
    </w:p>
    <w:p>
      <w:pPr>
        <w:pStyle w:val="935"/>
        <w:ind w:firstLine="480"/>
        <w:spacing w:line="460" w:lineRule="exact"/>
        <w:rPr>
          <w:rFonts w:hAnsi="宋体" w:cs="宋体"/>
          <w:sz w:val="21"/>
          <w:szCs w:val="21"/>
        </w:rPr>
      </w:pPr>
      <w:r>
        <w:rPr>
          <w:rFonts w:hint="eastAsia" w:hAnsi="宋体" w:cs="宋体"/>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5"/>
        <w:ind w:firstLine="480"/>
        <w:spacing w:line="460" w:lineRule="exact"/>
        <w:rPr>
          <w:rFonts w:hAnsi="宋体" w:cs="宋体"/>
          <w:sz w:val="21"/>
          <w:szCs w:val="21"/>
        </w:rPr>
      </w:pPr>
      <w:r>
        <w:rPr>
          <w:rFonts w:hint="eastAsia" w:hAnsi="宋体" w:cs="宋体"/>
          <w:sz w:val="21"/>
          <w:szCs w:val="21"/>
        </w:rPr>
        <w:t xml:space="preserve">七、我单位具备法律、行政法规规定的其他条件。</w:t>
      </w:r>
      <w:r/>
    </w:p>
    <w:p>
      <w:pPr>
        <w:pStyle w:val="935"/>
        <w:ind w:firstLine="480"/>
        <w:spacing w:line="460" w:lineRule="exact"/>
        <w:rPr>
          <w:rFonts w:hAnsi="宋体" w:cs="宋体"/>
          <w:sz w:val="21"/>
          <w:szCs w:val="21"/>
        </w:rPr>
      </w:pPr>
      <w:r>
        <w:rPr>
          <w:rFonts w:hint="eastAsia" w:hAnsi="宋体" w:cs="宋体"/>
          <w:sz w:val="21"/>
          <w:szCs w:val="21"/>
        </w:rPr>
        <w:t xml:space="preserve">八、与我单位存在“单位负责人为同一人或者存在直接控股、管理关系”的其他单位信息如下（如无此情形的，填写“无”）：</w:t>
      </w:r>
      <w:r/>
    </w:p>
    <w:p>
      <w:pPr>
        <w:pStyle w:val="935"/>
        <w:ind w:firstLine="480"/>
        <w:spacing w:line="460" w:lineRule="exact"/>
        <w:rPr>
          <w:rFonts w:hAnsi="宋体" w:cs="宋体"/>
          <w:sz w:val="21"/>
          <w:szCs w:val="21"/>
        </w:rPr>
      </w:pPr>
      <w:r>
        <w:rPr>
          <w:rFonts w:hint="eastAsia" w:hAnsi="宋体" w:cs="宋体"/>
          <w:sz w:val="21"/>
          <w:szCs w:val="21"/>
        </w:rPr>
        <w:t xml:space="preserve">1、与我单位的法定代表人（单位负责人）为同一人的其他单位如下：</w:t>
      </w:r>
      <w:r>
        <w:rPr>
          <w:rFonts w:hint="eastAsia" w:hAnsi="宋体" w:cs="宋体"/>
          <w:sz w:val="21"/>
          <w:szCs w:val="21"/>
          <w:u w:val="single"/>
        </w:rPr>
        <w:t xml:space="preserve">     </w:t>
      </w:r>
      <w:r>
        <w:rPr>
          <w:rFonts w:hint="eastAsia" w:hAnsi="宋体" w:cs="宋体"/>
          <w:sz w:val="21"/>
          <w:szCs w:val="21"/>
        </w:rPr>
        <w:t xml:space="preserve">          </w:t>
      </w:r>
      <w:r/>
    </w:p>
    <w:p>
      <w:pPr>
        <w:pStyle w:val="935"/>
        <w:ind w:firstLine="480"/>
        <w:spacing w:line="460" w:lineRule="exact"/>
        <w:rPr>
          <w:rFonts w:hAnsi="宋体" w:cs="宋体"/>
          <w:sz w:val="21"/>
          <w:szCs w:val="21"/>
        </w:rPr>
      </w:pPr>
      <w:r>
        <w:rPr>
          <w:rFonts w:hint="eastAsia" w:hAnsi="宋体" w:cs="宋体"/>
          <w:sz w:val="21"/>
          <w:szCs w:val="21"/>
        </w:rPr>
        <w:t xml:space="preserve">2、我单位直接控股的其他单位如下：</w:t>
      </w:r>
      <w:r>
        <w:rPr>
          <w:rFonts w:hint="eastAsia" w:hAnsi="宋体" w:cs="宋体"/>
          <w:sz w:val="21"/>
          <w:szCs w:val="21"/>
          <w:u w:val="single"/>
        </w:rPr>
        <w:t xml:space="preserve">                    </w:t>
      </w:r>
      <w:r>
        <w:rPr>
          <w:rFonts w:hint="eastAsia" w:hAnsi="宋体" w:cs="宋体"/>
          <w:sz w:val="21"/>
          <w:szCs w:val="21"/>
        </w:rPr>
        <w:t xml:space="preserve"> </w:t>
      </w:r>
      <w:r/>
    </w:p>
    <w:p>
      <w:pPr>
        <w:pStyle w:val="935"/>
        <w:ind w:firstLine="480"/>
        <w:spacing w:line="460" w:lineRule="exact"/>
        <w:rPr>
          <w:rFonts w:hAnsi="宋体" w:cs="宋体"/>
          <w:sz w:val="21"/>
          <w:szCs w:val="21"/>
        </w:rPr>
      </w:pPr>
      <w:r>
        <w:rPr>
          <w:rFonts w:hint="eastAsia" w:hAnsi="宋体" w:cs="宋体"/>
          <w:sz w:val="21"/>
          <w:szCs w:val="21"/>
        </w:rPr>
        <w:t xml:space="preserve">3、与我单位存在管理关系的其他单位如下：</w:t>
      </w:r>
      <w:r>
        <w:rPr>
          <w:rFonts w:hint="eastAsia" w:hAnsi="宋体" w:cs="宋体"/>
          <w:sz w:val="21"/>
          <w:szCs w:val="21"/>
          <w:u w:val="single"/>
        </w:rPr>
        <w:t xml:space="preserve">              </w:t>
      </w:r>
      <w:r>
        <w:rPr>
          <w:rFonts w:hint="eastAsia" w:hAnsi="宋体" w:cs="宋体"/>
          <w:sz w:val="21"/>
          <w:szCs w:val="21"/>
        </w:rPr>
        <w:t xml:space="preserve"> </w:t>
      </w:r>
      <w:r/>
    </w:p>
    <w:p>
      <w:pPr>
        <w:pStyle w:val="935"/>
        <w:ind w:firstLine="480"/>
        <w:spacing w:line="460" w:lineRule="exact"/>
        <w:rPr>
          <w:rFonts w:hAnsi="宋体" w:cs="宋体"/>
          <w:sz w:val="21"/>
          <w:szCs w:val="21"/>
        </w:rPr>
      </w:pPr>
      <w:r>
        <w:rPr>
          <w:rFonts w:hint="eastAsia" w:hAnsi="宋体" w:cs="宋体"/>
          <w:sz w:val="21"/>
          <w:szCs w:val="21"/>
        </w:rPr>
        <w:t xml:space="preserve">九、我单位不属于为本项目提供整体设计、规范编制或者项目管理、监理、检测等服务的供应商。</w:t>
      </w:r>
      <w:r/>
    </w:p>
    <w:p>
      <w:pPr>
        <w:pStyle w:val="935"/>
        <w:ind w:firstLine="480"/>
        <w:spacing w:line="460" w:lineRule="exact"/>
        <w:rPr>
          <w:rFonts w:hAnsi="宋体" w:cs="宋体"/>
          <w:sz w:val="21"/>
          <w:szCs w:val="21"/>
        </w:rPr>
      </w:pPr>
      <w:r>
        <w:rPr>
          <w:rFonts w:hint="eastAsia" w:hAnsi="宋体" w:cs="宋体"/>
          <w:sz w:val="21"/>
          <w:szCs w:val="21"/>
        </w:rPr>
        <w:t xml:space="preserve">十、我单位无以下不良信用记录情形：</w:t>
      </w:r>
      <w:r/>
    </w:p>
    <w:p>
      <w:pPr>
        <w:pStyle w:val="935"/>
        <w:ind w:firstLine="480"/>
        <w:spacing w:line="460" w:lineRule="exact"/>
        <w:rPr>
          <w:rFonts w:hAnsi="宋体" w:cs="宋体"/>
          <w:sz w:val="21"/>
          <w:szCs w:val="21"/>
        </w:rPr>
      </w:pPr>
      <w:r>
        <w:rPr>
          <w:rFonts w:hint="eastAsia" w:hAnsi="宋体" w:cs="宋体"/>
          <w:sz w:val="21"/>
          <w:szCs w:val="21"/>
        </w:rPr>
        <w:t xml:space="preserve">1、在“信用中国”网站被列入失信被执行人和重大税收违法案件当事人名单；</w:t>
      </w:r>
      <w:r/>
    </w:p>
    <w:p>
      <w:pPr>
        <w:pStyle w:val="935"/>
        <w:ind w:firstLine="480"/>
        <w:spacing w:line="460" w:lineRule="exact"/>
        <w:rPr>
          <w:rFonts w:hAnsi="宋体" w:cs="宋体"/>
          <w:sz w:val="21"/>
          <w:szCs w:val="21"/>
        </w:rPr>
      </w:pPr>
      <w:r>
        <w:rPr>
          <w:rFonts w:hint="eastAsia" w:hAnsi="宋体" w:cs="宋体"/>
          <w:sz w:val="21"/>
          <w:szCs w:val="21"/>
        </w:rPr>
        <w:t xml:space="preserve">2、在“中国政府采购网”网站被列入政府采购严重违法失信行为记录名单；</w:t>
      </w:r>
      <w:r/>
    </w:p>
    <w:p>
      <w:pPr>
        <w:pStyle w:val="935"/>
        <w:ind w:firstLine="480"/>
        <w:spacing w:line="460" w:lineRule="exact"/>
        <w:rPr>
          <w:rFonts w:hAnsi="宋体" w:cs="宋体"/>
          <w:sz w:val="21"/>
          <w:szCs w:val="21"/>
        </w:rPr>
      </w:pPr>
      <w:r>
        <w:rPr>
          <w:rFonts w:hint="eastAsia" w:hAnsi="宋体" w:cs="宋体"/>
          <w:sz w:val="21"/>
          <w:szCs w:val="21"/>
        </w:rPr>
        <w:t xml:space="preserve">3、不符合《政府采购法》第二十二条规定的条件。</w:t>
      </w:r>
      <w:r/>
    </w:p>
    <w:p>
      <w:pPr>
        <w:pStyle w:val="935"/>
        <w:ind w:firstLine="480"/>
        <w:spacing w:line="460" w:lineRule="exact"/>
        <w:rPr>
          <w:rFonts w:hAnsi="宋体" w:cs="宋体"/>
          <w:sz w:val="21"/>
          <w:szCs w:val="21"/>
        </w:rPr>
      </w:pPr>
      <w:r>
        <w:rPr>
          <w:rFonts w:hAnsi="宋体" w:cs="宋体"/>
          <w:sz w:val="21"/>
          <w:szCs w:val="21"/>
        </w:rPr>
      </w:r>
      <w:r/>
    </w:p>
    <w:p>
      <w:pPr>
        <w:pStyle w:val="935"/>
        <w:ind w:firstLine="480"/>
        <w:spacing w:line="460" w:lineRule="exact"/>
        <w:rPr>
          <w:rFonts w:hAnsi="宋体" w:cs="宋体"/>
          <w:sz w:val="21"/>
          <w:szCs w:val="21"/>
        </w:rPr>
      </w:pPr>
      <w:r>
        <w:rPr>
          <w:rFonts w:hint="eastAsia" w:hAnsi="宋体" w:cs="宋体"/>
          <w:sz w:val="21"/>
          <w:szCs w:val="21"/>
        </w:rPr>
        <w:t xml:space="preserve">我单位保证上述声明的事项都是真实的，如有虚假，我单位愿意承担相应的法律责任，并承担因此所造成的一切损失。</w:t>
      </w:r>
      <w:r/>
    </w:p>
    <w:p>
      <w:pPr>
        <w:pStyle w:val="935"/>
        <w:ind w:firstLine="480"/>
        <w:spacing w:line="460" w:lineRule="exact"/>
        <w:rPr>
          <w:rFonts w:hAnsi="宋体" w:cs="宋体"/>
          <w:sz w:val="21"/>
          <w:szCs w:val="21"/>
        </w:rPr>
      </w:pPr>
      <w:r>
        <w:rPr>
          <w:rFonts w:hAnsi="宋体" w:cs="宋体"/>
          <w:sz w:val="21"/>
          <w:szCs w:val="21"/>
        </w:rPr>
      </w:r>
      <w:r/>
    </w:p>
    <w:p>
      <w:pPr>
        <w:pStyle w:val="935"/>
        <w:ind w:firstLine="480"/>
        <w:spacing w:line="460" w:lineRule="exact"/>
        <w:rPr>
          <w:rFonts w:hAnsi="宋体" w:cs="宋体"/>
          <w:sz w:val="21"/>
          <w:szCs w:val="21"/>
        </w:rPr>
      </w:pPr>
      <w:r>
        <w:rPr>
          <w:rFonts w:hAnsi="宋体" w:cs="宋体"/>
          <w:sz w:val="21"/>
          <w:szCs w:val="21"/>
        </w:rPr>
      </w:r>
      <w:r/>
    </w:p>
    <w:p>
      <w:pPr>
        <w:pStyle w:val="935"/>
        <w:ind w:firstLine="480"/>
        <w:spacing w:line="460" w:lineRule="exact"/>
        <w:rPr>
          <w:rFonts w:hAnsi="宋体" w:cs="宋体"/>
          <w:sz w:val="21"/>
          <w:szCs w:val="21"/>
        </w:rPr>
      </w:pPr>
      <w:r>
        <w:rPr>
          <w:rFonts w:hint="eastAsia" w:hAnsi="宋体" w:cs="宋体"/>
          <w:sz w:val="21"/>
          <w:szCs w:val="21"/>
        </w:rPr>
        <w:t xml:space="preserve">                                            供应商：（加盖公章）</w:t>
      </w:r>
      <w:r/>
    </w:p>
    <w:p>
      <w:pPr>
        <w:pStyle w:val="935"/>
        <w:ind w:firstLine="480"/>
        <w:spacing w:line="460" w:lineRule="exact"/>
        <w:rPr>
          <w:rFonts w:hAnsi="宋体" w:cs="宋体"/>
          <w:sz w:val="21"/>
          <w:szCs w:val="21"/>
        </w:rPr>
      </w:pPr>
      <w:r>
        <w:rPr>
          <w:rFonts w:hint="eastAsia" w:hAnsi="宋体" w:cs="宋体"/>
          <w:sz w:val="21"/>
          <w:szCs w:val="21"/>
        </w:rPr>
        <w:t xml:space="preserve">                法定代表人（或单位负责人）签字或盖章：</w:t>
      </w:r>
      <w:r/>
    </w:p>
    <w:p>
      <w:pPr>
        <w:pStyle w:val="935"/>
        <w:ind w:firstLine="4305"/>
        <w:spacing w:line="460" w:lineRule="exact"/>
        <w:rPr>
          <w:rFonts w:hAnsi="宋体" w:cs="宋体"/>
          <w:sz w:val="21"/>
          <w:szCs w:val="21"/>
        </w:rPr>
      </w:pPr>
      <w:r>
        <w:rPr>
          <w:rFonts w:hint="eastAsia" w:hAnsi="宋体" w:cs="宋体"/>
          <w:sz w:val="21"/>
          <w:szCs w:val="21"/>
        </w:rPr>
        <w:t xml:space="preserve">日期：    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说明：供应商承诺不实的，依据《政府采购法》第七十七条“提供虚假材料谋取成交、成交的”有关规定予以处理。</w:t>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color w:val="000000"/>
          <w:sz w:val="24"/>
          <w:szCs w:val="20"/>
        </w:rPr>
      </w:pPr>
      <w:r>
        <w:rPr>
          <w:color w:val="000000"/>
          <w:sz w:val="24"/>
          <w:szCs w:val="20"/>
        </w:rPr>
        <w:br w:type="page" w:clear="all"/>
      </w:r>
      <w:bookmarkStart w:id="682" w:name="_Toc520356218"/>
      <w:r/>
      <w:bookmarkStart w:id="683" w:name="_Toc226309801"/>
      <w:r/>
      <w:bookmarkStart w:id="684" w:name="_Toc305158825"/>
      <w:r/>
      <w:bookmarkStart w:id="685" w:name="_Toc142311059"/>
      <w:r/>
      <w:bookmarkStart w:id="686" w:name="_Toc226337253"/>
      <w:r/>
      <w:bookmarkStart w:id="687" w:name="_Toc305158899"/>
      <w:r/>
      <w:bookmarkStart w:id="688" w:name="_Toc264969247"/>
      <w:r/>
      <w:bookmarkStart w:id="689" w:name="_Toc150480795"/>
      <w:r/>
      <w:bookmarkStart w:id="690" w:name="_Toc127151557"/>
      <w:r/>
      <w:bookmarkStart w:id="691" w:name="_Ref467988705"/>
      <w:r/>
      <w:bookmarkStart w:id="692" w:name="_Toc150774762"/>
      <w:r/>
      <w:bookmarkStart w:id="693" w:name="_Toc226965747"/>
      <w:r/>
      <w:bookmarkStart w:id="694" w:name="_Toc226965830"/>
      <w:r/>
      <w:bookmarkStart w:id="695" w:name="_Toc195842922"/>
      <w:r/>
      <w:bookmarkStart w:id="696" w:name="_Toc480942350"/>
      <w:r/>
      <w:bookmarkStart w:id="697" w:name="_Toc265228395"/>
      <w:r/>
      <w:r/>
    </w:p>
    <w:p>
      <w:pPr>
        <w:spacing w:line="360" w:lineRule="auto"/>
        <w:rPr>
          <w:rFonts w:ascii="宋体" w:hAnsi="宋体" w:cs="宋体"/>
          <w:b/>
          <w:bCs/>
          <w:szCs w:val="21"/>
        </w:rPr>
      </w:pPr>
      <w:r>
        <w:rPr>
          <w:rFonts w:hint="eastAsia" w:ascii="宋体" w:hAnsi="宋体" w:cs="宋体"/>
          <w:b/>
          <w:bCs/>
          <w:szCs w:val="21"/>
        </w:rPr>
        <w:t xml:space="preserve">2、落实政府采购政策需满足的资格要求</w:t>
      </w:r>
      <w:r/>
    </w:p>
    <w:p>
      <w:pPr>
        <w:spacing w:line="360" w:lineRule="auto"/>
        <w:rPr>
          <w:rFonts w:ascii="宋体" w:hAnsi="宋体" w:cs="宋体"/>
          <w:b/>
          <w:bCs/>
          <w:szCs w:val="21"/>
        </w:rPr>
      </w:pPr>
      <w:r>
        <w:rPr>
          <w:rFonts w:hint="eastAsia" w:ascii="宋体" w:hAnsi="宋体" w:cs="宋体"/>
          <w:b/>
          <w:bCs/>
          <w:szCs w:val="21"/>
        </w:rPr>
        <w:t xml:space="preserve">2-1 中小企业声明函</w:t>
      </w:r>
      <w:r/>
    </w:p>
    <w:p>
      <w:pPr>
        <w:spacing w:line="360" w:lineRule="auto"/>
        <w:rPr>
          <w:rFonts w:ascii="宋体" w:hAnsi="宋体" w:cs="宋体"/>
          <w:szCs w:val="21"/>
        </w:rPr>
      </w:pPr>
      <w:r>
        <w:rPr>
          <w:rFonts w:hint="eastAsia" w:ascii="宋体" w:hAnsi="宋体" w:cs="宋体"/>
          <w:szCs w:val="21"/>
        </w:rPr>
        <w:t xml:space="preserve">说明：</w:t>
      </w:r>
      <w:r/>
    </w:p>
    <w:p>
      <w:pPr>
        <w:spacing w:line="360" w:lineRule="auto"/>
        <w:rPr>
          <w:rFonts w:ascii="宋体" w:hAnsi="宋体" w:cs="宋体"/>
          <w:szCs w:val="21"/>
        </w:rPr>
      </w:pPr>
      <w:r>
        <w:rPr>
          <w:rFonts w:hint="eastAsia" w:ascii="宋体" w:hAnsi="宋体" w:cs="宋体"/>
          <w:szCs w:val="21"/>
        </w:rPr>
        <w:t xml:space="preserve">（1）如本项目（包）不专门面向中小企业预留采购份额，供应商非必须提供；当小微企业拟享受中小企业扶持政策时，仍应提供《中小企业声明函》，否则不得享受相关中小企业扶持政策。</w:t>
      </w:r>
      <w:r/>
    </w:p>
    <w:p>
      <w:pPr>
        <w:spacing w:line="360" w:lineRule="auto"/>
        <w:rPr>
          <w:rFonts w:ascii="宋体" w:hAnsi="宋体" w:cs="宋体"/>
          <w:szCs w:val="21"/>
        </w:rPr>
      </w:pPr>
      <w:r>
        <w:rPr>
          <w:rFonts w:hint="eastAsia" w:ascii="宋体" w:hAnsi="宋体" w:cs="宋体"/>
          <w:szCs w:val="21"/>
        </w:rPr>
        <w:t xml:space="preserve">（2）如本项目（包）专门面向中小/小微企业采购，须提供《中小企业声明函》（实质性格式）。</w:t>
      </w:r>
      <w:r/>
    </w:p>
    <w:p>
      <w:pPr>
        <w:spacing w:line="360" w:lineRule="auto"/>
        <w:rPr>
          <w:rFonts w:ascii="宋体" w:hAnsi="宋体" w:cs="宋体"/>
          <w:szCs w:val="21"/>
        </w:rPr>
      </w:pPr>
      <w:r>
        <w:rPr>
          <w:rFonts w:hint="eastAsia" w:ascii="宋体" w:hAnsi="宋体" w:cs="宋体"/>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rPr>
          <w:rFonts w:ascii="宋体" w:hAnsi="宋体" w:cs="宋体"/>
          <w:szCs w:val="21"/>
        </w:rPr>
      </w:pPr>
      <w:r>
        <w:rPr>
          <w:rFonts w:hint="eastAsia" w:ascii="宋体" w:hAnsi="宋体" w:cs="宋体"/>
          <w:szCs w:val="21"/>
        </w:rPr>
        <w:t xml:space="preserve">（4）其它</w:t>
      </w:r>
      <w:r/>
    </w:p>
    <w:p>
      <w:pPr>
        <w:spacing w:line="360" w:lineRule="auto"/>
        <w:rPr>
          <w:rFonts w:ascii="宋体" w:hAnsi="宋体" w:cs="宋体"/>
          <w:szCs w:val="21"/>
        </w:rPr>
      </w:pPr>
      <w:r>
        <w:rPr>
          <w:rFonts w:hint="eastAsia" w:ascii="宋体" w:hAnsi="宋体" w:cs="宋体"/>
          <w:szCs w:val="21"/>
        </w:rPr>
        <w:t xml:space="preserve">1）中小企业参加政府采购活动，应当出具此格式文件。《中小企业声明函》由参加政府采购活动的供应商出具。联合体响应的，《中小企业声明函》由牵头人出具。</w:t>
      </w:r>
      <w:r/>
    </w:p>
    <w:p>
      <w:pPr>
        <w:spacing w:line="360" w:lineRule="auto"/>
        <w:rPr>
          <w:rFonts w:ascii="宋体" w:hAnsi="宋体" w:cs="宋体"/>
          <w:szCs w:val="21"/>
        </w:rPr>
      </w:pPr>
      <w:r>
        <w:rPr>
          <w:rFonts w:hint="eastAsia" w:ascii="宋体" w:hAnsi="宋体" w:cs="宋体"/>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rPr>
          <w:rFonts w:ascii="宋体" w:hAnsi="宋体" w:cs="宋体"/>
          <w:szCs w:val="21"/>
        </w:rPr>
      </w:pPr>
      <w:r>
        <w:rPr>
          <w:rFonts w:hint="eastAsia" w:ascii="宋体" w:hAnsi="宋体" w:cs="宋体"/>
          <w:szCs w:val="21"/>
        </w:rPr>
        <w:t xml:space="preserve">3）对于多标的的采购项目，供应商应充分、准确地了解所投产品制造企业信息。对相关情况了解不清楚的，不建议填报本声明函。</w:t>
      </w:r>
      <w:r/>
    </w:p>
    <w:p>
      <w:pPr>
        <w:spacing w:line="360" w:lineRule="auto"/>
        <w:rPr>
          <w:rFonts w:ascii="宋体" w:hAnsi="宋体" w:cs="宋体"/>
          <w:szCs w:val="21"/>
        </w:rPr>
      </w:pPr>
      <w:r>
        <w:rPr>
          <w:rFonts w:hint="eastAsia" w:ascii="宋体" w:hAnsi="宋体" w:cs="宋体"/>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Cs w:val="21"/>
        </w:rPr>
      </w:pPr>
      <w:r>
        <w:rPr>
          <w:szCs w:val="21"/>
        </w:rPr>
      </w:r>
      <w:r/>
    </w:p>
    <w:p>
      <w:pPr>
        <w:jc w:val="center"/>
        <w:spacing w:line="360" w:lineRule="auto"/>
        <w:widowControl/>
        <w:rPr>
          <w:color w:val="000000"/>
          <w:sz w:val="24"/>
        </w:rPr>
      </w:pPr>
      <w:r>
        <w:rPr>
          <w:color w:val="000000"/>
          <w:sz w:val="24"/>
        </w:rPr>
        <w:br w:type="page" w:clear="all"/>
      </w:r>
      <w:r/>
    </w:p>
    <w:p>
      <w:pPr>
        <w:jc w:val="center"/>
        <w:spacing w:before="240" w:after="240" w:line="360" w:lineRule="auto"/>
        <w:rPr>
          <w:rFonts w:ascii="宋体" w:hAnsi="宋体" w:cs="宋体"/>
          <w:b/>
          <w:bCs/>
          <w:color w:val="000000"/>
          <w:szCs w:val="21"/>
        </w:rPr>
      </w:pPr>
      <w:r>
        <w:rPr>
          <w:rFonts w:hint="eastAsia" w:ascii="宋体" w:hAnsi="宋体" w:cs="宋体"/>
          <w:b/>
          <w:color w:val="000000"/>
          <w:szCs w:val="21"/>
        </w:rPr>
        <w:t xml:space="preserve">中小企业声明函（工程、服务）格式</w:t>
      </w:r>
      <w:r/>
    </w:p>
    <w:p>
      <w:pPr>
        <w:ind w:firstLine="504"/>
        <w:spacing w:line="360" w:lineRule="auto"/>
        <w:rPr>
          <w:rFonts w:ascii="宋体" w:hAnsi="宋体" w:cs="宋体"/>
          <w:spacing w:val="6"/>
          <w:szCs w:val="21"/>
        </w:rPr>
      </w:pPr>
      <w:r>
        <w:rPr>
          <w:rFonts w:hint="eastAsia" w:ascii="宋体" w:hAnsi="宋体" w:cs="宋体"/>
          <w:spacing w:val="6"/>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cs="宋体"/>
          <w:spacing w:val="6"/>
          <w:szCs w:val="21"/>
        </w:rPr>
      </w:pPr>
      <w:r>
        <w:rPr>
          <w:rFonts w:hint="eastAsia" w:ascii="宋体" w:hAnsi="宋体" w:cs="宋体"/>
          <w:spacing w:val="6"/>
          <w:szCs w:val="21"/>
        </w:rPr>
        <w:t xml:space="preserve">1.</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w:t>
      </w:r>
      <w:r>
        <w:rPr>
          <w:rFonts w:hint="eastAsia" w:ascii="宋体" w:hAnsi="宋体" w:cs="宋体"/>
          <w:spacing w:val="6"/>
          <w:szCs w:val="21"/>
          <w:vertAlign w:val="superscript"/>
        </w:rPr>
        <w:t xml:space="preserve">1</w:t>
      </w:r>
      <w:r>
        <w:rPr>
          <w:rFonts w:hint="eastAsia" w:ascii="宋体" w:hAnsi="宋体" w:cs="宋体"/>
          <w:spacing w:val="6"/>
          <w:szCs w:val="21"/>
        </w:rPr>
        <w:t xml:space="preserve">，属于（中型企业、小型企业、微型企业）；</w:t>
      </w:r>
      <w:r/>
    </w:p>
    <w:p>
      <w:pPr>
        <w:ind w:firstLine="504"/>
        <w:spacing w:line="360" w:lineRule="auto"/>
        <w:rPr>
          <w:rFonts w:ascii="宋体" w:hAnsi="宋体" w:cs="宋体"/>
          <w:spacing w:val="6"/>
          <w:szCs w:val="21"/>
        </w:rPr>
      </w:pPr>
      <w:r>
        <w:rPr>
          <w:rFonts w:hint="eastAsia" w:ascii="宋体" w:hAnsi="宋体" w:cs="宋体"/>
          <w:spacing w:val="6"/>
          <w:szCs w:val="21"/>
        </w:rPr>
        <w:t xml:space="preserve">2.</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，从业人员______人，营业收入为______万元，资产总额为______万元，属于</w:t>
      </w:r>
      <w:r>
        <w:rPr>
          <w:rFonts w:hint="eastAsia" w:ascii="宋体" w:hAnsi="宋体" w:cs="宋体"/>
          <w:spacing w:val="6"/>
          <w:szCs w:val="21"/>
          <w:u w:val="single"/>
        </w:rPr>
        <w:t xml:space="preserve">（中型企业、小型企业、微型企业）</w:t>
      </w:r>
      <w:r>
        <w:rPr>
          <w:rFonts w:hint="eastAsia" w:ascii="宋体" w:hAnsi="宋体" w:cs="宋体"/>
          <w:spacing w:val="6"/>
          <w:szCs w:val="21"/>
        </w:rPr>
        <w:t xml:space="preserve">；</w:t>
      </w:r>
      <w:r/>
    </w:p>
    <w:p>
      <w:pPr>
        <w:ind w:firstLine="504"/>
        <w:spacing w:line="360" w:lineRule="auto"/>
        <w:rPr>
          <w:rFonts w:ascii="宋体" w:hAnsi="宋体" w:cs="宋体"/>
          <w:spacing w:val="6"/>
          <w:szCs w:val="21"/>
        </w:rPr>
      </w:pPr>
      <w:r>
        <w:rPr>
          <w:rFonts w:ascii="宋体" w:hAnsi="宋体" w:cs="宋体"/>
          <w:spacing w:val="6"/>
          <w:szCs w:val="21"/>
        </w:rPr>
      </w:r>
      <w:r/>
    </w:p>
    <w:p>
      <w:pPr>
        <w:ind w:firstLine="504"/>
        <w:spacing w:line="360" w:lineRule="auto"/>
        <w:rPr>
          <w:rFonts w:ascii="宋体" w:hAnsi="宋体" w:cs="宋体"/>
          <w:spacing w:val="6"/>
          <w:szCs w:val="21"/>
        </w:rPr>
      </w:pPr>
      <w:r>
        <w:rPr>
          <w:rFonts w:hint="eastAsia" w:ascii="宋体" w:hAnsi="宋体" w:cs="宋体"/>
          <w:spacing w:val="6"/>
          <w:szCs w:val="21"/>
        </w:rPr>
        <w:t xml:space="preserve">……</w:t>
      </w:r>
      <w:r/>
    </w:p>
    <w:p>
      <w:pPr>
        <w:ind w:firstLine="504"/>
        <w:spacing w:line="360" w:lineRule="auto"/>
        <w:rPr>
          <w:rFonts w:ascii="宋体" w:hAnsi="宋体" w:cs="宋体"/>
          <w:spacing w:val="6"/>
          <w:szCs w:val="21"/>
        </w:rPr>
      </w:pPr>
      <w:r>
        <w:rPr>
          <w:rFonts w:hint="eastAsia" w:ascii="宋体" w:hAnsi="宋体" w:cs="宋体"/>
          <w:spacing w:val="6"/>
          <w:szCs w:val="21"/>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cs="宋体"/>
          <w:spacing w:val="6"/>
          <w:szCs w:val="21"/>
        </w:rPr>
      </w:pPr>
      <w:r>
        <w:rPr>
          <w:rFonts w:hint="eastAsia" w:ascii="宋体" w:hAnsi="宋体" w:cs="宋体"/>
          <w:spacing w:val="6"/>
          <w:szCs w:val="21"/>
        </w:rPr>
        <w:t xml:space="preserve">本企业对上述声明内容的真实性负责。如有虚假，将依法承担相应责任。</w:t>
      </w:r>
      <w:r/>
    </w:p>
    <w:p>
      <w:pPr>
        <w:ind w:right="360" w:firstLine="480"/>
        <w:jc w:val="right"/>
        <w:spacing w:line="360" w:lineRule="auto"/>
        <w:rPr>
          <w:rFonts w:ascii="宋体" w:hAnsi="宋体" w:cs="宋体"/>
          <w:color w:val="000000"/>
          <w:szCs w:val="21"/>
        </w:rPr>
      </w:pPr>
      <w:r>
        <w:rPr>
          <w:rFonts w:ascii="宋体" w:hAnsi="宋体" w:cs="宋体"/>
          <w:color w:val="000000"/>
          <w:szCs w:val="21"/>
        </w:rPr>
      </w:r>
      <w:r/>
    </w:p>
    <w:p>
      <w:pPr>
        <w:ind w:right="360" w:firstLine="480"/>
        <w:jc w:val="right"/>
        <w:spacing w:line="360" w:lineRule="auto"/>
        <w:rPr>
          <w:rFonts w:ascii="宋体" w:hAnsi="宋体" w:cs="宋体"/>
          <w:color w:val="000000"/>
          <w:szCs w:val="21"/>
        </w:rPr>
      </w:pPr>
      <w:r>
        <w:rPr>
          <w:rFonts w:hint="eastAsia" w:ascii="宋体" w:hAnsi="宋体" w:cs="宋体"/>
          <w:color w:val="000000"/>
          <w:szCs w:val="21"/>
        </w:rPr>
        <w:t xml:space="preserve">企业名称（加盖公章）：________</w:t>
      </w:r>
      <w:r/>
    </w:p>
    <w:p>
      <w:pPr>
        <w:ind w:right="360" w:firstLine="480"/>
        <w:jc w:val="right"/>
        <w:spacing w:line="360" w:lineRule="auto"/>
        <w:rPr>
          <w:rFonts w:ascii="宋体" w:hAnsi="宋体" w:cs="宋体"/>
          <w:color w:val="000000"/>
          <w:szCs w:val="21"/>
        </w:rPr>
      </w:pPr>
      <w:r>
        <w:rPr>
          <w:rFonts w:hint="eastAsia" w:ascii="宋体" w:hAnsi="宋体" w:cs="宋体"/>
          <w:color w:val="000000"/>
          <w:szCs w:val="21"/>
        </w:rPr>
        <w:t xml:space="preserve">日 期：________</w:t>
      </w:r>
      <w:r/>
    </w:p>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ascii="宋体" w:hAnsi="宋体" w:cs="宋体"/>
          <w:color w:val="000000"/>
          <w:szCs w:val="21"/>
        </w:rPr>
      </w:r>
      <w:r/>
    </w:p>
    <w:tbl>
      <w:tblPr>
        <w:tblStyle w:val="931"/>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ascii="宋体" w:hAnsi="宋体" w:cs="宋体"/>
                <w:color w:val="000000"/>
                <w:szCs w:val="21"/>
              </w:rPr>
            </w:pPr>
            <w:r>
              <w:rPr>
                <w:rFonts w:hint="eastAsia" w:ascii="宋体" w:hAnsi="宋体" w:cs="宋体"/>
                <w:color w:val="000000"/>
                <w:szCs w:val="21"/>
                <w:vertAlign w:val="superscript"/>
              </w:rPr>
              <w:t xml:space="preserve">1</w:t>
            </w:r>
            <w:r>
              <w:rPr>
                <w:rFonts w:hint="eastAsia" w:ascii="宋体" w:hAnsi="宋体" w:cs="宋体"/>
                <w:color w:val="000000"/>
                <w:szCs w:val="21"/>
              </w:rPr>
              <w:t xml:space="preserve">从业人员、营业收入、资产总额填报上一年度数据，无上一年度数据的新成立企业可不填报。</w:t>
            </w:r>
            <w:r/>
          </w:p>
        </w:tc>
      </w:tr>
    </w:tbl>
    <w:p>
      <w:pPr>
        <w:spacing w:before="240" w:after="240" w:line="360" w:lineRule="auto"/>
        <w:rPr>
          <w:rFonts w:ascii="宋体" w:hAnsi="宋体" w:cs="宋体"/>
          <w:color w:val="000000"/>
          <w:szCs w:val="21"/>
        </w:rPr>
      </w:pPr>
      <w:r>
        <w:rPr>
          <w:rFonts w:ascii="宋体" w:hAnsi="宋体" w:cs="宋体"/>
          <w:color w:val="000000"/>
          <w:szCs w:val="21"/>
        </w:rPr>
      </w:r>
      <w:r/>
    </w:p>
    <w:p>
      <w:pPr>
        <w:jc w:val="center"/>
        <w:spacing w:before="240" w:after="240" w:line="360" w:lineRule="auto"/>
        <w:rPr>
          <w:rFonts w:ascii="宋体" w:hAnsi="宋体" w:cs="宋体"/>
          <w:color w:val="000000"/>
          <w:szCs w:val="21"/>
        </w:rPr>
      </w:pPr>
      <w:r>
        <w:rPr>
          <w:rFonts w:hint="eastAsia" w:ascii="宋体" w:hAnsi="宋体" w:cs="宋体"/>
          <w:color w:val="000000"/>
          <w:szCs w:val="21"/>
        </w:rPr>
        <w:br w:type="page" w:clear="all"/>
      </w:r>
      <w:r>
        <w:rPr>
          <w:rFonts w:hint="eastAsia" w:ascii="宋体" w:hAnsi="宋体" w:cs="宋体"/>
          <w:b/>
          <w:color w:val="000000"/>
          <w:szCs w:val="21"/>
        </w:rPr>
        <w:t xml:space="preserve">残疾人福利性单位声明函格式 </w:t>
      </w:r>
      <w:r/>
    </w:p>
    <w:p>
      <w:pPr>
        <w:ind w:firstLine="504"/>
        <w:spacing w:line="588" w:lineRule="exact"/>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p>
    <w:p>
      <w:pPr>
        <w:ind w:firstLine="482"/>
        <w:spacing w:line="588" w:lineRule="exact"/>
        <w:rPr>
          <w:rFonts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p>
    <w:p>
      <w:pPr>
        <w:ind w:firstLine="482"/>
        <w:spacing w:line="588" w:lineRule="exact"/>
        <w:rPr>
          <w:rFonts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p>
    <w:p>
      <w:pPr>
        <w:ind w:firstLine="444"/>
        <w:spacing w:line="588" w:lineRule="exact"/>
        <w:rPr>
          <w:rFonts w:ascii="宋体" w:hAnsi="宋体" w:cs="宋体"/>
          <w:spacing w:val="6"/>
          <w:szCs w:val="21"/>
        </w:rPr>
      </w:pPr>
      <w:r>
        <w:rPr>
          <w:rFonts w:ascii="宋体" w:hAnsi="宋体" w:cs="宋体"/>
          <w:spacing w:val="6"/>
          <w:szCs w:val="21"/>
        </w:rPr>
      </w:r>
      <w:r/>
    </w:p>
    <w:p>
      <w:pPr>
        <w:ind w:firstLine="444"/>
        <w:spacing w:line="588" w:lineRule="exact"/>
        <w:rPr>
          <w:rFonts w:ascii="宋体" w:hAnsi="宋体" w:cs="宋体"/>
          <w:spacing w:val="6"/>
          <w:szCs w:val="21"/>
        </w:rPr>
      </w:pPr>
      <w:r>
        <w:rPr>
          <w:rFonts w:ascii="宋体" w:hAnsi="宋体" w:cs="宋体"/>
          <w:spacing w:val="6"/>
          <w:szCs w:val="21"/>
        </w:rPr>
      </w:r>
      <w:r/>
    </w:p>
    <w:p>
      <w:pPr>
        <w:ind w:right="1560" w:firstLine="444"/>
        <w:jc w:val="center"/>
        <w:spacing w:line="588" w:lineRule="exact"/>
        <w:tabs>
          <w:tab w:val="left" w:pos="4860" w:leader="none"/>
        </w:tabs>
        <w:rPr>
          <w:rFonts w:ascii="宋体" w:hAnsi="宋体" w:cs="宋体"/>
          <w:spacing w:val="6"/>
          <w:szCs w:val="21"/>
        </w:rPr>
      </w:pPr>
      <w:r>
        <w:rPr>
          <w:rFonts w:hint="eastAsia" w:ascii="宋体" w:hAnsi="宋体" w:cs="宋体"/>
          <w:spacing w:val="6"/>
          <w:szCs w:val="21"/>
        </w:rPr>
        <w:t xml:space="preserve">               单位名称（加盖公章）：</w:t>
      </w:r>
      <w:r/>
    </w:p>
    <w:p>
      <w:pPr>
        <w:ind w:right="1560" w:firstLine="444"/>
        <w:jc w:val="center"/>
        <w:spacing w:line="588" w:lineRule="exact"/>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spacing w:line="360" w:lineRule="auto"/>
        <w:rPr>
          <w:rFonts w:ascii="宋体" w:hAnsi="宋体" w:cs="宋体"/>
          <w:b/>
          <w:color w:val="000000"/>
          <w:szCs w:val="21"/>
        </w:rPr>
      </w:pPr>
      <w:r>
        <w:rPr>
          <w:rFonts w:ascii="宋体" w:hAnsi="宋体" w:cs="宋体"/>
          <w:b/>
          <w:color w:val="000000"/>
          <w:szCs w:val="21"/>
        </w:rPr>
      </w:r>
      <w:r/>
    </w:p>
    <w:p>
      <w:pPr>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b/>
          <w:bCs/>
          <w:szCs w:val="21"/>
        </w:rPr>
      </w:pPr>
      <w:r>
        <w:rPr>
          <w:rFonts w:hint="eastAsia" w:ascii="宋体" w:hAnsi="宋体" w:cs="宋体"/>
          <w:b/>
          <w:bCs/>
          <w:szCs w:val="21"/>
        </w:rPr>
        <w:br w:type="page" w:clear="all"/>
      </w:r>
      <w:r/>
    </w:p>
    <w:p>
      <w:pPr>
        <w:spacing w:line="360" w:lineRule="auto"/>
        <w:rPr>
          <w:rFonts w:ascii="宋体" w:hAnsi="宋体" w:cs="宋体"/>
          <w:color w:val="000000"/>
          <w:szCs w:val="21"/>
        </w:rPr>
      </w:pPr>
      <w:r>
        <w:rPr>
          <w:rFonts w:hint="eastAsia" w:ascii="宋体" w:hAnsi="宋体" w:cs="宋体"/>
          <w:b/>
          <w:bCs/>
          <w:szCs w:val="21"/>
        </w:rPr>
        <w:t xml:space="preserve">3、响应函（实质性格式）</w:t>
      </w:r>
      <w:r/>
    </w:p>
    <w:p>
      <w:pPr>
        <w:spacing w:line="360" w:lineRule="auto"/>
        <w:tabs>
          <w:tab w:val="left" w:pos="5580" w:leader="none"/>
        </w:tabs>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cs="宋体"/>
          <w:b/>
          <w:color w:val="000000"/>
          <w:szCs w:val="21"/>
        </w:rPr>
      </w:pPr>
      <w:r>
        <w:rPr>
          <w:rFonts w:hint="eastAsia" w:ascii="宋体" w:hAnsi="宋体" w:cs="宋体"/>
          <w:b/>
          <w:color w:val="000000"/>
          <w:szCs w:val="21"/>
        </w:rPr>
        <w:t xml:space="preserve">响应函</w:t>
      </w:r>
      <w:r/>
    </w:p>
    <w:p>
      <w:pPr>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（采购人或采购代理机构）</w:t>
      </w:r>
      <w:r/>
    </w:p>
    <w:p>
      <w:pPr>
        <w:spacing w:line="360" w:lineRule="auto"/>
        <w:tabs>
          <w:tab w:val="left" w:pos="5580" w:leader="none"/>
        </w:tabs>
        <w:rPr>
          <w:rFonts w:ascii="宋体" w:hAnsi="宋体" w:cs="宋体"/>
          <w:color w:val="000000"/>
          <w:szCs w:val="21"/>
        </w:rPr>
      </w:pPr>
      <w:r>
        <w:rPr>
          <w:rFonts w:ascii="宋体" w:hAnsi="宋体" w:cs="宋体"/>
          <w:color w:val="000000"/>
          <w:szCs w:val="21"/>
        </w:rPr>
      </w:r>
      <w:r/>
    </w:p>
    <w:p>
      <w:pPr>
        <w:ind w:firstLine="408"/>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我方参加你方就___________（项目名称，项目编号/包号）组织的政府采购活动，并对此项目进行响应。</w:t>
      </w:r>
      <w:r/>
    </w:p>
    <w:p>
      <w:pPr>
        <w:ind w:firstLine="408"/>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1. 我方已详细审查全部磋商文件，自愿参与响应并承诺如下：</w:t>
      </w:r>
      <w:r/>
    </w:p>
    <w:p>
      <w:pPr>
        <w:ind w:left="360" w:firstLine="63"/>
        <w:spacing w:line="360" w:lineRule="auto"/>
        <w:tabs>
          <w:tab w:val="left" w:pos="720" w:leader="none"/>
          <w:tab w:val="left" w:pos="900" w:leader="none"/>
        </w:tabs>
        <w:rPr>
          <w:rFonts w:ascii="宋体" w:hAnsi="宋体" w:cs="宋体"/>
          <w:color w:val="000000"/>
          <w:szCs w:val="21"/>
        </w:rPr>
      </w:pPr>
      <w:r>
        <w:rPr>
          <w:rFonts w:hint="eastAsia" w:ascii="宋体" w:hAnsi="宋体" w:cs="宋体"/>
          <w:color w:val="000000"/>
          <w:szCs w:val="21"/>
        </w:rPr>
        <w:t xml:space="preserve">（1）本响应有效期为自提交响应文件的截止之日起</w:t>
      </w:r>
      <w:r>
        <w:rPr>
          <w:rFonts w:hint="eastAsia" w:ascii="宋体" w:hAnsi="宋体" w:cs="宋体"/>
          <w:szCs w:val="21"/>
        </w:rPr>
        <w:t xml:space="preserve">60</w:t>
      </w:r>
      <w:r>
        <w:rPr>
          <w:rFonts w:hint="eastAsia" w:ascii="宋体" w:hAnsi="宋体" w:cs="宋体"/>
          <w:color w:val="000000"/>
          <w:szCs w:val="21"/>
        </w:rPr>
        <w:t xml:space="preserve">个日历日。</w:t>
      </w:r>
      <w:r/>
    </w:p>
    <w:p>
      <w:pPr>
        <w:ind w:left="360" w:firstLine="63"/>
        <w:spacing w:line="360" w:lineRule="auto"/>
        <w:tabs>
          <w:tab w:val="left" w:pos="720" w:leader="none"/>
          <w:tab w:val="left" w:pos="900" w:leader="none"/>
        </w:tabs>
        <w:rPr>
          <w:rFonts w:ascii="宋体" w:hAnsi="宋体" w:cs="宋体"/>
          <w:color w:val="000000"/>
          <w:szCs w:val="21"/>
        </w:rPr>
      </w:pPr>
      <w:r>
        <w:rPr>
          <w:rFonts w:hint="eastAsia" w:ascii="宋体" w:hAnsi="宋体" w:cs="宋体"/>
          <w:color w:val="000000"/>
          <w:szCs w:val="21"/>
        </w:rPr>
        <w:t xml:space="preserve">（2）除合同条款及采购需求偏离表列出的偏离外，我方响应磋商文件的全部要求。</w:t>
      </w:r>
      <w:r/>
    </w:p>
    <w:p>
      <w:pPr>
        <w:ind w:firstLine="367"/>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（3）我方已提供的全部文件资料是真实、准确的，并对此承担一切法律后果。</w:t>
      </w:r>
      <w:r/>
    </w:p>
    <w:p>
      <w:pPr>
        <w:ind w:firstLine="367"/>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（4）如我方成交，我方将在法律规定的期限内与你方签订合同，按照磋商文件要求提交履约保证金，并在合同约定的期限内完成合同规定的全部义务。</w:t>
      </w:r>
      <w:r/>
    </w:p>
    <w:p>
      <w:pPr>
        <w:ind w:left="420"/>
        <w:spacing w:line="360" w:lineRule="auto"/>
        <w:rPr>
          <w:rFonts w:ascii="宋体" w:hAnsi="宋体" w:cs="宋体"/>
          <w:color w:val="000000"/>
          <w:szCs w:val="21"/>
        </w:rPr>
      </w:pPr>
      <w:r>
        <w:rPr>
          <w:rFonts w:hint="eastAsia" w:ascii="宋体" w:hAnsi="宋体" w:cs="宋体"/>
          <w:color w:val="000000"/>
          <w:szCs w:val="21"/>
        </w:rPr>
        <w:t xml:space="preserve">2. 其他补充条款（如有）：___________。</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与本响应有关的一切正式往来信函请寄：</w:t>
      </w:r>
      <w:r/>
    </w:p>
    <w:p>
      <w:pPr>
        <w:ind w:left="420"/>
        <w:spacing w:line="360" w:lineRule="auto"/>
        <w:tabs>
          <w:tab w:val="left" w:pos="5580" w:leader="none"/>
        </w:tabs>
        <w:rPr>
          <w:rFonts w:ascii="宋体" w:hAnsi="宋体" w:cs="宋体"/>
          <w:color w:val="000000"/>
          <w:szCs w:val="21"/>
        </w:rPr>
      </w:pPr>
      <w:r>
        <w:rPr>
          <w:rFonts w:ascii="宋体" w:hAnsi="宋体" w:cs="宋体"/>
          <w:color w:val="000000"/>
          <w:szCs w:val="21"/>
        </w:rPr>
      </w:r>
      <w:r/>
    </w:p>
    <w:p>
      <w:pPr>
        <w:ind w:left="420"/>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地址_________________________     传真____________________________</w:t>
      </w:r>
      <w:r/>
    </w:p>
    <w:p>
      <w:pPr>
        <w:ind w:left="420"/>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电话_________________________     电子函件________________________</w:t>
      </w:r>
      <w:r/>
    </w:p>
    <w:p>
      <w:pPr>
        <w:ind w:left="420"/>
        <w:spacing w:line="360" w:lineRule="auto"/>
        <w:tabs>
          <w:tab w:val="left" w:pos="5580" w:leader="none"/>
        </w:tabs>
        <w:rPr>
          <w:rFonts w:ascii="宋体" w:hAnsi="宋体" w:cs="宋体"/>
          <w:color w:val="000000"/>
          <w:szCs w:val="21"/>
        </w:rPr>
      </w:pPr>
      <w:r>
        <w:rPr>
          <w:rFonts w:ascii="宋体" w:hAnsi="宋体" w:cs="宋体"/>
          <w:color w:val="000000"/>
          <w:szCs w:val="21"/>
        </w:rPr>
      </w:r>
      <w:r/>
    </w:p>
    <w:p>
      <w:pPr>
        <w:ind w:left="420"/>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供应商名称（加盖公章） ___________</w:t>
      </w:r>
      <w:r/>
    </w:p>
    <w:p>
      <w:pPr>
        <w:ind w:left="420"/>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日期：_____年______月______日    </w:t>
      </w:r>
      <w:r/>
    </w:p>
    <w:p>
      <w:pPr>
        <w:ind w:left="420"/>
        <w:spacing w:line="360" w:lineRule="auto"/>
        <w:tabs>
          <w:tab w:val="left" w:pos="5580" w:leader="none"/>
        </w:tabs>
        <w:rPr>
          <w:rFonts w:ascii="宋体" w:hAnsi="宋体" w:cs="宋体"/>
          <w:color w:val="000000"/>
          <w:szCs w:val="21"/>
          <w:u w:val="single"/>
        </w:rPr>
      </w:pPr>
      <w:r>
        <w:rPr>
          <w:rFonts w:ascii="宋体" w:hAnsi="宋体" w:cs="宋体"/>
          <w:color w:val="000000"/>
          <w:szCs w:val="21"/>
          <w:u w:val="single"/>
        </w:rPr>
      </w:r>
      <w:r/>
    </w:p>
    <w:p>
      <w:pPr>
        <w:jc w:val="left"/>
        <w:widowControl/>
        <w:rPr>
          <w:rFonts w:ascii="宋体" w:hAnsi="宋体" w:cs="宋体"/>
          <w:b/>
          <w:bCs/>
          <w:szCs w:val="21"/>
        </w:rPr>
      </w:pPr>
      <w:r/>
      <w:bookmarkStart w:id="698" w:name="_Hlt520355938"/>
      <w:r/>
      <w:bookmarkEnd w:id="698"/>
      <w:r/>
      <w:bookmarkStart w:id="699" w:name="_Hlt520356243"/>
      <w:r/>
      <w:bookmarkEnd w:id="699"/>
      <w:r>
        <w:rPr>
          <w:rFonts w:hint="eastAsia" w:ascii="宋体" w:hAnsi="宋体" w:cs="宋体"/>
          <w:color w:val="000000"/>
          <w:szCs w:val="21"/>
        </w:rPr>
        <w:br w:type="page" w:clear="all"/>
      </w:r>
      <w:r>
        <w:rPr>
          <w:rFonts w:hint="eastAsia" w:ascii="宋体" w:hAnsi="宋体" w:cs="宋体"/>
          <w:b/>
          <w:bCs/>
          <w:szCs w:val="21"/>
        </w:rPr>
        <w:t xml:space="preserve">4、法定代表人资格证明书（实质性格式）</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color w:val="000000"/>
          <w:szCs w:val="21"/>
        </w:rPr>
      </w:pPr>
      <w:r>
        <w:rPr>
          <w:rFonts w:hint="eastAsia" w:ascii="宋体" w:hAnsi="宋体" w:cs="宋体"/>
          <w:b/>
          <w:color w:val="000000"/>
          <w:szCs w:val="21"/>
        </w:rPr>
        <w:t xml:space="preserve">法定代表人资格证明书</w:t>
      </w:r>
      <w:r/>
    </w:p>
    <w:p>
      <w:pPr>
        <w:spacing w:line="560" w:lineRule="exact"/>
        <w:rPr>
          <w:rFonts w:ascii="宋体" w:hAnsi="宋体" w:cs="宋体"/>
          <w:szCs w:val="21"/>
        </w:rPr>
      </w:pPr>
      <w:r>
        <w:rPr>
          <w:rFonts w:hint="eastAsia" w:ascii="宋体" w:hAnsi="宋体" w:cs="宋体"/>
          <w:szCs w:val="21"/>
        </w:rPr>
        <w:t xml:space="preserve">单位名称：</w:t>
      </w:r>
      <w:r/>
    </w:p>
    <w:p>
      <w:pPr>
        <w:spacing w:line="560" w:lineRule="exact"/>
        <w:rPr>
          <w:rFonts w:ascii="宋体" w:hAnsi="宋体" w:cs="宋体"/>
          <w:szCs w:val="21"/>
        </w:rPr>
      </w:pPr>
      <w:r>
        <w:rPr>
          <w:rFonts w:hint="eastAsia" w:ascii="宋体" w:hAnsi="宋体" w:cs="宋体"/>
          <w:szCs w:val="21"/>
        </w:rPr>
        <w:t xml:space="preserve">地址：</w:t>
      </w:r>
      <w:r/>
    </w:p>
    <w:p>
      <w:pPr>
        <w:spacing w:line="560" w:lineRule="exact"/>
        <w:rPr>
          <w:rFonts w:ascii="宋体" w:hAnsi="宋体" w:cs="宋体"/>
          <w:szCs w:val="21"/>
        </w:rPr>
      </w:pPr>
      <w:r>
        <w:rPr>
          <w:rFonts w:hint="eastAsia" w:ascii="宋体" w:hAnsi="宋体" w:cs="宋体"/>
          <w:szCs w:val="21"/>
        </w:rPr>
        <w:t xml:space="preserve">姓名：     性别：       年龄：      职务：</w:t>
      </w:r>
      <w:r/>
    </w:p>
    <w:p>
      <w:pPr>
        <w:spacing w:line="560" w:lineRule="exact"/>
        <w:rPr>
          <w:rFonts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（供应商名称）</w:t>
      </w:r>
      <w:r>
        <w:rPr>
          <w:rFonts w:hint="eastAsia" w:ascii="宋体" w:hAnsi="宋体" w:cs="宋体"/>
          <w:szCs w:val="21"/>
        </w:rPr>
        <w:t xml:space="preserve">的法定代表人。为参与</w:t>
      </w:r>
      <w:r>
        <w:rPr>
          <w:rFonts w:hint="eastAsia" w:ascii="宋体" w:hAnsi="宋体" w:cs="宋体"/>
          <w:szCs w:val="21"/>
          <w:u w:val="single"/>
        </w:rPr>
        <w:t xml:space="preserve">（项目名称）</w:t>
      </w:r>
      <w:r>
        <w:rPr>
          <w:rFonts w:hint="eastAsia" w:ascii="宋体" w:hAnsi="宋体" w:cs="宋体"/>
          <w:szCs w:val="21"/>
        </w:rPr>
        <w:t xml:space="preserve">的政府采购活动，</w:t>
      </w:r>
      <w:r>
        <w:rPr>
          <w:rFonts w:hint="eastAsia" w:ascii="宋体" w:hAnsi="宋体" w:cs="宋体"/>
          <w:color w:val="000000"/>
          <w:szCs w:val="21"/>
        </w:rPr>
        <w:t xml:space="preserve">签署、澄清确认、递交、撤回、修改</w:t>
      </w:r>
      <w:r>
        <w:rPr>
          <w:rFonts w:hint="eastAsia" w:ascii="宋体" w:hAnsi="宋体" w:cs="宋体"/>
          <w:szCs w:val="21"/>
        </w:rPr>
        <w:t xml:space="preserve">上述项目的响应文件、进行合同磋商、签署合同和处理与之有关的一切事务。</w:t>
      </w:r>
      <w:r/>
    </w:p>
    <w:p>
      <w:pPr>
        <w:spacing w:line="560" w:lineRule="exact"/>
        <w:rPr>
          <w:rFonts w:ascii="宋体" w:hAnsi="宋体" w:cs="宋体"/>
          <w:szCs w:val="21"/>
        </w:rPr>
      </w:pPr>
      <w:r>
        <w:rPr>
          <w:rFonts w:hint="eastAsia" w:ascii="宋体" w:hAnsi="宋体" w:cs="宋体"/>
          <w:szCs w:val="21"/>
        </w:rPr>
        <w:t xml:space="preserve">特此证明。</w:t>
      </w:r>
      <w:r/>
    </w:p>
    <w:p>
      <w:pPr>
        <w:spacing w:line="560" w:lineRule="exact"/>
        <w:rPr>
          <w:rFonts w:ascii="宋体" w:hAnsi="宋体" w:cs="宋体"/>
          <w:szCs w:val="21"/>
        </w:rPr>
      </w:pPr>
      <w:r>
        <w:rPr>
          <w:rFonts w:ascii="宋体" w:hAnsi="宋体" w:cs="宋体"/>
          <w:szCs w:val="21"/>
        </w:rPr>
      </w:r>
      <w:r/>
    </w:p>
    <w:p>
      <w:pPr>
        <w:pStyle w:val="933"/>
        <w:ind w:right="-46"/>
        <w:spacing w:line="583" w:lineRule="auto"/>
        <w:rPr>
          <w:rFonts w:cs="宋体"/>
          <w:spacing w:val="-3"/>
          <w:sz w:val="21"/>
          <w:szCs w:val="21"/>
        </w:rPr>
      </w:pPr>
      <w:r>
        <w:rPr>
          <w:rFonts w:hint="eastAsia" w:cs="宋体"/>
          <w:sz w:val="21"/>
          <w:szCs w:val="21"/>
        </w:rPr>
        <w:t xml:space="preserve">附：</w:t>
      </w:r>
      <w:r>
        <w:rPr>
          <w:rFonts w:hint="eastAsia" w:cs="宋体"/>
          <w:spacing w:val="-3"/>
          <w:sz w:val="21"/>
          <w:szCs w:val="21"/>
        </w:rPr>
        <w:t xml:space="preserve">法</w:t>
      </w:r>
      <w:r>
        <w:rPr>
          <w:rFonts w:hint="eastAsia" w:cs="宋体"/>
          <w:sz w:val="21"/>
          <w:szCs w:val="21"/>
        </w:rPr>
        <w:t xml:space="preserve">定</w:t>
      </w:r>
      <w:r>
        <w:rPr>
          <w:rFonts w:hint="eastAsia" w:cs="宋体"/>
          <w:spacing w:val="-3"/>
          <w:sz w:val="21"/>
          <w:szCs w:val="21"/>
        </w:rPr>
        <w:t xml:space="preserve">代</w:t>
      </w:r>
      <w:r>
        <w:rPr>
          <w:rFonts w:hint="eastAsia" w:cs="宋体"/>
          <w:sz w:val="21"/>
          <w:szCs w:val="21"/>
        </w:rPr>
        <w:t xml:space="preserve">表</w:t>
      </w:r>
      <w:r>
        <w:rPr>
          <w:rFonts w:hint="eastAsia" w:cs="宋体"/>
          <w:spacing w:val="-3"/>
          <w:sz w:val="21"/>
          <w:szCs w:val="21"/>
        </w:rPr>
        <w:t xml:space="preserve">人</w:t>
      </w:r>
      <w:r>
        <w:rPr>
          <w:rFonts w:hint="eastAsia" w:cs="宋体"/>
          <w:sz w:val="21"/>
          <w:szCs w:val="21"/>
        </w:rPr>
        <w:t xml:space="preserve">（</w:t>
      </w:r>
      <w:r>
        <w:rPr>
          <w:rFonts w:hint="eastAsia" w:cs="宋体"/>
          <w:spacing w:val="-3"/>
          <w:sz w:val="21"/>
          <w:szCs w:val="21"/>
        </w:rPr>
        <w:t xml:space="preserve">单</w:t>
      </w:r>
      <w:r>
        <w:rPr>
          <w:rFonts w:hint="eastAsia" w:cs="宋体"/>
          <w:sz w:val="21"/>
          <w:szCs w:val="21"/>
        </w:rPr>
        <w:t xml:space="preserve">位</w:t>
      </w:r>
      <w:r>
        <w:rPr>
          <w:rFonts w:hint="eastAsia" w:cs="宋体"/>
          <w:spacing w:val="-3"/>
          <w:sz w:val="21"/>
          <w:szCs w:val="21"/>
        </w:rPr>
        <w:t xml:space="preserve">负</w:t>
      </w:r>
      <w:r>
        <w:rPr>
          <w:rFonts w:hint="eastAsia" w:cs="宋体"/>
          <w:sz w:val="21"/>
          <w:szCs w:val="21"/>
        </w:rPr>
        <w:t xml:space="preserve">责人</w:t>
      </w:r>
      <w:r>
        <w:rPr>
          <w:rFonts w:hint="eastAsia" w:cs="宋体"/>
          <w:spacing w:val="-3"/>
          <w:sz w:val="21"/>
          <w:szCs w:val="21"/>
        </w:rPr>
        <w:t xml:space="preserve">）有效期内的身份证正反面电子件。</w:t>
      </w:r>
      <w:r/>
    </w:p>
    <w:tbl>
      <w:tblPr>
        <w:tblStyle w:val="931"/>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7"/>
        <w:gridCol w:w="4607"/>
      </w:tblGrid>
      <w:tr>
        <w:trPr>
          <w:jc w:val="center"/>
          <w:trHeight w:val="1400"/>
        </w:trPr>
        <w:tc>
          <w:tcPr>
            <w:tcW w:w="4673" w:type="dxa"/>
            <w:textDirection w:val="lrTb"/>
            <w:noWrap w:val="false"/>
          </w:tcPr>
          <w:p>
            <w:pPr>
              <w:jc w:val="left"/>
              <w:spacing w:line="360" w:lineRule="auto"/>
              <w:tabs>
                <w:tab w:val="left" w:pos="558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558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5580" w:leader="none"/>
              </w:tabs>
              <w:rPr>
                <w:rFonts w:ascii="宋体" w:hAnsi="宋体" w:cs="宋体"/>
                <w:color w:val="000000"/>
                <w:szCs w:val="21"/>
              </w:rPr>
            </w:pPr>
            <w:r>
              <w:rPr>
                <w:rFonts w:ascii="宋体" w:hAnsi="宋体" w:cs="宋体"/>
                <w:color w:val="000000"/>
                <w:szCs w:val="21"/>
              </w:rPr>
            </w:r>
            <w:r/>
          </w:p>
        </w:tc>
        <w:tc>
          <w:tcPr>
            <w:tcW w:w="4536" w:type="dxa"/>
            <w:textDirection w:val="lrTb"/>
            <w:noWrap w:val="false"/>
          </w:tcPr>
          <w:p>
            <w:pPr>
              <w:jc w:val="left"/>
              <w:spacing w:line="360" w:lineRule="auto"/>
              <w:tabs>
                <w:tab w:val="left" w:pos="558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558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5580" w:leader="none"/>
              </w:tabs>
              <w:rPr>
                <w:rFonts w:ascii="宋体" w:hAnsi="宋体" w:cs="宋体"/>
                <w:color w:val="000000"/>
                <w:szCs w:val="21"/>
              </w:rPr>
            </w:pPr>
            <w:r>
              <w:rPr>
                <w:rFonts w:ascii="宋体" w:hAnsi="宋体" w:cs="宋体"/>
                <w:color w:val="000000"/>
                <w:szCs w:val="21"/>
              </w:rPr>
            </w:r>
            <w:r/>
          </w:p>
        </w:tc>
      </w:tr>
    </w:tbl>
    <w:p>
      <w:pPr>
        <w:spacing w:line="560" w:lineRule="exact"/>
        <w:rPr>
          <w:rFonts w:ascii="宋体" w:hAnsi="宋体" w:cs="宋体"/>
          <w:szCs w:val="21"/>
        </w:rPr>
      </w:pPr>
      <w:r>
        <w:rPr>
          <w:rFonts w:hint="eastAsia" w:ascii="宋体" w:hAnsi="宋体" w:cs="宋体"/>
          <w:szCs w:val="21"/>
        </w:rPr>
        <w:t xml:space="preserve">                     供应商：（加盖公章）</w:t>
      </w:r>
      <w:r/>
    </w:p>
    <w:p>
      <w:pPr>
        <w:spacing w:line="560" w:lineRule="exact"/>
        <w:rPr>
          <w:rFonts w:ascii="宋体" w:hAnsi="宋体" w:cs="宋体"/>
          <w:szCs w:val="21"/>
        </w:rPr>
      </w:pPr>
      <w:r>
        <w:rPr>
          <w:rFonts w:hint="eastAsia" w:ascii="宋体" w:hAnsi="宋体" w:cs="宋体"/>
          <w:szCs w:val="21"/>
        </w:rPr>
        <w:t xml:space="preserve">                       法定代表人</w:t>
      </w:r>
      <w:r>
        <w:rPr>
          <w:rFonts w:hint="eastAsia" w:ascii="宋体" w:hAnsi="宋体" w:cs="宋体"/>
          <w:color w:val="000000"/>
          <w:szCs w:val="21"/>
        </w:rPr>
        <w:t xml:space="preserve">签字、签章或印鉴</w:t>
      </w:r>
      <w:r>
        <w:rPr>
          <w:rFonts w:hint="eastAsia" w:ascii="宋体" w:hAnsi="宋体" w:cs="宋体"/>
          <w:szCs w:val="21"/>
        </w:rPr>
        <w:t xml:space="preserve">：</w:t>
      </w:r>
      <w:r/>
    </w:p>
    <w:p>
      <w:pPr>
        <w:ind w:firstLine="3780"/>
        <w:spacing w:line="560" w:lineRule="exact"/>
        <w:rPr>
          <w:rFonts w:ascii="宋体" w:hAnsi="宋体" w:cs="宋体"/>
          <w:szCs w:val="21"/>
        </w:rPr>
      </w:pPr>
      <w:r>
        <w:rPr>
          <w:rFonts w:hint="eastAsia" w:ascii="宋体" w:hAnsi="宋体" w:cs="宋体"/>
          <w:szCs w:val="21"/>
        </w:rPr>
        <w:t xml:space="preserve">日期：    年    月    日</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ascii="宋体" w:hAnsi="宋体" w:cs="宋体"/>
          <w:color w:val="000000"/>
          <w:szCs w:val="21"/>
        </w:rPr>
      </w:r>
      <w:r/>
    </w:p>
    <w:p>
      <w:pPr>
        <w:jc w:val="left"/>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说明：</w:t>
      </w:r>
      <w:r/>
    </w:p>
    <w:p>
      <w:pPr>
        <w:jc w:val="left"/>
        <w:spacing w:line="360" w:lineRule="auto"/>
        <w:tabs>
          <w:tab w:val="left" w:pos="5580" w:leader="none"/>
        </w:tabs>
        <w:rPr>
          <w:rFonts w:ascii="宋体" w:hAnsi="宋体" w:cs="宋体"/>
          <w:color w:val="000000"/>
          <w:szCs w:val="21"/>
        </w:rPr>
      </w:pPr>
      <w:r>
        <w:rPr>
          <w:rFonts w:hint="eastAsia" w:ascii="宋体" w:hAnsi="宋体" w:cs="宋体"/>
          <w:color w:val="000000"/>
          <w:szCs w:val="21"/>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ascii="宋体" w:hAnsi="宋体" w:cs="宋体"/>
          <w:i/>
          <w:color w:val="000000"/>
          <w:szCs w:val="21"/>
          <w:u w:val="single"/>
        </w:rPr>
      </w:pPr>
      <w:r>
        <w:rPr>
          <w:rFonts w:hint="eastAsia" w:ascii="宋体" w:hAnsi="宋体" w:cs="宋体"/>
          <w:color w:val="000000"/>
          <w:szCs w:val="21"/>
        </w:rPr>
        <w:t xml:space="preserve">2.供应商为自然人的情形，可不提供本《授权委托书》。</w:t>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pPr>
      <w:r>
        <w:rPr>
          <w:rFonts w:ascii="宋体" w:hAnsi="宋体" w:cs="宋体"/>
          <w:color w:val="000000"/>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hint="eastAsia" w:ascii="宋体" w:hAnsi="宋体" w:cs="宋体"/>
          <w:b/>
          <w:bCs/>
          <w:szCs w:val="21"/>
        </w:rPr>
        <w:t xml:space="preserve">5、政府采购供应商信用承诺书（实质性格式）</w:t>
      </w:r>
      <w:r/>
    </w:p>
    <w:p>
      <w:pPr>
        <w:ind w:firstLine="211"/>
        <w:jc w:val="center"/>
        <w:spacing w:line="560" w:lineRule="exact"/>
        <w:rPr>
          <w:rFonts w:ascii="宋体" w:hAnsi="宋体" w:cs="宋体"/>
          <w:b/>
          <w:szCs w:val="21"/>
        </w:rPr>
      </w:pPr>
      <w:r>
        <w:rPr>
          <w:rFonts w:ascii="宋体" w:hAnsi="宋体" w:cs="宋体"/>
          <w:b/>
          <w:szCs w:val="21"/>
        </w:rPr>
      </w:r>
      <w:r/>
    </w:p>
    <w:p>
      <w:pPr>
        <w:ind w:firstLine="211"/>
        <w:jc w:val="center"/>
        <w:spacing w:line="360" w:lineRule="auto"/>
        <w:rPr>
          <w:rFonts w:ascii="宋体" w:hAnsi="宋体" w:cs="宋体"/>
          <w:b/>
          <w:szCs w:val="21"/>
        </w:rPr>
      </w:pPr>
      <w:r>
        <w:rPr>
          <w:rFonts w:hint="eastAsia" w:ascii="宋体" w:hAnsi="宋体" w:cs="宋体"/>
          <w:b/>
          <w:szCs w:val="21"/>
        </w:rPr>
        <w:t xml:space="preserve">政府采购供应商信用承诺书</w:t>
      </w:r>
      <w:r/>
    </w:p>
    <w:p>
      <w:pPr>
        <w:ind w:firstLine="64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p>
    <w:p>
      <w:pPr>
        <w:ind w:firstLine="480"/>
        <w:spacing w:line="360" w:lineRule="auto"/>
        <w:rPr>
          <w:rFonts w:ascii="宋体" w:hAnsi="宋体" w:cs="宋体"/>
          <w:szCs w:val="21"/>
        </w:rPr>
      </w:pPr>
      <w:r>
        <w:rPr>
          <w:rFonts w:hint="eastAsia" w:ascii="宋体" w:hAnsi="宋体" w:cs="宋体"/>
          <w:szCs w:val="21"/>
        </w:rPr>
        <w:t xml:space="preserve">一、严格遵守国家法律、法规和规章，全面履行应尽的责任和义务，全面做到履约守信，具备《政府采购法》第二十二条第一款规定的条件。</w:t>
      </w:r>
      <w:r/>
    </w:p>
    <w:p>
      <w:pPr>
        <w:ind w:firstLine="480"/>
        <w:spacing w:line="360" w:lineRule="auto"/>
        <w:rPr>
          <w:rFonts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cs="宋体"/>
          <w:szCs w:val="21"/>
        </w:rPr>
      </w:pPr>
      <w:r>
        <w:rPr>
          <w:rFonts w:hint="eastAsia" w:ascii="宋体" w:hAnsi="宋体" w:cs="宋体"/>
          <w:szCs w:val="21"/>
        </w:rPr>
        <w:t xml:space="preserve">五、承诺本单位自觉接受行政管理部门、行业组织、社会公众、新闻舆论的监督。 </w:t>
      </w:r>
      <w:r/>
    </w:p>
    <w:p>
      <w:pPr>
        <w:ind w:firstLine="480"/>
        <w:spacing w:line="360" w:lineRule="auto"/>
        <w:rPr>
          <w:rFonts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ascii="宋体" w:hAnsi="宋体" w:cs="宋体"/>
          <w:szCs w:val="21"/>
        </w:rPr>
      </w:pPr>
      <w:r>
        <w:rPr>
          <w:rFonts w:hint="eastAsia" w:ascii="宋体" w:hAnsi="宋体" w:cs="宋体"/>
          <w:szCs w:val="21"/>
        </w:rPr>
        <w:t xml:space="preserve">七、承诺本单位在信用中国（江苏）网站中无违法违规、较重或严重失信记录。 </w:t>
      </w:r>
      <w:r/>
    </w:p>
    <w:p>
      <w:pPr>
        <w:ind w:firstLine="480"/>
        <w:spacing w:line="360" w:lineRule="auto"/>
        <w:rPr>
          <w:rFonts w:ascii="宋体" w:hAnsi="宋体" w:cs="宋体"/>
          <w:szCs w:val="21"/>
        </w:rPr>
      </w:pPr>
      <w:r>
        <w:rPr>
          <w:rFonts w:hint="eastAsia" w:ascii="宋体" w:hAnsi="宋体" w:cs="宋体"/>
          <w:szCs w:val="21"/>
        </w:rPr>
        <w:t xml:space="preserve">八、承诺本单位提出政府采购质疑和投诉坚持依法依规、诚实信用原则。</w:t>
      </w:r>
      <w:r/>
    </w:p>
    <w:p>
      <w:pPr>
        <w:ind w:firstLine="480"/>
        <w:spacing w:line="360" w:lineRule="auto"/>
        <w:rPr>
          <w:rFonts w:ascii="宋体" w:hAnsi="宋体" w:cs="宋体"/>
          <w:szCs w:val="21"/>
        </w:rPr>
      </w:pPr>
      <w:r>
        <w:rPr>
          <w:rFonts w:hint="eastAsia" w:ascii="宋体" w:hAnsi="宋体" w:cs="宋体"/>
          <w:szCs w:val="21"/>
        </w:rPr>
        <w:t xml:space="preserve">九、根据政府采购相关法律法规的规定需要作出的其他承诺。 </w:t>
      </w:r>
      <w:r/>
    </w:p>
    <w:p>
      <w:pPr>
        <w:ind w:firstLine="480"/>
        <w:spacing w:line="360" w:lineRule="auto"/>
        <w:rPr>
          <w:rFonts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p>
    <w:p>
      <w:pPr>
        <w:pStyle w:val="1062"/>
        <w:ind w:right="1050" w:firstLine="2520"/>
        <w:jc w:val="both"/>
        <w:spacing w:line="360" w:lineRule="auto"/>
        <w:rPr>
          <w:rFonts w:ascii="宋体" w:hAnsi="宋体" w:eastAsia="宋体" w:cs="宋体"/>
          <w:sz w:val="21"/>
          <w:szCs w:val="21"/>
        </w:rPr>
      </w:pPr>
      <w:r>
        <w:rPr>
          <w:rFonts w:ascii="宋体" w:hAnsi="宋体" w:eastAsia="宋体" w:cs="宋体"/>
          <w:sz w:val="21"/>
          <w:szCs w:val="21"/>
        </w:rPr>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spacing w:line="360" w:lineRule="auto"/>
        <w:rPr>
          <w:rFonts w:ascii="宋体" w:hAnsi="宋体" w:cs="宋体"/>
          <w:color w:val="000000"/>
          <w:szCs w:val="21"/>
        </w:rPr>
      </w:pPr>
      <w:r>
        <w:rPr>
          <w:rFonts w:hint="eastAsia" w:ascii="宋体" w:hAnsi="宋体" w:cs="宋体"/>
          <w:color w:val="000000"/>
          <w:szCs w:val="21"/>
        </w:rPr>
        <w:br w:type="page" w:clear="all"/>
      </w:r>
      <w:r>
        <w:rPr>
          <w:rFonts w:hint="eastAsia" w:ascii="宋体" w:hAnsi="宋体" w:cs="宋体"/>
          <w:b/>
          <w:bCs/>
          <w:szCs w:val="21"/>
        </w:rPr>
        <w:t xml:space="preserve">6、报价一览表</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r/>
    </w:p>
    <w:p>
      <w:pPr>
        <w:jc w:val="center"/>
        <w:rPr>
          <w:rFonts w:ascii="宋体" w:hAnsi="宋体" w:cs="宋体"/>
          <w:b/>
          <w:color w:val="000000"/>
          <w:szCs w:val="21"/>
        </w:rPr>
      </w:pPr>
      <w:r/>
      <w:bookmarkStart w:id="700" w:name="_Toc226337254"/>
      <w:r/>
      <w:bookmarkStart w:id="701" w:name="_Toc265228396"/>
      <w:r/>
      <w:bookmarkStart w:id="702" w:name="_Toc226965748"/>
      <w:r/>
      <w:bookmarkStart w:id="703" w:name="_Toc226965831"/>
      <w:r/>
      <w:bookmarkStart w:id="704" w:name="_Toc305158826"/>
      <w:r/>
      <w:bookmarkStart w:id="705" w:name="_Toc164608827"/>
      <w:r/>
      <w:bookmarkStart w:id="706" w:name="_Toc305158900"/>
      <w:r/>
      <w:bookmarkStart w:id="707" w:name="_Toc195842923"/>
      <w:r/>
      <w:bookmarkStart w:id="708" w:name="_Toc164608672"/>
      <w:r/>
      <w:bookmarkStart w:id="709" w:name="_Toc264969248"/>
      <w:r/>
      <w:bookmarkStart w:id="710" w:name="_Toc226309802"/>
      <w:r>
        <w:rPr>
          <w:rFonts w:hint="eastAsia" w:ascii="宋体" w:hAnsi="宋体" w:cs="宋体"/>
          <w:b/>
          <w:color w:val="000000"/>
          <w:szCs w:val="21"/>
        </w:rPr>
        <w:t xml:space="preserve">报价一览表</w:t>
      </w:r>
      <w:bookmarkEnd w:id="700"/>
      <w:r/>
      <w:bookmarkEnd w:id="701"/>
      <w:r/>
      <w:bookmarkEnd w:id="702"/>
      <w:r/>
      <w:bookmarkEnd w:id="703"/>
      <w:r/>
      <w:bookmarkEnd w:id="704"/>
      <w:r/>
      <w:bookmarkEnd w:id="705"/>
      <w:r/>
      <w:bookmarkEnd w:id="706"/>
      <w:r/>
      <w:bookmarkEnd w:id="707"/>
      <w:r/>
      <w:bookmarkEnd w:id="708"/>
      <w:r/>
      <w:bookmarkEnd w:id="709"/>
      <w:r/>
      <w:bookmarkEnd w:id="710"/>
      <w:r/>
      <w:r/>
    </w:p>
    <w:p>
      <w:pPr>
        <w:jc w:val="left"/>
        <w:spacing w:line="360" w:lineRule="auto"/>
        <w:tabs>
          <w:tab w:val="left" w:pos="1800" w:leader="none"/>
          <w:tab w:val="left" w:pos="5580" w:leader="none"/>
        </w:tabs>
        <w:rPr>
          <w:rFonts w:ascii="宋体" w:hAnsi="宋体" w:cs="宋体"/>
          <w:i/>
          <w:color w:val="ff0000"/>
          <w:szCs w:val="21"/>
        </w:rPr>
      </w:pPr>
      <w:r>
        <w:rPr>
          <w:rFonts w:ascii="宋体" w:hAnsi="宋体" w:cs="宋体"/>
          <w:i/>
          <w:color w:val="ff0000"/>
          <w:szCs w:val="21"/>
        </w:rPr>
      </w:r>
      <w:r/>
    </w:p>
    <w:p>
      <w:pPr>
        <w:jc w:val="left"/>
        <w:spacing w:line="360" w:lineRule="auto"/>
        <w:tabs>
          <w:tab w:val="left" w:pos="1800" w:leader="none"/>
          <w:tab w:val="left" w:pos="5580" w:leader="none"/>
        </w:tabs>
        <w:rPr>
          <w:rFonts w:ascii="宋体" w:hAnsi="宋体" w:cs="宋体"/>
          <w:color w:val="000000"/>
          <w:szCs w:val="21"/>
          <w:u w:val="single"/>
        </w:rPr>
      </w:pPr>
      <w:r>
        <w:rPr>
          <w:rFonts w:hint="eastAsia" w:ascii="宋体" w:hAnsi="宋体" w:cs="宋体"/>
          <w:color w:val="000000"/>
          <w:szCs w:val="21"/>
        </w:rPr>
        <w:t xml:space="preserve">项目编号/包号：_____________________     项目名称：_______________________</w:t>
      </w:r>
      <w:r/>
    </w:p>
    <w:tbl>
      <w:tblPr>
        <w:tblStyle w:val="93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8"/>
        <w:gridCol w:w="3668"/>
        <w:gridCol w:w="2318"/>
        <w:gridCol w:w="2440"/>
      </w:tblGrid>
      <w:tr>
        <w:trPr>
          <w:jc w:val="center"/>
          <w:trHeight w:val="531"/>
        </w:trPr>
        <w:tc>
          <w:tcPr>
            <w:tcBorders>
              <w:top w:val="single" w:color="auto" w:sz="4" w:space="0"/>
              <w:left w:val="single" w:color="auto" w:sz="4" w:space="0"/>
              <w:bottom w:val="single" w:color="auto" w:sz="4" w:space="0"/>
              <w:right w:val="single" w:color="auto" w:sz="4" w:space="0"/>
            </w:tcBorders>
            <w:tcW w:w="928" w:type="dxa"/>
            <w:vAlign w:val="center"/>
            <w:vMerge w:val="restart"/>
            <w:textDirection w:val="lrTb"/>
            <w:noWrap w:val="false"/>
          </w:tcPr>
          <w:p>
            <w:pPr>
              <w:jc w:val="center"/>
              <w:tabs>
                <w:tab w:val="left" w:pos="5580" w:leader="none"/>
              </w:tabs>
              <w:rPr>
                <w:rFonts w:ascii="宋体" w:hAnsi="宋体" w:cs="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3668" w:type="dxa"/>
            <w:vAlign w:val="center"/>
            <w:vMerge w:val="restart"/>
            <w:textDirection w:val="lrTb"/>
            <w:noWrap w:val="false"/>
          </w:tcPr>
          <w:p>
            <w:pPr>
              <w:jc w:val="center"/>
              <w:tabs>
                <w:tab w:val="left" w:pos="5580" w:leader="none"/>
              </w:tabs>
              <w:rPr>
                <w:rFonts w:ascii="宋体" w:hAnsi="宋体" w:cs="宋体"/>
                <w:b/>
                <w:szCs w:val="21"/>
              </w:rPr>
            </w:pPr>
            <w:r>
              <w:rPr>
                <w:rFonts w:hint="eastAsia" w:ascii="宋体" w:hAnsi="宋体" w:cs="宋体"/>
                <w:b/>
                <w:szCs w:val="21"/>
              </w:rPr>
              <w:t xml:space="preserve">供应商名称</w:t>
            </w:r>
            <w:r/>
          </w:p>
        </w:tc>
        <w:tc>
          <w:tcPr>
            <w:gridSpan w:val="2"/>
            <w:tcBorders>
              <w:top w:val="single" w:color="auto" w:sz="4" w:space="0"/>
              <w:left w:val="single" w:color="auto" w:sz="4" w:space="0"/>
              <w:bottom w:val="single" w:color="auto" w:sz="4" w:space="0"/>
              <w:right w:val="single" w:color="auto" w:sz="4" w:space="0"/>
            </w:tcBorders>
            <w:tcW w:w="4758" w:type="dxa"/>
            <w:vAlign w:val="center"/>
            <w:textDirection w:val="lrTb"/>
            <w:noWrap w:val="false"/>
          </w:tcPr>
          <w:p>
            <w:pPr>
              <w:jc w:val="center"/>
              <w:tabs>
                <w:tab w:val="left" w:pos="5580" w:leader="none"/>
              </w:tabs>
              <w:rPr>
                <w:rFonts w:ascii="宋体" w:hAnsi="宋体" w:cs="宋体"/>
                <w:b/>
                <w:szCs w:val="21"/>
              </w:rPr>
            </w:pPr>
            <w:r>
              <w:rPr>
                <w:rFonts w:hint="eastAsia" w:ascii="宋体" w:hAnsi="宋体" w:cs="宋体"/>
                <w:b/>
                <w:szCs w:val="21"/>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928" w:type="dxa"/>
            <w:vAlign w:val="center"/>
            <w:vMerge w:val="continue"/>
            <w:textDirection w:val="lrTb"/>
            <w:noWrap w:val="false"/>
          </w:tcPr>
          <w:p>
            <w:pPr>
              <w:jc w:val="left"/>
              <w:widowControl/>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3668" w:type="dxa"/>
            <w:vAlign w:val="center"/>
            <w:vMerge w:val="continue"/>
            <w:textDirection w:val="lrTb"/>
            <w:noWrap w:val="false"/>
          </w:tcPr>
          <w:p>
            <w:pPr>
              <w:jc w:val="left"/>
              <w:widowControl/>
              <w:rPr>
                <w:rFonts w:ascii="宋体" w:hAnsi="宋体" w:cs="宋体"/>
                <w:b/>
                <w:szCs w:val="21"/>
              </w:rPr>
            </w:pPr>
            <w:r>
              <w:rPr>
                <w:rFonts w:ascii="宋体" w:hAnsi="宋体" w:cs="宋体"/>
                <w:b/>
                <w:szCs w:val="21"/>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jc w:val="center"/>
              <w:tabs>
                <w:tab w:val="left" w:pos="5580" w:leader="none"/>
              </w:tabs>
              <w:rPr>
                <w:rFonts w:ascii="宋体" w:hAnsi="宋体" w:cs="宋体"/>
                <w:b/>
                <w:szCs w:val="21"/>
              </w:rPr>
            </w:pPr>
            <w:r>
              <w:rPr>
                <w:rFonts w:hint="eastAsia" w:ascii="宋体" w:hAnsi="宋体" w:cs="宋体"/>
                <w:b/>
                <w:szCs w:val="21"/>
              </w:rPr>
              <w:t xml:space="preserve">大写</w:t>
            </w:r>
            <w:r/>
          </w:p>
        </w:tc>
        <w:tc>
          <w:tcPr>
            <w:tcBorders>
              <w:top w:val="single" w:color="auto" w:sz="4" w:space="0"/>
              <w:left w:val="single" w:color="auto" w:sz="4" w:space="0"/>
              <w:bottom w:val="single" w:color="auto" w:sz="4" w:space="0"/>
              <w:right w:val="single" w:color="auto" w:sz="4" w:space="0"/>
            </w:tcBorders>
            <w:tcW w:w="2440" w:type="dxa"/>
            <w:vAlign w:val="center"/>
            <w:textDirection w:val="lrTb"/>
            <w:noWrap w:val="false"/>
          </w:tcPr>
          <w:p>
            <w:pPr>
              <w:jc w:val="center"/>
              <w:tabs>
                <w:tab w:val="left" w:pos="5580" w:leader="none"/>
              </w:tabs>
              <w:rPr>
                <w:rFonts w:ascii="宋体" w:hAnsi="宋体" w:cs="宋体"/>
                <w:b/>
                <w:szCs w:val="21"/>
              </w:rPr>
            </w:pPr>
            <w:r>
              <w:rPr>
                <w:rFonts w:hint="eastAsia" w:ascii="宋体" w:hAnsi="宋体" w:cs="宋体"/>
                <w:b/>
                <w:szCs w:val="21"/>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tabs>
                <w:tab w:val="left" w:pos="5580"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668" w:type="dxa"/>
            <w:vAlign w:val="center"/>
            <w:textDirection w:val="lrTb"/>
            <w:noWrap w:val="false"/>
          </w:tcPr>
          <w:p>
            <w:pPr>
              <w:jc w:val="center"/>
              <w:tabs>
                <w:tab w:val="left" w:pos="5580"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jc w:val="center"/>
              <w:tabs>
                <w:tab w:val="left" w:pos="5580"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440" w:type="dxa"/>
            <w:vAlign w:val="center"/>
            <w:textDirection w:val="lrTb"/>
            <w:noWrap w:val="false"/>
          </w:tcPr>
          <w:p>
            <w:pPr>
              <w:jc w:val="center"/>
              <w:tabs>
                <w:tab w:val="left" w:pos="5580" w:leader="none"/>
              </w:tabs>
              <w:rPr>
                <w:rFonts w:ascii="宋体" w:hAnsi="宋体" w:cs="宋体"/>
                <w:szCs w:val="21"/>
              </w:rPr>
            </w:pPr>
            <w:r>
              <w:rPr>
                <w:rFonts w:ascii="宋体" w:hAnsi="宋体" w:cs="宋体"/>
                <w:szCs w:val="21"/>
              </w:rPr>
            </w:r>
            <w:r/>
          </w:p>
        </w:tc>
      </w:tr>
    </w:tbl>
    <w:p>
      <w:pPr>
        <w:jc w:val="left"/>
        <w:rPr>
          <w:rFonts w:ascii="宋体" w:hAnsi="宋体" w:cs="宋体"/>
          <w:color w:val="000000"/>
          <w:szCs w:val="21"/>
        </w:rPr>
      </w:pPr>
      <w:r>
        <w:rPr>
          <w:rFonts w:ascii="宋体" w:hAnsi="宋体" w:cs="宋体"/>
          <w:color w:val="000000"/>
          <w:szCs w:val="21"/>
        </w:rPr>
      </w:r>
      <w:r/>
    </w:p>
    <w:p>
      <w:pPr>
        <w:jc w:val="left"/>
        <w:rPr>
          <w:rFonts w:ascii="宋体" w:hAnsi="宋体" w:cs="宋体"/>
          <w:color w:val="000000"/>
          <w:szCs w:val="21"/>
        </w:rPr>
      </w:pPr>
      <w:r>
        <w:rPr>
          <w:rFonts w:hint="eastAsia" w:ascii="宋体" w:hAnsi="宋体" w:cs="宋体"/>
          <w:color w:val="000000"/>
          <w:szCs w:val="21"/>
        </w:rPr>
        <w:t xml:space="preserve">注：1</w:t>
      </w:r>
      <w:r>
        <w:rPr>
          <w:rFonts w:hint="eastAsia" w:ascii="宋体" w:hAnsi="宋体" w:cs="宋体"/>
          <w:color w:val="000000"/>
          <w:szCs w:val="21"/>
        </w:rPr>
        <w:t xml:space="preserve">.此表中，每包的报价应和《分项报价表》中的总价相一致。</w:t>
      </w:r>
      <w:r/>
    </w:p>
    <w:p>
      <w:pPr>
        <w:ind w:firstLine="420"/>
        <w:tabs>
          <w:tab w:val="left" w:pos="5580" w:leader="none"/>
        </w:tabs>
        <w:rPr>
          <w:rFonts w:ascii="宋体" w:hAnsi="宋体" w:cs="宋体"/>
          <w:color w:val="000000"/>
          <w:szCs w:val="21"/>
        </w:rPr>
      </w:pPr>
      <w:r>
        <w:rPr>
          <w:rFonts w:hint="eastAsia" w:ascii="宋体" w:hAnsi="宋体" w:cs="宋体"/>
          <w:color w:val="000000"/>
          <w:szCs w:val="21"/>
        </w:rPr>
        <w:t xml:space="preserve">2.本表必须按包分别填写。</w:t>
      </w:r>
      <w:r/>
    </w:p>
    <w:p>
      <w:pPr>
        <w:spacing w:before="25" w:after="25" w:line="360" w:lineRule="auto"/>
        <w:rPr>
          <w:rFonts w:ascii="宋体" w:hAnsi="宋体" w:cs="宋体"/>
          <w:color w:val="000000"/>
          <w:szCs w:val="21"/>
          <w:lang w:val="zh-CN"/>
        </w:rPr>
      </w:pPr>
      <w:r>
        <w:rPr>
          <w:rFonts w:ascii="宋体" w:hAnsi="宋体" w:cs="宋体"/>
          <w:color w:val="000000"/>
          <w:szCs w:val="21"/>
          <w:lang w:val="zh-CN"/>
        </w:rPr>
      </w:r>
      <w:r/>
    </w:p>
    <w:p>
      <w:pPr>
        <w:spacing w:before="25" w:after="25" w:line="360" w:lineRule="auto"/>
        <w:rPr>
          <w:rFonts w:ascii="宋体" w:hAnsi="宋体" w:cs="宋体"/>
          <w:color w:val="000000"/>
          <w:szCs w:val="21"/>
          <w:lang w:val="zh-CN"/>
        </w:rPr>
      </w:pPr>
      <w:r>
        <w:rPr>
          <w:rFonts w:hint="eastAsia" w:ascii="宋体" w:hAnsi="宋体" w:cs="宋体"/>
          <w:color w:val="000000"/>
          <w:szCs w:val="21"/>
          <w:lang w:val="zh-CN"/>
        </w:rPr>
        <w:t xml:space="preserve">                         </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spacing w:line="360" w:lineRule="auto"/>
        <w:rPr>
          <w:rFonts w:ascii="宋体" w:hAnsi="宋体" w:cs="宋体"/>
          <w:b/>
          <w:bCs/>
          <w:szCs w:val="21"/>
        </w:rPr>
      </w:pPr>
      <w:r/>
      <w:bookmarkStart w:id="711" w:name="_Toc195842924"/>
      <w:r/>
      <w:bookmarkStart w:id="712" w:name="_Toc305158827"/>
      <w:r/>
      <w:bookmarkStart w:id="713" w:name="_Toc226965749"/>
      <w:r/>
      <w:bookmarkStart w:id="714" w:name="_Toc150480796"/>
      <w:r/>
      <w:bookmarkStart w:id="715" w:name="_Toc226965832"/>
      <w:r/>
      <w:bookmarkStart w:id="716" w:name="_Toc226337255"/>
      <w:r/>
      <w:bookmarkStart w:id="717" w:name="_Toc226309803"/>
      <w:r/>
      <w:bookmarkStart w:id="718" w:name="_Toc264969249"/>
      <w:r/>
      <w:bookmarkStart w:id="719" w:name="_Toc265228397"/>
      <w:r/>
      <w:bookmarkStart w:id="720" w:name="_Toc127151558"/>
      <w:r/>
      <w:bookmarkStart w:id="721" w:name="_Toc150774763"/>
      <w:r/>
      <w:bookmarkStart w:id="722" w:name="_Toc305158901"/>
      <w:r/>
      <w:bookmarkStart w:id="723" w:name="_Toc142311060"/>
      <w:r>
        <w:rPr>
          <w:rFonts w:hint="eastAsia" w:ascii="宋体" w:hAnsi="宋体" w:cs="宋体"/>
          <w:b/>
          <w:bCs/>
          <w:szCs w:val="21"/>
        </w:rPr>
        <w:br w:type="page" w:clear="all"/>
      </w:r>
      <w:r>
        <w:rPr>
          <w:rFonts w:hint="eastAsia" w:ascii="宋体" w:hAnsi="宋体" w:cs="宋体"/>
          <w:b/>
          <w:bCs/>
          <w:szCs w:val="21"/>
        </w:rPr>
        <w:t xml:space="preserve">7、分项报价表</w:t>
      </w:r>
      <w:r/>
    </w:p>
    <w:p>
      <w:pPr>
        <w:jc w:val="center"/>
        <w:spacing w:line="360" w:lineRule="auto"/>
        <w:rPr>
          <w:rFonts w:ascii="宋体" w:hAnsi="宋体" w:cs="宋体"/>
          <w:b/>
          <w:bCs/>
          <w:szCs w:val="21"/>
        </w:rPr>
      </w:pPr>
      <w:r>
        <w:rPr>
          <w:rFonts w:hint="eastAsia" w:ascii="宋体" w:hAnsi="宋体" w:cs="宋体"/>
          <w:b/>
          <w:bCs/>
          <w:szCs w:val="21"/>
        </w:rPr>
        <w:t xml:space="preserve">分项报价表</w:t>
      </w:r>
      <w:r/>
    </w:p>
    <w:p>
      <w:pPr>
        <w:jc w:val="left"/>
        <w:rPr>
          <w:b/>
          <w:bCs/>
          <w:i/>
          <w:iCs/>
          <w:color w:val="ff0000"/>
          <w:sz w:val="24"/>
        </w:rPr>
      </w:pPr>
      <w:r>
        <w:rPr>
          <w:rFonts w:hint="eastAsia" w:ascii="宋体" w:hAnsi="宋体" w:cs="宋体"/>
          <w:b/>
          <w:bCs/>
          <w:i/>
          <w:iCs/>
          <w:color w:val="ff0000"/>
          <w:szCs w:val="21"/>
        </w:rPr>
        <w:t xml:space="preserve">（格式示例二</w:t>
      </w:r>
      <w:r>
        <w:rPr>
          <w:rFonts w:ascii="宋体" w:hAnsi="宋体" w:cs="宋体"/>
          <w:b/>
          <w:bCs/>
          <w:i/>
          <w:iCs/>
          <w:color w:val="ff0000"/>
          <w:szCs w:val="21"/>
        </w:rPr>
        <w:t xml:space="preserve">，适用于服务类项目</w:t>
      </w:r>
      <w:r>
        <w:rPr>
          <w:rFonts w:hint="eastAsia" w:ascii="宋体" w:hAnsi="宋体" w:cs="宋体"/>
          <w:b/>
          <w:bCs/>
          <w:i/>
          <w:iCs/>
          <w:color w:val="ff0000"/>
          <w:szCs w:val="21"/>
        </w:rPr>
        <w:t xml:space="preserve">，可以根据项目实际情况调整）</w:t>
      </w:r>
      <w:r/>
    </w:p>
    <w:p>
      <w:pPr>
        <w:tabs>
          <w:tab w:val="left" w:pos="1800" w:leader="none"/>
          <w:tab w:val="left" w:pos="558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项目编号/包号：___________ 项目名称：__________报价单位：人民币元</w:t>
      </w:r>
      <w:r/>
    </w:p>
    <w:tbl>
      <w:tblPr>
        <w:tblStyle w:val="93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39"/>
        <w:gridCol w:w="2739"/>
        <w:gridCol w:w="1127"/>
        <w:gridCol w:w="1073"/>
        <w:gridCol w:w="994"/>
        <w:gridCol w:w="1159"/>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center"/>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center"/>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center"/>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center"/>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center"/>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tc>
      </w:tr>
    </w:tbl>
    <w:p>
      <w:pPr>
        <w:jc w:val="left"/>
        <w:spacing w:line="360" w:lineRule="auto"/>
        <w:tabs>
          <w:tab w:val="left" w:pos="1800" w:leader="none"/>
          <w:tab w:val="left" w:pos="558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注：1.本表应按包分别填写。</w:t>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2.如果不提供分项报价将视为没有实质性响应磋商文件</w:t>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3.本表行数可以按照项目分项情况增加。</w:t>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4.上述各项的服务内容如表格中填写不下的，可以逐项另页描述。</w:t>
      </w:r>
      <w:r/>
    </w:p>
    <w:p>
      <w:pPr>
        <w:jc w:val="left"/>
        <w:spacing w:line="360" w:lineRule="auto"/>
        <w:tabs>
          <w:tab w:val="left" w:pos="1800" w:leader="none"/>
          <w:tab w:val="left" w:pos="5580" w:leader="none"/>
        </w:tabs>
        <w:rPr>
          <w:rFonts w:ascii="宋体" w:hAnsi="宋体" w:cs="宋体"/>
          <w:color w:val="000000"/>
          <w:szCs w:val="21"/>
          <w:lang w:val="zh-CN"/>
        </w:rPr>
      </w:pPr>
      <w:r>
        <w:rPr>
          <w:rFonts w:hint="eastAsia" w:ascii="宋体" w:hAnsi="宋体" w:cs="宋体"/>
          <w:color w:val="000000"/>
          <w:szCs w:val="21"/>
          <w:lang w:val="zh-CN"/>
        </w:rPr>
        <w:t xml:space="preserve">                  </w:t>
      </w:r>
      <w:r/>
    </w:p>
    <w:p>
      <w:pPr>
        <w:jc w:val="left"/>
        <w:spacing w:line="360" w:lineRule="auto"/>
        <w:tabs>
          <w:tab w:val="left" w:pos="1800" w:leader="none"/>
          <w:tab w:val="left" w:pos="5580" w:leader="none"/>
        </w:tabs>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jc w:val="left"/>
        <w:spacing w:line="360" w:lineRule="auto"/>
        <w:tabs>
          <w:tab w:val="left" w:pos="1800" w:leader="none"/>
          <w:tab w:val="left" w:pos="5580" w:leader="none"/>
        </w:tabs>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jc w:val="left"/>
        <w:spacing w:line="360" w:lineRule="auto"/>
        <w:widowControl/>
        <w:rPr>
          <w:rFonts w:ascii="宋体" w:hAnsi="宋体" w:cs="宋体"/>
          <w:b/>
          <w:bCs/>
          <w:szCs w:val="21"/>
        </w:rPr>
      </w:pPr>
      <w:r>
        <w:rPr>
          <w:rFonts w:hint="eastAsia" w:ascii="宋体" w:hAnsi="宋体" w:cs="宋体"/>
          <w:color w:val="000000"/>
          <w:szCs w:val="21"/>
        </w:rPr>
        <w:br w:type="page" w:clear="all"/>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Start w:id="724" w:name="_Toc195842927"/>
      <w:r/>
      <w:bookmarkStart w:id="725" w:name="_Toc150774765"/>
      <w:r/>
      <w:bookmarkStart w:id="726" w:name="_Toc127151562"/>
      <w:r/>
      <w:bookmarkStart w:id="727" w:name="_Toc305158830"/>
      <w:r/>
      <w:bookmarkStart w:id="728" w:name="_Toc226965752"/>
      <w:r/>
      <w:bookmarkStart w:id="729" w:name="_Toc226965835"/>
      <w:r/>
      <w:bookmarkStart w:id="730" w:name="_Toc226337258"/>
      <w:r/>
      <w:bookmarkStart w:id="731" w:name="_Toc142311062"/>
      <w:r/>
      <w:bookmarkStart w:id="732" w:name="_Toc264969252"/>
      <w:r/>
      <w:bookmarkStart w:id="733" w:name="_Toc265228400"/>
      <w:r/>
      <w:bookmarkStart w:id="734" w:name="_Toc305158904"/>
      <w:r/>
      <w:bookmarkStart w:id="735" w:name="_Toc150480798"/>
      <w:r/>
      <w:bookmarkStart w:id="736" w:name="_Toc226309806"/>
      <w:r/>
      <w:bookmarkStart w:id="737" w:name="_Toc150480797"/>
      <w:r/>
      <w:bookmarkStart w:id="738" w:name="_Toc305158829"/>
      <w:r/>
      <w:bookmarkStart w:id="739" w:name="_Toc305158903"/>
      <w:r/>
      <w:bookmarkStart w:id="740" w:name="_Toc195842926"/>
      <w:r/>
      <w:bookmarkStart w:id="741" w:name="_Toc226337257"/>
      <w:r/>
      <w:bookmarkStart w:id="742" w:name="_Toc226309805"/>
      <w:r/>
      <w:bookmarkStart w:id="743" w:name="_Toc226965751"/>
      <w:r/>
      <w:bookmarkStart w:id="744" w:name="_Toc127151561"/>
      <w:r/>
      <w:bookmarkStart w:id="745" w:name="_Toc226965834"/>
      <w:r/>
      <w:bookmarkStart w:id="746" w:name="_Toc142311061"/>
      <w:r/>
      <w:bookmarkStart w:id="747" w:name="_Toc265228399"/>
      <w:r/>
      <w:bookmarkStart w:id="748" w:name="_Toc264969251"/>
      <w:r/>
      <w:bookmarkStart w:id="749" w:name="_Toc150774764"/>
      <w:r>
        <w:rPr>
          <w:rFonts w:hint="eastAsia" w:ascii="宋体" w:hAnsi="宋体" w:cs="宋体"/>
          <w:b/>
          <w:bCs/>
          <w:szCs w:val="21"/>
        </w:rPr>
        <w:t xml:space="preserve">8、合同条款偏离表</w:t>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
    </w:p>
    <w:p>
      <w:pPr>
        <w:jc w:val="center"/>
        <w:spacing w:line="360" w:lineRule="auto"/>
        <w:rPr>
          <w:rFonts w:ascii="宋体" w:hAnsi="宋体" w:cs="宋体"/>
          <w:b/>
          <w:color w:val="000000"/>
          <w:szCs w:val="21"/>
        </w:rPr>
      </w:pPr>
      <w:r>
        <w:rPr>
          <w:rFonts w:hint="eastAsia" w:ascii="宋体" w:hAnsi="宋体" w:cs="宋体"/>
          <w:b/>
          <w:color w:val="000000"/>
          <w:szCs w:val="21"/>
        </w:rPr>
        <w:t xml:space="preserve">合同条款偏离表</w:t>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项目编号/包号：_______________         项目名称：_____________________</w:t>
      </w:r>
      <w:r/>
    </w:p>
    <w:tbl>
      <w:tblPr>
        <w:tblStyle w:val="9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1297"/>
        <w:gridCol w:w="1997"/>
        <w:gridCol w:w="1998"/>
        <w:gridCol w:w="2446"/>
        <w:gridCol w:w="786"/>
      </w:tblGrid>
      <w:tr>
        <w:trPr>
          <w:jc w:val="center"/>
          <w:trHeight w:val="930"/>
        </w:trPr>
        <w:tc>
          <w:tcPr>
            <w:gridSpan w:val="6"/>
            <w:tcW w:w="9354" w:type="dxa"/>
            <w:vAlign w:val="center"/>
            <w:textDirection w:val="lrTb"/>
            <w:noWrap w:val="false"/>
          </w:tcPr>
          <w:p>
            <w:pPr>
              <w:jc w:val="left"/>
              <w:rPr>
                <w:rFonts w:ascii="宋体" w:hAnsi="宋体" w:cs="宋体"/>
                <w:b/>
                <w:color w:val="000000"/>
                <w:szCs w:val="21"/>
              </w:rPr>
            </w:pPr>
            <w:r>
              <w:rPr>
                <w:rFonts w:hint="eastAsia" w:ascii="宋体" w:hAnsi="宋体" w:cs="宋体"/>
                <w:b/>
                <w:color w:val="000000"/>
                <w:szCs w:val="21"/>
              </w:rPr>
              <w:t xml:space="preserve">对本项目合同条款的偏离情况（请进行勾选）：</w:t>
            </w:r>
            <w:r/>
          </w:p>
          <w:p>
            <w:pPr>
              <w:jc w:val="left"/>
              <w:rPr>
                <w:rFonts w:ascii="宋体" w:hAnsi="宋体" w:cs="宋体"/>
                <w:b/>
                <w:color w:val="000000"/>
                <w:szCs w:val="21"/>
              </w:rPr>
            </w:pPr>
            <w:r>
              <w:rPr>
                <w:rFonts w:hint="eastAsia" w:ascii="宋体" w:hAnsi="宋体" w:cs="宋体"/>
                <w:b/>
                <w:color w:val="000000"/>
                <w:szCs w:val="21"/>
              </w:rPr>
              <w:t xml:space="preserve">□无偏离</w:t>
            </w:r>
            <w:r>
              <w:rPr>
                <w:rFonts w:hint="eastAsia" w:ascii="宋体" w:hAnsi="宋体" w:cs="宋体"/>
                <w:color w:val="000000"/>
                <w:szCs w:val="21"/>
              </w:rPr>
              <w:t xml:space="preserve">（如无偏离，仅勾选无偏离即可）</w:t>
            </w:r>
            <w:r/>
          </w:p>
          <w:p>
            <w:pPr>
              <w:jc w:val="left"/>
              <w:rPr>
                <w:rFonts w:ascii="宋体" w:hAnsi="宋体" w:cs="宋体"/>
                <w:color w:val="000000"/>
                <w:szCs w:val="21"/>
              </w:rPr>
            </w:pPr>
            <w:r>
              <w:rPr>
                <w:rFonts w:hint="eastAsia" w:ascii="宋体" w:hAnsi="宋体" w:cs="宋体"/>
                <w:b/>
                <w:color w:val="000000"/>
                <w:szCs w:val="21"/>
              </w:rPr>
              <w:t xml:space="preserve">□有偏离</w:t>
            </w:r>
            <w:r>
              <w:rPr>
                <w:rFonts w:hint="eastAsia" w:ascii="宋体" w:hAnsi="宋体" w:cs="宋体"/>
                <w:color w:val="000000"/>
                <w:szCs w:val="21"/>
              </w:rPr>
              <w:t xml:space="preserve">（如有负偏离，则须在本表中对负偏离项逐一列明）</w:t>
            </w:r>
            <w:r/>
          </w:p>
        </w:tc>
      </w:tr>
      <w:tr>
        <w:trPr>
          <w:jc w:val="center"/>
          <w:trHeight w:val="930"/>
        </w:trPr>
        <w:tc>
          <w:tcPr>
            <w:tcW w:w="83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W w:w="129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磋商文件条目号（页码）</w:t>
            </w:r>
            <w:r/>
          </w:p>
        </w:tc>
        <w:tc>
          <w:tcPr>
            <w:tcW w:w="199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磋商文件要求</w:t>
            </w:r>
            <w:r/>
          </w:p>
        </w:tc>
        <w:tc>
          <w:tcPr>
            <w:tcW w:w="199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响应文件内容</w:t>
            </w:r>
            <w:r/>
          </w:p>
        </w:tc>
        <w:tc>
          <w:tcPr>
            <w:tcW w:w="24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偏离情况</w:t>
            </w:r>
            <w:r/>
          </w:p>
          <w:p>
            <w:pPr>
              <w:jc w:val="center"/>
              <w:rPr>
                <w:rFonts w:ascii="宋体" w:hAnsi="宋体" w:cs="宋体"/>
                <w:color w:val="000000"/>
                <w:szCs w:val="21"/>
              </w:rPr>
            </w:pPr>
            <w:r>
              <w:rPr>
                <w:rFonts w:hint="eastAsia" w:ascii="宋体" w:hAnsi="宋体" w:cs="宋体"/>
                <w:color w:val="000000"/>
                <w:szCs w:val="21"/>
              </w:rPr>
              <w:t xml:space="preserve">（据实填写）</w:t>
            </w:r>
            <w:r/>
          </w:p>
        </w:tc>
        <w:tc>
          <w:tcPr>
            <w:tcW w:w="7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说明</w:t>
            </w:r>
            <w:r/>
          </w:p>
        </w:tc>
      </w:tr>
      <w:tr>
        <w:trPr>
          <w:jc w:val="center"/>
          <w:trHeight w:val="930"/>
        </w:trPr>
        <w:tc>
          <w:tcPr>
            <w:tcW w:w="83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29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9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44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83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29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9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44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83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29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9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44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83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29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9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44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8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bl>
    <w:p>
      <w:pPr>
        <w:jc w:val="left"/>
        <w:tabs>
          <w:tab w:val="left" w:pos="1800" w:leader="none"/>
          <w:tab w:val="left" w:pos="5580" w:leader="none"/>
        </w:tabs>
        <w:rPr>
          <w:rFonts w:ascii="宋体" w:hAnsi="宋体" w:cs="宋体"/>
          <w:color w:val="000000"/>
          <w:szCs w:val="21"/>
        </w:rPr>
      </w:pPr>
      <w:r>
        <w:rPr>
          <w:rFonts w:ascii="宋体" w:hAnsi="宋体" w:cs="宋体"/>
          <w:color w:val="000000"/>
          <w:szCs w:val="21"/>
        </w:rPr>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注：</w:t>
      </w:r>
      <w:r/>
    </w:p>
    <w:p>
      <w:pPr>
        <w:jc w:val="left"/>
        <w:spacing w:line="360" w:lineRule="auto"/>
        <w:tabs>
          <w:tab w:val="left" w:pos="1800" w:leader="none"/>
          <w:tab w:val="left" w:pos="5580" w:leader="none"/>
        </w:tabs>
        <w:rPr>
          <w:rFonts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对合同条款中的所有要求，除本表所列明的所有偏离外，均视作供应商已对之理解和响应。</w:t>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szCs w:val="21"/>
        </w:rPr>
        <w:t xml:space="preserve">2. “偏离情况”列应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p>
    <w:p>
      <w:pPr>
        <w:spacing w:line="360" w:lineRule="auto"/>
        <w:rPr>
          <w:rFonts w:ascii="宋体" w:hAnsi="宋体" w:cs="宋体"/>
          <w:color w:val="000000"/>
          <w:szCs w:val="21"/>
        </w:rPr>
      </w:pPr>
      <w:r>
        <w:rPr>
          <w:rFonts w:ascii="宋体" w:hAnsi="宋体" w:cs="宋体"/>
          <w:color w:val="000000"/>
          <w:szCs w:val="21"/>
        </w:rPr>
      </w:r>
      <w:r/>
    </w:p>
    <w:p>
      <w:pPr>
        <w:spacing w:before="25" w:after="25" w:line="360" w:lineRule="auto"/>
        <w:rPr>
          <w:rFonts w:ascii="宋体" w:hAnsi="宋体" w:cs="宋体"/>
          <w:color w:val="000000"/>
          <w:szCs w:val="21"/>
          <w:lang w:val="zh-CN"/>
        </w:rPr>
      </w:pPr>
      <w:r>
        <w:rPr>
          <w:rFonts w:hint="eastAsia" w:ascii="宋体" w:hAnsi="宋体" w:cs="宋体"/>
          <w:color w:val="000000"/>
          <w:szCs w:val="21"/>
          <w:lang w:val="zh-CN"/>
        </w:rPr>
        <w:t xml:space="preserve">                      </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spacing w:line="360" w:lineRule="auto"/>
        <w:rPr>
          <w:rFonts w:ascii="宋体" w:hAnsi="宋体" w:cs="宋体"/>
          <w:b/>
          <w:bCs/>
          <w:szCs w:val="21"/>
        </w:rPr>
      </w:pPr>
      <w:r>
        <w:rPr>
          <w:rFonts w:hint="eastAsia" w:ascii="宋体" w:hAnsi="宋体" w:cs="宋体"/>
          <w:color w:val="000000"/>
          <w:szCs w:val="21"/>
        </w:rPr>
        <w:br w:type="page" w:clear="all"/>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rPr>
          <w:rFonts w:hint="eastAsia" w:ascii="宋体" w:hAnsi="宋体" w:cs="宋体"/>
          <w:b/>
          <w:bCs/>
          <w:szCs w:val="21"/>
        </w:rPr>
        <w:t xml:space="preserve">9、采购需求偏离表</w:t>
      </w:r>
      <w:r/>
    </w:p>
    <w:p>
      <w:pPr>
        <w:jc w:val="center"/>
        <w:rPr>
          <w:rFonts w:ascii="宋体" w:hAnsi="宋体" w:cs="宋体"/>
          <w:b/>
          <w:color w:val="000000"/>
          <w:szCs w:val="21"/>
        </w:rPr>
      </w:pPr>
      <w:r>
        <w:rPr>
          <w:rFonts w:hint="eastAsia" w:ascii="宋体" w:hAnsi="宋体" w:cs="宋体"/>
          <w:b/>
          <w:color w:val="000000"/>
          <w:szCs w:val="21"/>
        </w:rPr>
        <w:t xml:space="preserve">采购需求偏离表</w:t>
      </w:r>
      <w:r/>
    </w:p>
    <w:p>
      <w:pPr>
        <w:jc w:val="center"/>
        <w:rPr>
          <w:rFonts w:ascii="宋体" w:hAnsi="宋体" w:cs="宋体"/>
          <w:color w:val="000000"/>
          <w:szCs w:val="21"/>
        </w:rPr>
      </w:pPr>
      <w:r>
        <w:rPr>
          <w:rFonts w:ascii="宋体" w:hAnsi="宋体" w:cs="宋体"/>
          <w:color w:val="000000"/>
          <w:szCs w:val="21"/>
        </w:rPr>
      </w:r>
      <w:r/>
    </w:p>
    <w:p>
      <w:pPr>
        <w:jc w:val="left"/>
        <w:spacing w:line="360" w:lineRule="auto"/>
        <w:tabs>
          <w:tab w:val="left" w:pos="1800" w:leader="none"/>
          <w:tab w:val="left" w:pos="5580" w:leader="none"/>
        </w:tabs>
        <w:rPr>
          <w:rFonts w:ascii="宋体" w:hAnsi="宋体" w:cs="宋体"/>
          <w:color w:val="000000"/>
          <w:szCs w:val="21"/>
          <w:u w:val="single"/>
        </w:rPr>
      </w:pPr>
      <w:r>
        <w:rPr>
          <w:rFonts w:hint="eastAsia" w:ascii="宋体" w:hAnsi="宋体" w:cs="宋体"/>
          <w:color w:val="000000"/>
          <w:szCs w:val="21"/>
        </w:rPr>
        <w:t xml:space="preserve">项目编号/包号：_____________________       项目名称：_______________________</w:t>
      </w:r>
      <w:r/>
    </w:p>
    <w:tbl>
      <w:tblPr>
        <w:tblStyle w:val="9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37"/>
        <w:gridCol w:w="2307"/>
        <w:gridCol w:w="2058"/>
        <w:gridCol w:w="1816"/>
        <w:gridCol w:w="981"/>
      </w:tblGrid>
      <w:tr>
        <w:trPr>
          <w:jc w:val="center"/>
          <w:trHeight w:val="1053"/>
        </w:trPr>
        <w:tc>
          <w:tcPr>
            <w:tcW w:w="75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W w:w="143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磋商文件条目号(页码)</w:t>
            </w:r>
            <w:r/>
          </w:p>
        </w:tc>
        <w:tc>
          <w:tcPr>
            <w:tcW w:w="230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磋商文件要求</w:t>
            </w:r>
            <w:r/>
          </w:p>
        </w:tc>
        <w:tc>
          <w:tcPr>
            <w:tcW w:w="205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响应内容</w:t>
            </w:r>
            <w:r/>
          </w:p>
        </w:tc>
        <w:tc>
          <w:tcPr>
            <w:tcW w:w="181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偏离情况</w:t>
            </w:r>
            <w:r/>
          </w:p>
          <w:p>
            <w:pPr>
              <w:jc w:val="center"/>
              <w:rPr>
                <w:rFonts w:ascii="宋体" w:hAnsi="宋体" w:cs="宋体"/>
                <w:color w:val="000000"/>
                <w:szCs w:val="21"/>
              </w:rPr>
            </w:pPr>
            <w:r>
              <w:rPr>
                <w:rFonts w:hint="eastAsia" w:ascii="宋体" w:hAnsi="宋体" w:cs="宋体"/>
                <w:color w:val="000000"/>
                <w:szCs w:val="21"/>
              </w:rPr>
              <w:t xml:space="preserve">（据实填写）</w:t>
            </w:r>
            <w:r/>
          </w:p>
        </w:tc>
        <w:tc>
          <w:tcPr>
            <w:tcW w:w="98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说明</w:t>
            </w:r>
            <w:r/>
          </w:p>
        </w:tc>
      </w:tr>
      <w:tr>
        <w:trPr>
          <w:jc w:val="center"/>
          <w:trHeight w:val="930"/>
        </w:trPr>
        <w:tc>
          <w:tcPr>
            <w:tcW w:w="75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3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30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05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1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8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75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3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30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05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1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8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75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3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30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05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1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8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75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3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30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05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1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8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75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3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30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05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1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8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930"/>
        </w:trPr>
        <w:tc>
          <w:tcPr>
            <w:tcW w:w="75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3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30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205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81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8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bl>
    <w:p>
      <w:pPr>
        <w:ind w:firstLine="315"/>
        <w:jc w:val="left"/>
        <w:spacing w:line="360" w:lineRule="auto"/>
        <w:tabs>
          <w:tab w:val="left" w:pos="1800" w:leader="none"/>
          <w:tab w:val="left" w:pos="5580" w:leader="none"/>
        </w:tabs>
        <w:rPr>
          <w:rFonts w:ascii="宋体" w:hAnsi="宋体" w:cs="宋体"/>
          <w:color w:val="000000"/>
          <w:szCs w:val="21"/>
          <w:u w:val="single"/>
        </w:rPr>
      </w:pPr>
      <w:r>
        <w:rPr>
          <w:rFonts w:ascii="宋体" w:hAnsi="宋体" w:cs="宋体"/>
          <w:color w:val="000000"/>
          <w:szCs w:val="21"/>
          <w:u w:val="single"/>
        </w:rPr>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注：</w:t>
      </w:r>
      <w:r/>
    </w:p>
    <w:p>
      <w:pPr>
        <w:jc w:val="left"/>
        <w:spacing w:line="360" w:lineRule="auto"/>
        <w:tabs>
          <w:tab w:val="left" w:pos="1800" w:leader="none"/>
          <w:tab w:val="left" w:pos="5580" w:leader="none"/>
        </w:tabs>
        <w:rPr>
          <w:rFonts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对磋商文件中的所有商务、技术要求，除本表所列明的所有偏离外，均视作供应商已对之理解和响应。此表中若无任何文字说明，内容为空白，则</w:t>
      </w:r>
      <w:r>
        <w:rPr>
          <w:rFonts w:hint="eastAsia" w:ascii="宋体" w:hAnsi="宋体" w:cs="宋体"/>
          <w:b/>
          <w:szCs w:val="21"/>
        </w:rPr>
        <w:t xml:space="preserve">响应无效</w:t>
      </w:r>
      <w:r>
        <w:rPr>
          <w:rFonts w:hint="eastAsia" w:ascii="宋体" w:hAnsi="宋体" w:cs="宋体"/>
          <w:szCs w:val="21"/>
        </w:rPr>
        <w:t xml:space="preserve">。</w:t>
      </w:r>
      <w:r/>
    </w:p>
    <w:p>
      <w:pPr>
        <w:jc w:val="left"/>
        <w:spacing w:line="360" w:lineRule="auto"/>
        <w:tabs>
          <w:tab w:val="left" w:pos="1800" w:leader="none"/>
          <w:tab w:val="left" w:pos="5580" w:leader="none"/>
        </w:tabs>
        <w:rPr>
          <w:rFonts w:ascii="宋体" w:hAnsi="宋体" w:cs="宋体"/>
          <w:color w:val="000000"/>
          <w:szCs w:val="21"/>
        </w:rPr>
      </w:pPr>
      <w:r>
        <w:rPr>
          <w:rFonts w:hint="eastAsia" w:ascii="宋体" w:hAnsi="宋体" w:cs="宋体"/>
          <w:szCs w:val="21"/>
        </w:rPr>
        <w:t xml:space="preserve">2.“偏离情况”列应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p>
    <w:p>
      <w:pPr>
        <w:jc w:val="left"/>
        <w:tabs>
          <w:tab w:val="left" w:pos="1800" w:leader="none"/>
          <w:tab w:val="left" w:pos="5580" w:leader="none"/>
        </w:tabs>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spacing w:before="25" w:after="25" w:line="360" w:lineRule="auto"/>
        <w:rPr>
          <w:rFonts w:ascii="宋体" w:hAnsi="宋体" w:cs="宋体"/>
          <w:color w:val="000000"/>
          <w:szCs w:val="21"/>
          <w:lang w:val="zh-CN"/>
        </w:rPr>
      </w:pPr>
      <w:r>
        <w:rPr>
          <w:rFonts w:hint="eastAsia" w:ascii="宋体" w:hAnsi="宋体" w:cs="宋体"/>
          <w:color w:val="000000"/>
          <w:szCs w:val="21"/>
          <w:lang w:val="zh-CN"/>
        </w:rPr>
        <w:t xml:space="preserve">                  </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rPr>
          <w:rFonts w:ascii="宋体" w:hAnsi="宋体" w:cs="宋体"/>
          <w:b/>
          <w:bCs/>
          <w:szCs w:val="21"/>
        </w:rPr>
      </w:pPr>
      <w:r>
        <w:rPr>
          <w:rFonts w:hint="eastAsia" w:ascii="宋体" w:hAnsi="宋体" w:cs="宋体"/>
          <w:b/>
          <w:bCs/>
          <w:szCs w:val="21"/>
        </w:rPr>
        <w:br w:type="page" w:clear="all"/>
      </w:r>
      <w:r/>
    </w:p>
    <w:p>
      <w:pPr>
        <w:rPr>
          <w:rFonts w:ascii="宋体" w:hAnsi="宋体" w:cs="宋体"/>
          <w:b/>
          <w:bCs/>
          <w:szCs w:val="21"/>
          <w:highlight w:val="none"/>
        </w:rPr>
      </w:pPr>
      <w:r>
        <w:rPr>
          <w:rFonts w:hint="eastAsia" w:ascii="宋体" w:hAnsi="宋体" w:cs="宋体"/>
          <w:b/>
          <w:bCs/>
          <w:szCs w:val="21"/>
          <w:highlight w:val="none"/>
        </w:rPr>
        <w:t xml:space="preserve">10、项目实施方案等，包括但不限于如下主题：</w:t>
      </w:r>
      <w:r/>
    </w:p>
    <w:p>
      <w:pPr>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1）总体设计方案；</w:t>
      </w:r>
      <w:r/>
    </w:p>
    <w:p>
      <w:pPr>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b w:val="0"/>
          <w:bCs w:val="0"/>
          <w:sz w:val="21"/>
          <w:szCs w:val="21"/>
          <w:highlight w:val="none"/>
          <w:lang w:val="en-US" w:eastAsia="zh-CN"/>
        </w:rPr>
        <w:t xml:space="preserve">文物三维采集制作、建档服务方案</w:t>
      </w:r>
      <w:r>
        <w:rPr>
          <w:rFonts w:hint="eastAsia" w:ascii="宋体" w:hAnsi="宋体" w:eastAsia="宋体" w:cs="宋体"/>
          <w:color w:val="000000"/>
          <w:szCs w:val="21"/>
          <w:highlight w:val="none"/>
        </w:rPr>
        <w:t xml:space="preserve">；</w:t>
      </w:r>
      <w:r/>
    </w:p>
    <w:p>
      <w:pPr>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文物知识图谱展示应用服务方案；</w:t>
      </w:r>
      <w:r/>
    </w:p>
    <w:p>
      <w:pPr>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4）馆藏精品文物数字化交互展示制作服务方案；</w:t>
      </w:r>
      <w:r/>
    </w:p>
    <w:p>
      <w:pPr>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）其他。</w:t>
      </w:r>
      <w:r/>
    </w:p>
    <w:p>
      <w:pPr>
        <w:ind w:firstLine="420"/>
        <w:spacing w:line="560" w:lineRule="exact"/>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      </w:t>
      </w:r>
      <w:r/>
    </w:p>
    <w:p>
      <w:pPr>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clear="all"/>
      </w:r>
      <w:r/>
    </w:p>
    <w:p>
      <w:pPr>
        <w:spacing w:line="360" w:lineRule="auto"/>
        <w:rPr>
          <w:rFonts w:ascii="宋体" w:hAnsi="宋体" w:cs="宋体"/>
          <w:b/>
          <w:szCs w:val="21"/>
        </w:rPr>
      </w:pPr>
      <w:r>
        <w:rPr>
          <w:rFonts w:hint="eastAsia" w:ascii="宋体" w:hAnsi="宋体" w:cs="宋体"/>
          <w:b/>
          <w:bCs/>
          <w:szCs w:val="21"/>
        </w:rPr>
        <w:t xml:space="preserve">11、参加本项目人员一览表</w:t>
      </w:r>
      <w:r/>
    </w:p>
    <w:p>
      <w:pPr>
        <w:jc w:val="center"/>
        <w:spacing w:line="360" w:lineRule="auto"/>
        <w:rPr>
          <w:rFonts w:ascii="宋体" w:hAnsi="宋体" w:cs="宋体"/>
          <w:szCs w:val="21"/>
        </w:rPr>
      </w:pPr>
      <w:r>
        <w:rPr>
          <w:rFonts w:hint="eastAsia" w:ascii="宋体" w:hAnsi="宋体" w:cs="宋体"/>
          <w:b/>
          <w:szCs w:val="21"/>
        </w:rPr>
        <w:t xml:space="preserve">参加本项目人员一览表</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tbl>
      <w:tblPr>
        <w:tblStyle w:val="93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35"/>
        <w:gridCol w:w="935"/>
        <w:gridCol w:w="935"/>
        <w:gridCol w:w="935"/>
        <w:gridCol w:w="935"/>
        <w:gridCol w:w="935"/>
        <w:gridCol w:w="936"/>
        <w:gridCol w:w="936"/>
        <w:gridCol w:w="936"/>
        <w:gridCol w:w="936"/>
      </w:tblGrid>
      <w:tr>
        <w:trPr>
          <w:jc w:val="center"/>
        </w:trPr>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毕业学校和学历</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专业培训及证书</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责任</w:t>
            </w:r>
            <w:r/>
          </w:p>
          <w:p>
            <w:pPr>
              <w:jc w:val="center"/>
              <w:spacing w:line="360" w:lineRule="auto"/>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项目经历或主要工作</w:t>
            </w:r>
            <w:r/>
          </w:p>
          <w:p>
            <w:pPr>
              <w:jc w:val="center"/>
              <w:spacing w:line="360" w:lineRule="auto"/>
              <w:tabs>
                <w:tab w:val="left" w:pos="9765" w:leader="none"/>
              </w:tabs>
              <w:rPr>
                <w:rFonts w:ascii="宋体" w:hAnsi="宋体" w:cs="宋体"/>
                <w:szCs w:val="21"/>
              </w:rPr>
            </w:pPr>
            <w:r>
              <w:rPr>
                <w:rFonts w:hint="eastAsia" w:ascii="宋体" w:hAnsi="宋体" w:cs="宋体"/>
                <w:szCs w:val="21"/>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bl>
    <w:p>
      <w:pPr>
        <w:tabs>
          <w:tab w:val="left" w:pos="9765" w:leader="none"/>
        </w:tabs>
        <w:rPr>
          <w:rFonts w:ascii="宋体" w:hAnsi="宋体" w:cs="宋体"/>
          <w:b/>
          <w:szCs w:val="21"/>
          <w:lang w:val="zh-CN"/>
        </w:rPr>
      </w:pPr>
      <w:r>
        <w:rPr>
          <w:rFonts w:ascii="宋体" w:hAnsi="宋体" w:cs="宋体"/>
          <w:b/>
          <w:szCs w:val="21"/>
          <w:lang w:val="zh-CN"/>
        </w:rPr>
      </w:r>
      <w:r/>
    </w:p>
    <w:p>
      <w:pPr>
        <w:spacing w:line="360" w:lineRule="auto"/>
        <w:tabs>
          <w:tab w:val="left" w:pos="9765" w:leader="none"/>
        </w:tabs>
        <w:rPr>
          <w:rFonts w:ascii="宋体" w:hAnsi="宋体" w:cs="宋体"/>
          <w:b/>
          <w:szCs w:val="21"/>
        </w:rPr>
      </w:pPr>
      <w:r>
        <w:rPr>
          <w:rFonts w:hint="eastAsia" w:ascii="宋体" w:hAnsi="宋体" w:cs="宋体"/>
          <w:b/>
          <w:szCs w:val="21"/>
          <w:lang w:val="zh-CN"/>
        </w:rPr>
        <w:t xml:space="preserve">注：参加本项目人员须是供应商正式职工。</w:t>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spacing w:line="360" w:lineRule="auto"/>
        <w:rPr>
          <w:rFonts w:ascii="宋体" w:hAnsi="宋体" w:cs="宋体"/>
          <w:b/>
          <w:bCs/>
          <w:szCs w:val="21"/>
        </w:rPr>
      </w:pPr>
      <w:r>
        <w:rPr>
          <w:rFonts w:hint="eastAsia" w:ascii="宋体" w:hAnsi="宋体" w:cs="宋体"/>
          <w:szCs w:val="21"/>
        </w:rPr>
        <w:br w:type="page" w:clear="all"/>
      </w:r>
      <w:bookmarkStart w:id="750" w:name="_Toc288738839"/>
      <w:r/>
      <w:bookmarkStart w:id="751" w:name="_Toc288738397"/>
      <w:r>
        <w:rPr>
          <w:rFonts w:hint="eastAsia" w:ascii="宋体" w:hAnsi="宋体" w:cs="宋体"/>
          <w:b/>
          <w:bCs/>
          <w:szCs w:val="21"/>
        </w:rPr>
        <w:t xml:space="preserve">12、相关业绩案例一览表</w:t>
      </w:r>
      <w:r/>
    </w:p>
    <w:p>
      <w:pPr>
        <w:jc w:val="center"/>
        <w:spacing w:line="360" w:lineRule="auto"/>
        <w:rPr>
          <w:rFonts w:ascii="宋体" w:hAnsi="宋体" w:cs="宋体"/>
          <w:b/>
          <w:szCs w:val="21"/>
        </w:rPr>
      </w:pPr>
      <w:r>
        <w:rPr>
          <w:rFonts w:hint="eastAsia" w:ascii="宋体" w:hAnsi="宋体" w:cs="宋体"/>
          <w:b/>
          <w:szCs w:val="21"/>
        </w:rPr>
        <w:t xml:space="preserve">相关业绩案例一览表</w:t>
      </w:r>
      <w:bookmarkEnd w:id="750"/>
      <w:r/>
      <w:bookmarkEnd w:id="751"/>
      <w:r/>
      <w:r/>
    </w:p>
    <w:p>
      <w:pPr>
        <w:jc w:val="cente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tbl>
      <w:tblPr>
        <w:tblStyle w:val="931"/>
        <w:tblW w:w="0" w:type="auto"/>
        <w:jc w:val="center"/>
        <w:tblLayout w:type="fixed"/>
        <w:tblCellMar>
          <w:left w:w="108" w:type="dxa"/>
          <w:top w:w="0" w:type="dxa"/>
          <w:right w:w="108" w:type="dxa"/>
          <w:bottom w:w="0" w:type="dxa"/>
        </w:tblCellMar>
        <w:tblLook w:val="04A0" w:firstRow="1" w:lastRow="0" w:firstColumn="1" w:lastColumn="0" w:noHBand="0" w:noVBand="1"/>
      </w:tblPr>
      <w:tblGrid>
        <w:gridCol w:w="1332"/>
        <w:gridCol w:w="1745"/>
        <w:gridCol w:w="1579"/>
        <w:gridCol w:w="1244"/>
        <w:gridCol w:w="1796"/>
        <w:gridCol w:w="1658"/>
      </w:tblGrid>
      <w:tr>
        <w:trPr>
          <w:jc w:val="center"/>
          <w:trHeight w:val="498"/>
        </w:trPr>
        <w:tc>
          <w:tcPr>
            <w:tcBorders>
              <w:top w:val="single" w:color="auto" w:sz="6" w:space="0"/>
              <w:left w:val="single" w:color="auto" w:sz="6" w:space="0"/>
              <w:bottom w:val="single" w:color="auto" w:sz="6" w:space="0"/>
              <w:right w:val="single" w:color="auto" w:sz="6" w:space="0"/>
            </w:tcBorders>
            <w:tcW w:w="1332"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项目时间</w:t>
            </w:r>
            <w:r/>
          </w:p>
        </w:tc>
        <w:tc>
          <w:tcPr>
            <w:tcBorders>
              <w:top w:val="single" w:color="auto" w:sz="6" w:space="0"/>
              <w:left w:val="single" w:color="auto" w:sz="6" w:space="0"/>
              <w:bottom w:val="single" w:color="auto" w:sz="6" w:space="0"/>
              <w:right w:val="single" w:color="auto" w:sz="6" w:space="0"/>
            </w:tcBorders>
            <w:tcW w:w="1745"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79"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1244"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合同金额</w:t>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单位地址</w:t>
            </w:r>
            <w:r/>
          </w:p>
        </w:tc>
        <w:tc>
          <w:tcPr>
            <w:tcBorders>
              <w:top w:val="single" w:color="auto" w:sz="6" w:space="0"/>
              <w:left w:val="single" w:color="auto" w:sz="6" w:space="0"/>
              <w:bottom w:val="single" w:color="auto" w:sz="6" w:space="0"/>
              <w:right w:val="single" w:color="auto" w:sz="6" w:space="0"/>
            </w:tcBorders>
            <w:tcW w:w="1658" w:type="dxa"/>
            <w:vAlign w:val="center"/>
            <w:textDirection w:val="lrTb"/>
            <w:noWrap w:val="false"/>
          </w:tcPr>
          <w:p>
            <w:pPr>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332"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ind w:hanging="523"/>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vAlign w:val="center"/>
            <w:textDirection w:val="lrTb"/>
            <w:noWrap w:val="false"/>
          </w:tcPr>
          <w:p>
            <w:pPr>
              <w:ind w:hanging="523"/>
              <w:jc w:val="cente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bl>
    <w:p>
      <w:pPr>
        <w:tabs>
          <w:tab w:val="left" w:pos="9765" w:leader="none"/>
        </w:tabs>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pStyle w:val="941"/>
        <w:rPr>
          <w:rFonts w:ascii="宋体" w:hAnsi="宋体" w:cs="宋体"/>
          <w:color w:val="000000"/>
          <w:sz w:val="21"/>
          <w:szCs w:val="21"/>
        </w:rPr>
      </w:pPr>
      <w:r>
        <w:rPr>
          <w:rFonts w:ascii="宋体" w:hAnsi="宋体" w:cs="宋体"/>
          <w:color w:val="000000"/>
          <w:sz w:val="21"/>
          <w:szCs w:val="21"/>
        </w:rPr>
      </w:r>
      <w:r/>
    </w:p>
    <w:p>
      <w:pPr>
        <w:rPr>
          <w:rFonts w:ascii="宋体" w:hAnsi="宋体" w:cs="宋体"/>
          <w:color w:val="000000"/>
          <w:szCs w:val="21"/>
        </w:rPr>
      </w:pPr>
      <w:r>
        <w:rPr>
          <w:rFonts w:ascii="宋体" w:hAnsi="宋体" w:cs="宋体"/>
          <w:color w:val="000000"/>
          <w:szCs w:val="21"/>
        </w:rPr>
      </w:r>
      <w:r/>
    </w:p>
    <w:p>
      <w:pPr>
        <w:pStyle w:val="941"/>
        <w:rPr>
          <w:rFonts w:ascii="宋体" w:hAnsi="宋体" w:cs="宋体"/>
          <w:color w:val="000000"/>
          <w:sz w:val="21"/>
          <w:szCs w:val="21"/>
        </w:rPr>
      </w:pPr>
      <w:r>
        <w:rPr>
          <w:rFonts w:ascii="宋体" w:hAnsi="宋体" w:cs="宋体"/>
          <w:color w:val="000000"/>
          <w:sz w:val="21"/>
          <w:szCs w:val="21"/>
        </w:rPr>
      </w:r>
      <w:r/>
    </w:p>
    <w:p>
      <w:pPr>
        <w:rPr>
          <w:rFonts w:ascii="宋体" w:hAnsi="宋体" w:cs="宋体"/>
          <w:szCs w:val="21"/>
        </w:rPr>
      </w:pPr>
      <w:r>
        <w:rPr>
          <w:rFonts w:ascii="宋体" w:hAnsi="宋体" w:cs="宋体"/>
          <w:szCs w:val="21"/>
        </w:rPr>
      </w:r>
      <w:r/>
    </w:p>
    <w:p>
      <w:pPr>
        <w:jc w:val="left"/>
        <w:widowControl/>
        <w:rPr>
          <w:rFonts w:ascii="宋体" w:hAnsi="宋体" w:cs="宋体"/>
          <w:b/>
          <w:bCs/>
          <w:color w:val="000000"/>
          <w:szCs w:val="21"/>
        </w:rPr>
      </w:pPr>
      <w:r>
        <w:rPr>
          <w:rFonts w:ascii="宋体" w:hAnsi="宋体" w:cs="宋体"/>
          <w:b/>
          <w:bCs/>
          <w:color w:val="000000"/>
          <w:szCs w:val="21"/>
        </w:rPr>
      </w:r>
      <w:r/>
    </w:p>
    <w:p>
      <w:pPr>
        <w:spacing w:line="360" w:lineRule="auto"/>
        <w:rPr>
          <w:rFonts w:ascii="宋体" w:hAnsi="宋体" w:cs="宋体"/>
          <w:b/>
          <w:bCs/>
          <w:color w:val="000000"/>
          <w:szCs w:val="21"/>
        </w:rPr>
      </w:pPr>
      <w:r>
        <w:rPr>
          <w:rFonts w:hint="eastAsia" w:ascii="宋体" w:hAnsi="宋体" w:cs="宋体"/>
          <w:b/>
          <w:bCs/>
          <w:color w:val="000000"/>
          <w:szCs w:val="21"/>
        </w:rPr>
        <w:t xml:space="preserve">13、磋商文件要求提供或供应商认为应附的其他材料</w:t>
      </w:r>
      <w:r/>
    </w:p>
    <w:p>
      <w:pPr>
        <w:ind w:firstLine="211"/>
        <w:spacing w:line="360" w:lineRule="auto"/>
        <w:rPr>
          <w:rFonts w:ascii="宋体" w:hAnsi="宋体" w:cs="宋体"/>
          <w:b/>
          <w:bCs/>
          <w:color w:val="000000"/>
          <w:szCs w:val="21"/>
        </w:rPr>
      </w:pPr>
      <w:r>
        <w:rPr>
          <w:rFonts w:hint="eastAsia" w:ascii="宋体" w:hAnsi="宋体" w:cs="宋体"/>
          <w:b/>
          <w:bCs/>
          <w:color w:val="000000"/>
          <w:szCs w:val="21"/>
        </w:rPr>
        <w:t xml:space="preserve">（如营业执照等）</w:t>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ind w:firstLine="211"/>
        <w:spacing w:line="360" w:lineRule="auto"/>
        <w:rPr>
          <w:rFonts w:ascii="宋体" w:hAnsi="宋体" w:cs="宋体"/>
          <w:b/>
          <w:bCs/>
          <w:color w:val="000000"/>
          <w:szCs w:val="21"/>
        </w:rPr>
      </w:pPr>
      <w:r>
        <w:rPr>
          <w:rFonts w:ascii="宋体" w:hAnsi="宋体" w:cs="宋体"/>
          <w:b/>
          <w:bCs/>
          <w:color w:val="000000"/>
          <w:szCs w:val="21"/>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18" w:right="1134" w:bottom="1134" w:left="1417" w:header="1020"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Tahoma">
    <w:panose1 w:val="020B0604030504040204"/>
  </w:font>
  <w:font w:name="ˎ̥">
    <w:panose1 w:val="020B0503020202020204"/>
  </w:font>
  <w:font w:name="楷体_GB2312">
    <w:panose1 w:val="02010609060101010101"/>
  </w:font>
  <w:font w:name="Symbol">
    <w:panose1 w:val="05050102010706020507"/>
  </w:font>
  <w:font w:name="Courier New">
    <w:panose1 w:val="02070309020205020404"/>
  </w:font>
  <w:font w:name="Calibri">
    <w:panose1 w:val="020F0502020204030204"/>
  </w:font>
  <w:font w:name="微软雅黑">
    <w:panose1 w:val="020B05030202040202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52"/>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2"/>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left"/>
      <w:pBdr>
        <w:bottom w:val="single" w:color="auto" w:sz="4" w:space="1"/>
      </w:pBdr>
    </w:pPr>
    <w:r>
      <w:rPr>
        <w:rFonts w:hint="eastAsia"/>
        <w:sz w:val="10"/>
        <w:szCs w:val="10"/>
      </w:rPr>
      <w:t xml:space="preserve"> </w:t>
    </w:r>
    <w:r>
      <w:rPr>
        <w:rFonts w:hint="eastAsia"/>
      </w:rPr>
      <mc:AlternateContent>
        <mc:Choice Requires="wpg">
          <w:drawing>
            <wp:inline xmlns:wp="http://schemas.openxmlformats.org/drawingml/2006/wordprocessingDrawing" distT="0" distB="0" distL="0" distR="0">
              <wp:extent cx="182245" cy="184785"/>
              <wp:effectExtent l="0" t="0" r="8255" b="5715"/>
              <wp:docPr id="1" name="图片 2" descr="正投招标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正投招标图标"/>
                      <pic:cNvPicPr>
                        <a:picLocks noChangeAspect="1"/>
                      </pic:cNvPicPr>
                      <pic:nvPr/>
                    </pic:nvPicPr>
                    <pic:blipFill>
                      <a:blip r:embed="rId1"/>
                      <a:stretch/>
                    </pic:blipFill>
                    <pic:spPr bwMode="auto">
                      <a:xfrm rot="10800000" flipH="1" flipV="1">
                        <a:off x="0" y="0"/>
                        <a:ext cx="182245" cy="184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3pt;height:14.5pt;mso-wrap-distance-left:0.0pt;mso-wrap-distance-top:0.0pt;mso-wrap-distance-right:0.0pt;mso-wrap-distance-bottom:0.0pt;rotation:180;flip:xy;" stroked="f">
              <v:path textboxrect="0,0,0,0"/>
              <v:imagedata r:id="rId1" o:title=""/>
            </v:shape>
          </w:pict>
        </mc:Fallback>
      </mc:AlternateContent>
    </w:r>
    <w:r>
      <w:rPr>
        <w:rFonts w:hint="eastAsia" w:ascii="宋体" w:hAnsi="宋体" w:cs="宋体"/>
        <w:color w:val="000000"/>
        <w:spacing w:val="2"/>
      </w:rPr>
      <w:t xml:space="preserve">溧阳市正投招投标有限公司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pStyle w:val="111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1189"/>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095"/>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4"/>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83"/>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82"/>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07"/>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63"/>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87"/>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15"/>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9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default" w:ascii="宋体" w:hAnsi="宋体" w:eastAsia="宋体" w:cs="宋体"/>
        <w:sz w:val="21"/>
        <w:szCs w:val="21"/>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1"/>
        <w:szCs w:val="21"/>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1131"/>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202"/>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1">
    <w:multiLevelType w:val="hybridMultilevel"/>
    <w:lvl w:ilvl="0">
      <w:start w:val="1"/>
      <w:numFmt w:val="decimal"/>
      <w:pStyle w:val="1127"/>
      <w:isLgl w:val="false"/>
      <w:suff w:val="tab"/>
      <w:lvlText w:val="%1"/>
      <w:lvlJc w:val="left"/>
      <w:pPr>
        <w:ind w:left="680" w:hanging="680"/>
      </w:pPr>
      <w:rPr>
        <w:rFonts w:hint="eastAsia" w:ascii="宋体" w:hAnsi="宋体" w:eastAsia="宋体"/>
      </w:rPr>
    </w:lvl>
    <w:lvl w:ilvl="1">
      <w:start w:val="1"/>
      <w:numFmt w:val="decimal"/>
      <w:pStyle w:val="1114"/>
      <w:isLgl w:val="false"/>
      <w:suff w:val="tab"/>
      <w:lvlText w:val="%1.%2"/>
      <w:lvlJc w:val="left"/>
      <w:pPr>
        <w:ind w:left="851" w:hanging="851"/>
      </w:pPr>
      <w:rPr>
        <w:rFonts w:hint="eastAsia" w:ascii="宋体" w:hAnsi="宋体" w:eastAsia="宋体"/>
        <w:color w:val="auto"/>
      </w:rPr>
    </w:lvl>
    <w:lvl w:ilvl="2">
      <w:start w:val="1"/>
      <w:numFmt w:val="decimal"/>
      <w:pStyle w:val="110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b w:val="0"/>
        <w:sz w:val="21"/>
        <w:szCs w:val="21"/>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5"/>
  </w:num>
  <w:num w:numId="3">
    <w:abstractNumId w:val="11"/>
  </w:num>
  <w:num w:numId="4">
    <w:abstractNumId w:val="3"/>
  </w:num>
  <w:num w:numId="5">
    <w:abstractNumId w:val="9"/>
  </w:num>
  <w:num w:numId="6">
    <w:abstractNumId w:val="4"/>
  </w:num>
  <w:num w:numId="7">
    <w:abstractNumId w:val="7"/>
  </w:num>
  <w:num w:numId="8">
    <w:abstractNumId w:val="10"/>
  </w:num>
  <w:num w:numId="9">
    <w:abstractNumId w:val="8"/>
  </w:num>
  <w:num w:numId="10">
    <w:abstractNumId w:val="2"/>
  </w:num>
  <w:num w:numId="11">
    <w:abstractNumId w:val="13"/>
  </w:num>
  <w:num w:numId="12">
    <w:abstractNumId w:val="1"/>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7">
    <w:name w:val="Heading 1 Char"/>
    <w:basedOn w:val="930"/>
    <w:link w:val="921"/>
    <w:uiPriority w:val="9"/>
    <w:rPr>
      <w:rFonts w:ascii="Arial" w:hAnsi="Arial" w:eastAsia="Arial" w:cs="Arial"/>
      <w:sz w:val="40"/>
      <w:szCs w:val="40"/>
    </w:rPr>
  </w:style>
  <w:style w:type="character" w:styleId="768">
    <w:name w:val="Heading 2 Char"/>
    <w:basedOn w:val="930"/>
    <w:link w:val="922"/>
    <w:uiPriority w:val="9"/>
    <w:rPr>
      <w:rFonts w:ascii="Arial" w:hAnsi="Arial" w:eastAsia="Arial" w:cs="Arial"/>
      <w:sz w:val="34"/>
    </w:rPr>
  </w:style>
  <w:style w:type="character" w:styleId="769">
    <w:name w:val="Heading 3 Char"/>
    <w:basedOn w:val="930"/>
    <w:link w:val="923"/>
    <w:uiPriority w:val="9"/>
    <w:rPr>
      <w:rFonts w:ascii="Arial" w:hAnsi="Arial" w:eastAsia="Arial" w:cs="Arial"/>
      <w:sz w:val="30"/>
      <w:szCs w:val="30"/>
    </w:rPr>
  </w:style>
  <w:style w:type="character" w:styleId="770">
    <w:name w:val="Heading 4 Char"/>
    <w:basedOn w:val="930"/>
    <w:link w:val="924"/>
    <w:uiPriority w:val="9"/>
    <w:rPr>
      <w:rFonts w:ascii="Arial" w:hAnsi="Arial" w:eastAsia="Arial" w:cs="Arial"/>
      <w:b/>
      <w:bCs/>
      <w:sz w:val="26"/>
      <w:szCs w:val="26"/>
    </w:rPr>
  </w:style>
  <w:style w:type="character" w:styleId="771">
    <w:name w:val="Heading 5 Char"/>
    <w:basedOn w:val="930"/>
    <w:link w:val="925"/>
    <w:uiPriority w:val="9"/>
    <w:rPr>
      <w:rFonts w:ascii="Arial" w:hAnsi="Arial" w:eastAsia="Arial" w:cs="Arial"/>
      <w:b/>
      <w:bCs/>
      <w:sz w:val="24"/>
      <w:szCs w:val="24"/>
    </w:rPr>
  </w:style>
  <w:style w:type="character" w:styleId="772">
    <w:name w:val="Heading 6 Char"/>
    <w:basedOn w:val="930"/>
    <w:link w:val="926"/>
    <w:uiPriority w:val="9"/>
    <w:rPr>
      <w:rFonts w:ascii="Arial" w:hAnsi="Arial" w:eastAsia="Arial" w:cs="Arial"/>
      <w:b/>
      <w:bCs/>
      <w:sz w:val="22"/>
      <w:szCs w:val="22"/>
    </w:rPr>
  </w:style>
  <w:style w:type="character" w:styleId="773">
    <w:name w:val="Heading 7 Char"/>
    <w:basedOn w:val="930"/>
    <w:link w:val="927"/>
    <w:uiPriority w:val="9"/>
    <w:rPr>
      <w:rFonts w:ascii="Arial" w:hAnsi="Arial" w:eastAsia="Arial" w:cs="Arial"/>
      <w:b/>
      <w:bCs/>
      <w:i/>
      <w:iCs/>
      <w:sz w:val="22"/>
      <w:szCs w:val="22"/>
    </w:rPr>
  </w:style>
  <w:style w:type="character" w:styleId="774">
    <w:name w:val="Heading 8 Char"/>
    <w:basedOn w:val="930"/>
    <w:link w:val="928"/>
    <w:uiPriority w:val="9"/>
    <w:rPr>
      <w:rFonts w:ascii="Arial" w:hAnsi="Arial" w:eastAsia="Arial" w:cs="Arial"/>
      <w:i/>
      <w:iCs/>
      <w:sz w:val="22"/>
      <w:szCs w:val="22"/>
    </w:rPr>
  </w:style>
  <w:style w:type="character" w:styleId="775">
    <w:name w:val="Heading 9 Char"/>
    <w:basedOn w:val="930"/>
    <w:link w:val="929"/>
    <w:uiPriority w:val="9"/>
    <w:rPr>
      <w:rFonts w:ascii="Arial" w:hAnsi="Arial" w:eastAsia="Arial" w:cs="Arial"/>
      <w:i/>
      <w:iCs/>
      <w:sz w:val="21"/>
      <w:szCs w:val="21"/>
    </w:rPr>
  </w:style>
  <w:style w:type="paragraph" w:styleId="776">
    <w:name w:val="No Spacing"/>
    <w:uiPriority w:val="1"/>
    <w:qFormat/>
    <w:pPr>
      <w:spacing w:before="0" w:after="0" w:line="240" w:lineRule="auto"/>
    </w:pPr>
  </w:style>
  <w:style w:type="character" w:styleId="777">
    <w:name w:val="Title Char"/>
    <w:basedOn w:val="930"/>
    <w:link w:val="964"/>
    <w:uiPriority w:val="10"/>
    <w:rPr>
      <w:sz w:val="48"/>
      <w:szCs w:val="48"/>
    </w:rPr>
  </w:style>
  <w:style w:type="paragraph" w:styleId="778">
    <w:name w:val="Subtitle"/>
    <w:basedOn w:val="920"/>
    <w:next w:val="920"/>
    <w:link w:val="779"/>
    <w:uiPriority w:val="11"/>
    <w:qFormat/>
    <w:pPr>
      <w:spacing w:before="200" w:after="200"/>
    </w:pPr>
    <w:rPr>
      <w:sz w:val="24"/>
      <w:szCs w:val="24"/>
    </w:rPr>
  </w:style>
  <w:style w:type="character" w:styleId="779">
    <w:name w:val="Subtitle Char"/>
    <w:basedOn w:val="930"/>
    <w:link w:val="778"/>
    <w:uiPriority w:val="11"/>
    <w:rPr>
      <w:sz w:val="24"/>
      <w:szCs w:val="24"/>
    </w:rPr>
  </w:style>
  <w:style w:type="paragraph" w:styleId="780">
    <w:name w:val="Quote"/>
    <w:basedOn w:val="920"/>
    <w:next w:val="920"/>
    <w:link w:val="781"/>
    <w:uiPriority w:val="29"/>
    <w:qFormat/>
    <w:pPr>
      <w:ind w:left="720" w:right="720"/>
    </w:pPr>
    <w:rPr>
      <w:i/>
    </w:rPr>
  </w:style>
  <w:style w:type="character" w:styleId="781">
    <w:name w:val="Quote Char"/>
    <w:link w:val="780"/>
    <w:uiPriority w:val="29"/>
    <w:rPr>
      <w:i/>
    </w:rPr>
  </w:style>
  <w:style w:type="paragraph" w:styleId="782">
    <w:name w:val="Intense Quote"/>
    <w:basedOn w:val="920"/>
    <w:next w:val="920"/>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character" w:styleId="784">
    <w:name w:val="Header Char"/>
    <w:basedOn w:val="930"/>
    <w:link w:val="954"/>
    <w:uiPriority w:val="99"/>
  </w:style>
  <w:style w:type="character" w:styleId="785">
    <w:name w:val="Footer Char"/>
    <w:basedOn w:val="930"/>
    <w:link w:val="952"/>
    <w:uiPriority w:val="99"/>
  </w:style>
  <w:style w:type="character" w:styleId="786">
    <w:name w:val="Caption Char"/>
    <w:basedOn w:val="937"/>
    <w:link w:val="952"/>
    <w:uiPriority w:val="99"/>
  </w:style>
  <w:style w:type="table" w:styleId="787">
    <w:name w:val="Table Grid Light"/>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9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9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basedOn w:val="9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basedOn w:val="9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basedOn w:val="9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basedOn w:val="9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basedOn w:val="9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basedOn w:val="9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basedOn w:val="9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basedOn w:val="9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basedOn w:val="9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basedOn w:val="9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basedOn w:val="9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basedOn w:val="9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basedOn w:val="9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basedOn w:val="9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basedOn w:val="9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basedOn w:val="9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basedOn w:val="9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basedOn w:val="9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basedOn w:val="9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basedOn w:val="9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basedOn w:val="9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basedOn w:val="9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basedOn w:val="9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basedOn w:val="9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basedOn w:val="9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basedOn w:val="9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basedOn w:val="9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basedOn w:val="9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basedOn w:val="9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basedOn w:val="9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basedOn w:val="9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basedOn w:val="9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basedOn w:val="9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basedOn w:val="9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basedOn w:val="9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basedOn w:val="9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basedOn w:val="9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basedOn w:val="9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basedOn w:val="9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basedOn w:val="9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basedOn w:val="9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basedOn w:val="9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basedOn w:val="9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basedOn w:val="9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basedOn w:val="9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basedOn w:val="9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basedOn w:val="9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basedOn w:val="9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basedOn w:val="9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basedOn w:val="9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basedOn w:val="9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basedOn w:val="9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basedOn w:val="9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basedOn w:val="9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basedOn w:val="9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basedOn w:val="9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basedOn w:val="9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basedOn w:val="9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basedOn w:val="9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basedOn w:val="9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basedOn w:val="9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basedOn w:val="9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basedOn w:val="9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basedOn w:val="9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basedOn w:val="9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basedOn w:val="9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basedOn w:val="9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basedOn w:val="9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basedOn w:val="9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basedOn w:val="9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2">
    <w:name w:val="footnote text"/>
    <w:basedOn w:val="920"/>
    <w:link w:val="913"/>
    <w:uiPriority w:val="99"/>
    <w:semiHidden/>
    <w:unhideWhenUsed/>
    <w:pPr>
      <w:spacing w:after="40" w:line="240" w:lineRule="auto"/>
    </w:pPr>
    <w:rPr>
      <w:sz w:val="18"/>
    </w:rPr>
  </w:style>
  <w:style w:type="character" w:styleId="913">
    <w:name w:val="Footnote Text Char"/>
    <w:link w:val="912"/>
    <w:uiPriority w:val="99"/>
    <w:rPr>
      <w:sz w:val="18"/>
    </w:rPr>
  </w:style>
  <w:style w:type="character" w:styleId="914">
    <w:name w:val="footnote reference"/>
    <w:basedOn w:val="930"/>
    <w:uiPriority w:val="99"/>
    <w:unhideWhenUsed/>
    <w:rPr>
      <w:vertAlign w:val="superscript"/>
    </w:rPr>
  </w:style>
  <w:style w:type="paragraph" w:styleId="915">
    <w:name w:val="endnote text"/>
    <w:basedOn w:val="920"/>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basedOn w:val="930"/>
    <w:uiPriority w:val="99"/>
    <w:semiHidden/>
    <w:unhideWhenUsed/>
    <w:rPr>
      <w:vertAlign w:val="superscript"/>
    </w:r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32"/>
    <w:uiPriority w:val="0"/>
    <w:qFormat/>
    <w:pPr>
      <w:jc w:val="both"/>
      <w:widowControl w:val="off"/>
    </w:pPr>
    <w:rPr>
      <w:rFonts w:ascii="Times New Roman" w:hAnsi="Times New Roman" w:eastAsia="宋体" w:cs="Times New Roman"/>
      <w:sz w:val="21"/>
      <w:szCs w:val="24"/>
      <w:lang w:val="en-US" w:eastAsia="zh-CN" w:bidi="ar-SA"/>
    </w:rPr>
  </w:style>
  <w:style w:type="paragraph" w:styleId="921">
    <w:name w:val="Heading 1"/>
    <w:basedOn w:val="920"/>
    <w:next w:val="920"/>
    <w:link w:val="979"/>
    <w:uiPriority w:val="0"/>
    <w:qFormat/>
    <w:pPr>
      <w:jc w:val="center"/>
      <w:keepLines/>
      <w:keepNext/>
      <w:spacing w:before="240" w:after="120" w:line="300" w:lineRule="auto"/>
      <w:outlineLvl w:val="0"/>
    </w:pPr>
    <w:rPr>
      <w:rFonts w:ascii="宋体"/>
      <w:b/>
      <w:sz w:val="32"/>
      <w:szCs w:val="20"/>
    </w:rPr>
  </w:style>
  <w:style w:type="paragraph" w:styleId="922">
    <w:name w:val="Heading 2"/>
    <w:basedOn w:val="920"/>
    <w:next w:val="934"/>
    <w:link w:val="989"/>
    <w:uiPriority w:val="0"/>
    <w:qFormat/>
    <w:pPr>
      <w:jc w:val="center"/>
      <w:keepLines/>
      <w:keepNext/>
      <w:spacing w:before="120" w:line="300" w:lineRule="auto"/>
      <w:outlineLvl w:val="1"/>
    </w:pPr>
    <w:rPr>
      <w:rFonts w:ascii="Arial" w:hAnsi="Arial" w:eastAsia="黑体"/>
      <w:b/>
      <w:sz w:val="30"/>
      <w:szCs w:val="20"/>
    </w:rPr>
  </w:style>
  <w:style w:type="paragraph" w:styleId="923">
    <w:name w:val="Heading 3"/>
    <w:basedOn w:val="920"/>
    <w:next w:val="920"/>
    <w:link w:val="990"/>
    <w:uiPriority w:val="0"/>
    <w:qFormat/>
    <w:pPr>
      <w:jc w:val="left"/>
      <w:keepLines/>
      <w:keepNext/>
      <w:spacing w:before="360" w:after="120"/>
      <w:outlineLvl w:val="2"/>
    </w:pPr>
    <w:rPr>
      <w:rFonts w:ascii="宋体"/>
      <w:b/>
      <w:sz w:val="24"/>
      <w:szCs w:val="20"/>
      <w:u w:val="single"/>
    </w:rPr>
  </w:style>
  <w:style w:type="paragraph" w:styleId="924">
    <w:name w:val="Heading 4"/>
    <w:basedOn w:val="920"/>
    <w:next w:val="920"/>
    <w:link w:val="991"/>
    <w:uiPriority w:val="0"/>
    <w:qFormat/>
    <w:pPr>
      <w:keepLines/>
      <w:keepNext/>
      <w:spacing w:before="280" w:after="290" w:line="376" w:lineRule="atLeast"/>
      <w:outlineLvl w:val="3"/>
    </w:pPr>
    <w:rPr>
      <w:rFonts w:ascii="Arial" w:hAnsi="Arial" w:eastAsia="黑体"/>
      <w:b/>
      <w:sz w:val="28"/>
      <w:szCs w:val="20"/>
    </w:rPr>
  </w:style>
  <w:style w:type="paragraph" w:styleId="925">
    <w:name w:val="Heading 5"/>
    <w:basedOn w:val="920"/>
    <w:next w:val="920"/>
    <w:link w:val="992"/>
    <w:uiPriority w:val="0"/>
    <w:qFormat/>
    <w:pPr>
      <w:keepLines/>
      <w:keepNext/>
      <w:spacing w:before="280" w:after="290" w:line="376" w:lineRule="atLeast"/>
      <w:outlineLvl w:val="4"/>
    </w:pPr>
    <w:rPr>
      <w:b/>
      <w:sz w:val="28"/>
      <w:szCs w:val="20"/>
    </w:rPr>
  </w:style>
  <w:style w:type="paragraph" w:styleId="926">
    <w:name w:val="Heading 6"/>
    <w:basedOn w:val="920"/>
    <w:next w:val="920"/>
    <w:link w:val="993"/>
    <w:uiPriority w:val="0"/>
    <w:qFormat/>
    <w:pPr>
      <w:keepLines/>
      <w:keepNext/>
      <w:spacing w:before="240" w:after="64" w:line="320" w:lineRule="atLeast"/>
      <w:outlineLvl w:val="5"/>
    </w:pPr>
    <w:rPr>
      <w:rFonts w:ascii="Arial" w:hAnsi="Arial" w:eastAsia="黑体"/>
      <w:b/>
      <w:sz w:val="24"/>
      <w:szCs w:val="20"/>
    </w:rPr>
  </w:style>
  <w:style w:type="paragraph" w:styleId="927">
    <w:name w:val="Heading 7"/>
    <w:basedOn w:val="920"/>
    <w:next w:val="920"/>
    <w:link w:val="994"/>
    <w:uiPriority w:val="0"/>
    <w:qFormat/>
    <w:pPr>
      <w:keepLines/>
      <w:keepNext/>
      <w:spacing w:before="240" w:after="64" w:line="320" w:lineRule="atLeast"/>
      <w:outlineLvl w:val="6"/>
    </w:pPr>
    <w:rPr>
      <w:b/>
      <w:sz w:val="24"/>
      <w:szCs w:val="20"/>
    </w:rPr>
  </w:style>
  <w:style w:type="paragraph" w:styleId="928">
    <w:name w:val="Heading 8"/>
    <w:basedOn w:val="920"/>
    <w:next w:val="920"/>
    <w:link w:val="995"/>
    <w:uiPriority w:val="0"/>
    <w:qFormat/>
    <w:pPr>
      <w:keepLines/>
      <w:keepNext/>
      <w:spacing w:before="240" w:after="64" w:line="320" w:lineRule="atLeast"/>
      <w:outlineLvl w:val="7"/>
    </w:pPr>
    <w:rPr>
      <w:rFonts w:ascii="Arial" w:hAnsi="Arial" w:eastAsia="黑体"/>
      <w:sz w:val="24"/>
      <w:szCs w:val="20"/>
    </w:rPr>
  </w:style>
  <w:style w:type="paragraph" w:styleId="929">
    <w:name w:val="Heading 9"/>
    <w:basedOn w:val="920"/>
    <w:next w:val="920"/>
    <w:link w:val="996"/>
    <w:uiPriority w:val="0"/>
    <w:qFormat/>
    <w:pPr>
      <w:keepLines/>
      <w:keepNext/>
      <w:spacing w:before="240" w:after="64" w:line="320" w:lineRule="atLeast"/>
      <w:outlineLvl w:val="8"/>
    </w:pPr>
    <w:rPr>
      <w:rFonts w:ascii="Arial" w:hAnsi="Arial" w:eastAsia="黑体"/>
      <w:szCs w:val="20"/>
    </w:rPr>
  </w:style>
  <w:style w:type="character" w:styleId="930" w:default="1">
    <w:name w:val="Default Paragraph Font"/>
    <w:uiPriority w:val="1"/>
    <w:semiHidden/>
    <w:unhideWhenUsed/>
    <w:qFormat/>
  </w:style>
  <w:style w:type="table" w:styleId="931" w:default="1">
    <w:name w:val="Normal Table"/>
    <w:uiPriority w:val="99"/>
    <w:semiHidden/>
    <w:unhideWhenUsed/>
    <w:qFormat/>
    <w:tblPr>
      <w:tblCellMar>
        <w:left w:w="108" w:type="dxa"/>
        <w:top w:w="0" w:type="dxa"/>
        <w:right w:w="108" w:type="dxa"/>
        <w:bottom w:w="0" w:type="dxa"/>
      </w:tblCellMar>
    </w:tblPr>
  </w:style>
  <w:style w:type="paragraph" w:styleId="932">
    <w:name w:val="Body Text First Indent"/>
    <w:basedOn w:val="933"/>
    <w:uiPriority w:val="0"/>
    <w:qFormat/>
    <w:pPr>
      <w:ind w:firstLine="420"/>
      <w:tabs>
        <w:tab w:val="left" w:pos="567" w:leader="none"/>
      </w:tabs>
    </w:pPr>
  </w:style>
  <w:style w:type="paragraph" w:styleId="933">
    <w:name w:val="Body Text"/>
    <w:basedOn w:val="920"/>
    <w:next w:val="920"/>
    <w:link w:val="1001"/>
    <w:uiPriority w:val="0"/>
    <w:qFormat/>
    <w:pPr>
      <w:spacing w:before="120" w:line="22" w:lineRule="atLeast"/>
      <w:tabs>
        <w:tab w:val="left" w:pos="567" w:leader="none"/>
      </w:tabs>
    </w:pPr>
    <w:rPr>
      <w:rFonts w:ascii="宋体" w:hAnsi="宋体"/>
      <w:sz w:val="24"/>
    </w:rPr>
  </w:style>
  <w:style w:type="paragraph" w:styleId="934" w:customStyle="1">
    <w:name w:val="Í¼±íÕýÎÄ"/>
    <w:basedOn w:val="920"/>
    <w:next w:val="935"/>
    <w:uiPriority w:val="0"/>
    <w:qFormat/>
    <w:pPr>
      <w:ind w:firstLine="420"/>
    </w:pPr>
    <w:rPr>
      <w:sz w:val="24"/>
    </w:rPr>
  </w:style>
  <w:style w:type="paragraph" w:styleId="935">
    <w:name w:val="Normal Indent"/>
    <w:basedOn w:val="920"/>
    <w:link w:val="997"/>
    <w:uiPriority w:val="0"/>
    <w:qFormat/>
    <w:pPr>
      <w:ind w:firstLine="420"/>
      <w:jc w:val="left"/>
    </w:pPr>
    <w:rPr>
      <w:rFonts w:ascii="宋体"/>
      <w:sz w:val="24"/>
    </w:rPr>
  </w:style>
  <w:style w:type="paragraph" w:styleId="936">
    <w:name w:val="toc 7"/>
    <w:basedOn w:val="920"/>
    <w:next w:val="920"/>
    <w:uiPriority w:val="0"/>
    <w:qFormat/>
    <w:pPr>
      <w:ind w:left="2520"/>
    </w:pPr>
  </w:style>
  <w:style w:type="paragraph" w:styleId="937">
    <w:name w:val="Caption"/>
    <w:basedOn w:val="920"/>
    <w:next w:val="920"/>
    <w:uiPriority w:val="0"/>
    <w:qFormat/>
    <w:pPr>
      <w:spacing w:line="480" w:lineRule="auto"/>
    </w:pPr>
    <w:rPr>
      <w:rFonts w:ascii="华文中宋" w:hAnsi="华文中宋" w:eastAsia="华文中宋"/>
      <w:sz w:val="36"/>
      <w:szCs w:val="20"/>
    </w:rPr>
  </w:style>
  <w:style w:type="paragraph" w:styleId="938">
    <w:name w:val="Document Map"/>
    <w:basedOn w:val="920"/>
    <w:link w:val="998"/>
    <w:uiPriority w:val="0"/>
    <w:qFormat/>
    <w:pPr>
      <w:shd w:val="clear" w:color="auto" w:fill="000080"/>
    </w:pPr>
  </w:style>
  <w:style w:type="paragraph" w:styleId="939">
    <w:name w:val="annotation text"/>
    <w:basedOn w:val="920"/>
    <w:link w:val="999"/>
    <w:uiPriority w:val="99"/>
    <w:qFormat/>
    <w:pPr>
      <w:jc w:val="left"/>
    </w:pPr>
  </w:style>
  <w:style w:type="paragraph" w:styleId="940">
    <w:name w:val="Body Text 3"/>
    <w:basedOn w:val="920"/>
    <w:link w:val="1000"/>
    <w:uiPriority w:val="0"/>
    <w:qFormat/>
    <w:pPr>
      <w:spacing w:after="120"/>
    </w:pPr>
    <w:rPr>
      <w:sz w:val="16"/>
      <w:szCs w:val="16"/>
    </w:rPr>
  </w:style>
  <w:style w:type="paragraph" w:styleId="941">
    <w:name w:val="Body Text Indent"/>
    <w:basedOn w:val="920"/>
    <w:link w:val="988"/>
    <w:uiPriority w:val="0"/>
    <w:qFormat/>
    <w:pPr>
      <w:ind w:firstLine="570"/>
      <w:spacing w:line="360" w:lineRule="auto"/>
    </w:pPr>
    <w:rPr>
      <w:sz w:val="24"/>
    </w:rPr>
  </w:style>
  <w:style w:type="paragraph" w:styleId="942">
    <w:name w:val="List 2"/>
    <w:basedOn w:val="920"/>
    <w:uiPriority w:val="0"/>
    <w:qFormat/>
    <w:pPr>
      <w:ind w:left="100" w:hanging="200"/>
    </w:pPr>
  </w:style>
  <w:style w:type="paragraph" w:styleId="943">
    <w:name w:val="Block Text"/>
    <w:basedOn w:val="920"/>
    <w:uiPriority w:val="0"/>
    <w:qFormat/>
    <w:pPr>
      <w:ind w:left="480" w:right="-341" w:firstLine="513"/>
      <w:widowControl/>
    </w:pPr>
    <w:rPr>
      <w:sz w:val="24"/>
      <w:szCs w:val="20"/>
    </w:rPr>
  </w:style>
  <w:style w:type="paragraph" w:styleId="944">
    <w:name w:val="index 4"/>
    <w:basedOn w:val="920"/>
    <w:next w:val="920"/>
    <w:uiPriority w:val="0"/>
    <w:qFormat/>
    <w:pPr>
      <w:ind w:left="600"/>
    </w:pPr>
    <w:rPr>
      <w:rFonts w:ascii="Calibri" w:hAnsi="Calibri"/>
      <w:szCs w:val="22"/>
    </w:rPr>
  </w:style>
  <w:style w:type="paragraph" w:styleId="945">
    <w:name w:val="toc 5"/>
    <w:basedOn w:val="920"/>
    <w:next w:val="920"/>
    <w:uiPriority w:val="0"/>
    <w:qFormat/>
    <w:pPr>
      <w:ind w:left="1680"/>
    </w:pPr>
  </w:style>
  <w:style w:type="paragraph" w:styleId="946">
    <w:name w:val="toc 3"/>
    <w:basedOn w:val="920"/>
    <w:next w:val="920"/>
    <w:uiPriority w:val="39"/>
    <w:qFormat/>
    <w:pPr>
      <w:ind w:left="840"/>
    </w:pPr>
  </w:style>
  <w:style w:type="paragraph" w:styleId="947">
    <w:name w:val="Plain Text"/>
    <w:basedOn w:val="920"/>
    <w:next w:val="935"/>
    <w:link w:val="1002"/>
    <w:uiPriority w:val="0"/>
    <w:qFormat/>
    <w:rPr>
      <w:rFonts w:hint="eastAsia" w:ascii="宋体" w:hAnsi="Courier New"/>
      <w:szCs w:val="20"/>
    </w:rPr>
  </w:style>
  <w:style w:type="paragraph" w:styleId="948">
    <w:name w:val="toc 8"/>
    <w:basedOn w:val="920"/>
    <w:next w:val="920"/>
    <w:uiPriority w:val="0"/>
    <w:qFormat/>
    <w:pPr>
      <w:ind w:left="2940"/>
    </w:pPr>
  </w:style>
  <w:style w:type="paragraph" w:styleId="949">
    <w:name w:val="Date"/>
    <w:basedOn w:val="920"/>
    <w:next w:val="920"/>
    <w:link w:val="1003"/>
    <w:uiPriority w:val="0"/>
    <w:qFormat/>
    <w:pPr>
      <w:ind w:left="100"/>
    </w:pPr>
    <w:rPr>
      <w:rFonts w:ascii="仿宋_GB2312" w:hAnsi="宋体" w:eastAsia="仿宋_GB2312"/>
      <w:color w:val="000000"/>
      <w:sz w:val="24"/>
    </w:rPr>
  </w:style>
  <w:style w:type="paragraph" w:styleId="950">
    <w:name w:val="Body Text Indent 2"/>
    <w:basedOn w:val="920"/>
    <w:link w:val="1004"/>
    <w:uiPriority w:val="0"/>
    <w:qFormat/>
    <w:pPr>
      <w:ind w:firstLine="480"/>
    </w:pPr>
    <w:rPr>
      <w:rFonts w:ascii="仿宋_GB2312" w:eastAsia="仿宋_GB2312"/>
      <w:sz w:val="24"/>
    </w:rPr>
  </w:style>
  <w:style w:type="paragraph" w:styleId="951">
    <w:name w:val="Balloon Text"/>
    <w:basedOn w:val="920"/>
    <w:link w:val="1005"/>
    <w:uiPriority w:val="0"/>
    <w:qFormat/>
    <w:rPr>
      <w:sz w:val="18"/>
      <w:szCs w:val="18"/>
    </w:rPr>
  </w:style>
  <w:style w:type="paragraph" w:styleId="952">
    <w:name w:val="Footer"/>
    <w:basedOn w:val="920"/>
    <w:link w:val="1006"/>
    <w:uiPriority w:val="99"/>
    <w:qFormat/>
    <w:pPr>
      <w:jc w:val="left"/>
      <w:tabs>
        <w:tab w:val="center" w:pos="4153" w:leader="none"/>
        <w:tab w:val="right" w:pos="8306" w:leader="none"/>
      </w:tabs>
    </w:pPr>
    <w:rPr>
      <w:rFonts w:ascii="宋体"/>
      <w:sz w:val="18"/>
      <w:szCs w:val="20"/>
    </w:rPr>
  </w:style>
  <w:style w:type="paragraph" w:styleId="953">
    <w:name w:val="envelope return"/>
    <w:basedOn w:val="920"/>
    <w:uiPriority w:val="99"/>
    <w:unhideWhenUsed/>
    <w:qFormat/>
    <w:rPr>
      <w:rFonts w:ascii="Arial" w:hAnsi="Arial"/>
    </w:rPr>
  </w:style>
  <w:style w:type="paragraph" w:styleId="954">
    <w:name w:val="Header"/>
    <w:basedOn w:val="920"/>
    <w:link w:val="1007"/>
    <w:uiPriority w:val="0"/>
    <w:qFormat/>
    <w:pPr>
      <w:jc w:val="center"/>
      <w:tabs>
        <w:tab w:val="center" w:pos="4153" w:leader="none"/>
        <w:tab w:val="right" w:pos="8306" w:leader="none"/>
      </w:tabs>
      <w:pBdr>
        <w:bottom w:val="single" w:color="auto" w:sz="6" w:space="1"/>
      </w:pBdr>
    </w:pPr>
    <w:rPr>
      <w:sz w:val="18"/>
      <w:szCs w:val="18"/>
    </w:rPr>
  </w:style>
  <w:style w:type="paragraph" w:styleId="955">
    <w:name w:val="toc 1"/>
    <w:basedOn w:val="920"/>
    <w:next w:val="920"/>
    <w:uiPriority w:val="39"/>
    <w:qFormat/>
    <w:pPr>
      <w:spacing w:line="300" w:lineRule="auto"/>
      <w:tabs>
        <w:tab w:val="left" w:pos="1050" w:leader="none"/>
        <w:tab w:val="right" w:pos="8937" w:leader="dot"/>
      </w:tabs>
    </w:pPr>
    <w:rPr>
      <w:rFonts w:ascii="宋体" w:hAnsi="宋体"/>
      <w:b/>
      <w:sz w:val="24"/>
    </w:rPr>
  </w:style>
  <w:style w:type="paragraph" w:styleId="956">
    <w:name w:val="toc 4"/>
    <w:basedOn w:val="920"/>
    <w:next w:val="920"/>
    <w:uiPriority w:val="0"/>
    <w:qFormat/>
    <w:pPr>
      <w:ind w:left="1260"/>
    </w:pPr>
  </w:style>
  <w:style w:type="paragraph" w:styleId="957">
    <w:name w:val="toc 6"/>
    <w:basedOn w:val="920"/>
    <w:next w:val="920"/>
    <w:uiPriority w:val="0"/>
    <w:qFormat/>
    <w:pPr>
      <w:ind w:left="2100"/>
    </w:pPr>
  </w:style>
  <w:style w:type="paragraph" w:styleId="958">
    <w:name w:val="Body Text Indent 3"/>
    <w:basedOn w:val="920"/>
    <w:link w:val="1008"/>
    <w:uiPriority w:val="0"/>
    <w:qFormat/>
    <w:pPr>
      <w:ind w:left="720" w:firstLine="480"/>
      <w:jc w:val="left"/>
      <w:spacing w:before="120" w:line="22" w:lineRule="atLeast"/>
    </w:pPr>
    <w:rPr>
      <w:rFonts w:ascii="宋体"/>
      <w:sz w:val="24"/>
      <w:szCs w:val="20"/>
    </w:rPr>
  </w:style>
  <w:style w:type="paragraph" w:styleId="959">
    <w:name w:val="toc 2"/>
    <w:basedOn w:val="920"/>
    <w:next w:val="920"/>
    <w:uiPriority w:val="39"/>
    <w:qFormat/>
    <w:pPr>
      <w:ind w:left="420"/>
      <w:spacing w:line="312" w:lineRule="auto"/>
      <w:tabs>
        <w:tab w:val="right" w:pos="8937" w:leader="dot"/>
      </w:tabs>
    </w:pPr>
  </w:style>
  <w:style w:type="paragraph" w:styleId="960">
    <w:name w:val="toc 9"/>
    <w:basedOn w:val="920"/>
    <w:next w:val="920"/>
    <w:uiPriority w:val="0"/>
    <w:qFormat/>
    <w:pPr>
      <w:ind w:left="3360"/>
    </w:pPr>
  </w:style>
  <w:style w:type="paragraph" w:styleId="961">
    <w:name w:val="HTML Preformatted"/>
    <w:basedOn w:val="920"/>
    <w:link w:val="100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62">
    <w:name w:val="Normal (Web)"/>
    <w:basedOn w:val="920"/>
    <w:uiPriority w:val="99"/>
    <w:unhideWhenUsed/>
    <w:qFormat/>
    <w:pPr>
      <w:jc w:val="left"/>
      <w:spacing w:before="100" w:beforeAutospacing="1" w:after="100" w:afterAutospacing="1"/>
      <w:widowControl/>
    </w:pPr>
    <w:rPr>
      <w:rFonts w:ascii="宋体" w:hAnsi="宋体" w:cs="宋体"/>
      <w:sz w:val="24"/>
    </w:rPr>
  </w:style>
  <w:style w:type="paragraph" w:styleId="963">
    <w:name w:val="index 1"/>
    <w:basedOn w:val="920"/>
    <w:next w:val="920"/>
    <w:uiPriority w:val="0"/>
    <w:qFormat/>
    <w:rPr>
      <w:szCs w:val="20"/>
    </w:rPr>
  </w:style>
  <w:style w:type="paragraph" w:styleId="964">
    <w:name w:val="Title"/>
    <w:basedOn w:val="920"/>
    <w:link w:val="1010"/>
    <w:uiPriority w:val="0"/>
    <w:qFormat/>
    <w:pPr>
      <w:jc w:val="center"/>
      <w:outlineLvl w:val="0"/>
    </w:pPr>
    <w:rPr>
      <w:b/>
      <w:sz w:val="32"/>
      <w:szCs w:val="20"/>
    </w:rPr>
  </w:style>
  <w:style w:type="paragraph" w:styleId="965">
    <w:name w:val="annotation subject"/>
    <w:basedOn w:val="939"/>
    <w:next w:val="939"/>
    <w:link w:val="1011"/>
    <w:uiPriority w:val="0"/>
    <w:qFormat/>
    <w:rPr>
      <w:b/>
      <w:bCs/>
    </w:rPr>
  </w:style>
  <w:style w:type="paragraph" w:styleId="966">
    <w:name w:val="Body Text First Indent 2"/>
    <w:basedOn w:val="941"/>
    <w:link w:val="1012"/>
    <w:uiPriority w:val="0"/>
    <w:qFormat/>
    <w:pPr>
      <w:ind w:left="420" w:firstLine="420"/>
      <w:spacing w:after="120" w:line="480" w:lineRule="exact"/>
    </w:pPr>
    <w:rPr>
      <w:szCs w:val="20"/>
    </w:rPr>
  </w:style>
  <w:style w:type="table" w:styleId="967">
    <w:name w:val="Table Grid"/>
    <w:basedOn w:val="93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8">
    <w:name w:val="Medium Grid 1 Accent 2"/>
    <w:basedOn w:val="931"/>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69">
    <w:name w:val="Strong"/>
    <w:uiPriority w:val="0"/>
    <w:qFormat/>
    <w:rPr>
      <w:b/>
      <w:bCs/>
    </w:rPr>
  </w:style>
  <w:style w:type="character" w:styleId="970">
    <w:name w:val="page number"/>
    <w:basedOn w:val="930"/>
    <w:uiPriority w:val="0"/>
    <w:qFormat/>
  </w:style>
  <w:style w:type="character" w:styleId="971">
    <w:name w:val="FollowedHyperlink"/>
    <w:uiPriority w:val="0"/>
    <w:qFormat/>
    <w:rPr>
      <w:color w:val="800080"/>
      <w:u w:val="single"/>
    </w:rPr>
  </w:style>
  <w:style w:type="character" w:styleId="972">
    <w:name w:val="Emphasis"/>
    <w:uiPriority w:val="0"/>
    <w:qFormat/>
    <w:rPr>
      <w:color w:val="cc0033"/>
    </w:rPr>
  </w:style>
  <w:style w:type="character" w:styleId="973">
    <w:name w:val="Hyperlink"/>
    <w:uiPriority w:val="99"/>
    <w:qFormat/>
    <w:rPr>
      <w:color w:val="0000ff"/>
      <w:u w:val="single"/>
    </w:rPr>
  </w:style>
  <w:style w:type="character" w:styleId="974">
    <w:name w:val="annotation reference"/>
    <w:uiPriority w:val="99"/>
    <w:qFormat/>
    <w:rPr>
      <w:sz w:val="21"/>
      <w:szCs w:val="21"/>
    </w:rPr>
  </w:style>
  <w:style w:type="character" w:styleId="975">
    <w:name w:val="HTML Cite"/>
    <w:uiPriority w:val="0"/>
    <w:qFormat/>
    <w:rPr>
      <w:i/>
      <w:iCs/>
    </w:rPr>
  </w:style>
  <w:style w:type="paragraph" w:styleId="976" w:customStyle="1">
    <w:name w:val="正文首行缩进 21"/>
    <w:basedOn w:val="977"/>
    <w:uiPriority w:val="0"/>
    <w:qFormat/>
    <w:pPr>
      <w:ind w:left="420" w:firstLine="420"/>
      <w:spacing w:after="120" w:line="480" w:lineRule="exact"/>
    </w:pPr>
  </w:style>
  <w:style w:type="paragraph" w:styleId="977" w:customStyle="1">
    <w:name w:val="正文文本缩进11"/>
    <w:basedOn w:val="920"/>
    <w:next w:val="920"/>
    <w:uiPriority w:val="0"/>
    <w:qFormat/>
    <w:pPr>
      <w:ind w:firstLine="570"/>
      <w:spacing w:line="360" w:lineRule="auto"/>
    </w:pPr>
    <w:rPr>
      <w:sz w:val="24"/>
    </w:rPr>
  </w:style>
  <w:style w:type="paragraph" w:styleId="978" w:customStyle="1">
    <w:name w:val="样式4"/>
    <w:basedOn w:val="920"/>
    <w:uiPriority w:val="0"/>
    <w:qFormat/>
    <w:rPr>
      <w:sz w:val="24"/>
    </w:rPr>
  </w:style>
  <w:style w:type="character" w:styleId="979" w:customStyle="1">
    <w:name w:val="标题 1 字符"/>
    <w:link w:val="921"/>
    <w:uiPriority w:val="0"/>
    <w:qFormat/>
    <w:rPr>
      <w:rFonts w:ascii="宋体"/>
      <w:b/>
      <w:sz w:val="32"/>
    </w:rPr>
  </w:style>
  <w:style w:type="character" w:styleId="980" w:customStyle="1">
    <w:name w:val="标题 2 Char"/>
    <w:uiPriority w:val="0"/>
    <w:qFormat/>
    <w:rPr>
      <w:rFonts w:ascii="Arial" w:hAnsi="Arial" w:eastAsia="黑体"/>
      <w:b/>
      <w:sz w:val="30"/>
      <w:lang w:val="en-US" w:eastAsia="zh-CN" w:bidi="ar-SA"/>
    </w:rPr>
  </w:style>
  <w:style w:type="paragraph" w:styleId="981" w:customStyle="1">
    <w:name w:val="首行缩进"/>
    <w:basedOn w:val="920"/>
    <w:uiPriority w:val="0"/>
    <w:qFormat/>
    <w:pPr>
      <w:ind w:firstLine="480"/>
      <w:jc w:val="left"/>
      <w:spacing w:line="360" w:lineRule="auto"/>
    </w:pPr>
    <w:rPr>
      <w:rFonts w:ascii="宋体" w:hAnsi="宋体"/>
      <w:sz w:val="24"/>
    </w:rPr>
  </w:style>
  <w:style w:type="paragraph" w:styleId="982" w:customStyle="1">
    <w:name w:val="段"/>
    <w:basedOn w:val="920"/>
    <w:next w:val="920"/>
    <w:uiPriority w:val="0"/>
    <w:qFormat/>
    <w:pPr>
      <w:ind w:firstLine="200"/>
      <w:widowControl/>
    </w:pPr>
    <w:rPr>
      <w:rFonts w:hint="eastAsia" w:ascii="宋体"/>
    </w:rPr>
  </w:style>
  <w:style w:type="paragraph" w:styleId="983" w:customStyle="1">
    <w:name w:val="一级条标题"/>
    <w:basedOn w:val="984"/>
    <w:next w:val="982"/>
    <w:uiPriority w:val="0"/>
    <w:qFormat/>
    <w:pPr>
      <w:numPr>
        <w:ilvl w:val="1"/>
      </w:numPr>
      <w:ind w:left="0" w:hanging="840"/>
      <w:tabs>
        <w:tab w:val="left" w:pos="360" w:leader="none"/>
        <w:tab w:val="left" w:pos="840" w:leader="none"/>
      </w:tabs>
      <w:outlineLvl w:val="1"/>
    </w:pPr>
  </w:style>
  <w:style w:type="paragraph" w:styleId="984" w:customStyle="1">
    <w:name w:val="章标题"/>
    <w:next w:val="920"/>
    <w:uiPriority w:val="0"/>
    <w:qFormat/>
    <w:pPr>
      <w:numPr>
        <w:ilvl w:val="0"/>
        <w:numId w:val="1"/>
      </w:numPr>
      <w:ind w:left="0"/>
      <w:jc w:val="both"/>
      <w:spacing w:line="460" w:lineRule="exact"/>
      <w:outlineLvl w:val="0"/>
    </w:pPr>
    <w:rPr>
      <w:rFonts w:ascii="黑体" w:hAnsi="Times New Roman" w:eastAsia="黑体" w:cs="Times New Roman"/>
      <w:b/>
      <w:sz w:val="28"/>
      <w:lang w:val="en-US" w:eastAsia="zh-CN" w:bidi="ar-SA"/>
    </w:rPr>
  </w:style>
  <w:style w:type="paragraph" w:styleId="985" w:customStyle="1">
    <w:name w:val="正文 A"/>
    <w:next w:val="982"/>
    <w:uiPriority w:val="0"/>
    <w:qFormat/>
    <w:pPr>
      <w:jc w:val="both"/>
      <w:widowControl w:val="off"/>
    </w:pPr>
    <w:rPr>
      <w:rFonts w:ascii="Calibri" w:hAnsi="Calibri" w:eastAsia="宋体" w:cs="Times New Roman"/>
      <w:color w:val="000000"/>
      <w:sz w:val="21"/>
      <w:szCs w:val="21"/>
      <w:lang w:val="en-US" w:eastAsia="zh-CN" w:bidi="ar-SA"/>
    </w:rPr>
  </w:style>
  <w:style w:type="paragraph" w:styleId="986"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987" w:customStyle="1">
    <w:name w:val="xl25"/>
    <w:basedOn w:val="9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character" w:styleId="988" w:customStyle="1">
    <w:name w:val="正文文本缩进 字符"/>
    <w:link w:val="941"/>
    <w:uiPriority w:val="0"/>
    <w:qFormat/>
    <w:rPr>
      <w:rFonts w:eastAsia="宋体"/>
      <w:sz w:val="24"/>
      <w:szCs w:val="24"/>
      <w:lang w:val="en-US" w:eastAsia="zh-CN" w:bidi="ar-SA"/>
    </w:rPr>
  </w:style>
  <w:style w:type="character" w:styleId="989" w:customStyle="1">
    <w:name w:val="标题 2 字符"/>
    <w:link w:val="922"/>
    <w:uiPriority w:val="0"/>
    <w:qFormat/>
    <w:rPr>
      <w:rFonts w:ascii="Arial" w:hAnsi="Arial" w:eastAsia="黑体"/>
      <w:b/>
      <w:sz w:val="30"/>
      <w:lang w:val="en-US" w:eastAsia="zh-CN" w:bidi="ar-SA"/>
    </w:rPr>
  </w:style>
  <w:style w:type="character" w:styleId="990" w:customStyle="1">
    <w:name w:val="标题 3 字符"/>
    <w:link w:val="923"/>
    <w:uiPriority w:val="0"/>
    <w:qFormat/>
    <w:rPr>
      <w:rFonts w:ascii="宋体" w:eastAsia="宋体"/>
      <w:b/>
      <w:sz w:val="24"/>
      <w:u w:val="single"/>
      <w:lang w:val="en-US" w:eastAsia="zh-CN" w:bidi="ar-SA"/>
    </w:rPr>
  </w:style>
  <w:style w:type="character" w:styleId="991" w:customStyle="1">
    <w:name w:val="标题 4 字符"/>
    <w:link w:val="924"/>
    <w:uiPriority w:val="0"/>
    <w:qFormat/>
    <w:rPr>
      <w:rFonts w:ascii="Arial" w:hAnsi="Arial" w:eastAsia="黑体"/>
      <w:b/>
      <w:sz w:val="28"/>
    </w:rPr>
  </w:style>
  <w:style w:type="character" w:styleId="992" w:customStyle="1">
    <w:name w:val="标题 5 字符"/>
    <w:link w:val="925"/>
    <w:uiPriority w:val="0"/>
    <w:qFormat/>
    <w:rPr>
      <w:b/>
      <w:sz w:val="28"/>
    </w:rPr>
  </w:style>
  <w:style w:type="character" w:styleId="993" w:customStyle="1">
    <w:name w:val="标题 6 字符"/>
    <w:link w:val="926"/>
    <w:uiPriority w:val="0"/>
    <w:qFormat/>
    <w:rPr>
      <w:rFonts w:ascii="Arial" w:hAnsi="Arial" w:eastAsia="黑体"/>
      <w:b/>
      <w:sz w:val="24"/>
    </w:rPr>
  </w:style>
  <w:style w:type="character" w:styleId="994" w:customStyle="1">
    <w:name w:val="标题 7 字符"/>
    <w:link w:val="927"/>
    <w:uiPriority w:val="0"/>
    <w:qFormat/>
    <w:rPr>
      <w:b/>
      <w:sz w:val="24"/>
    </w:rPr>
  </w:style>
  <w:style w:type="character" w:styleId="995" w:customStyle="1">
    <w:name w:val="标题 8 字符"/>
    <w:link w:val="928"/>
    <w:uiPriority w:val="0"/>
    <w:qFormat/>
    <w:rPr>
      <w:rFonts w:ascii="Arial" w:hAnsi="Arial" w:eastAsia="黑体"/>
      <w:sz w:val="24"/>
    </w:rPr>
  </w:style>
  <w:style w:type="character" w:styleId="996" w:customStyle="1">
    <w:name w:val="标题 9 字符"/>
    <w:link w:val="929"/>
    <w:uiPriority w:val="0"/>
    <w:qFormat/>
    <w:rPr>
      <w:rFonts w:ascii="Arial" w:hAnsi="Arial" w:eastAsia="黑体"/>
      <w:sz w:val="21"/>
    </w:rPr>
  </w:style>
  <w:style w:type="character" w:styleId="997" w:customStyle="1">
    <w:name w:val="正文缩进 字符"/>
    <w:link w:val="935"/>
    <w:uiPriority w:val="0"/>
    <w:qFormat/>
    <w:rPr>
      <w:rFonts w:ascii="宋体" w:eastAsia="宋体"/>
      <w:sz w:val="24"/>
      <w:szCs w:val="24"/>
      <w:lang w:val="en-US" w:eastAsia="zh-CN" w:bidi="ar-SA"/>
    </w:rPr>
  </w:style>
  <w:style w:type="character" w:styleId="998" w:customStyle="1">
    <w:name w:val="文档结构图 字符"/>
    <w:link w:val="938"/>
    <w:uiPriority w:val="0"/>
    <w:qFormat/>
    <w:rPr>
      <w:sz w:val="21"/>
      <w:szCs w:val="24"/>
      <w:shd w:val="clear" w:color="auto" w:fill="000080"/>
    </w:rPr>
  </w:style>
  <w:style w:type="character" w:styleId="999" w:customStyle="1">
    <w:name w:val="批注文字 字符1"/>
    <w:link w:val="939"/>
    <w:uiPriority w:val="99"/>
    <w:qFormat/>
    <w:rPr>
      <w:sz w:val="21"/>
      <w:szCs w:val="24"/>
    </w:rPr>
  </w:style>
  <w:style w:type="character" w:styleId="1000" w:customStyle="1">
    <w:name w:val="正文文本 3 字符"/>
    <w:link w:val="940"/>
    <w:uiPriority w:val="0"/>
    <w:qFormat/>
    <w:rPr>
      <w:sz w:val="16"/>
      <w:szCs w:val="16"/>
    </w:rPr>
  </w:style>
  <w:style w:type="character" w:styleId="1001" w:customStyle="1">
    <w:name w:val="正文文本 字符"/>
    <w:link w:val="933"/>
    <w:uiPriority w:val="0"/>
    <w:qFormat/>
    <w:rPr>
      <w:rFonts w:ascii="宋体" w:hAnsi="宋体"/>
      <w:sz w:val="24"/>
      <w:szCs w:val="24"/>
    </w:rPr>
  </w:style>
  <w:style w:type="character" w:styleId="1002" w:customStyle="1">
    <w:name w:val="纯文本 字符2"/>
    <w:link w:val="947"/>
    <w:uiPriority w:val="0"/>
    <w:qFormat/>
    <w:rPr>
      <w:rFonts w:hint="eastAsia" w:ascii="宋体" w:hAnsi="Courier New" w:eastAsia="宋体" w:cs="宋体"/>
      <w:sz w:val="21"/>
    </w:rPr>
  </w:style>
  <w:style w:type="character" w:styleId="1003" w:customStyle="1">
    <w:name w:val="日期 字符"/>
    <w:link w:val="949"/>
    <w:uiPriority w:val="0"/>
    <w:qFormat/>
    <w:rPr>
      <w:rFonts w:ascii="仿宋_GB2312" w:hAnsi="宋体" w:eastAsia="仿宋_GB2312"/>
      <w:color w:val="000000"/>
      <w:sz w:val="24"/>
      <w:szCs w:val="24"/>
    </w:rPr>
  </w:style>
  <w:style w:type="character" w:styleId="1004" w:customStyle="1">
    <w:name w:val="正文文本缩进 2 字符"/>
    <w:link w:val="950"/>
    <w:uiPriority w:val="0"/>
    <w:qFormat/>
    <w:rPr>
      <w:rFonts w:ascii="仿宋_GB2312" w:eastAsia="仿宋_GB2312"/>
      <w:sz w:val="24"/>
      <w:szCs w:val="24"/>
    </w:rPr>
  </w:style>
  <w:style w:type="character" w:styleId="1005" w:customStyle="1">
    <w:name w:val="批注框文本 字符"/>
    <w:link w:val="951"/>
    <w:uiPriority w:val="0"/>
    <w:qFormat/>
    <w:rPr>
      <w:sz w:val="18"/>
      <w:szCs w:val="18"/>
    </w:rPr>
  </w:style>
  <w:style w:type="character" w:styleId="1006" w:customStyle="1">
    <w:name w:val="页脚 字符"/>
    <w:link w:val="952"/>
    <w:uiPriority w:val="99"/>
    <w:qFormat/>
    <w:rPr>
      <w:rFonts w:ascii="宋体" w:eastAsia="宋体"/>
      <w:sz w:val="18"/>
      <w:lang w:val="en-US" w:eastAsia="zh-CN" w:bidi="ar-SA"/>
    </w:rPr>
  </w:style>
  <w:style w:type="character" w:styleId="1007" w:customStyle="1">
    <w:name w:val="页眉 字符"/>
    <w:link w:val="954"/>
    <w:uiPriority w:val="0"/>
    <w:qFormat/>
    <w:rPr>
      <w:rFonts w:eastAsia="宋体"/>
      <w:sz w:val="18"/>
      <w:szCs w:val="18"/>
      <w:lang w:val="en-US" w:eastAsia="zh-CN" w:bidi="ar-SA"/>
    </w:rPr>
  </w:style>
  <w:style w:type="character" w:styleId="1008" w:customStyle="1">
    <w:name w:val="正文文本缩进 3 字符"/>
    <w:link w:val="958"/>
    <w:uiPriority w:val="0"/>
    <w:qFormat/>
    <w:rPr>
      <w:rFonts w:ascii="宋体"/>
      <w:sz w:val="24"/>
    </w:rPr>
  </w:style>
  <w:style w:type="character" w:styleId="1009" w:customStyle="1">
    <w:name w:val="HTML 预设格式 字符"/>
    <w:link w:val="961"/>
    <w:uiPriority w:val="0"/>
    <w:qFormat/>
    <w:rPr>
      <w:rFonts w:ascii="宋体" w:hAnsi="宋体" w:cs="宋体"/>
      <w:sz w:val="24"/>
      <w:szCs w:val="24"/>
    </w:rPr>
  </w:style>
  <w:style w:type="character" w:styleId="1010" w:customStyle="1">
    <w:name w:val="标题 字符"/>
    <w:link w:val="964"/>
    <w:uiPriority w:val="0"/>
    <w:qFormat/>
    <w:rPr>
      <w:b/>
      <w:sz w:val="32"/>
    </w:rPr>
  </w:style>
  <w:style w:type="character" w:styleId="1011" w:customStyle="1">
    <w:name w:val="批注主题 字符"/>
    <w:link w:val="965"/>
    <w:uiPriority w:val="0"/>
    <w:qFormat/>
    <w:rPr>
      <w:rFonts w:ascii="Times New Roman" w:hAnsi="Times New Roman" w:eastAsia="宋体" w:cs="Times New Roman"/>
      <w:b/>
      <w:bCs/>
      <w:sz w:val="21"/>
      <w:szCs w:val="24"/>
      <w:lang w:val="en-US" w:eastAsia="zh-CN" w:bidi="ar-SA"/>
    </w:rPr>
  </w:style>
  <w:style w:type="character" w:styleId="1012" w:customStyle="1">
    <w:name w:val="正文文本首行缩进 2 字符"/>
    <w:link w:val="966"/>
    <w:uiPriority w:val="0"/>
    <w:qFormat/>
    <w:rPr>
      <w:rFonts w:eastAsia="宋体"/>
      <w:sz w:val="24"/>
      <w:szCs w:val="24"/>
      <w:lang w:val="en-US" w:eastAsia="zh-CN" w:bidi="ar-SA"/>
    </w:rPr>
  </w:style>
  <w:style w:type="character" w:styleId="1013" w:customStyle="1">
    <w:name w:val="批注文字 字符"/>
    <w:uiPriority w:val="99"/>
    <w:qFormat/>
    <w:rPr>
      <w:rFonts w:ascii="Times New Roman" w:hAnsi="Times New Roman" w:eastAsia="宋体" w:cs="Times New Roman"/>
      <w:sz w:val="24"/>
      <w:lang w:val="en-US" w:eastAsia="zh-CN" w:bidi="ar-SA"/>
    </w:rPr>
  </w:style>
  <w:style w:type="character" w:styleId="1014" w:customStyle="1">
    <w:name w:val="Char Char111"/>
    <w:uiPriority w:val="0"/>
    <w:qFormat/>
    <w:rPr>
      <w:rFonts w:ascii="宋体" w:eastAsia="宋体"/>
      <w:b/>
      <w:sz w:val="24"/>
      <w:u w:val="single"/>
      <w:lang w:val="en-US" w:eastAsia="zh-CN" w:bidi="ar-SA"/>
    </w:rPr>
  </w:style>
  <w:style w:type="character" w:styleId="1015" w:customStyle="1">
    <w:name w:val="font181"/>
    <w:uiPriority w:val="0"/>
    <w:qFormat/>
    <w:rPr>
      <w:rFonts w:ascii="微软雅黑" w:hAnsi="微软雅黑" w:eastAsia="微软雅黑" w:cs="微软雅黑"/>
      <w:color w:val="000000"/>
      <w:sz w:val="21"/>
      <w:szCs w:val="21"/>
      <w:u w:val="none"/>
    </w:rPr>
  </w:style>
  <w:style w:type="character" w:styleId="1016" w:customStyle="1">
    <w:name w:val="font121"/>
    <w:uiPriority w:val="0"/>
    <w:qFormat/>
    <w:rPr>
      <w:rFonts w:hint="eastAsia" w:ascii="宋体" w:hAnsi="宋体" w:eastAsia="宋体" w:cs="宋体"/>
      <w:color w:val="000000"/>
      <w:sz w:val="20"/>
      <w:szCs w:val="20"/>
      <w:u w:val="none"/>
      <w:vertAlign w:val="superscript"/>
    </w:rPr>
  </w:style>
  <w:style w:type="character" w:styleId="1017" w:customStyle="1">
    <w:name w:val="列出段落 Char"/>
    <w:uiPriority w:val="0"/>
    <w:qFormat/>
    <w:rPr>
      <w:rFonts w:ascii="Calibri" w:hAnsi="Calibri" w:eastAsia="宋体"/>
      <w:sz w:val="21"/>
      <w:szCs w:val="22"/>
      <w:lang w:val="en-US" w:eastAsia="zh-CN" w:bidi="ar-SA"/>
    </w:rPr>
  </w:style>
  <w:style w:type="character" w:styleId="1018" w:customStyle="1">
    <w:name w:val="正文文本缩进 Char1"/>
    <w:link w:val="1019"/>
    <w:uiPriority w:val="0"/>
    <w:qFormat/>
    <w:rPr>
      <w:rFonts w:ascii="宋体" w:hAnsi="宋体" w:eastAsia="宋体"/>
      <w:sz w:val="24"/>
      <w:szCs w:val="24"/>
      <w:lang w:bidi="ar-SA"/>
    </w:rPr>
  </w:style>
  <w:style w:type="paragraph" w:styleId="1019" w:customStyle="1">
    <w:name w:val="正文文本缩进1"/>
    <w:basedOn w:val="920"/>
    <w:link w:val="1018"/>
    <w:uiPriority w:val="0"/>
    <w:qFormat/>
    <w:pPr>
      <w:ind w:firstLine="480"/>
      <w:spacing w:line="480" w:lineRule="exact"/>
    </w:pPr>
    <w:rPr>
      <w:rFonts w:ascii="宋体" w:hAnsi="宋体"/>
      <w:sz w:val="24"/>
    </w:rPr>
  </w:style>
  <w:style w:type="character" w:styleId="1020" w:customStyle="1">
    <w:name w:val="font51"/>
    <w:uiPriority w:val="0"/>
    <w:qFormat/>
    <w:rPr>
      <w:rFonts w:hint="eastAsia" w:ascii="宋体" w:hAnsi="宋体" w:eastAsia="宋体" w:cs="宋体"/>
      <w:color w:val="000000"/>
      <w:sz w:val="22"/>
      <w:szCs w:val="22"/>
      <w:u w:val="none"/>
    </w:rPr>
  </w:style>
  <w:style w:type="character" w:styleId="1021" w:customStyle="1">
    <w:name w:val="普通文字1 Char1"/>
    <w:uiPriority w:val="0"/>
    <w:qFormat/>
    <w:rPr>
      <w:rFonts w:ascii="宋体" w:hAnsi="Courier New" w:eastAsia="宋体"/>
      <w:sz w:val="21"/>
      <w:lang w:val="en-US" w:eastAsia="zh-CN" w:bidi="ar-SA"/>
    </w:rPr>
  </w:style>
  <w:style w:type="character" w:styleId="1022" w:customStyle="1">
    <w:name w:val="bjh-p"/>
    <w:uiPriority w:val="0"/>
    <w:qFormat/>
  </w:style>
  <w:style w:type="character" w:styleId="1023" w:customStyle="1">
    <w:name w:val="font141"/>
    <w:uiPriority w:val="0"/>
    <w:qFormat/>
    <w:rPr>
      <w:rFonts w:ascii="Arial Unicode MS" w:hAnsi="Arial Unicode MS" w:eastAsia="Arial Unicode MS" w:cs="Arial Unicode MS"/>
      <w:color w:val="000000"/>
      <w:sz w:val="20"/>
      <w:szCs w:val="20"/>
      <w:u w:val="none"/>
    </w:rPr>
  </w:style>
  <w:style w:type="character" w:styleId="1024" w:customStyle="1">
    <w:name w:val="页眉 Char"/>
    <w:uiPriority w:val="0"/>
    <w:qFormat/>
    <w:rPr>
      <w:rFonts w:eastAsia="宋体"/>
      <w:sz w:val="18"/>
      <w:szCs w:val="18"/>
      <w:lang w:val="en-US" w:eastAsia="zh-CN" w:bidi="ar-SA"/>
    </w:rPr>
  </w:style>
  <w:style w:type="character" w:styleId="1025" w:customStyle="1">
    <w:name w:val="标题 2 Char Char"/>
    <w:uiPriority w:val="0"/>
    <w:qFormat/>
    <w:rPr>
      <w:rFonts w:ascii="Arial" w:hAnsi="Arial" w:eastAsia="黑体"/>
      <w:b/>
      <w:bCs/>
      <w:sz w:val="32"/>
      <w:szCs w:val="32"/>
      <w:lang w:val="en-US" w:eastAsia="zh-CN" w:bidi="ar-SA"/>
    </w:rPr>
  </w:style>
  <w:style w:type="character" w:styleId="1026" w:customStyle="1">
    <w:name w:val="纯文本 Char1"/>
    <w:uiPriority w:val="0"/>
    <w:qFormat/>
    <w:rPr>
      <w:rFonts w:ascii="宋体" w:hAnsi="Courier New" w:eastAsia="宋体"/>
      <w:sz w:val="21"/>
      <w:lang w:val="en-US" w:eastAsia="zh-CN" w:bidi="ar-SA"/>
    </w:rPr>
  </w:style>
  <w:style w:type="character" w:styleId="1027" w:customStyle="1">
    <w:name w:val="Char Char11"/>
    <w:uiPriority w:val="0"/>
    <w:qFormat/>
    <w:rPr>
      <w:rFonts w:ascii="宋体" w:eastAsia="宋体"/>
      <w:b/>
      <w:sz w:val="24"/>
      <w:u w:val="single"/>
      <w:lang w:val="en-US" w:eastAsia="zh-CN" w:bidi="ar-SA"/>
    </w:rPr>
  </w:style>
  <w:style w:type="character" w:styleId="1028" w:customStyle="1">
    <w:name w:val="chanpin拷贝"/>
    <w:uiPriority w:val="0"/>
    <w:qFormat/>
  </w:style>
  <w:style w:type="character" w:styleId="1029" w:customStyle="1">
    <w:name w:val="font21"/>
    <w:uiPriority w:val="0"/>
    <w:qFormat/>
    <w:rPr>
      <w:rFonts w:hint="eastAsia" w:ascii="宋体" w:hAnsi="宋体" w:eastAsia="宋体" w:cs="宋体"/>
      <w:b/>
      <w:bCs/>
      <w:color w:val="000000"/>
      <w:sz w:val="20"/>
      <w:szCs w:val="20"/>
      <w:u w:val="none"/>
    </w:rPr>
  </w:style>
  <w:style w:type="character" w:styleId="1030" w:customStyle="1">
    <w:name w:val="chanpin1"/>
    <w:uiPriority w:val="0"/>
    <w:qFormat/>
    <w:rPr>
      <w:rFonts w:hint="default" w:ascii="ˎ̥" w:hAnsi="ˎ̥"/>
      <w:color w:val="000000"/>
      <w:sz w:val="20"/>
      <w:szCs w:val="20"/>
      <w:u w:val="none"/>
    </w:rPr>
  </w:style>
  <w:style w:type="character" w:styleId="1031" w:customStyle="1">
    <w:name w:val="font131"/>
    <w:uiPriority w:val="0"/>
    <w:qFormat/>
    <w:rPr>
      <w:rFonts w:ascii="微软雅黑" w:hAnsi="微软雅黑" w:eastAsia="微软雅黑" w:cs="微软雅黑"/>
      <w:color w:val="000000"/>
      <w:sz w:val="22"/>
      <w:szCs w:val="22"/>
      <w:u w:val="none"/>
    </w:rPr>
  </w:style>
  <w:style w:type="character" w:styleId="1032" w:customStyle="1">
    <w:name w:val="black1"/>
    <w:uiPriority w:val="0"/>
    <w:qFormat/>
    <w:rPr>
      <w:color w:val="000000"/>
    </w:rPr>
  </w:style>
  <w:style w:type="character" w:styleId="1033" w:customStyle="1">
    <w:name w:val="彩色列表字符"/>
    <w:link w:val="1034"/>
    <w:uiPriority w:val="34"/>
    <w:qFormat/>
    <w:rPr>
      <w:rFonts w:ascii="Calibri" w:hAnsi="Calibri" w:eastAsia="宋体"/>
      <w:sz w:val="21"/>
      <w:szCs w:val="22"/>
      <w:lang w:val="en-US" w:eastAsia="zh-CN" w:bidi="ar-SA"/>
    </w:rPr>
  </w:style>
  <w:style w:type="paragraph" w:styleId="1034" w:customStyle="1">
    <w:name w:val="彩色列表1"/>
    <w:basedOn w:val="920"/>
    <w:link w:val="1033"/>
    <w:uiPriority w:val="34"/>
    <w:qFormat/>
    <w:pPr>
      <w:ind w:firstLine="420"/>
    </w:pPr>
    <w:rPr>
      <w:rFonts w:ascii="Calibri" w:hAnsi="Calibri"/>
      <w:szCs w:val="22"/>
    </w:rPr>
  </w:style>
  <w:style w:type="character" w:styleId="1035" w:customStyle="1">
    <w:name w:val="标题 3 Char Char"/>
    <w:uiPriority w:val="0"/>
    <w:qFormat/>
    <w:rPr>
      <w:rFonts w:eastAsia="宋体"/>
      <w:b/>
      <w:bCs/>
      <w:sz w:val="32"/>
      <w:szCs w:val="32"/>
      <w:lang w:val="en-US" w:eastAsia="zh-CN" w:bidi="ar-SA"/>
    </w:rPr>
  </w:style>
  <w:style w:type="character" w:styleId="1036" w:customStyle="1">
    <w:name w:val="font31"/>
    <w:uiPriority w:val="0"/>
    <w:qFormat/>
    <w:rPr>
      <w:rFonts w:ascii="Calibri" w:hAnsi="Calibri" w:cs="Calibri"/>
      <w:color w:val="000000"/>
      <w:sz w:val="22"/>
      <w:szCs w:val="22"/>
      <w:u w:val="none"/>
    </w:rPr>
  </w:style>
  <w:style w:type="character" w:styleId="1037" w:customStyle="1">
    <w:name w:val="页脚 Char"/>
    <w:uiPriority w:val="0"/>
    <w:qFormat/>
    <w:rPr>
      <w:rFonts w:ascii="宋体" w:eastAsia="宋体"/>
      <w:sz w:val="18"/>
      <w:lang w:val="en-US" w:eastAsia="zh-CN" w:bidi="ar-SA"/>
    </w:rPr>
  </w:style>
  <w:style w:type="character" w:styleId="1038" w:customStyle="1">
    <w:name w:val="注释 Char"/>
    <w:link w:val="1039"/>
    <w:uiPriority w:val="0"/>
    <w:qFormat/>
    <w:rPr>
      <w:rFonts w:ascii="宋体" w:hAnsi="宋体"/>
      <w:sz w:val="21"/>
      <w:szCs w:val="21"/>
    </w:rPr>
  </w:style>
  <w:style w:type="paragraph" w:styleId="1039" w:customStyle="1">
    <w:name w:val="注释"/>
    <w:basedOn w:val="920"/>
    <w:link w:val="1038"/>
    <w:uiPriority w:val="0"/>
    <w:qFormat/>
    <w:pPr>
      <w:ind w:left="420" w:hanging="420"/>
      <w:jc w:val="left"/>
    </w:pPr>
    <w:rPr>
      <w:rFonts w:ascii="宋体" w:hAnsi="宋体"/>
      <w:szCs w:val="21"/>
    </w:rPr>
  </w:style>
  <w:style w:type="character" w:styleId="1040" w:customStyle="1">
    <w:name w:val="正文缩进 Char Char"/>
    <w:link w:val="1041"/>
    <w:uiPriority w:val="0"/>
    <w:qFormat/>
    <w:rPr>
      <w:rFonts w:ascii="宋体" w:eastAsia="宋体"/>
      <w:color w:val="000000"/>
      <w:sz w:val="28"/>
      <w:lang w:bidi="ar-SA"/>
    </w:rPr>
  </w:style>
  <w:style w:type="paragraph" w:styleId="1041" w:customStyle="1">
    <w:name w:val="正文缩进1"/>
    <w:basedOn w:val="920"/>
    <w:link w:val="1040"/>
    <w:uiPriority w:val="0"/>
    <w:qFormat/>
    <w:pPr>
      <w:ind w:firstLine="567"/>
      <w:spacing w:line="480" w:lineRule="exact"/>
      <w:widowControl/>
    </w:pPr>
    <w:rPr>
      <w:rFonts w:ascii="宋体"/>
      <w:color w:val="000000"/>
      <w:sz w:val="28"/>
      <w:szCs w:val="20"/>
    </w:rPr>
  </w:style>
  <w:style w:type="character" w:styleId="1042" w:customStyle="1">
    <w:name w:val="font11"/>
    <w:uiPriority w:val="0"/>
    <w:qFormat/>
    <w:rPr>
      <w:rFonts w:hint="eastAsia" w:ascii="宋体" w:hAnsi="宋体" w:eastAsia="宋体" w:cs="宋体"/>
      <w:color w:val="000000"/>
      <w:sz w:val="22"/>
      <w:szCs w:val="22"/>
      <w:u w:val="none"/>
    </w:rPr>
  </w:style>
  <w:style w:type="character" w:styleId="1043" w:customStyle="1">
    <w:name w:val="font281"/>
    <w:uiPriority w:val="0"/>
    <w:qFormat/>
    <w:rPr>
      <w:rFonts w:hint="default" w:ascii="Calibri" w:hAnsi="Calibri" w:cs="Calibri"/>
      <w:color w:val="000000"/>
      <w:sz w:val="21"/>
      <w:szCs w:val="21"/>
      <w:u w:val="none"/>
    </w:rPr>
  </w:style>
  <w:style w:type="character" w:styleId="1044" w:customStyle="1">
    <w:name w:val="locality"/>
    <w:uiPriority w:val="0"/>
    <w:qFormat/>
  </w:style>
  <w:style w:type="character" w:styleId="1045" w:customStyle="1">
    <w:name w:val="font101"/>
    <w:uiPriority w:val="0"/>
    <w:qFormat/>
    <w:rPr>
      <w:rFonts w:ascii="Arial Unicode MS" w:hAnsi="Arial Unicode MS" w:eastAsia="Arial Unicode MS" w:cs="Arial Unicode MS"/>
      <w:color w:val="000000"/>
      <w:sz w:val="20"/>
      <w:szCs w:val="20"/>
      <w:u w:val="none"/>
    </w:rPr>
  </w:style>
  <w:style w:type="character" w:styleId="1046" w:customStyle="1">
    <w:name w:val="font122"/>
    <w:uiPriority w:val="0"/>
    <w:qFormat/>
    <w:rPr>
      <w:rFonts w:hint="eastAsia" w:ascii="宋体" w:hAnsi="宋体" w:eastAsia="宋体" w:cs="宋体"/>
      <w:b/>
      <w:bCs/>
      <w:color w:val="ff0000"/>
      <w:sz w:val="22"/>
      <w:szCs w:val="22"/>
      <w:u w:val="none"/>
    </w:rPr>
  </w:style>
  <w:style w:type="character" w:styleId="1047" w:customStyle="1">
    <w:name w:val="正文大标题 Char"/>
    <w:link w:val="1048"/>
    <w:uiPriority w:val="0"/>
    <w:qFormat/>
    <w:rPr>
      <w:rFonts w:ascii="宋体" w:hAnsi="宋体"/>
      <w:b/>
      <w:color w:val="000000"/>
      <w:sz w:val="28"/>
      <w:szCs w:val="21"/>
    </w:rPr>
  </w:style>
  <w:style w:type="paragraph" w:styleId="1048" w:customStyle="1">
    <w:name w:val="正文大标题"/>
    <w:basedOn w:val="1049"/>
    <w:next w:val="935"/>
    <w:link w:val="1047"/>
    <w:uiPriority w:val="0"/>
    <w:qFormat/>
    <w:pPr>
      <w:jc w:val="center"/>
    </w:pPr>
    <w:rPr>
      <w:i w:val="0"/>
      <w:color w:val="000000"/>
      <w:sz w:val="28"/>
      <w:szCs w:val="21"/>
    </w:rPr>
  </w:style>
  <w:style w:type="paragraph" w:styleId="1049" w:customStyle="1">
    <w:name w:val="正文小标题"/>
    <w:basedOn w:val="920"/>
    <w:next w:val="935"/>
    <w:link w:val="1050"/>
    <w:uiPriority w:val="0"/>
    <w:qFormat/>
    <w:pPr>
      <w:ind w:firstLine="482"/>
      <w:jc w:val="left"/>
    </w:pPr>
    <w:rPr>
      <w:rFonts w:ascii="宋体" w:hAnsi="宋体"/>
      <w:b/>
      <w:i/>
      <w:color w:val="ff0000"/>
      <w:sz w:val="24"/>
      <w:szCs w:val="20"/>
    </w:rPr>
  </w:style>
  <w:style w:type="character" w:styleId="1050" w:customStyle="1">
    <w:name w:val="正文小标题 Char"/>
    <w:link w:val="1049"/>
    <w:uiPriority w:val="0"/>
    <w:qFormat/>
    <w:rPr>
      <w:rFonts w:ascii="宋体" w:hAnsi="宋体"/>
      <w:b/>
      <w:i/>
      <w:color w:val="ff0000"/>
      <w:sz w:val="24"/>
    </w:rPr>
  </w:style>
  <w:style w:type="character" w:styleId="1051" w:customStyle="1">
    <w:name w:val="正文表格 Char"/>
    <w:link w:val="1052"/>
    <w:uiPriority w:val="0"/>
    <w:qFormat/>
    <w:rPr>
      <w:rFonts w:ascii="宋体" w:hAnsi="宋体"/>
      <w:color w:val="000000"/>
      <w:sz w:val="21"/>
      <w:szCs w:val="21"/>
    </w:rPr>
  </w:style>
  <w:style w:type="paragraph" w:styleId="1052" w:customStyle="1">
    <w:name w:val="正文表格"/>
    <w:basedOn w:val="920"/>
    <w:link w:val="1051"/>
    <w:uiPriority w:val="0"/>
    <w:qFormat/>
    <w:pPr>
      <w:jc w:val="left"/>
    </w:pPr>
    <w:rPr>
      <w:rFonts w:ascii="宋体" w:hAnsi="宋体"/>
      <w:color w:val="000000"/>
      <w:szCs w:val="21"/>
    </w:rPr>
  </w:style>
  <w:style w:type="character" w:styleId="1053" w:customStyle="1">
    <w:name w:val="中等深浅网格 1 - 强调文字颜色 2 Char"/>
    <w:link w:val="1054"/>
    <w:uiPriority w:val="0"/>
    <w:qFormat/>
    <w:rPr>
      <w:sz w:val="21"/>
      <w:szCs w:val="24"/>
      <w:lang w:val="zh-CN" w:eastAsia="zh-CN" w:bidi="ar-SA"/>
    </w:rPr>
  </w:style>
  <w:style w:type="paragraph" w:styleId="1054" w:customStyle="1">
    <w:name w:val="1"/>
    <w:link w:val="1053"/>
    <w:uiPriority w:val="0"/>
    <w:qFormat/>
    <w:rPr>
      <w:rFonts w:ascii="Times New Roman" w:hAnsi="Times New Roman" w:eastAsia="宋体" w:cs="Times New Roman"/>
      <w:sz w:val="21"/>
      <w:szCs w:val="24"/>
      <w:lang w:val="zh-CN" w:eastAsia="zh-CN" w:bidi="ar-SA"/>
    </w:rPr>
  </w:style>
  <w:style w:type="character" w:styleId="1055" w:customStyle="1">
    <w:name w:val="apple-style-span"/>
    <w:uiPriority w:val="0"/>
    <w:qFormat/>
    <w:rPr>
      <w:rFonts w:cs="Times New Roman"/>
    </w:rPr>
  </w:style>
  <w:style w:type="character" w:styleId="1056" w:customStyle="1">
    <w:name w:val="c21"/>
    <w:uiPriority w:val="0"/>
    <w:qFormat/>
    <w:rPr>
      <w:rFonts w:hint="default" w:ascii="ˎ̥" w:hAnsi="ˎ̥"/>
      <w:color w:val="000000"/>
      <w:sz w:val="20"/>
      <w:szCs w:val="20"/>
      <w:u w:val="none"/>
    </w:rPr>
  </w:style>
  <w:style w:type="character" w:styleId="1057" w:customStyle="1">
    <w:name w:val="正文文本缩进 Char"/>
    <w:uiPriority w:val="0"/>
    <w:qFormat/>
    <w:rPr>
      <w:rFonts w:eastAsia="宋体"/>
      <w:sz w:val="24"/>
      <w:szCs w:val="24"/>
      <w:lang w:val="en-US" w:eastAsia="zh-CN" w:bidi="ar-SA"/>
    </w:rPr>
  </w:style>
  <w:style w:type="character" w:styleId="1058" w:customStyle="1">
    <w:name w:val="font111"/>
    <w:uiPriority w:val="0"/>
    <w:qFormat/>
    <w:rPr>
      <w:rFonts w:ascii="Arial Unicode MS" w:hAnsi="Arial Unicode MS" w:eastAsia="Arial Unicode MS" w:cs="Arial Unicode MS"/>
      <w:color w:val="000000"/>
      <w:sz w:val="22"/>
      <w:szCs w:val="22"/>
      <w:u w:val="none"/>
    </w:rPr>
  </w:style>
  <w:style w:type="character" w:styleId="1059" w:customStyle="1">
    <w:name w:val="纯文本 字符"/>
    <w:uiPriority w:val="99"/>
    <w:qFormat/>
    <w:rPr>
      <w:rFonts w:ascii="宋体" w:hAnsi="Courier New" w:eastAsia="宋体" w:cs="Times New Roman"/>
      <w:sz w:val="21"/>
      <w:szCs w:val="21"/>
      <w:lang w:val="en-US" w:eastAsia="zh-CN" w:bidi="ar-SA"/>
    </w:rPr>
  </w:style>
  <w:style w:type="character" w:styleId="1060" w:customStyle="1">
    <w:name w:val="正文缩进 Char"/>
    <w:uiPriority w:val="0"/>
    <w:qFormat/>
    <w:rPr>
      <w:rFonts w:ascii="宋体" w:eastAsia="宋体"/>
      <w:sz w:val="24"/>
      <w:szCs w:val="24"/>
      <w:lang w:val="en-US" w:eastAsia="zh-CN" w:bidi="ar-SA"/>
    </w:rPr>
  </w:style>
  <w:style w:type="character" w:styleId="1061" w:customStyle="1">
    <w:name w:val="成文日期 Char"/>
    <w:link w:val="1062"/>
    <w:uiPriority w:val="0"/>
    <w:qFormat/>
    <w:rPr>
      <w:rFonts w:ascii="仿宋_GB2312" w:eastAsia="仿宋_GB2312"/>
      <w:sz w:val="32"/>
    </w:rPr>
  </w:style>
  <w:style w:type="paragraph" w:styleId="1062" w:customStyle="1">
    <w:name w:val="成文日期"/>
    <w:basedOn w:val="920"/>
    <w:link w:val="1061"/>
    <w:uiPriority w:val="0"/>
    <w:qFormat/>
    <w:pPr>
      <w:ind w:right="400" w:firstLine="200"/>
      <w:jc w:val="right"/>
      <w:spacing w:line="570" w:lineRule="exact"/>
    </w:pPr>
    <w:rPr>
      <w:rFonts w:ascii="仿宋_GB2312" w:eastAsia="仿宋_GB2312"/>
      <w:sz w:val="32"/>
      <w:szCs w:val="20"/>
    </w:rPr>
  </w:style>
  <w:style w:type="character" w:styleId="1063" w:customStyle="1">
    <w:name w:val="txt"/>
    <w:uiPriority w:val="0"/>
    <w:qFormat/>
  </w:style>
  <w:style w:type="character" w:styleId="1064" w:customStyle="1">
    <w:name w:val="批注文字 Char"/>
    <w:uiPriority w:val="99"/>
    <w:qFormat/>
    <w:rPr>
      <w:sz w:val="21"/>
      <w:szCs w:val="24"/>
    </w:rPr>
  </w:style>
  <w:style w:type="character" w:styleId="1065" w:customStyle="1">
    <w:name w:val="正文格式 Char"/>
    <w:link w:val="1066"/>
    <w:uiPriority w:val="0"/>
    <w:qFormat/>
    <w:rPr>
      <w:rFonts w:ascii="宋体" w:hAnsi="宋体"/>
      <w:sz w:val="24"/>
      <w:szCs w:val="24"/>
      <w:lang w:val="en-GB"/>
    </w:rPr>
  </w:style>
  <w:style w:type="paragraph" w:styleId="1066" w:customStyle="1">
    <w:name w:val="正文格式"/>
    <w:basedOn w:val="920"/>
    <w:link w:val="1065"/>
    <w:uiPriority w:val="0"/>
    <w:qFormat/>
    <w:pPr>
      <w:ind w:firstLine="480"/>
      <w:spacing w:line="360" w:lineRule="auto"/>
    </w:pPr>
    <w:rPr>
      <w:rFonts w:ascii="宋体" w:hAnsi="宋体"/>
      <w:sz w:val="24"/>
      <w:lang w:val="en-GB"/>
    </w:rPr>
  </w:style>
  <w:style w:type="character" w:styleId="1067" w:customStyle="1">
    <w:name w:val="标题 3 Char"/>
    <w:uiPriority w:val="0"/>
    <w:qFormat/>
    <w:rPr>
      <w:rFonts w:ascii="宋体" w:eastAsia="宋体"/>
      <w:b/>
      <w:sz w:val="24"/>
      <w:u w:val="single"/>
      <w:lang w:val="en-US" w:eastAsia="zh-CN" w:bidi="ar-SA"/>
    </w:rPr>
  </w:style>
  <w:style w:type="character" w:styleId="1068" w:customStyle="1">
    <w:name w:val="font191"/>
    <w:uiPriority w:val="0"/>
    <w:qFormat/>
    <w:rPr>
      <w:rFonts w:hint="eastAsia" w:ascii="宋体" w:hAnsi="宋体" w:eastAsia="宋体" w:cs="宋体"/>
      <w:color w:val="000000"/>
      <w:sz w:val="20"/>
      <w:szCs w:val="20"/>
      <w:u w:val="none"/>
      <w:vertAlign w:val="subscript"/>
    </w:rPr>
  </w:style>
  <w:style w:type="character" w:styleId="1069" w:customStyle="1">
    <w:name w:val="标题 Char"/>
    <w:uiPriority w:val="0"/>
    <w:qFormat/>
    <w:rPr>
      <w:b/>
      <w:sz w:val="32"/>
    </w:rPr>
  </w:style>
  <w:style w:type="character" w:styleId="1070" w:customStyle="1">
    <w:name w:val="title4"/>
    <w:uiPriority w:val="0"/>
    <w:qFormat/>
    <w:rPr>
      <w:b/>
      <w:bCs/>
      <w:color w:val="1d87b3"/>
      <w:sz w:val="15"/>
      <w:szCs w:val="15"/>
    </w:rPr>
  </w:style>
  <w:style w:type="character" w:styleId="1071" w:customStyle="1">
    <w:name w:val="font151"/>
    <w:uiPriority w:val="0"/>
    <w:qFormat/>
    <w:rPr>
      <w:rFonts w:ascii="Calibri" w:hAnsi="Calibri" w:cs="Calibri"/>
      <w:color w:val="000000"/>
      <w:sz w:val="21"/>
      <w:szCs w:val="21"/>
      <w:u w:val="none"/>
    </w:rPr>
  </w:style>
  <w:style w:type="character" w:styleId="1072" w:customStyle="1">
    <w:name w:val="正文重点 Char"/>
    <w:link w:val="1073"/>
    <w:uiPriority w:val="0"/>
    <w:qFormat/>
    <w:rPr>
      <w:b/>
      <w:sz w:val="24"/>
    </w:rPr>
  </w:style>
  <w:style w:type="paragraph" w:styleId="1073" w:customStyle="1">
    <w:name w:val="正文重点"/>
    <w:basedOn w:val="920"/>
    <w:link w:val="1072"/>
    <w:uiPriority w:val="0"/>
    <w:qFormat/>
    <w:pPr>
      <w:ind w:firstLine="482"/>
      <w:jc w:val="left"/>
      <w:spacing w:line="360" w:lineRule="auto"/>
    </w:pPr>
    <w:rPr>
      <w:b/>
      <w:sz w:val="24"/>
      <w:szCs w:val="20"/>
    </w:rPr>
  </w:style>
  <w:style w:type="character" w:styleId="1074" w:customStyle="1">
    <w:name w:val="font01"/>
    <w:uiPriority w:val="0"/>
    <w:qFormat/>
    <w:rPr>
      <w:rFonts w:ascii="Calibri" w:hAnsi="Calibri" w:cs="Calibri"/>
      <w:color w:val="000000"/>
      <w:sz w:val="18"/>
      <w:szCs w:val="18"/>
      <w:u w:val="none"/>
    </w:rPr>
  </w:style>
  <w:style w:type="character" w:styleId="1075" w:customStyle="1">
    <w:name w:val="纯文本 字符1"/>
    <w:uiPriority w:val="0"/>
    <w:qFormat/>
    <w:rPr>
      <w:rFonts w:ascii="宋体" w:hAnsi="Courier New"/>
    </w:rPr>
  </w:style>
  <w:style w:type="character" w:styleId="1076" w:customStyle="1">
    <w:name w:val="段1 Char"/>
    <w:uiPriority w:val="0"/>
    <w:qFormat/>
    <w:rPr>
      <w:rFonts w:ascii="宋体" w:eastAsia="宋体"/>
      <w:sz w:val="24"/>
      <w:lang w:val="en-US" w:eastAsia="zh-CN" w:bidi="ar-SA"/>
    </w:rPr>
  </w:style>
  <w:style w:type="character" w:styleId="1077" w:customStyle="1">
    <w:name w:val="street-address"/>
    <w:uiPriority w:val="0"/>
    <w:qFormat/>
  </w:style>
  <w:style w:type="character" w:styleId="1078" w:customStyle="1">
    <w:name w:val="font41"/>
    <w:uiPriority w:val="0"/>
    <w:qFormat/>
    <w:rPr>
      <w:rFonts w:hint="eastAsia" w:ascii="宋体" w:hAnsi="宋体" w:eastAsia="宋体" w:cs="宋体"/>
      <w:color w:val="000000"/>
      <w:sz w:val="20"/>
      <w:szCs w:val="20"/>
      <w:u w:val="none"/>
    </w:rPr>
  </w:style>
  <w:style w:type="character" w:styleId="1079" w:customStyle="1">
    <w:name w:val="font171"/>
    <w:uiPriority w:val="0"/>
    <w:qFormat/>
    <w:rPr>
      <w:rFonts w:hint="eastAsia" w:ascii="宋体" w:hAnsi="宋体" w:eastAsia="宋体" w:cs="宋体"/>
      <w:color w:val="000000"/>
      <w:sz w:val="21"/>
      <w:szCs w:val="21"/>
      <w:u w:val="none"/>
    </w:rPr>
  </w:style>
  <w:style w:type="paragraph" w:styleId="1080" w:customStyle="1">
    <w:name w:val="Char Char Char Char Char Char Char Char Char Char2"/>
    <w:basedOn w:val="920"/>
    <w:uiPriority w:val="0"/>
    <w:qFormat/>
    <w:rPr>
      <w:rFonts w:ascii="宋体" w:hAnsi="宋体" w:cs="Courier New"/>
      <w:sz w:val="32"/>
      <w:szCs w:val="32"/>
    </w:rPr>
  </w:style>
  <w:style w:type="paragraph" w:styleId="1081" w:customStyle="1">
    <w:name w:val="字元 字元2"/>
    <w:basedOn w:val="920"/>
    <w:uiPriority w:val="0"/>
    <w:qFormat/>
    <w:rPr>
      <w:rFonts w:ascii="Tahoma" w:hAnsi="Tahoma"/>
      <w:sz w:val="24"/>
      <w:szCs w:val="20"/>
    </w:rPr>
  </w:style>
  <w:style w:type="paragraph" w:styleId="1082" w:customStyle="1">
    <w:name w:val="三级条标题"/>
    <w:basedOn w:val="1083"/>
    <w:next w:val="920"/>
    <w:uiPriority w:val="0"/>
    <w:qFormat/>
    <w:pPr>
      <w:numPr>
        <w:ilvl w:val="3"/>
        <w:numId w:val="1"/>
      </w:numPr>
      <w:ind w:left="0" w:hanging="840"/>
      <w:tabs>
        <w:tab w:val="left" w:pos="360" w:leader="none"/>
        <w:tab w:val="left" w:pos="840" w:leader="none"/>
      </w:tabs>
      <w:outlineLvl w:val="3"/>
    </w:pPr>
  </w:style>
  <w:style w:type="paragraph" w:styleId="1083" w:customStyle="1">
    <w:name w:val="二级条标题"/>
    <w:basedOn w:val="983"/>
    <w:next w:val="920"/>
    <w:uiPriority w:val="0"/>
    <w:qFormat/>
    <w:pPr>
      <w:numPr>
        <w:ilvl w:val="0"/>
        <w:numId w:val="0"/>
      </w:numPr>
      <w:ind w:hanging="840"/>
      <w:outlineLvl w:val="2"/>
    </w:pPr>
    <w:rPr>
      <w:rFonts w:ascii="宋体" w:eastAsia="宋体"/>
      <w:b w:val="0"/>
    </w:rPr>
  </w:style>
  <w:style w:type="paragraph" w:styleId="1084" w:customStyle="1">
    <w:name w:val="表格文字"/>
    <w:basedOn w:val="941"/>
    <w:uiPriority w:val="0"/>
    <w:qFormat/>
    <w:pPr>
      <w:ind w:firstLine="0"/>
      <w:spacing w:before="20" w:after="20" w:line="240" w:lineRule="auto"/>
    </w:pPr>
    <w:rPr>
      <w:rFonts w:ascii="Century Gothic" w:hAnsi="Century Gothic"/>
      <w:sz w:val="20"/>
      <w:szCs w:val="20"/>
    </w:rPr>
  </w:style>
  <w:style w:type="paragraph" w:styleId="1085" w:customStyle="1">
    <w:name w:val="Char Char Char Char Char Char Char2"/>
    <w:basedOn w:val="920"/>
    <w:uiPriority w:val="0"/>
    <w:qFormat/>
    <w:pPr>
      <w:ind w:firstLine="200"/>
      <w:spacing w:line="360" w:lineRule="auto"/>
    </w:pPr>
    <w:rPr>
      <w:rFonts w:eastAsia="仿宋_GB2312"/>
      <w:sz w:val="24"/>
    </w:rPr>
  </w:style>
  <w:style w:type="paragraph" w:styleId="1086" w:customStyle="1">
    <w:name w:val="列出段落1"/>
    <w:basedOn w:val="920"/>
    <w:uiPriority w:val="0"/>
    <w:qFormat/>
    <w:pPr>
      <w:ind w:firstLine="420"/>
    </w:pPr>
    <w:rPr>
      <w:rFonts w:ascii="Calibri" w:hAnsi="Calibri"/>
      <w:szCs w:val="22"/>
    </w:rPr>
  </w:style>
  <w:style w:type="paragraph" w:styleId="1087" w:customStyle="1">
    <w:name w:val="正文列项_字母"/>
    <w:basedOn w:val="92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88" w:customStyle="1">
    <w:name w:val="Char Char Char Char Char Char Char"/>
    <w:basedOn w:val="920"/>
    <w:uiPriority w:val="0"/>
    <w:qFormat/>
    <w:pPr>
      <w:ind w:firstLine="200"/>
      <w:spacing w:line="360" w:lineRule="auto"/>
    </w:pPr>
    <w:rPr>
      <w:rFonts w:eastAsia="仿宋_GB2312"/>
      <w:sz w:val="24"/>
    </w:rPr>
  </w:style>
  <w:style w:type="paragraph" w:styleId="1089" w:customStyle="1">
    <w:name w:val="Char Char Char Char Char Char Char Char Char Char Char Char Char Char Char Char"/>
    <w:basedOn w:val="920"/>
    <w:uiPriority w:val="0"/>
    <w:qFormat/>
    <w:pPr>
      <w:jc w:val="center"/>
      <w:spacing w:after="160" w:line="240" w:lineRule="exact"/>
      <w:widowControl/>
    </w:pPr>
    <w:rPr>
      <w:rFonts w:ascii="宋体" w:hAnsi="宋体"/>
      <w:b/>
      <w:sz w:val="30"/>
      <w:szCs w:val="30"/>
      <w:lang w:eastAsia="en-US"/>
    </w:rPr>
  </w:style>
  <w:style w:type="paragraph" w:styleId="1090" w:customStyle="1">
    <w:name w:val="Char Char Char Char Char Char Char Char Char Char1"/>
    <w:basedOn w:val="920"/>
    <w:uiPriority w:val="0"/>
    <w:qFormat/>
    <w:rPr>
      <w:rFonts w:ascii="宋体" w:hAnsi="宋体" w:cs="Courier New"/>
      <w:sz w:val="32"/>
      <w:szCs w:val="32"/>
    </w:rPr>
  </w:style>
  <w:style w:type="paragraph" w:styleId="1091" w:customStyle="1">
    <w:name w:val="xl47"/>
    <w:basedOn w:val="92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92" w:customStyle="1">
    <w:name w:val="xl43"/>
    <w:basedOn w:val="9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93" w:customStyle="1">
    <w:name w:val="font9"/>
    <w:basedOn w:val="92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94" w:customStyle="1">
    <w:name w:val="font8"/>
    <w:basedOn w:val="920"/>
    <w:uiPriority w:val="0"/>
    <w:qFormat/>
    <w:pPr>
      <w:jc w:val="left"/>
      <w:spacing w:before="100" w:beforeAutospacing="1" w:after="100" w:afterAutospacing="1"/>
      <w:widowControl/>
    </w:pPr>
    <w:rPr>
      <w:sz w:val="36"/>
      <w:szCs w:val="36"/>
    </w:rPr>
  </w:style>
  <w:style w:type="paragraph" w:styleId="1095" w:customStyle="1">
    <w:name w:val="1名"/>
    <w:basedOn w:val="920"/>
    <w:uiPriority w:val="0"/>
    <w:qFormat/>
    <w:pPr>
      <w:numPr>
        <w:ilvl w:val="0"/>
        <w:numId w:val="2"/>
      </w:numPr>
      <w:spacing w:before="120"/>
    </w:pPr>
    <w:rPr>
      <w:rFonts w:ascii="宋体"/>
      <w:sz w:val="28"/>
      <w:szCs w:val="20"/>
    </w:rPr>
  </w:style>
  <w:style w:type="paragraph" w:styleId="1096" w:customStyle="1">
    <w:name w:val="xl49"/>
    <w:basedOn w:val="9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97" w:customStyle="1">
    <w:name w:val="xl24"/>
    <w:basedOn w:val="9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98" w:customStyle="1">
    <w:name w:val="Char Char Char Char Char Char Char Char Char Char Char Char Char Char Char Char1"/>
    <w:basedOn w:val="920"/>
    <w:uiPriority w:val="0"/>
    <w:qFormat/>
    <w:pPr>
      <w:jc w:val="center"/>
      <w:spacing w:after="160" w:line="240" w:lineRule="exact"/>
      <w:widowControl/>
    </w:pPr>
    <w:rPr>
      <w:rFonts w:ascii="宋体" w:hAnsi="宋体"/>
      <w:b/>
      <w:sz w:val="30"/>
      <w:szCs w:val="30"/>
      <w:lang w:eastAsia="en-US"/>
    </w:rPr>
  </w:style>
  <w:style w:type="paragraph" w:styleId="1099" w:customStyle="1">
    <w:name w:val="xl35"/>
    <w:basedOn w:val="92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0" w:customStyle="1">
    <w:name w:val="xl36"/>
    <w:basedOn w:val="92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1" w:customStyle="1">
    <w:name w:val="样式 宋体 五号 行距: 单倍行距"/>
    <w:basedOn w:val="920"/>
    <w:uiPriority w:val="0"/>
    <w:qFormat/>
    <w:pPr>
      <w:jc w:val="left"/>
    </w:pPr>
    <w:rPr>
      <w:rFonts w:ascii="宋体" w:hAnsi="宋体"/>
      <w:szCs w:val="20"/>
    </w:rPr>
  </w:style>
  <w:style w:type="paragraph" w:styleId="1102" w:customStyle="1">
    <w:name w:val="Char"/>
    <w:basedOn w:val="920"/>
    <w:uiPriority w:val="0"/>
    <w:qFormat/>
    <w:pPr>
      <w:tabs>
        <w:tab w:val="left" w:pos="360" w:leader="none"/>
      </w:tabs>
    </w:pPr>
    <w:rPr>
      <w:sz w:val="24"/>
    </w:rPr>
  </w:style>
  <w:style w:type="paragraph" w:styleId="1103" w:customStyle="1">
    <w:name w:val="xl38"/>
    <w:basedOn w:val="9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04" w:customStyle="1">
    <w:name w:val="正文须知-3级"/>
    <w:basedOn w:val="920"/>
    <w:uiPriority w:val="0"/>
    <w:qFormat/>
    <w:pPr>
      <w:numPr>
        <w:ilvl w:val="2"/>
        <w:numId w:val="3"/>
      </w:numPr>
      <w:ind w:hanging="355"/>
      <w:spacing w:line="300" w:lineRule="auto"/>
    </w:pPr>
    <w:rPr>
      <w:rFonts w:ascii="宋体" w:hAnsi="Calibri"/>
      <w:sz w:val="24"/>
      <w:szCs w:val="21"/>
    </w:rPr>
  </w:style>
  <w:style w:type="paragraph" w:styleId="1105" w:customStyle="1">
    <w:name w:val="1 Char Char Char Char"/>
    <w:basedOn w:val="920"/>
    <w:uiPriority w:val="0"/>
    <w:qFormat/>
    <w:rPr>
      <w:rFonts w:ascii="Tahoma" w:hAnsi="Tahoma"/>
      <w:sz w:val="24"/>
      <w:szCs w:val="20"/>
    </w:rPr>
  </w:style>
  <w:style w:type="paragraph" w:styleId="1106" w:customStyle="1">
    <w:name w:val="_Style 160"/>
    <w:uiPriority w:val="0"/>
    <w:qFormat/>
    <w:rPr>
      <w:rFonts w:ascii="Times New Roman" w:hAnsi="Times New Roman" w:eastAsia="宋体" w:cs="Times New Roman"/>
      <w:sz w:val="21"/>
      <w:szCs w:val="24"/>
      <w:lang w:val="en-US" w:eastAsia="zh-CN" w:bidi="ar-SA"/>
    </w:rPr>
  </w:style>
  <w:style w:type="paragraph" w:styleId="1107" w:customStyle="1">
    <w:name w:val="四级条标题"/>
    <w:basedOn w:val="1082"/>
    <w:next w:val="920"/>
    <w:uiPriority w:val="0"/>
    <w:qFormat/>
    <w:pPr>
      <w:numPr>
        <w:ilvl w:val="4"/>
      </w:numPr>
      <w:ind w:left="0" w:hanging="840"/>
      <w:outlineLvl w:val="4"/>
    </w:pPr>
  </w:style>
  <w:style w:type="paragraph" w:styleId="1108" w:customStyle="1">
    <w:name w:val="Char1"/>
    <w:basedOn w:val="920"/>
    <w:uiPriority w:val="0"/>
    <w:qFormat/>
    <w:pPr>
      <w:tabs>
        <w:tab w:val="left" w:pos="360" w:leader="none"/>
      </w:tabs>
    </w:pPr>
    <w:rPr>
      <w:sz w:val="24"/>
    </w:rPr>
  </w:style>
  <w:style w:type="paragraph" w:styleId="1109" w:customStyle="1">
    <w:name w:val="xl33"/>
    <w:basedOn w:val="9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10" w:customStyle="1">
    <w:name w:val="List Paragraph1"/>
    <w:basedOn w:val="920"/>
    <w:uiPriority w:val="0"/>
    <w:qFormat/>
    <w:pPr>
      <w:ind w:firstLine="420"/>
    </w:pPr>
    <w:rPr>
      <w:rFonts w:ascii="Calibri" w:hAnsi="Calibri"/>
      <w:szCs w:val="22"/>
    </w:rPr>
  </w:style>
  <w:style w:type="paragraph" w:styleId="1111" w:customStyle="1">
    <w:name w:val="Char Char1 Char Char Char Char Char Char1"/>
    <w:basedOn w:val="920"/>
    <w:uiPriority w:val="0"/>
    <w:qFormat/>
    <w:pPr>
      <w:jc w:val="left"/>
      <w:spacing w:after="160" w:line="240" w:lineRule="exact"/>
      <w:widowControl/>
    </w:pPr>
    <w:rPr>
      <w:rFonts w:ascii="Verdana" w:hAnsi="Verdana" w:eastAsia="仿宋_GB2312"/>
      <w:sz w:val="24"/>
      <w:szCs w:val="20"/>
      <w:lang w:eastAsia="en-US"/>
    </w:rPr>
  </w:style>
  <w:style w:type="paragraph" w:styleId="1112" w:customStyle="1">
    <w:name w:val="图中文字"/>
    <w:basedOn w:val="920"/>
    <w:uiPriority w:val="0"/>
    <w:qFormat/>
    <w:pPr>
      <w:jc w:val="center"/>
      <w:spacing w:line="0" w:lineRule="atLeast"/>
    </w:pPr>
    <w:rPr>
      <w:sz w:val="24"/>
      <w:szCs w:val="20"/>
    </w:rPr>
  </w:style>
  <w:style w:type="paragraph" w:styleId="1113" w:customStyle="1">
    <w:name w:val="无标题条"/>
    <w:next w:val="920"/>
    <w:uiPriority w:val="0"/>
    <w:qFormat/>
    <w:pPr>
      <w:jc w:val="both"/>
    </w:pPr>
    <w:rPr>
      <w:rFonts w:ascii="Times New Roman" w:hAnsi="Times New Roman" w:eastAsia="宋体" w:cs="Times New Roman"/>
      <w:sz w:val="21"/>
      <w:lang w:val="en-US" w:eastAsia="zh-CN" w:bidi="ar-SA"/>
    </w:rPr>
  </w:style>
  <w:style w:type="paragraph" w:styleId="1114" w:customStyle="1">
    <w:name w:val="正文须知-2级"/>
    <w:basedOn w:val="920"/>
    <w:uiPriority w:val="0"/>
    <w:qFormat/>
    <w:pPr>
      <w:numPr>
        <w:ilvl w:val="1"/>
        <w:numId w:val="3"/>
      </w:numPr>
      <w:spacing w:line="300" w:lineRule="auto"/>
    </w:pPr>
    <w:rPr>
      <w:rFonts w:ascii="宋体" w:hAnsi="Calibri"/>
      <w:sz w:val="24"/>
      <w:szCs w:val="21"/>
    </w:rPr>
  </w:style>
  <w:style w:type="paragraph" w:styleId="1115" w:customStyle="1">
    <w:name w:val="正文列项_数字"/>
    <w:basedOn w:val="92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16" w:customStyle="1">
    <w:name w:val="xl48"/>
    <w:basedOn w:val="9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17" w:customStyle="1">
    <w:name w:val="项目编号1"/>
    <w:basedOn w:val="920"/>
    <w:uiPriority w:val="0"/>
    <w:qFormat/>
    <w:pPr>
      <w:numPr>
        <w:ilvl w:val="0"/>
        <w:numId w:val="4"/>
      </w:numPr>
      <w:spacing w:before="100" w:beforeAutospacing="1" w:after="100" w:afterAutospacing="1" w:line="360" w:lineRule="auto"/>
    </w:pPr>
    <w:rPr>
      <w:sz w:val="24"/>
    </w:rPr>
  </w:style>
  <w:style w:type="paragraph" w:styleId="1118" w:customStyle="1">
    <w:name w:val="xl30"/>
    <w:basedOn w:val="9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9" w:customStyle="1">
    <w:name w:val="图例"/>
    <w:basedOn w:val="920"/>
    <w:uiPriority w:val="0"/>
    <w:qFormat/>
    <w:pPr>
      <w:jc w:val="center"/>
      <w:spacing w:before="120" w:after="120" w:line="360" w:lineRule="auto"/>
    </w:pPr>
    <w:rPr>
      <w:rFonts w:eastAsia="仿宋_GB2312"/>
      <w:b/>
      <w:sz w:val="24"/>
      <w:szCs w:val="20"/>
    </w:rPr>
  </w:style>
  <w:style w:type="paragraph" w:styleId="1120" w:customStyle="1">
    <w:name w:val="xl34"/>
    <w:basedOn w:val="9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21" w:customStyle="1">
    <w:name w:val="xl26"/>
    <w:basedOn w:val="9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22" w:customStyle="1">
    <w:name w:val="Char Char1 Char Char Char Char Char Char"/>
    <w:basedOn w:val="920"/>
    <w:uiPriority w:val="0"/>
    <w:qFormat/>
    <w:pPr>
      <w:jc w:val="left"/>
      <w:spacing w:after="160" w:line="240" w:lineRule="exact"/>
      <w:widowControl/>
    </w:pPr>
    <w:rPr>
      <w:rFonts w:ascii="Verdana" w:hAnsi="Verdana" w:eastAsia="仿宋_GB2312"/>
      <w:sz w:val="24"/>
      <w:szCs w:val="20"/>
      <w:lang w:eastAsia="en-US"/>
    </w:rPr>
  </w:style>
  <w:style w:type="paragraph" w:styleId="1123" w:customStyle="1">
    <w:name w:val="xl32"/>
    <w:basedOn w:val="9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4" w:customStyle="1">
    <w:name w:val="正文文本样式 加粗"/>
    <w:basedOn w:val="1125"/>
    <w:uiPriority w:val="0"/>
    <w:qFormat/>
    <w:rPr>
      <w:b/>
    </w:rPr>
  </w:style>
  <w:style w:type="paragraph" w:styleId="1125" w:customStyle="1">
    <w:name w:val="正文文本样式"/>
    <w:basedOn w:val="920"/>
    <w:uiPriority w:val="0"/>
    <w:qFormat/>
    <w:pPr>
      <w:ind w:firstLine="482"/>
      <w:spacing w:line="360" w:lineRule="auto"/>
    </w:pPr>
    <w:rPr>
      <w:rFonts w:cs="宋体"/>
      <w:sz w:val="24"/>
      <w:szCs w:val="20"/>
    </w:rPr>
  </w:style>
  <w:style w:type="paragraph" w:styleId="1126" w:customStyle="1">
    <w:name w:val="Char3"/>
    <w:basedOn w:val="920"/>
    <w:uiPriority w:val="0"/>
    <w:qFormat/>
    <w:pPr>
      <w:tabs>
        <w:tab w:val="left" w:pos="360" w:leader="none"/>
      </w:tabs>
    </w:pPr>
    <w:rPr>
      <w:sz w:val="24"/>
    </w:rPr>
  </w:style>
  <w:style w:type="paragraph" w:styleId="1127" w:customStyle="1">
    <w:name w:val="正文须知-1级"/>
    <w:basedOn w:val="920"/>
    <w:next w:val="920"/>
    <w:uiPriority w:val="0"/>
    <w:qFormat/>
    <w:pPr>
      <w:numPr>
        <w:ilvl w:val="0"/>
        <w:numId w:val="3"/>
      </w:numPr>
      <w:spacing w:line="300" w:lineRule="auto"/>
    </w:pPr>
    <w:rPr>
      <w:rFonts w:ascii="宋体" w:hAnsi="Calibri"/>
      <w:sz w:val="24"/>
      <w:szCs w:val="21"/>
    </w:rPr>
  </w:style>
  <w:style w:type="paragraph" w:styleId="1128" w:customStyle="1">
    <w:name w:val="Char Char1"/>
    <w:basedOn w:val="938"/>
    <w:uiPriority w:val="0"/>
    <w:qFormat/>
    <w:rPr>
      <w:rFonts w:ascii="Tahoma" w:hAnsi="Tahoma"/>
      <w:sz w:val="24"/>
    </w:rPr>
  </w:style>
  <w:style w:type="paragraph" w:styleId="1129" w:customStyle="1">
    <w:name w:val="列出段落2"/>
    <w:basedOn w:val="920"/>
    <w:uiPriority w:val="0"/>
    <w:qFormat/>
    <w:pPr>
      <w:ind w:firstLine="420"/>
    </w:pPr>
    <w:rPr>
      <w:rFonts w:ascii="Calibri" w:hAnsi="Calibri"/>
      <w:szCs w:val="22"/>
    </w:rPr>
  </w:style>
  <w:style w:type="paragraph" w:styleId="1130" w:customStyle="1">
    <w:name w:val="xl41"/>
    <w:basedOn w:val="92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31" w:customStyle="1">
    <w:name w:val="项目编号2"/>
    <w:basedOn w:val="1117"/>
    <w:uiPriority w:val="0"/>
    <w:qFormat/>
    <w:pPr>
      <w:numPr>
        <w:numId w:val="5"/>
      </w:numPr>
    </w:pPr>
  </w:style>
  <w:style w:type="paragraph" w:styleId="1132" w:customStyle="1">
    <w:name w:val="图文"/>
    <w:basedOn w:val="920"/>
    <w:uiPriority w:val="0"/>
    <w:qFormat/>
    <w:pPr>
      <w:spacing w:after="50" w:line="360" w:lineRule="auto"/>
    </w:pPr>
    <w:rPr>
      <w:sz w:val="24"/>
    </w:rPr>
  </w:style>
  <w:style w:type="paragraph" w:styleId="1133" w:customStyle="1">
    <w:name w:val="正文 + 宋体"/>
    <w:basedOn w:val="920"/>
    <w:uiPriority w:val="0"/>
    <w:qFormat/>
    <w:pPr>
      <w:ind w:left="360" w:hanging="360"/>
      <w:jc w:val="left"/>
      <w:widowControl/>
    </w:pPr>
    <w:rPr>
      <w:rFonts w:ascii="宋体" w:hAnsi="宋体" w:cs="宋体"/>
      <w:b/>
      <w:bCs/>
      <w:color w:val="000000"/>
      <w:sz w:val="18"/>
      <w:szCs w:val="18"/>
    </w:rPr>
  </w:style>
  <w:style w:type="paragraph" w:styleId="1134" w:customStyle="1">
    <w:name w:val="字元 字元"/>
    <w:basedOn w:val="920"/>
    <w:uiPriority w:val="0"/>
    <w:qFormat/>
    <w:rPr>
      <w:rFonts w:ascii="Tahoma" w:hAnsi="Tahoma"/>
      <w:sz w:val="24"/>
      <w:szCs w:val="20"/>
    </w:rPr>
  </w:style>
  <w:style w:type="paragraph" w:styleId="1135" w:customStyle="1">
    <w:name w:val="xl40"/>
    <w:basedOn w:val="9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6" w:customStyle="1">
    <w:name w:val="xl42"/>
    <w:basedOn w:val="9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37" w:customStyle="1">
    <w:name w:val="xl45"/>
    <w:basedOn w:val="9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38" w:customStyle="1">
    <w:name w:val="Char Char Char Char Char Char Char Char Char Char"/>
    <w:basedOn w:val="920"/>
    <w:uiPriority w:val="0"/>
    <w:qFormat/>
  </w:style>
  <w:style w:type="paragraph" w:styleId="1139" w:customStyle="1">
    <w:name w:val="Char21"/>
    <w:basedOn w:val="920"/>
    <w:uiPriority w:val="0"/>
    <w:qFormat/>
    <w:rPr>
      <w:rFonts w:ascii="Tahoma" w:hAnsi="Tahoma"/>
      <w:sz w:val="24"/>
      <w:szCs w:val="20"/>
    </w:rPr>
  </w:style>
  <w:style w:type="paragraph" w:styleId="1140" w:customStyle="1">
    <w:name w:val="xl37"/>
    <w:basedOn w:val="92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1" w:customStyle="1">
    <w:name w:val="项目符号1"/>
    <w:basedOn w:val="1125"/>
    <w:uiPriority w:val="0"/>
    <w:qFormat/>
    <w:pPr>
      <w:ind w:left="-25" w:firstLine="0"/>
    </w:pPr>
  </w:style>
  <w:style w:type="paragraph" w:styleId="1142" w:customStyle="1">
    <w:name w:val="Char Char Char"/>
    <w:basedOn w:val="920"/>
    <w:uiPriority w:val="0"/>
    <w:qFormat/>
    <w:rPr>
      <w:rFonts w:ascii="Tahoma" w:hAnsi="Tahoma"/>
      <w:sz w:val="24"/>
      <w:szCs w:val="20"/>
    </w:rPr>
  </w:style>
  <w:style w:type="paragraph" w:styleId="1143" w:customStyle="1">
    <w:name w:val="xl51"/>
    <w:basedOn w:val="9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4"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45" w:customStyle="1">
    <w:name w:val="font5"/>
    <w:basedOn w:val="920"/>
    <w:uiPriority w:val="0"/>
    <w:qFormat/>
    <w:pPr>
      <w:jc w:val="left"/>
      <w:spacing w:before="100" w:beforeAutospacing="1" w:after="100" w:afterAutospacing="1"/>
      <w:widowControl/>
    </w:pPr>
    <w:rPr>
      <w:rFonts w:ascii="宋体" w:hAnsi="宋体" w:cs="宋体"/>
      <w:sz w:val="18"/>
      <w:szCs w:val="18"/>
    </w:rPr>
  </w:style>
  <w:style w:type="paragraph" w:styleId="1146" w:customStyle="1">
    <w:name w:val="background1"/>
    <w:basedOn w:val="920"/>
    <w:uiPriority w:val="0"/>
    <w:qFormat/>
    <w:pPr>
      <w:jc w:val="left"/>
      <w:spacing w:before="100" w:beforeAutospacing="1" w:after="100" w:afterAutospacing="1"/>
      <w:widowControl/>
    </w:pPr>
    <w:rPr>
      <w:rFonts w:ascii="宋体" w:hAnsi="宋体" w:cs="宋体"/>
      <w:sz w:val="24"/>
    </w:rPr>
  </w:style>
  <w:style w:type="paragraph" w:styleId="1147" w:customStyle="1">
    <w:name w:val="Char3 Char Char Char1"/>
    <w:basedOn w:val="920"/>
    <w:uiPriority w:val="0"/>
    <w:qFormat/>
    <w:rPr>
      <w:rFonts w:ascii="Tahoma" w:hAnsi="Tahoma"/>
      <w:sz w:val="24"/>
      <w:szCs w:val="20"/>
    </w:rPr>
  </w:style>
  <w:style w:type="paragraph" w:styleId="1148" w:customStyle="1">
    <w:name w:val="default"/>
    <w:basedOn w:val="920"/>
    <w:uiPriority w:val="0"/>
    <w:qFormat/>
    <w:pPr>
      <w:jc w:val="left"/>
      <w:spacing w:before="100" w:beforeAutospacing="1" w:after="100" w:afterAutospacing="1"/>
      <w:widowControl/>
    </w:pPr>
    <w:rPr>
      <w:rFonts w:ascii="宋体" w:hAnsi="宋体" w:cs="宋体"/>
      <w:sz w:val="24"/>
    </w:rPr>
  </w:style>
  <w:style w:type="paragraph" w:styleId="1149" w:customStyle="1">
    <w:name w:val="Char Char Char Char Char Char Char1"/>
    <w:basedOn w:val="920"/>
    <w:uiPriority w:val="0"/>
    <w:qFormat/>
    <w:pPr>
      <w:ind w:firstLine="200"/>
      <w:spacing w:line="360" w:lineRule="auto"/>
    </w:pPr>
    <w:rPr>
      <w:rFonts w:eastAsia="仿宋_GB2312"/>
      <w:sz w:val="24"/>
    </w:rPr>
  </w:style>
  <w:style w:type="paragraph" w:styleId="1150" w:customStyle="1">
    <w:name w:val="xl31"/>
    <w:basedOn w:val="9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51" w:customStyle="1">
    <w:name w:val="默认段落字体 Para Char Char Char Char"/>
    <w:basedOn w:val="920"/>
    <w:uiPriority w:val="0"/>
    <w:qFormat/>
    <w:rPr>
      <w:rFonts w:ascii="Arial" w:hAnsi="Arial" w:cs="Arial"/>
      <w:szCs w:val="21"/>
    </w:rPr>
  </w:style>
  <w:style w:type="paragraph" w:styleId="1152" w:customStyle="1">
    <w:name w:val="xl29"/>
    <w:basedOn w:val="9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53" w:customStyle="1">
    <w:name w:val="文档正文"/>
    <w:basedOn w:val="920"/>
    <w:uiPriority w:val="0"/>
    <w:qFormat/>
    <w:pPr>
      <w:spacing w:before="120" w:after="120" w:line="180" w:lineRule="auto"/>
    </w:pPr>
    <w:rPr>
      <w:rFonts w:ascii="Arial" w:hAnsi="Arial"/>
      <w:szCs w:val="20"/>
    </w:rPr>
  </w:style>
  <w:style w:type="paragraph" w:styleId="1154" w:customStyle="1">
    <w:name w:val="xl46"/>
    <w:basedOn w:val="920"/>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55" w:customStyle="1">
    <w:name w:val="修订1"/>
    <w:uiPriority w:val="0"/>
    <w:qFormat/>
    <w:rPr>
      <w:rFonts w:ascii="Times New Roman" w:hAnsi="Times New Roman" w:eastAsia="宋体" w:cs="Times New Roman"/>
      <w:sz w:val="21"/>
      <w:szCs w:val="24"/>
      <w:lang w:val="en-US" w:eastAsia="zh-CN" w:bidi="ar-SA"/>
    </w:rPr>
  </w:style>
  <w:style w:type="paragraph" w:styleId="1156" w:customStyle="1">
    <w:name w:val="xl28"/>
    <w:basedOn w:val="9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7" w:customStyle="1">
    <w:name w:val="Char Char Char1 Char2"/>
    <w:basedOn w:val="920"/>
    <w:uiPriority w:val="0"/>
    <w:qFormat/>
    <w:rPr>
      <w:rFonts w:ascii="Tahoma" w:hAnsi="Tahoma"/>
      <w:sz w:val="24"/>
      <w:szCs w:val="20"/>
    </w:rPr>
  </w:style>
  <w:style w:type="paragraph" w:styleId="1158" w:customStyle="1">
    <w:name w:val="Char Char41"/>
    <w:basedOn w:val="920"/>
    <w:uiPriority w:val="0"/>
    <w:qFormat/>
    <w:pPr>
      <w:jc w:val="center"/>
      <w:spacing w:line="400" w:lineRule="exact"/>
      <w:widowControl/>
    </w:pPr>
  </w:style>
  <w:style w:type="paragraph" w:styleId="1159" w:customStyle="1">
    <w:name w:val="Char Char Char1"/>
    <w:basedOn w:val="920"/>
    <w:uiPriority w:val="0"/>
    <w:qFormat/>
    <w:rPr>
      <w:rFonts w:ascii="Tahoma" w:hAnsi="Tahoma"/>
      <w:sz w:val="24"/>
      <w:szCs w:val="20"/>
    </w:rPr>
  </w:style>
  <w:style w:type="paragraph" w:styleId="1160" w:customStyle="1">
    <w:name w:val="xl52"/>
    <w:basedOn w:val="9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61" w:customStyle="1">
    <w:name w:val="样式2"/>
    <w:basedOn w:val="963"/>
    <w:uiPriority w:val="0"/>
    <w:qFormat/>
    <w:pPr>
      <w:jc w:val="center"/>
      <w:spacing w:line="360" w:lineRule="auto"/>
    </w:pPr>
    <w:rPr>
      <w:sz w:val="24"/>
    </w:rPr>
  </w:style>
  <w:style w:type="paragraph" w:styleId="1162" w:customStyle="1">
    <w:name w:val="xl53"/>
    <w:basedOn w:val="9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3" w:customStyle="1">
    <w:name w:val="五级条标题"/>
    <w:basedOn w:val="1107"/>
    <w:next w:val="920"/>
    <w:uiPriority w:val="0"/>
    <w:qFormat/>
    <w:pPr>
      <w:numPr>
        <w:ilvl w:val="5"/>
      </w:numPr>
      <w:ind w:left="0" w:hanging="840"/>
      <w:outlineLvl w:val="5"/>
    </w:pPr>
  </w:style>
  <w:style w:type="paragraph" w:styleId="1164" w:customStyle="1">
    <w:name w:val="Char Char Char1 Char"/>
    <w:basedOn w:val="920"/>
    <w:uiPriority w:val="0"/>
    <w:qFormat/>
    <w:rPr>
      <w:rFonts w:ascii="Tahoma" w:hAnsi="Tahoma"/>
      <w:sz w:val="24"/>
      <w:szCs w:val="20"/>
    </w:rPr>
  </w:style>
  <w:style w:type="paragraph" w:styleId="1165" w:customStyle="1">
    <w:name w:val="Char2 Char Char Char Char Char Char"/>
    <w:basedOn w:val="920"/>
    <w:uiPriority w:val="0"/>
    <w:qFormat/>
    <w:pPr>
      <w:jc w:val="center"/>
      <w:spacing w:line="400" w:lineRule="exact"/>
      <w:widowControl/>
    </w:pPr>
  </w:style>
  <w:style w:type="paragraph" w:styleId="1166" w:customStyle="1">
    <w:name w:val="font6"/>
    <w:basedOn w:val="920"/>
    <w:uiPriority w:val="0"/>
    <w:qFormat/>
    <w:pPr>
      <w:jc w:val="left"/>
      <w:spacing w:before="100" w:beforeAutospacing="1" w:after="100" w:afterAutospacing="1"/>
      <w:widowControl/>
    </w:pPr>
    <w:rPr>
      <w:rFonts w:ascii="宋体" w:hAnsi="宋体" w:cs="宋体"/>
      <w:sz w:val="20"/>
      <w:szCs w:val="20"/>
    </w:rPr>
  </w:style>
  <w:style w:type="paragraph" w:styleId="1167" w:customStyle="1">
    <w:name w:val="标题1-附件"/>
    <w:basedOn w:val="921"/>
    <w:uiPriority w:val="0"/>
    <w:qFormat/>
    <w:pPr>
      <w:jc w:val="left"/>
    </w:pPr>
    <w:rPr>
      <w:sz w:val="24"/>
      <w:szCs w:val="24"/>
    </w:rPr>
  </w:style>
  <w:style w:type="paragraph" w:styleId="1168" w:customStyle="1">
    <w:name w:val="缺省文本"/>
    <w:basedOn w:val="920"/>
    <w:uiPriority w:val="0"/>
    <w:qFormat/>
    <w:pPr>
      <w:jc w:val="left"/>
    </w:pPr>
    <w:rPr>
      <w:sz w:val="24"/>
    </w:rPr>
  </w:style>
  <w:style w:type="paragraph" w:styleId="1169" w:customStyle="1">
    <w:name w:val="xl23"/>
    <w:basedOn w:val="920"/>
    <w:uiPriority w:val="0"/>
    <w:qFormat/>
    <w:pPr>
      <w:spacing w:before="100" w:beforeAutospacing="1" w:after="100" w:afterAutospacing="1" w:line="360" w:lineRule="auto"/>
      <w:widowControl/>
    </w:pPr>
    <w:rPr>
      <w:sz w:val="24"/>
      <w:szCs w:val="20"/>
    </w:rPr>
  </w:style>
  <w:style w:type="paragraph" w:styleId="1170" w:customStyle="1">
    <w:name w:val="xl27"/>
    <w:basedOn w:val="9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71" w:customStyle="1">
    <w:name w:val="22222222222222"/>
    <w:basedOn w:val="920"/>
    <w:uiPriority w:val="0"/>
    <w:qFormat/>
    <w:pPr>
      <w:ind w:firstLine="480"/>
      <w:jc w:val="left"/>
      <w:spacing w:line="360" w:lineRule="auto"/>
      <w:widowControl/>
    </w:pPr>
    <w:rPr>
      <w:color w:val="ff0000"/>
      <w:sz w:val="24"/>
      <w:szCs w:val="20"/>
    </w:rPr>
  </w:style>
  <w:style w:type="paragraph" w:styleId="1172" w:customStyle="1">
    <w:name w:val="Char2"/>
    <w:basedOn w:val="920"/>
    <w:uiPriority w:val="0"/>
    <w:qFormat/>
    <w:rPr>
      <w:rFonts w:ascii="Tahoma" w:hAnsi="Tahoma"/>
      <w:sz w:val="24"/>
      <w:szCs w:val="20"/>
    </w:rPr>
  </w:style>
  <w:style w:type="paragraph" w:styleId="1173" w:customStyle="1">
    <w:name w:val="表格1"/>
    <w:basedOn w:val="920"/>
    <w:uiPriority w:val="0"/>
    <w:qFormat/>
    <w:pPr>
      <w:ind w:firstLine="480"/>
      <w:jc w:val="center"/>
    </w:pPr>
    <w:rPr>
      <w:sz w:val="24"/>
      <w:szCs w:val="20"/>
    </w:rPr>
  </w:style>
  <w:style w:type="paragraph" w:styleId="1174" w:customStyle="1">
    <w:name w:val="正文缩进2"/>
    <w:basedOn w:val="920"/>
    <w:uiPriority w:val="0"/>
    <w:qFormat/>
    <w:pPr>
      <w:ind w:firstLine="567"/>
      <w:spacing w:line="480" w:lineRule="exact"/>
      <w:widowControl/>
    </w:pPr>
    <w:rPr>
      <w:rFonts w:ascii="宋体"/>
      <w:color w:val="000000"/>
      <w:sz w:val="28"/>
      <w:szCs w:val="20"/>
      <w:lang w:val="zh-CN"/>
    </w:rPr>
  </w:style>
  <w:style w:type="paragraph" w:styleId="1175" w:customStyle="1">
    <w:name w:val="Table Paragraph"/>
    <w:basedOn w:val="920"/>
    <w:uiPriority w:val="1"/>
    <w:qFormat/>
    <w:pPr>
      <w:jc w:val="left"/>
    </w:pPr>
    <w:rPr>
      <w:rFonts w:ascii="宋体" w:hAnsi="宋体" w:cs="宋体"/>
      <w:sz w:val="22"/>
      <w:szCs w:val="22"/>
      <w:lang w:eastAsia="en-US"/>
    </w:rPr>
  </w:style>
  <w:style w:type="paragraph" w:styleId="1176" w:customStyle="1">
    <w:name w:val="正文文本缩进2"/>
    <w:basedOn w:val="920"/>
    <w:uiPriority w:val="0"/>
    <w:qFormat/>
    <w:pPr>
      <w:ind w:firstLine="480"/>
      <w:spacing w:line="480" w:lineRule="exact"/>
    </w:pPr>
    <w:rPr>
      <w:rFonts w:ascii="宋体" w:hAnsi="宋体"/>
      <w:sz w:val="24"/>
      <w:lang w:val="zh-CN"/>
    </w:rPr>
  </w:style>
  <w:style w:type="paragraph" w:styleId="1177" w:customStyle="1">
    <w:name w:val="Char22"/>
    <w:basedOn w:val="920"/>
    <w:uiPriority w:val="0"/>
    <w:qFormat/>
    <w:rPr>
      <w:rFonts w:ascii="Tahoma" w:hAnsi="Tahoma"/>
      <w:sz w:val="24"/>
      <w:szCs w:val="20"/>
    </w:rPr>
  </w:style>
  <w:style w:type="paragraph" w:styleId="1178" w:customStyle="1">
    <w:name w:val="字元 字元1"/>
    <w:basedOn w:val="920"/>
    <w:uiPriority w:val="0"/>
    <w:qFormat/>
    <w:rPr>
      <w:rFonts w:ascii="Tahoma" w:hAnsi="Tahoma"/>
      <w:sz w:val="24"/>
      <w:szCs w:val="20"/>
    </w:rPr>
  </w:style>
  <w:style w:type="paragraph" w:styleId="1179" w:customStyle="1">
    <w:name w:val="正文 + 楷体_GB2312"/>
    <w:basedOn w:val="920"/>
    <w:uiPriority w:val="0"/>
    <w:qFormat/>
    <w:pPr>
      <w:jc w:val="left"/>
      <w:widowControl/>
    </w:pPr>
    <w:rPr>
      <w:rFonts w:ascii="楷体_GB2312" w:eastAsia="楷体_GB2312" w:cs="Arial"/>
      <w:sz w:val="24"/>
    </w:rPr>
  </w:style>
  <w:style w:type="paragraph" w:styleId="1180" w:customStyle="1">
    <w:name w:val="xl50"/>
    <w:basedOn w:val="9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81" w:customStyle="1">
    <w:name w:val="Char Char1 Char Char Char Char Char Char Char Char"/>
    <w:basedOn w:val="920"/>
    <w:uiPriority w:val="0"/>
    <w:qFormat/>
    <w:pPr>
      <w:jc w:val="left"/>
      <w:spacing w:after="160" w:line="240" w:lineRule="exact"/>
      <w:widowControl/>
    </w:pPr>
    <w:rPr>
      <w:rFonts w:ascii="Verdana" w:hAnsi="Verdana"/>
      <w:sz w:val="20"/>
      <w:szCs w:val="20"/>
      <w:lang w:eastAsia="en-US"/>
    </w:rPr>
  </w:style>
  <w:style w:type="paragraph" w:styleId="1182" w:customStyle="1">
    <w:name w:val="font7"/>
    <w:basedOn w:val="920"/>
    <w:uiPriority w:val="0"/>
    <w:qFormat/>
    <w:pPr>
      <w:jc w:val="left"/>
      <w:spacing w:before="100" w:beforeAutospacing="1" w:after="100" w:afterAutospacing="1"/>
      <w:widowControl/>
    </w:pPr>
    <w:rPr>
      <w:rFonts w:eastAsia="Arial Unicode MS"/>
      <w:b/>
      <w:bCs/>
      <w:color w:val="000000"/>
      <w:sz w:val="20"/>
      <w:szCs w:val="20"/>
    </w:rPr>
  </w:style>
  <w:style w:type="paragraph" w:styleId="1183"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84" w:customStyle="1">
    <w:name w:val="xl44"/>
    <w:basedOn w:val="92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85" w:customStyle="1">
    <w:name w:val="Char2 Char Char Char Char Char Char1"/>
    <w:basedOn w:val="920"/>
    <w:uiPriority w:val="0"/>
    <w:qFormat/>
    <w:pPr>
      <w:jc w:val="center"/>
      <w:spacing w:line="400" w:lineRule="exact"/>
      <w:widowControl/>
    </w:pPr>
  </w:style>
  <w:style w:type="paragraph" w:styleId="1186" w:customStyle="1">
    <w:name w:val="Char1 Char Char Char1"/>
    <w:basedOn w:val="920"/>
    <w:uiPriority w:val="0"/>
    <w:qFormat/>
    <w:rPr>
      <w:rFonts w:ascii="Tahoma" w:hAnsi="Tahoma" w:cs="仿宋_GB2312"/>
      <w:sz w:val="24"/>
      <w:szCs w:val="28"/>
    </w:rPr>
  </w:style>
  <w:style w:type="paragraph" w:styleId="1187" w:customStyle="1">
    <w:name w:val="Char3 Char Char Char2"/>
    <w:basedOn w:val="920"/>
    <w:uiPriority w:val="0"/>
    <w:qFormat/>
    <w:rPr>
      <w:rFonts w:ascii="Tahoma" w:hAnsi="Tahoma"/>
      <w:sz w:val="24"/>
      <w:szCs w:val="20"/>
    </w:rPr>
  </w:style>
  <w:style w:type="paragraph" w:styleId="1188" w:customStyle="1">
    <w:name w:val="xl39"/>
    <w:basedOn w:val="9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9" w:customStyle="1">
    <w:name w:val="项目编号3"/>
    <w:basedOn w:val="1125"/>
    <w:uiPriority w:val="0"/>
    <w:qFormat/>
    <w:pPr>
      <w:numPr>
        <w:ilvl w:val="0"/>
        <w:numId w:val="6"/>
      </w:numPr>
    </w:pPr>
  </w:style>
  <w:style w:type="paragraph" w:styleId="1190" w:customStyle="1">
    <w:name w:val="样式 标题 2 + 宋体 五号 行距: 单倍行距"/>
    <w:basedOn w:val="922"/>
    <w:uiPriority w:val="0"/>
    <w:qFormat/>
    <w:pPr>
      <w:numPr>
        <w:ilvl w:val="1"/>
        <w:numId w:val="7"/>
      </w:numPr>
      <w:jc w:val="left"/>
      <w:spacing w:before="260" w:after="260" w:line="240" w:lineRule="auto"/>
    </w:pPr>
    <w:rPr>
      <w:rFonts w:ascii="宋体" w:hAnsi="宋体" w:eastAsia="宋体"/>
      <w:bCs/>
      <w:sz w:val="21"/>
    </w:rPr>
  </w:style>
  <w:style w:type="paragraph" w:styleId="1191" w:customStyle="1">
    <w:name w:val="Char3 Char Char Char"/>
    <w:basedOn w:val="920"/>
    <w:uiPriority w:val="0"/>
    <w:qFormat/>
    <w:rPr>
      <w:rFonts w:ascii="Tahoma" w:hAnsi="Tahoma"/>
      <w:sz w:val="24"/>
      <w:szCs w:val="20"/>
    </w:rPr>
  </w:style>
  <w:style w:type="paragraph" w:styleId="1192" w:customStyle="1">
    <w:name w:val="Char Char Char1 Char1"/>
    <w:basedOn w:val="920"/>
    <w:uiPriority w:val="0"/>
    <w:qFormat/>
    <w:rPr>
      <w:rFonts w:ascii="Tahoma" w:hAnsi="Tahoma"/>
      <w:sz w:val="24"/>
      <w:szCs w:val="20"/>
    </w:rPr>
  </w:style>
  <w:style w:type="paragraph" w:styleId="1193" w:customStyle="1">
    <w:name w:val="Char Char4"/>
    <w:basedOn w:val="920"/>
    <w:uiPriority w:val="0"/>
    <w:qFormat/>
    <w:pPr>
      <w:jc w:val="center"/>
      <w:spacing w:line="400" w:lineRule="exact"/>
      <w:widowControl/>
    </w:pPr>
  </w:style>
  <w:style w:type="paragraph" w:styleId="1194" w:customStyle="1">
    <w:name w:val="Char Char Char2"/>
    <w:basedOn w:val="920"/>
    <w:uiPriority w:val="0"/>
    <w:qFormat/>
    <w:rPr>
      <w:rFonts w:ascii="Tahoma" w:hAnsi="Tahoma"/>
      <w:sz w:val="24"/>
      <w:szCs w:val="20"/>
    </w:rPr>
  </w:style>
  <w:style w:type="table" w:styleId="1195"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96" w:customStyle="1">
    <w:name w:val="列出段落3"/>
    <w:basedOn w:val="920"/>
    <w:uiPriority w:val="34"/>
    <w:qFormat/>
    <w:pPr>
      <w:ind w:firstLine="420"/>
    </w:pPr>
    <w:rPr>
      <w:rFonts w:ascii="Calibri" w:hAnsi="Calibri"/>
      <w:szCs w:val="22"/>
    </w:rPr>
  </w:style>
  <w:style w:type="character" w:styleId="1197" w:customStyle="1">
    <w:name w:val="active15"/>
    <w:basedOn w:val="930"/>
    <w:uiPriority w:val="0"/>
    <w:qFormat/>
    <w:rPr>
      <w:color w:val="ffffff"/>
      <w:shd w:val="clear" w:color="auto" w:fill="0f5bb9"/>
    </w:rPr>
  </w:style>
  <w:style w:type="paragraph" w:styleId="1198" w:customStyle="1">
    <w:name w:val="纯文本1"/>
    <w:basedOn w:val="920"/>
    <w:next w:val="1041"/>
    <w:uiPriority w:val="99"/>
    <w:qFormat/>
    <w:rPr>
      <w:rFonts w:ascii="宋体" w:hAnsi="Courier New"/>
      <w:szCs w:val="20"/>
    </w:rPr>
  </w:style>
  <w:style w:type="character" w:styleId="1199" w:customStyle="1">
    <w:name w:val="active"/>
    <w:basedOn w:val="930"/>
    <w:uiPriority w:val="0"/>
    <w:qFormat/>
    <w:rPr>
      <w:color w:val="ffffff"/>
      <w:shd w:val="clear" w:color="auto" w:fill="0f5bb9"/>
    </w:rPr>
  </w:style>
  <w:style w:type="paragraph" w:styleId="1200" w:customStyle="1">
    <w:name w:val="纯文本11"/>
    <w:basedOn w:val="920"/>
    <w:uiPriority w:val="0"/>
    <w:unhideWhenUsed/>
    <w:qFormat/>
    <w:rPr>
      <w:rFonts w:ascii="宋体" w:hAnsi="Courier New"/>
      <w:sz w:val="20"/>
      <w:szCs w:val="20"/>
    </w:rPr>
  </w:style>
  <w:style w:type="paragraph" w:styleId="1201" w:customStyle="1">
    <w:name w:val="WPSOffice手动目录 1"/>
    <w:uiPriority w:val="0"/>
    <w:qFormat/>
    <w:rPr>
      <w:rFonts w:ascii="Times New Roman" w:hAnsi="Times New Roman" w:eastAsia="宋体" w:cs="Times New Roman"/>
      <w:lang w:val="en-US" w:eastAsia="zh-CN" w:bidi="ar-SA"/>
    </w:rPr>
  </w:style>
  <w:style w:type="paragraph" w:styleId="1202" w:customStyle="1">
    <w:name w:val="标题 11"/>
    <w:basedOn w:val="1203"/>
    <w:next w:val="920"/>
    <w:uiPriority w:val="0"/>
    <w:qFormat/>
    <w:pPr>
      <w:numPr>
        <w:ilvl w:val="0"/>
        <w:numId w:val="8"/>
      </w:numPr>
      <w:jc w:val="center"/>
      <w:keepNext/>
      <w:tabs>
        <w:tab w:val="left" w:pos="9420" w:leader="none"/>
      </w:tabs>
      <w:outlineLvl w:val="0"/>
    </w:pPr>
    <w:rPr>
      <w:rFonts w:ascii="仿宋_GB2312" w:eastAsia="仿宋_GB2312"/>
      <w:sz w:val="28"/>
    </w:rPr>
  </w:style>
  <w:style w:type="paragraph" w:styleId="1203" w:customStyle="1">
    <w:name w:val="文本块1"/>
    <w:basedOn w:val="920"/>
    <w:uiPriority w:val="0"/>
    <w:qFormat/>
    <w:pPr>
      <w:ind w:left="840" w:right="210"/>
      <w:tabs>
        <w:tab w:val="left" w:pos="9420" w:leader="none"/>
      </w:tabs>
    </w:pPr>
    <w:rPr>
      <w:rFonts w:ascii="宋体" w:hAnsi="宋体"/>
      <w:sz w:val="24"/>
    </w:rPr>
  </w:style>
  <w:style w:type="paragraph" w:styleId="1204">
    <w:name w:val="List Paragraph"/>
    <w:basedOn w:val="920"/>
    <w:link w:val="1206"/>
    <w:uiPriority w:val="34"/>
    <w:qFormat/>
    <w:pPr>
      <w:ind w:firstLine="420"/>
    </w:pPr>
    <w:rPr>
      <w:rFonts w:ascii="Calibri" w:hAnsi="Calibri"/>
      <w:szCs w:val="22"/>
    </w:rPr>
  </w:style>
  <w:style w:type="paragraph" w:styleId="1205" w:customStyle="1">
    <w:name w:val="Revision"/>
    <w:hidden/>
    <w:uiPriority w:val="99"/>
    <w:unhideWhenUsed/>
    <w:qFormat/>
    <w:rPr>
      <w:rFonts w:ascii="Times New Roman" w:hAnsi="Times New Roman" w:eastAsia="宋体" w:cs="Times New Roman"/>
      <w:sz w:val="21"/>
      <w:szCs w:val="24"/>
      <w:lang w:val="en-US" w:eastAsia="zh-CN" w:bidi="ar-SA"/>
    </w:rPr>
  </w:style>
  <w:style w:type="character" w:styleId="1206" w:customStyle="1">
    <w:name w:val="列表段落 字符"/>
    <w:link w:val="1204"/>
    <w:uiPriority w:val="34"/>
    <w:qFormat/>
    <w:rPr>
      <w:rFonts w:ascii="Calibri" w:hAnsi="Calibri"/>
      <w:sz w:val="21"/>
      <w:szCs w:val="22"/>
    </w:rPr>
  </w:style>
  <w:style w:type="paragraph" w:styleId="1207" w:customStyle="1">
    <w:name w:val="标准文件_段"/>
    <w:uiPriority w:val="0"/>
    <w:qFormat/>
    <w:pPr>
      <w:ind w:firstLine="200"/>
      <w:jc w:val="both"/>
    </w:pPr>
    <w:rPr>
      <w:rFonts w:ascii="宋体" w:hAnsi="Times New Roman" w:eastAsia="宋体" w:cs="Times New Roman"/>
      <w:sz w:val="21"/>
      <w:lang w:val="en-US" w:eastAsia="zh-CN" w:bidi="ar-SA"/>
    </w:rPr>
  </w:style>
  <w:style w:type="paragraph" w:styleId="1208" w:customStyle="1">
    <w:name w:val="A 正文内容"/>
    <w:basedOn w:val="920"/>
    <w:uiPriority w:val="0"/>
    <w:qFormat/>
    <w:pPr>
      <w:ind w:firstLine="480"/>
      <w:spacing w:line="360" w:lineRule="auto"/>
    </w:pPr>
    <w:rPr>
      <w:rFonts w:ascii="宋体" w:hAnsi="宋体"/>
      <w:sz w:val="24"/>
    </w:rPr>
  </w:style>
  <w:style w:type="numbering" w:styleId="12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jpg"/><Relationship Id="rId96" Type="http://schemas.openxmlformats.org/officeDocument/2006/relationships/image" Target="media/image82.jpg"/><Relationship Id="rId97" Type="http://schemas.openxmlformats.org/officeDocument/2006/relationships/image" Target="media/image83.jpg"/><Relationship Id="rId98" Type="http://schemas.openxmlformats.org/officeDocument/2006/relationships/image" Target="media/image84.jpg"/><Relationship Id="rId99" Type="http://schemas.openxmlformats.org/officeDocument/2006/relationships/image" Target="media/image85.png"/><Relationship Id="rId100" Type="http://schemas.openxmlformats.org/officeDocument/2006/relationships/image" Target="media/image8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蒋咏来</cp:lastModifiedBy>
  <cp:revision>5</cp:revision>
  <dcterms:created xsi:type="dcterms:W3CDTF">2025-10-13T07:01:00Z</dcterms:created>
  <dcterms:modified xsi:type="dcterms:W3CDTF">2026-07-02T02:38:56Z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EB8272DA8FEA2883A1404067AF2712A4_43</vt:lpwstr>
  </property>
  <property fmtid="{D5CDD505-2E9C-101B-9397-08002B2CF9AE}" pid="4" name="KSOTemplateDocerSaveRecord">
    <vt:lpwstr>eyJoZGlkIjoiODRhMDA0NzkyYzc4NDIyNGUzY2I0OGI5ODhkZGU5NTgiLCJ1c2VySWQiOiIzNTI2OTIwMzYifQ==</vt:lpwstr>
  </property>
</Properties>
</file>